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F0773" w14:textId="77777777" w:rsidR="002B2230" w:rsidRPr="003B0672" w:rsidRDefault="00000000" w:rsidP="003B0672">
      <w:pPr>
        <w:spacing w:after="0"/>
        <w:contextualSpacing/>
        <w:jc w:val="both"/>
        <w:rPr>
          <w:rFonts w:ascii="Cambria" w:hAnsi="Cambria"/>
          <w:szCs w:val="24"/>
        </w:rPr>
      </w:pPr>
      <w:r w:rsidRPr="003B0672">
        <w:rPr>
          <w:rFonts w:ascii="Cambria" w:hAnsi="Cambria"/>
          <w:szCs w:val="24"/>
        </w:rPr>
        <w:t xml:space="preserve">Bogotá, D. C., </w:t>
      </w:r>
      <w:r w:rsidR="00301DDF" w:rsidRPr="003B0672">
        <w:rPr>
          <w:rFonts w:ascii="Cambria" w:hAnsi="Cambria"/>
          <w:szCs w:val="24"/>
        </w:rPr>
        <w:t>30 de septiembre de 2026</w:t>
      </w:r>
    </w:p>
    <w:p w14:paraId="5EBD9261" w14:textId="77777777" w:rsidR="00301DDF" w:rsidRPr="003B0672" w:rsidRDefault="00301DDF" w:rsidP="003B0672">
      <w:pPr>
        <w:spacing w:after="0"/>
        <w:contextualSpacing/>
        <w:jc w:val="both"/>
        <w:rPr>
          <w:rFonts w:ascii="Cambria" w:hAnsi="Cambria"/>
          <w:szCs w:val="24"/>
        </w:rPr>
      </w:pPr>
    </w:p>
    <w:p w14:paraId="29A577A5" w14:textId="77777777" w:rsidR="000F3D9E" w:rsidRPr="003B0672" w:rsidRDefault="00000000" w:rsidP="003B0672">
      <w:pPr>
        <w:spacing w:after="0"/>
        <w:contextualSpacing/>
        <w:jc w:val="both"/>
        <w:rPr>
          <w:rFonts w:ascii="Cambria" w:hAnsi="Cambria"/>
          <w:szCs w:val="24"/>
        </w:rPr>
      </w:pPr>
      <w:r w:rsidRPr="003B0672">
        <w:rPr>
          <w:rFonts w:ascii="Cambria" w:hAnsi="Cambria"/>
          <w:szCs w:val="24"/>
        </w:rPr>
        <w:t>Honorable Representante</w:t>
      </w:r>
    </w:p>
    <w:p w14:paraId="4BEBB7B4" w14:textId="62D72668" w:rsidR="00301DDF" w:rsidRPr="003B0672" w:rsidRDefault="00301DDF" w:rsidP="003B0672">
      <w:pPr>
        <w:spacing w:after="0"/>
        <w:contextualSpacing/>
        <w:jc w:val="both"/>
        <w:rPr>
          <w:rFonts w:ascii="Cambria" w:hAnsi="Cambria"/>
          <w:b/>
          <w:szCs w:val="24"/>
        </w:rPr>
      </w:pPr>
      <w:r w:rsidRPr="003B0672">
        <w:rPr>
          <w:rFonts w:ascii="Cambria" w:hAnsi="Cambria"/>
          <w:b/>
          <w:szCs w:val="24"/>
        </w:rPr>
        <w:t xml:space="preserve">JOSÉ JAIME USCÁTEGUI </w:t>
      </w:r>
      <w:r w:rsidR="005E7585" w:rsidRPr="003B0672">
        <w:rPr>
          <w:rFonts w:ascii="Cambria" w:hAnsi="Cambria"/>
          <w:b/>
          <w:szCs w:val="24"/>
        </w:rPr>
        <w:t>PASTRANA</w:t>
      </w:r>
    </w:p>
    <w:p w14:paraId="2CF34829" w14:textId="77777777" w:rsidR="002B2230" w:rsidRPr="003B0672" w:rsidRDefault="00000000" w:rsidP="003B0672">
      <w:pPr>
        <w:spacing w:after="0"/>
        <w:contextualSpacing/>
        <w:jc w:val="both"/>
        <w:rPr>
          <w:rFonts w:ascii="Cambria" w:hAnsi="Cambria"/>
          <w:szCs w:val="24"/>
        </w:rPr>
      </w:pPr>
      <w:r w:rsidRPr="003B0672">
        <w:rPr>
          <w:rFonts w:ascii="Cambria" w:hAnsi="Cambria"/>
          <w:szCs w:val="24"/>
        </w:rPr>
        <w:t>Presidente</w:t>
      </w:r>
    </w:p>
    <w:p w14:paraId="0C242996" w14:textId="77777777" w:rsidR="002B2230" w:rsidRPr="003B0672" w:rsidRDefault="00000000" w:rsidP="003B0672">
      <w:pPr>
        <w:spacing w:after="0"/>
        <w:contextualSpacing/>
        <w:jc w:val="both"/>
        <w:rPr>
          <w:rFonts w:ascii="Cambria" w:hAnsi="Cambria"/>
          <w:szCs w:val="24"/>
        </w:rPr>
      </w:pPr>
      <w:r w:rsidRPr="003B0672">
        <w:rPr>
          <w:rFonts w:ascii="Cambria" w:hAnsi="Cambria"/>
          <w:b/>
          <w:szCs w:val="24"/>
        </w:rPr>
        <w:t>COMISIÓN PRIMERA CONSTITUCIONAL PERMANENTE</w:t>
      </w:r>
    </w:p>
    <w:p w14:paraId="625C070D" w14:textId="77777777" w:rsidR="002B2230" w:rsidRPr="003B0672" w:rsidRDefault="00000000" w:rsidP="003B0672">
      <w:pPr>
        <w:spacing w:after="0"/>
        <w:contextualSpacing/>
        <w:jc w:val="both"/>
        <w:rPr>
          <w:rFonts w:ascii="Cambria" w:hAnsi="Cambria"/>
          <w:szCs w:val="24"/>
        </w:rPr>
      </w:pPr>
      <w:r w:rsidRPr="003B0672">
        <w:rPr>
          <w:rFonts w:ascii="Cambria" w:hAnsi="Cambria"/>
          <w:szCs w:val="24"/>
        </w:rPr>
        <w:t>Cámara de Representantes</w:t>
      </w:r>
    </w:p>
    <w:p w14:paraId="7F877A53" w14:textId="77777777" w:rsidR="002B2230" w:rsidRPr="003B0672" w:rsidRDefault="00000000" w:rsidP="003B0672">
      <w:pPr>
        <w:spacing w:after="0"/>
        <w:contextualSpacing/>
        <w:jc w:val="both"/>
        <w:rPr>
          <w:rFonts w:ascii="Cambria" w:hAnsi="Cambria"/>
          <w:szCs w:val="24"/>
        </w:rPr>
      </w:pPr>
      <w:r w:rsidRPr="003B0672">
        <w:rPr>
          <w:rFonts w:ascii="Cambria" w:hAnsi="Cambria"/>
          <w:szCs w:val="24"/>
        </w:rPr>
        <w:t>Ciudad</w:t>
      </w:r>
    </w:p>
    <w:p w14:paraId="0B6CC4FB" w14:textId="77777777" w:rsidR="002B2230" w:rsidRPr="003B0672" w:rsidRDefault="002B2230" w:rsidP="003B0672">
      <w:pPr>
        <w:spacing w:after="0"/>
        <w:contextualSpacing/>
        <w:jc w:val="both"/>
        <w:rPr>
          <w:rFonts w:ascii="Cambria" w:hAnsi="Cambria"/>
          <w:szCs w:val="24"/>
        </w:rPr>
      </w:pPr>
    </w:p>
    <w:p w14:paraId="66CD8A5A" w14:textId="77777777" w:rsidR="002B2230" w:rsidRPr="003B0672" w:rsidRDefault="00000000" w:rsidP="003B0672">
      <w:pPr>
        <w:spacing w:after="0"/>
        <w:contextualSpacing/>
        <w:jc w:val="both"/>
        <w:rPr>
          <w:rFonts w:ascii="Cambria" w:hAnsi="Cambria"/>
          <w:b/>
          <w:szCs w:val="24"/>
        </w:rPr>
      </w:pPr>
      <w:r w:rsidRPr="003B0672">
        <w:rPr>
          <w:rFonts w:ascii="Cambria" w:hAnsi="Cambria"/>
          <w:b/>
          <w:szCs w:val="24"/>
        </w:rPr>
        <w:t>Referencia: Informe de ponencia para primer debate al Proyecto de Acto Legislativo No. 191 de 2026 Cámara.</w:t>
      </w:r>
    </w:p>
    <w:p w14:paraId="76418F3C" w14:textId="77777777" w:rsidR="00301DDF" w:rsidRPr="003B0672" w:rsidRDefault="00301DDF" w:rsidP="003B0672">
      <w:pPr>
        <w:spacing w:after="0"/>
        <w:contextualSpacing/>
        <w:jc w:val="both"/>
        <w:rPr>
          <w:rFonts w:ascii="Cambria" w:hAnsi="Cambria"/>
          <w:szCs w:val="24"/>
        </w:rPr>
      </w:pPr>
    </w:p>
    <w:p w14:paraId="4C20EA41" w14:textId="77777777" w:rsidR="002B2230" w:rsidRPr="003B0672" w:rsidRDefault="00000000" w:rsidP="003B0672">
      <w:pPr>
        <w:contextualSpacing/>
        <w:jc w:val="both"/>
        <w:rPr>
          <w:rFonts w:ascii="Cambria" w:hAnsi="Cambria"/>
          <w:szCs w:val="24"/>
        </w:rPr>
      </w:pPr>
      <w:r w:rsidRPr="003B0672">
        <w:rPr>
          <w:rFonts w:ascii="Cambria" w:hAnsi="Cambria"/>
          <w:szCs w:val="24"/>
        </w:rPr>
        <w:t xml:space="preserve">Respetado </w:t>
      </w:r>
      <w:r w:rsidR="00301DDF" w:rsidRPr="003B0672">
        <w:rPr>
          <w:rFonts w:ascii="Cambria" w:hAnsi="Cambria"/>
          <w:szCs w:val="24"/>
        </w:rPr>
        <w:t>presidente,</w:t>
      </w:r>
    </w:p>
    <w:p w14:paraId="25C7AA63" w14:textId="77777777" w:rsidR="00301DDF" w:rsidRPr="003B0672" w:rsidRDefault="00301DDF" w:rsidP="003B0672">
      <w:pPr>
        <w:contextualSpacing/>
        <w:jc w:val="both"/>
        <w:rPr>
          <w:rFonts w:ascii="Cambria" w:hAnsi="Cambria"/>
          <w:szCs w:val="24"/>
        </w:rPr>
      </w:pPr>
    </w:p>
    <w:p w14:paraId="77E06B95" w14:textId="565DF580" w:rsidR="00301DDF" w:rsidRPr="003B0672" w:rsidRDefault="00000000" w:rsidP="003B0672">
      <w:pPr>
        <w:contextualSpacing/>
        <w:jc w:val="both"/>
        <w:rPr>
          <w:rFonts w:ascii="Cambria" w:eastAsia="Cambria" w:hAnsi="Cambria" w:cs="Cambria"/>
          <w:szCs w:val="24"/>
        </w:rPr>
      </w:pPr>
      <w:r w:rsidRPr="003B0672">
        <w:rPr>
          <w:rFonts w:ascii="Cambria" w:hAnsi="Cambria"/>
          <w:szCs w:val="24"/>
        </w:rPr>
        <w:t>En cumplimiento de la designación efectuada por la Mesa Directiva de la Comisión Primera Constitucional Permanente de la Cámara de Representantes</w:t>
      </w:r>
      <w:r w:rsidR="00301DDF" w:rsidRPr="003B0672">
        <w:rPr>
          <w:rFonts w:ascii="Cambria" w:hAnsi="Cambria"/>
          <w:szCs w:val="24"/>
        </w:rPr>
        <w:t xml:space="preserve"> el 29 de septiembre del año en curso, de conformidad a las previsiones del artículo 153 de la Ley 5ª de 1992</w:t>
      </w:r>
      <w:r w:rsidRPr="003B0672">
        <w:rPr>
          <w:rFonts w:ascii="Cambria" w:hAnsi="Cambria"/>
          <w:szCs w:val="24"/>
        </w:rPr>
        <w:t>, me permito rendir informe de ponencia para primer debate al Proyecto de Acto Legislativo No. 191 de 2026 Cámara</w:t>
      </w:r>
      <w:r w:rsidR="00301DDF" w:rsidRPr="003B0672">
        <w:rPr>
          <w:rFonts w:ascii="Cambria" w:hAnsi="Cambria"/>
          <w:szCs w:val="24"/>
        </w:rPr>
        <w:t xml:space="preserve"> </w:t>
      </w:r>
      <w:r w:rsidR="00301DDF" w:rsidRPr="003B0672">
        <w:rPr>
          <w:rFonts w:ascii="Cambria" w:eastAsia="Cambria" w:hAnsi="Cambria" w:cs="Cambria"/>
          <w:i/>
          <w:iCs/>
          <w:szCs w:val="24"/>
        </w:rPr>
        <w:t xml:space="preserve">“Por medio del cual se modifica el artículo 134 de la Constitución Política de Colombia, para restringir el llamamiento a reemplazo de los miembros del Congreso de la República cuando la falta absoluta se produzca dentro de los treinta (30) días </w:t>
      </w:r>
      <w:r w:rsidR="004B766C" w:rsidRPr="003B0672">
        <w:rPr>
          <w:rFonts w:ascii="Cambria" w:eastAsia="Cambria" w:hAnsi="Cambria" w:cs="Cambria"/>
          <w:i/>
          <w:iCs/>
          <w:szCs w:val="24"/>
        </w:rPr>
        <w:t xml:space="preserve">calendario </w:t>
      </w:r>
      <w:r w:rsidR="00301DDF" w:rsidRPr="003B0672">
        <w:rPr>
          <w:rFonts w:ascii="Cambria" w:eastAsia="Cambria" w:hAnsi="Cambria" w:cs="Cambria"/>
          <w:i/>
          <w:iCs/>
          <w:szCs w:val="24"/>
        </w:rPr>
        <w:t>anteriores a la terminación del período constitucional, y se dictan otras disposiciones”.</w:t>
      </w:r>
    </w:p>
    <w:p w14:paraId="778C283D" w14:textId="77777777" w:rsidR="00301DDF" w:rsidRPr="003B0672" w:rsidRDefault="00301DDF" w:rsidP="003B0672">
      <w:pPr>
        <w:contextualSpacing/>
        <w:jc w:val="both"/>
        <w:rPr>
          <w:rFonts w:ascii="Cambria" w:hAnsi="Cambria"/>
          <w:szCs w:val="24"/>
        </w:rPr>
      </w:pPr>
    </w:p>
    <w:p w14:paraId="56F0A8C4" w14:textId="77777777" w:rsidR="00301DDF" w:rsidRPr="003B0672" w:rsidRDefault="00301DDF" w:rsidP="003B0672">
      <w:pPr>
        <w:contextualSpacing/>
        <w:jc w:val="both"/>
        <w:rPr>
          <w:rFonts w:ascii="Cambria" w:hAnsi="Cambria"/>
          <w:szCs w:val="24"/>
        </w:rPr>
      </w:pPr>
    </w:p>
    <w:p w14:paraId="698743BD" w14:textId="77777777" w:rsidR="00301DDF" w:rsidRPr="003B0672" w:rsidRDefault="00301DDF" w:rsidP="003B0672">
      <w:pPr>
        <w:contextualSpacing/>
        <w:jc w:val="both"/>
        <w:rPr>
          <w:rFonts w:ascii="Cambria" w:hAnsi="Cambria"/>
          <w:szCs w:val="24"/>
        </w:rPr>
      </w:pPr>
    </w:p>
    <w:p w14:paraId="053E9004" w14:textId="564CA65C" w:rsidR="00301DDF" w:rsidRPr="003B0672" w:rsidRDefault="00301DDF" w:rsidP="003B0672">
      <w:pPr>
        <w:contextualSpacing/>
        <w:rPr>
          <w:rFonts w:ascii="Cambria" w:hAnsi="Cambria"/>
          <w:b/>
          <w:bCs/>
          <w:szCs w:val="24"/>
        </w:rPr>
      </w:pPr>
      <w:r w:rsidRPr="003B0672">
        <w:rPr>
          <w:rFonts w:ascii="Cambria" w:hAnsi="Cambria"/>
          <w:b/>
          <w:bCs/>
          <w:szCs w:val="24"/>
        </w:rPr>
        <w:t>_______________________________</w:t>
      </w:r>
      <w:r w:rsidR="005E7585" w:rsidRPr="003B0672">
        <w:rPr>
          <w:rFonts w:ascii="Cambria" w:hAnsi="Cambria"/>
          <w:b/>
          <w:bCs/>
          <w:szCs w:val="24"/>
        </w:rPr>
        <w:t>_____________</w:t>
      </w:r>
    </w:p>
    <w:p w14:paraId="4C27A193" w14:textId="77777777" w:rsidR="00301DDF" w:rsidRPr="003B0672" w:rsidRDefault="00301DDF" w:rsidP="003B0672">
      <w:pPr>
        <w:contextualSpacing/>
        <w:rPr>
          <w:rFonts w:ascii="Cambria" w:hAnsi="Cambria"/>
          <w:b/>
          <w:bCs/>
          <w:szCs w:val="24"/>
        </w:rPr>
      </w:pPr>
      <w:r w:rsidRPr="003B0672">
        <w:rPr>
          <w:rFonts w:ascii="Cambria" w:hAnsi="Cambria"/>
          <w:b/>
          <w:bCs/>
          <w:szCs w:val="24"/>
        </w:rPr>
        <w:t>CAROL STEFANNY BORDA ACEVEDO</w:t>
      </w:r>
    </w:p>
    <w:p w14:paraId="276E601E" w14:textId="77777777" w:rsidR="00301DDF" w:rsidRPr="003B0672" w:rsidRDefault="00301DDF" w:rsidP="003B0672">
      <w:pPr>
        <w:contextualSpacing/>
        <w:rPr>
          <w:rFonts w:ascii="Cambria" w:hAnsi="Cambria"/>
          <w:szCs w:val="24"/>
        </w:rPr>
      </w:pPr>
      <w:r w:rsidRPr="003B0672">
        <w:rPr>
          <w:rFonts w:ascii="Cambria" w:hAnsi="Cambria"/>
          <w:szCs w:val="24"/>
        </w:rPr>
        <w:t>Representante a la Cámara por Bogotá D. C.</w:t>
      </w:r>
    </w:p>
    <w:p w14:paraId="506A1EF6" w14:textId="77777777" w:rsidR="00301DDF" w:rsidRPr="003B0672" w:rsidRDefault="00301DDF" w:rsidP="003B0672">
      <w:pPr>
        <w:contextualSpacing/>
        <w:rPr>
          <w:rFonts w:ascii="Cambria" w:hAnsi="Cambria"/>
          <w:szCs w:val="24"/>
        </w:rPr>
      </w:pPr>
      <w:r w:rsidRPr="003B0672">
        <w:rPr>
          <w:rFonts w:ascii="Cambria" w:hAnsi="Cambria"/>
          <w:szCs w:val="24"/>
        </w:rPr>
        <w:t>Ponente única – PAL No. 191 de 2026</w:t>
      </w:r>
    </w:p>
    <w:p w14:paraId="1232A8D3" w14:textId="77777777" w:rsidR="0084666D" w:rsidRPr="003B0672" w:rsidRDefault="0084666D" w:rsidP="003B0672">
      <w:pPr>
        <w:spacing w:after="200"/>
        <w:contextualSpacing/>
        <w:rPr>
          <w:rFonts w:ascii="Cambria" w:hAnsi="Cambria"/>
          <w:szCs w:val="24"/>
        </w:rPr>
      </w:pPr>
      <w:r w:rsidRPr="003B0672">
        <w:rPr>
          <w:rFonts w:ascii="Cambria" w:hAnsi="Cambria"/>
          <w:szCs w:val="24"/>
        </w:rPr>
        <w:br w:type="page"/>
      </w:r>
    </w:p>
    <w:p w14:paraId="3C8357E1" w14:textId="77777777" w:rsidR="00301DDF" w:rsidRPr="003B0672" w:rsidRDefault="0084666D" w:rsidP="003B0672">
      <w:pPr>
        <w:ind w:firstLine="567"/>
        <w:contextualSpacing/>
        <w:jc w:val="center"/>
        <w:rPr>
          <w:rFonts w:ascii="Cambria" w:hAnsi="Cambria"/>
          <w:b/>
          <w:szCs w:val="24"/>
        </w:rPr>
      </w:pPr>
      <w:r w:rsidRPr="003B0672">
        <w:rPr>
          <w:rFonts w:ascii="Cambria" w:hAnsi="Cambria"/>
          <w:b/>
          <w:szCs w:val="24"/>
        </w:rPr>
        <w:lastRenderedPageBreak/>
        <w:t>Informe de ponencia para primer debate al Proyecto de Acto Legislativo No. 191 de 2026 Cámara</w:t>
      </w:r>
    </w:p>
    <w:p w14:paraId="1CDD300E" w14:textId="77777777" w:rsidR="005E7585" w:rsidRPr="003B0672" w:rsidRDefault="005E7585" w:rsidP="003B0672">
      <w:pPr>
        <w:ind w:firstLine="567"/>
        <w:contextualSpacing/>
        <w:jc w:val="center"/>
        <w:rPr>
          <w:rFonts w:ascii="Cambria" w:hAnsi="Cambria"/>
          <w:szCs w:val="24"/>
        </w:rPr>
      </w:pPr>
    </w:p>
    <w:p w14:paraId="15CF398B" w14:textId="64EB8D92" w:rsidR="0084666D" w:rsidRPr="003B0672" w:rsidRDefault="0084666D" w:rsidP="003B0672">
      <w:pPr>
        <w:contextualSpacing/>
        <w:jc w:val="center"/>
        <w:rPr>
          <w:rFonts w:ascii="Cambria" w:eastAsia="Cambria" w:hAnsi="Cambria" w:cs="Cambria"/>
          <w:i/>
          <w:iCs/>
          <w:szCs w:val="24"/>
        </w:rPr>
      </w:pPr>
      <w:r w:rsidRPr="003B0672">
        <w:rPr>
          <w:rFonts w:ascii="Cambria" w:eastAsia="Cambria" w:hAnsi="Cambria" w:cs="Cambria"/>
          <w:i/>
          <w:iCs/>
          <w:szCs w:val="24"/>
        </w:rPr>
        <w:t xml:space="preserve">“Por medio del cual se modifica el artículo 134 de la Constitución Política de Colombia, para restringir el llamamiento a reemplazo de los miembros del Congreso de la República cuando la falta absoluta se produzca dentro de los treinta (30) días </w:t>
      </w:r>
      <w:r w:rsidR="004B766C" w:rsidRPr="003B0672">
        <w:rPr>
          <w:rFonts w:ascii="Cambria" w:eastAsia="Cambria" w:hAnsi="Cambria" w:cs="Cambria"/>
          <w:i/>
          <w:iCs/>
          <w:szCs w:val="24"/>
        </w:rPr>
        <w:t>calendario</w:t>
      </w:r>
      <w:r w:rsidRPr="003B0672">
        <w:rPr>
          <w:rFonts w:ascii="Cambria" w:eastAsia="Cambria" w:hAnsi="Cambria" w:cs="Cambria"/>
          <w:i/>
          <w:iCs/>
          <w:szCs w:val="24"/>
        </w:rPr>
        <w:t xml:space="preserve"> anteriores a la terminación del período constitucional, y se dictan otras disposiciones”</w:t>
      </w:r>
    </w:p>
    <w:p w14:paraId="49DF4510" w14:textId="77777777" w:rsidR="00301DDF" w:rsidRPr="003B0672" w:rsidRDefault="00301DDF" w:rsidP="003B0672">
      <w:pPr>
        <w:contextualSpacing/>
        <w:jc w:val="both"/>
        <w:rPr>
          <w:rFonts w:ascii="Cambria" w:hAnsi="Cambria"/>
          <w:szCs w:val="24"/>
        </w:rPr>
      </w:pPr>
    </w:p>
    <w:p w14:paraId="1569602A" w14:textId="77777777" w:rsidR="002B2230" w:rsidRPr="003B0672" w:rsidRDefault="00000000" w:rsidP="003B0672">
      <w:pPr>
        <w:pStyle w:val="Prrafodelista"/>
        <w:numPr>
          <w:ilvl w:val="0"/>
          <w:numId w:val="10"/>
        </w:numPr>
        <w:spacing w:before="160"/>
        <w:jc w:val="both"/>
        <w:rPr>
          <w:rFonts w:ascii="Cambria" w:hAnsi="Cambria"/>
          <w:b/>
          <w:szCs w:val="24"/>
        </w:rPr>
      </w:pPr>
      <w:r w:rsidRPr="003B0672">
        <w:rPr>
          <w:rFonts w:ascii="Cambria" w:hAnsi="Cambria"/>
          <w:b/>
          <w:szCs w:val="24"/>
        </w:rPr>
        <w:t>ANTECEDENTES DE LA INICIATIVA</w:t>
      </w:r>
    </w:p>
    <w:p w14:paraId="069AED93" w14:textId="77777777" w:rsidR="0084666D" w:rsidRPr="003B0672" w:rsidRDefault="0084666D" w:rsidP="003B0672">
      <w:pPr>
        <w:spacing w:before="160"/>
        <w:contextualSpacing/>
        <w:jc w:val="both"/>
        <w:rPr>
          <w:rFonts w:ascii="Cambria" w:hAnsi="Cambria"/>
          <w:szCs w:val="24"/>
        </w:rPr>
      </w:pPr>
    </w:p>
    <w:p w14:paraId="0098CA5E" w14:textId="2601030A" w:rsidR="002B2230" w:rsidRPr="003B0672" w:rsidRDefault="00000000" w:rsidP="003B0672">
      <w:pPr>
        <w:contextualSpacing/>
        <w:jc w:val="both"/>
        <w:rPr>
          <w:rFonts w:ascii="Cambria" w:hAnsi="Cambria"/>
          <w:szCs w:val="24"/>
        </w:rPr>
      </w:pPr>
      <w:r w:rsidRPr="003B0672">
        <w:rPr>
          <w:rFonts w:ascii="Cambria" w:hAnsi="Cambria"/>
          <w:szCs w:val="24"/>
        </w:rPr>
        <w:t xml:space="preserve">El Proyecto de Acto Legislativo No. 191 de 2026 Cámara fue radicado el </w:t>
      </w:r>
      <w:r w:rsidR="004B766C" w:rsidRPr="003B0672">
        <w:rPr>
          <w:rFonts w:ascii="Cambria" w:hAnsi="Cambria"/>
          <w:szCs w:val="24"/>
        </w:rPr>
        <w:t>12</w:t>
      </w:r>
      <w:r w:rsidRPr="003B0672">
        <w:rPr>
          <w:rFonts w:ascii="Cambria" w:hAnsi="Cambria"/>
          <w:szCs w:val="24"/>
        </w:rPr>
        <w:t xml:space="preserve"> de agosto de 2026 y publicado en la Gaceta del Congreso No. 1331 del 21 de septiembre de 2026. La iniciativa fue presentada por los congresistas Sara Jimena Castellanos</w:t>
      </w:r>
      <w:r w:rsidR="004B766C" w:rsidRPr="003B0672">
        <w:rPr>
          <w:rFonts w:ascii="Cambria" w:hAnsi="Cambria"/>
          <w:szCs w:val="24"/>
        </w:rPr>
        <w:t xml:space="preserve"> Rodríguez</w:t>
      </w:r>
      <w:r w:rsidRPr="003B0672">
        <w:rPr>
          <w:rFonts w:ascii="Cambria" w:hAnsi="Cambria"/>
          <w:szCs w:val="24"/>
        </w:rPr>
        <w:t xml:space="preserve">, Carol </w:t>
      </w:r>
      <w:proofErr w:type="spellStart"/>
      <w:r w:rsidRPr="003B0672">
        <w:rPr>
          <w:rFonts w:ascii="Cambria" w:hAnsi="Cambria"/>
          <w:szCs w:val="24"/>
        </w:rPr>
        <w:t>Stefanny</w:t>
      </w:r>
      <w:proofErr w:type="spellEnd"/>
      <w:r w:rsidRPr="003B0672">
        <w:rPr>
          <w:rFonts w:ascii="Cambria" w:hAnsi="Cambria"/>
          <w:szCs w:val="24"/>
        </w:rPr>
        <w:t xml:space="preserve"> Borda Acevedo, Jonathan </w:t>
      </w:r>
      <w:r w:rsidR="004B766C" w:rsidRPr="003B0672">
        <w:rPr>
          <w:rFonts w:ascii="Cambria" w:hAnsi="Cambria"/>
          <w:szCs w:val="24"/>
        </w:rPr>
        <w:t xml:space="preserve">Ferney </w:t>
      </w:r>
      <w:r w:rsidRPr="003B0672">
        <w:rPr>
          <w:rFonts w:ascii="Cambria" w:hAnsi="Cambria"/>
          <w:szCs w:val="24"/>
        </w:rPr>
        <w:t xml:space="preserve">Pulido Hernández, Óscar Darío Pérez Pineda, Germán </w:t>
      </w:r>
      <w:r w:rsidR="004B766C" w:rsidRPr="003B0672">
        <w:rPr>
          <w:rFonts w:ascii="Cambria" w:hAnsi="Cambria"/>
          <w:szCs w:val="24"/>
        </w:rPr>
        <w:t xml:space="preserve">Andrés </w:t>
      </w:r>
      <w:r w:rsidRPr="003B0672">
        <w:rPr>
          <w:rFonts w:ascii="Cambria" w:hAnsi="Cambria"/>
          <w:szCs w:val="24"/>
        </w:rPr>
        <w:t>Rodríguez Prieto, Héctor David Chaparro</w:t>
      </w:r>
      <w:r w:rsidR="004B766C" w:rsidRPr="003B0672">
        <w:rPr>
          <w:rFonts w:ascii="Cambria" w:hAnsi="Cambria"/>
          <w:szCs w:val="24"/>
        </w:rPr>
        <w:t xml:space="preserve"> </w:t>
      </w:r>
      <w:proofErr w:type="spellStart"/>
      <w:r w:rsidR="004B766C" w:rsidRPr="003B0672">
        <w:rPr>
          <w:rFonts w:ascii="Cambria" w:hAnsi="Cambria"/>
          <w:szCs w:val="24"/>
        </w:rPr>
        <w:t>Chaparro</w:t>
      </w:r>
      <w:proofErr w:type="spellEnd"/>
      <w:r w:rsidRPr="003B0672">
        <w:rPr>
          <w:rFonts w:ascii="Cambria" w:hAnsi="Cambria"/>
          <w:szCs w:val="24"/>
        </w:rPr>
        <w:t xml:space="preserve">, </w:t>
      </w:r>
      <w:r w:rsidR="004B766C" w:rsidRPr="003B0672">
        <w:rPr>
          <w:rFonts w:ascii="Cambria" w:hAnsi="Cambria"/>
          <w:szCs w:val="24"/>
        </w:rPr>
        <w:t xml:space="preserve">José </w:t>
      </w:r>
      <w:r w:rsidRPr="003B0672">
        <w:rPr>
          <w:rFonts w:ascii="Cambria" w:hAnsi="Cambria"/>
          <w:szCs w:val="24"/>
        </w:rPr>
        <w:t xml:space="preserve">Gregorio Orjuela Pérez, </w:t>
      </w:r>
      <w:proofErr w:type="spellStart"/>
      <w:r w:rsidRPr="003B0672">
        <w:rPr>
          <w:rFonts w:ascii="Cambria" w:hAnsi="Cambria"/>
          <w:szCs w:val="24"/>
        </w:rPr>
        <w:t>Duvalier</w:t>
      </w:r>
      <w:proofErr w:type="spellEnd"/>
      <w:r w:rsidRPr="003B0672">
        <w:rPr>
          <w:rFonts w:ascii="Cambria" w:hAnsi="Cambria"/>
          <w:szCs w:val="24"/>
        </w:rPr>
        <w:t xml:space="preserve"> Sánchez Arango</w:t>
      </w:r>
      <w:r w:rsidR="004B766C" w:rsidRPr="003B0672">
        <w:rPr>
          <w:rFonts w:ascii="Cambria" w:hAnsi="Cambria"/>
          <w:szCs w:val="24"/>
        </w:rPr>
        <w:t xml:space="preserve"> y</w:t>
      </w:r>
      <w:r w:rsidRPr="003B0672">
        <w:rPr>
          <w:rFonts w:ascii="Cambria" w:hAnsi="Cambria"/>
          <w:szCs w:val="24"/>
        </w:rPr>
        <w:t xml:space="preserve"> Andrea Padilla Villarraga.</w:t>
      </w:r>
    </w:p>
    <w:p w14:paraId="009820D7" w14:textId="77777777" w:rsidR="0084666D" w:rsidRPr="003B0672" w:rsidRDefault="0084666D" w:rsidP="003B0672">
      <w:pPr>
        <w:contextualSpacing/>
        <w:jc w:val="both"/>
        <w:rPr>
          <w:rFonts w:ascii="Cambria" w:hAnsi="Cambria"/>
          <w:szCs w:val="24"/>
        </w:rPr>
      </w:pPr>
    </w:p>
    <w:p w14:paraId="67307D6B" w14:textId="77777777" w:rsidR="002B2230" w:rsidRPr="003B0672" w:rsidRDefault="00000000" w:rsidP="003B0672">
      <w:pPr>
        <w:contextualSpacing/>
        <w:jc w:val="both"/>
        <w:rPr>
          <w:rFonts w:ascii="Cambria" w:hAnsi="Cambria"/>
          <w:szCs w:val="24"/>
        </w:rPr>
      </w:pPr>
      <w:r w:rsidRPr="003B0672">
        <w:rPr>
          <w:rFonts w:ascii="Cambria" w:hAnsi="Cambria"/>
          <w:szCs w:val="24"/>
        </w:rPr>
        <w:t>La iniciativa tiene como propósito modificar el artículo 134 de la Constitución Política para establecer una regla especial aplicable a las faltas absolutas de los miembros del Congreso de la República que se produzcan en la fase final del período constitucional. Conforme al texto publicado, cuando la falta absoluta ocurra dentro de los treinta (30) días calendario anteriores a la terminación del respectivo período, no habrá lugar al llamamiento del siguiente candidato no elegido de la lista y la curul permanecerá vacante hasta la finalización del período, salvo que el Congreso deba reunirse en el marco de la declaratoria de un estado de excepción.</w:t>
      </w:r>
    </w:p>
    <w:p w14:paraId="4A4868BE" w14:textId="77777777" w:rsidR="0084666D" w:rsidRPr="003B0672" w:rsidRDefault="0084666D" w:rsidP="003B0672">
      <w:pPr>
        <w:contextualSpacing/>
        <w:jc w:val="both"/>
        <w:rPr>
          <w:rFonts w:ascii="Cambria" w:hAnsi="Cambria"/>
          <w:szCs w:val="24"/>
        </w:rPr>
      </w:pPr>
    </w:p>
    <w:p w14:paraId="56E71DB5" w14:textId="77777777" w:rsidR="002B2230" w:rsidRPr="003B0672" w:rsidRDefault="00000000" w:rsidP="003B0672">
      <w:pPr>
        <w:contextualSpacing/>
        <w:jc w:val="both"/>
        <w:rPr>
          <w:rFonts w:ascii="Cambria" w:hAnsi="Cambria"/>
          <w:szCs w:val="24"/>
        </w:rPr>
      </w:pPr>
      <w:r w:rsidRPr="003B0672">
        <w:rPr>
          <w:rFonts w:ascii="Cambria" w:hAnsi="Cambria"/>
          <w:szCs w:val="24"/>
        </w:rPr>
        <w:t>El proyecto parte de una situación identificada durante los cierres de período congresional: la posesión de reemplazos por lapsos muy reducidos, en ocasiones de pocos días, sin un margen material significativo para ejercer funciones legislativas, deliberativas o de control político. La exposición de motivos denomina este fenómeno “curules relámpago” o “congresistas de pocos días”.</w:t>
      </w:r>
    </w:p>
    <w:p w14:paraId="7B6B9D0A" w14:textId="77777777" w:rsidR="0084666D" w:rsidRPr="003B0672" w:rsidRDefault="0084666D" w:rsidP="003B0672">
      <w:pPr>
        <w:contextualSpacing/>
        <w:jc w:val="both"/>
        <w:rPr>
          <w:rFonts w:ascii="Cambria" w:hAnsi="Cambria"/>
          <w:szCs w:val="24"/>
        </w:rPr>
      </w:pPr>
    </w:p>
    <w:p w14:paraId="6A74853C" w14:textId="77777777" w:rsidR="002B2230" w:rsidRPr="003B0672" w:rsidRDefault="00000000" w:rsidP="003B0672">
      <w:pPr>
        <w:spacing w:before="160"/>
        <w:contextualSpacing/>
        <w:jc w:val="both"/>
        <w:rPr>
          <w:rFonts w:ascii="Cambria" w:hAnsi="Cambria"/>
          <w:szCs w:val="24"/>
        </w:rPr>
      </w:pPr>
      <w:r w:rsidRPr="003B0672">
        <w:rPr>
          <w:rFonts w:ascii="Cambria" w:hAnsi="Cambria"/>
          <w:b/>
          <w:szCs w:val="24"/>
        </w:rPr>
        <w:t>2. OBJETO DEL PROYECTO DE ACTO LEGISLATIVO</w:t>
      </w:r>
    </w:p>
    <w:p w14:paraId="132851B3" w14:textId="77777777" w:rsidR="0084666D" w:rsidRPr="003B0672" w:rsidRDefault="0084666D" w:rsidP="003B0672">
      <w:pPr>
        <w:contextualSpacing/>
        <w:jc w:val="both"/>
        <w:rPr>
          <w:rFonts w:ascii="Cambria" w:hAnsi="Cambria"/>
          <w:szCs w:val="24"/>
        </w:rPr>
      </w:pPr>
    </w:p>
    <w:p w14:paraId="0CD30005" w14:textId="77777777" w:rsidR="002B2230" w:rsidRPr="003B0672" w:rsidRDefault="00000000" w:rsidP="003B0672">
      <w:pPr>
        <w:contextualSpacing/>
        <w:jc w:val="both"/>
        <w:rPr>
          <w:rFonts w:ascii="Cambria" w:hAnsi="Cambria"/>
          <w:szCs w:val="24"/>
        </w:rPr>
      </w:pPr>
      <w:r w:rsidRPr="003B0672">
        <w:rPr>
          <w:rFonts w:ascii="Cambria" w:hAnsi="Cambria"/>
          <w:szCs w:val="24"/>
        </w:rPr>
        <w:t xml:space="preserve">El presente Proyecto de Acto Legislativo tiene por objeto modificar el artículo 134 de la Constitución Política para impedir que, cuando la falta absoluta de un miembro del Congreso de la República —Senado o Cámara de Representantes— se produzca dentro de </w:t>
      </w:r>
      <w:r w:rsidRPr="003B0672">
        <w:rPr>
          <w:rFonts w:ascii="Cambria" w:hAnsi="Cambria"/>
          <w:szCs w:val="24"/>
        </w:rPr>
        <w:lastRenderedPageBreak/>
        <w:t>los treinta (30) días calendario anteriores a la terminación del respectivo período constitucional, se llame a ocupar la curul al siguiente candidato no elegido de la lista.</w:t>
      </w:r>
    </w:p>
    <w:p w14:paraId="15B477F1" w14:textId="77777777" w:rsidR="0084666D" w:rsidRPr="003B0672" w:rsidRDefault="0084666D" w:rsidP="003B0672">
      <w:pPr>
        <w:contextualSpacing/>
        <w:jc w:val="both"/>
        <w:rPr>
          <w:rFonts w:ascii="Cambria" w:hAnsi="Cambria"/>
          <w:szCs w:val="24"/>
        </w:rPr>
      </w:pPr>
    </w:p>
    <w:p w14:paraId="476A0DE6" w14:textId="77777777" w:rsidR="002B2230" w:rsidRPr="003B0672" w:rsidRDefault="00000000" w:rsidP="003B0672">
      <w:pPr>
        <w:contextualSpacing/>
        <w:jc w:val="both"/>
        <w:rPr>
          <w:rFonts w:ascii="Cambria" w:hAnsi="Cambria"/>
          <w:szCs w:val="24"/>
        </w:rPr>
      </w:pPr>
      <w:r w:rsidRPr="003B0672">
        <w:rPr>
          <w:rFonts w:ascii="Cambria" w:hAnsi="Cambria"/>
          <w:szCs w:val="24"/>
        </w:rPr>
        <w:t>Con ello se busca cerrar un espacio que, en la práctica, ha permitido que personas asuman una curul por unos pocos días —incluso horas— sin posibilidad real de ejercer las funciones propias de la investidura, generando costos para el erario y una desnaturalización de la representación política. La reforma se circunscribe deliberadamente a los congresistas de la República y no altera de manera general el régimen de reemplazos de las demás corporaciones públicas.</w:t>
      </w:r>
    </w:p>
    <w:p w14:paraId="4AA416FB" w14:textId="77777777" w:rsidR="0084666D" w:rsidRPr="003B0672" w:rsidRDefault="0084666D" w:rsidP="003B0672">
      <w:pPr>
        <w:contextualSpacing/>
        <w:jc w:val="both"/>
        <w:rPr>
          <w:rFonts w:ascii="Cambria" w:hAnsi="Cambria"/>
          <w:szCs w:val="24"/>
        </w:rPr>
      </w:pPr>
    </w:p>
    <w:p w14:paraId="141280A4" w14:textId="77777777" w:rsidR="002B2230" w:rsidRPr="003B0672" w:rsidRDefault="00000000" w:rsidP="003B0672">
      <w:pPr>
        <w:spacing w:before="160"/>
        <w:contextualSpacing/>
        <w:jc w:val="both"/>
        <w:rPr>
          <w:rFonts w:ascii="Cambria" w:hAnsi="Cambria"/>
          <w:szCs w:val="24"/>
        </w:rPr>
      </w:pPr>
      <w:r w:rsidRPr="003B0672">
        <w:rPr>
          <w:rFonts w:ascii="Cambria" w:hAnsi="Cambria"/>
          <w:b/>
          <w:szCs w:val="24"/>
        </w:rPr>
        <w:t>3. CONTENIDO DEL PROYECTO</w:t>
      </w:r>
    </w:p>
    <w:p w14:paraId="24DDC4CF" w14:textId="77777777" w:rsidR="0084666D" w:rsidRPr="003B0672" w:rsidRDefault="0084666D" w:rsidP="003B0672">
      <w:pPr>
        <w:contextualSpacing/>
        <w:jc w:val="both"/>
        <w:rPr>
          <w:rFonts w:ascii="Cambria" w:hAnsi="Cambria"/>
          <w:szCs w:val="24"/>
        </w:rPr>
      </w:pPr>
    </w:p>
    <w:p w14:paraId="6AD3F9A3" w14:textId="77777777" w:rsidR="002B2230" w:rsidRPr="003B0672" w:rsidRDefault="00000000" w:rsidP="003B0672">
      <w:pPr>
        <w:contextualSpacing/>
        <w:jc w:val="both"/>
        <w:rPr>
          <w:rFonts w:ascii="Cambria" w:hAnsi="Cambria"/>
          <w:szCs w:val="24"/>
        </w:rPr>
      </w:pPr>
      <w:r w:rsidRPr="003B0672">
        <w:rPr>
          <w:rFonts w:ascii="Cambria" w:hAnsi="Cambria"/>
          <w:szCs w:val="24"/>
        </w:rPr>
        <w:t>El proyecto consta de dos artículos. El artículo 1º adiciona una regla al artículo 134 de la Constitución Política. El artículo 2º regula su vigencia.</w:t>
      </w:r>
    </w:p>
    <w:p w14:paraId="611CC425" w14:textId="77777777" w:rsidR="0084666D" w:rsidRPr="003B0672" w:rsidRDefault="0084666D" w:rsidP="003B0672">
      <w:pPr>
        <w:contextualSpacing/>
        <w:jc w:val="both"/>
        <w:rPr>
          <w:rFonts w:ascii="Cambria" w:hAnsi="Cambria"/>
          <w:szCs w:val="24"/>
        </w:rPr>
      </w:pPr>
    </w:p>
    <w:p w14:paraId="279DA8DE" w14:textId="77777777" w:rsidR="002B2230" w:rsidRPr="003B0672" w:rsidRDefault="00000000" w:rsidP="003B0672">
      <w:pPr>
        <w:contextualSpacing/>
        <w:jc w:val="both"/>
        <w:rPr>
          <w:rFonts w:ascii="Cambria" w:hAnsi="Cambria"/>
          <w:szCs w:val="24"/>
        </w:rPr>
      </w:pPr>
      <w:r w:rsidRPr="003B0672">
        <w:rPr>
          <w:rFonts w:ascii="Cambria" w:hAnsi="Cambria"/>
          <w:szCs w:val="24"/>
        </w:rPr>
        <w:t>En esencia, el artículo 1º dispone que cuando la falta absoluta de un miembro del Congreso ocurra dentro de los treinta (30) días calendario anteriores a la terminación del período constitucional, la curul no será provista y permanecerá vacante hasta la finalización del período. El texto publicado contempla como excepción el evento en que el Congreso deba reunirse en el marco de la declaratoria de un estado de excepción.</w:t>
      </w:r>
    </w:p>
    <w:p w14:paraId="666415ED" w14:textId="77777777" w:rsidR="0084666D" w:rsidRPr="003B0672" w:rsidRDefault="0084666D" w:rsidP="003B0672">
      <w:pPr>
        <w:contextualSpacing/>
        <w:jc w:val="both"/>
        <w:rPr>
          <w:rFonts w:ascii="Cambria" w:hAnsi="Cambria"/>
          <w:szCs w:val="24"/>
        </w:rPr>
      </w:pPr>
    </w:p>
    <w:p w14:paraId="28AA17AA" w14:textId="77777777" w:rsidR="002B2230" w:rsidRPr="003B0672" w:rsidRDefault="00000000" w:rsidP="003B0672">
      <w:pPr>
        <w:contextualSpacing/>
        <w:jc w:val="both"/>
        <w:rPr>
          <w:rFonts w:ascii="Cambria" w:hAnsi="Cambria"/>
          <w:szCs w:val="24"/>
        </w:rPr>
      </w:pPr>
      <w:r w:rsidRPr="003B0672">
        <w:rPr>
          <w:rFonts w:ascii="Cambria" w:hAnsi="Cambria"/>
          <w:szCs w:val="24"/>
        </w:rPr>
        <w:t>El artículo 2º establece que el acto legislativo regirá a partir de la fecha de su promulgación y derogará las disposiciones que le sean contrarias.</w:t>
      </w:r>
    </w:p>
    <w:p w14:paraId="205AA42F" w14:textId="77777777" w:rsidR="0084666D" w:rsidRPr="003B0672" w:rsidRDefault="0084666D" w:rsidP="003B0672">
      <w:pPr>
        <w:spacing w:before="160"/>
        <w:contextualSpacing/>
        <w:jc w:val="both"/>
        <w:rPr>
          <w:rFonts w:ascii="Cambria" w:hAnsi="Cambria"/>
          <w:b/>
          <w:szCs w:val="24"/>
        </w:rPr>
      </w:pPr>
    </w:p>
    <w:p w14:paraId="5059673B" w14:textId="77777777" w:rsidR="002B2230" w:rsidRPr="003B0672" w:rsidRDefault="00000000" w:rsidP="003B0672">
      <w:pPr>
        <w:spacing w:before="160"/>
        <w:contextualSpacing/>
        <w:jc w:val="both"/>
        <w:rPr>
          <w:rFonts w:ascii="Cambria" w:hAnsi="Cambria"/>
          <w:szCs w:val="24"/>
        </w:rPr>
      </w:pPr>
      <w:r w:rsidRPr="003B0672">
        <w:rPr>
          <w:rFonts w:ascii="Cambria" w:hAnsi="Cambria"/>
          <w:b/>
          <w:szCs w:val="24"/>
        </w:rPr>
        <w:t>4. ANTECEDENTES Y CONTEXTO FÁCTICO</w:t>
      </w:r>
    </w:p>
    <w:p w14:paraId="10DA1934" w14:textId="77777777" w:rsidR="0084666D" w:rsidRPr="003B0672" w:rsidRDefault="0084666D" w:rsidP="003B0672">
      <w:pPr>
        <w:contextualSpacing/>
        <w:jc w:val="both"/>
        <w:rPr>
          <w:rFonts w:ascii="Cambria" w:hAnsi="Cambria"/>
          <w:szCs w:val="24"/>
        </w:rPr>
      </w:pPr>
    </w:p>
    <w:p w14:paraId="1A05A068" w14:textId="77777777" w:rsidR="002B2230" w:rsidRPr="003B0672" w:rsidRDefault="00000000" w:rsidP="003B0672">
      <w:pPr>
        <w:contextualSpacing/>
        <w:jc w:val="both"/>
        <w:rPr>
          <w:rFonts w:ascii="Cambria" w:hAnsi="Cambria"/>
          <w:szCs w:val="24"/>
        </w:rPr>
      </w:pPr>
      <w:r w:rsidRPr="003B0672">
        <w:rPr>
          <w:rFonts w:ascii="Cambria" w:hAnsi="Cambria"/>
          <w:szCs w:val="24"/>
        </w:rPr>
        <w:t>El cierre de cada período constitucional del Congreso de la República coincide con la preparación de procesos electorales posteriores y con decisiones políticas personales de los congresistas salientes. La exposición de motivos señala que, en las semanas finales del período congresional, algunos congresistas presentan renuncia, entre otras razones, para habilitarse frente a futuras aspiraciones electorales, o por motivos personales, profesionales o de salud.</w:t>
      </w:r>
    </w:p>
    <w:p w14:paraId="64E77851" w14:textId="77777777" w:rsidR="0084666D" w:rsidRPr="003B0672" w:rsidRDefault="0084666D" w:rsidP="003B0672">
      <w:pPr>
        <w:contextualSpacing/>
        <w:jc w:val="both"/>
        <w:rPr>
          <w:rFonts w:ascii="Cambria" w:hAnsi="Cambria"/>
          <w:szCs w:val="24"/>
        </w:rPr>
      </w:pPr>
    </w:p>
    <w:p w14:paraId="1EFFA0A8" w14:textId="77777777" w:rsidR="002B2230" w:rsidRPr="003B0672" w:rsidRDefault="00000000" w:rsidP="003B0672">
      <w:pPr>
        <w:contextualSpacing/>
        <w:jc w:val="both"/>
        <w:rPr>
          <w:rFonts w:ascii="Cambria" w:hAnsi="Cambria"/>
          <w:szCs w:val="24"/>
        </w:rPr>
      </w:pPr>
      <w:r w:rsidRPr="003B0672">
        <w:rPr>
          <w:rFonts w:ascii="Cambria" w:hAnsi="Cambria"/>
          <w:szCs w:val="24"/>
        </w:rPr>
        <w:t>Cada renuncia aceptada constituye una falta absoluta en los términos del artículo 134 de la Constitución y del artículo 274 de la Ley 5ª de 1992, lo que activa el llamamiento al siguiente candidato no elegido de la misma lista, conforme al artículo 278 de la Ley 5ª de 1992.</w:t>
      </w:r>
    </w:p>
    <w:p w14:paraId="4FC30FB7" w14:textId="77777777" w:rsidR="0084666D" w:rsidRPr="003B0672" w:rsidRDefault="0084666D" w:rsidP="003B0672">
      <w:pPr>
        <w:contextualSpacing/>
        <w:jc w:val="both"/>
        <w:rPr>
          <w:rFonts w:ascii="Cambria" w:hAnsi="Cambria"/>
          <w:szCs w:val="24"/>
        </w:rPr>
      </w:pPr>
    </w:p>
    <w:p w14:paraId="093ED2A6" w14:textId="77777777" w:rsidR="002B2230" w:rsidRPr="003B0672" w:rsidRDefault="00000000" w:rsidP="003B0672">
      <w:pPr>
        <w:contextualSpacing/>
        <w:jc w:val="both"/>
        <w:rPr>
          <w:rFonts w:ascii="Cambria" w:hAnsi="Cambria"/>
          <w:szCs w:val="24"/>
        </w:rPr>
      </w:pPr>
      <w:r w:rsidRPr="003B0672">
        <w:rPr>
          <w:rFonts w:ascii="Cambria" w:hAnsi="Cambria"/>
          <w:szCs w:val="24"/>
        </w:rPr>
        <w:lastRenderedPageBreak/>
        <w:t>El resultado práctico, según se documenta en la exposición de motivos, es que a escasos días o semanas de concluir el período pueden posesionarse nuevos congresistas que no alcanzan a desarrollar una actividad legislativa, deliberativa o de control político efectiva, pero sí adquieren la condición derivada de la investidura y reciben la asignación correspondiente al tiempo de ejercicio.</w:t>
      </w:r>
    </w:p>
    <w:p w14:paraId="16EB41F2" w14:textId="77777777" w:rsidR="005E7585" w:rsidRPr="003B0672" w:rsidRDefault="005E7585" w:rsidP="003B0672">
      <w:pPr>
        <w:contextualSpacing/>
        <w:jc w:val="both"/>
        <w:rPr>
          <w:rFonts w:ascii="Cambria" w:hAnsi="Cambria"/>
          <w:szCs w:val="24"/>
        </w:rPr>
      </w:pPr>
    </w:p>
    <w:p w14:paraId="4A23E4C0" w14:textId="77777777" w:rsidR="007723DC" w:rsidRPr="003B0672" w:rsidRDefault="00000000" w:rsidP="003B0672">
      <w:pPr>
        <w:contextualSpacing/>
        <w:jc w:val="both"/>
        <w:rPr>
          <w:rFonts w:ascii="Cambria" w:hAnsi="Cambria"/>
          <w:szCs w:val="24"/>
        </w:rPr>
      </w:pPr>
      <w:r w:rsidRPr="003B0672">
        <w:rPr>
          <w:rFonts w:ascii="Cambria" w:hAnsi="Cambria"/>
          <w:szCs w:val="24"/>
        </w:rPr>
        <w:t>La situación descrita adquiere especial relevancia si se tiene en cuenta que la representación política no se agota en la sola posesión formal del cargo. La investidura de congresista está ligada al desarrollo material de funciones constitucionales: participar en la formación de las leyes, deliberar y votar los asuntos sometidos a consideración de las cámaras, ejercer control político y representar los intereses de los ciudadanos. Cuando la vinculación se produce en un momento en el que el calendario legislativo está prácticamente agotado, la posibilidad real de desarrollar esas funciones se reduce sustancialmente.</w:t>
      </w:r>
    </w:p>
    <w:p w14:paraId="6E790408" w14:textId="77777777" w:rsidR="005E7585" w:rsidRPr="003B0672" w:rsidRDefault="005E7585" w:rsidP="003B0672">
      <w:pPr>
        <w:contextualSpacing/>
        <w:jc w:val="both"/>
        <w:rPr>
          <w:rFonts w:ascii="Cambria" w:hAnsi="Cambria"/>
          <w:szCs w:val="24"/>
        </w:rPr>
      </w:pPr>
    </w:p>
    <w:p w14:paraId="5E0B674D" w14:textId="77777777" w:rsidR="007723DC" w:rsidRPr="003B0672" w:rsidRDefault="00000000" w:rsidP="003B0672">
      <w:pPr>
        <w:contextualSpacing/>
        <w:jc w:val="both"/>
        <w:rPr>
          <w:rFonts w:ascii="Cambria" w:hAnsi="Cambria"/>
          <w:szCs w:val="24"/>
        </w:rPr>
      </w:pPr>
      <w:r w:rsidRPr="003B0672">
        <w:rPr>
          <w:rFonts w:ascii="Cambria" w:hAnsi="Cambria"/>
          <w:szCs w:val="24"/>
        </w:rPr>
        <w:t>La exposición de motivos advierte, además, que el fenómeno no corresponde a una hipótesis meramente eventual. En el cierre del período 2022-2026 se presentaron múltiples renuncias en las semanas previas a la instalación del nuevo Congreso. En varios de esos casos los reemplazos se posesionaron cuando ya no existía una agenda ordinaria de sesiones que permitiera un ejercicio sustantivo de las atribuciones constitucionales. De allí que la iniciativa pretenda evitar que una regla diseñada para garantizar continuidad en la representación termine produciendo, en la fase final del período, un resultado contrario a su finalidad.</w:t>
      </w:r>
    </w:p>
    <w:p w14:paraId="7686CEBC" w14:textId="77777777" w:rsidR="0084666D" w:rsidRPr="003B0672" w:rsidRDefault="0084666D" w:rsidP="003B0672">
      <w:pPr>
        <w:contextualSpacing/>
        <w:jc w:val="both"/>
        <w:rPr>
          <w:rFonts w:ascii="Cambria" w:hAnsi="Cambria"/>
          <w:szCs w:val="24"/>
        </w:rPr>
      </w:pPr>
    </w:p>
    <w:p w14:paraId="2CB5F35D" w14:textId="77777777" w:rsidR="002B2230" w:rsidRPr="003B0672" w:rsidRDefault="00000000" w:rsidP="003B0672">
      <w:pPr>
        <w:contextualSpacing/>
        <w:jc w:val="both"/>
        <w:rPr>
          <w:rFonts w:ascii="Cambria" w:hAnsi="Cambria"/>
          <w:szCs w:val="24"/>
        </w:rPr>
      </w:pPr>
      <w:r w:rsidRPr="003B0672">
        <w:rPr>
          <w:rFonts w:ascii="Cambria" w:hAnsi="Cambria"/>
          <w:szCs w:val="24"/>
        </w:rPr>
        <w:t>Como referencia empírica, la exposición de motivos recoge lo sucedido en el cierre del período constitucional 2022-2026. Allí se reporta que, durante las semanas previas al 20 de julio de 2026, se presentó una cadena de renuncias de congresistas de varios partidos. Con base en reportes de prensa de junio y julio de 2026, se documentaron al menos dieciséis (16) renuncias en las semanas finales del período; al 2 de julio de 2026, al menos once (11) reemplazos ya se habían posesionado y otros permanecían pendientes.</w:t>
      </w:r>
    </w:p>
    <w:p w14:paraId="5B46145F" w14:textId="77777777" w:rsidR="0084666D" w:rsidRPr="003B0672" w:rsidRDefault="0084666D" w:rsidP="003B0672">
      <w:pPr>
        <w:contextualSpacing/>
        <w:jc w:val="both"/>
        <w:rPr>
          <w:rFonts w:ascii="Cambria" w:hAnsi="Cambria"/>
          <w:szCs w:val="24"/>
        </w:rPr>
      </w:pPr>
    </w:p>
    <w:p w14:paraId="2A885555" w14:textId="77777777" w:rsidR="002B2230" w:rsidRPr="003B0672" w:rsidRDefault="00000000" w:rsidP="003B0672">
      <w:pPr>
        <w:contextualSpacing/>
        <w:jc w:val="both"/>
        <w:rPr>
          <w:rFonts w:ascii="Cambria" w:hAnsi="Cambria"/>
          <w:szCs w:val="24"/>
        </w:rPr>
      </w:pPr>
      <w:r w:rsidRPr="003B0672">
        <w:rPr>
          <w:rFonts w:ascii="Cambria" w:hAnsi="Cambria"/>
          <w:szCs w:val="24"/>
        </w:rPr>
        <w:t>La exposición de motivos estima que la asignación básica mensual de un congresista ascendía a $51.512.447 y que el valor prorrateado por aproximadamente veinte (20) días equivalía a $34.341.631 por persona. A partir de esa base, calculó un costo aproximado, únicamente por asignación básica, de $377,8 millones para once reemplazos y entre $550 y $585 millones si se incluían entre dieciséis y diecisiete reemplazos. El propio documento advierte que se trata de estimaciones periodísticas y no de cifras oficiales certificadas por el Congreso, y que además no incluyen UTL, aportes patronales u otras prestaciones.</w:t>
      </w:r>
    </w:p>
    <w:p w14:paraId="4B3E6908" w14:textId="77777777" w:rsidR="0084666D" w:rsidRPr="003B0672" w:rsidRDefault="0084666D" w:rsidP="003B0672">
      <w:pPr>
        <w:contextualSpacing/>
        <w:jc w:val="both"/>
        <w:rPr>
          <w:rFonts w:ascii="Cambria" w:hAnsi="Cambria"/>
          <w:szCs w:val="24"/>
        </w:rPr>
      </w:pPr>
    </w:p>
    <w:p w14:paraId="345038DD" w14:textId="77777777" w:rsidR="002B2230" w:rsidRPr="003B0672" w:rsidRDefault="00000000" w:rsidP="003B0672">
      <w:pPr>
        <w:contextualSpacing/>
        <w:jc w:val="both"/>
        <w:rPr>
          <w:rFonts w:ascii="Cambria" w:hAnsi="Cambria"/>
          <w:szCs w:val="24"/>
        </w:rPr>
      </w:pPr>
      <w:r w:rsidRPr="003B0672">
        <w:rPr>
          <w:rFonts w:ascii="Cambria" w:hAnsi="Cambria"/>
          <w:szCs w:val="24"/>
        </w:rPr>
        <w:lastRenderedPageBreak/>
        <w:t>Más allá del componente fiscal, la exposición de motivos resalta un efecto institucional: la percepción ciudadana de que las reglas de reemplazo pueden utilizarse para conferir una investidura de duración meramente residual. La reforma busca, por ello, transmitir una señal de autolimitación institucional del Congreso frente a prácticas que no se corresponden con un ejercicio material de la representación.</w:t>
      </w:r>
    </w:p>
    <w:p w14:paraId="183D1788" w14:textId="77777777" w:rsidR="005E7585" w:rsidRPr="003B0672" w:rsidRDefault="005E7585" w:rsidP="003B0672">
      <w:pPr>
        <w:contextualSpacing/>
        <w:jc w:val="both"/>
        <w:rPr>
          <w:rFonts w:ascii="Cambria" w:hAnsi="Cambria"/>
          <w:szCs w:val="24"/>
        </w:rPr>
      </w:pPr>
    </w:p>
    <w:p w14:paraId="04A251C7" w14:textId="77777777" w:rsidR="007723DC" w:rsidRPr="003B0672" w:rsidRDefault="00000000" w:rsidP="003B0672">
      <w:pPr>
        <w:contextualSpacing/>
        <w:jc w:val="both"/>
        <w:rPr>
          <w:rFonts w:ascii="Cambria" w:hAnsi="Cambria"/>
          <w:szCs w:val="24"/>
        </w:rPr>
      </w:pPr>
      <w:r w:rsidRPr="003B0672">
        <w:rPr>
          <w:rFonts w:ascii="Cambria" w:hAnsi="Cambria"/>
          <w:szCs w:val="24"/>
        </w:rPr>
        <w:t>La dimensión institucional de la reforma resulta especialmente relevante. El Congreso, como órgano de representación democrática, no solo debe asegurar el respeto formal de las reglas de integración de sus cámaras, sino también preservar la legitimidad de su funcionamiento ante la ciudadanía. La posesión de congresistas por lapsos extremadamente breves, sin una posibilidad razonable de intervenir en el proceso legislativo o en el control político, puede alimentar la percepción de que la investidura se convierte en una fuente de beneficios individuales desligada de la función pública que la justifica.</w:t>
      </w:r>
    </w:p>
    <w:p w14:paraId="298A695F" w14:textId="77777777" w:rsidR="005E7585" w:rsidRPr="003B0672" w:rsidRDefault="005E7585" w:rsidP="003B0672">
      <w:pPr>
        <w:contextualSpacing/>
        <w:jc w:val="both"/>
        <w:rPr>
          <w:rFonts w:ascii="Cambria" w:hAnsi="Cambria"/>
          <w:szCs w:val="24"/>
        </w:rPr>
      </w:pPr>
    </w:p>
    <w:p w14:paraId="6227EA73" w14:textId="77777777" w:rsidR="007723DC" w:rsidRPr="003B0672" w:rsidRDefault="00000000" w:rsidP="003B0672">
      <w:pPr>
        <w:contextualSpacing/>
        <w:jc w:val="both"/>
        <w:rPr>
          <w:rFonts w:ascii="Cambria" w:hAnsi="Cambria"/>
          <w:szCs w:val="24"/>
        </w:rPr>
      </w:pPr>
      <w:r w:rsidRPr="003B0672">
        <w:rPr>
          <w:rFonts w:ascii="Cambria" w:hAnsi="Cambria"/>
          <w:szCs w:val="24"/>
        </w:rPr>
        <w:t>Por esta razón, la reforma tiene también un contenido de autorregulación. El Congreso limita la aplicación de una regla que beneficia a sus propios integrantes cuando advierte que, en un escenario temporal muy específico, esa regla deja de cumplir una finalidad pública suficiente. Esta decisión es coherente con la necesidad de fortalecer la confianza en las instituciones y con el deber de administrar los recursos públicos de manera racional y vinculada a la prestación efectiva de las funciones constitucionales.</w:t>
      </w:r>
    </w:p>
    <w:p w14:paraId="305A2F98" w14:textId="77777777" w:rsidR="0084666D" w:rsidRPr="003B0672" w:rsidRDefault="0084666D" w:rsidP="003B0672">
      <w:pPr>
        <w:spacing w:before="160"/>
        <w:contextualSpacing/>
        <w:jc w:val="both"/>
        <w:rPr>
          <w:rFonts w:ascii="Cambria" w:hAnsi="Cambria"/>
          <w:b/>
          <w:szCs w:val="24"/>
        </w:rPr>
      </w:pPr>
    </w:p>
    <w:p w14:paraId="0EE0B0B0" w14:textId="77777777" w:rsidR="002B2230" w:rsidRPr="003B0672" w:rsidRDefault="00000000" w:rsidP="003B0672">
      <w:pPr>
        <w:spacing w:before="160"/>
        <w:contextualSpacing/>
        <w:jc w:val="both"/>
        <w:rPr>
          <w:rFonts w:ascii="Cambria" w:hAnsi="Cambria"/>
          <w:szCs w:val="24"/>
        </w:rPr>
      </w:pPr>
      <w:r w:rsidRPr="003B0672">
        <w:rPr>
          <w:rFonts w:ascii="Cambria" w:hAnsi="Cambria"/>
          <w:b/>
          <w:szCs w:val="24"/>
        </w:rPr>
        <w:t>5. MARCO CONSTITUCIONAL Y LEGAL VIGENTE</w:t>
      </w:r>
    </w:p>
    <w:p w14:paraId="5CE71AF0" w14:textId="77777777" w:rsidR="0084666D" w:rsidRPr="003B0672" w:rsidRDefault="0084666D" w:rsidP="003B0672">
      <w:pPr>
        <w:contextualSpacing/>
        <w:jc w:val="both"/>
        <w:rPr>
          <w:rFonts w:ascii="Cambria" w:hAnsi="Cambria"/>
          <w:szCs w:val="24"/>
        </w:rPr>
      </w:pPr>
    </w:p>
    <w:p w14:paraId="29016293" w14:textId="77777777" w:rsidR="002B2230" w:rsidRPr="003B0672" w:rsidRDefault="00000000" w:rsidP="003B0672">
      <w:pPr>
        <w:contextualSpacing/>
        <w:jc w:val="both"/>
        <w:rPr>
          <w:rFonts w:ascii="Cambria" w:hAnsi="Cambria"/>
          <w:szCs w:val="24"/>
        </w:rPr>
      </w:pPr>
      <w:r w:rsidRPr="003B0672">
        <w:rPr>
          <w:rFonts w:ascii="Cambria" w:hAnsi="Cambria"/>
          <w:szCs w:val="24"/>
        </w:rPr>
        <w:t>El artículo 134 de la Constitución Política, modificado por el Acto Legislativo 01 de 2009 y posteriormente por el Acto Legislativo 02 de 2015, regula el régimen general de reemplazos de los miembros de corporaciones públicas de elección popular por faltas absolutas o temporales, con las excepciones constitucionalmente previstas para determinadas condenas, vinculaciones penales y otras hipótesis en las que la curul no puede ser reemplazada.</w:t>
      </w:r>
    </w:p>
    <w:p w14:paraId="352F5EC5" w14:textId="77777777" w:rsidR="0084666D" w:rsidRPr="003B0672" w:rsidRDefault="0084666D" w:rsidP="003B0672">
      <w:pPr>
        <w:contextualSpacing/>
        <w:jc w:val="both"/>
        <w:rPr>
          <w:rFonts w:ascii="Cambria" w:hAnsi="Cambria"/>
          <w:szCs w:val="24"/>
        </w:rPr>
      </w:pPr>
    </w:p>
    <w:p w14:paraId="75537C56" w14:textId="77777777" w:rsidR="002B2230" w:rsidRPr="003B0672" w:rsidRDefault="00000000" w:rsidP="003B0672">
      <w:pPr>
        <w:contextualSpacing/>
        <w:jc w:val="both"/>
        <w:rPr>
          <w:rFonts w:ascii="Cambria" w:hAnsi="Cambria"/>
          <w:szCs w:val="24"/>
        </w:rPr>
      </w:pPr>
      <w:r w:rsidRPr="003B0672">
        <w:rPr>
          <w:rFonts w:ascii="Cambria" w:hAnsi="Cambria"/>
          <w:szCs w:val="24"/>
        </w:rPr>
        <w:t>Actualmente la Constitución no establece una limitación temporal específica para el llamamiento de un reemplazo cuando la falta absoluta de un congresista ocurre en los últimos días del período. Por ello, incluso una vacancia ocurrida en la fase final del cuatrienio activa, en principio, el procedimiento ordinario de llamamiento.</w:t>
      </w:r>
    </w:p>
    <w:p w14:paraId="1ED5E81B" w14:textId="77777777" w:rsidR="0084666D" w:rsidRPr="003B0672" w:rsidRDefault="0084666D" w:rsidP="003B0672">
      <w:pPr>
        <w:contextualSpacing/>
        <w:jc w:val="both"/>
        <w:rPr>
          <w:rFonts w:ascii="Cambria" w:hAnsi="Cambria"/>
          <w:szCs w:val="24"/>
        </w:rPr>
      </w:pPr>
    </w:p>
    <w:p w14:paraId="0F3606D7" w14:textId="77777777" w:rsidR="002B2230" w:rsidRPr="003B0672" w:rsidRDefault="00000000" w:rsidP="003B0672">
      <w:pPr>
        <w:contextualSpacing/>
        <w:jc w:val="both"/>
        <w:rPr>
          <w:rFonts w:ascii="Cambria" w:hAnsi="Cambria"/>
          <w:szCs w:val="24"/>
        </w:rPr>
      </w:pPr>
      <w:r w:rsidRPr="003B0672">
        <w:rPr>
          <w:rFonts w:ascii="Cambria" w:hAnsi="Cambria"/>
          <w:szCs w:val="24"/>
        </w:rPr>
        <w:t xml:space="preserve">A nivel legal, el artículo 274 de la Ley 5ª de 1992 define las faltas absolutas y el artículo 278 regula el llamamiento del siguiente candidato de la lista. Ninguna de estas </w:t>
      </w:r>
      <w:r w:rsidRPr="003B0672">
        <w:rPr>
          <w:rFonts w:ascii="Cambria" w:hAnsi="Cambria"/>
          <w:szCs w:val="24"/>
        </w:rPr>
        <w:lastRenderedPageBreak/>
        <w:t>disposiciones contempla una excepción basada en la cercanía de la terminación del período constitucional.</w:t>
      </w:r>
    </w:p>
    <w:p w14:paraId="26B10DF8" w14:textId="77777777" w:rsidR="0084666D" w:rsidRPr="003B0672" w:rsidRDefault="0084666D" w:rsidP="003B0672">
      <w:pPr>
        <w:contextualSpacing/>
        <w:jc w:val="both"/>
        <w:rPr>
          <w:rFonts w:ascii="Cambria" w:hAnsi="Cambria"/>
          <w:szCs w:val="24"/>
        </w:rPr>
      </w:pPr>
    </w:p>
    <w:p w14:paraId="7171AED8" w14:textId="77777777" w:rsidR="002B2230" w:rsidRPr="003B0672" w:rsidRDefault="00000000" w:rsidP="003B0672">
      <w:pPr>
        <w:contextualSpacing/>
        <w:jc w:val="both"/>
        <w:rPr>
          <w:rFonts w:ascii="Cambria" w:hAnsi="Cambria"/>
          <w:szCs w:val="24"/>
        </w:rPr>
      </w:pPr>
      <w:r w:rsidRPr="003B0672">
        <w:rPr>
          <w:rFonts w:ascii="Cambria" w:hAnsi="Cambria"/>
          <w:szCs w:val="24"/>
        </w:rPr>
        <w:t>La iniciativa no elimina la regla general de reemplazo. Introduce únicamente una excepción objetiva y temporal para los últimos treinta (30) días calendario del período congresional, preservando la regulación vigente durante la inmensa mayoría del cuatrienio.</w:t>
      </w:r>
    </w:p>
    <w:p w14:paraId="1A58E08C" w14:textId="77777777" w:rsidR="005E7585" w:rsidRPr="003B0672" w:rsidRDefault="005E7585" w:rsidP="003B0672">
      <w:pPr>
        <w:contextualSpacing/>
        <w:jc w:val="both"/>
        <w:rPr>
          <w:rFonts w:ascii="Cambria" w:hAnsi="Cambria"/>
          <w:szCs w:val="24"/>
        </w:rPr>
      </w:pPr>
    </w:p>
    <w:p w14:paraId="314D86D0" w14:textId="77777777" w:rsidR="007723DC" w:rsidRPr="003B0672" w:rsidRDefault="00000000" w:rsidP="003B0672">
      <w:pPr>
        <w:contextualSpacing/>
        <w:jc w:val="both"/>
        <w:rPr>
          <w:rFonts w:ascii="Cambria" w:hAnsi="Cambria"/>
          <w:szCs w:val="24"/>
        </w:rPr>
      </w:pPr>
      <w:r w:rsidRPr="003B0672">
        <w:rPr>
          <w:rFonts w:ascii="Cambria" w:hAnsi="Cambria"/>
          <w:szCs w:val="24"/>
        </w:rPr>
        <w:t>En este sentido, la propuesta no desconoce el diseño constitucional de las listas electorales ni el derecho político de quienes integran dichas listas a ser llamados cuando se configure una vacante en los eventos previstos por la Constitución. La regla general continúa incólume durante el desarrollo del período constitucional y únicamente cede durante el último tramo del cuatrienio, cuando la cercanía de su finalización reduce de manera considerable la utilidad institucional del reemplazo.</w:t>
      </w:r>
    </w:p>
    <w:p w14:paraId="64827D34" w14:textId="77777777" w:rsidR="005E7585" w:rsidRPr="003B0672" w:rsidRDefault="005E7585" w:rsidP="003B0672">
      <w:pPr>
        <w:contextualSpacing/>
        <w:jc w:val="both"/>
        <w:rPr>
          <w:rFonts w:ascii="Cambria" w:hAnsi="Cambria"/>
          <w:szCs w:val="24"/>
        </w:rPr>
      </w:pPr>
    </w:p>
    <w:p w14:paraId="0639943C" w14:textId="77777777" w:rsidR="007723DC" w:rsidRPr="003B0672" w:rsidRDefault="00000000" w:rsidP="003B0672">
      <w:pPr>
        <w:contextualSpacing/>
        <w:jc w:val="both"/>
        <w:rPr>
          <w:rFonts w:ascii="Cambria" w:hAnsi="Cambria"/>
          <w:szCs w:val="24"/>
        </w:rPr>
      </w:pPr>
      <w:r w:rsidRPr="003B0672">
        <w:rPr>
          <w:rFonts w:ascii="Cambria" w:hAnsi="Cambria"/>
          <w:szCs w:val="24"/>
        </w:rPr>
        <w:t>El artículo 134 de la Constitución ya contempla eventos en los que una curul no puede ser reemplazada. También dispone que, para efectos de la conformación del quórum, se excluyan aquellas curules que no puedan ser provistas. Esto demuestra que la permanencia temporal de una vacante no es una figura extraña al diseño constitucional y que el sistema cuenta con herramientas para garantizar el funcionamiento de las corporaciones aun cuando determinadas curules permanezcan sin titular.</w:t>
      </w:r>
    </w:p>
    <w:p w14:paraId="69F87DE3" w14:textId="77777777" w:rsidR="0084666D" w:rsidRPr="003B0672" w:rsidRDefault="0084666D" w:rsidP="003B0672">
      <w:pPr>
        <w:spacing w:before="160"/>
        <w:contextualSpacing/>
        <w:jc w:val="both"/>
        <w:rPr>
          <w:rFonts w:ascii="Cambria" w:hAnsi="Cambria"/>
          <w:b/>
          <w:szCs w:val="24"/>
        </w:rPr>
      </w:pPr>
    </w:p>
    <w:p w14:paraId="7D02613A" w14:textId="77777777" w:rsidR="002B2230" w:rsidRPr="003B0672" w:rsidRDefault="00000000" w:rsidP="003B0672">
      <w:pPr>
        <w:spacing w:before="160"/>
        <w:contextualSpacing/>
        <w:jc w:val="both"/>
        <w:rPr>
          <w:rFonts w:ascii="Cambria" w:hAnsi="Cambria"/>
          <w:szCs w:val="24"/>
        </w:rPr>
      </w:pPr>
      <w:r w:rsidRPr="003B0672">
        <w:rPr>
          <w:rFonts w:ascii="Cambria" w:hAnsi="Cambria"/>
          <w:b/>
          <w:szCs w:val="24"/>
        </w:rPr>
        <w:t>6. FUNDAMENTOS CONSTITUCIONALES DE LA REFORMA</w:t>
      </w:r>
    </w:p>
    <w:p w14:paraId="5F58E042" w14:textId="77777777" w:rsidR="0084666D" w:rsidRPr="003B0672" w:rsidRDefault="0084666D" w:rsidP="003B0672">
      <w:pPr>
        <w:contextualSpacing/>
        <w:jc w:val="both"/>
        <w:rPr>
          <w:rFonts w:ascii="Cambria" w:hAnsi="Cambria"/>
          <w:szCs w:val="24"/>
        </w:rPr>
      </w:pPr>
    </w:p>
    <w:p w14:paraId="6FA03D48" w14:textId="77777777" w:rsidR="002B2230" w:rsidRPr="003B0672" w:rsidRDefault="00000000" w:rsidP="003B0672">
      <w:pPr>
        <w:contextualSpacing/>
        <w:jc w:val="both"/>
        <w:rPr>
          <w:rFonts w:ascii="Cambria" w:hAnsi="Cambria"/>
          <w:szCs w:val="24"/>
        </w:rPr>
      </w:pPr>
      <w:r w:rsidRPr="003B0672">
        <w:rPr>
          <w:rFonts w:ascii="Cambria" w:hAnsi="Cambria"/>
          <w:szCs w:val="24"/>
        </w:rPr>
        <w:t>La reforma encuentra fundamento en la naturaleza institucional de los períodos de los cargos de elección popular y en la necesidad de preservar la correspondencia entre representación y ejercicio efectivo de las funciones públicas. Una curul no constituye un beneficio individual; es el instrumento mediante el cual se materializa una representación política conferida por los electores.</w:t>
      </w:r>
    </w:p>
    <w:p w14:paraId="715BF647" w14:textId="77777777" w:rsidR="0084666D" w:rsidRPr="003B0672" w:rsidRDefault="0084666D" w:rsidP="003B0672">
      <w:pPr>
        <w:contextualSpacing/>
        <w:jc w:val="both"/>
        <w:rPr>
          <w:rFonts w:ascii="Cambria" w:hAnsi="Cambria"/>
          <w:szCs w:val="24"/>
        </w:rPr>
      </w:pPr>
    </w:p>
    <w:p w14:paraId="7003FD32" w14:textId="77777777" w:rsidR="002B2230" w:rsidRPr="003B0672" w:rsidRDefault="00000000" w:rsidP="003B0672">
      <w:pPr>
        <w:contextualSpacing/>
        <w:jc w:val="both"/>
        <w:rPr>
          <w:rFonts w:ascii="Cambria" w:hAnsi="Cambria"/>
          <w:szCs w:val="24"/>
        </w:rPr>
      </w:pPr>
      <w:r w:rsidRPr="003B0672">
        <w:rPr>
          <w:rFonts w:ascii="Cambria" w:hAnsi="Cambria"/>
          <w:szCs w:val="24"/>
        </w:rPr>
        <w:t>En esa medida, el diseño constitucional puede legítimamente prever supuestos en los que la vacante permanezca sin provisión cuando el período restante sea tan breve que el reemplazo pierda utilidad institucional. El propio artículo 134 contiene reglas que admiten curules no reemplazables y ajustan el cómputo del quórum a esa realidad.</w:t>
      </w:r>
    </w:p>
    <w:p w14:paraId="64156DA9" w14:textId="77777777" w:rsidR="0084666D" w:rsidRPr="003B0672" w:rsidRDefault="0084666D" w:rsidP="003B0672">
      <w:pPr>
        <w:contextualSpacing/>
        <w:jc w:val="both"/>
        <w:rPr>
          <w:rFonts w:ascii="Cambria" w:hAnsi="Cambria"/>
          <w:szCs w:val="24"/>
        </w:rPr>
      </w:pPr>
    </w:p>
    <w:p w14:paraId="251CC809" w14:textId="77777777" w:rsidR="002B2230" w:rsidRPr="003B0672" w:rsidRDefault="00000000" w:rsidP="003B0672">
      <w:pPr>
        <w:contextualSpacing/>
        <w:jc w:val="both"/>
        <w:rPr>
          <w:rFonts w:ascii="Cambria" w:hAnsi="Cambria"/>
          <w:szCs w:val="24"/>
        </w:rPr>
      </w:pPr>
      <w:r w:rsidRPr="003B0672">
        <w:rPr>
          <w:rFonts w:ascii="Cambria" w:hAnsi="Cambria"/>
          <w:szCs w:val="24"/>
        </w:rPr>
        <w:t>La exposición de motivos también vincula la reforma con los artículos 2º y 123 de la Constitución, que disponen que las autoridades y los servidores públicos están instituidos para servir a la comunidad. Asimismo, invoca el principio de moralidad previsto en el artículo 209 como criterio orientador del ejercicio de la función pública.</w:t>
      </w:r>
    </w:p>
    <w:p w14:paraId="5C32BA5D" w14:textId="77777777" w:rsidR="0084666D" w:rsidRPr="003B0672" w:rsidRDefault="0084666D" w:rsidP="003B0672">
      <w:pPr>
        <w:contextualSpacing/>
        <w:jc w:val="both"/>
        <w:rPr>
          <w:rFonts w:ascii="Cambria" w:hAnsi="Cambria"/>
          <w:szCs w:val="24"/>
        </w:rPr>
      </w:pPr>
    </w:p>
    <w:p w14:paraId="21246B5C" w14:textId="77777777" w:rsidR="002B2230" w:rsidRPr="003B0672" w:rsidRDefault="00000000" w:rsidP="003B0672">
      <w:pPr>
        <w:contextualSpacing/>
        <w:jc w:val="both"/>
        <w:rPr>
          <w:rFonts w:ascii="Cambria" w:hAnsi="Cambria"/>
          <w:szCs w:val="24"/>
        </w:rPr>
      </w:pPr>
      <w:r w:rsidRPr="003B0672">
        <w:rPr>
          <w:rFonts w:ascii="Cambria" w:hAnsi="Cambria"/>
          <w:szCs w:val="24"/>
        </w:rPr>
        <w:lastRenderedPageBreak/>
        <w:t>Desde esta perspectiva, la regla propuesta busca asegurar que la investidura congresional responda a una finalidad funcional y representativa y no a la sola producción de efectos formales, salariales o prestacionales durante un lapso residual.</w:t>
      </w:r>
    </w:p>
    <w:p w14:paraId="0932E8C7" w14:textId="77777777" w:rsidR="005E7585" w:rsidRPr="003B0672" w:rsidRDefault="005E7585" w:rsidP="003B0672">
      <w:pPr>
        <w:contextualSpacing/>
        <w:jc w:val="both"/>
        <w:rPr>
          <w:rFonts w:ascii="Cambria" w:hAnsi="Cambria"/>
          <w:szCs w:val="24"/>
        </w:rPr>
      </w:pPr>
    </w:p>
    <w:p w14:paraId="0D377FA4" w14:textId="77777777" w:rsidR="007723DC" w:rsidRPr="003B0672" w:rsidRDefault="00000000" w:rsidP="003B0672">
      <w:pPr>
        <w:contextualSpacing/>
        <w:jc w:val="both"/>
        <w:rPr>
          <w:rFonts w:ascii="Cambria" w:hAnsi="Cambria"/>
          <w:szCs w:val="24"/>
        </w:rPr>
      </w:pPr>
      <w:r w:rsidRPr="003B0672">
        <w:rPr>
          <w:rFonts w:ascii="Cambria" w:hAnsi="Cambria"/>
          <w:szCs w:val="24"/>
        </w:rPr>
        <w:t>La exposición de motivos también relaciona esta finalidad con el carácter institucional de los períodos de elección popular. La duración del período no depende de la voluntad individual de quien ocupa temporalmente la curul, sino de una determinación constitucional que fija un marco temporal común para la integración y funcionamiento del Congreso. Por ello, cuando una falta absoluta se produce en la fase terminal del período, el análisis sobre la procedencia del reemplazo puede atender legítimamente al tiempo efectivo que resta para el ejercicio de la función representativa.</w:t>
      </w:r>
    </w:p>
    <w:p w14:paraId="2F10D672" w14:textId="77777777" w:rsidR="005E7585" w:rsidRPr="003B0672" w:rsidRDefault="005E7585" w:rsidP="003B0672">
      <w:pPr>
        <w:contextualSpacing/>
        <w:jc w:val="both"/>
        <w:rPr>
          <w:rFonts w:ascii="Cambria" w:hAnsi="Cambria"/>
          <w:szCs w:val="24"/>
        </w:rPr>
      </w:pPr>
    </w:p>
    <w:p w14:paraId="25287A8A" w14:textId="77777777" w:rsidR="007723DC" w:rsidRPr="003B0672" w:rsidRDefault="00000000" w:rsidP="003B0672">
      <w:pPr>
        <w:contextualSpacing/>
        <w:jc w:val="both"/>
        <w:rPr>
          <w:rFonts w:ascii="Cambria" w:hAnsi="Cambria"/>
          <w:szCs w:val="24"/>
        </w:rPr>
      </w:pPr>
      <w:r w:rsidRPr="003B0672">
        <w:rPr>
          <w:rFonts w:ascii="Cambria" w:hAnsi="Cambria"/>
          <w:szCs w:val="24"/>
        </w:rPr>
        <w:t>En esa misma línea, la referencia a la Sentencia C-080 de 2026 se utiliza para destacar que los períodos de los cargos de elección popular son institucionales y no personales. La iniciativa traslada ese criterio al régimen de reemplazos: si la curul está vinculada a un período institucional, la provisión de una vacante debe conservar una relación razonable con la posibilidad material de ejercer la representación durante dicho período.</w:t>
      </w:r>
    </w:p>
    <w:p w14:paraId="1CF1D04F" w14:textId="77777777" w:rsidR="0084666D" w:rsidRPr="003B0672" w:rsidRDefault="0084666D" w:rsidP="003B0672">
      <w:pPr>
        <w:spacing w:before="160"/>
        <w:contextualSpacing/>
        <w:jc w:val="both"/>
        <w:rPr>
          <w:rFonts w:ascii="Cambria" w:hAnsi="Cambria"/>
          <w:b/>
          <w:szCs w:val="24"/>
        </w:rPr>
      </w:pPr>
    </w:p>
    <w:p w14:paraId="03D127D1" w14:textId="77777777" w:rsidR="002B2230" w:rsidRPr="003B0672" w:rsidRDefault="00000000" w:rsidP="003B0672">
      <w:pPr>
        <w:spacing w:before="160"/>
        <w:contextualSpacing/>
        <w:jc w:val="both"/>
        <w:rPr>
          <w:rFonts w:ascii="Cambria" w:hAnsi="Cambria"/>
          <w:szCs w:val="24"/>
        </w:rPr>
      </w:pPr>
      <w:r w:rsidRPr="003B0672">
        <w:rPr>
          <w:rFonts w:ascii="Cambria" w:hAnsi="Cambria"/>
          <w:b/>
          <w:szCs w:val="24"/>
        </w:rPr>
        <w:t>7. JUSTIFICACIÓN DEL TÉRMINO DE TREINTA (30) DÍAS CALENDARIO</w:t>
      </w:r>
    </w:p>
    <w:p w14:paraId="09F12A7C" w14:textId="77777777" w:rsidR="0084666D" w:rsidRPr="003B0672" w:rsidRDefault="0084666D" w:rsidP="003B0672">
      <w:pPr>
        <w:contextualSpacing/>
        <w:jc w:val="both"/>
        <w:rPr>
          <w:rFonts w:ascii="Cambria" w:hAnsi="Cambria"/>
          <w:szCs w:val="24"/>
        </w:rPr>
      </w:pPr>
    </w:p>
    <w:p w14:paraId="03F79B4F" w14:textId="77777777" w:rsidR="002B2230" w:rsidRPr="003B0672" w:rsidRDefault="00000000" w:rsidP="003B0672">
      <w:pPr>
        <w:contextualSpacing/>
        <w:jc w:val="both"/>
        <w:rPr>
          <w:rFonts w:ascii="Cambria" w:hAnsi="Cambria"/>
          <w:szCs w:val="24"/>
        </w:rPr>
      </w:pPr>
      <w:r w:rsidRPr="003B0672">
        <w:rPr>
          <w:rFonts w:ascii="Cambria" w:hAnsi="Cambria"/>
          <w:szCs w:val="24"/>
        </w:rPr>
        <w:t>El texto publicado en la Gaceta del Congreso No. 1331 de 2026 utiliza un término de treinta (30) días calendario. La exposición de motivos justifica esa duración por tres razones principales.</w:t>
      </w:r>
    </w:p>
    <w:p w14:paraId="4D0DEB62" w14:textId="77777777" w:rsidR="0084666D" w:rsidRPr="003B0672" w:rsidRDefault="0084666D" w:rsidP="003B0672">
      <w:pPr>
        <w:contextualSpacing/>
        <w:jc w:val="both"/>
        <w:rPr>
          <w:rFonts w:ascii="Cambria" w:hAnsi="Cambria"/>
          <w:szCs w:val="24"/>
        </w:rPr>
      </w:pPr>
    </w:p>
    <w:p w14:paraId="2A0BE598" w14:textId="77777777" w:rsidR="002B2230" w:rsidRPr="003B0672" w:rsidRDefault="00000000" w:rsidP="003B0672">
      <w:pPr>
        <w:contextualSpacing/>
        <w:jc w:val="both"/>
        <w:rPr>
          <w:rFonts w:ascii="Cambria" w:hAnsi="Cambria"/>
          <w:szCs w:val="24"/>
        </w:rPr>
      </w:pPr>
      <w:r w:rsidRPr="003B0672">
        <w:rPr>
          <w:rFonts w:ascii="Cambria" w:hAnsi="Cambria"/>
          <w:szCs w:val="24"/>
        </w:rPr>
        <w:t>Primera, porque se ajusta al fenómeno identificado: las renuncias que han dado origen a las llamadas “curules relámpago” se presentan, según los antecedentes recogidos, en las últimas semanas del período. Un término de treinta días cubre la fase final del cuatrienio sin extender la restricción a un período excesivo.</w:t>
      </w:r>
    </w:p>
    <w:p w14:paraId="2573CDA4" w14:textId="77777777" w:rsidR="0084666D" w:rsidRPr="003B0672" w:rsidRDefault="0084666D" w:rsidP="003B0672">
      <w:pPr>
        <w:contextualSpacing/>
        <w:jc w:val="both"/>
        <w:rPr>
          <w:rFonts w:ascii="Cambria" w:hAnsi="Cambria"/>
          <w:szCs w:val="24"/>
        </w:rPr>
      </w:pPr>
    </w:p>
    <w:p w14:paraId="66A4C2C0" w14:textId="77777777" w:rsidR="002B2230" w:rsidRPr="003B0672" w:rsidRDefault="00000000" w:rsidP="003B0672">
      <w:pPr>
        <w:contextualSpacing/>
        <w:jc w:val="both"/>
        <w:rPr>
          <w:rFonts w:ascii="Cambria" w:hAnsi="Cambria"/>
          <w:szCs w:val="24"/>
        </w:rPr>
      </w:pPr>
      <w:r w:rsidRPr="003B0672">
        <w:rPr>
          <w:rFonts w:ascii="Cambria" w:hAnsi="Cambria"/>
          <w:szCs w:val="24"/>
        </w:rPr>
        <w:t>Segunda, porque el empleo de días calendario facilita un cómputo cierto y objetivo. Al vincular la regla a una fecha constitucional conocida —la terminación del período—, la Mesa Directiva puede determinar de manera sencilla si la falta absoluta se produjo dentro o fuera del supuesto excepcional.</w:t>
      </w:r>
    </w:p>
    <w:p w14:paraId="59D0261A" w14:textId="77777777" w:rsidR="0084666D" w:rsidRPr="003B0672" w:rsidRDefault="0084666D" w:rsidP="003B0672">
      <w:pPr>
        <w:contextualSpacing/>
        <w:jc w:val="both"/>
        <w:rPr>
          <w:rFonts w:ascii="Cambria" w:hAnsi="Cambria"/>
          <w:szCs w:val="24"/>
        </w:rPr>
      </w:pPr>
    </w:p>
    <w:p w14:paraId="215291EF" w14:textId="77777777" w:rsidR="002B2230" w:rsidRPr="003B0672" w:rsidRDefault="00000000" w:rsidP="003B0672">
      <w:pPr>
        <w:contextualSpacing/>
        <w:jc w:val="both"/>
        <w:rPr>
          <w:rFonts w:ascii="Cambria" w:hAnsi="Cambria"/>
          <w:szCs w:val="24"/>
        </w:rPr>
      </w:pPr>
      <w:r w:rsidRPr="003B0672">
        <w:rPr>
          <w:rFonts w:ascii="Cambria" w:hAnsi="Cambria"/>
          <w:szCs w:val="24"/>
        </w:rPr>
        <w:t>Tercera, porque el término resulta reducido frente a la duración total del cuatrienio. La limitación no altera el funcionamiento ordinario del sistema de reemplazos y opera únicamente durante una fracción mínima del período constitucional, lo que fortalece su proporcionalidad.</w:t>
      </w:r>
    </w:p>
    <w:p w14:paraId="737B2A37" w14:textId="77777777" w:rsidR="005E7585" w:rsidRPr="003B0672" w:rsidRDefault="005E7585" w:rsidP="003B0672">
      <w:pPr>
        <w:contextualSpacing/>
        <w:jc w:val="both"/>
        <w:rPr>
          <w:rFonts w:ascii="Cambria" w:hAnsi="Cambria"/>
          <w:szCs w:val="24"/>
        </w:rPr>
      </w:pPr>
    </w:p>
    <w:p w14:paraId="77B5332C" w14:textId="77777777" w:rsidR="007723DC" w:rsidRPr="003B0672" w:rsidRDefault="00000000" w:rsidP="003B0672">
      <w:pPr>
        <w:contextualSpacing/>
        <w:jc w:val="both"/>
        <w:rPr>
          <w:rFonts w:ascii="Cambria" w:hAnsi="Cambria"/>
          <w:szCs w:val="24"/>
        </w:rPr>
      </w:pPr>
      <w:r w:rsidRPr="003B0672">
        <w:rPr>
          <w:rFonts w:ascii="Cambria" w:hAnsi="Cambria"/>
          <w:szCs w:val="24"/>
        </w:rPr>
        <w:lastRenderedPageBreak/>
        <w:t xml:space="preserve">La selección de treinta (30) días calendario busca, por tanto, equilibrar dos intereses constitucionales. De una parte, se preserva el principio de representación, pues durante prácticamente todo el cuatrienio continúa aplicándose el mecanismo ordinario de llamamiento. De otra, se evita que en la última fracción del período se produzcan posesiones cuya duración sea tan reducida que no exista correspondencia entre los efectos jurídicos y económicos de la investidura y el ejercicio efectivo de las funciones </w:t>
      </w:r>
      <w:proofErr w:type="spellStart"/>
      <w:r w:rsidRPr="003B0672">
        <w:rPr>
          <w:rFonts w:ascii="Cambria" w:hAnsi="Cambria"/>
          <w:szCs w:val="24"/>
        </w:rPr>
        <w:t>congresionales</w:t>
      </w:r>
      <w:proofErr w:type="spellEnd"/>
      <w:r w:rsidRPr="003B0672">
        <w:rPr>
          <w:rFonts w:ascii="Cambria" w:hAnsi="Cambria"/>
          <w:szCs w:val="24"/>
        </w:rPr>
        <w:t>.</w:t>
      </w:r>
    </w:p>
    <w:p w14:paraId="05611335" w14:textId="77777777" w:rsidR="005E7585" w:rsidRPr="003B0672" w:rsidRDefault="005E7585" w:rsidP="003B0672">
      <w:pPr>
        <w:contextualSpacing/>
        <w:jc w:val="both"/>
        <w:rPr>
          <w:rFonts w:ascii="Cambria" w:hAnsi="Cambria"/>
          <w:szCs w:val="24"/>
        </w:rPr>
      </w:pPr>
    </w:p>
    <w:p w14:paraId="7D790568" w14:textId="77777777" w:rsidR="007723DC" w:rsidRPr="003B0672" w:rsidRDefault="00000000" w:rsidP="003B0672">
      <w:pPr>
        <w:contextualSpacing/>
        <w:jc w:val="both"/>
        <w:rPr>
          <w:rFonts w:ascii="Cambria" w:hAnsi="Cambria"/>
          <w:szCs w:val="24"/>
        </w:rPr>
      </w:pPr>
      <w:r w:rsidRPr="003B0672">
        <w:rPr>
          <w:rFonts w:ascii="Cambria" w:hAnsi="Cambria"/>
          <w:szCs w:val="24"/>
        </w:rPr>
        <w:t>La utilización de días calendario aporta también seguridad jurídica. Al tratarse de un término contado hacia atrás desde una fecha constitucional cierta, permite determinar de manera objetiva y uniforme cuándo se activa la prohibición de reemplazo. Ello reduce márgenes de discusión sobre el cómputo del plazo y facilita su aplicación por las mesas directivas y las autoridades electorales.</w:t>
      </w:r>
    </w:p>
    <w:p w14:paraId="26D172AD" w14:textId="77777777" w:rsidR="0084666D" w:rsidRPr="003B0672" w:rsidRDefault="0084666D" w:rsidP="003B0672">
      <w:pPr>
        <w:contextualSpacing/>
        <w:jc w:val="both"/>
        <w:rPr>
          <w:rFonts w:ascii="Cambria" w:hAnsi="Cambria"/>
          <w:szCs w:val="24"/>
        </w:rPr>
      </w:pPr>
    </w:p>
    <w:p w14:paraId="4C290F1E" w14:textId="77777777" w:rsidR="002B2230" w:rsidRPr="003B0672" w:rsidRDefault="00000000" w:rsidP="003B0672">
      <w:pPr>
        <w:spacing w:before="160"/>
        <w:contextualSpacing/>
        <w:jc w:val="both"/>
        <w:rPr>
          <w:rFonts w:ascii="Cambria" w:hAnsi="Cambria"/>
          <w:szCs w:val="24"/>
        </w:rPr>
      </w:pPr>
      <w:r w:rsidRPr="003B0672">
        <w:rPr>
          <w:rFonts w:ascii="Cambria" w:hAnsi="Cambria"/>
          <w:b/>
          <w:szCs w:val="24"/>
        </w:rPr>
        <w:t>8. JUSTIFICACIÓN DE LA REFORMA</w:t>
      </w:r>
    </w:p>
    <w:p w14:paraId="5E35DB8C" w14:textId="77777777" w:rsidR="0084666D" w:rsidRPr="003B0672" w:rsidRDefault="0084666D" w:rsidP="003B0672">
      <w:pPr>
        <w:contextualSpacing/>
        <w:jc w:val="both"/>
        <w:rPr>
          <w:rFonts w:ascii="Cambria" w:hAnsi="Cambria"/>
          <w:szCs w:val="24"/>
        </w:rPr>
      </w:pPr>
    </w:p>
    <w:p w14:paraId="5334680B" w14:textId="77777777" w:rsidR="002B2230" w:rsidRPr="003B0672" w:rsidRDefault="00000000" w:rsidP="003B0672">
      <w:pPr>
        <w:contextualSpacing/>
        <w:jc w:val="both"/>
        <w:rPr>
          <w:rFonts w:ascii="Cambria" w:hAnsi="Cambria"/>
          <w:szCs w:val="24"/>
        </w:rPr>
      </w:pPr>
      <w:r w:rsidRPr="003B0672">
        <w:rPr>
          <w:rFonts w:ascii="Cambria" w:hAnsi="Cambria"/>
          <w:szCs w:val="24"/>
        </w:rPr>
        <w:t>La reforma se sustenta en tres órdenes principales de razones:</w:t>
      </w:r>
    </w:p>
    <w:p w14:paraId="1C885433" w14:textId="77777777" w:rsidR="0084666D" w:rsidRPr="003B0672" w:rsidRDefault="0084666D" w:rsidP="003B0672">
      <w:pPr>
        <w:contextualSpacing/>
        <w:jc w:val="both"/>
        <w:rPr>
          <w:rFonts w:ascii="Cambria" w:hAnsi="Cambria"/>
          <w:szCs w:val="24"/>
        </w:rPr>
      </w:pPr>
    </w:p>
    <w:p w14:paraId="3512F914" w14:textId="77777777" w:rsidR="002B2230" w:rsidRPr="003B0672" w:rsidRDefault="00000000" w:rsidP="003B0672">
      <w:pPr>
        <w:contextualSpacing/>
        <w:jc w:val="both"/>
        <w:rPr>
          <w:rFonts w:ascii="Cambria" w:hAnsi="Cambria"/>
          <w:szCs w:val="24"/>
        </w:rPr>
      </w:pPr>
      <w:r w:rsidRPr="003B0672">
        <w:rPr>
          <w:rFonts w:ascii="Cambria" w:hAnsi="Cambria"/>
          <w:szCs w:val="24"/>
        </w:rPr>
        <w:t>a) Uso racional del erario público. La posesión de un nuevo congresista genera efectos salariales, prestacionales, administrativos y logísticos, aun cuando el ejercicio real del cargo se limite a pocos días. Cuando no existe una actividad congresional materialmente posible, esos costos pueden resultar desproporcionados frente a la utilidad pública del reemplazo.</w:t>
      </w:r>
    </w:p>
    <w:p w14:paraId="33EA31DC" w14:textId="77777777" w:rsidR="0084666D" w:rsidRPr="003B0672" w:rsidRDefault="0084666D" w:rsidP="003B0672">
      <w:pPr>
        <w:contextualSpacing/>
        <w:jc w:val="both"/>
        <w:rPr>
          <w:rFonts w:ascii="Cambria" w:hAnsi="Cambria"/>
          <w:szCs w:val="24"/>
        </w:rPr>
      </w:pPr>
    </w:p>
    <w:p w14:paraId="3A87843D" w14:textId="77777777" w:rsidR="002B2230" w:rsidRPr="003B0672" w:rsidRDefault="00000000" w:rsidP="003B0672">
      <w:pPr>
        <w:contextualSpacing/>
        <w:jc w:val="both"/>
        <w:rPr>
          <w:rFonts w:ascii="Cambria" w:hAnsi="Cambria"/>
          <w:szCs w:val="24"/>
        </w:rPr>
      </w:pPr>
      <w:r w:rsidRPr="003B0672">
        <w:rPr>
          <w:rFonts w:ascii="Cambria" w:hAnsi="Cambria"/>
          <w:szCs w:val="24"/>
        </w:rPr>
        <w:t>b) Coherencia entre representación política y ejercicio efectivo del cargo. La investidura supone el ejercicio de funciones de representación, deliberación, legislación y control político. Si el tiempo restante del período hace materialmente inviable ese ejercicio, la provisión de la curul pierde parte sustancial de su justificación institucional.</w:t>
      </w:r>
    </w:p>
    <w:p w14:paraId="7BE8DE4A" w14:textId="77777777" w:rsidR="0084666D" w:rsidRPr="003B0672" w:rsidRDefault="0084666D" w:rsidP="003B0672">
      <w:pPr>
        <w:contextualSpacing/>
        <w:jc w:val="both"/>
        <w:rPr>
          <w:rFonts w:ascii="Cambria" w:hAnsi="Cambria"/>
          <w:szCs w:val="24"/>
        </w:rPr>
      </w:pPr>
    </w:p>
    <w:p w14:paraId="2FA4BDB0" w14:textId="77777777" w:rsidR="002B2230" w:rsidRPr="003B0672" w:rsidRDefault="00000000" w:rsidP="003B0672">
      <w:pPr>
        <w:contextualSpacing/>
        <w:jc w:val="both"/>
        <w:rPr>
          <w:rFonts w:ascii="Cambria" w:hAnsi="Cambria"/>
          <w:szCs w:val="24"/>
        </w:rPr>
      </w:pPr>
      <w:r w:rsidRPr="003B0672">
        <w:rPr>
          <w:rFonts w:ascii="Cambria" w:hAnsi="Cambria"/>
          <w:szCs w:val="24"/>
        </w:rPr>
        <w:t>c) Corrección de efectos no deseados del régimen de reemplazos. La renuncia de un congresista en la fase final del período no debería generar, como consecuencia automática, una curul de duración simbólica para un tercero. La reforma no restringe el derecho a renunciar ni modifica las causales de falta absoluta; únicamente cambia la consecuencia del llamamiento durante el último tramo del período.</w:t>
      </w:r>
    </w:p>
    <w:p w14:paraId="13E32F3D" w14:textId="77777777" w:rsidR="005E7585" w:rsidRPr="003B0672" w:rsidRDefault="005E7585" w:rsidP="003B0672">
      <w:pPr>
        <w:contextualSpacing/>
        <w:jc w:val="both"/>
        <w:rPr>
          <w:rFonts w:ascii="Cambria" w:hAnsi="Cambria"/>
          <w:szCs w:val="24"/>
        </w:rPr>
      </w:pPr>
    </w:p>
    <w:p w14:paraId="5E0DC5B4" w14:textId="77777777" w:rsidR="007723DC" w:rsidRPr="003B0672" w:rsidRDefault="00000000" w:rsidP="003B0672">
      <w:pPr>
        <w:contextualSpacing/>
        <w:jc w:val="both"/>
        <w:rPr>
          <w:rFonts w:ascii="Cambria" w:hAnsi="Cambria"/>
          <w:szCs w:val="24"/>
        </w:rPr>
      </w:pPr>
      <w:r w:rsidRPr="003B0672">
        <w:rPr>
          <w:rFonts w:ascii="Cambria" w:hAnsi="Cambria"/>
          <w:szCs w:val="24"/>
        </w:rPr>
        <w:t xml:space="preserve">La reforma conserva intacta la libertad del congresista para separarse definitivamente del cargo en los casos permitidos por el ordenamiento. Tampoco modifica el régimen de inhabilidades ni introduce requisitos adicionales para quienes pretendan participar posteriormente en otros procesos electorales. Su objeto es más limitado: impedir que una </w:t>
      </w:r>
      <w:r w:rsidRPr="003B0672">
        <w:rPr>
          <w:rFonts w:ascii="Cambria" w:hAnsi="Cambria"/>
          <w:szCs w:val="24"/>
        </w:rPr>
        <w:lastRenderedPageBreak/>
        <w:t>decisión individual adoptada al final del período produzca automáticamente la posesión de otro ciudadano cuando el tiempo restante haga prácticamente imposible el ejercicio sustantivo de la curul.</w:t>
      </w:r>
    </w:p>
    <w:p w14:paraId="174DC9AF" w14:textId="77777777" w:rsidR="005E7585" w:rsidRPr="003B0672" w:rsidRDefault="005E7585" w:rsidP="003B0672">
      <w:pPr>
        <w:contextualSpacing/>
        <w:jc w:val="both"/>
        <w:rPr>
          <w:rFonts w:ascii="Cambria" w:hAnsi="Cambria"/>
          <w:szCs w:val="24"/>
        </w:rPr>
      </w:pPr>
    </w:p>
    <w:p w14:paraId="51667024" w14:textId="77777777" w:rsidR="007723DC" w:rsidRPr="003B0672" w:rsidRDefault="00000000" w:rsidP="003B0672">
      <w:pPr>
        <w:contextualSpacing/>
        <w:jc w:val="both"/>
        <w:rPr>
          <w:rFonts w:ascii="Cambria" w:hAnsi="Cambria"/>
          <w:szCs w:val="24"/>
        </w:rPr>
      </w:pPr>
      <w:r w:rsidRPr="003B0672">
        <w:rPr>
          <w:rFonts w:ascii="Cambria" w:hAnsi="Cambria"/>
          <w:szCs w:val="24"/>
        </w:rPr>
        <w:t>De esta manera se corrige un incentivo que puede surgir del régimen vigente. Una renuncia presentada en las semanas finales puede generar simultáneamente efectos en la situación política del congresista saliente y la apertura de una curul por un período meramente residual. La propuesta separa ambos fenómenos: la renuncia conserva sus efectos propios, pero deja de producir un llamamiento cuando la falta absoluta ocurre dentro del margen temporal expresamente fijado por la Constitución.</w:t>
      </w:r>
    </w:p>
    <w:p w14:paraId="61E9088A" w14:textId="77777777" w:rsidR="0084666D" w:rsidRPr="003B0672" w:rsidRDefault="0084666D" w:rsidP="003B0672">
      <w:pPr>
        <w:contextualSpacing/>
        <w:jc w:val="both"/>
        <w:rPr>
          <w:rFonts w:ascii="Cambria" w:hAnsi="Cambria"/>
          <w:szCs w:val="24"/>
        </w:rPr>
      </w:pPr>
    </w:p>
    <w:p w14:paraId="43F992D0" w14:textId="77777777" w:rsidR="002B2230" w:rsidRPr="003B0672" w:rsidRDefault="00000000" w:rsidP="003B0672">
      <w:pPr>
        <w:spacing w:before="160"/>
        <w:contextualSpacing/>
        <w:jc w:val="both"/>
        <w:rPr>
          <w:rFonts w:ascii="Cambria" w:hAnsi="Cambria"/>
          <w:b/>
          <w:szCs w:val="24"/>
        </w:rPr>
      </w:pPr>
      <w:r w:rsidRPr="003B0672">
        <w:rPr>
          <w:rFonts w:ascii="Cambria" w:hAnsi="Cambria"/>
          <w:b/>
          <w:szCs w:val="24"/>
        </w:rPr>
        <w:t>9. CONSIDERACIONES DE LA PONENCIA</w:t>
      </w:r>
    </w:p>
    <w:p w14:paraId="588218FE" w14:textId="77777777" w:rsidR="0084666D" w:rsidRPr="003B0672" w:rsidRDefault="0084666D" w:rsidP="003B0672">
      <w:pPr>
        <w:spacing w:before="160"/>
        <w:contextualSpacing/>
        <w:jc w:val="both"/>
        <w:rPr>
          <w:rFonts w:ascii="Cambria" w:hAnsi="Cambria"/>
          <w:szCs w:val="24"/>
        </w:rPr>
      </w:pPr>
    </w:p>
    <w:p w14:paraId="1205A38A" w14:textId="77777777" w:rsidR="002B2230" w:rsidRPr="003B0672" w:rsidRDefault="00000000" w:rsidP="003B0672">
      <w:pPr>
        <w:spacing w:before="160"/>
        <w:contextualSpacing/>
        <w:jc w:val="both"/>
        <w:rPr>
          <w:rFonts w:ascii="Cambria" w:hAnsi="Cambria"/>
          <w:b/>
          <w:szCs w:val="24"/>
        </w:rPr>
      </w:pPr>
      <w:r w:rsidRPr="003B0672">
        <w:rPr>
          <w:rFonts w:ascii="Cambria" w:hAnsi="Cambria"/>
          <w:b/>
          <w:szCs w:val="24"/>
        </w:rPr>
        <w:t>9.1. Conveniencia de la iniciativa</w:t>
      </w:r>
    </w:p>
    <w:p w14:paraId="7D5FA1BF" w14:textId="77777777" w:rsidR="0084666D" w:rsidRPr="003B0672" w:rsidRDefault="0084666D" w:rsidP="003B0672">
      <w:pPr>
        <w:contextualSpacing/>
        <w:jc w:val="both"/>
        <w:rPr>
          <w:rFonts w:ascii="Cambria" w:hAnsi="Cambria"/>
          <w:szCs w:val="24"/>
        </w:rPr>
      </w:pPr>
    </w:p>
    <w:p w14:paraId="58CD1A91" w14:textId="77777777" w:rsidR="002B2230" w:rsidRPr="003B0672" w:rsidRDefault="00000000" w:rsidP="003B0672">
      <w:pPr>
        <w:contextualSpacing/>
        <w:jc w:val="both"/>
        <w:rPr>
          <w:rFonts w:ascii="Cambria" w:hAnsi="Cambria"/>
          <w:szCs w:val="24"/>
        </w:rPr>
      </w:pPr>
      <w:r w:rsidRPr="003B0672">
        <w:rPr>
          <w:rFonts w:ascii="Cambria" w:hAnsi="Cambria"/>
          <w:szCs w:val="24"/>
        </w:rPr>
        <w:t>La ponencia considera conveniente avanzar con el proyecto. La medida es concreta, verificable y de alcance restringido. No altera la arquitectura general del sistema de representación política ni la regla de sucesión dentro de las listas, sino que introduce una excepción para un supuesto temporal extraordinariamente reducido.</w:t>
      </w:r>
    </w:p>
    <w:p w14:paraId="4F810205" w14:textId="77777777" w:rsidR="0084666D" w:rsidRPr="003B0672" w:rsidRDefault="0084666D" w:rsidP="003B0672">
      <w:pPr>
        <w:contextualSpacing/>
        <w:jc w:val="both"/>
        <w:rPr>
          <w:rFonts w:ascii="Cambria" w:hAnsi="Cambria"/>
          <w:szCs w:val="24"/>
        </w:rPr>
      </w:pPr>
    </w:p>
    <w:p w14:paraId="23374F63" w14:textId="77777777" w:rsidR="002B2230" w:rsidRPr="003B0672" w:rsidRDefault="00000000" w:rsidP="003B0672">
      <w:pPr>
        <w:contextualSpacing/>
        <w:jc w:val="both"/>
        <w:rPr>
          <w:rFonts w:ascii="Cambria" w:hAnsi="Cambria"/>
          <w:szCs w:val="24"/>
        </w:rPr>
      </w:pPr>
      <w:r w:rsidRPr="003B0672">
        <w:rPr>
          <w:rFonts w:ascii="Cambria" w:hAnsi="Cambria"/>
          <w:szCs w:val="24"/>
        </w:rPr>
        <w:t>La utilidad de la reforma radica en que corrige una consecuencia formal del régimen vigente que puede producir resultados contrarios a la finalidad material de la representación. Si la curul se provee cuando ya no existe tiempo razonable para participar en sesiones, debates, votaciones o ejercicios de control político, el llamamiento pierde buena parte de su sentido constitucional.</w:t>
      </w:r>
    </w:p>
    <w:p w14:paraId="7187DAFE" w14:textId="77777777" w:rsidR="005E7585" w:rsidRPr="003B0672" w:rsidRDefault="005E7585" w:rsidP="003B0672">
      <w:pPr>
        <w:contextualSpacing/>
        <w:jc w:val="both"/>
        <w:rPr>
          <w:rFonts w:ascii="Cambria" w:hAnsi="Cambria"/>
          <w:szCs w:val="24"/>
        </w:rPr>
      </w:pPr>
    </w:p>
    <w:p w14:paraId="1BED4D14" w14:textId="77777777" w:rsidR="007723DC" w:rsidRPr="003B0672" w:rsidRDefault="00000000" w:rsidP="003B0672">
      <w:pPr>
        <w:contextualSpacing/>
        <w:jc w:val="both"/>
        <w:rPr>
          <w:rFonts w:ascii="Cambria" w:hAnsi="Cambria"/>
          <w:szCs w:val="24"/>
        </w:rPr>
      </w:pPr>
      <w:r w:rsidRPr="003B0672">
        <w:rPr>
          <w:rFonts w:ascii="Cambria" w:hAnsi="Cambria"/>
          <w:szCs w:val="24"/>
        </w:rPr>
        <w:t>A juicio de la ponencia, esta consideración resulta suficiente para respaldar la conveniencia de la iniciativa. La representación política exige una relación entre titularidad y ejercicio. La sola existencia de una vacante no obliga a que la Constitución ignore las particularidades temporales del cierre del período, especialmente cuando la provisión de la curul no contribuye de forma significativa a la deliberación democrática ni a la continuidad de las funciones legislativas.</w:t>
      </w:r>
    </w:p>
    <w:p w14:paraId="25F01C59" w14:textId="77777777" w:rsidR="005E7585" w:rsidRPr="003B0672" w:rsidRDefault="005E7585" w:rsidP="003B0672">
      <w:pPr>
        <w:contextualSpacing/>
        <w:jc w:val="both"/>
        <w:rPr>
          <w:rFonts w:ascii="Cambria" w:hAnsi="Cambria"/>
          <w:szCs w:val="24"/>
        </w:rPr>
      </w:pPr>
    </w:p>
    <w:p w14:paraId="79B2B002" w14:textId="77777777" w:rsidR="007723DC" w:rsidRPr="003B0672" w:rsidRDefault="00000000" w:rsidP="003B0672">
      <w:pPr>
        <w:contextualSpacing/>
        <w:jc w:val="both"/>
        <w:rPr>
          <w:rFonts w:ascii="Cambria" w:hAnsi="Cambria"/>
          <w:szCs w:val="24"/>
        </w:rPr>
      </w:pPr>
      <w:r w:rsidRPr="003B0672">
        <w:rPr>
          <w:rFonts w:ascii="Cambria" w:hAnsi="Cambria"/>
          <w:szCs w:val="24"/>
        </w:rPr>
        <w:t>La medida, además, es general e impersonal. No está diseñada para afectar una persona, partido o lista específica, sino que establece una regla uniforme para cualquier falta absoluta que se produzca dentro del término señalado. Esa generalidad evita tratamientos diferenciados y refuerza la objetividad de la reforma.</w:t>
      </w:r>
    </w:p>
    <w:p w14:paraId="57174253" w14:textId="77777777" w:rsidR="0084666D" w:rsidRPr="003B0672" w:rsidRDefault="0084666D" w:rsidP="003B0672">
      <w:pPr>
        <w:contextualSpacing/>
        <w:jc w:val="both"/>
        <w:rPr>
          <w:rFonts w:ascii="Cambria" w:hAnsi="Cambria"/>
          <w:szCs w:val="24"/>
        </w:rPr>
      </w:pPr>
    </w:p>
    <w:p w14:paraId="32583EE6" w14:textId="77777777" w:rsidR="002B2230" w:rsidRPr="003B0672" w:rsidRDefault="00000000" w:rsidP="003B0672">
      <w:pPr>
        <w:spacing w:before="160"/>
        <w:contextualSpacing/>
        <w:jc w:val="both"/>
        <w:rPr>
          <w:rFonts w:ascii="Cambria" w:hAnsi="Cambria"/>
          <w:szCs w:val="24"/>
        </w:rPr>
      </w:pPr>
      <w:r w:rsidRPr="003B0672">
        <w:rPr>
          <w:rFonts w:ascii="Cambria" w:hAnsi="Cambria"/>
          <w:b/>
          <w:szCs w:val="24"/>
        </w:rPr>
        <w:t>9.2. Proporcionalidad</w:t>
      </w:r>
    </w:p>
    <w:p w14:paraId="7E71C1BC" w14:textId="77777777" w:rsidR="0084666D" w:rsidRPr="003B0672" w:rsidRDefault="0084666D" w:rsidP="003B0672">
      <w:pPr>
        <w:contextualSpacing/>
        <w:jc w:val="both"/>
        <w:rPr>
          <w:rFonts w:ascii="Cambria" w:hAnsi="Cambria"/>
          <w:szCs w:val="24"/>
        </w:rPr>
      </w:pPr>
    </w:p>
    <w:p w14:paraId="6D2254BC" w14:textId="77777777" w:rsidR="002B2230" w:rsidRPr="003B0672" w:rsidRDefault="00000000" w:rsidP="003B0672">
      <w:pPr>
        <w:contextualSpacing/>
        <w:jc w:val="both"/>
        <w:rPr>
          <w:rFonts w:ascii="Cambria" w:hAnsi="Cambria"/>
          <w:szCs w:val="24"/>
        </w:rPr>
      </w:pPr>
      <w:r w:rsidRPr="003B0672">
        <w:rPr>
          <w:rFonts w:ascii="Cambria" w:hAnsi="Cambria"/>
          <w:szCs w:val="24"/>
        </w:rPr>
        <w:t>La restricción propuesta supera un análisis básico de proporcionalidad. Persigue finalidades constitucionalmente legítimas —racionalización del gasto, protección de la confianza ciudadana y coherencia funcional de la representación—; es idónea porque impide precisamente el reemplazo de duración residual; es necesaria frente a la ausencia de una regla temporal equivalente; y es proporcionada en sentido estricto porque opera durante solo treinta días calendario y no elimina el derecho de las listas a reemplazar las vacantes durante el resto del período.</w:t>
      </w:r>
    </w:p>
    <w:p w14:paraId="436B34E6" w14:textId="77777777" w:rsidR="005E7585" w:rsidRPr="003B0672" w:rsidRDefault="005E7585" w:rsidP="003B0672">
      <w:pPr>
        <w:contextualSpacing/>
        <w:jc w:val="both"/>
        <w:rPr>
          <w:rFonts w:ascii="Cambria" w:hAnsi="Cambria"/>
          <w:szCs w:val="24"/>
        </w:rPr>
      </w:pPr>
    </w:p>
    <w:p w14:paraId="5919B1D9" w14:textId="77777777" w:rsidR="007723DC" w:rsidRPr="003B0672" w:rsidRDefault="00000000" w:rsidP="003B0672">
      <w:pPr>
        <w:contextualSpacing/>
        <w:jc w:val="both"/>
        <w:rPr>
          <w:rFonts w:ascii="Cambria" w:hAnsi="Cambria"/>
          <w:szCs w:val="24"/>
        </w:rPr>
      </w:pPr>
      <w:r w:rsidRPr="003B0672">
        <w:rPr>
          <w:rFonts w:ascii="Cambria" w:hAnsi="Cambria"/>
          <w:szCs w:val="24"/>
        </w:rPr>
        <w:t>En cuanto a la idoneidad, existe una relación directa entre el medio escogido y el problema identificado: si la finalidad es evitar posesiones por períodos meramente residuales, impedir el llamamiento exclusivamente durante la fase final del período constituye una respuesta adecuada y focalizada. No se introduce una prohibición general de reemplazos ni se modifica el sistema electoral de listas.</w:t>
      </w:r>
    </w:p>
    <w:p w14:paraId="5F1C354E" w14:textId="77777777" w:rsidR="005E7585" w:rsidRPr="003B0672" w:rsidRDefault="005E7585" w:rsidP="003B0672">
      <w:pPr>
        <w:contextualSpacing/>
        <w:jc w:val="both"/>
        <w:rPr>
          <w:rFonts w:ascii="Cambria" w:hAnsi="Cambria"/>
          <w:szCs w:val="24"/>
        </w:rPr>
      </w:pPr>
    </w:p>
    <w:p w14:paraId="49C8ADEB" w14:textId="77777777" w:rsidR="007723DC" w:rsidRPr="003B0672" w:rsidRDefault="00000000" w:rsidP="003B0672">
      <w:pPr>
        <w:contextualSpacing/>
        <w:jc w:val="both"/>
        <w:rPr>
          <w:rFonts w:ascii="Cambria" w:hAnsi="Cambria"/>
          <w:szCs w:val="24"/>
        </w:rPr>
      </w:pPr>
      <w:r w:rsidRPr="003B0672">
        <w:rPr>
          <w:rFonts w:ascii="Cambria" w:hAnsi="Cambria"/>
          <w:szCs w:val="24"/>
        </w:rPr>
        <w:t>En relación con la necesidad, la regulación vigente no prevé una herramienta equivalente que permita abstenerse de efectuar el llamamiento por la sola proximidad de la terminación del período constitucional. En consecuencia, mientras subsista la regla actual, una falta absoluta puede activar el reemplazo incluso cuando resten pocos días para el 20 de julio. La reforma llena precisamente ese vacío normativo.</w:t>
      </w:r>
    </w:p>
    <w:p w14:paraId="25BFE37F" w14:textId="77777777" w:rsidR="005E7585" w:rsidRPr="003B0672" w:rsidRDefault="005E7585" w:rsidP="003B0672">
      <w:pPr>
        <w:contextualSpacing/>
        <w:jc w:val="both"/>
        <w:rPr>
          <w:rFonts w:ascii="Cambria" w:hAnsi="Cambria"/>
          <w:szCs w:val="24"/>
        </w:rPr>
      </w:pPr>
    </w:p>
    <w:p w14:paraId="32C4F347" w14:textId="77777777" w:rsidR="007723DC" w:rsidRPr="003B0672" w:rsidRDefault="00000000" w:rsidP="003B0672">
      <w:pPr>
        <w:contextualSpacing/>
        <w:jc w:val="both"/>
        <w:rPr>
          <w:rFonts w:ascii="Cambria" w:hAnsi="Cambria"/>
          <w:szCs w:val="24"/>
        </w:rPr>
      </w:pPr>
      <w:r w:rsidRPr="003B0672">
        <w:rPr>
          <w:rFonts w:ascii="Cambria" w:hAnsi="Cambria"/>
          <w:szCs w:val="24"/>
        </w:rPr>
        <w:t>Finalmente, la medida es proporcionada en sentido estricto porque el sacrificio impuesto al mecanismo ordinario de reemplazo es limitado temporalmente y se encuentra compensado por los beneficios institucionales perseguidos: racionalidad del gasto, correspondencia entre investidura y función pública, y fortalecimiento de la confianza ciudadana en el Congreso.</w:t>
      </w:r>
    </w:p>
    <w:p w14:paraId="071319BD" w14:textId="77777777" w:rsidR="0084666D" w:rsidRPr="003B0672" w:rsidRDefault="0084666D" w:rsidP="003B0672">
      <w:pPr>
        <w:spacing w:before="160"/>
        <w:contextualSpacing/>
        <w:jc w:val="both"/>
        <w:rPr>
          <w:rFonts w:ascii="Cambria" w:hAnsi="Cambria"/>
          <w:b/>
          <w:szCs w:val="24"/>
        </w:rPr>
      </w:pPr>
    </w:p>
    <w:p w14:paraId="02CF1572" w14:textId="2137343E" w:rsidR="002B2230" w:rsidRPr="003B0672" w:rsidRDefault="005636AD" w:rsidP="003B0672">
      <w:pPr>
        <w:spacing w:before="160"/>
        <w:contextualSpacing/>
        <w:jc w:val="both"/>
        <w:rPr>
          <w:rFonts w:ascii="Cambria" w:hAnsi="Cambria"/>
          <w:szCs w:val="24"/>
        </w:rPr>
      </w:pPr>
      <w:r>
        <w:rPr>
          <w:rFonts w:ascii="Cambria" w:hAnsi="Cambria"/>
          <w:b/>
          <w:szCs w:val="24"/>
        </w:rPr>
        <w:t>10</w:t>
      </w:r>
      <w:r w:rsidR="00BB50A7" w:rsidRPr="003B0672">
        <w:rPr>
          <w:rFonts w:ascii="Cambria" w:hAnsi="Cambria"/>
          <w:b/>
          <w:szCs w:val="24"/>
        </w:rPr>
        <w:t>. IMPACTO FISCAL</w:t>
      </w:r>
    </w:p>
    <w:p w14:paraId="5D766937" w14:textId="77777777" w:rsidR="0084666D" w:rsidRPr="003B0672" w:rsidRDefault="0084666D" w:rsidP="003B0672">
      <w:pPr>
        <w:contextualSpacing/>
        <w:jc w:val="both"/>
        <w:rPr>
          <w:rFonts w:ascii="Cambria" w:hAnsi="Cambria"/>
          <w:szCs w:val="24"/>
        </w:rPr>
      </w:pPr>
    </w:p>
    <w:p w14:paraId="22AF42AB" w14:textId="77777777" w:rsidR="0084666D" w:rsidRPr="003B0672" w:rsidRDefault="00000000" w:rsidP="003B0672">
      <w:pPr>
        <w:contextualSpacing/>
        <w:jc w:val="both"/>
        <w:rPr>
          <w:rFonts w:ascii="Cambria" w:hAnsi="Cambria"/>
          <w:szCs w:val="24"/>
        </w:rPr>
      </w:pPr>
      <w:r w:rsidRPr="003B0672">
        <w:rPr>
          <w:rFonts w:ascii="Cambria" w:hAnsi="Cambria"/>
          <w:szCs w:val="24"/>
        </w:rPr>
        <w:t>El proyecto no crea gasto público, entidades, cargos, fondos ni apropiaciones. Su efecto esperado es, por el contrario, evitar costos derivados de la posesión y vinculación administrativa de reemplazos cuando el período restante sea de duración mínima y no exista actividad congresional ordinaria que justifique el ejercicio efectivo del cargo.</w:t>
      </w:r>
    </w:p>
    <w:p w14:paraId="389D62E1" w14:textId="77777777" w:rsidR="0084666D" w:rsidRPr="003B0672" w:rsidRDefault="0084666D" w:rsidP="003B0672">
      <w:pPr>
        <w:contextualSpacing/>
        <w:jc w:val="both"/>
        <w:rPr>
          <w:rFonts w:ascii="Cambria" w:hAnsi="Cambria"/>
          <w:szCs w:val="24"/>
        </w:rPr>
      </w:pPr>
    </w:p>
    <w:p w14:paraId="08E71387" w14:textId="77777777" w:rsidR="002B2230" w:rsidRPr="003B0672" w:rsidRDefault="00000000" w:rsidP="003B0672">
      <w:pPr>
        <w:contextualSpacing/>
        <w:jc w:val="both"/>
        <w:rPr>
          <w:rFonts w:ascii="Cambria" w:hAnsi="Cambria"/>
          <w:szCs w:val="24"/>
        </w:rPr>
      </w:pPr>
      <w:r w:rsidRPr="003B0672">
        <w:rPr>
          <w:rFonts w:ascii="Cambria" w:hAnsi="Cambria"/>
          <w:szCs w:val="24"/>
        </w:rPr>
        <w:t>Las cifras incluidas en la exposición de motivos son aproximaciones construidas con base en información periodística y, por tanto, no deben presentarse como una certificación oficial. Sin embargo, sirven como elemento indicativo de que la reforma puede producir eficiencias presupuestales y administrativas.</w:t>
      </w:r>
    </w:p>
    <w:p w14:paraId="23E4E7F4" w14:textId="77777777" w:rsidR="0084666D" w:rsidRPr="003B0672" w:rsidRDefault="0084666D" w:rsidP="003B0672">
      <w:pPr>
        <w:spacing w:before="160"/>
        <w:contextualSpacing/>
        <w:jc w:val="both"/>
        <w:rPr>
          <w:rFonts w:ascii="Cambria" w:hAnsi="Cambria"/>
          <w:b/>
          <w:szCs w:val="24"/>
        </w:rPr>
      </w:pPr>
    </w:p>
    <w:p w14:paraId="1FA3412D" w14:textId="20465BE3" w:rsidR="002B2230" w:rsidRPr="003B0672" w:rsidRDefault="005636AD" w:rsidP="003B0672">
      <w:pPr>
        <w:spacing w:before="160"/>
        <w:contextualSpacing/>
        <w:jc w:val="both"/>
        <w:rPr>
          <w:rFonts w:ascii="Cambria" w:hAnsi="Cambria"/>
          <w:szCs w:val="24"/>
        </w:rPr>
      </w:pPr>
      <w:r>
        <w:rPr>
          <w:rFonts w:ascii="Cambria" w:hAnsi="Cambria"/>
          <w:b/>
          <w:szCs w:val="24"/>
        </w:rPr>
        <w:lastRenderedPageBreak/>
        <w:t>11</w:t>
      </w:r>
      <w:r w:rsidR="00BB50A7" w:rsidRPr="003B0672">
        <w:rPr>
          <w:rFonts w:ascii="Cambria" w:hAnsi="Cambria"/>
          <w:b/>
          <w:szCs w:val="24"/>
        </w:rPr>
        <w:t>. CONFLICTO DE INTERESES</w:t>
      </w:r>
    </w:p>
    <w:p w14:paraId="55082467" w14:textId="77777777" w:rsidR="0084666D" w:rsidRPr="003B0672" w:rsidRDefault="0084666D" w:rsidP="003B0672">
      <w:pPr>
        <w:contextualSpacing/>
        <w:jc w:val="both"/>
        <w:rPr>
          <w:rFonts w:ascii="Cambria" w:hAnsi="Cambria"/>
          <w:szCs w:val="24"/>
        </w:rPr>
      </w:pPr>
    </w:p>
    <w:p w14:paraId="34696114" w14:textId="77777777" w:rsidR="002B2230" w:rsidRPr="003B0672" w:rsidRDefault="00000000" w:rsidP="003B0672">
      <w:pPr>
        <w:contextualSpacing/>
        <w:jc w:val="both"/>
        <w:rPr>
          <w:rFonts w:ascii="Cambria" w:hAnsi="Cambria"/>
          <w:szCs w:val="24"/>
        </w:rPr>
      </w:pPr>
      <w:r w:rsidRPr="003B0672">
        <w:rPr>
          <w:rFonts w:ascii="Cambria" w:hAnsi="Cambria"/>
          <w:szCs w:val="24"/>
        </w:rPr>
        <w:t>De conformidad con el régimen constitucional y legal de conflicto de intereses de los congresistas, corresponde a cada miembro del Congreso valorar si respecto del estudio, discusión y votación de esta iniciativa concurre un interés particular, actual y directo que pueda afectar su imparcialidad.</w:t>
      </w:r>
    </w:p>
    <w:p w14:paraId="49BE180D" w14:textId="77777777" w:rsidR="0084666D" w:rsidRPr="003B0672" w:rsidRDefault="0084666D" w:rsidP="003B0672">
      <w:pPr>
        <w:contextualSpacing/>
        <w:jc w:val="both"/>
        <w:rPr>
          <w:rFonts w:ascii="Cambria" w:hAnsi="Cambria"/>
          <w:szCs w:val="24"/>
        </w:rPr>
      </w:pPr>
    </w:p>
    <w:p w14:paraId="1CAD981F" w14:textId="77777777" w:rsidR="002B2230" w:rsidRPr="003B0672" w:rsidRDefault="00000000" w:rsidP="003B0672">
      <w:pPr>
        <w:contextualSpacing/>
        <w:jc w:val="both"/>
        <w:rPr>
          <w:rFonts w:ascii="Cambria" w:hAnsi="Cambria"/>
          <w:szCs w:val="24"/>
        </w:rPr>
      </w:pPr>
      <w:r w:rsidRPr="003B0672">
        <w:rPr>
          <w:rFonts w:ascii="Cambria" w:hAnsi="Cambria"/>
          <w:szCs w:val="24"/>
        </w:rPr>
        <w:t>Por su contenido general, abstracto e impersonal, orientado a modificar una regla constitucional aplicable a los futuros eventos de falta absoluta de congresistas, no se advierte de manera general una circunstancia que configure automáticamente conflicto de intereses. Lo anterior se entiende sin perjuicio del deber individual de declarar los impedimentos que resulten procedentes según las circunstancias particulares de cada congresista.</w:t>
      </w:r>
    </w:p>
    <w:p w14:paraId="4AB1983B" w14:textId="77777777" w:rsidR="0084666D" w:rsidRPr="003B0672" w:rsidRDefault="0084666D" w:rsidP="003B0672">
      <w:pPr>
        <w:contextualSpacing/>
        <w:jc w:val="both"/>
        <w:rPr>
          <w:rFonts w:ascii="Cambria" w:hAnsi="Cambria"/>
          <w:b/>
          <w:szCs w:val="24"/>
        </w:rPr>
      </w:pPr>
    </w:p>
    <w:p w14:paraId="1A29E767" w14:textId="7E9DA805" w:rsidR="002B2230" w:rsidRPr="003B0672" w:rsidRDefault="005636AD" w:rsidP="003B0672">
      <w:pPr>
        <w:contextualSpacing/>
        <w:jc w:val="both"/>
        <w:rPr>
          <w:rFonts w:ascii="Cambria" w:hAnsi="Cambria"/>
          <w:szCs w:val="24"/>
        </w:rPr>
      </w:pPr>
      <w:r>
        <w:rPr>
          <w:rFonts w:ascii="Cambria" w:hAnsi="Cambria"/>
          <w:b/>
          <w:szCs w:val="24"/>
        </w:rPr>
        <w:t>11</w:t>
      </w:r>
      <w:r w:rsidR="00000000" w:rsidRPr="003B0672">
        <w:rPr>
          <w:rFonts w:ascii="Cambria" w:hAnsi="Cambria"/>
          <w:b/>
          <w:szCs w:val="24"/>
        </w:rPr>
        <w:t>.1. Referencias jurisprudenciales recogidas en la exposición de motivos</w:t>
      </w:r>
    </w:p>
    <w:p w14:paraId="549F1755" w14:textId="77777777" w:rsidR="0084666D" w:rsidRPr="003B0672" w:rsidRDefault="0084666D" w:rsidP="003B0672">
      <w:pPr>
        <w:contextualSpacing/>
        <w:jc w:val="both"/>
        <w:rPr>
          <w:rFonts w:ascii="Cambria" w:hAnsi="Cambria"/>
          <w:szCs w:val="24"/>
        </w:rPr>
      </w:pPr>
    </w:p>
    <w:p w14:paraId="764F0B91" w14:textId="77777777" w:rsidR="002B2230" w:rsidRPr="003B0672" w:rsidRDefault="00000000" w:rsidP="003B0672">
      <w:pPr>
        <w:contextualSpacing/>
        <w:jc w:val="both"/>
        <w:rPr>
          <w:rFonts w:ascii="Cambria" w:hAnsi="Cambria"/>
          <w:szCs w:val="24"/>
        </w:rPr>
      </w:pPr>
      <w:r w:rsidRPr="003B0672">
        <w:rPr>
          <w:rFonts w:ascii="Cambria" w:hAnsi="Cambria"/>
          <w:szCs w:val="24"/>
        </w:rPr>
        <w:t>La exposición de motivos recuerda la Sentencia C-532 de 1993 de la Corte Constitucional al explicar que la eliminación de las suplencias personales estuvo asociada a la idea de que la curul debe ser ejercida por quien materialmente pueda desarrollar la representación conferida por los electores. Esta referencia se utiliza como antecedente conceptual para sostener que una posesión puramente residual no satisface plenamente la finalidad representativa de la investidura.</w:t>
      </w:r>
    </w:p>
    <w:p w14:paraId="517BA4E6" w14:textId="77777777" w:rsidR="0084666D" w:rsidRPr="003B0672" w:rsidRDefault="0084666D" w:rsidP="003B0672">
      <w:pPr>
        <w:contextualSpacing/>
        <w:jc w:val="both"/>
        <w:rPr>
          <w:rFonts w:ascii="Cambria" w:hAnsi="Cambria"/>
          <w:szCs w:val="24"/>
        </w:rPr>
      </w:pPr>
    </w:p>
    <w:p w14:paraId="0F71E2B3" w14:textId="77777777" w:rsidR="002B2230" w:rsidRPr="003B0672" w:rsidRDefault="00000000" w:rsidP="003B0672">
      <w:pPr>
        <w:contextualSpacing/>
        <w:jc w:val="both"/>
        <w:rPr>
          <w:rFonts w:ascii="Cambria" w:hAnsi="Cambria"/>
          <w:szCs w:val="24"/>
        </w:rPr>
      </w:pPr>
      <w:r w:rsidRPr="003B0672">
        <w:rPr>
          <w:rFonts w:ascii="Cambria" w:hAnsi="Cambria"/>
          <w:szCs w:val="24"/>
        </w:rPr>
        <w:t>También se cita la Sentencia C-080 de 2026, en la que, según la exposición de motivos, la Corte Constitucional destacó el carácter institucional de los períodos de los cargos de elección popular. El proyecto retoma ese razonamiento como criterio de apoyo: la voluntad individual del elegido no transforma la naturaleza institucional del período ni convierte la curul en un beneficio disponible al margen de la función representativa.</w:t>
      </w:r>
    </w:p>
    <w:p w14:paraId="1F12AA05" w14:textId="77777777" w:rsidR="0084666D" w:rsidRPr="003B0672" w:rsidRDefault="0084666D" w:rsidP="003B0672">
      <w:pPr>
        <w:contextualSpacing/>
        <w:jc w:val="both"/>
        <w:rPr>
          <w:rFonts w:ascii="Cambria" w:hAnsi="Cambria"/>
          <w:szCs w:val="24"/>
        </w:rPr>
      </w:pPr>
    </w:p>
    <w:p w14:paraId="2A11561D" w14:textId="77777777" w:rsidR="002B2230" w:rsidRPr="003B0672" w:rsidRDefault="00000000" w:rsidP="003B0672">
      <w:pPr>
        <w:contextualSpacing/>
        <w:jc w:val="both"/>
        <w:rPr>
          <w:rFonts w:ascii="Cambria" w:hAnsi="Cambria"/>
          <w:szCs w:val="24"/>
        </w:rPr>
      </w:pPr>
      <w:r w:rsidRPr="003B0672">
        <w:rPr>
          <w:rFonts w:ascii="Cambria" w:hAnsi="Cambria"/>
          <w:szCs w:val="24"/>
        </w:rPr>
        <w:t>La ponencia recoge estas referencias en los términos en que fueron planteadas por los autores, como elementos de contexto constitucional de la reforma. Su función dentro del presente informe es reforzar la finalidad institucional de la medida y no extender sus efectos a hipótesis distintas de la regulación de reemplazos en los últimos treinta (30) días calendario del período congresional.</w:t>
      </w:r>
    </w:p>
    <w:p w14:paraId="76215745" w14:textId="77777777" w:rsidR="00BB50A7" w:rsidRPr="003B0672" w:rsidRDefault="00BB50A7" w:rsidP="003B0672">
      <w:pPr>
        <w:contextualSpacing/>
        <w:jc w:val="both"/>
        <w:rPr>
          <w:rFonts w:ascii="Cambria" w:hAnsi="Cambria"/>
          <w:szCs w:val="24"/>
        </w:rPr>
      </w:pPr>
    </w:p>
    <w:p w14:paraId="781DEFDE" w14:textId="6349F578" w:rsidR="00BB50A7" w:rsidRPr="003B0672" w:rsidRDefault="005636AD" w:rsidP="003B0672">
      <w:pPr>
        <w:spacing w:before="160"/>
        <w:contextualSpacing/>
        <w:jc w:val="both"/>
        <w:rPr>
          <w:rFonts w:ascii="Cambria" w:hAnsi="Cambria"/>
          <w:b/>
          <w:szCs w:val="24"/>
        </w:rPr>
      </w:pPr>
      <w:r>
        <w:rPr>
          <w:rFonts w:ascii="Cambria" w:hAnsi="Cambria"/>
          <w:b/>
          <w:szCs w:val="24"/>
        </w:rPr>
        <w:t>12</w:t>
      </w:r>
      <w:r w:rsidR="00BB50A7" w:rsidRPr="003B0672">
        <w:rPr>
          <w:rFonts w:ascii="Cambria" w:hAnsi="Cambria"/>
          <w:b/>
          <w:szCs w:val="24"/>
        </w:rPr>
        <w:t>. PROPOSICIÓN</w:t>
      </w:r>
    </w:p>
    <w:p w14:paraId="2F8816F4" w14:textId="77777777" w:rsidR="00BB50A7" w:rsidRPr="003B0672" w:rsidRDefault="00BB50A7" w:rsidP="003B0672">
      <w:pPr>
        <w:contextualSpacing/>
        <w:jc w:val="both"/>
        <w:rPr>
          <w:rFonts w:ascii="Cambria" w:hAnsi="Cambria"/>
          <w:szCs w:val="24"/>
        </w:rPr>
      </w:pPr>
    </w:p>
    <w:p w14:paraId="12E5597F" w14:textId="7E62E747" w:rsidR="00BB50A7" w:rsidRPr="003B0672" w:rsidRDefault="00BB50A7" w:rsidP="003B0672">
      <w:pPr>
        <w:contextualSpacing/>
        <w:jc w:val="both"/>
        <w:rPr>
          <w:rFonts w:ascii="Cambria" w:hAnsi="Cambria"/>
          <w:szCs w:val="24"/>
        </w:rPr>
      </w:pPr>
      <w:r w:rsidRPr="003B0672">
        <w:rPr>
          <w:rFonts w:ascii="Cambria" w:hAnsi="Cambria"/>
          <w:szCs w:val="24"/>
        </w:rPr>
        <w:t xml:space="preserve">Por las anteriores consideraciones, </w:t>
      </w:r>
      <w:r w:rsidR="003B0672" w:rsidRPr="003B0672">
        <w:rPr>
          <w:rFonts w:ascii="Cambria" w:hAnsi="Cambria"/>
          <w:szCs w:val="24"/>
        </w:rPr>
        <w:t xml:space="preserve">rindo ponencia positiva y sin modificaciones y </w:t>
      </w:r>
      <w:r w:rsidRPr="003B0672">
        <w:rPr>
          <w:rFonts w:ascii="Cambria" w:hAnsi="Cambria"/>
          <w:szCs w:val="24"/>
        </w:rPr>
        <w:t xml:space="preserve">solicito a los honorables Representantes de la Comisión Primera Constitucional Permanente de la </w:t>
      </w:r>
      <w:r w:rsidRPr="003B0672">
        <w:rPr>
          <w:rFonts w:ascii="Cambria" w:hAnsi="Cambria"/>
          <w:szCs w:val="24"/>
        </w:rPr>
        <w:lastRenderedPageBreak/>
        <w:t xml:space="preserve">Cámara de Representantes dar primer debate y aprobar el Proyecto de Acto Legislativo No. 191 de 2026 Cámara, </w:t>
      </w:r>
      <w:r w:rsidRPr="003B0672">
        <w:rPr>
          <w:rFonts w:ascii="Cambria" w:hAnsi="Cambria"/>
          <w:i/>
          <w:iCs/>
          <w:szCs w:val="24"/>
        </w:rPr>
        <w:t>“Por medio del cual se modifica el artículo 134 de la Constitución Política de Colombia, para restringir el llamamiento a reemplazo de los miembros del Congreso de la República cuando la falta absoluta se produzca dentro de los treinta (30) días calendario anteriores a la terminación del período constitucional, y se dictan otras disposiciones”,</w:t>
      </w:r>
      <w:r w:rsidRPr="003B0672">
        <w:rPr>
          <w:rFonts w:ascii="Cambria" w:hAnsi="Cambria"/>
          <w:szCs w:val="24"/>
        </w:rPr>
        <w:t xml:space="preserve"> conforme al texto propuesto para primer debate.</w:t>
      </w:r>
    </w:p>
    <w:p w14:paraId="03A7223A" w14:textId="77777777" w:rsidR="00BB50A7" w:rsidRPr="003B0672" w:rsidRDefault="00BB50A7" w:rsidP="003B0672">
      <w:pPr>
        <w:contextualSpacing/>
        <w:jc w:val="both"/>
        <w:rPr>
          <w:rFonts w:ascii="Cambria" w:hAnsi="Cambria"/>
          <w:szCs w:val="24"/>
        </w:rPr>
      </w:pPr>
    </w:p>
    <w:p w14:paraId="3DD8AA51" w14:textId="77777777" w:rsidR="00BB50A7" w:rsidRPr="003B0672" w:rsidRDefault="00BB50A7" w:rsidP="003B0672">
      <w:pPr>
        <w:contextualSpacing/>
        <w:rPr>
          <w:rFonts w:ascii="Cambria" w:hAnsi="Cambria"/>
          <w:b/>
          <w:bCs/>
          <w:szCs w:val="24"/>
        </w:rPr>
      </w:pPr>
    </w:p>
    <w:p w14:paraId="3C0AB573" w14:textId="77777777" w:rsidR="00BB50A7" w:rsidRPr="003B0672" w:rsidRDefault="00BB50A7" w:rsidP="003B0672">
      <w:pPr>
        <w:contextualSpacing/>
        <w:rPr>
          <w:rFonts w:ascii="Cambria" w:hAnsi="Cambria"/>
          <w:b/>
          <w:bCs/>
          <w:szCs w:val="24"/>
        </w:rPr>
      </w:pPr>
      <w:r w:rsidRPr="003B0672">
        <w:rPr>
          <w:rFonts w:ascii="Cambria" w:hAnsi="Cambria"/>
          <w:b/>
          <w:bCs/>
          <w:szCs w:val="24"/>
        </w:rPr>
        <w:t>_________________________________________</w:t>
      </w:r>
    </w:p>
    <w:p w14:paraId="01DFD652" w14:textId="77777777" w:rsidR="00BB50A7" w:rsidRPr="003B0672" w:rsidRDefault="00BB50A7" w:rsidP="003B0672">
      <w:pPr>
        <w:contextualSpacing/>
        <w:rPr>
          <w:rFonts w:ascii="Cambria" w:hAnsi="Cambria"/>
          <w:b/>
          <w:bCs/>
          <w:szCs w:val="24"/>
        </w:rPr>
      </w:pPr>
      <w:r w:rsidRPr="003B0672">
        <w:rPr>
          <w:rFonts w:ascii="Cambria" w:hAnsi="Cambria"/>
          <w:b/>
          <w:bCs/>
          <w:szCs w:val="24"/>
        </w:rPr>
        <w:t>CAROL STEFANNY BORDA ACEVEDO</w:t>
      </w:r>
    </w:p>
    <w:p w14:paraId="032DBD97" w14:textId="77777777" w:rsidR="00BB50A7" w:rsidRPr="003B0672" w:rsidRDefault="00BB50A7" w:rsidP="003B0672">
      <w:pPr>
        <w:contextualSpacing/>
        <w:rPr>
          <w:rFonts w:ascii="Cambria" w:hAnsi="Cambria"/>
          <w:szCs w:val="24"/>
        </w:rPr>
      </w:pPr>
      <w:r w:rsidRPr="003B0672">
        <w:rPr>
          <w:rFonts w:ascii="Cambria" w:hAnsi="Cambria"/>
          <w:szCs w:val="24"/>
        </w:rPr>
        <w:t>Representante a la Cámara por Bogotá D. C.</w:t>
      </w:r>
    </w:p>
    <w:p w14:paraId="0CCF0D5F" w14:textId="77777777" w:rsidR="00BB50A7" w:rsidRPr="003B0672" w:rsidRDefault="00BB50A7" w:rsidP="003B0672">
      <w:pPr>
        <w:contextualSpacing/>
        <w:rPr>
          <w:rFonts w:ascii="Cambria" w:hAnsi="Cambria"/>
          <w:szCs w:val="24"/>
        </w:rPr>
      </w:pPr>
      <w:r w:rsidRPr="003B0672">
        <w:rPr>
          <w:rFonts w:ascii="Cambria" w:hAnsi="Cambria"/>
          <w:szCs w:val="24"/>
        </w:rPr>
        <w:t>Ponente única – PAL No. 191 de 2026</w:t>
      </w:r>
    </w:p>
    <w:p w14:paraId="7E40B2DF" w14:textId="77777777" w:rsidR="00BB50A7" w:rsidRPr="003B0672" w:rsidRDefault="00BB50A7" w:rsidP="003B0672">
      <w:pPr>
        <w:contextualSpacing/>
        <w:jc w:val="both"/>
        <w:rPr>
          <w:rFonts w:ascii="Cambria" w:hAnsi="Cambria"/>
          <w:szCs w:val="24"/>
        </w:rPr>
      </w:pPr>
    </w:p>
    <w:p w14:paraId="0E896585" w14:textId="210F6976" w:rsidR="00BB50A7" w:rsidRPr="003B0672" w:rsidRDefault="00BB50A7" w:rsidP="005636AD">
      <w:pPr>
        <w:spacing w:after="200"/>
        <w:contextualSpacing/>
        <w:rPr>
          <w:rFonts w:ascii="Cambria" w:hAnsi="Cambria"/>
          <w:vanish/>
          <w:szCs w:val="24"/>
        </w:rPr>
      </w:pPr>
      <w:r w:rsidRPr="003B0672">
        <w:rPr>
          <w:rFonts w:ascii="Cambria" w:hAnsi="Cambria"/>
          <w:vanish/>
          <w:szCs w:val="24"/>
        </w:rPr>
        <w:br w:type="page"/>
      </w:r>
    </w:p>
    <w:p w14:paraId="480854D1" w14:textId="62F9B7DC" w:rsidR="002B2230" w:rsidRPr="003B0672" w:rsidRDefault="00000000" w:rsidP="003B0672">
      <w:pPr>
        <w:spacing w:before="160"/>
        <w:contextualSpacing/>
        <w:jc w:val="both"/>
        <w:rPr>
          <w:rFonts w:ascii="Cambria" w:hAnsi="Cambria"/>
          <w:szCs w:val="24"/>
        </w:rPr>
      </w:pPr>
      <w:r w:rsidRPr="003B0672">
        <w:rPr>
          <w:rFonts w:ascii="Cambria" w:hAnsi="Cambria"/>
          <w:b/>
          <w:szCs w:val="24"/>
        </w:rPr>
        <w:lastRenderedPageBreak/>
        <w:t>1</w:t>
      </w:r>
      <w:r w:rsidR="005636AD">
        <w:rPr>
          <w:rFonts w:ascii="Cambria" w:hAnsi="Cambria"/>
          <w:b/>
          <w:szCs w:val="24"/>
        </w:rPr>
        <w:t>3</w:t>
      </w:r>
      <w:r w:rsidRPr="003B0672">
        <w:rPr>
          <w:rFonts w:ascii="Cambria" w:hAnsi="Cambria"/>
          <w:b/>
          <w:szCs w:val="24"/>
        </w:rPr>
        <w:t>. TEXTO PROPUESTO PARA PRIMER DEBATE</w:t>
      </w:r>
    </w:p>
    <w:p w14:paraId="02AAA3EE" w14:textId="77777777" w:rsidR="0084666D" w:rsidRPr="003B0672" w:rsidRDefault="0084666D" w:rsidP="003B0672">
      <w:pPr>
        <w:contextualSpacing/>
        <w:jc w:val="both"/>
        <w:rPr>
          <w:rFonts w:ascii="Cambria" w:hAnsi="Cambria"/>
          <w:b/>
          <w:szCs w:val="24"/>
        </w:rPr>
      </w:pPr>
    </w:p>
    <w:p w14:paraId="675F984E" w14:textId="77777777" w:rsidR="002B2230" w:rsidRPr="003B0672" w:rsidRDefault="00000000" w:rsidP="003B0672">
      <w:pPr>
        <w:contextualSpacing/>
        <w:jc w:val="center"/>
        <w:rPr>
          <w:rFonts w:ascii="Cambria" w:hAnsi="Cambria"/>
          <w:b/>
          <w:szCs w:val="24"/>
        </w:rPr>
      </w:pPr>
      <w:r w:rsidRPr="003B0672">
        <w:rPr>
          <w:rFonts w:ascii="Cambria" w:hAnsi="Cambria"/>
          <w:b/>
          <w:szCs w:val="24"/>
        </w:rPr>
        <w:t>PROYECTO DE ACTO LEGISLATIVO No. 191 DE 2026 CÁMARA</w:t>
      </w:r>
    </w:p>
    <w:p w14:paraId="5962E70A" w14:textId="77777777" w:rsidR="0084666D" w:rsidRPr="003B0672" w:rsidRDefault="0084666D" w:rsidP="003B0672">
      <w:pPr>
        <w:contextualSpacing/>
        <w:jc w:val="both"/>
        <w:rPr>
          <w:rFonts w:ascii="Cambria" w:hAnsi="Cambria"/>
          <w:szCs w:val="24"/>
        </w:rPr>
      </w:pPr>
    </w:p>
    <w:p w14:paraId="42466165" w14:textId="77777777" w:rsidR="002B2230" w:rsidRPr="003B0672" w:rsidRDefault="00000000" w:rsidP="003B0672">
      <w:pPr>
        <w:contextualSpacing/>
        <w:jc w:val="center"/>
        <w:rPr>
          <w:rFonts w:ascii="Cambria" w:hAnsi="Cambria"/>
          <w:i/>
          <w:szCs w:val="24"/>
        </w:rPr>
      </w:pPr>
      <w:r w:rsidRPr="003B0672">
        <w:rPr>
          <w:rFonts w:ascii="Cambria" w:hAnsi="Cambria"/>
          <w:i/>
          <w:szCs w:val="24"/>
        </w:rPr>
        <w:t>“Por medio del cual se modifica el artículo 134 de la Constitución Política de Colombia, para restringir el llamamiento a reemplazo de los miembros del Congreso de la República cuando la falta absoluta se produzca dentro de los treinta (30) días calendario anteriores a la terminación del período constitucional, y se dictan otras disposiciones”</w:t>
      </w:r>
    </w:p>
    <w:p w14:paraId="211335B6" w14:textId="77777777" w:rsidR="0084666D" w:rsidRPr="003B0672" w:rsidRDefault="0084666D" w:rsidP="003B0672">
      <w:pPr>
        <w:contextualSpacing/>
        <w:jc w:val="both"/>
        <w:rPr>
          <w:rFonts w:ascii="Cambria" w:hAnsi="Cambria"/>
          <w:szCs w:val="24"/>
        </w:rPr>
      </w:pPr>
    </w:p>
    <w:p w14:paraId="79004EAC" w14:textId="77777777" w:rsidR="002B2230" w:rsidRPr="003B0672" w:rsidRDefault="00000000" w:rsidP="003B0672">
      <w:pPr>
        <w:contextualSpacing/>
        <w:jc w:val="center"/>
        <w:rPr>
          <w:rFonts w:ascii="Cambria" w:hAnsi="Cambria"/>
          <w:b/>
          <w:szCs w:val="24"/>
        </w:rPr>
      </w:pPr>
      <w:r w:rsidRPr="003B0672">
        <w:rPr>
          <w:rFonts w:ascii="Cambria" w:hAnsi="Cambria"/>
          <w:b/>
          <w:szCs w:val="24"/>
        </w:rPr>
        <w:t>EL CONGRESO DE COLOMBIA</w:t>
      </w:r>
    </w:p>
    <w:p w14:paraId="1BD7083C" w14:textId="77777777" w:rsidR="0084666D" w:rsidRPr="003B0672" w:rsidRDefault="0084666D" w:rsidP="003B0672">
      <w:pPr>
        <w:contextualSpacing/>
        <w:jc w:val="center"/>
        <w:rPr>
          <w:rFonts w:ascii="Cambria" w:hAnsi="Cambria"/>
          <w:szCs w:val="24"/>
        </w:rPr>
      </w:pPr>
    </w:p>
    <w:p w14:paraId="2363A111" w14:textId="77777777" w:rsidR="002B2230" w:rsidRPr="003B0672" w:rsidRDefault="00000000" w:rsidP="003B0672">
      <w:pPr>
        <w:contextualSpacing/>
        <w:jc w:val="center"/>
        <w:rPr>
          <w:rFonts w:ascii="Cambria" w:hAnsi="Cambria"/>
          <w:b/>
          <w:szCs w:val="24"/>
        </w:rPr>
      </w:pPr>
      <w:r w:rsidRPr="003B0672">
        <w:rPr>
          <w:rFonts w:ascii="Cambria" w:hAnsi="Cambria"/>
          <w:b/>
          <w:szCs w:val="24"/>
        </w:rPr>
        <w:t>DECRETA:</w:t>
      </w:r>
    </w:p>
    <w:p w14:paraId="4026D6A7" w14:textId="77777777" w:rsidR="0084666D" w:rsidRPr="003B0672" w:rsidRDefault="0084666D" w:rsidP="003B0672">
      <w:pPr>
        <w:contextualSpacing/>
        <w:jc w:val="both"/>
        <w:rPr>
          <w:rFonts w:ascii="Cambria" w:hAnsi="Cambria"/>
          <w:szCs w:val="24"/>
        </w:rPr>
      </w:pPr>
    </w:p>
    <w:p w14:paraId="4A907F0E" w14:textId="04234B86" w:rsidR="00BB50A7" w:rsidRPr="003B0672" w:rsidRDefault="00000000" w:rsidP="003B0672">
      <w:pPr>
        <w:contextualSpacing/>
        <w:jc w:val="both"/>
        <w:rPr>
          <w:rFonts w:ascii="Cambria" w:hAnsi="Cambria"/>
          <w:b/>
          <w:szCs w:val="24"/>
        </w:rPr>
      </w:pPr>
      <w:r w:rsidRPr="003B0672">
        <w:rPr>
          <w:rFonts w:ascii="Cambria" w:hAnsi="Cambria"/>
          <w:b/>
          <w:szCs w:val="24"/>
        </w:rPr>
        <w:t xml:space="preserve">ARTÍCULO 1º. </w:t>
      </w:r>
      <w:r w:rsidR="003B0672" w:rsidRPr="003B0672">
        <w:rPr>
          <w:rFonts w:ascii="Cambria" w:hAnsi="Cambria"/>
          <w:b/>
          <w:szCs w:val="24"/>
        </w:rPr>
        <w:t>Adiciónese un párrafo nuevo al artículo 134 de la Constitución Política, el cual quedará así:</w:t>
      </w:r>
    </w:p>
    <w:p w14:paraId="2DBCC80F" w14:textId="77777777" w:rsidR="003B0672" w:rsidRPr="003B0672" w:rsidRDefault="003B0672" w:rsidP="003B0672">
      <w:pPr>
        <w:contextualSpacing/>
        <w:jc w:val="both"/>
        <w:rPr>
          <w:rFonts w:ascii="Cambria" w:hAnsi="Cambria"/>
          <w:szCs w:val="24"/>
        </w:rPr>
      </w:pPr>
    </w:p>
    <w:p w14:paraId="24671939" w14:textId="77777777" w:rsidR="00BB50A7" w:rsidRPr="003B0672" w:rsidRDefault="00BB50A7" w:rsidP="003B0672">
      <w:pPr>
        <w:contextualSpacing/>
        <w:jc w:val="both"/>
        <w:rPr>
          <w:rFonts w:ascii="Cambria" w:hAnsi="Cambria"/>
          <w:szCs w:val="24"/>
        </w:rPr>
      </w:pPr>
      <w:r w:rsidRPr="003B0672">
        <w:rPr>
          <w:rFonts w:ascii="Cambria" w:hAnsi="Cambria"/>
          <w:szCs w:val="24"/>
        </w:rPr>
        <w:t xml:space="preserve">Artículo 134. Los miembros de las Corporaciones Públicas de elección popular no tendrán suplentes. Solo podrán ser reemplazados en los casos de faltas absolutas o temporales que determine la ley, por los candidatos no elegidos </w:t>
      </w:r>
      <w:proofErr w:type="gramStart"/>
      <w:r w:rsidRPr="003B0672">
        <w:rPr>
          <w:rFonts w:ascii="Cambria" w:hAnsi="Cambria"/>
          <w:szCs w:val="24"/>
        </w:rPr>
        <w:t>que</w:t>
      </w:r>
      <w:proofErr w:type="gramEnd"/>
      <w:r w:rsidRPr="003B0672">
        <w:rPr>
          <w:rFonts w:ascii="Cambria" w:hAnsi="Cambria"/>
          <w:szCs w:val="24"/>
        </w:rPr>
        <w:t xml:space="preserve"> según el orden de inscripción o votación obtenida, le sigan en forma sucesiva y descendente en la misma lista electoral.</w:t>
      </w:r>
    </w:p>
    <w:p w14:paraId="223F7115" w14:textId="77777777" w:rsidR="00BB50A7" w:rsidRPr="003B0672" w:rsidRDefault="00BB50A7" w:rsidP="003B0672">
      <w:pPr>
        <w:contextualSpacing/>
        <w:jc w:val="both"/>
        <w:rPr>
          <w:rFonts w:ascii="Cambria" w:hAnsi="Cambria"/>
          <w:szCs w:val="24"/>
        </w:rPr>
      </w:pPr>
    </w:p>
    <w:p w14:paraId="76E1F024" w14:textId="77777777" w:rsidR="00BB50A7" w:rsidRPr="003B0672" w:rsidRDefault="00BB50A7" w:rsidP="003B0672">
      <w:pPr>
        <w:contextualSpacing/>
        <w:jc w:val="both"/>
        <w:rPr>
          <w:rFonts w:ascii="Cambria" w:hAnsi="Cambria"/>
          <w:szCs w:val="24"/>
        </w:rPr>
      </w:pPr>
      <w:r w:rsidRPr="003B0672">
        <w:rPr>
          <w:rFonts w:ascii="Cambria" w:hAnsi="Cambria"/>
          <w:szCs w:val="24"/>
        </w:rPr>
        <w:t>En ningún caso podrán ser reemplazados quienes sean condenados por delitos comunes relacionados con pertenencia, promoción o financiación a grupos armados ilegales o actividades de narcotráfico; dolosos contra la administración pública; contra los mecanismos de participación democrática, ni por delitos de lesa humanidad. Tampoco quienes renuncien habiendo sido vinculados formalmente en Colombia a procesos penales por la comisión de tales delitos, ni las faltas temporales de aquellos contra quienes se profiera orden de captura dentro de los respectivos procesos.</w:t>
      </w:r>
    </w:p>
    <w:p w14:paraId="54C69A26" w14:textId="77777777" w:rsidR="00BB50A7" w:rsidRPr="003B0672" w:rsidRDefault="00BB50A7" w:rsidP="003B0672">
      <w:pPr>
        <w:contextualSpacing/>
        <w:jc w:val="both"/>
        <w:rPr>
          <w:rFonts w:ascii="Cambria" w:hAnsi="Cambria"/>
          <w:szCs w:val="24"/>
        </w:rPr>
      </w:pPr>
    </w:p>
    <w:p w14:paraId="6214946C" w14:textId="77777777" w:rsidR="00BB50A7" w:rsidRPr="003B0672" w:rsidRDefault="00BB50A7" w:rsidP="003B0672">
      <w:pPr>
        <w:contextualSpacing/>
        <w:jc w:val="both"/>
        <w:rPr>
          <w:rFonts w:ascii="Cambria" w:hAnsi="Cambria"/>
          <w:b/>
          <w:bCs/>
          <w:szCs w:val="24"/>
          <w:u w:val="single"/>
        </w:rPr>
      </w:pPr>
      <w:r w:rsidRPr="003B0672">
        <w:rPr>
          <w:rFonts w:ascii="Cambria" w:hAnsi="Cambria"/>
          <w:b/>
          <w:bCs/>
          <w:szCs w:val="24"/>
          <w:u w:val="single"/>
        </w:rPr>
        <w:t>Así mismo, cuando la falta absoluta de un miembro del Congreso de la República ocurra dentro de los treinta (30) días calendario anteriores a la fecha de terminación del respectivo período constitucional, no habrá lugar al reemplazo de que trata este artículo, y la curul permanecerá vacante hasta la finalización del período, salvo que el Congreso deba reunirse en el marco de la declaratoria de un estado de excepción.</w:t>
      </w:r>
    </w:p>
    <w:p w14:paraId="4A8ECD4C" w14:textId="77777777" w:rsidR="00BB50A7" w:rsidRPr="003B0672" w:rsidRDefault="00BB50A7" w:rsidP="003B0672">
      <w:pPr>
        <w:contextualSpacing/>
        <w:jc w:val="both"/>
        <w:rPr>
          <w:rFonts w:ascii="Cambria" w:hAnsi="Cambria"/>
          <w:szCs w:val="24"/>
        </w:rPr>
      </w:pPr>
    </w:p>
    <w:p w14:paraId="785AD576" w14:textId="1BED5629" w:rsidR="00BB50A7" w:rsidRDefault="003B0672" w:rsidP="003B0672">
      <w:pPr>
        <w:contextualSpacing/>
        <w:jc w:val="both"/>
        <w:rPr>
          <w:rFonts w:ascii="Cambria" w:hAnsi="Cambria"/>
          <w:szCs w:val="24"/>
        </w:rPr>
      </w:pPr>
      <w:r w:rsidRPr="003B0672">
        <w:rPr>
          <w:rFonts w:ascii="Cambria" w:hAnsi="Cambria"/>
          <w:szCs w:val="24"/>
        </w:rPr>
        <w:t xml:space="preserve">Para efectos de conformación de quorum se tendrá como número de miembros la totalidad de los integrantes de la Corporación con excepción de aquellas curules que no puedan ser </w:t>
      </w:r>
      <w:r w:rsidRPr="003B0672">
        <w:rPr>
          <w:rFonts w:ascii="Cambria" w:hAnsi="Cambria"/>
          <w:szCs w:val="24"/>
        </w:rPr>
        <w:lastRenderedPageBreak/>
        <w:t>reemplazadas. La misma regla se aplicará en los eventos de impedimentos o recusaciones aceptadas.</w:t>
      </w:r>
    </w:p>
    <w:p w14:paraId="2659351B" w14:textId="77777777" w:rsidR="005636AD" w:rsidRPr="003B0672" w:rsidRDefault="005636AD" w:rsidP="003B0672">
      <w:pPr>
        <w:contextualSpacing/>
        <w:jc w:val="both"/>
        <w:rPr>
          <w:rFonts w:ascii="Cambria" w:hAnsi="Cambria"/>
          <w:szCs w:val="24"/>
        </w:rPr>
      </w:pPr>
    </w:p>
    <w:p w14:paraId="7B2EE663" w14:textId="0621BA38" w:rsidR="00BB50A7" w:rsidRPr="003B0672" w:rsidRDefault="003B0672" w:rsidP="003B0672">
      <w:pPr>
        <w:contextualSpacing/>
        <w:jc w:val="both"/>
        <w:rPr>
          <w:rFonts w:ascii="Cambria" w:hAnsi="Cambria"/>
          <w:szCs w:val="24"/>
        </w:rPr>
      </w:pPr>
      <w:r w:rsidRPr="003B0672">
        <w:rPr>
          <w:rFonts w:ascii="Cambria" w:hAnsi="Cambria"/>
          <w:szCs w:val="24"/>
        </w:rPr>
        <w:t>Si por faltas absolutas que no den lugar a reemplazo los miembros de cuerpos colegiados elegidos en una misma circunscripción electoral quedan reducidos a la mitad o menos, el Consejo Nacional Electoral convocará a elecciones para llenar las vacantes, siempre y cuando falten más de veinticuatro (24) meses para la terminación del periodo.</w:t>
      </w:r>
    </w:p>
    <w:p w14:paraId="7F773E27" w14:textId="77777777" w:rsidR="003B0672" w:rsidRPr="003B0672" w:rsidRDefault="003B0672" w:rsidP="003B0672">
      <w:pPr>
        <w:contextualSpacing/>
        <w:jc w:val="both"/>
        <w:rPr>
          <w:rFonts w:ascii="Cambria" w:hAnsi="Cambria"/>
          <w:szCs w:val="24"/>
        </w:rPr>
      </w:pPr>
    </w:p>
    <w:p w14:paraId="51496C2F" w14:textId="77777777" w:rsidR="00BB50A7" w:rsidRPr="003B0672" w:rsidRDefault="00BB50A7" w:rsidP="003B0672">
      <w:pPr>
        <w:contextualSpacing/>
        <w:jc w:val="both"/>
        <w:rPr>
          <w:rFonts w:ascii="Cambria" w:hAnsi="Cambria"/>
          <w:szCs w:val="24"/>
        </w:rPr>
      </w:pPr>
      <w:r w:rsidRPr="003B0672">
        <w:rPr>
          <w:rFonts w:ascii="Cambria" w:hAnsi="Cambria"/>
          <w:b/>
          <w:bCs/>
          <w:szCs w:val="24"/>
        </w:rPr>
        <w:t>PARÁGRAFO TRANSITORIO</w:t>
      </w:r>
      <w:r w:rsidRPr="003B0672">
        <w:rPr>
          <w:rFonts w:ascii="Cambria" w:hAnsi="Cambria"/>
          <w:szCs w:val="24"/>
        </w:rPr>
        <w:t xml:space="preserve">. Mientras el legislador regula el régimen de reemplazos, se aplicarán las siguientes reglas: i) Constituyen faltas absolutas que dan lugar a reemplazo la muerte; la incapacidad física absoluta para el ejercicio del cargo; la declaración de nulidad de la elección; la renuncia justificada y aceptada por la respectiva corporación; la sanción disciplinaria consistente en destitución, y la pérdida de investidura; </w:t>
      </w:r>
      <w:proofErr w:type="spellStart"/>
      <w:r w:rsidRPr="003B0672">
        <w:rPr>
          <w:rFonts w:ascii="Cambria" w:hAnsi="Cambria"/>
          <w:szCs w:val="24"/>
        </w:rPr>
        <w:t>ii</w:t>
      </w:r>
      <w:proofErr w:type="spellEnd"/>
      <w:r w:rsidRPr="003B0672">
        <w:rPr>
          <w:rFonts w:ascii="Cambria" w:hAnsi="Cambria"/>
          <w:szCs w:val="24"/>
        </w:rPr>
        <w:t>) Constituyen faltas temporales que dan lugar a reemplazo, la licencia de maternidad y la medida de aseguramiento privativa de la libertad por delitos distintos a los mencionados en el presente artículo.</w:t>
      </w:r>
    </w:p>
    <w:p w14:paraId="08C8299C" w14:textId="77777777" w:rsidR="00BB50A7" w:rsidRPr="003B0672" w:rsidRDefault="00BB50A7" w:rsidP="003B0672">
      <w:pPr>
        <w:contextualSpacing/>
        <w:jc w:val="both"/>
        <w:rPr>
          <w:rFonts w:ascii="Cambria" w:hAnsi="Cambria"/>
          <w:szCs w:val="24"/>
        </w:rPr>
      </w:pPr>
    </w:p>
    <w:p w14:paraId="01F0F3AF" w14:textId="77777777" w:rsidR="00BB50A7" w:rsidRPr="003B0672" w:rsidRDefault="00BB50A7" w:rsidP="003B0672">
      <w:pPr>
        <w:contextualSpacing/>
        <w:jc w:val="both"/>
        <w:rPr>
          <w:rFonts w:ascii="Cambria" w:hAnsi="Cambria"/>
          <w:szCs w:val="24"/>
        </w:rPr>
      </w:pPr>
      <w:r w:rsidRPr="003B0672">
        <w:rPr>
          <w:rFonts w:ascii="Cambria" w:hAnsi="Cambria"/>
          <w:szCs w:val="24"/>
        </w:rPr>
        <w:t>La prohibición de reemplazos se aplicará para las investigaciones judiciales que se iniciaron a partir de la vigencia del Acto Legislativo número 01 de 2009, con excepción del relacionado con la comisión de delitos contra la administración pública que se aplicará para las investigaciones que se inicien a partir de la vigencia del presente acto legislativo.</w:t>
      </w:r>
    </w:p>
    <w:p w14:paraId="13C121EC" w14:textId="77777777" w:rsidR="0084666D" w:rsidRPr="003B0672" w:rsidRDefault="0084666D" w:rsidP="003B0672">
      <w:pPr>
        <w:contextualSpacing/>
        <w:jc w:val="both"/>
        <w:rPr>
          <w:rFonts w:ascii="Cambria" w:hAnsi="Cambria"/>
          <w:szCs w:val="24"/>
        </w:rPr>
      </w:pPr>
    </w:p>
    <w:p w14:paraId="5417018B" w14:textId="47EAA21B" w:rsidR="00BB50A7" w:rsidRPr="003B0672" w:rsidRDefault="00000000" w:rsidP="003B0672">
      <w:pPr>
        <w:contextualSpacing/>
        <w:jc w:val="both"/>
        <w:rPr>
          <w:rFonts w:ascii="Cambria" w:hAnsi="Cambria"/>
          <w:bCs/>
          <w:szCs w:val="24"/>
        </w:rPr>
      </w:pPr>
      <w:r w:rsidRPr="003B0672">
        <w:rPr>
          <w:rFonts w:ascii="Cambria" w:hAnsi="Cambria"/>
          <w:b/>
          <w:szCs w:val="24"/>
        </w:rPr>
        <w:t xml:space="preserve">ARTÍCULO 2º. Vigencia. </w:t>
      </w:r>
      <w:r w:rsidR="003B0672" w:rsidRPr="003B0672">
        <w:rPr>
          <w:rFonts w:ascii="Cambria" w:hAnsi="Cambria"/>
          <w:bCs/>
          <w:szCs w:val="24"/>
        </w:rPr>
        <w:t>El presente Acto Legislativo rige a partir de la fecha de su promulgación y deroga las disposiciones que le sean contrarias.</w:t>
      </w:r>
    </w:p>
    <w:p w14:paraId="41A628A9" w14:textId="77777777" w:rsidR="003B0672" w:rsidRPr="003B0672" w:rsidRDefault="003B0672" w:rsidP="003B0672">
      <w:pPr>
        <w:contextualSpacing/>
        <w:jc w:val="both"/>
        <w:rPr>
          <w:rFonts w:ascii="Cambria" w:hAnsi="Cambria"/>
          <w:b/>
          <w:bCs/>
          <w:szCs w:val="24"/>
        </w:rPr>
      </w:pPr>
    </w:p>
    <w:p w14:paraId="11A30F3C" w14:textId="77777777" w:rsidR="00BB50A7" w:rsidRDefault="00BB50A7" w:rsidP="003B0672">
      <w:pPr>
        <w:contextualSpacing/>
        <w:rPr>
          <w:rFonts w:ascii="Cambria" w:hAnsi="Cambria"/>
          <w:b/>
          <w:bCs/>
          <w:szCs w:val="24"/>
        </w:rPr>
      </w:pPr>
    </w:p>
    <w:p w14:paraId="77855B92" w14:textId="77777777" w:rsidR="00BF3A59" w:rsidRPr="003B0672" w:rsidRDefault="00BF3A59" w:rsidP="003B0672">
      <w:pPr>
        <w:contextualSpacing/>
        <w:rPr>
          <w:rFonts w:ascii="Cambria" w:hAnsi="Cambria"/>
          <w:b/>
          <w:bCs/>
          <w:szCs w:val="24"/>
        </w:rPr>
      </w:pPr>
    </w:p>
    <w:p w14:paraId="378C2D31" w14:textId="77777777" w:rsidR="00BB50A7" w:rsidRPr="003B0672" w:rsidRDefault="00BB50A7" w:rsidP="003B0672">
      <w:pPr>
        <w:contextualSpacing/>
        <w:rPr>
          <w:rFonts w:ascii="Cambria" w:hAnsi="Cambria"/>
          <w:b/>
          <w:bCs/>
          <w:szCs w:val="24"/>
        </w:rPr>
      </w:pPr>
      <w:r w:rsidRPr="003B0672">
        <w:rPr>
          <w:rFonts w:ascii="Cambria" w:hAnsi="Cambria"/>
          <w:b/>
          <w:bCs/>
          <w:szCs w:val="24"/>
        </w:rPr>
        <w:t>_________________________________________</w:t>
      </w:r>
    </w:p>
    <w:p w14:paraId="17AE73B7" w14:textId="77777777" w:rsidR="0084666D" w:rsidRPr="003B0672" w:rsidRDefault="0084666D" w:rsidP="003B0672">
      <w:pPr>
        <w:contextualSpacing/>
        <w:rPr>
          <w:rFonts w:ascii="Cambria" w:hAnsi="Cambria"/>
          <w:b/>
          <w:bCs/>
          <w:szCs w:val="24"/>
        </w:rPr>
      </w:pPr>
      <w:r w:rsidRPr="003B0672">
        <w:rPr>
          <w:rFonts w:ascii="Cambria" w:hAnsi="Cambria"/>
          <w:b/>
          <w:bCs/>
          <w:szCs w:val="24"/>
        </w:rPr>
        <w:t>CAROL STEFANNY BORDA ACEVEDO</w:t>
      </w:r>
    </w:p>
    <w:p w14:paraId="1A99EED4" w14:textId="77777777" w:rsidR="0084666D" w:rsidRPr="003B0672" w:rsidRDefault="0084666D" w:rsidP="003B0672">
      <w:pPr>
        <w:contextualSpacing/>
        <w:rPr>
          <w:rFonts w:ascii="Cambria" w:hAnsi="Cambria"/>
          <w:szCs w:val="24"/>
        </w:rPr>
      </w:pPr>
      <w:r w:rsidRPr="003B0672">
        <w:rPr>
          <w:rFonts w:ascii="Cambria" w:hAnsi="Cambria"/>
          <w:szCs w:val="24"/>
        </w:rPr>
        <w:t>Representante a la Cámara por Bogotá D. C.</w:t>
      </w:r>
    </w:p>
    <w:p w14:paraId="1E6BE919" w14:textId="77777777" w:rsidR="0084666D" w:rsidRPr="003B0672" w:rsidRDefault="0084666D" w:rsidP="003B0672">
      <w:pPr>
        <w:contextualSpacing/>
        <w:rPr>
          <w:rFonts w:ascii="Cambria" w:hAnsi="Cambria"/>
          <w:szCs w:val="24"/>
        </w:rPr>
      </w:pPr>
      <w:r w:rsidRPr="003B0672">
        <w:rPr>
          <w:rFonts w:ascii="Cambria" w:hAnsi="Cambria"/>
          <w:szCs w:val="24"/>
        </w:rPr>
        <w:t>Ponente única – PAL No. 191 de 2026</w:t>
      </w:r>
    </w:p>
    <w:p w14:paraId="2CDA32C2" w14:textId="77777777" w:rsidR="002B2230" w:rsidRPr="005E7585" w:rsidRDefault="002B2230" w:rsidP="005E7585">
      <w:pPr>
        <w:spacing w:after="0"/>
        <w:contextualSpacing/>
        <w:jc w:val="both"/>
        <w:rPr>
          <w:rFonts w:asciiTheme="minorHAnsi" w:hAnsiTheme="minorHAnsi"/>
          <w:sz w:val="23"/>
          <w:szCs w:val="23"/>
        </w:rPr>
      </w:pPr>
    </w:p>
    <w:sectPr w:rsidR="002B2230" w:rsidRPr="005E7585" w:rsidSect="00034616">
      <w:headerReference w:type="default" r:id="rId8"/>
      <w:pgSz w:w="12240" w:h="15840"/>
      <w:pgMar w:top="1417" w:right="1531" w:bottom="1417"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B6BCC" w14:textId="77777777" w:rsidR="00EF676B" w:rsidRDefault="00EF676B">
      <w:pPr>
        <w:spacing w:after="0" w:line="240" w:lineRule="auto"/>
      </w:pPr>
      <w:r>
        <w:separator/>
      </w:r>
    </w:p>
  </w:endnote>
  <w:endnote w:type="continuationSeparator" w:id="0">
    <w:p w14:paraId="392D51CB" w14:textId="77777777" w:rsidR="00EF676B" w:rsidRDefault="00EF6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9C987" w14:textId="77777777" w:rsidR="00EF676B" w:rsidRDefault="00EF676B">
      <w:pPr>
        <w:spacing w:after="0" w:line="240" w:lineRule="auto"/>
      </w:pPr>
      <w:r>
        <w:separator/>
      </w:r>
    </w:p>
  </w:footnote>
  <w:footnote w:type="continuationSeparator" w:id="0">
    <w:p w14:paraId="398D858D" w14:textId="77777777" w:rsidR="00EF676B" w:rsidRDefault="00EF67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4307C" w14:textId="77777777" w:rsidR="00301DDF" w:rsidRPr="00583835" w:rsidRDefault="00301DDF" w:rsidP="00301DDF">
    <w:pPr>
      <w:pStyle w:val="NormalWeb"/>
    </w:pPr>
    <w:r w:rsidRPr="00FB7508">
      <w:rPr>
        <w:noProof/>
        <w:lang w:bidi="ar-SA"/>
      </w:rPr>
      <w:drawing>
        <wp:inline distT="0" distB="0" distL="0" distR="0" wp14:anchorId="45F9BB64" wp14:editId="1896BE7C">
          <wp:extent cx="1478943" cy="460116"/>
          <wp:effectExtent l="0" t="0" r="6985" b="0"/>
          <wp:docPr id="17062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9223" cy="475759"/>
                  </a:xfrm>
                  <a:prstGeom prst="rect">
                    <a:avLst/>
                  </a:prstGeom>
                  <a:noFill/>
                  <a:ln>
                    <a:noFill/>
                  </a:ln>
                </pic:spPr>
              </pic:pic>
            </a:graphicData>
          </a:graphic>
        </wp:inline>
      </w:drawing>
    </w:r>
    <w:r>
      <w:t xml:space="preserve">         </w:t>
    </w:r>
    <w:r w:rsidRPr="00FB7508">
      <w:t xml:space="preserve">  </w:t>
    </w:r>
    <w:r>
      <w:t xml:space="preserve">                    </w:t>
    </w:r>
    <w:r w:rsidRPr="00FB7508">
      <w:rPr>
        <w:noProof/>
        <w:lang w:bidi="ar-SA"/>
      </w:rPr>
      <w:drawing>
        <wp:inline distT="0" distB="0" distL="0" distR="0" wp14:anchorId="6A1647DA" wp14:editId="73CF67DC">
          <wp:extent cx="874643" cy="421419"/>
          <wp:effectExtent l="0" t="0" r="1905" b="0"/>
          <wp:docPr id="1857388999"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496" cy="433875"/>
                  </a:xfrm>
                  <a:prstGeom prst="rect">
                    <a:avLst/>
                  </a:prstGeom>
                  <a:noFill/>
                  <a:ln>
                    <a:noFill/>
                  </a:ln>
                </pic:spPr>
              </pic:pic>
            </a:graphicData>
          </a:graphic>
        </wp:inline>
      </w:drawing>
    </w:r>
    <w:r>
      <w:t xml:space="preserve">  </w:t>
    </w:r>
    <w:r w:rsidRPr="00FB7508">
      <w:t xml:space="preserve">   </w:t>
    </w:r>
    <w:r>
      <w:t xml:space="preserve">              </w:t>
    </w:r>
    <w:r w:rsidRPr="00FB7508">
      <w:t xml:space="preserve"> </w:t>
    </w:r>
    <w:r>
      <w:rPr>
        <w:noProof/>
      </w:rPr>
      <w:t xml:space="preserve"> </w:t>
    </w:r>
    <w:r>
      <w:t xml:space="preserve">          </w:t>
    </w:r>
    <w:r w:rsidRPr="00FB7508">
      <w:t xml:space="preserve">   </w:t>
    </w:r>
    <w:r w:rsidRPr="00FB7508">
      <w:rPr>
        <w:noProof/>
        <w:lang w:bidi="ar-SA"/>
      </w:rPr>
      <w:drawing>
        <wp:inline distT="0" distB="0" distL="0" distR="0" wp14:anchorId="76D051D0" wp14:editId="30DF922C">
          <wp:extent cx="962108" cy="508156"/>
          <wp:effectExtent l="0" t="0" r="0" b="6350"/>
          <wp:docPr id="3074386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86115" cy="5208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89030E3"/>
    <w:multiLevelType w:val="hybridMultilevel"/>
    <w:tmpl w:val="C01686F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80325580">
    <w:abstractNumId w:val="8"/>
  </w:num>
  <w:num w:numId="2" w16cid:durableId="1402289567">
    <w:abstractNumId w:val="6"/>
  </w:num>
  <w:num w:numId="3" w16cid:durableId="1205606315">
    <w:abstractNumId w:val="5"/>
  </w:num>
  <w:num w:numId="4" w16cid:durableId="1850825613">
    <w:abstractNumId w:val="4"/>
  </w:num>
  <w:num w:numId="5" w16cid:durableId="1015960101">
    <w:abstractNumId w:val="7"/>
  </w:num>
  <w:num w:numId="6" w16cid:durableId="2053115049">
    <w:abstractNumId w:val="3"/>
  </w:num>
  <w:num w:numId="7" w16cid:durableId="339088674">
    <w:abstractNumId w:val="2"/>
  </w:num>
  <w:num w:numId="8" w16cid:durableId="1420105014">
    <w:abstractNumId w:val="1"/>
  </w:num>
  <w:num w:numId="9" w16cid:durableId="1684630530">
    <w:abstractNumId w:val="0"/>
  </w:num>
  <w:num w:numId="10" w16cid:durableId="9859325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3D9E"/>
    <w:rsid w:val="0015074B"/>
    <w:rsid w:val="0029639D"/>
    <w:rsid w:val="002B2230"/>
    <w:rsid w:val="00301DDF"/>
    <w:rsid w:val="00326F90"/>
    <w:rsid w:val="003B0672"/>
    <w:rsid w:val="004B766C"/>
    <w:rsid w:val="005636AD"/>
    <w:rsid w:val="005E7585"/>
    <w:rsid w:val="007723DC"/>
    <w:rsid w:val="007810DD"/>
    <w:rsid w:val="0084666D"/>
    <w:rsid w:val="009834FA"/>
    <w:rsid w:val="00A348C5"/>
    <w:rsid w:val="00AA1D8D"/>
    <w:rsid w:val="00B47730"/>
    <w:rsid w:val="00BA0140"/>
    <w:rsid w:val="00BB50A7"/>
    <w:rsid w:val="00BF3A59"/>
    <w:rsid w:val="00C13BD7"/>
    <w:rsid w:val="00CB0664"/>
    <w:rsid w:val="00ED3EB7"/>
    <w:rsid w:val="00EF676B"/>
    <w:rsid w:val="00FC693F"/>
  </w:rsids>
  <m:mathPr>
    <m:mathFont m:val="Cambria Math"/>
    <m:brkBin m:val="before"/>
    <m:brkBinSub m:val="--"/>
    <m:smallFrac m:val="0"/>
    <m:dispDef/>
    <m:lMargin m:val="0"/>
    <m:rMargin m:val="0"/>
    <m:defJc m:val="centerGroup"/>
    <m:wrapIndent m:val="1440"/>
    <m:intLim m:val="subSup"/>
    <m:naryLim m:val="undOvr"/>
  </m:mathPr>
  <w:themeFontLang w:val="es-CO" w:eastAsia="es-CO" w:bidi="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6AC42"/>
  <w14:defaultImageDpi w14:val="300"/>
  <w15:docId w15:val="{96B10FE9-3BB9-416C-841A-A062185E9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O" w:eastAsia="es-CO" w:bidi="es-C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imes New Roman" w:eastAsia="Times New Roman" w:hAnsi="Times New Roman"/>
      <w:sz w:val="2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lang w:val="es-CO" w:eastAsia="es-CO" w:bidi="es-CO"/>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lang w:val="es-CO" w:eastAsia="es-CO" w:bidi="es-CO"/>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lang w:val="es-CO" w:eastAsia="es-CO" w:bidi="es-CO"/>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lang w:val="es-CO" w:eastAsia="es-CO" w:bidi="es-CO"/>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lang w:val="es-CO" w:eastAsia="es-CO" w:bidi="es-CO"/>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lang w:val="es-CO" w:eastAsia="es-CO" w:bidi="es-CO"/>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lang w:val="es-CO" w:eastAsia="es-CO" w:bidi="es-CO"/>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lang w:val="es-CO" w:eastAsia="es-CO" w:bidi="es-CO"/>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lang w:val="es-CO" w:eastAsia="es-CO" w:bidi="es-CO"/>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lang w:val="es-CO" w:eastAsia="es-CO" w:bidi="es-CO"/>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lang w:val="es-CO" w:eastAsia="es-CO" w:bidi="es-CO"/>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lang w:val="es-CO" w:eastAsia="es-CO" w:bidi="es-CO"/>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lang w:val="es-CO" w:eastAsia="es-CO" w:bidi="es-CO"/>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lang w:val="es-CO" w:eastAsia="es-CO" w:bidi="es-CO"/>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lang w:val="es-CO" w:eastAsia="es-CO" w:bidi="es-CO"/>
    </w:rPr>
  </w:style>
  <w:style w:type="character" w:styleId="nfasis">
    <w:name w:val="Emphasis"/>
    <w:basedOn w:val="Fuentedeprrafopredeter"/>
    <w:uiPriority w:val="20"/>
    <w:qFormat/>
    <w:rsid w:val="00FC693F"/>
    <w:rPr>
      <w:i/>
      <w:iCs/>
      <w:lang w:val="es-CO" w:eastAsia="es-CO" w:bidi="es-CO"/>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lang w:val="es-CO" w:eastAsia="es-CO" w:bidi="es-CO"/>
    </w:rPr>
  </w:style>
  <w:style w:type="character" w:styleId="nfasissutil">
    <w:name w:val="Subtle Emphasis"/>
    <w:basedOn w:val="Fuentedeprrafopredeter"/>
    <w:uiPriority w:val="19"/>
    <w:qFormat/>
    <w:rsid w:val="00FC693F"/>
    <w:rPr>
      <w:i/>
      <w:iCs/>
      <w:color w:val="808080" w:themeColor="text1" w:themeTint="7F"/>
      <w:lang w:val="es-CO" w:eastAsia="es-CO" w:bidi="es-CO"/>
    </w:rPr>
  </w:style>
  <w:style w:type="character" w:styleId="nfasisintenso">
    <w:name w:val="Intense Emphasis"/>
    <w:basedOn w:val="Fuentedeprrafopredeter"/>
    <w:uiPriority w:val="21"/>
    <w:qFormat/>
    <w:rsid w:val="00FC693F"/>
    <w:rPr>
      <w:b/>
      <w:bCs/>
      <w:i/>
      <w:iCs/>
      <w:color w:val="4F81BD" w:themeColor="accent1"/>
      <w:lang w:val="es-CO" w:eastAsia="es-CO" w:bidi="es-CO"/>
    </w:rPr>
  </w:style>
  <w:style w:type="character" w:styleId="Referenciasutil">
    <w:name w:val="Subtle Reference"/>
    <w:basedOn w:val="Fuentedeprrafopredeter"/>
    <w:uiPriority w:val="31"/>
    <w:qFormat/>
    <w:rsid w:val="00FC693F"/>
    <w:rPr>
      <w:smallCaps/>
      <w:color w:val="C0504D" w:themeColor="accent2"/>
      <w:u w:val="single"/>
      <w:lang w:val="es-CO" w:eastAsia="es-CO" w:bidi="es-CO"/>
    </w:rPr>
  </w:style>
  <w:style w:type="character" w:styleId="Referenciaintensa">
    <w:name w:val="Intense Reference"/>
    <w:basedOn w:val="Fuentedeprrafopredeter"/>
    <w:uiPriority w:val="32"/>
    <w:qFormat/>
    <w:rsid w:val="00FC693F"/>
    <w:rPr>
      <w:b/>
      <w:bCs/>
      <w:smallCaps/>
      <w:color w:val="C0504D" w:themeColor="accent2"/>
      <w:spacing w:val="5"/>
      <w:u w:val="single"/>
      <w:lang w:val="es-CO" w:eastAsia="es-CO" w:bidi="es-CO"/>
    </w:rPr>
  </w:style>
  <w:style w:type="character" w:styleId="Ttulodellibro">
    <w:name w:val="Book Title"/>
    <w:basedOn w:val="Fuentedeprrafopredeter"/>
    <w:uiPriority w:val="33"/>
    <w:qFormat/>
    <w:rsid w:val="00FC693F"/>
    <w:rPr>
      <w:b/>
      <w:bCs/>
      <w:smallCaps/>
      <w:spacing w:val="5"/>
      <w:lang w:val="es-CO" w:eastAsia="es-CO" w:bidi="es-CO"/>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lang w:val="es-CO" w:eastAsia="es-CO" w:bidi="es-CO"/>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lang w:val="es-CO" w:eastAsia="es-CO" w:bidi="es-CO"/>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lang w:val="es-CO" w:eastAsia="es-CO" w:bidi="es-CO"/>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lang w:val="es-CO" w:eastAsia="es-CO" w:bidi="es-CO"/>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lang w:val="es-CO" w:eastAsia="es-CO" w:bidi="es-CO"/>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lang w:val="es-CO" w:eastAsia="es-CO" w:bidi="es-CO"/>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lang w:val="es-CO" w:eastAsia="es-CO" w:bidi="es-CO"/>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lang w:val="es-CO" w:eastAsia="es-CO" w:bidi="es-CO"/>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lang w:val="es-CO" w:eastAsia="es-CO" w:bidi="es-CO"/>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lang w:val="es-CO" w:eastAsia="es-CO" w:bidi="es-CO"/>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lang w:val="es-CO" w:eastAsia="es-CO" w:bidi="es-CO"/>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lang w:val="es-CO" w:eastAsia="es-CO" w:bidi="es-CO"/>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lang w:val="es-CO" w:eastAsia="es-CO" w:bidi="es-CO"/>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lang w:val="es-CO" w:eastAsia="es-CO" w:bidi="es-CO"/>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lang w:val="es-CO" w:eastAsia="es-CO" w:bidi="es-CO"/>
      </w:rPr>
      <w:tblPr/>
      <w:tcPr>
        <w:shd w:val="clear" w:color="auto" w:fill="000000" w:themeFill="text1"/>
      </w:tcPr>
    </w:tblStylePr>
    <w:tblStylePr w:type="lastRow">
      <w:pPr>
        <w:spacing w:before="0" w:after="0" w:line="240" w:lineRule="auto"/>
      </w:pPr>
      <w:rPr>
        <w:b/>
        <w:bCs/>
        <w:lang w:val="es-CO" w:eastAsia="es-CO" w:bidi="es-CO"/>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lang w:val="es-CO" w:eastAsia="es-CO" w:bidi="es-CO"/>
      </w:rPr>
      <w:tblPr/>
      <w:tcPr>
        <w:shd w:val="clear" w:color="auto" w:fill="4F81BD" w:themeFill="accent1"/>
      </w:tcPr>
    </w:tblStylePr>
    <w:tblStylePr w:type="lastRow">
      <w:pPr>
        <w:spacing w:before="0" w:after="0" w:line="240" w:lineRule="auto"/>
      </w:pPr>
      <w:rPr>
        <w:b/>
        <w:bCs/>
        <w:lang w:val="es-CO" w:eastAsia="es-CO" w:bidi="es-CO"/>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lang w:val="es-CO" w:eastAsia="es-CO" w:bidi="es-CO"/>
      </w:rPr>
      <w:tblPr/>
      <w:tcPr>
        <w:shd w:val="clear" w:color="auto" w:fill="C0504D" w:themeFill="accent2"/>
      </w:tcPr>
    </w:tblStylePr>
    <w:tblStylePr w:type="lastRow">
      <w:pPr>
        <w:spacing w:before="0" w:after="0" w:line="240" w:lineRule="auto"/>
      </w:pPr>
      <w:rPr>
        <w:b/>
        <w:bCs/>
        <w:lang w:val="es-CO" w:eastAsia="es-CO" w:bidi="es-CO"/>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lang w:val="es-CO" w:eastAsia="es-CO" w:bidi="es-CO"/>
      </w:rPr>
      <w:tblPr/>
      <w:tcPr>
        <w:shd w:val="clear" w:color="auto" w:fill="9BBB59" w:themeFill="accent3"/>
      </w:tcPr>
    </w:tblStylePr>
    <w:tblStylePr w:type="lastRow">
      <w:pPr>
        <w:spacing w:before="0" w:after="0" w:line="240" w:lineRule="auto"/>
      </w:pPr>
      <w:rPr>
        <w:b/>
        <w:bCs/>
        <w:lang w:val="es-CO" w:eastAsia="es-CO" w:bidi="es-CO"/>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lang w:val="es-CO" w:eastAsia="es-CO" w:bidi="es-CO"/>
      </w:rPr>
      <w:tblPr/>
      <w:tcPr>
        <w:shd w:val="clear" w:color="auto" w:fill="8064A2" w:themeFill="accent4"/>
      </w:tcPr>
    </w:tblStylePr>
    <w:tblStylePr w:type="lastRow">
      <w:pPr>
        <w:spacing w:before="0" w:after="0" w:line="240" w:lineRule="auto"/>
      </w:pPr>
      <w:rPr>
        <w:b/>
        <w:bCs/>
        <w:lang w:val="es-CO" w:eastAsia="es-CO" w:bidi="es-CO"/>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lang w:val="es-CO" w:eastAsia="es-CO" w:bidi="es-CO"/>
      </w:rPr>
      <w:tblPr/>
      <w:tcPr>
        <w:shd w:val="clear" w:color="auto" w:fill="4BACC6" w:themeFill="accent5"/>
      </w:tcPr>
    </w:tblStylePr>
    <w:tblStylePr w:type="lastRow">
      <w:pPr>
        <w:spacing w:before="0" w:after="0" w:line="240" w:lineRule="auto"/>
      </w:pPr>
      <w:rPr>
        <w:b/>
        <w:bCs/>
        <w:lang w:val="es-CO" w:eastAsia="es-CO" w:bidi="es-CO"/>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lang w:val="es-CO" w:eastAsia="es-CO" w:bidi="es-CO"/>
      </w:rPr>
      <w:tblPr/>
      <w:tcPr>
        <w:shd w:val="clear" w:color="auto" w:fill="F79646" w:themeFill="accent6"/>
      </w:tcPr>
    </w:tblStylePr>
    <w:tblStylePr w:type="lastRow">
      <w:pPr>
        <w:spacing w:before="0" w:after="0" w:line="240" w:lineRule="auto"/>
      </w:pPr>
      <w:rPr>
        <w:b/>
        <w:bCs/>
        <w:lang w:val="es-CO" w:eastAsia="es-CO" w:bidi="es-CO"/>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lang w:val="es-CO" w:eastAsia="es-CO" w:bidi="es-CO"/>
      </w:rPr>
    </w:tblStylePr>
    <w:tblStylePr w:type="lastCol">
      <w:rPr>
        <w:b/>
        <w:bCs/>
        <w:lang w:val="es-CO" w:eastAsia="es-CO" w:bidi="es-CO"/>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lang w:val="es-CO" w:eastAsia="es-CO" w:bidi="es-CO"/>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lang w:val="es-CO" w:eastAsia="es-CO" w:bidi="es-CO"/>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lang w:val="es-CO" w:eastAsia="es-CO" w:bidi="es-CO"/>
      </w:rPr>
    </w:tblStylePr>
    <w:tblStylePr w:type="lastCol">
      <w:rPr>
        <w:rFonts w:asciiTheme="majorHAnsi" w:eastAsiaTheme="majorEastAsia" w:hAnsiTheme="majorHAnsi" w:cstheme="majorBidi"/>
        <w:b/>
        <w:bCs/>
        <w:lang w:val="es-CO" w:eastAsia="es-CO" w:bidi="es-CO"/>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lang w:val="es-CO" w:eastAsia="es-CO" w:bidi="es-CO"/>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lang w:val="es-CO" w:eastAsia="es-CO" w:bidi="es-CO"/>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lang w:val="es-CO" w:eastAsia="es-CO" w:bidi="es-CO"/>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lang w:val="es-CO" w:eastAsia="es-CO" w:bidi="es-CO"/>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lang w:val="es-CO" w:eastAsia="es-CO" w:bidi="es-CO"/>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lang w:val="es-CO" w:eastAsia="es-CO" w:bidi="es-CO"/>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lang w:val="es-CO" w:eastAsia="es-CO" w:bidi="es-CO"/>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lang w:val="es-CO" w:eastAsia="es-CO" w:bidi="es-CO"/>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lang w:val="es-CO" w:eastAsia="es-CO" w:bidi="es-CO"/>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lang w:val="es-CO" w:eastAsia="es-CO" w:bidi="es-CO"/>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lang w:val="es-CO" w:eastAsia="es-CO" w:bidi="es-CO"/>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lang w:val="es-CO" w:eastAsia="es-CO" w:bidi="es-CO"/>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lang w:val="es-CO" w:eastAsia="es-CO" w:bidi="es-CO"/>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lang w:val="es-CO" w:eastAsia="es-CO" w:bidi="es-CO"/>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lang w:val="es-CO" w:eastAsia="es-CO" w:bidi="es-CO"/>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lang w:val="es-CO" w:eastAsia="es-CO" w:bidi="es-CO"/>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lang w:val="es-CO" w:eastAsia="es-CO" w:bidi="es-CO"/>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lang w:val="es-CO" w:eastAsia="es-CO" w:bidi="es-CO"/>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lang w:val="es-CO" w:eastAsia="es-CO" w:bidi="es-CO"/>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lang w:val="es-CO" w:eastAsia="es-CO" w:bidi="es-CO"/>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lang w:val="es-CO" w:eastAsia="es-CO" w:bidi="es-CO"/>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lang w:val="es-CO" w:eastAsia="es-CO" w:bidi="es-C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es-CO" w:eastAsia="es-CO" w:bidi="es-CO"/>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lang w:val="es-CO" w:eastAsia="es-CO" w:bidi="es-CO"/>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es-CO" w:eastAsia="es-CO" w:bidi="es-CO"/>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lang w:val="es-CO" w:eastAsia="es-CO" w:bidi="es-CO"/>
      </w:rPr>
      <w:tblPr/>
      <w:tcPr>
        <w:tcBorders>
          <w:top w:val="nil"/>
          <w:bottom w:val="single" w:sz="8" w:space="0" w:color="000000" w:themeColor="text1"/>
        </w:tcBorders>
      </w:tcPr>
    </w:tblStylePr>
    <w:tblStylePr w:type="lastRow">
      <w:rPr>
        <w:b/>
        <w:bCs/>
        <w:color w:val="1F497D" w:themeColor="text2"/>
        <w:lang w:val="es-CO" w:eastAsia="es-CO" w:bidi="es-CO"/>
      </w:rPr>
      <w:tblPr/>
      <w:tcPr>
        <w:tcBorders>
          <w:top w:val="single" w:sz="8" w:space="0" w:color="000000" w:themeColor="text1"/>
          <w:bottom w:val="single" w:sz="8" w:space="0" w:color="000000" w:themeColor="text1"/>
        </w:tcBorders>
      </w:tcPr>
    </w:tblStylePr>
    <w:tblStylePr w:type="firstCol">
      <w:rPr>
        <w:b/>
        <w:bCs/>
        <w:lang w:val="es-CO" w:eastAsia="es-CO" w:bidi="es-CO"/>
      </w:rPr>
    </w:tblStylePr>
    <w:tblStylePr w:type="lastCol">
      <w:rPr>
        <w:b/>
        <w:bCs/>
        <w:lang w:val="es-CO" w:eastAsia="es-CO" w:bidi="es-CO"/>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lang w:val="es-CO" w:eastAsia="es-CO" w:bidi="es-CO"/>
      </w:rPr>
      <w:tblPr/>
      <w:tcPr>
        <w:tcBorders>
          <w:top w:val="nil"/>
          <w:bottom w:val="single" w:sz="8" w:space="0" w:color="4F81BD" w:themeColor="accent1"/>
        </w:tcBorders>
      </w:tcPr>
    </w:tblStylePr>
    <w:tblStylePr w:type="lastRow">
      <w:rPr>
        <w:b/>
        <w:bCs/>
        <w:color w:val="1F497D" w:themeColor="text2"/>
        <w:lang w:val="es-CO" w:eastAsia="es-CO" w:bidi="es-CO"/>
      </w:rPr>
      <w:tblPr/>
      <w:tcPr>
        <w:tcBorders>
          <w:top w:val="single" w:sz="8" w:space="0" w:color="4F81BD" w:themeColor="accent1"/>
          <w:bottom w:val="single" w:sz="8" w:space="0" w:color="4F81BD" w:themeColor="accent1"/>
        </w:tcBorders>
      </w:tcPr>
    </w:tblStylePr>
    <w:tblStylePr w:type="firstCol">
      <w:rPr>
        <w:b/>
        <w:bCs/>
        <w:lang w:val="es-CO" w:eastAsia="es-CO" w:bidi="es-CO"/>
      </w:rPr>
    </w:tblStylePr>
    <w:tblStylePr w:type="lastCol">
      <w:rPr>
        <w:b/>
        <w:bCs/>
        <w:lang w:val="es-CO" w:eastAsia="es-CO" w:bidi="es-CO"/>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lang w:val="es-CO" w:eastAsia="es-CO" w:bidi="es-CO"/>
      </w:rPr>
      <w:tblPr/>
      <w:tcPr>
        <w:tcBorders>
          <w:top w:val="nil"/>
          <w:bottom w:val="single" w:sz="8" w:space="0" w:color="C0504D" w:themeColor="accent2"/>
        </w:tcBorders>
      </w:tcPr>
    </w:tblStylePr>
    <w:tblStylePr w:type="lastRow">
      <w:rPr>
        <w:b/>
        <w:bCs/>
        <w:color w:val="1F497D" w:themeColor="text2"/>
        <w:lang w:val="es-CO" w:eastAsia="es-CO" w:bidi="es-CO"/>
      </w:rPr>
      <w:tblPr/>
      <w:tcPr>
        <w:tcBorders>
          <w:top w:val="single" w:sz="8" w:space="0" w:color="C0504D" w:themeColor="accent2"/>
          <w:bottom w:val="single" w:sz="8" w:space="0" w:color="C0504D" w:themeColor="accent2"/>
        </w:tcBorders>
      </w:tcPr>
    </w:tblStylePr>
    <w:tblStylePr w:type="firstCol">
      <w:rPr>
        <w:b/>
        <w:bCs/>
        <w:lang w:val="es-CO" w:eastAsia="es-CO" w:bidi="es-CO"/>
      </w:rPr>
    </w:tblStylePr>
    <w:tblStylePr w:type="lastCol">
      <w:rPr>
        <w:b/>
        <w:bCs/>
        <w:lang w:val="es-CO" w:eastAsia="es-CO" w:bidi="es-CO"/>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lang w:val="es-CO" w:eastAsia="es-CO" w:bidi="es-CO"/>
      </w:rPr>
      <w:tblPr/>
      <w:tcPr>
        <w:tcBorders>
          <w:top w:val="nil"/>
          <w:bottom w:val="single" w:sz="8" w:space="0" w:color="9BBB59" w:themeColor="accent3"/>
        </w:tcBorders>
      </w:tcPr>
    </w:tblStylePr>
    <w:tblStylePr w:type="lastRow">
      <w:rPr>
        <w:b/>
        <w:bCs/>
        <w:color w:val="1F497D" w:themeColor="text2"/>
        <w:lang w:val="es-CO" w:eastAsia="es-CO" w:bidi="es-CO"/>
      </w:rPr>
      <w:tblPr/>
      <w:tcPr>
        <w:tcBorders>
          <w:top w:val="single" w:sz="8" w:space="0" w:color="9BBB59" w:themeColor="accent3"/>
          <w:bottom w:val="single" w:sz="8" w:space="0" w:color="9BBB59" w:themeColor="accent3"/>
        </w:tcBorders>
      </w:tcPr>
    </w:tblStylePr>
    <w:tblStylePr w:type="firstCol">
      <w:rPr>
        <w:b/>
        <w:bCs/>
        <w:lang w:val="es-CO" w:eastAsia="es-CO" w:bidi="es-CO"/>
      </w:rPr>
    </w:tblStylePr>
    <w:tblStylePr w:type="lastCol">
      <w:rPr>
        <w:b/>
        <w:bCs/>
        <w:lang w:val="es-CO" w:eastAsia="es-CO" w:bidi="es-CO"/>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lang w:val="es-CO" w:eastAsia="es-CO" w:bidi="es-CO"/>
      </w:rPr>
      <w:tblPr/>
      <w:tcPr>
        <w:tcBorders>
          <w:top w:val="nil"/>
          <w:bottom w:val="single" w:sz="8" w:space="0" w:color="8064A2" w:themeColor="accent4"/>
        </w:tcBorders>
      </w:tcPr>
    </w:tblStylePr>
    <w:tblStylePr w:type="lastRow">
      <w:rPr>
        <w:b/>
        <w:bCs/>
        <w:color w:val="1F497D" w:themeColor="text2"/>
        <w:lang w:val="es-CO" w:eastAsia="es-CO" w:bidi="es-CO"/>
      </w:rPr>
      <w:tblPr/>
      <w:tcPr>
        <w:tcBorders>
          <w:top w:val="single" w:sz="8" w:space="0" w:color="8064A2" w:themeColor="accent4"/>
          <w:bottom w:val="single" w:sz="8" w:space="0" w:color="8064A2" w:themeColor="accent4"/>
        </w:tcBorders>
      </w:tcPr>
    </w:tblStylePr>
    <w:tblStylePr w:type="firstCol">
      <w:rPr>
        <w:b/>
        <w:bCs/>
        <w:lang w:val="es-CO" w:eastAsia="es-CO" w:bidi="es-CO"/>
      </w:rPr>
    </w:tblStylePr>
    <w:tblStylePr w:type="lastCol">
      <w:rPr>
        <w:b/>
        <w:bCs/>
        <w:lang w:val="es-CO" w:eastAsia="es-CO" w:bidi="es-CO"/>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lang w:val="es-CO" w:eastAsia="es-CO" w:bidi="es-CO"/>
      </w:rPr>
      <w:tblPr/>
      <w:tcPr>
        <w:tcBorders>
          <w:top w:val="nil"/>
          <w:bottom w:val="single" w:sz="8" w:space="0" w:color="4BACC6" w:themeColor="accent5"/>
        </w:tcBorders>
      </w:tcPr>
    </w:tblStylePr>
    <w:tblStylePr w:type="lastRow">
      <w:rPr>
        <w:b/>
        <w:bCs/>
        <w:color w:val="1F497D" w:themeColor="text2"/>
        <w:lang w:val="es-CO" w:eastAsia="es-CO" w:bidi="es-CO"/>
      </w:rPr>
      <w:tblPr/>
      <w:tcPr>
        <w:tcBorders>
          <w:top w:val="single" w:sz="8" w:space="0" w:color="4BACC6" w:themeColor="accent5"/>
          <w:bottom w:val="single" w:sz="8" w:space="0" w:color="4BACC6" w:themeColor="accent5"/>
        </w:tcBorders>
      </w:tcPr>
    </w:tblStylePr>
    <w:tblStylePr w:type="firstCol">
      <w:rPr>
        <w:b/>
        <w:bCs/>
        <w:lang w:val="es-CO" w:eastAsia="es-CO" w:bidi="es-CO"/>
      </w:rPr>
    </w:tblStylePr>
    <w:tblStylePr w:type="lastCol">
      <w:rPr>
        <w:b/>
        <w:bCs/>
        <w:lang w:val="es-CO" w:eastAsia="es-CO" w:bidi="es-CO"/>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lang w:val="es-CO" w:eastAsia="es-CO" w:bidi="es-CO"/>
      </w:rPr>
      <w:tblPr/>
      <w:tcPr>
        <w:tcBorders>
          <w:top w:val="nil"/>
          <w:bottom w:val="single" w:sz="8" w:space="0" w:color="F79646" w:themeColor="accent6"/>
        </w:tcBorders>
      </w:tcPr>
    </w:tblStylePr>
    <w:tblStylePr w:type="lastRow">
      <w:rPr>
        <w:b/>
        <w:bCs/>
        <w:color w:val="1F497D" w:themeColor="text2"/>
        <w:lang w:val="es-CO" w:eastAsia="es-CO" w:bidi="es-CO"/>
      </w:rPr>
      <w:tblPr/>
      <w:tcPr>
        <w:tcBorders>
          <w:top w:val="single" w:sz="8" w:space="0" w:color="F79646" w:themeColor="accent6"/>
          <w:bottom w:val="single" w:sz="8" w:space="0" w:color="F79646" w:themeColor="accent6"/>
        </w:tcBorders>
      </w:tcPr>
    </w:tblStylePr>
    <w:tblStylePr w:type="firstCol">
      <w:rPr>
        <w:b/>
        <w:bCs/>
        <w:lang w:val="es-CO" w:eastAsia="es-CO" w:bidi="es-CO"/>
      </w:rPr>
    </w:tblStylePr>
    <w:tblStylePr w:type="lastCol">
      <w:rPr>
        <w:b/>
        <w:bCs/>
        <w:lang w:val="es-CO" w:eastAsia="es-CO" w:bidi="es-CO"/>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lang w:val="es-CO" w:eastAsia="es-CO" w:bidi="es-CO"/>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lang w:val="es-CO" w:eastAsia="es-CO" w:bidi="es-CO"/>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lang w:val="es-CO" w:eastAsia="es-CO" w:bidi="es-CO"/>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lang w:val="es-CO" w:eastAsia="es-CO" w:bidi="es-CO"/>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lang w:val="es-CO" w:eastAsia="es-CO" w:bidi="es-CO"/>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lang w:val="es-CO" w:eastAsia="es-CO" w:bidi="es-CO"/>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lang w:val="es-CO" w:eastAsia="es-CO" w:bidi="es-CO"/>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lang w:val="es-CO" w:eastAsia="es-CO" w:bidi="es-CO"/>
      </w:rPr>
    </w:tblStylePr>
    <w:tblStylePr w:type="lastRow">
      <w:rPr>
        <w:b/>
        <w:bCs/>
        <w:lang w:val="es-CO" w:eastAsia="es-CO" w:bidi="es-CO"/>
      </w:rPr>
      <w:tblPr/>
      <w:tcPr>
        <w:tcBorders>
          <w:top w:val="single" w:sz="18" w:space="0" w:color="404040" w:themeColor="text1"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lang w:val="es-CO" w:eastAsia="es-CO" w:bidi="es-CO"/>
      </w:rPr>
    </w:tblStylePr>
    <w:tblStylePr w:type="lastRow">
      <w:rPr>
        <w:b/>
        <w:bCs/>
        <w:lang w:val="es-CO" w:eastAsia="es-CO" w:bidi="es-CO"/>
      </w:rPr>
      <w:tblPr/>
      <w:tcPr>
        <w:tcBorders>
          <w:top w:val="single" w:sz="18" w:space="0" w:color="7BA0CD" w:themeColor="accent1"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lang w:val="es-CO" w:eastAsia="es-CO" w:bidi="es-CO"/>
      </w:rPr>
    </w:tblStylePr>
    <w:tblStylePr w:type="lastRow">
      <w:rPr>
        <w:b/>
        <w:bCs/>
        <w:lang w:val="es-CO" w:eastAsia="es-CO" w:bidi="es-CO"/>
      </w:rPr>
      <w:tblPr/>
      <w:tcPr>
        <w:tcBorders>
          <w:top w:val="single" w:sz="18" w:space="0" w:color="CF7B79" w:themeColor="accent2"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lang w:val="es-CO" w:eastAsia="es-CO" w:bidi="es-CO"/>
      </w:rPr>
    </w:tblStylePr>
    <w:tblStylePr w:type="lastRow">
      <w:rPr>
        <w:b/>
        <w:bCs/>
        <w:lang w:val="es-CO" w:eastAsia="es-CO" w:bidi="es-CO"/>
      </w:rPr>
      <w:tblPr/>
      <w:tcPr>
        <w:tcBorders>
          <w:top w:val="single" w:sz="18" w:space="0" w:color="B3CC82" w:themeColor="accent3"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lang w:val="es-CO" w:eastAsia="es-CO" w:bidi="es-CO"/>
      </w:rPr>
    </w:tblStylePr>
    <w:tblStylePr w:type="lastRow">
      <w:rPr>
        <w:b/>
        <w:bCs/>
        <w:lang w:val="es-CO" w:eastAsia="es-CO" w:bidi="es-CO"/>
      </w:rPr>
      <w:tblPr/>
      <w:tcPr>
        <w:tcBorders>
          <w:top w:val="single" w:sz="18" w:space="0" w:color="9F8AB9" w:themeColor="accent4"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lang w:val="es-CO" w:eastAsia="es-CO" w:bidi="es-CO"/>
      </w:rPr>
    </w:tblStylePr>
    <w:tblStylePr w:type="lastRow">
      <w:rPr>
        <w:b/>
        <w:bCs/>
        <w:lang w:val="es-CO" w:eastAsia="es-CO" w:bidi="es-CO"/>
      </w:rPr>
      <w:tblPr/>
      <w:tcPr>
        <w:tcBorders>
          <w:top w:val="single" w:sz="18" w:space="0" w:color="78C0D4" w:themeColor="accent5"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lang w:val="es-CO" w:eastAsia="es-CO" w:bidi="es-CO"/>
      </w:rPr>
    </w:tblStylePr>
    <w:tblStylePr w:type="lastRow">
      <w:rPr>
        <w:b/>
        <w:bCs/>
        <w:lang w:val="es-CO" w:eastAsia="es-CO" w:bidi="es-CO"/>
      </w:rPr>
      <w:tblPr/>
      <w:tcPr>
        <w:tcBorders>
          <w:top w:val="single" w:sz="18" w:space="0" w:color="F9B074" w:themeColor="accent6" w:themeTint="BF"/>
        </w:tcBorders>
      </w:tcPr>
    </w:tblStylePr>
    <w:tblStylePr w:type="firstCol">
      <w:rPr>
        <w:b/>
        <w:bCs/>
        <w:lang w:val="es-CO" w:eastAsia="es-CO" w:bidi="es-CO"/>
      </w:rPr>
    </w:tblStylePr>
    <w:tblStylePr w:type="lastCol">
      <w:rPr>
        <w:b/>
        <w:bCs/>
        <w:lang w:val="es-CO" w:eastAsia="es-CO" w:bidi="es-CO"/>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lang w:val="es-CO" w:eastAsia="es-CO" w:bidi="es-CO"/>
      </w:rPr>
      <w:tblPr/>
      <w:tcPr>
        <w:shd w:val="clear" w:color="auto" w:fill="E6E6E6" w:themeFill="text1"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lang w:val="es-CO" w:eastAsia="es-CO" w:bidi="es-CO"/>
      </w:rPr>
      <w:tblPr/>
      <w:tcPr>
        <w:shd w:val="clear" w:color="auto" w:fill="EDF2F8" w:themeFill="accent1"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lang w:val="es-CO" w:eastAsia="es-CO" w:bidi="es-CO"/>
      </w:rPr>
      <w:tblPr/>
      <w:tcPr>
        <w:shd w:val="clear" w:color="auto" w:fill="F8EDED" w:themeFill="accent2"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lang w:val="es-CO" w:eastAsia="es-CO" w:bidi="es-CO"/>
      </w:rPr>
      <w:tblPr/>
      <w:tcPr>
        <w:shd w:val="clear" w:color="auto" w:fill="F5F8EE" w:themeFill="accent3"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lang w:val="es-CO" w:eastAsia="es-CO" w:bidi="es-CO"/>
      </w:rPr>
      <w:tblPr/>
      <w:tcPr>
        <w:shd w:val="clear" w:color="auto" w:fill="F2EFF6" w:themeFill="accent4"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lang w:val="es-CO" w:eastAsia="es-CO" w:bidi="es-CO"/>
      </w:rPr>
      <w:tblPr/>
      <w:tcPr>
        <w:shd w:val="clear" w:color="auto" w:fill="EDF6F9" w:themeFill="accent5"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lang w:val="es-CO" w:eastAsia="es-CO" w:bidi="es-CO"/>
      </w:rPr>
      <w:tblPr/>
      <w:tcPr>
        <w:shd w:val="clear" w:color="auto" w:fill="FEF4EC" w:themeFill="accent6" w:themeFillTint="19"/>
      </w:tcPr>
    </w:tblStylePr>
    <w:tblStylePr w:type="lastRow">
      <w:rPr>
        <w:b/>
        <w:bCs/>
        <w:color w:val="000000" w:themeColor="text1"/>
        <w:lang w:val="es-CO" w:eastAsia="es-CO" w:bidi="es-CO"/>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es-CO" w:eastAsia="es-CO" w:bidi="es-CO"/>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es-CO" w:eastAsia="es-CO" w:bidi="es-CO"/>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lang w:val="es-CO" w:eastAsia="es-CO" w:bidi="es-CO"/>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lang w:val="es-CO" w:eastAsia="es-CO" w:bidi="es-CO"/>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lang w:val="es-CO" w:eastAsia="es-CO" w:bidi="es-CO"/>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lang w:val="es-CO" w:eastAsia="es-CO" w:bidi="es-CO"/>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lang w:val="es-CO" w:eastAsia="es-CO" w:bidi="es-CO"/>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lang w:val="es-CO" w:eastAsia="es-CO" w:bidi="es-CO"/>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000000" w:themeFill="text1" w:themeFillShade="99"/>
      </w:tcPr>
    </w:tblStylePr>
    <w:tblStylePr w:type="firstCol">
      <w:rPr>
        <w:color w:val="FFFFFF" w:themeColor="background1"/>
        <w:lang w:val="es-CO" w:eastAsia="es-CO" w:bidi="es-CO"/>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lang w:val="es-CO" w:eastAsia="es-CO" w:bidi="es-CO"/>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2C4C74" w:themeFill="accent1" w:themeFillShade="99"/>
      </w:tcPr>
    </w:tblStylePr>
    <w:tblStylePr w:type="firstCol">
      <w:rPr>
        <w:color w:val="FFFFFF" w:themeColor="background1"/>
        <w:lang w:val="es-CO" w:eastAsia="es-CO" w:bidi="es-CO"/>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lang w:val="es-CO" w:eastAsia="es-CO" w:bidi="es-CO"/>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772C2A" w:themeFill="accent2" w:themeFillShade="99"/>
      </w:tcPr>
    </w:tblStylePr>
    <w:tblStylePr w:type="firstCol">
      <w:rPr>
        <w:color w:val="FFFFFF" w:themeColor="background1"/>
        <w:lang w:val="es-CO" w:eastAsia="es-CO" w:bidi="es-CO"/>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lang w:val="es-CO" w:eastAsia="es-CO" w:bidi="es-CO"/>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5E7530" w:themeFill="accent3" w:themeFillShade="99"/>
      </w:tcPr>
    </w:tblStylePr>
    <w:tblStylePr w:type="firstCol">
      <w:rPr>
        <w:color w:val="FFFFFF" w:themeColor="background1"/>
        <w:lang w:val="es-CO" w:eastAsia="es-CO" w:bidi="es-CO"/>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lang w:val="es-CO" w:eastAsia="es-CO" w:bidi="es-CO"/>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4C3B62" w:themeFill="accent4" w:themeFillShade="99"/>
      </w:tcPr>
    </w:tblStylePr>
    <w:tblStylePr w:type="firstCol">
      <w:rPr>
        <w:color w:val="FFFFFF" w:themeColor="background1"/>
        <w:lang w:val="es-CO" w:eastAsia="es-CO" w:bidi="es-CO"/>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lang w:val="es-CO" w:eastAsia="es-CO" w:bidi="es-CO"/>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276A7C" w:themeFill="accent5" w:themeFillShade="99"/>
      </w:tcPr>
    </w:tblStylePr>
    <w:tblStylePr w:type="firstCol">
      <w:rPr>
        <w:color w:val="FFFFFF" w:themeColor="background1"/>
        <w:lang w:val="es-CO" w:eastAsia="es-CO" w:bidi="es-CO"/>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lang w:val="es-CO" w:eastAsia="es-CO" w:bidi="es-CO"/>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lang w:val="es-CO" w:eastAsia="es-CO" w:bidi="es-CO"/>
      </w:rPr>
      <w:tblPr/>
      <w:tcPr>
        <w:tcBorders>
          <w:top w:val="single" w:sz="6" w:space="0" w:color="FFFFFF" w:themeColor="background1"/>
        </w:tcBorders>
        <w:shd w:val="clear" w:color="auto" w:fill="B65608" w:themeFill="accent6" w:themeFillShade="99"/>
      </w:tcPr>
    </w:tblStylePr>
    <w:tblStylePr w:type="firstCol">
      <w:rPr>
        <w:color w:val="FFFFFF" w:themeColor="background1"/>
        <w:lang w:val="es-CO" w:eastAsia="es-CO" w:bidi="es-CO"/>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lang w:val="es-CO" w:eastAsia="es-CO" w:bidi="es-CO"/>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lang w:val="es-CO" w:eastAsia="es-CO" w:bidi="es-CO"/>
      </w:rPr>
    </w:tblStylePr>
    <w:tblStylePr w:type="nwCell">
      <w:rPr>
        <w:color w:val="000000" w:themeColor="text1"/>
        <w:lang w:val="es-CO" w:eastAsia="es-CO" w:bidi="es-CO"/>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lang w:val="es-CO" w:eastAsia="es-CO" w:bidi="es-CO"/>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lang w:val="es-CO" w:eastAsia="es-CO" w:bidi="es-CO"/>
      </w:rPr>
      <w:tblPr/>
      <w:tcPr>
        <w:tcBorders>
          <w:top w:val="single" w:sz="12" w:space="0" w:color="000000" w:themeColor="text1"/>
        </w:tcBorders>
        <w:shd w:val="clear" w:color="auto" w:fill="FFFFFF" w:themeFill="background1"/>
      </w:tcPr>
    </w:tblStylePr>
    <w:tblStylePr w:type="firstCol">
      <w:rPr>
        <w:b/>
        <w:bCs/>
        <w:lang w:val="es-CO" w:eastAsia="es-CO" w:bidi="es-CO"/>
      </w:rPr>
    </w:tblStylePr>
    <w:tblStylePr w:type="lastCol">
      <w:rPr>
        <w:b/>
        <w:bCs/>
        <w:lang w:val="es-CO" w:eastAsia="es-CO" w:bidi="es-CO"/>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lang w:val="es-CO" w:eastAsia="es-CO" w:bidi="es-CO"/>
      </w:rPr>
      <w:tblPr/>
      <w:tcPr>
        <w:shd w:val="clear" w:color="auto" w:fill="999999" w:themeFill="text1" w:themeFillTint="66"/>
      </w:tcPr>
    </w:tblStylePr>
    <w:tblStylePr w:type="lastRow">
      <w:rPr>
        <w:b/>
        <w:bCs/>
        <w:color w:val="000000" w:themeColor="text1"/>
        <w:lang w:val="es-CO" w:eastAsia="es-CO" w:bidi="es-CO"/>
      </w:rPr>
      <w:tblPr/>
      <w:tcPr>
        <w:shd w:val="clear" w:color="auto" w:fill="999999" w:themeFill="text1" w:themeFillTint="66"/>
      </w:tcPr>
    </w:tblStylePr>
    <w:tblStylePr w:type="firstCol">
      <w:rPr>
        <w:color w:val="FFFFFF" w:themeColor="background1"/>
        <w:lang w:val="es-CO" w:eastAsia="es-CO" w:bidi="es-CO"/>
      </w:rPr>
      <w:tblPr/>
      <w:tcPr>
        <w:shd w:val="clear" w:color="auto" w:fill="000000" w:themeFill="text1" w:themeFillShade="BF"/>
      </w:tcPr>
    </w:tblStylePr>
    <w:tblStylePr w:type="lastCol">
      <w:rPr>
        <w:color w:val="FFFFFF" w:themeColor="background1"/>
        <w:lang w:val="es-CO" w:eastAsia="es-CO" w:bidi="es-CO"/>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lang w:val="es-CO" w:eastAsia="es-CO" w:bidi="es-CO"/>
      </w:rPr>
      <w:tblPr/>
      <w:tcPr>
        <w:shd w:val="clear" w:color="auto" w:fill="B8CCE4" w:themeFill="accent1" w:themeFillTint="66"/>
      </w:tcPr>
    </w:tblStylePr>
    <w:tblStylePr w:type="lastRow">
      <w:rPr>
        <w:b/>
        <w:bCs/>
        <w:color w:val="000000" w:themeColor="text1"/>
        <w:lang w:val="es-CO" w:eastAsia="es-CO" w:bidi="es-CO"/>
      </w:rPr>
      <w:tblPr/>
      <w:tcPr>
        <w:shd w:val="clear" w:color="auto" w:fill="B8CCE4" w:themeFill="accent1" w:themeFillTint="66"/>
      </w:tcPr>
    </w:tblStylePr>
    <w:tblStylePr w:type="firstCol">
      <w:rPr>
        <w:color w:val="FFFFFF" w:themeColor="background1"/>
        <w:lang w:val="es-CO" w:eastAsia="es-CO" w:bidi="es-CO"/>
      </w:rPr>
      <w:tblPr/>
      <w:tcPr>
        <w:shd w:val="clear" w:color="auto" w:fill="365F91" w:themeFill="accent1" w:themeFillShade="BF"/>
      </w:tcPr>
    </w:tblStylePr>
    <w:tblStylePr w:type="lastCol">
      <w:rPr>
        <w:color w:val="FFFFFF" w:themeColor="background1"/>
        <w:lang w:val="es-CO" w:eastAsia="es-CO" w:bidi="es-CO"/>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lang w:val="es-CO" w:eastAsia="es-CO" w:bidi="es-CO"/>
      </w:rPr>
      <w:tblPr/>
      <w:tcPr>
        <w:shd w:val="clear" w:color="auto" w:fill="E5B8B7" w:themeFill="accent2" w:themeFillTint="66"/>
      </w:tcPr>
    </w:tblStylePr>
    <w:tblStylePr w:type="lastRow">
      <w:rPr>
        <w:b/>
        <w:bCs/>
        <w:color w:val="000000" w:themeColor="text1"/>
        <w:lang w:val="es-CO" w:eastAsia="es-CO" w:bidi="es-CO"/>
      </w:rPr>
      <w:tblPr/>
      <w:tcPr>
        <w:shd w:val="clear" w:color="auto" w:fill="E5B8B7" w:themeFill="accent2" w:themeFillTint="66"/>
      </w:tcPr>
    </w:tblStylePr>
    <w:tblStylePr w:type="firstCol">
      <w:rPr>
        <w:color w:val="FFFFFF" w:themeColor="background1"/>
        <w:lang w:val="es-CO" w:eastAsia="es-CO" w:bidi="es-CO"/>
      </w:rPr>
      <w:tblPr/>
      <w:tcPr>
        <w:shd w:val="clear" w:color="auto" w:fill="943634" w:themeFill="accent2" w:themeFillShade="BF"/>
      </w:tcPr>
    </w:tblStylePr>
    <w:tblStylePr w:type="lastCol">
      <w:rPr>
        <w:color w:val="FFFFFF" w:themeColor="background1"/>
        <w:lang w:val="es-CO" w:eastAsia="es-CO" w:bidi="es-CO"/>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lang w:val="es-CO" w:eastAsia="es-CO" w:bidi="es-CO"/>
      </w:rPr>
      <w:tblPr/>
      <w:tcPr>
        <w:shd w:val="clear" w:color="auto" w:fill="D6E3BC" w:themeFill="accent3" w:themeFillTint="66"/>
      </w:tcPr>
    </w:tblStylePr>
    <w:tblStylePr w:type="lastRow">
      <w:rPr>
        <w:b/>
        <w:bCs/>
        <w:color w:val="000000" w:themeColor="text1"/>
        <w:lang w:val="es-CO" w:eastAsia="es-CO" w:bidi="es-CO"/>
      </w:rPr>
      <w:tblPr/>
      <w:tcPr>
        <w:shd w:val="clear" w:color="auto" w:fill="D6E3BC" w:themeFill="accent3" w:themeFillTint="66"/>
      </w:tcPr>
    </w:tblStylePr>
    <w:tblStylePr w:type="firstCol">
      <w:rPr>
        <w:color w:val="FFFFFF" w:themeColor="background1"/>
        <w:lang w:val="es-CO" w:eastAsia="es-CO" w:bidi="es-CO"/>
      </w:rPr>
      <w:tblPr/>
      <w:tcPr>
        <w:shd w:val="clear" w:color="auto" w:fill="76923C" w:themeFill="accent3" w:themeFillShade="BF"/>
      </w:tcPr>
    </w:tblStylePr>
    <w:tblStylePr w:type="lastCol">
      <w:rPr>
        <w:color w:val="FFFFFF" w:themeColor="background1"/>
        <w:lang w:val="es-CO" w:eastAsia="es-CO" w:bidi="es-CO"/>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lang w:val="es-CO" w:eastAsia="es-CO" w:bidi="es-CO"/>
      </w:rPr>
      <w:tblPr/>
      <w:tcPr>
        <w:shd w:val="clear" w:color="auto" w:fill="CCC0D9" w:themeFill="accent4" w:themeFillTint="66"/>
      </w:tcPr>
    </w:tblStylePr>
    <w:tblStylePr w:type="lastRow">
      <w:rPr>
        <w:b/>
        <w:bCs/>
        <w:color w:val="000000" w:themeColor="text1"/>
        <w:lang w:val="es-CO" w:eastAsia="es-CO" w:bidi="es-CO"/>
      </w:rPr>
      <w:tblPr/>
      <w:tcPr>
        <w:shd w:val="clear" w:color="auto" w:fill="CCC0D9" w:themeFill="accent4" w:themeFillTint="66"/>
      </w:tcPr>
    </w:tblStylePr>
    <w:tblStylePr w:type="firstCol">
      <w:rPr>
        <w:color w:val="FFFFFF" w:themeColor="background1"/>
        <w:lang w:val="es-CO" w:eastAsia="es-CO" w:bidi="es-CO"/>
      </w:rPr>
      <w:tblPr/>
      <w:tcPr>
        <w:shd w:val="clear" w:color="auto" w:fill="5F497A" w:themeFill="accent4" w:themeFillShade="BF"/>
      </w:tcPr>
    </w:tblStylePr>
    <w:tblStylePr w:type="lastCol">
      <w:rPr>
        <w:color w:val="FFFFFF" w:themeColor="background1"/>
        <w:lang w:val="es-CO" w:eastAsia="es-CO" w:bidi="es-CO"/>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lang w:val="es-CO" w:eastAsia="es-CO" w:bidi="es-CO"/>
      </w:rPr>
      <w:tblPr/>
      <w:tcPr>
        <w:shd w:val="clear" w:color="auto" w:fill="B6DDE8" w:themeFill="accent5" w:themeFillTint="66"/>
      </w:tcPr>
    </w:tblStylePr>
    <w:tblStylePr w:type="lastRow">
      <w:rPr>
        <w:b/>
        <w:bCs/>
        <w:color w:val="000000" w:themeColor="text1"/>
        <w:lang w:val="es-CO" w:eastAsia="es-CO" w:bidi="es-CO"/>
      </w:rPr>
      <w:tblPr/>
      <w:tcPr>
        <w:shd w:val="clear" w:color="auto" w:fill="B6DDE8" w:themeFill="accent5" w:themeFillTint="66"/>
      </w:tcPr>
    </w:tblStylePr>
    <w:tblStylePr w:type="firstCol">
      <w:rPr>
        <w:color w:val="FFFFFF" w:themeColor="background1"/>
        <w:lang w:val="es-CO" w:eastAsia="es-CO" w:bidi="es-CO"/>
      </w:rPr>
      <w:tblPr/>
      <w:tcPr>
        <w:shd w:val="clear" w:color="auto" w:fill="31849B" w:themeFill="accent5" w:themeFillShade="BF"/>
      </w:tcPr>
    </w:tblStylePr>
    <w:tblStylePr w:type="lastCol">
      <w:rPr>
        <w:color w:val="FFFFFF" w:themeColor="background1"/>
        <w:lang w:val="es-CO" w:eastAsia="es-CO" w:bidi="es-CO"/>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lang w:val="es-CO" w:eastAsia="es-CO" w:bidi="es-CO"/>
      </w:rPr>
      <w:tblPr/>
      <w:tcPr>
        <w:shd w:val="clear" w:color="auto" w:fill="FBD4B4" w:themeFill="accent6" w:themeFillTint="66"/>
      </w:tcPr>
    </w:tblStylePr>
    <w:tblStylePr w:type="lastRow">
      <w:rPr>
        <w:b/>
        <w:bCs/>
        <w:color w:val="000000" w:themeColor="text1"/>
        <w:lang w:val="es-CO" w:eastAsia="es-CO" w:bidi="es-CO"/>
      </w:rPr>
      <w:tblPr/>
      <w:tcPr>
        <w:shd w:val="clear" w:color="auto" w:fill="FBD4B4" w:themeFill="accent6" w:themeFillTint="66"/>
      </w:tcPr>
    </w:tblStylePr>
    <w:tblStylePr w:type="firstCol">
      <w:rPr>
        <w:color w:val="FFFFFF" w:themeColor="background1"/>
        <w:lang w:val="es-CO" w:eastAsia="es-CO" w:bidi="es-CO"/>
      </w:rPr>
      <w:tblPr/>
      <w:tcPr>
        <w:shd w:val="clear" w:color="auto" w:fill="E36C0A" w:themeFill="accent6" w:themeFillShade="BF"/>
      </w:tcPr>
    </w:tblStylePr>
    <w:tblStylePr w:type="lastCol">
      <w:rPr>
        <w:color w:val="FFFFFF" w:themeColor="background1"/>
        <w:lang w:val="es-CO" w:eastAsia="es-CO" w:bidi="es-CO"/>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01DDF"/>
    <w:pPr>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4599</Words>
  <Characters>25299</Characters>
  <Application>Microsoft Office Word</Application>
  <DocSecurity>0</DocSecurity>
  <Lines>210</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Nicolás Mateo Hernández Laver</cp:lastModifiedBy>
  <cp:revision>3</cp:revision>
  <cp:lastPrinted>2026-09-29T21:13:00Z</cp:lastPrinted>
  <dcterms:created xsi:type="dcterms:W3CDTF">2026-09-29T21:29:00Z</dcterms:created>
  <dcterms:modified xsi:type="dcterms:W3CDTF">2026-09-29T22:11:00Z</dcterms:modified>
  <cp:category/>
</cp:coreProperties>
</file>