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1279" w:rsidRPr="00315FA0" w:rsidRDefault="007B45A1" w:rsidP="00CD1279">
      <w:pPr>
        <w:spacing w:line="276" w:lineRule="auto"/>
        <w:rPr>
          <w:rFonts w:ascii="Arial Narrow" w:hAnsi="Arial Narrow"/>
        </w:rPr>
      </w:pPr>
      <w:r w:rsidRPr="00315FA0">
        <w:rPr>
          <w:rFonts w:ascii="Arial Narrow" w:hAnsi="Arial Narrow"/>
        </w:rPr>
        <w:t>Bogotá, D. C., 21</w:t>
      </w:r>
      <w:r w:rsidR="00CD1279" w:rsidRPr="00315FA0">
        <w:rPr>
          <w:rFonts w:ascii="Arial Narrow" w:hAnsi="Arial Narrow"/>
        </w:rPr>
        <w:t xml:space="preserve"> de octubre de 2026</w:t>
      </w:r>
    </w:p>
    <w:p w:rsidR="00CD1279" w:rsidRPr="00315FA0" w:rsidRDefault="00CD1279" w:rsidP="00CD1279">
      <w:pPr>
        <w:spacing w:line="276" w:lineRule="auto"/>
        <w:jc w:val="both"/>
        <w:rPr>
          <w:rFonts w:ascii="Arial Narrow" w:hAnsi="Arial Narrow"/>
        </w:rPr>
      </w:pPr>
    </w:p>
    <w:p w:rsidR="00CD1279" w:rsidRPr="00315FA0" w:rsidRDefault="00CD1279" w:rsidP="00CD1279">
      <w:pPr>
        <w:spacing w:line="276" w:lineRule="auto"/>
        <w:rPr>
          <w:rFonts w:ascii="Arial Narrow" w:hAnsi="Arial Narrow"/>
        </w:rPr>
      </w:pPr>
      <w:r w:rsidRPr="00315FA0">
        <w:rPr>
          <w:rFonts w:ascii="Arial Narrow" w:hAnsi="Arial Narrow"/>
        </w:rPr>
        <w:t>Honorable Representante</w:t>
      </w:r>
    </w:p>
    <w:p w:rsidR="00CD1279" w:rsidRPr="00315FA0" w:rsidRDefault="00CD1279" w:rsidP="00CD1279">
      <w:pPr>
        <w:spacing w:line="276" w:lineRule="auto"/>
        <w:rPr>
          <w:rFonts w:ascii="Arial Narrow" w:hAnsi="Arial Narrow"/>
          <w:b/>
          <w:bCs/>
        </w:rPr>
      </w:pPr>
      <w:r w:rsidRPr="00315FA0">
        <w:rPr>
          <w:rFonts w:ascii="Arial Narrow" w:hAnsi="Arial Narrow"/>
          <w:b/>
          <w:bCs/>
        </w:rPr>
        <w:t>JOSÉ JAIME USCÁTEGUI PASTRANA</w:t>
      </w:r>
    </w:p>
    <w:p w:rsidR="00CD1279" w:rsidRPr="00315FA0" w:rsidRDefault="00CD1279" w:rsidP="00CD1279">
      <w:pPr>
        <w:spacing w:line="276" w:lineRule="auto"/>
        <w:rPr>
          <w:rFonts w:ascii="Arial Narrow" w:hAnsi="Arial Narrow"/>
        </w:rPr>
      </w:pPr>
      <w:r w:rsidRPr="00315FA0">
        <w:rPr>
          <w:rFonts w:ascii="Arial Narrow" w:hAnsi="Arial Narrow"/>
        </w:rPr>
        <w:t>Presidente</w:t>
      </w:r>
    </w:p>
    <w:p w:rsidR="00CD1279" w:rsidRPr="00315FA0" w:rsidRDefault="00CD1279" w:rsidP="00CD1279">
      <w:pPr>
        <w:spacing w:line="276" w:lineRule="auto"/>
        <w:rPr>
          <w:rFonts w:ascii="Arial Narrow" w:hAnsi="Arial Narrow"/>
        </w:rPr>
      </w:pPr>
      <w:r w:rsidRPr="00315FA0">
        <w:rPr>
          <w:rFonts w:ascii="Arial Narrow" w:hAnsi="Arial Narrow"/>
        </w:rPr>
        <w:t>Comisión Primera Constitucional Permanente</w:t>
      </w:r>
    </w:p>
    <w:p w:rsidR="00CD1279" w:rsidRPr="00315FA0" w:rsidRDefault="00CD1279" w:rsidP="00CD1279">
      <w:pPr>
        <w:spacing w:line="276" w:lineRule="auto"/>
        <w:rPr>
          <w:rFonts w:ascii="Arial Narrow" w:hAnsi="Arial Narrow"/>
        </w:rPr>
      </w:pPr>
      <w:r w:rsidRPr="00315FA0">
        <w:rPr>
          <w:rFonts w:ascii="Arial Narrow" w:hAnsi="Arial Narrow"/>
        </w:rPr>
        <w:t>Cámara de Representantes</w:t>
      </w:r>
    </w:p>
    <w:p w:rsidR="00CD1279" w:rsidRPr="00315FA0" w:rsidRDefault="00CD1279" w:rsidP="00CD1279">
      <w:pPr>
        <w:spacing w:line="276" w:lineRule="auto"/>
        <w:rPr>
          <w:rFonts w:ascii="Arial Narrow" w:hAnsi="Arial Narrow"/>
        </w:rPr>
      </w:pPr>
      <w:r w:rsidRPr="00315FA0">
        <w:rPr>
          <w:rFonts w:ascii="Arial Narrow" w:hAnsi="Arial Narrow"/>
        </w:rPr>
        <w:t>Ciudad</w:t>
      </w:r>
    </w:p>
    <w:p w:rsidR="00CD1279" w:rsidRPr="00315FA0" w:rsidRDefault="00CD1279" w:rsidP="00CD1279">
      <w:pPr>
        <w:spacing w:line="276" w:lineRule="auto"/>
        <w:jc w:val="both"/>
        <w:rPr>
          <w:rFonts w:ascii="Arial Narrow" w:hAnsi="Arial Narrow"/>
        </w:rPr>
      </w:pPr>
    </w:p>
    <w:p w:rsidR="00CD1279" w:rsidRPr="00315FA0" w:rsidRDefault="00CD1279" w:rsidP="00CD1279">
      <w:pPr>
        <w:spacing w:line="276" w:lineRule="auto"/>
        <w:ind w:left="720"/>
        <w:jc w:val="both"/>
        <w:rPr>
          <w:rFonts w:ascii="Arial Narrow" w:hAnsi="Arial Narrow"/>
        </w:rPr>
      </w:pPr>
      <w:r w:rsidRPr="00315FA0">
        <w:rPr>
          <w:rFonts w:ascii="Arial Narrow" w:hAnsi="Arial Narrow"/>
          <w:b/>
          <w:bCs/>
        </w:rPr>
        <w:t>Referencia:</w:t>
      </w:r>
      <w:r w:rsidRPr="00315FA0">
        <w:rPr>
          <w:rFonts w:ascii="Arial Narrow" w:hAnsi="Arial Narrow"/>
        </w:rPr>
        <w:t xml:space="preserve"> Informe de ponencia positiva para primer debate al Proyecto de Ley No. 345 de 2026 Cámara, “Por medio de la cual se confiere carácter permanente al marco legal de la acción integral contra minas antipersonal, se fortalecen el desminado humanitario y la atención a las víctimas y se dictan otras disposiciones”.</w:t>
      </w:r>
    </w:p>
    <w:p w:rsidR="00CD1279" w:rsidRPr="00315FA0" w:rsidRDefault="00CD1279" w:rsidP="00CD1279">
      <w:pPr>
        <w:spacing w:line="276" w:lineRule="auto"/>
        <w:jc w:val="both"/>
        <w:rPr>
          <w:rFonts w:ascii="Arial Narrow" w:hAnsi="Arial Narrow"/>
        </w:rPr>
      </w:pPr>
    </w:p>
    <w:p w:rsidR="00CD1279" w:rsidRPr="00315FA0" w:rsidRDefault="00CD1279" w:rsidP="00CD1279">
      <w:pPr>
        <w:spacing w:line="276" w:lineRule="auto"/>
        <w:rPr>
          <w:rFonts w:ascii="Arial Narrow" w:hAnsi="Arial Narrow"/>
        </w:rPr>
      </w:pPr>
      <w:r w:rsidRPr="00315FA0">
        <w:rPr>
          <w:rFonts w:ascii="Arial Narrow" w:hAnsi="Arial Narrow"/>
        </w:rPr>
        <w:t>Respetado señor Presidente:</w:t>
      </w:r>
    </w:p>
    <w:p w:rsidR="00CD1279" w:rsidRPr="00315FA0" w:rsidRDefault="00CD1279" w:rsidP="00CD1279">
      <w:pPr>
        <w:spacing w:line="276" w:lineRule="auto"/>
        <w:jc w:val="both"/>
        <w:rPr>
          <w:rFonts w:ascii="Arial Narrow" w:hAnsi="Arial Narrow"/>
        </w:rPr>
      </w:pPr>
    </w:p>
    <w:p w:rsidR="00CD1279" w:rsidRPr="00315FA0" w:rsidRDefault="00CD1279" w:rsidP="00CD1279">
      <w:pPr>
        <w:spacing w:line="276" w:lineRule="auto"/>
        <w:jc w:val="both"/>
        <w:rPr>
          <w:rFonts w:ascii="Arial Narrow" w:hAnsi="Arial Narrow"/>
        </w:rPr>
      </w:pPr>
      <w:r w:rsidRPr="00315FA0">
        <w:rPr>
          <w:rFonts w:ascii="Arial Narrow" w:hAnsi="Arial Narrow"/>
        </w:rPr>
        <w:t>En cumplimiento de la designación efectuada por la Mesa Directiva de la Comisión Primera Constitucional Permanente, comunicada mediante oficio C.P.C.P. 3.1-0384-2026 del 7 de octubre de 2026 (Acta No. 14 del 6 de octubre de 2026), y de conformidad con los artículos 150, 153 y 156 de la Ley 5ª de 1992, presentamos informe de ponencia positiva con pliego de modificaciones para primer debate al Proyecto de Ley No. 345 de 2026 Cámara.</w:t>
      </w:r>
    </w:p>
    <w:p w:rsidR="00CD1279" w:rsidRPr="00315FA0" w:rsidRDefault="00CD1279" w:rsidP="00CD1279">
      <w:pPr>
        <w:spacing w:line="276" w:lineRule="auto"/>
        <w:jc w:val="both"/>
        <w:rPr>
          <w:rFonts w:ascii="Arial Narrow" w:hAnsi="Arial Narrow"/>
        </w:rPr>
      </w:pPr>
    </w:p>
    <w:p w:rsidR="00CD1279" w:rsidRPr="00315FA0" w:rsidRDefault="00CD1279" w:rsidP="00CD1279">
      <w:pPr>
        <w:spacing w:line="276" w:lineRule="auto"/>
        <w:rPr>
          <w:rFonts w:ascii="Arial Narrow" w:hAnsi="Arial Narrow"/>
        </w:rPr>
      </w:pPr>
      <w:r w:rsidRPr="00315FA0">
        <w:rPr>
          <w:rFonts w:ascii="Arial Narrow" w:hAnsi="Arial Narrow"/>
        </w:rPr>
        <w:t>Cordialmente,</w:t>
      </w:r>
    </w:p>
    <w:p w:rsidR="00CD1279" w:rsidRPr="00315FA0" w:rsidRDefault="00CD1279" w:rsidP="00CD1279">
      <w:pPr>
        <w:spacing w:line="276" w:lineRule="auto"/>
        <w:jc w:val="both"/>
        <w:rPr>
          <w:rFonts w:ascii="Arial Narrow" w:hAnsi="Arial Narrow"/>
        </w:rPr>
      </w:pPr>
    </w:p>
    <w:p w:rsidR="00CD1279" w:rsidRPr="00315FA0" w:rsidRDefault="00CD1279" w:rsidP="00CD1279">
      <w:pPr>
        <w:keepNext/>
        <w:spacing w:line="276" w:lineRule="auto"/>
        <w:rPr>
          <w:rFonts w:ascii="Arial Narrow" w:hAnsi="Arial Narrow"/>
          <w:b/>
        </w:rPr>
        <w:sectPr w:rsidR="00CD1279" w:rsidRPr="00315FA0">
          <w:headerReference w:type="default" r:id="rId8"/>
          <w:footerReference w:type="default" r:id="rId9"/>
          <w:pgSz w:w="12240" w:h="15840"/>
          <w:pgMar w:top="2100" w:right="1040" w:bottom="1900" w:left="1040" w:header="300" w:footer="250" w:gutter="0"/>
          <w:cols w:space="720"/>
          <w:docGrid w:linePitch="360"/>
        </w:sectPr>
      </w:pPr>
    </w:p>
    <w:p w:rsidR="00CD1279" w:rsidRPr="00315FA0" w:rsidRDefault="00CD1279" w:rsidP="00CD1279">
      <w:pPr>
        <w:keepNext/>
        <w:spacing w:line="276" w:lineRule="auto"/>
        <w:rPr>
          <w:rFonts w:ascii="Arial Narrow" w:hAnsi="Arial Narrow"/>
          <w:b/>
        </w:rPr>
      </w:pPr>
      <w:r w:rsidRPr="00315FA0">
        <w:rPr>
          <w:rFonts w:ascii="Arial Narrow" w:hAnsi="Arial Narrow"/>
          <w:b/>
        </w:rPr>
        <w:t>H.R GUILLERMO LEÓN BLANCO VALENCIA</w:t>
      </w:r>
    </w:p>
    <w:p w:rsidR="00CD1279" w:rsidRPr="00315FA0" w:rsidRDefault="00CD1279" w:rsidP="00CD1279">
      <w:pPr>
        <w:spacing w:line="276" w:lineRule="auto"/>
        <w:rPr>
          <w:rFonts w:ascii="Arial Narrow" w:hAnsi="Arial Narrow"/>
        </w:rPr>
      </w:pPr>
      <w:r w:rsidRPr="00315FA0">
        <w:rPr>
          <w:rFonts w:ascii="Arial Narrow" w:hAnsi="Arial Narrow"/>
        </w:rPr>
        <w:t>Representante a la Cámara – Coordinador ponente</w:t>
      </w:r>
    </w:p>
    <w:p w:rsidR="00CD1279" w:rsidRPr="00315FA0" w:rsidRDefault="00CD1279" w:rsidP="00CD1279">
      <w:pPr>
        <w:spacing w:line="276" w:lineRule="auto"/>
        <w:jc w:val="both"/>
        <w:rPr>
          <w:rFonts w:ascii="Arial Narrow" w:hAnsi="Arial Narrow"/>
        </w:rPr>
      </w:pPr>
    </w:p>
    <w:p w:rsidR="00CD1279" w:rsidRPr="00315FA0" w:rsidRDefault="00CD1279" w:rsidP="00CD1279">
      <w:pPr>
        <w:spacing w:line="276" w:lineRule="auto"/>
        <w:jc w:val="both"/>
        <w:rPr>
          <w:rFonts w:ascii="Arial Narrow" w:hAnsi="Arial Narrow"/>
        </w:rPr>
      </w:pPr>
    </w:p>
    <w:p w:rsidR="00CD1279" w:rsidRPr="00315FA0" w:rsidRDefault="00CD1279" w:rsidP="00CD1279">
      <w:pPr>
        <w:keepNext/>
        <w:spacing w:line="276" w:lineRule="auto"/>
        <w:rPr>
          <w:rFonts w:ascii="Arial Narrow" w:hAnsi="Arial Narrow"/>
          <w:b/>
        </w:rPr>
      </w:pPr>
      <w:r w:rsidRPr="00315FA0">
        <w:rPr>
          <w:rFonts w:ascii="Arial Narrow" w:hAnsi="Arial Narrow"/>
          <w:b/>
        </w:rPr>
        <w:t>H.R DANIEL FELIPE BERNAL MONTEALEGRE</w:t>
      </w:r>
    </w:p>
    <w:p w:rsidR="00CD1279" w:rsidRPr="00315FA0" w:rsidRDefault="00CD1279" w:rsidP="00CD1279">
      <w:pPr>
        <w:spacing w:line="276" w:lineRule="auto"/>
        <w:rPr>
          <w:rFonts w:ascii="Arial Narrow" w:hAnsi="Arial Narrow"/>
        </w:rPr>
      </w:pPr>
      <w:r w:rsidRPr="00315FA0">
        <w:rPr>
          <w:rFonts w:ascii="Arial Narrow" w:hAnsi="Arial Narrow"/>
        </w:rPr>
        <w:t>Representante a la Cámara – Coordinador ponente</w:t>
      </w:r>
    </w:p>
    <w:p w:rsidR="00DB1C92" w:rsidRPr="00315FA0" w:rsidRDefault="00DB1C92" w:rsidP="00CD1279">
      <w:pPr>
        <w:spacing w:line="276" w:lineRule="auto"/>
        <w:jc w:val="both"/>
        <w:rPr>
          <w:rFonts w:ascii="Arial Narrow" w:hAnsi="Arial Narrow"/>
        </w:rPr>
      </w:pPr>
    </w:p>
    <w:p w:rsidR="00DB1C92" w:rsidRDefault="00DB1C92" w:rsidP="00CD1279">
      <w:pPr>
        <w:keepNext/>
        <w:spacing w:line="276" w:lineRule="auto"/>
        <w:rPr>
          <w:rFonts w:ascii="Arial Narrow" w:hAnsi="Arial Narrow"/>
          <w:b/>
        </w:rPr>
      </w:pPr>
    </w:p>
    <w:p w:rsidR="00CD1279" w:rsidRPr="00315FA0" w:rsidRDefault="00CD1279" w:rsidP="00CD1279">
      <w:pPr>
        <w:keepNext/>
        <w:spacing w:line="276" w:lineRule="auto"/>
        <w:rPr>
          <w:rFonts w:ascii="Arial Narrow" w:hAnsi="Arial Narrow"/>
          <w:b/>
        </w:rPr>
      </w:pPr>
      <w:r w:rsidRPr="00315FA0">
        <w:rPr>
          <w:rFonts w:ascii="Arial Narrow" w:hAnsi="Arial Narrow"/>
          <w:b/>
        </w:rPr>
        <w:t>H.R DANIEL FELIPE BRICEÑO MONTES</w:t>
      </w:r>
    </w:p>
    <w:p w:rsidR="00CD1279" w:rsidRPr="00315FA0" w:rsidRDefault="00CD1279" w:rsidP="00CD1279">
      <w:pPr>
        <w:spacing w:line="276" w:lineRule="auto"/>
        <w:rPr>
          <w:rFonts w:ascii="Arial Narrow" w:hAnsi="Arial Narrow"/>
        </w:rPr>
      </w:pPr>
      <w:r w:rsidRPr="00315FA0">
        <w:rPr>
          <w:rFonts w:ascii="Arial Narrow" w:hAnsi="Arial Narrow"/>
        </w:rPr>
        <w:t>Representante a la Cámara – Ponente</w:t>
      </w:r>
    </w:p>
    <w:p w:rsidR="00CD1279" w:rsidRPr="00315FA0" w:rsidRDefault="00CD1279" w:rsidP="00CD1279">
      <w:pPr>
        <w:spacing w:line="276" w:lineRule="auto"/>
        <w:jc w:val="both"/>
        <w:rPr>
          <w:rFonts w:ascii="Arial Narrow" w:hAnsi="Arial Narrow"/>
        </w:rPr>
      </w:pPr>
    </w:p>
    <w:p w:rsidR="00CD1279" w:rsidRPr="00315FA0" w:rsidRDefault="00CD1279" w:rsidP="00CD1279">
      <w:pPr>
        <w:spacing w:line="276" w:lineRule="auto"/>
        <w:jc w:val="both"/>
        <w:rPr>
          <w:rFonts w:ascii="Arial Narrow" w:hAnsi="Arial Narrow"/>
        </w:rPr>
      </w:pPr>
    </w:p>
    <w:p w:rsidR="00CD1279" w:rsidRPr="00315FA0" w:rsidRDefault="00CD1279" w:rsidP="00CD1279">
      <w:pPr>
        <w:keepNext/>
        <w:spacing w:line="276" w:lineRule="auto"/>
        <w:rPr>
          <w:rFonts w:ascii="Arial Narrow" w:hAnsi="Arial Narrow"/>
        </w:rPr>
      </w:pPr>
      <w:r w:rsidRPr="00315FA0">
        <w:rPr>
          <w:rFonts w:ascii="Arial Narrow" w:hAnsi="Arial Narrow"/>
          <w:b/>
        </w:rPr>
        <w:t>H.R JUAN PABLO DUQUE GONZÁLEZ</w:t>
      </w:r>
    </w:p>
    <w:p w:rsidR="00CD1279" w:rsidRPr="00315FA0" w:rsidRDefault="00CD1279" w:rsidP="00CD1279">
      <w:pPr>
        <w:spacing w:line="276" w:lineRule="auto"/>
        <w:rPr>
          <w:rFonts w:ascii="Arial Narrow" w:hAnsi="Arial Narrow"/>
        </w:rPr>
      </w:pPr>
      <w:r w:rsidRPr="00315FA0">
        <w:rPr>
          <w:rFonts w:ascii="Arial Narrow" w:hAnsi="Arial Narrow"/>
        </w:rPr>
        <w:t>Representante a la Cámara – Ponente</w:t>
      </w:r>
    </w:p>
    <w:p w:rsidR="00DB1C92" w:rsidRDefault="00DB1C92" w:rsidP="00CD1279">
      <w:pPr>
        <w:keepNext/>
        <w:spacing w:line="276" w:lineRule="auto"/>
        <w:rPr>
          <w:rFonts w:ascii="Arial Narrow" w:hAnsi="Arial Narrow"/>
          <w:b/>
        </w:rPr>
      </w:pPr>
    </w:p>
    <w:p w:rsidR="00CD1279" w:rsidRPr="00315FA0" w:rsidRDefault="00CD1279" w:rsidP="00CD1279">
      <w:pPr>
        <w:keepNext/>
        <w:spacing w:line="276" w:lineRule="auto"/>
        <w:rPr>
          <w:rFonts w:ascii="Arial Narrow" w:hAnsi="Arial Narrow"/>
        </w:rPr>
      </w:pPr>
      <w:r w:rsidRPr="00315FA0">
        <w:rPr>
          <w:rFonts w:ascii="Arial Narrow" w:hAnsi="Arial Narrow"/>
          <w:b/>
        </w:rPr>
        <w:t>H.R JUAN DAVID LONDOÑO ARANGO</w:t>
      </w:r>
    </w:p>
    <w:p w:rsidR="00CD1279" w:rsidRPr="00315FA0" w:rsidRDefault="00CD1279" w:rsidP="00CD1279">
      <w:pPr>
        <w:spacing w:line="276" w:lineRule="auto"/>
        <w:rPr>
          <w:rFonts w:ascii="Arial Narrow" w:hAnsi="Arial Narrow"/>
        </w:rPr>
      </w:pPr>
      <w:r w:rsidRPr="00315FA0">
        <w:rPr>
          <w:rFonts w:ascii="Arial Narrow" w:hAnsi="Arial Narrow"/>
        </w:rPr>
        <w:t>Representante a la Cámara – Ponente</w:t>
      </w:r>
    </w:p>
    <w:p w:rsidR="00CD1279" w:rsidRPr="00315FA0" w:rsidRDefault="00CD1279" w:rsidP="00CD1279">
      <w:pPr>
        <w:spacing w:line="276" w:lineRule="auto"/>
        <w:jc w:val="both"/>
        <w:rPr>
          <w:rFonts w:ascii="Arial Narrow" w:hAnsi="Arial Narrow"/>
        </w:rPr>
      </w:pPr>
    </w:p>
    <w:p w:rsidR="00CD1279" w:rsidRPr="00315FA0" w:rsidRDefault="00CD1279" w:rsidP="00CD1279">
      <w:pPr>
        <w:keepNext/>
        <w:spacing w:line="276" w:lineRule="auto"/>
        <w:rPr>
          <w:rFonts w:ascii="Arial Narrow" w:hAnsi="Arial Narrow"/>
        </w:rPr>
      </w:pPr>
    </w:p>
    <w:p w:rsidR="00CD1279" w:rsidRPr="00315FA0" w:rsidRDefault="00CD1279" w:rsidP="00CD1279">
      <w:pPr>
        <w:keepNext/>
        <w:spacing w:line="276" w:lineRule="auto"/>
        <w:rPr>
          <w:rFonts w:ascii="Arial Narrow" w:hAnsi="Arial Narrow"/>
          <w:b/>
        </w:rPr>
      </w:pPr>
      <w:r w:rsidRPr="00315FA0">
        <w:rPr>
          <w:rFonts w:ascii="Arial Narrow" w:hAnsi="Arial Narrow"/>
          <w:b/>
        </w:rPr>
        <w:t>H.R ÓSCAR DAVID BENAVIDES ANGULO</w:t>
      </w:r>
    </w:p>
    <w:p w:rsidR="00CD1279" w:rsidRPr="00315FA0" w:rsidRDefault="00CD1279" w:rsidP="00CD1279">
      <w:pPr>
        <w:spacing w:line="276" w:lineRule="auto"/>
        <w:rPr>
          <w:rFonts w:ascii="Arial Narrow" w:hAnsi="Arial Narrow"/>
        </w:rPr>
      </w:pPr>
      <w:r w:rsidRPr="00315FA0">
        <w:rPr>
          <w:rFonts w:ascii="Arial Narrow" w:hAnsi="Arial Narrow"/>
        </w:rPr>
        <w:t>Representante a la Cámara – Ponente</w:t>
      </w:r>
    </w:p>
    <w:p w:rsidR="00CD1279" w:rsidRPr="00315FA0" w:rsidRDefault="00CD1279" w:rsidP="00CD1279">
      <w:pPr>
        <w:spacing w:line="276" w:lineRule="auto"/>
        <w:jc w:val="both"/>
        <w:rPr>
          <w:rFonts w:ascii="Arial Narrow" w:hAnsi="Arial Narrow"/>
        </w:rPr>
      </w:pPr>
    </w:p>
    <w:p w:rsidR="00CD1279" w:rsidRPr="00315FA0" w:rsidRDefault="00CD1279" w:rsidP="00CD1279">
      <w:pPr>
        <w:spacing w:line="276" w:lineRule="auto"/>
        <w:jc w:val="both"/>
        <w:rPr>
          <w:rFonts w:ascii="Arial Narrow" w:hAnsi="Arial Narrow"/>
        </w:rPr>
      </w:pPr>
    </w:p>
    <w:p w:rsidR="00CD1279" w:rsidRPr="00315FA0" w:rsidRDefault="00CD1279" w:rsidP="00CD1279">
      <w:pPr>
        <w:keepNext/>
        <w:spacing w:line="276" w:lineRule="auto"/>
        <w:rPr>
          <w:rFonts w:ascii="Arial Narrow" w:hAnsi="Arial Narrow"/>
        </w:rPr>
      </w:pPr>
      <w:r w:rsidRPr="00315FA0">
        <w:rPr>
          <w:rFonts w:ascii="Arial Narrow" w:hAnsi="Arial Narrow"/>
          <w:b/>
        </w:rPr>
        <w:t>H.R LAURA VANESSA DÍAZ CURA</w:t>
      </w:r>
    </w:p>
    <w:p w:rsidR="00CD1279" w:rsidRPr="00315FA0" w:rsidRDefault="00CD1279" w:rsidP="00CD1279">
      <w:pPr>
        <w:spacing w:line="276" w:lineRule="auto"/>
        <w:rPr>
          <w:rFonts w:ascii="Arial Narrow" w:hAnsi="Arial Narrow"/>
        </w:rPr>
      </w:pPr>
      <w:r w:rsidRPr="00315FA0">
        <w:rPr>
          <w:rFonts w:ascii="Arial Narrow" w:hAnsi="Arial Narrow"/>
        </w:rPr>
        <w:t>Representante a la Cámara – Ponente</w:t>
      </w:r>
    </w:p>
    <w:p w:rsidR="00CD1279" w:rsidRPr="00315FA0" w:rsidRDefault="00CD1279" w:rsidP="00CD1279">
      <w:pPr>
        <w:spacing w:line="276" w:lineRule="auto"/>
        <w:jc w:val="both"/>
        <w:rPr>
          <w:rFonts w:ascii="Arial Narrow" w:hAnsi="Arial Narrow"/>
        </w:rPr>
      </w:pPr>
    </w:p>
    <w:p w:rsidR="00CD1279" w:rsidRPr="00315FA0" w:rsidRDefault="00CD1279" w:rsidP="00CD1279">
      <w:pPr>
        <w:keepNext/>
        <w:spacing w:line="276" w:lineRule="auto"/>
        <w:rPr>
          <w:rFonts w:ascii="Arial Narrow" w:hAnsi="Arial Narrow"/>
        </w:rPr>
      </w:pPr>
    </w:p>
    <w:p w:rsidR="00CD1279" w:rsidRPr="00315FA0" w:rsidRDefault="00CD1279" w:rsidP="00CD1279">
      <w:pPr>
        <w:keepNext/>
        <w:spacing w:line="276" w:lineRule="auto"/>
        <w:rPr>
          <w:rFonts w:ascii="Arial Narrow" w:hAnsi="Arial Narrow"/>
          <w:b/>
        </w:rPr>
      </w:pPr>
      <w:r w:rsidRPr="00315FA0">
        <w:rPr>
          <w:rFonts w:ascii="Arial Narrow" w:hAnsi="Arial Narrow"/>
          <w:b/>
        </w:rPr>
        <w:t>H.R ALEJANDRA GABRIELA ABÁSOLO GÓMEZ</w:t>
      </w:r>
    </w:p>
    <w:p w:rsidR="00CD1279" w:rsidRPr="00315FA0" w:rsidRDefault="00CD1279" w:rsidP="00CD1279">
      <w:pPr>
        <w:spacing w:line="276" w:lineRule="auto"/>
        <w:rPr>
          <w:rFonts w:ascii="Arial Narrow" w:hAnsi="Arial Narrow"/>
        </w:rPr>
      </w:pPr>
      <w:r w:rsidRPr="00315FA0">
        <w:rPr>
          <w:rFonts w:ascii="Arial Narrow" w:hAnsi="Arial Narrow"/>
        </w:rPr>
        <w:t>Representante a la Cámara – Ponente</w:t>
      </w:r>
    </w:p>
    <w:p w:rsidR="00CD1279" w:rsidRPr="00315FA0" w:rsidRDefault="00CD1279" w:rsidP="00CD1279">
      <w:pPr>
        <w:spacing w:line="276" w:lineRule="auto"/>
        <w:jc w:val="both"/>
        <w:rPr>
          <w:rFonts w:ascii="Arial Narrow" w:hAnsi="Arial Narrow"/>
        </w:rPr>
      </w:pPr>
    </w:p>
    <w:p w:rsidR="00CD1279" w:rsidRPr="00315FA0" w:rsidRDefault="00CD1279" w:rsidP="00CD1279">
      <w:pPr>
        <w:pageBreakBefore/>
        <w:spacing w:line="276" w:lineRule="auto"/>
        <w:jc w:val="center"/>
        <w:rPr>
          <w:rFonts w:ascii="Arial Narrow" w:hAnsi="Arial Narrow"/>
          <w:b/>
          <w:bCs/>
        </w:rPr>
        <w:sectPr w:rsidR="00CD1279" w:rsidRPr="00315FA0" w:rsidSect="00CD1279">
          <w:type w:val="continuous"/>
          <w:pgSz w:w="12240" w:h="15840"/>
          <w:pgMar w:top="2100" w:right="1040" w:bottom="1900" w:left="1040" w:header="300" w:footer="250" w:gutter="0"/>
          <w:cols w:num="2" w:space="720"/>
          <w:docGrid w:linePitch="360"/>
        </w:sectPr>
      </w:pPr>
    </w:p>
    <w:p w:rsidR="00CD1279" w:rsidRPr="00315FA0" w:rsidRDefault="00CD1279" w:rsidP="00CD1279">
      <w:pPr>
        <w:pageBreakBefore/>
        <w:spacing w:line="276" w:lineRule="auto"/>
        <w:jc w:val="center"/>
        <w:rPr>
          <w:rFonts w:ascii="Arial Narrow" w:hAnsi="Arial Narrow"/>
        </w:rPr>
      </w:pPr>
      <w:r w:rsidRPr="00315FA0">
        <w:rPr>
          <w:rFonts w:ascii="Arial Narrow" w:hAnsi="Arial Narrow"/>
          <w:b/>
          <w:bCs/>
        </w:rPr>
        <w:lastRenderedPageBreak/>
        <w:t>INFORME DE PONENCIA POSITIVA PARA PRIMER DEBATE</w:t>
      </w:r>
    </w:p>
    <w:p w:rsidR="00CD1279" w:rsidRPr="00315FA0" w:rsidRDefault="00CD1279" w:rsidP="00CD1279">
      <w:pPr>
        <w:spacing w:line="276" w:lineRule="auto"/>
        <w:jc w:val="center"/>
        <w:rPr>
          <w:rFonts w:ascii="Arial Narrow" w:hAnsi="Arial Narrow"/>
          <w:b/>
          <w:bCs/>
        </w:rPr>
      </w:pPr>
      <w:r w:rsidRPr="00315FA0">
        <w:rPr>
          <w:rFonts w:ascii="Arial Narrow" w:hAnsi="Arial Narrow"/>
          <w:b/>
          <w:bCs/>
        </w:rPr>
        <w:t>PROYECTO DE LEY No. 345 DE 2026 CÁMARA</w:t>
      </w:r>
    </w:p>
    <w:p w:rsidR="00CD1279" w:rsidRPr="00315FA0" w:rsidRDefault="00CD1279" w:rsidP="00CD1279">
      <w:pPr>
        <w:spacing w:line="276" w:lineRule="auto"/>
        <w:jc w:val="center"/>
        <w:rPr>
          <w:rFonts w:ascii="Arial Narrow" w:hAnsi="Arial Narrow"/>
        </w:rPr>
      </w:pPr>
    </w:p>
    <w:p w:rsidR="00CD1279" w:rsidRPr="00315FA0" w:rsidRDefault="00CD1279" w:rsidP="00CD1279">
      <w:pPr>
        <w:spacing w:line="276" w:lineRule="auto"/>
        <w:jc w:val="center"/>
        <w:rPr>
          <w:rFonts w:ascii="Arial Narrow" w:hAnsi="Arial Narrow"/>
        </w:rPr>
      </w:pPr>
      <w:r w:rsidRPr="00315FA0">
        <w:rPr>
          <w:rFonts w:ascii="Arial Narrow" w:hAnsi="Arial Narrow"/>
        </w:rPr>
        <w:t>“Por medio de la cual se confiere carácter permanente al marco legal de la acción integral contra minas antipersonal, se fortalecen el desminado humanitario y la atención a las víctimas y se dictan otras disposiciones”</w:t>
      </w:r>
    </w:p>
    <w:p w:rsidR="00CD1279" w:rsidRPr="00315FA0" w:rsidRDefault="00CD1279" w:rsidP="00CD1279">
      <w:pPr>
        <w:spacing w:line="276" w:lineRule="auto"/>
        <w:jc w:val="both"/>
        <w:rPr>
          <w:rFonts w:ascii="Arial Narrow" w:hAnsi="Arial Narrow"/>
        </w:rPr>
      </w:pPr>
    </w:p>
    <w:p w:rsidR="00CD1279" w:rsidRPr="00315FA0" w:rsidRDefault="00CD1279" w:rsidP="00CD1279">
      <w:pPr>
        <w:keepNext/>
        <w:spacing w:line="276" w:lineRule="auto"/>
        <w:jc w:val="center"/>
        <w:rPr>
          <w:rFonts w:ascii="Arial Narrow" w:hAnsi="Arial Narrow"/>
        </w:rPr>
      </w:pPr>
      <w:r w:rsidRPr="00315FA0">
        <w:rPr>
          <w:rFonts w:ascii="Arial Narrow" w:hAnsi="Arial Narrow"/>
          <w:b/>
          <w:bCs/>
        </w:rPr>
        <w:t>I. TRÁMITE DE LA INICIATIVA</w:t>
      </w:r>
    </w:p>
    <w:p w:rsidR="00CD1279" w:rsidRPr="00315FA0" w:rsidRDefault="00CD1279" w:rsidP="00CD1279">
      <w:pPr>
        <w:keepNext/>
        <w:spacing w:line="276" w:lineRule="auto"/>
        <w:jc w:val="both"/>
        <w:rPr>
          <w:rFonts w:ascii="Arial Narrow" w:hAnsi="Arial Narrow"/>
        </w:rPr>
      </w:pPr>
    </w:p>
    <w:tbl>
      <w:tblPr>
        <w:tblW w:w="92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0" w:type="dxa"/>
          <w:right w:w="80" w:type="dxa"/>
        </w:tblCellMar>
        <w:tblLook w:val="04A0" w:firstRow="1" w:lastRow="0" w:firstColumn="1" w:lastColumn="0" w:noHBand="0" w:noVBand="1"/>
      </w:tblPr>
      <w:tblGrid>
        <w:gridCol w:w="4000"/>
        <w:gridCol w:w="2400"/>
        <w:gridCol w:w="2800"/>
      </w:tblGrid>
      <w:tr w:rsidR="00CD1279" w:rsidRPr="00315FA0" w:rsidTr="006D48E2">
        <w:trPr>
          <w:cantSplit/>
          <w:tblHeader/>
          <w:jc w:val="center"/>
        </w:trPr>
        <w:tc>
          <w:tcPr>
            <w:tcW w:w="4000" w:type="dxa"/>
          </w:tcPr>
          <w:p w:rsidR="00CD1279" w:rsidRPr="00315FA0" w:rsidRDefault="00CD1279" w:rsidP="006D48E2">
            <w:pPr>
              <w:spacing w:before="40" w:after="40"/>
              <w:jc w:val="center"/>
              <w:rPr>
                <w:rFonts w:ascii="Arial Narrow" w:hAnsi="Arial Narrow"/>
              </w:rPr>
            </w:pPr>
            <w:r w:rsidRPr="00315FA0">
              <w:rPr>
                <w:rFonts w:ascii="Arial Narrow" w:hAnsi="Arial Narrow"/>
                <w:b/>
                <w:bCs/>
              </w:rPr>
              <w:t>Hito</w:t>
            </w:r>
          </w:p>
        </w:tc>
        <w:tc>
          <w:tcPr>
            <w:tcW w:w="2400" w:type="dxa"/>
          </w:tcPr>
          <w:p w:rsidR="00CD1279" w:rsidRPr="00315FA0" w:rsidRDefault="00CD1279" w:rsidP="006D48E2">
            <w:pPr>
              <w:spacing w:before="40" w:after="40"/>
              <w:jc w:val="center"/>
              <w:rPr>
                <w:rFonts w:ascii="Arial Narrow" w:hAnsi="Arial Narrow"/>
              </w:rPr>
            </w:pPr>
            <w:r w:rsidRPr="00315FA0">
              <w:rPr>
                <w:rFonts w:ascii="Arial Narrow" w:hAnsi="Arial Narrow"/>
                <w:b/>
                <w:bCs/>
              </w:rPr>
              <w:t>Fecha</w:t>
            </w:r>
          </w:p>
        </w:tc>
        <w:tc>
          <w:tcPr>
            <w:tcW w:w="2800" w:type="dxa"/>
          </w:tcPr>
          <w:p w:rsidR="00CD1279" w:rsidRPr="00315FA0" w:rsidRDefault="00CD1279" w:rsidP="006D48E2">
            <w:pPr>
              <w:spacing w:before="40" w:after="40"/>
              <w:jc w:val="center"/>
              <w:rPr>
                <w:rFonts w:ascii="Arial Narrow" w:hAnsi="Arial Narrow"/>
              </w:rPr>
            </w:pPr>
            <w:r w:rsidRPr="00315FA0">
              <w:rPr>
                <w:rFonts w:ascii="Arial Narrow" w:hAnsi="Arial Narrow"/>
                <w:b/>
                <w:bCs/>
              </w:rPr>
              <w:t>Soporte</w:t>
            </w:r>
          </w:p>
        </w:tc>
      </w:tr>
      <w:tr w:rsidR="00CD1279" w:rsidRPr="00315FA0" w:rsidTr="006D48E2">
        <w:trPr>
          <w:cantSplit/>
          <w:jc w:val="center"/>
        </w:trPr>
        <w:tc>
          <w:tcPr>
            <w:tcW w:w="4000" w:type="dxa"/>
          </w:tcPr>
          <w:p w:rsidR="00CD1279" w:rsidRPr="00315FA0" w:rsidRDefault="00CD1279" w:rsidP="006D48E2">
            <w:pPr>
              <w:spacing w:before="40" w:after="40"/>
              <w:rPr>
                <w:rFonts w:ascii="Arial Narrow" w:hAnsi="Arial Narrow"/>
              </w:rPr>
            </w:pPr>
            <w:r w:rsidRPr="00315FA0">
              <w:rPr>
                <w:rFonts w:ascii="Arial Narrow" w:hAnsi="Arial Narrow"/>
              </w:rPr>
              <w:t>Radicación en la Secretaría General de la Cámara</w:t>
            </w:r>
          </w:p>
        </w:tc>
        <w:tc>
          <w:tcPr>
            <w:tcW w:w="2400" w:type="dxa"/>
          </w:tcPr>
          <w:p w:rsidR="00CD1279" w:rsidRPr="00315FA0" w:rsidRDefault="00CD1279" w:rsidP="006D48E2">
            <w:pPr>
              <w:spacing w:before="40" w:after="40"/>
              <w:rPr>
                <w:rFonts w:ascii="Arial Narrow" w:hAnsi="Arial Narrow"/>
              </w:rPr>
            </w:pPr>
            <w:r w:rsidRPr="00315FA0">
              <w:rPr>
                <w:rFonts w:ascii="Arial Narrow" w:hAnsi="Arial Narrow"/>
              </w:rPr>
              <w:t>9 de septiembre de 2026</w:t>
            </w:r>
          </w:p>
        </w:tc>
        <w:tc>
          <w:tcPr>
            <w:tcW w:w="2800" w:type="dxa"/>
          </w:tcPr>
          <w:p w:rsidR="00CD1279" w:rsidRPr="00315FA0" w:rsidRDefault="00CD1279" w:rsidP="006D48E2">
            <w:pPr>
              <w:spacing w:before="40" w:after="40"/>
              <w:rPr>
                <w:rFonts w:ascii="Arial Narrow" w:hAnsi="Arial Narrow"/>
              </w:rPr>
            </w:pPr>
            <w:r w:rsidRPr="00315FA0">
              <w:rPr>
                <w:rFonts w:ascii="Arial Narrow" w:hAnsi="Arial Narrow"/>
              </w:rPr>
              <w:t>Proyecto de Ley No. 345 de 2026 Cámara</w:t>
            </w:r>
          </w:p>
        </w:tc>
      </w:tr>
      <w:tr w:rsidR="00CD1279" w:rsidRPr="00315FA0" w:rsidTr="006D48E2">
        <w:trPr>
          <w:cantSplit/>
          <w:jc w:val="center"/>
        </w:trPr>
        <w:tc>
          <w:tcPr>
            <w:tcW w:w="4000" w:type="dxa"/>
          </w:tcPr>
          <w:p w:rsidR="00CD1279" w:rsidRPr="00315FA0" w:rsidRDefault="00CD1279" w:rsidP="006D48E2">
            <w:pPr>
              <w:spacing w:before="40" w:after="40"/>
              <w:rPr>
                <w:rFonts w:ascii="Arial Narrow" w:hAnsi="Arial Narrow"/>
              </w:rPr>
            </w:pPr>
            <w:r w:rsidRPr="00315FA0">
              <w:rPr>
                <w:rFonts w:ascii="Arial Narrow" w:hAnsi="Arial Narrow"/>
              </w:rPr>
              <w:t>Publicación</w:t>
            </w:r>
          </w:p>
        </w:tc>
        <w:tc>
          <w:tcPr>
            <w:tcW w:w="2400" w:type="dxa"/>
          </w:tcPr>
          <w:p w:rsidR="00CD1279" w:rsidRPr="00315FA0" w:rsidRDefault="00CD1279" w:rsidP="006D48E2">
            <w:pPr>
              <w:spacing w:before="40" w:after="40"/>
              <w:rPr>
                <w:rFonts w:ascii="Arial Narrow" w:hAnsi="Arial Narrow"/>
              </w:rPr>
            </w:pPr>
            <w:r w:rsidRPr="00315FA0">
              <w:rPr>
                <w:rFonts w:ascii="Arial Narrow" w:hAnsi="Arial Narrow"/>
              </w:rPr>
              <w:t>Gaceta del Congreso No. 1329 de 2026</w:t>
            </w:r>
          </w:p>
        </w:tc>
        <w:tc>
          <w:tcPr>
            <w:tcW w:w="2800" w:type="dxa"/>
          </w:tcPr>
          <w:p w:rsidR="00CD1279" w:rsidRPr="00315FA0" w:rsidRDefault="00CD1279" w:rsidP="006D48E2">
            <w:pPr>
              <w:spacing w:before="40" w:after="40"/>
              <w:rPr>
                <w:rFonts w:ascii="Arial Narrow" w:hAnsi="Arial Narrow"/>
              </w:rPr>
            </w:pPr>
            <w:r w:rsidRPr="00315FA0">
              <w:rPr>
                <w:rFonts w:ascii="Arial Narrow" w:hAnsi="Arial Narrow"/>
              </w:rPr>
              <w:t>Imprenta Nacional</w:t>
            </w:r>
          </w:p>
        </w:tc>
      </w:tr>
      <w:tr w:rsidR="00CD1279" w:rsidRPr="00315FA0" w:rsidTr="006D48E2">
        <w:trPr>
          <w:cantSplit/>
          <w:jc w:val="center"/>
        </w:trPr>
        <w:tc>
          <w:tcPr>
            <w:tcW w:w="4000" w:type="dxa"/>
          </w:tcPr>
          <w:p w:rsidR="00CD1279" w:rsidRPr="00315FA0" w:rsidRDefault="00CD1279" w:rsidP="006D48E2">
            <w:pPr>
              <w:spacing w:before="40" w:after="40"/>
              <w:rPr>
                <w:rFonts w:ascii="Arial Narrow" w:hAnsi="Arial Narrow"/>
              </w:rPr>
            </w:pPr>
            <w:r w:rsidRPr="00315FA0">
              <w:rPr>
                <w:rFonts w:ascii="Arial Narrow" w:hAnsi="Arial Narrow"/>
              </w:rPr>
              <w:t xml:space="preserve">Solicitud de conceptos a </w:t>
            </w:r>
            <w:proofErr w:type="spellStart"/>
            <w:r w:rsidRPr="00315FA0">
              <w:rPr>
                <w:rFonts w:ascii="Arial Narrow" w:hAnsi="Arial Narrow"/>
              </w:rPr>
              <w:t>MinInterior</w:t>
            </w:r>
            <w:proofErr w:type="spellEnd"/>
            <w:r w:rsidRPr="00315FA0">
              <w:rPr>
                <w:rFonts w:ascii="Arial Narrow" w:hAnsi="Arial Narrow"/>
              </w:rPr>
              <w:t xml:space="preserve">, </w:t>
            </w:r>
            <w:proofErr w:type="spellStart"/>
            <w:r w:rsidRPr="00315FA0">
              <w:rPr>
                <w:rFonts w:ascii="Arial Narrow" w:hAnsi="Arial Narrow"/>
              </w:rPr>
              <w:t>MinDefensa</w:t>
            </w:r>
            <w:proofErr w:type="spellEnd"/>
            <w:r w:rsidRPr="00315FA0">
              <w:rPr>
                <w:rFonts w:ascii="Arial Narrow" w:hAnsi="Arial Narrow"/>
              </w:rPr>
              <w:t xml:space="preserve"> y </w:t>
            </w:r>
            <w:proofErr w:type="spellStart"/>
            <w:r w:rsidRPr="00315FA0">
              <w:rPr>
                <w:rFonts w:ascii="Arial Narrow" w:hAnsi="Arial Narrow"/>
              </w:rPr>
              <w:t>MinHacienda</w:t>
            </w:r>
            <w:proofErr w:type="spellEnd"/>
          </w:p>
        </w:tc>
        <w:tc>
          <w:tcPr>
            <w:tcW w:w="2400" w:type="dxa"/>
          </w:tcPr>
          <w:p w:rsidR="00CD1279" w:rsidRPr="00315FA0" w:rsidRDefault="00CD1279" w:rsidP="006D48E2">
            <w:pPr>
              <w:spacing w:before="40" w:after="40"/>
              <w:rPr>
                <w:rFonts w:ascii="Arial Narrow" w:hAnsi="Arial Narrow"/>
              </w:rPr>
            </w:pPr>
            <w:r w:rsidRPr="00315FA0">
              <w:rPr>
                <w:rFonts w:ascii="Arial Narrow" w:hAnsi="Arial Narrow"/>
              </w:rPr>
              <w:t>25 de septiembre de 2026</w:t>
            </w:r>
          </w:p>
        </w:tc>
        <w:tc>
          <w:tcPr>
            <w:tcW w:w="2800" w:type="dxa"/>
          </w:tcPr>
          <w:p w:rsidR="00CD1279" w:rsidRPr="00315FA0" w:rsidRDefault="00CD1279" w:rsidP="006D48E2">
            <w:pPr>
              <w:spacing w:before="40" w:after="40"/>
              <w:rPr>
                <w:rFonts w:ascii="Arial Narrow" w:hAnsi="Arial Narrow"/>
              </w:rPr>
            </w:pPr>
            <w:r w:rsidRPr="00315FA0">
              <w:rPr>
                <w:rFonts w:ascii="Arial Narrow" w:hAnsi="Arial Narrow"/>
              </w:rPr>
              <w:t>Radicado 20262000310000101</w:t>
            </w:r>
          </w:p>
        </w:tc>
      </w:tr>
      <w:tr w:rsidR="00CD1279" w:rsidRPr="00315FA0" w:rsidTr="006D48E2">
        <w:trPr>
          <w:cantSplit/>
          <w:jc w:val="center"/>
        </w:trPr>
        <w:tc>
          <w:tcPr>
            <w:tcW w:w="4000" w:type="dxa"/>
          </w:tcPr>
          <w:p w:rsidR="00CD1279" w:rsidRPr="00315FA0" w:rsidRDefault="00CD1279" w:rsidP="006D48E2">
            <w:pPr>
              <w:spacing w:before="40" w:after="40"/>
              <w:rPr>
                <w:rFonts w:ascii="Arial Narrow" w:hAnsi="Arial Narrow"/>
              </w:rPr>
            </w:pPr>
            <w:r w:rsidRPr="00315FA0">
              <w:rPr>
                <w:rFonts w:ascii="Arial Narrow" w:hAnsi="Arial Narrow"/>
              </w:rPr>
              <w:t>Recibo en la Comisión Primera</w:t>
            </w:r>
          </w:p>
        </w:tc>
        <w:tc>
          <w:tcPr>
            <w:tcW w:w="2400" w:type="dxa"/>
          </w:tcPr>
          <w:p w:rsidR="00CD1279" w:rsidRPr="00315FA0" w:rsidRDefault="00CD1279" w:rsidP="006D48E2">
            <w:pPr>
              <w:spacing w:before="40" w:after="40"/>
              <w:rPr>
                <w:rFonts w:ascii="Arial Narrow" w:hAnsi="Arial Narrow"/>
              </w:rPr>
            </w:pPr>
            <w:r w:rsidRPr="00315FA0">
              <w:rPr>
                <w:rFonts w:ascii="Arial Narrow" w:hAnsi="Arial Narrow"/>
              </w:rPr>
              <w:t>2 de octubre de 2026</w:t>
            </w:r>
          </w:p>
        </w:tc>
        <w:tc>
          <w:tcPr>
            <w:tcW w:w="2800" w:type="dxa"/>
          </w:tcPr>
          <w:p w:rsidR="00CD1279" w:rsidRPr="00315FA0" w:rsidRDefault="00CD1279" w:rsidP="006D48E2">
            <w:pPr>
              <w:spacing w:before="40" w:after="40"/>
              <w:rPr>
                <w:rFonts w:ascii="Arial Narrow" w:hAnsi="Arial Narrow"/>
              </w:rPr>
            </w:pPr>
            <w:r w:rsidRPr="00315FA0">
              <w:rPr>
                <w:rFonts w:ascii="Arial Narrow" w:hAnsi="Arial Narrow"/>
              </w:rPr>
              <w:t>Secretaría de la Comisión</w:t>
            </w:r>
          </w:p>
        </w:tc>
      </w:tr>
      <w:tr w:rsidR="00CD1279" w:rsidRPr="00315FA0" w:rsidTr="006D48E2">
        <w:trPr>
          <w:cantSplit/>
          <w:jc w:val="center"/>
        </w:trPr>
        <w:tc>
          <w:tcPr>
            <w:tcW w:w="4000" w:type="dxa"/>
          </w:tcPr>
          <w:p w:rsidR="00CD1279" w:rsidRPr="00315FA0" w:rsidRDefault="00CD1279" w:rsidP="006D48E2">
            <w:pPr>
              <w:spacing w:before="40" w:after="40"/>
              <w:rPr>
                <w:rFonts w:ascii="Arial Narrow" w:hAnsi="Arial Narrow"/>
              </w:rPr>
            </w:pPr>
            <w:r w:rsidRPr="00315FA0">
              <w:rPr>
                <w:rFonts w:ascii="Arial Narrow" w:hAnsi="Arial Narrow"/>
              </w:rPr>
              <w:t>Designación de ponentes</w:t>
            </w:r>
          </w:p>
        </w:tc>
        <w:tc>
          <w:tcPr>
            <w:tcW w:w="2400" w:type="dxa"/>
          </w:tcPr>
          <w:p w:rsidR="00CD1279" w:rsidRPr="00315FA0" w:rsidRDefault="00CD1279" w:rsidP="006D48E2">
            <w:pPr>
              <w:spacing w:before="40" w:after="40"/>
              <w:rPr>
                <w:rFonts w:ascii="Arial Narrow" w:hAnsi="Arial Narrow"/>
              </w:rPr>
            </w:pPr>
            <w:r w:rsidRPr="00315FA0">
              <w:rPr>
                <w:rFonts w:ascii="Arial Narrow" w:hAnsi="Arial Narrow"/>
              </w:rPr>
              <w:t>6 y 7 de octubre de 2026</w:t>
            </w:r>
          </w:p>
        </w:tc>
        <w:tc>
          <w:tcPr>
            <w:tcW w:w="2800" w:type="dxa"/>
          </w:tcPr>
          <w:p w:rsidR="00CD1279" w:rsidRPr="00315FA0" w:rsidRDefault="00CD1279" w:rsidP="006D48E2">
            <w:pPr>
              <w:spacing w:before="40" w:after="40"/>
              <w:rPr>
                <w:rFonts w:ascii="Arial Narrow" w:hAnsi="Arial Narrow"/>
              </w:rPr>
            </w:pPr>
            <w:r w:rsidRPr="00315FA0">
              <w:rPr>
                <w:rFonts w:ascii="Arial Narrow" w:hAnsi="Arial Narrow"/>
              </w:rPr>
              <w:t>Acta No. 14; oficio C.P.C.P. 3.1-0384-2026</w:t>
            </w:r>
          </w:p>
        </w:tc>
      </w:tr>
      <w:tr w:rsidR="0019237F" w:rsidRPr="00315FA0" w:rsidTr="006D48E2">
        <w:trPr>
          <w:cantSplit/>
          <w:jc w:val="center"/>
        </w:trPr>
        <w:tc>
          <w:tcPr>
            <w:tcW w:w="4000" w:type="dxa"/>
          </w:tcPr>
          <w:p w:rsidR="0019237F" w:rsidRPr="00315FA0" w:rsidRDefault="00F64A93" w:rsidP="006D48E2">
            <w:pPr>
              <w:spacing w:before="40" w:after="40"/>
              <w:rPr>
                <w:rFonts w:ascii="Arial Narrow" w:hAnsi="Arial Narrow"/>
                <w:highlight w:val="yellow"/>
              </w:rPr>
            </w:pPr>
            <w:r w:rsidRPr="00315FA0">
              <w:rPr>
                <w:rFonts w:ascii="Arial Narrow" w:hAnsi="Arial Narrow"/>
              </w:rPr>
              <w:t xml:space="preserve">Solicitud de Prorroga </w:t>
            </w:r>
          </w:p>
        </w:tc>
        <w:tc>
          <w:tcPr>
            <w:tcW w:w="2400" w:type="dxa"/>
          </w:tcPr>
          <w:p w:rsidR="0019237F" w:rsidRPr="00315FA0" w:rsidRDefault="007B6803" w:rsidP="006D48E2">
            <w:pPr>
              <w:spacing w:before="40" w:after="40"/>
              <w:rPr>
                <w:rFonts w:ascii="Arial Narrow" w:hAnsi="Arial Narrow"/>
                <w:highlight w:val="yellow"/>
              </w:rPr>
            </w:pPr>
            <w:r w:rsidRPr="00315FA0">
              <w:rPr>
                <w:rFonts w:ascii="Arial Narrow" w:hAnsi="Arial Narrow"/>
              </w:rPr>
              <w:t>15 de octubre de 2026</w:t>
            </w:r>
          </w:p>
        </w:tc>
        <w:tc>
          <w:tcPr>
            <w:tcW w:w="2800" w:type="dxa"/>
          </w:tcPr>
          <w:p w:rsidR="0019237F" w:rsidRPr="00315FA0" w:rsidRDefault="007343FE" w:rsidP="006D48E2">
            <w:pPr>
              <w:spacing w:before="40" w:after="40"/>
              <w:rPr>
                <w:rFonts w:ascii="Arial Narrow" w:hAnsi="Arial Narrow"/>
                <w:highlight w:val="yellow"/>
              </w:rPr>
            </w:pPr>
            <w:r>
              <w:rPr>
                <w:rFonts w:ascii="Arial Narrow" w:hAnsi="Arial Narrow"/>
              </w:rPr>
              <w:t>Oficio C.P.C.P 3.1- 0475-</w:t>
            </w:r>
            <w:bookmarkStart w:id="0" w:name="_GoBack"/>
            <w:bookmarkEnd w:id="0"/>
            <w:r>
              <w:rPr>
                <w:rFonts w:ascii="Arial Narrow" w:hAnsi="Arial Narrow"/>
              </w:rPr>
              <w:t xml:space="preserve">2026 </w:t>
            </w:r>
          </w:p>
        </w:tc>
      </w:tr>
    </w:tbl>
    <w:p w:rsidR="00CD1279" w:rsidRPr="00315FA0" w:rsidRDefault="00CD1279" w:rsidP="00CD1279">
      <w:pPr>
        <w:spacing w:line="276" w:lineRule="auto"/>
        <w:jc w:val="both"/>
        <w:rPr>
          <w:rFonts w:ascii="Arial Narrow" w:hAnsi="Arial Narrow"/>
        </w:rPr>
      </w:pPr>
    </w:p>
    <w:p w:rsidR="00CD1279" w:rsidRPr="00315FA0" w:rsidRDefault="00CD1279" w:rsidP="00CD1279">
      <w:pPr>
        <w:spacing w:line="276" w:lineRule="auto"/>
        <w:jc w:val="both"/>
        <w:rPr>
          <w:rFonts w:ascii="Arial Narrow" w:hAnsi="Arial Narrow"/>
        </w:rPr>
      </w:pPr>
      <w:r w:rsidRPr="00315FA0">
        <w:rPr>
          <w:rFonts w:ascii="Arial Narrow" w:hAnsi="Arial Narrow"/>
          <w:b/>
        </w:rPr>
        <w:t>Autores:</w:t>
      </w:r>
      <w:r w:rsidRPr="00315FA0">
        <w:rPr>
          <w:rFonts w:ascii="Arial Narrow" w:hAnsi="Arial Narrow"/>
        </w:rPr>
        <w:t xml:space="preserve"> HH.RR. Daniel Felipe Bernal Montealegre, Daniel Felipe Briceño Montes, David Gerardo Cote Rodríguez, </w:t>
      </w:r>
      <w:proofErr w:type="spellStart"/>
      <w:r w:rsidRPr="00315FA0">
        <w:rPr>
          <w:rFonts w:ascii="Arial Narrow" w:hAnsi="Arial Narrow"/>
        </w:rPr>
        <w:t>Delcy</w:t>
      </w:r>
      <w:proofErr w:type="spellEnd"/>
      <w:r w:rsidRPr="00315FA0">
        <w:rPr>
          <w:rFonts w:ascii="Arial Narrow" w:hAnsi="Arial Narrow"/>
        </w:rPr>
        <w:t xml:space="preserve"> Esperanza Isaza Buenaventura, Franklin del Cristo Lozano de la Ossa, Guillermo León Blanco Valencia, Julio César Triana Quintero, Manuel Orlando Correa Bedoya, Milton Virgilio Carreño Sánchez y Óscar David Benavides Angulo.</w:t>
      </w:r>
    </w:p>
    <w:p w:rsidR="00CD1279" w:rsidRPr="00315FA0" w:rsidRDefault="00CD1279" w:rsidP="00CD1279">
      <w:pPr>
        <w:spacing w:line="276" w:lineRule="auto"/>
        <w:jc w:val="both"/>
        <w:rPr>
          <w:rFonts w:ascii="Arial Narrow" w:hAnsi="Arial Narrow"/>
        </w:rPr>
      </w:pPr>
    </w:p>
    <w:p w:rsidR="00CD1279" w:rsidRPr="00315FA0" w:rsidRDefault="00CD1279" w:rsidP="00CD1279">
      <w:pPr>
        <w:spacing w:line="276" w:lineRule="auto"/>
        <w:jc w:val="both"/>
        <w:rPr>
          <w:rFonts w:ascii="Arial Narrow" w:hAnsi="Arial Narrow"/>
        </w:rPr>
      </w:pPr>
      <w:r w:rsidRPr="00315FA0">
        <w:rPr>
          <w:rFonts w:ascii="Arial Narrow" w:hAnsi="Arial Narrow"/>
          <w:b/>
        </w:rPr>
        <w:t>Ponentes:</w:t>
      </w:r>
      <w:r w:rsidRPr="00315FA0">
        <w:rPr>
          <w:rFonts w:ascii="Arial Narrow" w:hAnsi="Arial Narrow"/>
        </w:rPr>
        <w:t xml:space="preserve"> HH.RR. Guillermo León Blanco Valencia y Daniel Felipe Bernal Montealegre (coordinadores); Daniel Felipe Briceño Montes, Juan Pablo Duque González, Juan David Londoño Arango, Óscar David Benavides Angulo, Laura Vanessa Díaz Cura y Alejandra Gabriela </w:t>
      </w:r>
      <w:proofErr w:type="spellStart"/>
      <w:r w:rsidRPr="00315FA0">
        <w:rPr>
          <w:rFonts w:ascii="Arial Narrow" w:hAnsi="Arial Narrow"/>
        </w:rPr>
        <w:t>Abásolo</w:t>
      </w:r>
      <w:proofErr w:type="spellEnd"/>
      <w:r w:rsidRPr="00315FA0">
        <w:rPr>
          <w:rFonts w:ascii="Arial Narrow" w:hAnsi="Arial Narrow"/>
        </w:rPr>
        <w:t xml:space="preserve"> Gómez.</w:t>
      </w:r>
    </w:p>
    <w:p w:rsidR="00CD1279" w:rsidRPr="00315FA0" w:rsidRDefault="00CD1279" w:rsidP="00CD1279">
      <w:pPr>
        <w:spacing w:line="276" w:lineRule="auto"/>
        <w:jc w:val="both"/>
        <w:rPr>
          <w:rFonts w:ascii="Arial Narrow" w:hAnsi="Arial Narrow"/>
        </w:rPr>
      </w:pPr>
    </w:p>
    <w:p w:rsidR="00CD1279" w:rsidRPr="00315FA0" w:rsidRDefault="00CD1279" w:rsidP="00CD1279">
      <w:pPr>
        <w:keepNext/>
        <w:spacing w:line="276" w:lineRule="auto"/>
        <w:jc w:val="center"/>
        <w:rPr>
          <w:rFonts w:ascii="Arial Narrow" w:hAnsi="Arial Narrow"/>
        </w:rPr>
      </w:pPr>
      <w:r w:rsidRPr="00315FA0">
        <w:rPr>
          <w:rFonts w:ascii="Arial Narrow" w:hAnsi="Arial Narrow"/>
          <w:b/>
          <w:bCs/>
        </w:rPr>
        <w:t>II. OBJETO</w:t>
      </w:r>
    </w:p>
    <w:p w:rsidR="00CD1279" w:rsidRPr="00315FA0" w:rsidRDefault="00CD1279" w:rsidP="00CD1279">
      <w:pPr>
        <w:keepNext/>
        <w:spacing w:line="276" w:lineRule="auto"/>
        <w:jc w:val="both"/>
        <w:rPr>
          <w:rFonts w:ascii="Arial Narrow" w:hAnsi="Arial Narrow"/>
        </w:rPr>
      </w:pPr>
    </w:p>
    <w:p w:rsidR="00CD1279" w:rsidRPr="00315FA0" w:rsidRDefault="00CD1279" w:rsidP="00CD1279">
      <w:pPr>
        <w:spacing w:line="276" w:lineRule="auto"/>
        <w:jc w:val="both"/>
        <w:rPr>
          <w:rFonts w:ascii="Arial Narrow" w:hAnsi="Arial Narrow"/>
        </w:rPr>
      </w:pPr>
      <w:r w:rsidRPr="00315FA0">
        <w:rPr>
          <w:rFonts w:ascii="Arial Narrow" w:hAnsi="Arial Narrow"/>
        </w:rPr>
        <w:t>Establecer con carácter permanente el marco legal del desminado humanitario por organizaciones civiles, garantizar la continuidad de sus operaciones, fortalecer la atención a las víctimas y mejorar la información pública sobre la afectación y la descontaminación del territorio.</w:t>
      </w:r>
    </w:p>
    <w:p w:rsidR="00CD1279" w:rsidRPr="00315FA0" w:rsidRDefault="00CD1279" w:rsidP="00CD1279">
      <w:pPr>
        <w:spacing w:line="276" w:lineRule="auto"/>
        <w:jc w:val="both"/>
        <w:rPr>
          <w:rFonts w:ascii="Arial Narrow" w:hAnsi="Arial Narrow"/>
        </w:rPr>
      </w:pPr>
    </w:p>
    <w:p w:rsidR="00CD1279" w:rsidRPr="00315FA0" w:rsidRDefault="00CD1279" w:rsidP="00CD1279">
      <w:pPr>
        <w:keepNext/>
        <w:spacing w:line="276" w:lineRule="auto"/>
        <w:jc w:val="center"/>
        <w:rPr>
          <w:rFonts w:ascii="Arial Narrow" w:hAnsi="Arial Narrow"/>
        </w:rPr>
      </w:pPr>
      <w:r w:rsidRPr="00315FA0">
        <w:rPr>
          <w:rFonts w:ascii="Arial Narrow" w:hAnsi="Arial Narrow"/>
          <w:b/>
          <w:bCs/>
        </w:rPr>
        <w:t>III. CONTENIDO DEL PROYECTO RADICADO</w:t>
      </w:r>
    </w:p>
    <w:p w:rsidR="00CD1279" w:rsidRPr="00315FA0" w:rsidRDefault="00CD1279" w:rsidP="00CD1279">
      <w:pPr>
        <w:keepNext/>
        <w:spacing w:line="276" w:lineRule="auto"/>
        <w:jc w:val="both"/>
        <w:rPr>
          <w:rFonts w:ascii="Arial Narrow" w:hAnsi="Arial Narrow"/>
        </w:rPr>
      </w:pPr>
    </w:p>
    <w:tbl>
      <w:tblPr>
        <w:tblW w:w="92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0" w:type="dxa"/>
          <w:right w:w="80" w:type="dxa"/>
        </w:tblCellMar>
        <w:tblLook w:val="04A0" w:firstRow="1" w:lastRow="0" w:firstColumn="1" w:lastColumn="0" w:noHBand="0" w:noVBand="1"/>
      </w:tblPr>
      <w:tblGrid>
        <w:gridCol w:w="3000"/>
        <w:gridCol w:w="1300"/>
        <w:gridCol w:w="4900"/>
      </w:tblGrid>
      <w:tr w:rsidR="00CD1279" w:rsidRPr="00315FA0" w:rsidTr="006D48E2">
        <w:trPr>
          <w:cantSplit/>
          <w:tblHeader/>
          <w:jc w:val="center"/>
        </w:trPr>
        <w:tc>
          <w:tcPr>
            <w:tcW w:w="3000" w:type="dxa"/>
          </w:tcPr>
          <w:p w:rsidR="00CD1279" w:rsidRPr="00315FA0" w:rsidRDefault="00CD1279" w:rsidP="006D48E2">
            <w:pPr>
              <w:spacing w:before="40" w:after="40"/>
              <w:jc w:val="center"/>
              <w:rPr>
                <w:rFonts w:ascii="Arial Narrow" w:hAnsi="Arial Narrow"/>
              </w:rPr>
            </w:pPr>
            <w:r w:rsidRPr="00315FA0">
              <w:rPr>
                <w:rFonts w:ascii="Arial Narrow" w:hAnsi="Arial Narrow"/>
                <w:b/>
                <w:bCs/>
              </w:rPr>
              <w:t>Título</w:t>
            </w:r>
          </w:p>
        </w:tc>
        <w:tc>
          <w:tcPr>
            <w:tcW w:w="1300" w:type="dxa"/>
          </w:tcPr>
          <w:p w:rsidR="00CD1279" w:rsidRPr="00315FA0" w:rsidRDefault="00CD1279" w:rsidP="006D48E2">
            <w:pPr>
              <w:spacing w:before="40" w:after="40"/>
              <w:jc w:val="center"/>
              <w:rPr>
                <w:rFonts w:ascii="Arial Narrow" w:hAnsi="Arial Narrow"/>
              </w:rPr>
            </w:pPr>
            <w:r w:rsidRPr="00315FA0">
              <w:rPr>
                <w:rFonts w:ascii="Arial Narrow" w:hAnsi="Arial Narrow"/>
                <w:b/>
                <w:bCs/>
              </w:rPr>
              <w:t>Artículos</w:t>
            </w:r>
          </w:p>
        </w:tc>
        <w:tc>
          <w:tcPr>
            <w:tcW w:w="4900" w:type="dxa"/>
          </w:tcPr>
          <w:p w:rsidR="00CD1279" w:rsidRPr="00315FA0" w:rsidRDefault="00CD1279" w:rsidP="006D48E2">
            <w:pPr>
              <w:spacing w:before="40" w:after="40"/>
              <w:jc w:val="center"/>
              <w:rPr>
                <w:rFonts w:ascii="Arial Narrow" w:hAnsi="Arial Narrow"/>
              </w:rPr>
            </w:pPr>
            <w:r w:rsidRPr="00315FA0">
              <w:rPr>
                <w:rFonts w:ascii="Arial Narrow" w:hAnsi="Arial Narrow"/>
                <w:b/>
                <w:bCs/>
              </w:rPr>
              <w:t>Contenido</w:t>
            </w:r>
          </w:p>
        </w:tc>
      </w:tr>
      <w:tr w:rsidR="00CD1279" w:rsidRPr="00315FA0" w:rsidTr="006D48E2">
        <w:trPr>
          <w:cantSplit/>
          <w:jc w:val="center"/>
        </w:trPr>
        <w:tc>
          <w:tcPr>
            <w:tcW w:w="3000" w:type="dxa"/>
          </w:tcPr>
          <w:p w:rsidR="00CD1279" w:rsidRPr="00315FA0" w:rsidRDefault="00CD1279" w:rsidP="006D48E2">
            <w:pPr>
              <w:spacing w:before="40" w:after="40"/>
              <w:rPr>
                <w:rFonts w:ascii="Arial Narrow" w:hAnsi="Arial Narrow"/>
              </w:rPr>
            </w:pPr>
            <w:r w:rsidRPr="00315FA0">
              <w:rPr>
                <w:rFonts w:ascii="Arial Narrow" w:hAnsi="Arial Narrow"/>
              </w:rPr>
              <w:t>I. Objeto, permanencia y principios</w:t>
            </w:r>
          </w:p>
        </w:tc>
        <w:tc>
          <w:tcPr>
            <w:tcW w:w="1300" w:type="dxa"/>
          </w:tcPr>
          <w:p w:rsidR="00CD1279" w:rsidRPr="00315FA0" w:rsidRDefault="00CD1279" w:rsidP="006D48E2">
            <w:pPr>
              <w:spacing w:before="40" w:after="40"/>
              <w:rPr>
                <w:rFonts w:ascii="Arial Narrow" w:hAnsi="Arial Narrow"/>
              </w:rPr>
            </w:pPr>
            <w:r w:rsidRPr="00315FA0">
              <w:rPr>
                <w:rFonts w:ascii="Arial Narrow" w:hAnsi="Arial Narrow"/>
              </w:rPr>
              <w:t>1 a 3</w:t>
            </w:r>
          </w:p>
        </w:tc>
        <w:tc>
          <w:tcPr>
            <w:tcW w:w="4900" w:type="dxa"/>
          </w:tcPr>
          <w:p w:rsidR="00CD1279" w:rsidRPr="00315FA0" w:rsidRDefault="00CD1279" w:rsidP="006D48E2">
            <w:pPr>
              <w:spacing w:before="40" w:after="40"/>
              <w:rPr>
                <w:rFonts w:ascii="Arial Narrow" w:hAnsi="Arial Narrow"/>
              </w:rPr>
            </w:pPr>
            <w:r w:rsidRPr="00315FA0">
              <w:rPr>
                <w:rFonts w:ascii="Arial Narrow" w:hAnsi="Arial Narrow"/>
              </w:rPr>
              <w:t>Objeto; adición de un inciso al art. 9 de la Ley 1421 de 2010 para hacerlo permanente; principios.</w:t>
            </w:r>
          </w:p>
        </w:tc>
      </w:tr>
      <w:tr w:rsidR="00CD1279" w:rsidRPr="00315FA0" w:rsidTr="006D48E2">
        <w:trPr>
          <w:cantSplit/>
          <w:jc w:val="center"/>
        </w:trPr>
        <w:tc>
          <w:tcPr>
            <w:tcW w:w="3000" w:type="dxa"/>
          </w:tcPr>
          <w:p w:rsidR="00CD1279" w:rsidRPr="00315FA0" w:rsidRDefault="00CD1279" w:rsidP="006D48E2">
            <w:pPr>
              <w:spacing w:before="40" w:after="40"/>
              <w:rPr>
                <w:rFonts w:ascii="Arial Narrow" w:hAnsi="Arial Narrow"/>
              </w:rPr>
            </w:pPr>
            <w:r w:rsidRPr="00315FA0">
              <w:rPr>
                <w:rFonts w:ascii="Arial Narrow" w:hAnsi="Arial Narrow"/>
              </w:rPr>
              <w:lastRenderedPageBreak/>
              <w:t>II. Desminado humanitario</w:t>
            </w:r>
          </w:p>
        </w:tc>
        <w:tc>
          <w:tcPr>
            <w:tcW w:w="1300" w:type="dxa"/>
          </w:tcPr>
          <w:p w:rsidR="00CD1279" w:rsidRPr="00315FA0" w:rsidRDefault="00CD1279" w:rsidP="006D48E2">
            <w:pPr>
              <w:spacing w:before="40" w:after="40"/>
              <w:rPr>
                <w:rFonts w:ascii="Arial Narrow" w:hAnsi="Arial Narrow"/>
              </w:rPr>
            </w:pPr>
            <w:r w:rsidRPr="00315FA0">
              <w:rPr>
                <w:rFonts w:ascii="Arial Narrow" w:hAnsi="Arial Narrow"/>
              </w:rPr>
              <w:t>4 a 6</w:t>
            </w:r>
          </w:p>
        </w:tc>
        <w:tc>
          <w:tcPr>
            <w:tcW w:w="4900" w:type="dxa"/>
          </w:tcPr>
          <w:p w:rsidR="00CD1279" w:rsidRPr="00315FA0" w:rsidRDefault="00CD1279" w:rsidP="006D48E2">
            <w:pPr>
              <w:spacing w:before="40" w:after="40"/>
              <w:rPr>
                <w:rFonts w:ascii="Arial Narrow" w:hAnsi="Arial Narrow"/>
              </w:rPr>
            </w:pPr>
            <w:r w:rsidRPr="00315FA0">
              <w:rPr>
                <w:rFonts w:ascii="Arial Narrow" w:hAnsi="Arial Narrow"/>
              </w:rPr>
              <w:t>Continuidad de operaciones; acreditación y aval; priorización territorial.</w:t>
            </w:r>
          </w:p>
        </w:tc>
      </w:tr>
      <w:tr w:rsidR="00CD1279" w:rsidRPr="00315FA0" w:rsidTr="006D48E2">
        <w:trPr>
          <w:cantSplit/>
          <w:jc w:val="center"/>
        </w:trPr>
        <w:tc>
          <w:tcPr>
            <w:tcW w:w="3000" w:type="dxa"/>
          </w:tcPr>
          <w:p w:rsidR="00CD1279" w:rsidRPr="00315FA0" w:rsidRDefault="00CD1279" w:rsidP="006D48E2">
            <w:pPr>
              <w:spacing w:before="40" w:after="40"/>
              <w:rPr>
                <w:rFonts w:ascii="Arial Narrow" w:hAnsi="Arial Narrow"/>
              </w:rPr>
            </w:pPr>
            <w:r w:rsidRPr="00315FA0">
              <w:rPr>
                <w:rFonts w:ascii="Arial Narrow" w:hAnsi="Arial Narrow"/>
              </w:rPr>
              <w:t>III. Atención a las víctimas</w:t>
            </w:r>
          </w:p>
        </w:tc>
        <w:tc>
          <w:tcPr>
            <w:tcW w:w="1300" w:type="dxa"/>
          </w:tcPr>
          <w:p w:rsidR="00CD1279" w:rsidRPr="00315FA0" w:rsidRDefault="00CD1279" w:rsidP="006D48E2">
            <w:pPr>
              <w:spacing w:before="40" w:after="40"/>
              <w:rPr>
                <w:rFonts w:ascii="Arial Narrow" w:hAnsi="Arial Narrow"/>
              </w:rPr>
            </w:pPr>
            <w:r w:rsidRPr="00315FA0">
              <w:rPr>
                <w:rFonts w:ascii="Arial Narrow" w:hAnsi="Arial Narrow"/>
              </w:rPr>
              <w:t>7 a 9</w:t>
            </w:r>
          </w:p>
        </w:tc>
        <w:tc>
          <w:tcPr>
            <w:tcW w:w="4900" w:type="dxa"/>
          </w:tcPr>
          <w:p w:rsidR="00CD1279" w:rsidRPr="00315FA0" w:rsidRDefault="00CD1279" w:rsidP="006D48E2">
            <w:pPr>
              <w:spacing w:before="40" w:after="40"/>
              <w:rPr>
                <w:rFonts w:ascii="Arial Narrow" w:hAnsi="Arial Narrow"/>
              </w:rPr>
            </w:pPr>
            <w:r w:rsidRPr="00315FA0">
              <w:rPr>
                <w:rFonts w:ascii="Arial Narrow" w:hAnsi="Arial Narrow"/>
              </w:rPr>
              <w:t>Ruta de atención; no discriminación de la víctima de la Fuerza Pública; educación en el riesgo.</w:t>
            </w:r>
          </w:p>
        </w:tc>
      </w:tr>
      <w:tr w:rsidR="00CD1279" w:rsidRPr="00315FA0" w:rsidTr="006D48E2">
        <w:trPr>
          <w:cantSplit/>
          <w:jc w:val="center"/>
        </w:trPr>
        <w:tc>
          <w:tcPr>
            <w:tcW w:w="3000" w:type="dxa"/>
          </w:tcPr>
          <w:p w:rsidR="00CD1279" w:rsidRPr="00315FA0" w:rsidRDefault="00CD1279" w:rsidP="006D48E2">
            <w:pPr>
              <w:spacing w:before="40" w:after="40"/>
              <w:rPr>
                <w:rFonts w:ascii="Arial Narrow" w:hAnsi="Arial Narrow"/>
              </w:rPr>
            </w:pPr>
            <w:r w:rsidRPr="00315FA0">
              <w:rPr>
                <w:rFonts w:ascii="Arial Narrow" w:hAnsi="Arial Narrow"/>
              </w:rPr>
              <w:t>IV. Información pública</w:t>
            </w:r>
          </w:p>
        </w:tc>
        <w:tc>
          <w:tcPr>
            <w:tcW w:w="1300" w:type="dxa"/>
          </w:tcPr>
          <w:p w:rsidR="00CD1279" w:rsidRPr="00315FA0" w:rsidRDefault="00CD1279" w:rsidP="006D48E2">
            <w:pPr>
              <w:spacing w:before="40" w:after="40"/>
              <w:rPr>
                <w:rFonts w:ascii="Arial Narrow" w:hAnsi="Arial Narrow"/>
              </w:rPr>
            </w:pPr>
            <w:r w:rsidRPr="00315FA0">
              <w:rPr>
                <w:rFonts w:ascii="Arial Narrow" w:hAnsi="Arial Narrow"/>
              </w:rPr>
              <w:t>10 y 11</w:t>
            </w:r>
          </w:p>
        </w:tc>
        <w:tc>
          <w:tcPr>
            <w:tcW w:w="4900" w:type="dxa"/>
          </w:tcPr>
          <w:p w:rsidR="00CD1279" w:rsidRPr="00315FA0" w:rsidRDefault="00CD1279" w:rsidP="006D48E2">
            <w:pPr>
              <w:spacing w:before="40" w:after="40"/>
              <w:rPr>
                <w:rFonts w:ascii="Arial Narrow" w:hAnsi="Arial Narrow"/>
              </w:rPr>
            </w:pPr>
            <w:r w:rsidRPr="00315FA0">
              <w:rPr>
                <w:rFonts w:ascii="Arial Narrow" w:hAnsi="Arial Narrow"/>
              </w:rPr>
              <w:t>Estadística oficial en datos abiertos; informe anual al Congreso.</w:t>
            </w:r>
          </w:p>
        </w:tc>
      </w:tr>
      <w:tr w:rsidR="00CD1279" w:rsidRPr="00315FA0" w:rsidTr="006D48E2">
        <w:trPr>
          <w:cantSplit/>
          <w:jc w:val="center"/>
        </w:trPr>
        <w:tc>
          <w:tcPr>
            <w:tcW w:w="3000" w:type="dxa"/>
          </w:tcPr>
          <w:p w:rsidR="00CD1279" w:rsidRPr="00315FA0" w:rsidRDefault="00CD1279" w:rsidP="006D48E2">
            <w:pPr>
              <w:spacing w:before="40" w:after="40"/>
              <w:rPr>
                <w:rFonts w:ascii="Arial Narrow" w:hAnsi="Arial Narrow"/>
              </w:rPr>
            </w:pPr>
            <w:r w:rsidRPr="00315FA0">
              <w:rPr>
                <w:rFonts w:ascii="Arial Narrow" w:hAnsi="Arial Narrow"/>
              </w:rPr>
              <w:t>V. Disposiciones finales</w:t>
            </w:r>
          </w:p>
        </w:tc>
        <w:tc>
          <w:tcPr>
            <w:tcW w:w="1300" w:type="dxa"/>
          </w:tcPr>
          <w:p w:rsidR="00CD1279" w:rsidRPr="00315FA0" w:rsidRDefault="00CD1279" w:rsidP="006D48E2">
            <w:pPr>
              <w:spacing w:before="40" w:after="40"/>
              <w:rPr>
                <w:rFonts w:ascii="Arial Narrow" w:hAnsi="Arial Narrow"/>
              </w:rPr>
            </w:pPr>
            <w:r w:rsidRPr="00315FA0">
              <w:rPr>
                <w:rFonts w:ascii="Arial Narrow" w:hAnsi="Arial Narrow"/>
              </w:rPr>
              <w:t>12 y 13</w:t>
            </w:r>
          </w:p>
        </w:tc>
        <w:tc>
          <w:tcPr>
            <w:tcW w:w="4900" w:type="dxa"/>
          </w:tcPr>
          <w:p w:rsidR="00CD1279" w:rsidRPr="00315FA0" w:rsidRDefault="00CD1279" w:rsidP="006D48E2">
            <w:pPr>
              <w:spacing w:before="40" w:after="40"/>
              <w:rPr>
                <w:rFonts w:ascii="Arial Narrow" w:hAnsi="Arial Narrow"/>
              </w:rPr>
            </w:pPr>
            <w:r w:rsidRPr="00315FA0">
              <w:rPr>
                <w:rFonts w:ascii="Arial Narrow" w:hAnsi="Arial Narrow"/>
              </w:rPr>
              <w:t>Armonización; vigencia.</w:t>
            </w:r>
          </w:p>
        </w:tc>
      </w:tr>
    </w:tbl>
    <w:p w:rsidR="00CD1279" w:rsidRPr="00315FA0" w:rsidRDefault="00CD1279" w:rsidP="00CD1279">
      <w:pPr>
        <w:spacing w:line="276" w:lineRule="auto"/>
        <w:jc w:val="both"/>
        <w:rPr>
          <w:rFonts w:ascii="Arial Narrow" w:hAnsi="Arial Narrow"/>
        </w:rPr>
      </w:pPr>
    </w:p>
    <w:p w:rsidR="00CD1279" w:rsidRPr="00315FA0" w:rsidRDefault="00CD1279" w:rsidP="00CD1279">
      <w:pPr>
        <w:keepNext/>
        <w:spacing w:line="276" w:lineRule="auto"/>
        <w:jc w:val="center"/>
        <w:rPr>
          <w:rFonts w:ascii="Arial Narrow" w:hAnsi="Arial Narrow"/>
        </w:rPr>
      </w:pPr>
      <w:r w:rsidRPr="00315FA0">
        <w:rPr>
          <w:rFonts w:ascii="Arial Narrow" w:hAnsi="Arial Narrow"/>
          <w:b/>
          <w:bCs/>
        </w:rPr>
        <w:t>IV. PROBLEMA QUE RESUELVE Y URGENCIA</w:t>
      </w:r>
    </w:p>
    <w:p w:rsidR="00CD1279" w:rsidRPr="00315FA0" w:rsidRDefault="00CD1279" w:rsidP="00CD1279">
      <w:pPr>
        <w:keepNext/>
        <w:spacing w:line="276" w:lineRule="auto"/>
        <w:jc w:val="both"/>
        <w:rPr>
          <w:rFonts w:ascii="Arial Narrow" w:hAnsi="Arial Narrow"/>
        </w:rPr>
      </w:pPr>
    </w:p>
    <w:p w:rsidR="00CD1279" w:rsidRPr="00315FA0" w:rsidRDefault="00CD1279" w:rsidP="00CD1279">
      <w:pPr>
        <w:spacing w:line="276" w:lineRule="auto"/>
        <w:jc w:val="both"/>
        <w:rPr>
          <w:rFonts w:ascii="Arial Narrow" w:hAnsi="Arial Narrow"/>
        </w:rPr>
      </w:pPr>
      <w:r w:rsidRPr="00315FA0">
        <w:rPr>
          <w:rFonts w:ascii="Arial Narrow" w:hAnsi="Arial Narrow"/>
        </w:rPr>
        <w:t>El artículo 9 de la Ley 1421 de 2010 habilita el desminado humanitario por organizaciones civiles y atribuye a la Comisión Intersectorial Nacional para la Acción contra Minas Antipersonal el aval de las organizaciones certificadas. Fue prorrogado por el artículo 19 de la Ley 2272 de 2022, del 4 de noviembre de 2022, por cuatro años. Pierde vigencia el 4 de noviembre de 2026.</w:t>
      </w:r>
    </w:p>
    <w:p w:rsidR="00CD1279" w:rsidRPr="00315FA0" w:rsidRDefault="00CD1279" w:rsidP="00CD1279">
      <w:pPr>
        <w:spacing w:line="276" w:lineRule="auto"/>
        <w:jc w:val="both"/>
        <w:rPr>
          <w:rFonts w:ascii="Arial Narrow" w:hAnsi="Arial Narrow"/>
        </w:rPr>
      </w:pPr>
    </w:p>
    <w:p w:rsidR="00CD1279" w:rsidRPr="00315FA0" w:rsidRDefault="00CD1279" w:rsidP="00CD1279">
      <w:pPr>
        <w:spacing w:line="276" w:lineRule="auto"/>
        <w:jc w:val="both"/>
        <w:rPr>
          <w:rFonts w:ascii="Arial Narrow" w:hAnsi="Arial Narrow"/>
        </w:rPr>
      </w:pPr>
    </w:p>
    <w:p w:rsidR="00CD1279" w:rsidRPr="00315FA0" w:rsidRDefault="00CD1279" w:rsidP="00CD1279">
      <w:pPr>
        <w:keepNext/>
        <w:spacing w:line="276" w:lineRule="auto"/>
        <w:jc w:val="center"/>
        <w:rPr>
          <w:rFonts w:ascii="Arial Narrow" w:hAnsi="Arial Narrow"/>
        </w:rPr>
      </w:pPr>
      <w:r w:rsidRPr="00315FA0">
        <w:rPr>
          <w:rFonts w:ascii="Arial Narrow" w:hAnsi="Arial Narrow"/>
          <w:b/>
          <w:bCs/>
        </w:rPr>
        <w:t>V. JUSTIFICACIÓN</w:t>
      </w:r>
    </w:p>
    <w:p w:rsidR="00CD1279" w:rsidRPr="00315FA0" w:rsidRDefault="00CD1279" w:rsidP="00CD1279">
      <w:pPr>
        <w:keepNext/>
        <w:spacing w:line="276" w:lineRule="auto"/>
        <w:jc w:val="both"/>
        <w:rPr>
          <w:rFonts w:ascii="Arial Narrow" w:hAnsi="Arial Narrow"/>
        </w:rPr>
      </w:pPr>
    </w:p>
    <w:p w:rsidR="00CD1279" w:rsidRPr="00315FA0" w:rsidRDefault="00CD1279" w:rsidP="00CD1279">
      <w:pPr>
        <w:keepNext/>
        <w:spacing w:line="276" w:lineRule="auto"/>
        <w:rPr>
          <w:rFonts w:ascii="Arial Narrow" w:hAnsi="Arial Narrow"/>
        </w:rPr>
      </w:pPr>
      <w:r w:rsidRPr="00315FA0">
        <w:rPr>
          <w:rFonts w:ascii="Arial Narrow" w:hAnsi="Arial Narrow"/>
          <w:b/>
          <w:bCs/>
        </w:rPr>
        <w:t>1. Afectación por minas antipersonal y munición sin explotar</w:t>
      </w:r>
    </w:p>
    <w:p w:rsidR="00CD1279" w:rsidRPr="00315FA0" w:rsidRDefault="00CD1279" w:rsidP="00CD1279">
      <w:pPr>
        <w:keepNext/>
        <w:spacing w:line="276" w:lineRule="auto"/>
        <w:jc w:val="both"/>
        <w:rPr>
          <w:rFonts w:ascii="Arial Narrow" w:hAnsi="Arial Narrow"/>
        </w:rPr>
      </w:pPr>
    </w:p>
    <w:tbl>
      <w:tblPr>
        <w:tblW w:w="92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0" w:type="dxa"/>
          <w:right w:w="80" w:type="dxa"/>
        </w:tblCellMar>
        <w:tblLook w:val="04A0" w:firstRow="1" w:lastRow="0" w:firstColumn="1" w:lastColumn="0" w:noHBand="0" w:noVBand="1"/>
      </w:tblPr>
      <w:tblGrid>
        <w:gridCol w:w="6200"/>
        <w:gridCol w:w="3000"/>
      </w:tblGrid>
      <w:tr w:rsidR="00CD1279" w:rsidRPr="00315FA0" w:rsidTr="006D48E2">
        <w:trPr>
          <w:cantSplit/>
          <w:tblHeader/>
          <w:jc w:val="center"/>
        </w:trPr>
        <w:tc>
          <w:tcPr>
            <w:tcW w:w="6200" w:type="dxa"/>
          </w:tcPr>
          <w:p w:rsidR="00CD1279" w:rsidRPr="00315FA0" w:rsidRDefault="00CD1279" w:rsidP="006D48E2">
            <w:pPr>
              <w:spacing w:before="40" w:after="40"/>
              <w:jc w:val="center"/>
              <w:rPr>
                <w:rFonts w:ascii="Arial Narrow" w:hAnsi="Arial Narrow"/>
                <w:lang w:val="pt-PT"/>
              </w:rPr>
            </w:pPr>
            <w:r w:rsidRPr="00315FA0">
              <w:rPr>
                <w:rFonts w:ascii="Arial Narrow" w:hAnsi="Arial Narrow"/>
                <w:b/>
                <w:bCs/>
                <w:lang w:val="pt-PT"/>
              </w:rPr>
              <w:t>Indicador (AICMA, corte 31 de julio de 2026)</w:t>
            </w:r>
          </w:p>
        </w:tc>
        <w:tc>
          <w:tcPr>
            <w:tcW w:w="3000" w:type="dxa"/>
          </w:tcPr>
          <w:p w:rsidR="00CD1279" w:rsidRPr="00315FA0" w:rsidRDefault="00CD1279" w:rsidP="006D48E2">
            <w:pPr>
              <w:spacing w:before="40" w:after="40"/>
              <w:jc w:val="center"/>
              <w:rPr>
                <w:rFonts w:ascii="Arial Narrow" w:hAnsi="Arial Narrow"/>
              </w:rPr>
            </w:pPr>
            <w:r w:rsidRPr="00315FA0">
              <w:rPr>
                <w:rFonts w:ascii="Arial Narrow" w:hAnsi="Arial Narrow"/>
                <w:b/>
                <w:bCs/>
              </w:rPr>
              <w:t>Cifra</w:t>
            </w:r>
          </w:p>
        </w:tc>
      </w:tr>
      <w:tr w:rsidR="00CD1279" w:rsidRPr="00315FA0" w:rsidTr="006D48E2">
        <w:trPr>
          <w:cantSplit/>
          <w:jc w:val="center"/>
        </w:trPr>
        <w:tc>
          <w:tcPr>
            <w:tcW w:w="6200" w:type="dxa"/>
          </w:tcPr>
          <w:p w:rsidR="00CD1279" w:rsidRPr="00315FA0" w:rsidRDefault="00CD1279" w:rsidP="006D48E2">
            <w:pPr>
              <w:spacing w:before="40" w:after="40"/>
              <w:rPr>
                <w:rFonts w:ascii="Arial Narrow" w:hAnsi="Arial Narrow"/>
              </w:rPr>
            </w:pPr>
            <w:r w:rsidRPr="00315FA0">
              <w:rPr>
                <w:rFonts w:ascii="Arial Narrow" w:hAnsi="Arial Narrow"/>
              </w:rPr>
              <w:t>Víctimas registradas desde 1990</w:t>
            </w:r>
          </w:p>
        </w:tc>
        <w:tc>
          <w:tcPr>
            <w:tcW w:w="3000" w:type="dxa"/>
          </w:tcPr>
          <w:p w:rsidR="00CD1279" w:rsidRPr="00315FA0" w:rsidRDefault="00CD1279" w:rsidP="006D48E2">
            <w:pPr>
              <w:spacing w:before="40" w:after="40"/>
              <w:rPr>
                <w:rFonts w:ascii="Arial Narrow" w:hAnsi="Arial Narrow"/>
              </w:rPr>
            </w:pPr>
            <w:r w:rsidRPr="00315FA0">
              <w:rPr>
                <w:rFonts w:ascii="Arial Narrow" w:hAnsi="Arial Narrow"/>
              </w:rPr>
              <w:t>12.722</w:t>
            </w:r>
          </w:p>
        </w:tc>
      </w:tr>
      <w:tr w:rsidR="00CD1279" w:rsidRPr="00315FA0" w:rsidTr="006D48E2">
        <w:trPr>
          <w:cantSplit/>
          <w:jc w:val="center"/>
        </w:trPr>
        <w:tc>
          <w:tcPr>
            <w:tcW w:w="6200" w:type="dxa"/>
          </w:tcPr>
          <w:p w:rsidR="00CD1279" w:rsidRPr="00315FA0" w:rsidRDefault="00CD1279" w:rsidP="006D48E2">
            <w:pPr>
              <w:spacing w:before="40" w:after="40"/>
              <w:rPr>
                <w:rFonts w:ascii="Arial Narrow" w:hAnsi="Arial Narrow"/>
              </w:rPr>
            </w:pPr>
            <w:r w:rsidRPr="00315FA0">
              <w:rPr>
                <w:rFonts w:ascii="Arial Narrow" w:hAnsi="Arial Narrow"/>
              </w:rPr>
              <w:t>Víctimas de la Fuerza Pública</w:t>
            </w:r>
          </w:p>
        </w:tc>
        <w:tc>
          <w:tcPr>
            <w:tcW w:w="3000" w:type="dxa"/>
          </w:tcPr>
          <w:p w:rsidR="00CD1279" w:rsidRPr="00315FA0" w:rsidRDefault="00CD1279" w:rsidP="006D48E2">
            <w:pPr>
              <w:spacing w:before="40" w:after="40"/>
              <w:rPr>
                <w:rFonts w:ascii="Arial Narrow" w:hAnsi="Arial Narrow"/>
              </w:rPr>
            </w:pPr>
            <w:r w:rsidRPr="00315FA0">
              <w:rPr>
                <w:rFonts w:ascii="Arial Narrow" w:hAnsi="Arial Narrow"/>
              </w:rPr>
              <w:t>7.532 (59,2 %)</w:t>
            </w:r>
          </w:p>
        </w:tc>
      </w:tr>
      <w:tr w:rsidR="00CD1279" w:rsidRPr="00315FA0" w:rsidTr="006D48E2">
        <w:trPr>
          <w:cantSplit/>
          <w:jc w:val="center"/>
        </w:trPr>
        <w:tc>
          <w:tcPr>
            <w:tcW w:w="6200" w:type="dxa"/>
          </w:tcPr>
          <w:p w:rsidR="00CD1279" w:rsidRPr="00315FA0" w:rsidRDefault="00CD1279" w:rsidP="006D48E2">
            <w:pPr>
              <w:spacing w:before="40" w:after="40"/>
              <w:rPr>
                <w:rFonts w:ascii="Arial Narrow" w:hAnsi="Arial Narrow"/>
              </w:rPr>
            </w:pPr>
            <w:r w:rsidRPr="00315FA0">
              <w:rPr>
                <w:rFonts w:ascii="Arial Narrow" w:hAnsi="Arial Narrow"/>
              </w:rPr>
              <w:t>Víctimas civiles</w:t>
            </w:r>
          </w:p>
        </w:tc>
        <w:tc>
          <w:tcPr>
            <w:tcW w:w="3000" w:type="dxa"/>
          </w:tcPr>
          <w:p w:rsidR="00CD1279" w:rsidRPr="00315FA0" w:rsidRDefault="00CD1279" w:rsidP="006D48E2">
            <w:pPr>
              <w:spacing w:before="40" w:after="40"/>
              <w:rPr>
                <w:rFonts w:ascii="Arial Narrow" w:hAnsi="Arial Narrow"/>
              </w:rPr>
            </w:pPr>
            <w:r w:rsidRPr="00315FA0">
              <w:rPr>
                <w:rFonts w:ascii="Arial Narrow" w:hAnsi="Arial Narrow"/>
              </w:rPr>
              <w:t>5.190 (40,8 %)</w:t>
            </w:r>
          </w:p>
        </w:tc>
      </w:tr>
      <w:tr w:rsidR="00CD1279" w:rsidRPr="00315FA0" w:rsidTr="006D48E2">
        <w:trPr>
          <w:cantSplit/>
          <w:jc w:val="center"/>
        </w:trPr>
        <w:tc>
          <w:tcPr>
            <w:tcW w:w="6200" w:type="dxa"/>
          </w:tcPr>
          <w:p w:rsidR="00CD1279" w:rsidRPr="00315FA0" w:rsidRDefault="00CD1279" w:rsidP="006D48E2">
            <w:pPr>
              <w:spacing w:before="40" w:after="40"/>
              <w:rPr>
                <w:rFonts w:ascii="Arial Narrow" w:hAnsi="Arial Narrow"/>
              </w:rPr>
            </w:pPr>
            <w:r w:rsidRPr="00315FA0">
              <w:rPr>
                <w:rFonts w:ascii="Arial Narrow" w:hAnsi="Arial Narrow"/>
              </w:rPr>
              <w:t>Fallecidos / heridos</w:t>
            </w:r>
          </w:p>
        </w:tc>
        <w:tc>
          <w:tcPr>
            <w:tcW w:w="3000" w:type="dxa"/>
          </w:tcPr>
          <w:p w:rsidR="00CD1279" w:rsidRPr="00315FA0" w:rsidRDefault="00CD1279" w:rsidP="006D48E2">
            <w:pPr>
              <w:spacing w:before="40" w:after="40"/>
              <w:rPr>
                <w:rFonts w:ascii="Arial Narrow" w:hAnsi="Arial Narrow"/>
              </w:rPr>
            </w:pPr>
            <w:r w:rsidRPr="00315FA0">
              <w:rPr>
                <w:rFonts w:ascii="Arial Narrow" w:hAnsi="Arial Narrow"/>
              </w:rPr>
              <w:t>2.372 / 10.350</w:t>
            </w:r>
          </w:p>
        </w:tc>
      </w:tr>
      <w:tr w:rsidR="00CD1279" w:rsidRPr="00315FA0" w:rsidTr="006D48E2">
        <w:trPr>
          <w:cantSplit/>
          <w:jc w:val="center"/>
        </w:trPr>
        <w:tc>
          <w:tcPr>
            <w:tcW w:w="6200" w:type="dxa"/>
          </w:tcPr>
          <w:p w:rsidR="00CD1279" w:rsidRPr="00315FA0" w:rsidRDefault="00CD1279" w:rsidP="006D48E2">
            <w:pPr>
              <w:spacing w:before="40" w:after="40"/>
              <w:rPr>
                <w:rFonts w:ascii="Arial Narrow" w:hAnsi="Arial Narrow"/>
              </w:rPr>
            </w:pPr>
            <w:r w:rsidRPr="00315FA0">
              <w:rPr>
                <w:rFonts w:ascii="Arial Narrow" w:hAnsi="Arial Narrow"/>
              </w:rPr>
              <w:t>Víctimas en 2025 (Fuerza Pública)</w:t>
            </w:r>
          </w:p>
        </w:tc>
        <w:tc>
          <w:tcPr>
            <w:tcW w:w="3000" w:type="dxa"/>
          </w:tcPr>
          <w:p w:rsidR="00CD1279" w:rsidRPr="00315FA0" w:rsidRDefault="00CD1279" w:rsidP="006D48E2">
            <w:pPr>
              <w:spacing w:before="40" w:after="40"/>
              <w:rPr>
                <w:rFonts w:ascii="Arial Narrow" w:hAnsi="Arial Narrow"/>
              </w:rPr>
            </w:pPr>
            <w:r w:rsidRPr="00315FA0">
              <w:rPr>
                <w:rFonts w:ascii="Arial Narrow" w:hAnsi="Arial Narrow"/>
              </w:rPr>
              <w:t>139 (93)</w:t>
            </w:r>
          </w:p>
        </w:tc>
      </w:tr>
      <w:tr w:rsidR="00CD1279" w:rsidRPr="00315FA0" w:rsidTr="006D48E2">
        <w:trPr>
          <w:cantSplit/>
          <w:jc w:val="center"/>
        </w:trPr>
        <w:tc>
          <w:tcPr>
            <w:tcW w:w="6200" w:type="dxa"/>
          </w:tcPr>
          <w:p w:rsidR="00CD1279" w:rsidRPr="00315FA0" w:rsidRDefault="00CD1279" w:rsidP="006D48E2">
            <w:pPr>
              <w:spacing w:before="40" w:after="40"/>
              <w:rPr>
                <w:rFonts w:ascii="Arial Narrow" w:hAnsi="Arial Narrow"/>
              </w:rPr>
            </w:pPr>
            <w:r w:rsidRPr="00315FA0">
              <w:rPr>
                <w:rFonts w:ascii="Arial Narrow" w:hAnsi="Arial Narrow"/>
              </w:rPr>
              <w:t>Víctimas enero-julio 2026 (civiles / Fuerza Pública / menores de edad)</w:t>
            </w:r>
          </w:p>
        </w:tc>
        <w:tc>
          <w:tcPr>
            <w:tcW w:w="3000" w:type="dxa"/>
          </w:tcPr>
          <w:p w:rsidR="00CD1279" w:rsidRPr="00315FA0" w:rsidRDefault="00CD1279" w:rsidP="006D48E2">
            <w:pPr>
              <w:spacing w:before="40" w:after="40"/>
              <w:rPr>
                <w:rFonts w:ascii="Arial Narrow" w:hAnsi="Arial Narrow"/>
              </w:rPr>
            </w:pPr>
            <w:r w:rsidRPr="00315FA0">
              <w:rPr>
                <w:rFonts w:ascii="Arial Narrow" w:hAnsi="Arial Narrow"/>
              </w:rPr>
              <w:t>59 (36 / 23 / 9)</w:t>
            </w:r>
          </w:p>
        </w:tc>
      </w:tr>
      <w:tr w:rsidR="00CD1279" w:rsidRPr="00315FA0" w:rsidTr="006D48E2">
        <w:trPr>
          <w:cantSplit/>
          <w:jc w:val="center"/>
        </w:trPr>
        <w:tc>
          <w:tcPr>
            <w:tcW w:w="6200" w:type="dxa"/>
          </w:tcPr>
          <w:p w:rsidR="00CD1279" w:rsidRPr="00315FA0" w:rsidRDefault="00CD1279" w:rsidP="006D48E2">
            <w:pPr>
              <w:spacing w:before="40" w:after="40"/>
              <w:rPr>
                <w:rFonts w:ascii="Arial Narrow" w:hAnsi="Arial Narrow"/>
              </w:rPr>
            </w:pPr>
            <w:r w:rsidRPr="00315FA0">
              <w:rPr>
                <w:rFonts w:ascii="Arial Narrow" w:hAnsi="Arial Narrow"/>
              </w:rPr>
              <w:t>Municipios con accidentes</w:t>
            </w:r>
          </w:p>
        </w:tc>
        <w:tc>
          <w:tcPr>
            <w:tcW w:w="3000" w:type="dxa"/>
          </w:tcPr>
          <w:p w:rsidR="00CD1279" w:rsidRPr="00315FA0" w:rsidRDefault="00CD1279" w:rsidP="006D48E2">
            <w:pPr>
              <w:spacing w:before="40" w:after="40"/>
              <w:rPr>
                <w:rFonts w:ascii="Arial Narrow" w:hAnsi="Arial Narrow"/>
              </w:rPr>
            </w:pPr>
            <w:r w:rsidRPr="00315FA0">
              <w:rPr>
                <w:rFonts w:ascii="Arial Narrow" w:hAnsi="Arial Narrow"/>
              </w:rPr>
              <w:t>501 en los 32 departamentos</w:t>
            </w:r>
          </w:p>
        </w:tc>
      </w:tr>
    </w:tbl>
    <w:p w:rsidR="00CD1279" w:rsidRPr="00315FA0" w:rsidRDefault="00CD1279" w:rsidP="00CD1279">
      <w:pPr>
        <w:spacing w:line="276" w:lineRule="auto"/>
        <w:jc w:val="both"/>
        <w:rPr>
          <w:rFonts w:ascii="Arial Narrow" w:hAnsi="Arial Narrow"/>
        </w:rPr>
      </w:pPr>
    </w:p>
    <w:p w:rsidR="00CD1279" w:rsidRPr="00315FA0" w:rsidRDefault="00CD1279" w:rsidP="00CD1279">
      <w:pPr>
        <w:spacing w:line="276" w:lineRule="auto"/>
        <w:jc w:val="both"/>
        <w:rPr>
          <w:rFonts w:ascii="Arial Narrow" w:hAnsi="Arial Narrow"/>
        </w:rPr>
      </w:pPr>
      <w:r w:rsidRPr="00315FA0">
        <w:rPr>
          <w:rFonts w:ascii="Arial Narrow" w:hAnsi="Arial Narrow"/>
        </w:rPr>
        <w:t>Colombia es el noveno país del mundo con más víctimas de minas y restos explosivos de guerra en 2025 (136) y el único de América entre los nueve más afectados. Esta cifra coincide con la del Informe del Artículo 7 presentado por el Gobierno en 2026, con corte al 31 de diciembre de 2025; la base de AICMA, con corte al 31 de julio de 2026, registra 139.</w:t>
      </w:r>
    </w:p>
    <w:p w:rsidR="00CD1279" w:rsidRPr="00315FA0" w:rsidRDefault="00CD1279" w:rsidP="00CD1279">
      <w:pPr>
        <w:spacing w:line="276" w:lineRule="auto"/>
        <w:jc w:val="both"/>
        <w:rPr>
          <w:rFonts w:ascii="Arial Narrow" w:hAnsi="Arial Narrow"/>
        </w:rPr>
      </w:pPr>
    </w:p>
    <w:p w:rsidR="00CD1279" w:rsidRPr="00315FA0" w:rsidRDefault="00CD1279" w:rsidP="00CD1279">
      <w:pPr>
        <w:keepNext/>
        <w:spacing w:line="276" w:lineRule="auto"/>
        <w:rPr>
          <w:rFonts w:ascii="Arial Narrow" w:hAnsi="Arial Narrow"/>
        </w:rPr>
      </w:pPr>
      <w:r w:rsidRPr="00315FA0">
        <w:rPr>
          <w:rFonts w:ascii="Arial Narrow" w:hAnsi="Arial Narrow"/>
          <w:b/>
          <w:bCs/>
        </w:rPr>
        <w:lastRenderedPageBreak/>
        <w:t>Gráfica 1. Países con más víctimas de minas y restos explosivos de guerra, 2025</w:t>
      </w:r>
    </w:p>
    <w:p w:rsidR="00CD1279" w:rsidRPr="00315FA0" w:rsidRDefault="00CD1279" w:rsidP="00CD1279">
      <w:pPr>
        <w:keepNext/>
        <w:jc w:val="center"/>
        <w:rPr>
          <w:rFonts w:ascii="Arial Narrow" w:hAnsi="Arial Narrow"/>
        </w:rPr>
      </w:pPr>
      <w:r w:rsidRPr="00315FA0">
        <w:rPr>
          <w:rFonts w:ascii="Arial Narrow" w:hAnsi="Arial Narrow"/>
          <w:noProof/>
        </w:rPr>
        <w:drawing>
          <wp:inline distT="0" distB="0" distL="0" distR="0" wp14:anchorId="39121B6B" wp14:editId="06B29EC2">
            <wp:extent cx="5760000" cy="2880000"/>
            <wp:effectExtent l="0" t="0" r="0" b="0"/>
            <wp:docPr id="201" name="Grafica nativa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CD1279" w:rsidRPr="00315FA0" w:rsidRDefault="00CD1279" w:rsidP="00CD1279">
      <w:pPr>
        <w:spacing w:line="276" w:lineRule="auto"/>
        <w:jc w:val="both"/>
        <w:rPr>
          <w:rFonts w:ascii="Arial Narrow" w:hAnsi="Arial Narrow"/>
          <w:sz w:val="16"/>
          <w:szCs w:val="16"/>
        </w:rPr>
      </w:pPr>
      <w:r w:rsidRPr="00315FA0">
        <w:rPr>
          <w:rFonts w:ascii="Arial Narrow" w:hAnsi="Arial Narrow"/>
          <w:sz w:val="16"/>
          <w:szCs w:val="16"/>
        </w:rPr>
        <w:t>Fuente: Monitor de Minas Terrestres (ICBL-CMC), datos preliminares, junio de 2026; cifra de Colombia coincidente con el Informe del Artículo 7 (2026).</w:t>
      </w:r>
    </w:p>
    <w:p w:rsidR="00CD1279" w:rsidRPr="00315FA0" w:rsidRDefault="00CD1279" w:rsidP="00CD1279">
      <w:pPr>
        <w:spacing w:line="276" w:lineRule="auto"/>
        <w:jc w:val="both"/>
        <w:rPr>
          <w:rFonts w:ascii="Arial Narrow" w:hAnsi="Arial Narrow"/>
        </w:rPr>
      </w:pPr>
    </w:p>
    <w:p w:rsidR="00CD1279" w:rsidRPr="00315FA0" w:rsidRDefault="00CD1279" w:rsidP="00CD1279">
      <w:pPr>
        <w:keepNext/>
        <w:spacing w:line="276" w:lineRule="auto"/>
        <w:rPr>
          <w:rFonts w:ascii="Arial Narrow" w:hAnsi="Arial Narrow"/>
        </w:rPr>
      </w:pPr>
      <w:r w:rsidRPr="00315FA0">
        <w:rPr>
          <w:rFonts w:ascii="Arial Narrow" w:hAnsi="Arial Narrow"/>
          <w:b/>
          <w:bCs/>
        </w:rPr>
        <w:t>2. Contexto de seguridad</w:t>
      </w:r>
    </w:p>
    <w:p w:rsidR="00CD1279" w:rsidRPr="00315FA0" w:rsidRDefault="00CD1279" w:rsidP="00CD1279">
      <w:pPr>
        <w:keepNext/>
        <w:spacing w:line="276" w:lineRule="auto"/>
        <w:jc w:val="both"/>
        <w:rPr>
          <w:rFonts w:ascii="Arial Narrow" w:hAnsi="Arial Narrow"/>
        </w:rPr>
      </w:pPr>
    </w:p>
    <w:tbl>
      <w:tblPr>
        <w:tblW w:w="92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0" w:type="dxa"/>
          <w:right w:w="80" w:type="dxa"/>
        </w:tblCellMar>
        <w:tblLook w:val="04A0" w:firstRow="1" w:lastRow="0" w:firstColumn="1" w:lastColumn="0" w:noHBand="0" w:noVBand="1"/>
      </w:tblPr>
      <w:tblGrid>
        <w:gridCol w:w="4200"/>
        <w:gridCol w:w="1000"/>
        <w:gridCol w:w="1000"/>
        <w:gridCol w:w="1000"/>
        <w:gridCol w:w="1000"/>
        <w:gridCol w:w="1000"/>
      </w:tblGrid>
      <w:tr w:rsidR="00CD1279" w:rsidRPr="00315FA0" w:rsidTr="006D48E2">
        <w:trPr>
          <w:cantSplit/>
          <w:tblHeader/>
          <w:jc w:val="center"/>
        </w:trPr>
        <w:tc>
          <w:tcPr>
            <w:tcW w:w="4200" w:type="dxa"/>
          </w:tcPr>
          <w:p w:rsidR="00CD1279" w:rsidRPr="00315FA0" w:rsidRDefault="00CD1279" w:rsidP="006D48E2">
            <w:pPr>
              <w:spacing w:before="40" w:after="40"/>
              <w:jc w:val="center"/>
              <w:rPr>
                <w:rFonts w:ascii="Arial Narrow" w:hAnsi="Arial Narrow"/>
              </w:rPr>
            </w:pPr>
            <w:r w:rsidRPr="00315FA0">
              <w:rPr>
                <w:rFonts w:ascii="Arial Narrow" w:hAnsi="Arial Narrow"/>
                <w:b/>
                <w:bCs/>
              </w:rPr>
              <w:t>Indicador (enero a agosto)</w:t>
            </w:r>
          </w:p>
        </w:tc>
        <w:tc>
          <w:tcPr>
            <w:tcW w:w="1000" w:type="dxa"/>
          </w:tcPr>
          <w:p w:rsidR="00CD1279" w:rsidRPr="00315FA0" w:rsidRDefault="00CD1279" w:rsidP="006D48E2">
            <w:pPr>
              <w:spacing w:before="40" w:after="40"/>
              <w:jc w:val="center"/>
              <w:rPr>
                <w:rFonts w:ascii="Arial Narrow" w:hAnsi="Arial Narrow"/>
              </w:rPr>
            </w:pPr>
            <w:r w:rsidRPr="00315FA0">
              <w:rPr>
                <w:rFonts w:ascii="Arial Narrow" w:hAnsi="Arial Narrow"/>
                <w:b/>
                <w:bCs/>
              </w:rPr>
              <w:t>2022</w:t>
            </w:r>
          </w:p>
        </w:tc>
        <w:tc>
          <w:tcPr>
            <w:tcW w:w="1000" w:type="dxa"/>
          </w:tcPr>
          <w:p w:rsidR="00CD1279" w:rsidRPr="00315FA0" w:rsidRDefault="00CD1279" w:rsidP="006D48E2">
            <w:pPr>
              <w:spacing w:before="40" w:after="40"/>
              <w:jc w:val="center"/>
              <w:rPr>
                <w:rFonts w:ascii="Arial Narrow" w:hAnsi="Arial Narrow"/>
              </w:rPr>
            </w:pPr>
            <w:r w:rsidRPr="00315FA0">
              <w:rPr>
                <w:rFonts w:ascii="Arial Narrow" w:hAnsi="Arial Narrow"/>
                <w:b/>
                <w:bCs/>
              </w:rPr>
              <w:t>2023</w:t>
            </w:r>
          </w:p>
        </w:tc>
        <w:tc>
          <w:tcPr>
            <w:tcW w:w="1000" w:type="dxa"/>
          </w:tcPr>
          <w:p w:rsidR="00CD1279" w:rsidRPr="00315FA0" w:rsidRDefault="00CD1279" w:rsidP="006D48E2">
            <w:pPr>
              <w:spacing w:before="40" w:after="40"/>
              <w:jc w:val="center"/>
              <w:rPr>
                <w:rFonts w:ascii="Arial Narrow" w:hAnsi="Arial Narrow"/>
              </w:rPr>
            </w:pPr>
            <w:r w:rsidRPr="00315FA0">
              <w:rPr>
                <w:rFonts w:ascii="Arial Narrow" w:hAnsi="Arial Narrow"/>
                <w:b/>
                <w:bCs/>
              </w:rPr>
              <w:t>2024</w:t>
            </w:r>
          </w:p>
        </w:tc>
        <w:tc>
          <w:tcPr>
            <w:tcW w:w="1000" w:type="dxa"/>
          </w:tcPr>
          <w:p w:rsidR="00CD1279" w:rsidRPr="00315FA0" w:rsidRDefault="00CD1279" w:rsidP="006D48E2">
            <w:pPr>
              <w:spacing w:before="40" w:after="40"/>
              <w:jc w:val="center"/>
              <w:rPr>
                <w:rFonts w:ascii="Arial Narrow" w:hAnsi="Arial Narrow"/>
              </w:rPr>
            </w:pPr>
            <w:r w:rsidRPr="00315FA0">
              <w:rPr>
                <w:rFonts w:ascii="Arial Narrow" w:hAnsi="Arial Narrow"/>
                <w:b/>
                <w:bCs/>
              </w:rPr>
              <w:t>2025</w:t>
            </w:r>
          </w:p>
        </w:tc>
        <w:tc>
          <w:tcPr>
            <w:tcW w:w="1000" w:type="dxa"/>
          </w:tcPr>
          <w:p w:rsidR="00CD1279" w:rsidRPr="00315FA0" w:rsidRDefault="00CD1279" w:rsidP="006D48E2">
            <w:pPr>
              <w:spacing w:before="40" w:after="40"/>
              <w:jc w:val="center"/>
              <w:rPr>
                <w:rFonts w:ascii="Arial Narrow" w:hAnsi="Arial Narrow"/>
              </w:rPr>
            </w:pPr>
            <w:r w:rsidRPr="00315FA0">
              <w:rPr>
                <w:rFonts w:ascii="Arial Narrow" w:hAnsi="Arial Narrow"/>
                <w:b/>
                <w:bCs/>
              </w:rPr>
              <w:t>2026</w:t>
            </w:r>
          </w:p>
        </w:tc>
      </w:tr>
      <w:tr w:rsidR="00CD1279" w:rsidRPr="00315FA0" w:rsidTr="006D48E2">
        <w:trPr>
          <w:cantSplit/>
          <w:jc w:val="center"/>
        </w:trPr>
        <w:tc>
          <w:tcPr>
            <w:tcW w:w="4200" w:type="dxa"/>
          </w:tcPr>
          <w:p w:rsidR="00CD1279" w:rsidRPr="00315FA0" w:rsidRDefault="00CD1279" w:rsidP="006D48E2">
            <w:pPr>
              <w:spacing w:before="40" w:after="40"/>
              <w:rPr>
                <w:rFonts w:ascii="Arial Narrow" w:hAnsi="Arial Narrow"/>
              </w:rPr>
            </w:pPr>
            <w:r w:rsidRPr="00315FA0">
              <w:rPr>
                <w:rFonts w:ascii="Arial Narrow" w:hAnsi="Arial Narrow"/>
              </w:rPr>
              <w:t>Actos de terrorismo (art. 144, Ley 599 de 2000)</w:t>
            </w:r>
          </w:p>
        </w:tc>
        <w:tc>
          <w:tcPr>
            <w:tcW w:w="1000" w:type="dxa"/>
          </w:tcPr>
          <w:p w:rsidR="00CD1279" w:rsidRPr="00315FA0" w:rsidRDefault="00CD1279" w:rsidP="006D48E2">
            <w:pPr>
              <w:spacing w:before="40" w:after="40"/>
              <w:jc w:val="right"/>
              <w:rPr>
                <w:rFonts w:ascii="Arial Narrow" w:hAnsi="Arial Narrow"/>
              </w:rPr>
            </w:pPr>
            <w:r w:rsidRPr="00315FA0">
              <w:rPr>
                <w:rFonts w:ascii="Arial Narrow" w:hAnsi="Arial Narrow"/>
              </w:rPr>
              <w:t>121</w:t>
            </w:r>
          </w:p>
        </w:tc>
        <w:tc>
          <w:tcPr>
            <w:tcW w:w="1000" w:type="dxa"/>
          </w:tcPr>
          <w:p w:rsidR="00CD1279" w:rsidRPr="00315FA0" w:rsidRDefault="00CD1279" w:rsidP="006D48E2">
            <w:pPr>
              <w:spacing w:before="40" w:after="40"/>
              <w:jc w:val="right"/>
              <w:rPr>
                <w:rFonts w:ascii="Arial Narrow" w:hAnsi="Arial Narrow"/>
              </w:rPr>
            </w:pPr>
            <w:r w:rsidRPr="00315FA0">
              <w:rPr>
                <w:rFonts w:ascii="Arial Narrow" w:hAnsi="Arial Narrow"/>
              </w:rPr>
              <w:t>211</w:t>
            </w:r>
          </w:p>
        </w:tc>
        <w:tc>
          <w:tcPr>
            <w:tcW w:w="1000" w:type="dxa"/>
          </w:tcPr>
          <w:p w:rsidR="00CD1279" w:rsidRPr="00315FA0" w:rsidRDefault="00CD1279" w:rsidP="006D48E2">
            <w:pPr>
              <w:spacing w:before="40" w:after="40"/>
              <w:jc w:val="right"/>
              <w:rPr>
                <w:rFonts w:ascii="Arial Narrow" w:hAnsi="Arial Narrow"/>
              </w:rPr>
            </w:pPr>
            <w:r w:rsidRPr="00315FA0">
              <w:rPr>
                <w:rFonts w:ascii="Arial Narrow" w:hAnsi="Arial Narrow"/>
              </w:rPr>
              <w:t>427</w:t>
            </w:r>
          </w:p>
        </w:tc>
        <w:tc>
          <w:tcPr>
            <w:tcW w:w="1000" w:type="dxa"/>
          </w:tcPr>
          <w:p w:rsidR="00CD1279" w:rsidRPr="00315FA0" w:rsidRDefault="00CD1279" w:rsidP="006D48E2">
            <w:pPr>
              <w:spacing w:before="40" w:after="40"/>
              <w:jc w:val="right"/>
              <w:rPr>
                <w:rFonts w:ascii="Arial Narrow" w:hAnsi="Arial Narrow"/>
              </w:rPr>
            </w:pPr>
            <w:r w:rsidRPr="00315FA0">
              <w:rPr>
                <w:rFonts w:ascii="Arial Narrow" w:hAnsi="Arial Narrow"/>
              </w:rPr>
              <w:t>530</w:t>
            </w:r>
          </w:p>
        </w:tc>
        <w:tc>
          <w:tcPr>
            <w:tcW w:w="1000" w:type="dxa"/>
          </w:tcPr>
          <w:p w:rsidR="00CD1279" w:rsidRPr="00315FA0" w:rsidRDefault="00CD1279" w:rsidP="006D48E2">
            <w:pPr>
              <w:spacing w:before="40" w:after="40"/>
              <w:jc w:val="right"/>
              <w:rPr>
                <w:rFonts w:ascii="Arial Narrow" w:hAnsi="Arial Narrow"/>
              </w:rPr>
            </w:pPr>
            <w:r w:rsidRPr="00315FA0">
              <w:rPr>
                <w:rFonts w:ascii="Arial Narrow" w:hAnsi="Arial Narrow"/>
              </w:rPr>
              <w:t>496</w:t>
            </w:r>
          </w:p>
        </w:tc>
      </w:tr>
      <w:tr w:rsidR="00CD1279" w:rsidRPr="00315FA0" w:rsidTr="006D48E2">
        <w:trPr>
          <w:cantSplit/>
          <w:jc w:val="center"/>
        </w:trPr>
        <w:tc>
          <w:tcPr>
            <w:tcW w:w="4200" w:type="dxa"/>
          </w:tcPr>
          <w:p w:rsidR="00CD1279" w:rsidRPr="00315FA0" w:rsidRDefault="00CD1279" w:rsidP="006D48E2">
            <w:pPr>
              <w:spacing w:before="40" w:after="40"/>
              <w:rPr>
                <w:rFonts w:ascii="Arial Narrow" w:hAnsi="Arial Narrow"/>
              </w:rPr>
            </w:pPr>
            <w:r w:rsidRPr="00315FA0">
              <w:rPr>
                <w:rFonts w:ascii="Arial Narrow" w:hAnsi="Arial Narrow"/>
              </w:rPr>
              <w:t>Heridos de la Fuerza Pública en actos del servicio</w:t>
            </w:r>
          </w:p>
        </w:tc>
        <w:tc>
          <w:tcPr>
            <w:tcW w:w="1000" w:type="dxa"/>
          </w:tcPr>
          <w:p w:rsidR="00CD1279" w:rsidRPr="00315FA0" w:rsidRDefault="00CD1279" w:rsidP="006D48E2">
            <w:pPr>
              <w:spacing w:before="40" w:after="40"/>
              <w:jc w:val="right"/>
              <w:rPr>
                <w:rFonts w:ascii="Arial Narrow" w:hAnsi="Arial Narrow"/>
              </w:rPr>
            </w:pPr>
            <w:r w:rsidRPr="00315FA0">
              <w:rPr>
                <w:rFonts w:ascii="Arial Narrow" w:hAnsi="Arial Narrow"/>
              </w:rPr>
              <w:t>573</w:t>
            </w:r>
          </w:p>
        </w:tc>
        <w:tc>
          <w:tcPr>
            <w:tcW w:w="1000" w:type="dxa"/>
          </w:tcPr>
          <w:p w:rsidR="00CD1279" w:rsidRPr="00315FA0" w:rsidRDefault="00CD1279" w:rsidP="006D48E2">
            <w:pPr>
              <w:spacing w:before="40" w:after="40"/>
              <w:jc w:val="right"/>
              <w:rPr>
                <w:rFonts w:ascii="Arial Narrow" w:hAnsi="Arial Narrow"/>
              </w:rPr>
            </w:pPr>
            <w:r w:rsidRPr="00315FA0">
              <w:rPr>
                <w:rFonts w:ascii="Arial Narrow" w:hAnsi="Arial Narrow"/>
              </w:rPr>
              <w:t>292</w:t>
            </w:r>
          </w:p>
        </w:tc>
        <w:tc>
          <w:tcPr>
            <w:tcW w:w="1000" w:type="dxa"/>
          </w:tcPr>
          <w:p w:rsidR="00CD1279" w:rsidRPr="00315FA0" w:rsidRDefault="00CD1279" w:rsidP="006D48E2">
            <w:pPr>
              <w:spacing w:before="40" w:after="40"/>
              <w:jc w:val="right"/>
              <w:rPr>
                <w:rFonts w:ascii="Arial Narrow" w:hAnsi="Arial Narrow"/>
              </w:rPr>
            </w:pPr>
            <w:r w:rsidRPr="00315FA0">
              <w:rPr>
                <w:rFonts w:ascii="Arial Narrow" w:hAnsi="Arial Narrow"/>
              </w:rPr>
              <w:t>270</w:t>
            </w:r>
          </w:p>
        </w:tc>
        <w:tc>
          <w:tcPr>
            <w:tcW w:w="1000" w:type="dxa"/>
          </w:tcPr>
          <w:p w:rsidR="00CD1279" w:rsidRPr="00315FA0" w:rsidRDefault="00CD1279" w:rsidP="006D48E2">
            <w:pPr>
              <w:spacing w:before="40" w:after="40"/>
              <w:jc w:val="right"/>
              <w:rPr>
                <w:rFonts w:ascii="Arial Narrow" w:hAnsi="Arial Narrow"/>
              </w:rPr>
            </w:pPr>
            <w:r w:rsidRPr="00315FA0">
              <w:rPr>
                <w:rFonts w:ascii="Arial Narrow" w:hAnsi="Arial Narrow"/>
              </w:rPr>
              <w:t>550</w:t>
            </w:r>
          </w:p>
        </w:tc>
        <w:tc>
          <w:tcPr>
            <w:tcW w:w="1000" w:type="dxa"/>
          </w:tcPr>
          <w:p w:rsidR="00CD1279" w:rsidRPr="00315FA0" w:rsidRDefault="00CD1279" w:rsidP="006D48E2">
            <w:pPr>
              <w:spacing w:before="40" w:after="40"/>
              <w:jc w:val="right"/>
              <w:rPr>
                <w:rFonts w:ascii="Arial Narrow" w:hAnsi="Arial Narrow"/>
              </w:rPr>
            </w:pPr>
            <w:r w:rsidRPr="00315FA0">
              <w:rPr>
                <w:rFonts w:ascii="Arial Narrow" w:hAnsi="Arial Narrow"/>
              </w:rPr>
              <w:t>545</w:t>
            </w:r>
          </w:p>
        </w:tc>
      </w:tr>
      <w:tr w:rsidR="00CD1279" w:rsidRPr="00315FA0" w:rsidTr="006D48E2">
        <w:trPr>
          <w:cantSplit/>
          <w:jc w:val="center"/>
        </w:trPr>
        <w:tc>
          <w:tcPr>
            <w:tcW w:w="4200" w:type="dxa"/>
          </w:tcPr>
          <w:p w:rsidR="00CD1279" w:rsidRPr="00315FA0" w:rsidRDefault="00CD1279" w:rsidP="006D48E2">
            <w:pPr>
              <w:spacing w:before="40" w:after="40"/>
              <w:rPr>
                <w:rFonts w:ascii="Arial Narrow" w:hAnsi="Arial Narrow"/>
              </w:rPr>
            </w:pPr>
            <w:r w:rsidRPr="00315FA0">
              <w:rPr>
                <w:rFonts w:ascii="Arial Narrow" w:hAnsi="Arial Narrow"/>
              </w:rPr>
              <w:t>Heridos de las Fuerzas Militares</w:t>
            </w:r>
          </w:p>
        </w:tc>
        <w:tc>
          <w:tcPr>
            <w:tcW w:w="1000" w:type="dxa"/>
          </w:tcPr>
          <w:p w:rsidR="00CD1279" w:rsidRPr="00315FA0" w:rsidRDefault="00CD1279" w:rsidP="006D48E2">
            <w:pPr>
              <w:spacing w:before="40" w:after="40"/>
              <w:jc w:val="right"/>
              <w:rPr>
                <w:rFonts w:ascii="Arial Narrow" w:hAnsi="Arial Narrow"/>
              </w:rPr>
            </w:pPr>
            <w:r w:rsidRPr="00315FA0">
              <w:rPr>
                <w:rFonts w:ascii="Arial Narrow" w:hAnsi="Arial Narrow"/>
              </w:rPr>
              <w:t>287</w:t>
            </w:r>
          </w:p>
        </w:tc>
        <w:tc>
          <w:tcPr>
            <w:tcW w:w="1000" w:type="dxa"/>
          </w:tcPr>
          <w:p w:rsidR="00CD1279" w:rsidRPr="00315FA0" w:rsidRDefault="00CD1279" w:rsidP="006D48E2">
            <w:pPr>
              <w:spacing w:before="40" w:after="40"/>
              <w:jc w:val="right"/>
              <w:rPr>
                <w:rFonts w:ascii="Arial Narrow" w:hAnsi="Arial Narrow"/>
              </w:rPr>
            </w:pPr>
            <w:r w:rsidRPr="00315FA0">
              <w:rPr>
                <w:rFonts w:ascii="Arial Narrow" w:hAnsi="Arial Narrow"/>
              </w:rPr>
              <w:t>139</w:t>
            </w:r>
          </w:p>
        </w:tc>
        <w:tc>
          <w:tcPr>
            <w:tcW w:w="1000" w:type="dxa"/>
          </w:tcPr>
          <w:p w:rsidR="00CD1279" w:rsidRPr="00315FA0" w:rsidRDefault="00CD1279" w:rsidP="006D48E2">
            <w:pPr>
              <w:spacing w:before="40" w:after="40"/>
              <w:jc w:val="right"/>
              <w:rPr>
                <w:rFonts w:ascii="Arial Narrow" w:hAnsi="Arial Narrow"/>
              </w:rPr>
            </w:pPr>
            <w:r w:rsidRPr="00315FA0">
              <w:rPr>
                <w:rFonts w:ascii="Arial Narrow" w:hAnsi="Arial Narrow"/>
              </w:rPr>
              <w:t>146</w:t>
            </w:r>
          </w:p>
        </w:tc>
        <w:tc>
          <w:tcPr>
            <w:tcW w:w="1000" w:type="dxa"/>
          </w:tcPr>
          <w:p w:rsidR="00CD1279" w:rsidRPr="00315FA0" w:rsidRDefault="00CD1279" w:rsidP="006D48E2">
            <w:pPr>
              <w:spacing w:before="40" w:after="40"/>
              <w:jc w:val="right"/>
              <w:rPr>
                <w:rFonts w:ascii="Arial Narrow" w:hAnsi="Arial Narrow"/>
              </w:rPr>
            </w:pPr>
            <w:r w:rsidRPr="00315FA0">
              <w:rPr>
                <w:rFonts w:ascii="Arial Narrow" w:hAnsi="Arial Narrow"/>
              </w:rPr>
              <w:t>363</w:t>
            </w:r>
          </w:p>
        </w:tc>
        <w:tc>
          <w:tcPr>
            <w:tcW w:w="1000" w:type="dxa"/>
          </w:tcPr>
          <w:p w:rsidR="00CD1279" w:rsidRPr="00315FA0" w:rsidRDefault="00CD1279" w:rsidP="006D48E2">
            <w:pPr>
              <w:spacing w:before="40" w:after="40"/>
              <w:jc w:val="right"/>
              <w:rPr>
                <w:rFonts w:ascii="Arial Narrow" w:hAnsi="Arial Narrow"/>
              </w:rPr>
            </w:pPr>
            <w:r w:rsidRPr="00315FA0">
              <w:rPr>
                <w:rFonts w:ascii="Arial Narrow" w:hAnsi="Arial Narrow"/>
              </w:rPr>
              <w:t>371</w:t>
            </w:r>
          </w:p>
        </w:tc>
      </w:tr>
    </w:tbl>
    <w:p w:rsidR="00CD1279" w:rsidRPr="00315FA0" w:rsidRDefault="00CD1279" w:rsidP="00CD1279">
      <w:pPr>
        <w:spacing w:line="276" w:lineRule="auto"/>
        <w:jc w:val="both"/>
        <w:rPr>
          <w:rFonts w:ascii="Arial Narrow" w:hAnsi="Arial Narrow"/>
        </w:rPr>
      </w:pPr>
    </w:p>
    <w:p w:rsidR="00CD1279" w:rsidRPr="00315FA0" w:rsidRDefault="00CD1279" w:rsidP="00CD1279">
      <w:pPr>
        <w:spacing w:line="276" w:lineRule="auto"/>
        <w:jc w:val="both"/>
        <w:rPr>
          <w:rFonts w:ascii="Arial Narrow" w:hAnsi="Arial Narrow"/>
        </w:rPr>
      </w:pPr>
      <w:r w:rsidRPr="00315FA0">
        <w:rPr>
          <w:rFonts w:ascii="Arial Narrow" w:hAnsi="Arial Narrow"/>
        </w:rPr>
        <w:t>Los actos de terrorismo del artículo 144 del Código Penal se multiplicaron por 4,1 entre 2022 y 2026. Los 371 militares heridos entre enero y agosto de 2026 son la cifra más alta para ese periodo desde 2014.</w:t>
      </w:r>
    </w:p>
    <w:p w:rsidR="00CD1279" w:rsidRPr="00315FA0" w:rsidRDefault="00CD1279" w:rsidP="00CD1279">
      <w:pPr>
        <w:spacing w:line="276" w:lineRule="auto"/>
        <w:jc w:val="both"/>
        <w:rPr>
          <w:rFonts w:ascii="Arial Narrow" w:hAnsi="Arial Narrow"/>
        </w:rPr>
      </w:pPr>
    </w:p>
    <w:p w:rsidR="00CD1279" w:rsidRPr="00315FA0" w:rsidRDefault="00CD1279" w:rsidP="00CD1279">
      <w:pPr>
        <w:keepNext/>
        <w:spacing w:line="276" w:lineRule="auto"/>
        <w:rPr>
          <w:rFonts w:ascii="Arial Narrow" w:hAnsi="Arial Narrow"/>
        </w:rPr>
      </w:pPr>
      <w:r w:rsidRPr="00315FA0">
        <w:rPr>
          <w:rFonts w:ascii="Arial Narrow" w:hAnsi="Arial Narrow"/>
          <w:b/>
          <w:bCs/>
        </w:rPr>
        <w:lastRenderedPageBreak/>
        <w:t>Gráfica 2. Actos de terrorismo (art. 144), enero-agosto, 2015-2026</w:t>
      </w:r>
    </w:p>
    <w:p w:rsidR="00CD1279" w:rsidRPr="00315FA0" w:rsidRDefault="00CD1279" w:rsidP="00CD1279">
      <w:pPr>
        <w:keepNext/>
        <w:jc w:val="center"/>
        <w:rPr>
          <w:rFonts w:ascii="Arial Narrow" w:hAnsi="Arial Narrow"/>
        </w:rPr>
      </w:pPr>
      <w:r w:rsidRPr="00315FA0">
        <w:rPr>
          <w:rFonts w:ascii="Arial Narrow" w:hAnsi="Arial Narrow"/>
          <w:noProof/>
        </w:rPr>
        <w:drawing>
          <wp:inline distT="0" distB="0" distL="0" distR="0" wp14:anchorId="0D812583" wp14:editId="2E88CC70">
            <wp:extent cx="5760000" cy="2520000"/>
            <wp:effectExtent l="0" t="0" r="0" b="0"/>
            <wp:docPr id="202" name="Grafica nativa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CD1279" w:rsidRPr="00315FA0" w:rsidRDefault="00CD1279" w:rsidP="00CD1279">
      <w:pPr>
        <w:spacing w:line="276" w:lineRule="auto"/>
        <w:jc w:val="both"/>
        <w:rPr>
          <w:rFonts w:ascii="Arial Narrow" w:hAnsi="Arial Narrow"/>
          <w:sz w:val="16"/>
          <w:szCs w:val="16"/>
        </w:rPr>
      </w:pPr>
      <w:r w:rsidRPr="00315FA0">
        <w:rPr>
          <w:rFonts w:ascii="Arial Narrow" w:hAnsi="Arial Narrow"/>
          <w:sz w:val="16"/>
          <w:szCs w:val="16"/>
        </w:rPr>
        <w:t xml:space="preserve">Fuente: </w:t>
      </w:r>
      <w:proofErr w:type="spellStart"/>
      <w:r w:rsidRPr="00315FA0">
        <w:rPr>
          <w:rFonts w:ascii="Arial Narrow" w:hAnsi="Arial Narrow"/>
          <w:sz w:val="16"/>
          <w:szCs w:val="16"/>
        </w:rPr>
        <w:t>MinDefensa</w:t>
      </w:r>
      <w:proofErr w:type="spellEnd"/>
      <w:r w:rsidRPr="00315FA0">
        <w:rPr>
          <w:rFonts w:ascii="Arial Narrow" w:hAnsi="Arial Narrow"/>
          <w:sz w:val="16"/>
          <w:szCs w:val="16"/>
        </w:rPr>
        <w:t>, Viceministerio para las Políticas de Defensa y Seguridad, corte a agosto de 2026. Cifras preliminares.</w:t>
      </w:r>
    </w:p>
    <w:p w:rsidR="00CD1279" w:rsidRPr="00315FA0" w:rsidRDefault="00CD1279" w:rsidP="00CD1279">
      <w:pPr>
        <w:spacing w:line="276" w:lineRule="auto"/>
        <w:jc w:val="both"/>
        <w:rPr>
          <w:rFonts w:ascii="Arial Narrow" w:hAnsi="Arial Narrow"/>
        </w:rPr>
      </w:pPr>
    </w:p>
    <w:p w:rsidR="00CD1279" w:rsidRPr="00315FA0" w:rsidRDefault="00CD1279" w:rsidP="00CD1279">
      <w:pPr>
        <w:keepNext/>
        <w:spacing w:line="276" w:lineRule="auto"/>
        <w:rPr>
          <w:rFonts w:ascii="Arial Narrow" w:hAnsi="Arial Narrow"/>
        </w:rPr>
      </w:pPr>
      <w:r w:rsidRPr="00315FA0">
        <w:rPr>
          <w:rFonts w:ascii="Arial Narrow" w:hAnsi="Arial Narrow"/>
          <w:b/>
          <w:bCs/>
        </w:rPr>
        <w:t>3. Papel de las organizaciones civiles</w:t>
      </w:r>
    </w:p>
    <w:p w:rsidR="00CD1279" w:rsidRPr="00315FA0" w:rsidRDefault="00CD1279" w:rsidP="00CD1279">
      <w:pPr>
        <w:keepNext/>
        <w:spacing w:line="276" w:lineRule="auto"/>
        <w:jc w:val="both"/>
        <w:rPr>
          <w:rFonts w:ascii="Arial Narrow" w:hAnsi="Arial Narrow"/>
        </w:rPr>
      </w:pPr>
    </w:p>
    <w:tbl>
      <w:tblPr>
        <w:tblW w:w="92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0" w:type="dxa"/>
          <w:right w:w="80" w:type="dxa"/>
        </w:tblCellMar>
        <w:tblLook w:val="04A0" w:firstRow="1" w:lastRow="0" w:firstColumn="1" w:lastColumn="0" w:noHBand="0" w:noVBand="1"/>
      </w:tblPr>
      <w:tblGrid>
        <w:gridCol w:w="5200"/>
        <w:gridCol w:w="2200"/>
        <w:gridCol w:w="1800"/>
      </w:tblGrid>
      <w:tr w:rsidR="00CD1279" w:rsidRPr="00315FA0" w:rsidTr="006D48E2">
        <w:trPr>
          <w:cantSplit/>
          <w:tblHeader/>
          <w:jc w:val="center"/>
        </w:trPr>
        <w:tc>
          <w:tcPr>
            <w:tcW w:w="5200" w:type="dxa"/>
          </w:tcPr>
          <w:p w:rsidR="00CD1279" w:rsidRPr="00315FA0" w:rsidRDefault="00CD1279" w:rsidP="006D48E2">
            <w:pPr>
              <w:spacing w:before="40" w:after="40"/>
              <w:jc w:val="center"/>
              <w:rPr>
                <w:rFonts w:ascii="Arial Narrow" w:hAnsi="Arial Narrow"/>
              </w:rPr>
            </w:pPr>
            <w:r w:rsidRPr="00315FA0">
              <w:rPr>
                <w:rFonts w:ascii="Arial Narrow" w:hAnsi="Arial Narrow"/>
                <w:b/>
                <w:bCs/>
              </w:rPr>
              <w:t>Operador</w:t>
            </w:r>
          </w:p>
        </w:tc>
        <w:tc>
          <w:tcPr>
            <w:tcW w:w="2200" w:type="dxa"/>
          </w:tcPr>
          <w:p w:rsidR="00CD1279" w:rsidRPr="00315FA0" w:rsidRDefault="00CD1279" w:rsidP="006D48E2">
            <w:pPr>
              <w:spacing w:before="40" w:after="40"/>
              <w:jc w:val="center"/>
              <w:rPr>
                <w:rFonts w:ascii="Arial Narrow" w:hAnsi="Arial Narrow"/>
              </w:rPr>
            </w:pPr>
            <w:r w:rsidRPr="00315FA0">
              <w:rPr>
                <w:rFonts w:ascii="Arial Narrow" w:hAnsi="Arial Narrow"/>
                <w:b/>
                <w:bCs/>
              </w:rPr>
              <w:t>Tipo</w:t>
            </w:r>
          </w:p>
        </w:tc>
        <w:tc>
          <w:tcPr>
            <w:tcW w:w="1800" w:type="dxa"/>
          </w:tcPr>
          <w:p w:rsidR="00CD1279" w:rsidRPr="00315FA0" w:rsidRDefault="00CD1279" w:rsidP="006D48E2">
            <w:pPr>
              <w:spacing w:before="40" w:after="40"/>
              <w:jc w:val="center"/>
              <w:rPr>
                <w:rFonts w:ascii="Arial Narrow" w:hAnsi="Arial Narrow"/>
              </w:rPr>
            </w:pPr>
            <w:r w:rsidRPr="00315FA0">
              <w:rPr>
                <w:rFonts w:ascii="Arial Narrow" w:hAnsi="Arial Narrow"/>
                <w:b/>
                <w:bCs/>
              </w:rPr>
              <w:t>Municipios asignados</w:t>
            </w:r>
          </w:p>
        </w:tc>
      </w:tr>
      <w:tr w:rsidR="00CD1279" w:rsidRPr="00315FA0" w:rsidTr="006D48E2">
        <w:trPr>
          <w:cantSplit/>
          <w:jc w:val="center"/>
        </w:trPr>
        <w:tc>
          <w:tcPr>
            <w:tcW w:w="5200" w:type="dxa"/>
          </w:tcPr>
          <w:p w:rsidR="00CD1279" w:rsidRPr="00315FA0" w:rsidRDefault="00CD1279" w:rsidP="006D48E2">
            <w:pPr>
              <w:spacing w:before="40" w:after="40"/>
              <w:rPr>
                <w:rFonts w:ascii="Arial Narrow" w:hAnsi="Arial Narrow"/>
              </w:rPr>
            </w:pPr>
            <w:proofErr w:type="spellStart"/>
            <w:r w:rsidRPr="00315FA0">
              <w:rPr>
                <w:rFonts w:ascii="Arial Narrow" w:hAnsi="Arial Narrow"/>
              </w:rPr>
              <w:t>The</w:t>
            </w:r>
            <w:proofErr w:type="spellEnd"/>
            <w:r w:rsidRPr="00315FA0">
              <w:rPr>
                <w:rFonts w:ascii="Arial Narrow" w:hAnsi="Arial Narrow"/>
              </w:rPr>
              <w:t xml:space="preserve"> HALO Trust</w:t>
            </w:r>
          </w:p>
        </w:tc>
        <w:tc>
          <w:tcPr>
            <w:tcW w:w="2200" w:type="dxa"/>
          </w:tcPr>
          <w:p w:rsidR="00CD1279" w:rsidRPr="00315FA0" w:rsidRDefault="00CD1279" w:rsidP="006D48E2">
            <w:pPr>
              <w:spacing w:before="40" w:after="40"/>
              <w:rPr>
                <w:rFonts w:ascii="Arial Narrow" w:hAnsi="Arial Narrow"/>
              </w:rPr>
            </w:pPr>
            <w:r w:rsidRPr="00315FA0">
              <w:rPr>
                <w:rFonts w:ascii="Arial Narrow" w:hAnsi="Arial Narrow"/>
              </w:rPr>
              <w:t>Civil internacional</w:t>
            </w:r>
          </w:p>
        </w:tc>
        <w:tc>
          <w:tcPr>
            <w:tcW w:w="1800" w:type="dxa"/>
          </w:tcPr>
          <w:p w:rsidR="00CD1279" w:rsidRPr="00315FA0" w:rsidRDefault="00CD1279" w:rsidP="006D48E2">
            <w:pPr>
              <w:spacing w:before="40" w:after="40"/>
              <w:jc w:val="right"/>
              <w:rPr>
                <w:rFonts w:ascii="Arial Narrow" w:hAnsi="Arial Narrow"/>
              </w:rPr>
            </w:pPr>
            <w:r w:rsidRPr="00315FA0">
              <w:rPr>
                <w:rFonts w:ascii="Arial Narrow" w:hAnsi="Arial Narrow"/>
              </w:rPr>
              <w:t>21</w:t>
            </w:r>
          </w:p>
        </w:tc>
      </w:tr>
      <w:tr w:rsidR="00CD1279" w:rsidRPr="00315FA0" w:rsidTr="006D48E2">
        <w:trPr>
          <w:cantSplit/>
          <w:jc w:val="center"/>
        </w:trPr>
        <w:tc>
          <w:tcPr>
            <w:tcW w:w="5200" w:type="dxa"/>
          </w:tcPr>
          <w:p w:rsidR="00CD1279" w:rsidRPr="00315FA0" w:rsidRDefault="00CD1279" w:rsidP="006D48E2">
            <w:pPr>
              <w:spacing w:before="40" w:after="40"/>
              <w:rPr>
                <w:rFonts w:ascii="Arial Narrow" w:hAnsi="Arial Narrow"/>
              </w:rPr>
            </w:pPr>
            <w:r w:rsidRPr="00315FA0">
              <w:rPr>
                <w:rFonts w:ascii="Arial Narrow" w:hAnsi="Arial Narrow"/>
              </w:rPr>
              <w:t>Campaña Colombiana contra Minas (CCCM)</w:t>
            </w:r>
          </w:p>
        </w:tc>
        <w:tc>
          <w:tcPr>
            <w:tcW w:w="2200" w:type="dxa"/>
          </w:tcPr>
          <w:p w:rsidR="00CD1279" w:rsidRPr="00315FA0" w:rsidRDefault="00CD1279" w:rsidP="006D48E2">
            <w:pPr>
              <w:spacing w:before="40" w:after="40"/>
              <w:rPr>
                <w:rFonts w:ascii="Arial Narrow" w:hAnsi="Arial Narrow"/>
              </w:rPr>
            </w:pPr>
            <w:r w:rsidRPr="00315FA0">
              <w:rPr>
                <w:rFonts w:ascii="Arial Narrow" w:hAnsi="Arial Narrow"/>
              </w:rPr>
              <w:t>Civil nacional</w:t>
            </w:r>
          </w:p>
        </w:tc>
        <w:tc>
          <w:tcPr>
            <w:tcW w:w="1800" w:type="dxa"/>
          </w:tcPr>
          <w:p w:rsidR="00CD1279" w:rsidRPr="00315FA0" w:rsidRDefault="00CD1279" w:rsidP="006D48E2">
            <w:pPr>
              <w:spacing w:before="40" w:after="40"/>
              <w:jc w:val="right"/>
              <w:rPr>
                <w:rFonts w:ascii="Arial Narrow" w:hAnsi="Arial Narrow"/>
              </w:rPr>
            </w:pPr>
            <w:r w:rsidRPr="00315FA0">
              <w:rPr>
                <w:rFonts w:ascii="Arial Narrow" w:hAnsi="Arial Narrow"/>
              </w:rPr>
              <w:t>16</w:t>
            </w:r>
          </w:p>
        </w:tc>
      </w:tr>
      <w:tr w:rsidR="00CD1279" w:rsidRPr="00315FA0" w:rsidTr="006D48E2">
        <w:trPr>
          <w:cantSplit/>
          <w:jc w:val="center"/>
        </w:trPr>
        <w:tc>
          <w:tcPr>
            <w:tcW w:w="5200" w:type="dxa"/>
          </w:tcPr>
          <w:p w:rsidR="00CD1279" w:rsidRPr="00315FA0" w:rsidRDefault="00CD1279" w:rsidP="006D48E2">
            <w:pPr>
              <w:spacing w:before="40" w:after="40"/>
              <w:rPr>
                <w:rFonts w:ascii="Arial Narrow" w:hAnsi="Arial Narrow"/>
              </w:rPr>
            </w:pPr>
            <w:proofErr w:type="spellStart"/>
            <w:r w:rsidRPr="00315FA0">
              <w:rPr>
                <w:rFonts w:ascii="Arial Narrow" w:hAnsi="Arial Narrow"/>
              </w:rPr>
              <w:t>Humanity</w:t>
            </w:r>
            <w:proofErr w:type="spellEnd"/>
            <w:r w:rsidRPr="00315FA0">
              <w:rPr>
                <w:rFonts w:ascii="Arial Narrow" w:hAnsi="Arial Narrow"/>
              </w:rPr>
              <w:t xml:space="preserve"> &amp; </w:t>
            </w:r>
            <w:proofErr w:type="spellStart"/>
            <w:r w:rsidRPr="00315FA0">
              <w:rPr>
                <w:rFonts w:ascii="Arial Narrow" w:hAnsi="Arial Narrow"/>
              </w:rPr>
              <w:t>Inclusion</w:t>
            </w:r>
            <w:proofErr w:type="spellEnd"/>
            <w:r w:rsidRPr="00315FA0">
              <w:rPr>
                <w:rFonts w:ascii="Arial Narrow" w:hAnsi="Arial Narrow"/>
              </w:rPr>
              <w:t xml:space="preserve"> (HI)</w:t>
            </w:r>
          </w:p>
        </w:tc>
        <w:tc>
          <w:tcPr>
            <w:tcW w:w="2200" w:type="dxa"/>
          </w:tcPr>
          <w:p w:rsidR="00CD1279" w:rsidRPr="00315FA0" w:rsidRDefault="00CD1279" w:rsidP="006D48E2">
            <w:pPr>
              <w:spacing w:before="40" w:after="40"/>
              <w:rPr>
                <w:rFonts w:ascii="Arial Narrow" w:hAnsi="Arial Narrow"/>
              </w:rPr>
            </w:pPr>
            <w:r w:rsidRPr="00315FA0">
              <w:rPr>
                <w:rFonts w:ascii="Arial Narrow" w:hAnsi="Arial Narrow"/>
              </w:rPr>
              <w:t>Civil internacional</w:t>
            </w:r>
          </w:p>
        </w:tc>
        <w:tc>
          <w:tcPr>
            <w:tcW w:w="1800" w:type="dxa"/>
          </w:tcPr>
          <w:p w:rsidR="00CD1279" w:rsidRPr="00315FA0" w:rsidRDefault="00CD1279" w:rsidP="006D48E2">
            <w:pPr>
              <w:spacing w:before="40" w:after="40"/>
              <w:jc w:val="right"/>
              <w:rPr>
                <w:rFonts w:ascii="Arial Narrow" w:hAnsi="Arial Narrow"/>
              </w:rPr>
            </w:pPr>
            <w:r w:rsidRPr="00315FA0">
              <w:rPr>
                <w:rFonts w:ascii="Arial Narrow" w:hAnsi="Arial Narrow"/>
              </w:rPr>
              <w:t>11</w:t>
            </w:r>
          </w:p>
        </w:tc>
      </w:tr>
      <w:tr w:rsidR="00CD1279" w:rsidRPr="00315FA0" w:rsidTr="006D48E2">
        <w:trPr>
          <w:cantSplit/>
          <w:jc w:val="center"/>
        </w:trPr>
        <w:tc>
          <w:tcPr>
            <w:tcW w:w="5200" w:type="dxa"/>
          </w:tcPr>
          <w:p w:rsidR="00CD1279" w:rsidRPr="00315FA0" w:rsidRDefault="00CD1279" w:rsidP="006D48E2">
            <w:pPr>
              <w:spacing w:before="40" w:after="40"/>
              <w:rPr>
                <w:rFonts w:ascii="Arial Narrow" w:hAnsi="Arial Narrow"/>
              </w:rPr>
            </w:pPr>
            <w:proofErr w:type="spellStart"/>
            <w:r w:rsidRPr="00315FA0">
              <w:rPr>
                <w:rFonts w:ascii="Arial Narrow" w:hAnsi="Arial Narrow"/>
              </w:rPr>
              <w:t>Danish</w:t>
            </w:r>
            <w:proofErr w:type="spellEnd"/>
            <w:r w:rsidRPr="00315FA0">
              <w:rPr>
                <w:rFonts w:ascii="Arial Narrow" w:hAnsi="Arial Narrow"/>
              </w:rPr>
              <w:t xml:space="preserve"> </w:t>
            </w:r>
            <w:proofErr w:type="spellStart"/>
            <w:r w:rsidRPr="00315FA0">
              <w:rPr>
                <w:rFonts w:ascii="Arial Narrow" w:hAnsi="Arial Narrow"/>
              </w:rPr>
              <w:t>Refugee</w:t>
            </w:r>
            <w:proofErr w:type="spellEnd"/>
            <w:r w:rsidRPr="00315FA0">
              <w:rPr>
                <w:rFonts w:ascii="Arial Narrow" w:hAnsi="Arial Narrow"/>
              </w:rPr>
              <w:t xml:space="preserve"> Council (DRC)</w:t>
            </w:r>
          </w:p>
        </w:tc>
        <w:tc>
          <w:tcPr>
            <w:tcW w:w="2200" w:type="dxa"/>
          </w:tcPr>
          <w:p w:rsidR="00CD1279" w:rsidRPr="00315FA0" w:rsidRDefault="00CD1279" w:rsidP="006D48E2">
            <w:pPr>
              <w:spacing w:before="40" w:after="40"/>
              <w:rPr>
                <w:rFonts w:ascii="Arial Narrow" w:hAnsi="Arial Narrow"/>
              </w:rPr>
            </w:pPr>
            <w:r w:rsidRPr="00315FA0">
              <w:rPr>
                <w:rFonts w:ascii="Arial Narrow" w:hAnsi="Arial Narrow"/>
              </w:rPr>
              <w:t>Civil internacional</w:t>
            </w:r>
          </w:p>
        </w:tc>
        <w:tc>
          <w:tcPr>
            <w:tcW w:w="1800" w:type="dxa"/>
          </w:tcPr>
          <w:p w:rsidR="00CD1279" w:rsidRPr="00315FA0" w:rsidRDefault="00CD1279" w:rsidP="006D48E2">
            <w:pPr>
              <w:spacing w:before="40" w:after="40"/>
              <w:jc w:val="right"/>
              <w:rPr>
                <w:rFonts w:ascii="Arial Narrow" w:hAnsi="Arial Narrow"/>
              </w:rPr>
            </w:pPr>
            <w:r w:rsidRPr="00315FA0">
              <w:rPr>
                <w:rFonts w:ascii="Arial Narrow" w:hAnsi="Arial Narrow"/>
              </w:rPr>
              <w:t>10</w:t>
            </w:r>
          </w:p>
        </w:tc>
      </w:tr>
      <w:tr w:rsidR="00CD1279" w:rsidRPr="00315FA0" w:rsidTr="006D48E2">
        <w:trPr>
          <w:cantSplit/>
          <w:jc w:val="center"/>
        </w:trPr>
        <w:tc>
          <w:tcPr>
            <w:tcW w:w="5200" w:type="dxa"/>
          </w:tcPr>
          <w:p w:rsidR="00CD1279" w:rsidRPr="00315FA0" w:rsidRDefault="00CD1279" w:rsidP="006D48E2">
            <w:pPr>
              <w:spacing w:before="40" w:after="40"/>
              <w:rPr>
                <w:rFonts w:ascii="Arial Narrow" w:hAnsi="Arial Narrow"/>
              </w:rPr>
            </w:pPr>
            <w:r w:rsidRPr="00315FA0">
              <w:rPr>
                <w:rFonts w:ascii="Arial Narrow" w:hAnsi="Arial Narrow"/>
              </w:rPr>
              <w:t>Corporación Humanicemos DH</w:t>
            </w:r>
          </w:p>
        </w:tc>
        <w:tc>
          <w:tcPr>
            <w:tcW w:w="2200" w:type="dxa"/>
          </w:tcPr>
          <w:p w:rsidR="00CD1279" w:rsidRPr="00315FA0" w:rsidRDefault="00CD1279" w:rsidP="006D48E2">
            <w:pPr>
              <w:spacing w:before="40" w:after="40"/>
              <w:rPr>
                <w:rFonts w:ascii="Arial Narrow" w:hAnsi="Arial Narrow"/>
              </w:rPr>
            </w:pPr>
            <w:r w:rsidRPr="00315FA0">
              <w:rPr>
                <w:rFonts w:ascii="Arial Narrow" w:hAnsi="Arial Narrow"/>
              </w:rPr>
              <w:t>Civil nacional</w:t>
            </w:r>
          </w:p>
        </w:tc>
        <w:tc>
          <w:tcPr>
            <w:tcW w:w="1800" w:type="dxa"/>
          </w:tcPr>
          <w:p w:rsidR="00CD1279" w:rsidRPr="00315FA0" w:rsidRDefault="00CD1279" w:rsidP="006D48E2">
            <w:pPr>
              <w:spacing w:before="40" w:after="40"/>
              <w:jc w:val="right"/>
              <w:rPr>
                <w:rFonts w:ascii="Arial Narrow" w:hAnsi="Arial Narrow"/>
              </w:rPr>
            </w:pPr>
            <w:r w:rsidRPr="00315FA0">
              <w:rPr>
                <w:rFonts w:ascii="Arial Narrow" w:hAnsi="Arial Narrow"/>
              </w:rPr>
              <w:t>3</w:t>
            </w:r>
          </w:p>
        </w:tc>
      </w:tr>
      <w:tr w:rsidR="00CD1279" w:rsidRPr="00315FA0" w:rsidTr="006D48E2">
        <w:trPr>
          <w:cantSplit/>
          <w:jc w:val="center"/>
        </w:trPr>
        <w:tc>
          <w:tcPr>
            <w:tcW w:w="5200" w:type="dxa"/>
          </w:tcPr>
          <w:p w:rsidR="00CD1279" w:rsidRPr="00315FA0" w:rsidRDefault="00CD1279" w:rsidP="006D48E2">
            <w:pPr>
              <w:spacing w:before="40" w:after="40"/>
              <w:rPr>
                <w:rFonts w:ascii="Arial Narrow" w:hAnsi="Arial Narrow"/>
              </w:rPr>
            </w:pPr>
            <w:r w:rsidRPr="00315FA0">
              <w:rPr>
                <w:rFonts w:ascii="Arial Narrow" w:hAnsi="Arial Narrow"/>
              </w:rPr>
              <w:t>Brigada de Ingenieros de Desminado Humanitario (Ejército)</w:t>
            </w:r>
          </w:p>
        </w:tc>
        <w:tc>
          <w:tcPr>
            <w:tcW w:w="2200" w:type="dxa"/>
          </w:tcPr>
          <w:p w:rsidR="00CD1279" w:rsidRPr="00315FA0" w:rsidRDefault="00CD1279" w:rsidP="006D48E2">
            <w:pPr>
              <w:spacing w:before="40" w:after="40"/>
              <w:rPr>
                <w:rFonts w:ascii="Arial Narrow" w:hAnsi="Arial Narrow"/>
              </w:rPr>
            </w:pPr>
            <w:r w:rsidRPr="00315FA0">
              <w:rPr>
                <w:rFonts w:ascii="Arial Narrow" w:hAnsi="Arial Narrow"/>
              </w:rPr>
              <w:t>Estatal</w:t>
            </w:r>
          </w:p>
        </w:tc>
        <w:tc>
          <w:tcPr>
            <w:tcW w:w="1800" w:type="dxa"/>
          </w:tcPr>
          <w:p w:rsidR="00CD1279" w:rsidRPr="00315FA0" w:rsidRDefault="00CD1279" w:rsidP="006D48E2">
            <w:pPr>
              <w:spacing w:before="40" w:after="40"/>
              <w:jc w:val="right"/>
              <w:rPr>
                <w:rFonts w:ascii="Arial Narrow" w:hAnsi="Arial Narrow"/>
              </w:rPr>
            </w:pPr>
            <w:r w:rsidRPr="00315FA0">
              <w:rPr>
                <w:rFonts w:ascii="Arial Narrow" w:hAnsi="Arial Narrow"/>
              </w:rPr>
              <w:t>33</w:t>
            </w:r>
          </w:p>
        </w:tc>
      </w:tr>
      <w:tr w:rsidR="00CD1279" w:rsidRPr="00315FA0" w:rsidTr="006D48E2">
        <w:trPr>
          <w:cantSplit/>
          <w:jc w:val="center"/>
        </w:trPr>
        <w:tc>
          <w:tcPr>
            <w:tcW w:w="5200" w:type="dxa"/>
          </w:tcPr>
          <w:p w:rsidR="00CD1279" w:rsidRPr="00315FA0" w:rsidRDefault="00CD1279" w:rsidP="006D48E2">
            <w:pPr>
              <w:spacing w:before="40" w:after="40"/>
              <w:rPr>
                <w:rFonts w:ascii="Arial Narrow" w:hAnsi="Arial Narrow"/>
              </w:rPr>
            </w:pPr>
            <w:r w:rsidRPr="00315FA0">
              <w:rPr>
                <w:rFonts w:ascii="Arial Narrow" w:hAnsi="Arial Narrow"/>
              </w:rPr>
              <w:t>Batallón de Desminado e Ingenieros Anfibios (Armada)</w:t>
            </w:r>
          </w:p>
        </w:tc>
        <w:tc>
          <w:tcPr>
            <w:tcW w:w="2200" w:type="dxa"/>
          </w:tcPr>
          <w:p w:rsidR="00CD1279" w:rsidRPr="00315FA0" w:rsidRDefault="00CD1279" w:rsidP="006D48E2">
            <w:pPr>
              <w:spacing w:before="40" w:after="40"/>
              <w:rPr>
                <w:rFonts w:ascii="Arial Narrow" w:hAnsi="Arial Narrow"/>
              </w:rPr>
            </w:pPr>
            <w:r w:rsidRPr="00315FA0">
              <w:rPr>
                <w:rFonts w:ascii="Arial Narrow" w:hAnsi="Arial Narrow"/>
              </w:rPr>
              <w:t>Estatal</w:t>
            </w:r>
          </w:p>
        </w:tc>
        <w:tc>
          <w:tcPr>
            <w:tcW w:w="1800" w:type="dxa"/>
          </w:tcPr>
          <w:p w:rsidR="00CD1279" w:rsidRPr="00315FA0" w:rsidRDefault="00CD1279" w:rsidP="006D48E2">
            <w:pPr>
              <w:spacing w:before="40" w:after="40"/>
              <w:jc w:val="right"/>
              <w:rPr>
                <w:rFonts w:ascii="Arial Narrow" w:hAnsi="Arial Narrow"/>
              </w:rPr>
            </w:pPr>
            <w:r w:rsidRPr="00315FA0">
              <w:rPr>
                <w:rFonts w:ascii="Arial Narrow" w:hAnsi="Arial Narrow"/>
              </w:rPr>
              <w:t>2</w:t>
            </w:r>
          </w:p>
        </w:tc>
      </w:tr>
    </w:tbl>
    <w:p w:rsidR="00CD1279" w:rsidRPr="00315FA0" w:rsidRDefault="00CD1279" w:rsidP="00CD1279">
      <w:pPr>
        <w:spacing w:line="276" w:lineRule="auto"/>
        <w:jc w:val="both"/>
        <w:rPr>
          <w:rFonts w:ascii="Arial Narrow" w:hAnsi="Arial Narrow"/>
          <w:sz w:val="16"/>
          <w:szCs w:val="16"/>
        </w:rPr>
      </w:pPr>
    </w:p>
    <w:p w:rsidR="00CD1279" w:rsidRPr="00315FA0" w:rsidRDefault="00CD1279" w:rsidP="00CD1279">
      <w:pPr>
        <w:spacing w:line="276" w:lineRule="auto"/>
        <w:jc w:val="both"/>
        <w:rPr>
          <w:rFonts w:ascii="Arial Narrow" w:hAnsi="Arial Narrow"/>
          <w:sz w:val="16"/>
          <w:szCs w:val="16"/>
        </w:rPr>
      </w:pPr>
      <w:r w:rsidRPr="00315FA0">
        <w:rPr>
          <w:rFonts w:ascii="Arial Narrow" w:hAnsi="Arial Narrow"/>
          <w:sz w:val="16"/>
          <w:szCs w:val="16"/>
        </w:rPr>
        <w:t>Fuente: Gobierno de Colombia, Informe del Artículo 7 de la Convención de Ottawa (2025, datos 2024). Corte: 31 de diciembre de 2024.</w:t>
      </w:r>
    </w:p>
    <w:p w:rsidR="00CD1279" w:rsidRPr="00315FA0" w:rsidRDefault="00CD1279" w:rsidP="00CD1279">
      <w:pPr>
        <w:spacing w:line="276" w:lineRule="auto"/>
        <w:jc w:val="both"/>
        <w:rPr>
          <w:rFonts w:ascii="Arial Narrow" w:hAnsi="Arial Narrow"/>
          <w:sz w:val="16"/>
          <w:szCs w:val="16"/>
        </w:rPr>
      </w:pPr>
    </w:p>
    <w:p w:rsidR="00CD1279" w:rsidRPr="00315FA0" w:rsidRDefault="00CD1279" w:rsidP="00CD1279">
      <w:pPr>
        <w:spacing w:line="276" w:lineRule="auto"/>
        <w:ind w:left="360" w:hanging="360"/>
        <w:jc w:val="both"/>
        <w:rPr>
          <w:rFonts w:ascii="Arial Narrow" w:hAnsi="Arial Narrow"/>
        </w:rPr>
      </w:pPr>
      <w:r w:rsidRPr="00315FA0">
        <w:rPr>
          <w:rFonts w:ascii="Arial Narrow" w:hAnsi="Arial Narrow"/>
        </w:rPr>
        <w:t>a)</w:t>
      </w:r>
      <w:r w:rsidRPr="00315FA0">
        <w:rPr>
          <w:rFonts w:ascii="Arial Narrow" w:hAnsi="Arial Narrow"/>
        </w:rPr>
        <w:tab/>
        <w:t>Las organizaciones civiles tienen 61 de las 96 asignaciones municipales (63,5 %).</w:t>
      </w:r>
    </w:p>
    <w:p w:rsidR="00CD1279" w:rsidRPr="00315FA0" w:rsidRDefault="00CD1279" w:rsidP="00CD1279">
      <w:pPr>
        <w:spacing w:line="276" w:lineRule="auto"/>
        <w:ind w:left="360" w:hanging="360"/>
        <w:jc w:val="both"/>
        <w:rPr>
          <w:rFonts w:ascii="Arial Narrow" w:hAnsi="Arial Narrow"/>
        </w:rPr>
      </w:pPr>
      <w:r w:rsidRPr="00315FA0">
        <w:rPr>
          <w:rFonts w:ascii="Arial Narrow" w:hAnsi="Arial Narrow"/>
        </w:rPr>
        <w:t>b)</w:t>
      </w:r>
      <w:r w:rsidRPr="00315FA0">
        <w:rPr>
          <w:rFonts w:ascii="Arial Narrow" w:hAnsi="Arial Narrow"/>
        </w:rPr>
        <w:tab/>
        <w:t>En 49 de los 84 municipios en operación (58,3 %) el único operador es una organización civil.</w:t>
      </w:r>
    </w:p>
    <w:p w:rsidR="00CD1279" w:rsidRPr="00315FA0" w:rsidRDefault="00CD1279" w:rsidP="00CD1279">
      <w:pPr>
        <w:spacing w:line="276" w:lineRule="auto"/>
        <w:ind w:left="360" w:hanging="360"/>
        <w:jc w:val="both"/>
        <w:rPr>
          <w:rFonts w:ascii="Arial Narrow" w:hAnsi="Arial Narrow"/>
        </w:rPr>
      </w:pPr>
      <w:r w:rsidRPr="00315FA0">
        <w:rPr>
          <w:rFonts w:ascii="Arial Narrow" w:hAnsi="Arial Narrow"/>
        </w:rPr>
        <w:t>c)</w:t>
      </w:r>
      <w:r w:rsidRPr="00315FA0">
        <w:rPr>
          <w:rFonts w:ascii="Arial Narrow" w:hAnsi="Arial Narrow"/>
        </w:rPr>
        <w:tab/>
        <w:t>Operan en 13 de los 18 departamentos con operaciones activas.</w:t>
      </w:r>
    </w:p>
    <w:p w:rsidR="00CD1279" w:rsidRPr="00315FA0" w:rsidRDefault="00CD1279" w:rsidP="00CD1279">
      <w:pPr>
        <w:spacing w:line="276" w:lineRule="auto"/>
        <w:ind w:left="360" w:hanging="360"/>
        <w:jc w:val="both"/>
        <w:rPr>
          <w:rFonts w:ascii="Arial Narrow" w:hAnsi="Arial Narrow"/>
        </w:rPr>
      </w:pPr>
      <w:r w:rsidRPr="00315FA0">
        <w:rPr>
          <w:rFonts w:ascii="Arial Narrow" w:hAnsi="Arial Narrow"/>
        </w:rPr>
        <w:t>d)</w:t>
      </w:r>
      <w:r w:rsidRPr="00315FA0">
        <w:rPr>
          <w:rFonts w:ascii="Arial Narrow" w:hAnsi="Arial Narrow"/>
        </w:rPr>
        <w:tab/>
        <w:t>Si el artículo 9 pierde vigencia, esos 49 municipios quedan sin operador habilitado y la carga pasa a la capacidad militar.</w:t>
      </w:r>
    </w:p>
    <w:p w:rsidR="00CD1279" w:rsidRPr="00315FA0" w:rsidRDefault="00CD1279" w:rsidP="00CD1279">
      <w:pPr>
        <w:spacing w:line="276" w:lineRule="auto"/>
        <w:jc w:val="both"/>
        <w:rPr>
          <w:rFonts w:ascii="Arial Narrow" w:hAnsi="Arial Narrow"/>
        </w:rPr>
      </w:pPr>
    </w:p>
    <w:p w:rsidR="00CD1279" w:rsidRPr="00315FA0" w:rsidRDefault="00CD1279" w:rsidP="00CD1279">
      <w:pPr>
        <w:keepNext/>
        <w:spacing w:line="276" w:lineRule="auto"/>
        <w:rPr>
          <w:rFonts w:ascii="Arial Narrow" w:hAnsi="Arial Narrow"/>
        </w:rPr>
      </w:pPr>
      <w:r w:rsidRPr="00315FA0">
        <w:rPr>
          <w:rFonts w:ascii="Arial Narrow" w:hAnsi="Arial Narrow"/>
          <w:b/>
          <w:bCs/>
        </w:rPr>
        <w:lastRenderedPageBreak/>
        <w:t>Gráfica 3. Municipios asignados por operador</w:t>
      </w:r>
    </w:p>
    <w:p w:rsidR="00CD1279" w:rsidRPr="00315FA0" w:rsidRDefault="00CD1279" w:rsidP="00CD1279">
      <w:pPr>
        <w:keepNext/>
        <w:jc w:val="center"/>
        <w:rPr>
          <w:rFonts w:ascii="Arial Narrow" w:hAnsi="Arial Narrow"/>
        </w:rPr>
      </w:pPr>
      <w:r w:rsidRPr="00315FA0">
        <w:rPr>
          <w:rFonts w:ascii="Arial Narrow" w:hAnsi="Arial Narrow"/>
          <w:noProof/>
        </w:rPr>
        <w:drawing>
          <wp:inline distT="0" distB="0" distL="0" distR="0" wp14:anchorId="5117A0DB" wp14:editId="1282C5EE">
            <wp:extent cx="5760000" cy="2520000"/>
            <wp:effectExtent l="0" t="0" r="0" b="0"/>
            <wp:docPr id="203" name="Grafica nativa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CD1279" w:rsidRPr="00315FA0" w:rsidRDefault="00CD1279" w:rsidP="00CD1279">
      <w:pPr>
        <w:spacing w:line="276" w:lineRule="auto"/>
        <w:jc w:val="both"/>
        <w:rPr>
          <w:rFonts w:ascii="Arial Narrow" w:hAnsi="Arial Narrow"/>
          <w:sz w:val="16"/>
          <w:szCs w:val="16"/>
        </w:rPr>
      </w:pPr>
      <w:r w:rsidRPr="00315FA0">
        <w:rPr>
          <w:rFonts w:ascii="Arial Narrow" w:hAnsi="Arial Narrow"/>
          <w:sz w:val="16"/>
          <w:szCs w:val="16"/>
        </w:rPr>
        <w:t>Fuente: Gobierno de Colombia, Informe del Artículo 7 de la Convención de Ottawa (2025, datos 2024).</w:t>
      </w:r>
    </w:p>
    <w:p w:rsidR="00CD1279" w:rsidRPr="00315FA0" w:rsidRDefault="00CD1279" w:rsidP="00CD1279">
      <w:pPr>
        <w:spacing w:line="276" w:lineRule="auto"/>
        <w:jc w:val="both"/>
        <w:rPr>
          <w:rFonts w:ascii="Arial Narrow" w:hAnsi="Arial Narrow"/>
        </w:rPr>
      </w:pPr>
    </w:p>
    <w:p w:rsidR="00CD1279" w:rsidRPr="00315FA0" w:rsidRDefault="00CD1279" w:rsidP="00CD1279">
      <w:pPr>
        <w:keepNext/>
        <w:spacing w:line="276" w:lineRule="auto"/>
        <w:rPr>
          <w:rFonts w:ascii="Arial Narrow" w:hAnsi="Arial Narrow"/>
        </w:rPr>
      </w:pPr>
      <w:r w:rsidRPr="00315FA0">
        <w:rPr>
          <w:rFonts w:ascii="Arial Narrow" w:hAnsi="Arial Narrow"/>
          <w:b/>
          <w:bCs/>
        </w:rPr>
        <w:t>4. Capacidad y financiación</w:t>
      </w:r>
    </w:p>
    <w:p w:rsidR="00CD1279" w:rsidRPr="00315FA0" w:rsidRDefault="00CD1279" w:rsidP="00CD1279">
      <w:pPr>
        <w:keepNext/>
        <w:spacing w:line="276" w:lineRule="auto"/>
        <w:jc w:val="both"/>
        <w:rPr>
          <w:rFonts w:ascii="Arial Narrow" w:hAnsi="Arial Narrow"/>
        </w:rPr>
      </w:pPr>
    </w:p>
    <w:tbl>
      <w:tblPr>
        <w:tblW w:w="92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0" w:type="dxa"/>
          <w:right w:w="80" w:type="dxa"/>
        </w:tblCellMar>
        <w:tblLook w:val="04A0" w:firstRow="1" w:lastRow="0" w:firstColumn="1" w:lastColumn="0" w:noHBand="0" w:noVBand="1"/>
      </w:tblPr>
      <w:tblGrid>
        <w:gridCol w:w="4400"/>
        <w:gridCol w:w="4800"/>
      </w:tblGrid>
      <w:tr w:rsidR="00CD1279" w:rsidRPr="00315FA0" w:rsidTr="006D48E2">
        <w:trPr>
          <w:cantSplit/>
          <w:tblHeader/>
          <w:jc w:val="center"/>
        </w:trPr>
        <w:tc>
          <w:tcPr>
            <w:tcW w:w="4400" w:type="dxa"/>
          </w:tcPr>
          <w:p w:rsidR="00CD1279" w:rsidRPr="00315FA0" w:rsidRDefault="00CD1279" w:rsidP="006D48E2">
            <w:pPr>
              <w:spacing w:before="40" w:after="40"/>
              <w:jc w:val="center"/>
              <w:rPr>
                <w:rFonts w:ascii="Arial Narrow" w:hAnsi="Arial Narrow"/>
              </w:rPr>
            </w:pPr>
            <w:r w:rsidRPr="00315FA0">
              <w:rPr>
                <w:rFonts w:ascii="Arial Narrow" w:hAnsi="Arial Narrow"/>
                <w:b/>
                <w:bCs/>
              </w:rPr>
              <w:t>Indicador</w:t>
            </w:r>
          </w:p>
        </w:tc>
        <w:tc>
          <w:tcPr>
            <w:tcW w:w="4800" w:type="dxa"/>
          </w:tcPr>
          <w:p w:rsidR="00CD1279" w:rsidRPr="00315FA0" w:rsidRDefault="00CD1279" w:rsidP="006D48E2">
            <w:pPr>
              <w:spacing w:before="40" w:after="40"/>
              <w:jc w:val="center"/>
              <w:rPr>
                <w:rFonts w:ascii="Arial Narrow" w:hAnsi="Arial Narrow"/>
              </w:rPr>
            </w:pPr>
            <w:r w:rsidRPr="00315FA0">
              <w:rPr>
                <w:rFonts w:ascii="Arial Narrow" w:hAnsi="Arial Narrow"/>
                <w:b/>
                <w:bCs/>
              </w:rPr>
              <w:t>Dato oficial</w:t>
            </w:r>
          </w:p>
        </w:tc>
      </w:tr>
      <w:tr w:rsidR="00CD1279" w:rsidRPr="00315FA0" w:rsidTr="006D48E2">
        <w:trPr>
          <w:cantSplit/>
          <w:jc w:val="center"/>
        </w:trPr>
        <w:tc>
          <w:tcPr>
            <w:tcW w:w="4400" w:type="dxa"/>
          </w:tcPr>
          <w:p w:rsidR="00CD1279" w:rsidRPr="00315FA0" w:rsidRDefault="00CD1279" w:rsidP="006D48E2">
            <w:pPr>
              <w:spacing w:before="40" w:after="40"/>
              <w:rPr>
                <w:rFonts w:ascii="Arial Narrow" w:hAnsi="Arial Narrow"/>
              </w:rPr>
            </w:pPr>
            <w:r w:rsidRPr="00315FA0">
              <w:rPr>
                <w:rFonts w:ascii="Arial Narrow" w:hAnsi="Arial Narrow"/>
              </w:rPr>
              <w:t>Personal operativo de desminado</w:t>
            </w:r>
          </w:p>
        </w:tc>
        <w:tc>
          <w:tcPr>
            <w:tcW w:w="4800" w:type="dxa"/>
          </w:tcPr>
          <w:p w:rsidR="00CD1279" w:rsidRPr="00315FA0" w:rsidRDefault="00CD1279" w:rsidP="006D48E2">
            <w:pPr>
              <w:spacing w:before="40" w:after="40"/>
              <w:rPr>
                <w:rFonts w:ascii="Arial Narrow" w:hAnsi="Arial Narrow"/>
              </w:rPr>
            </w:pPr>
            <w:r w:rsidRPr="00315FA0">
              <w:rPr>
                <w:rFonts w:ascii="Arial Narrow" w:hAnsi="Arial Narrow"/>
              </w:rPr>
              <w:t>4.498 (2020) a 2.674 (2024): -41 %</w:t>
            </w:r>
          </w:p>
        </w:tc>
      </w:tr>
      <w:tr w:rsidR="00CD1279" w:rsidRPr="00315FA0" w:rsidTr="006D48E2">
        <w:trPr>
          <w:cantSplit/>
          <w:jc w:val="center"/>
        </w:trPr>
        <w:tc>
          <w:tcPr>
            <w:tcW w:w="4400" w:type="dxa"/>
          </w:tcPr>
          <w:p w:rsidR="00CD1279" w:rsidRPr="00315FA0" w:rsidRDefault="00CD1279" w:rsidP="006D48E2">
            <w:pPr>
              <w:spacing w:before="40" w:after="40"/>
              <w:rPr>
                <w:rFonts w:ascii="Arial Narrow" w:hAnsi="Arial Narrow"/>
              </w:rPr>
            </w:pPr>
            <w:r w:rsidRPr="00315FA0">
              <w:rPr>
                <w:rFonts w:ascii="Arial Narrow" w:hAnsi="Arial Narrow"/>
              </w:rPr>
              <w:t>Área liberada</w:t>
            </w:r>
          </w:p>
        </w:tc>
        <w:tc>
          <w:tcPr>
            <w:tcW w:w="4800" w:type="dxa"/>
          </w:tcPr>
          <w:p w:rsidR="00CD1279" w:rsidRPr="00315FA0" w:rsidRDefault="00CD1279" w:rsidP="006D48E2">
            <w:pPr>
              <w:spacing w:before="40" w:after="40"/>
              <w:rPr>
                <w:rFonts w:ascii="Arial Narrow" w:hAnsi="Arial Narrow"/>
              </w:rPr>
            </w:pPr>
            <w:r w:rsidRPr="00315FA0">
              <w:rPr>
                <w:rFonts w:ascii="Arial Narrow" w:hAnsi="Arial Narrow"/>
              </w:rPr>
              <w:t>1.473.498 m² (2024) a 644.227 m² (2025): -56 %</w:t>
            </w:r>
          </w:p>
        </w:tc>
      </w:tr>
      <w:tr w:rsidR="00CD1279" w:rsidRPr="00315FA0" w:rsidTr="006D48E2">
        <w:trPr>
          <w:cantSplit/>
          <w:jc w:val="center"/>
        </w:trPr>
        <w:tc>
          <w:tcPr>
            <w:tcW w:w="4400" w:type="dxa"/>
          </w:tcPr>
          <w:p w:rsidR="00CD1279" w:rsidRPr="00315FA0" w:rsidRDefault="00CD1279" w:rsidP="006D48E2">
            <w:pPr>
              <w:spacing w:before="40" w:after="40"/>
              <w:rPr>
                <w:rFonts w:ascii="Arial Narrow" w:hAnsi="Arial Narrow"/>
              </w:rPr>
            </w:pPr>
            <w:r w:rsidRPr="00315FA0">
              <w:rPr>
                <w:rFonts w:ascii="Arial Narrow" w:hAnsi="Arial Narrow"/>
              </w:rPr>
              <w:t>Cooperación internacional no reembolsable</w:t>
            </w:r>
          </w:p>
        </w:tc>
        <w:tc>
          <w:tcPr>
            <w:tcW w:w="4800" w:type="dxa"/>
          </w:tcPr>
          <w:p w:rsidR="00CD1279" w:rsidRPr="00315FA0" w:rsidRDefault="00CD1279" w:rsidP="006D48E2">
            <w:pPr>
              <w:spacing w:before="40" w:after="40"/>
              <w:rPr>
                <w:rFonts w:ascii="Arial Narrow" w:hAnsi="Arial Narrow"/>
              </w:rPr>
            </w:pPr>
            <w:r w:rsidRPr="00315FA0">
              <w:rPr>
                <w:rFonts w:ascii="Arial Narrow" w:hAnsi="Arial Narrow"/>
              </w:rPr>
              <w:t>Cerca de USD 150 millones (2021) a menos de USD 2 millones: -99 %</w:t>
            </w:r>
          </w:p>
        </w:tc>
      </w:tr>
      <w:tr w:rsidR="00CD1279" w:rsidRPr="00315FA0" w:rsidTr="006D48E2">
        <w:trPr>
          <w:cantSplit/>
          <w:jc w:val="center"/>
        </w:trPr>
        <w:tc>
          <w:tcPr>
            <w:tcW w:w="4400" w:type="dxa"/>
          </w:tcPr>
          <w:p w:rsidR="00CD1279" w:rsidRPr="00315FA0" w:rsidRDefault="00CD1279" w:rsidP="006D48E2">
            <w:pPr>
              <w:spacing w:before="40" w:after="40"/>
              <w:rPr>
                <w:rFonts w:ascii="Arial Narrow" w:hAnsi="Arial Narrow"/>
              </w:rPr>
            </w:pPr>
            <w:r w:rsidRPr="00315FA0">
              <w:rPr>
                <w:rFonts w:ascii="Arial Narrow" w:hAnsi="Arial Narrow"/>
              </w:rPr>
              <w:t>Financiación estatal 2020-2025</w:t>
            </w:r>
          </w:p>
        </w:tc>
        <w:tc>
          <w:tcPr>
            <w:tcW w:w="4800" w:type="dxa"/>
          </w:tcPr>
          <w:p w:rsidR="00CD1279" w:rsidRPr="00315FA0" w:rsidRDefault="00CD1279" w:rsidP="006D48E2">
            <w:pPr>
              <w:spacing w:before="40" w:after="40"/>
              <w:rPr>
                <w:rFonts w:ascii="Arial Narrow" w:hAnsi="Arial Narrow"/>
              </w:rPr>
            </w:pPr>
            <w:r w:rsidRPr="00315FA0">
              <w:rPr>
                <w:rFonts w:ascii="Arial Narrow" w:hAnsi="Arial Narrow"/>
              </w:rPr>
              <w:t>No supera el 30 % de los recursos requeridos</w:t>
            </w:r>
          </w:p>
        </w:tc>
      </w:tr>
      <w:tr w:rsidR="00CD1279" w:rsidRPr="00315FA0" w:rsidTr="006D48E2">
        <w:trPr>
          <w:cantSplit/>
          <w:jc w:val="center"/>
        </w:trPr>
        <w:tc>
          <w:tcPr>
            <w:tcW w:w="4400" w:type="dxa"/>
          </w:tcPr>
          <w:p w:rsidR="00CD1279" w:rsidRPr="00315FA0" w:rsidRDefault="00CD1279" w:rsidP="006D48E2">
            <w:pPr>
              <w:spacing w:before="40" w:after="40"/>
              <w:rPr>
                <w:rFonts w:ascii="Arial Narrow" w:hAnsi="Arial Narrow"/>
              </w:rPr>
            </w:pPr>
            <w:r w:rsidRPr="00315FA0">
              <w:rPr>
                <w:rFonts w:ascii="Arial Narrow" w:hAnsi="Arial Narrow"/>
              </w:rPr>
              <w:t>Plazo del Artículo 5 de la Convención de Ottawa</w:t>
            </w:r>
          </w:p>
        </w:tc>
        <w:tc>
          <w:tcPr>
            <w:tcW w:w="4800" w:type="dxa"/>
          </w:tcPr>
          <w:p w:rsidR="00CD1279" w:rsidRPr="00315FA0" w:rsidRDefault="00CD1279" w:rsidP="006D48E2">
            <w:pPr>
              <w:spacing w:before="40" w:after="40"/>
              <w:rPr>
                <w:rFonts w:ascii="Arial Narrow" w:hAnsi="Arial Narrow"/>
              </w:rPr>
            </w:pPr>
            <w:r w:rsidRPr="00315FA0">
              <w:rPr>
                <w:rFonts w:ascii="Arial Narrow" w:hAnsi="Arial Narrow"/>
              </w:rPr>
              <w:t>31 de diciembre de 2030 (prórroga intermedia)</w:t>
            </w:r>
          </w:p>
        </w:tc>
      </w:tr>
    </w:tbl>
    <w:p w:rsidR="00CD1279" w:rsidRPr="00315FA0" w:rsidRDefault="00CD1279" w:rsidP="00CD1279">
      <w:pPr>
        <w:spacing w:line="276" w:lineRule="auto"/>
        <w:jc w:val="both"/>
        <w:rPr>
          <w:rFonts w:ascii="Arial Narrow" w:hAnsi="Arial Narrow"/>
        </w:rPr>
      </w:pPr>
    </w:p>
    <w:p w:rsidR="00CD1279" w:rsidRPr="00315FA0" w:rsidRDefault="00CD1279" w:rsidP="00CD1279">
      <w:pPr>
        <w:spacing w:line="276" w:lineRule="auto"/>
        <w:jc w:val="both"/>
        <w:rPr>
          <w:rFonts w:ascii="Arial Narrow" w:hAnsi="Arial Narrow"/>
          <w:sz w:val="16"/>
          <w:szCs w:val="16"/>
        </w:rPr>
      </w:pPr>
      <w:r w:rsidRPr="00315FA0">
        <w:rPr>
          <w:rFonts w:ascii="Arial Narrow" w:hAnsi="Arial Narrow"/>
          <w:sz w:val="16"/>
          <w:szCs w:val="16"/>
        </w:rPr>
        <w:t>Fuente: Gobierno de Colombia, Solicitud revisada de prórroga del Artículo 5 (2025) e Informes del Artículo 7 (2025 y 2026).</w:t>
      </w:r>
    </w:p>
    <w:p w:rsidR="00CD1279" w:rsidRPr="00315FA0" w:rsidRDefault="00CD1279" w:rsidP="00CD1279">
      <w:pPr>
        <w:spacing w:line="276" w:lineRule="auto"/>
        <w:jc w:val="both"/>
        <w:rPr>
          <w:rFonts w:ascii="Arial Narrow" w:hAnsi="Arial Narrow"/>
        </w:rPr>
      </w:pPr>
    </w:p>
    <w:p w:rsidR="00CD1279" w:rsidRPr="00315FA0" w:rsidRDefault="00CD1279" w:rsidP="00CD1279">
      <w:pPr>
        <w:keepNext/>
        <w:spacing w:line="276" w:lineRule="auto"/>
        <w:rPr>
          <w:rFonts w:ascii="Arial Narrow" w:hAnsi="Arial Narrow"/>
        </w:rPr>
      </w:pPr>
      <w:r w:rsidRPr="00315FA0">
        <w:rPr>
          <w:rFonts w:ascii="Arial Narrow" w:hAnsi="Arial Narrow"/>
          <w:b/>
          <w:bCs/>
        </w:rPr>
        <w:t>5. Estado de la descontaminación</w:t>
      </w:r>
    </w:p>
    <w:p w:rsidR="00CD1279" w:rsidRPr="00315FA0" w:rsidRDefault="00CD1279" w:rsidP="00CD1279">
      <w:pPr>
        <w:spacing w:line="276" w:lineRule="auto"/>
        <w:jc w:val="both"/>
        <w:rPr>
          <w:rFonts w:ascii="Arial Narrow" w:hAnsi="Arial Narrow"/>
        </w:rPr>
      </w:pPr>
    </w:p>
    <w:p w:rsidR="00CD1279" w:rsidRPr="00315FA0" w:rsidRDefault="00CD1279" w:rsidP="00CD1279">
      <w:pPr>
        <w:spacing w:line="276" w:lineRule="auto"/>
        <w:jc w:val="both"/>
        <w:rPr>
          <w:rFonts w:ascii="Arial Narrow" w:hAnsi="Arial Narrow"/>
        </w:rPr>
      </w:pPr>
      <w:r w:rsidRPr="00315FA0">
        <w:rPr>
          <w:rFonts w:ascii="Arial Narrow" w:hAnsi="Arial Narrow"/>
        </w:rPr>
        <w:t>Entre 2020 y 2024 los municipios declarados libres de sospecha por desminado humanitario pasaron de 212 a 346. Al cierre de 2024, 935 de los 1.121 municipios del país (83,4 %) estaban libres de sospecha o sin reporte de afectación, y 102 seguían pendientes: 63 priorizados y 39 por priorizar.</w:t>
      </w:r>
    </w:p>
    <w:p w:rsidR="00CD1279" w:rsidRPr="00315FA0" w:rsidRDefault="00CD1279" w:rsidP="00CD1279">
      <w:pPr>
        <w:spacing w:line="276" w:lineRule="auto"/>
        <w:jc w:val="both"/>
        <w:rPr>
          <w:rFonts w:ascii="Arial Narrow" w:hAnsi="Arial Narrow"/>
        </w:rPr>
      </w:pPr>
    </w:p>
    <w:tbl>
      <w:tblPr>
        <w:tblW w:w="92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0" w:type="dxa"/>
          <w:right w:w="80" w:type="dxa"/>
        </w:tblCellMar>
        <w:tblLook w:val="04A0" w:firstRow="1" w:lastRow="0" w:firstColumn="1" w:lastColumn="0" w:noHBand="0" w:noVBand="1"/>
      </w:tblPr>
      <w:tblGrid>
        <w:gridCol w:w="4200"/>
        <w:gridCol w:w="1000"/>
        <w:gridCol w:w="1000"/>
        <w:gridCol w:w="1000"/>
        <w:gridCol w:w="1000"/>
        <w:gridCol w:w="1000"/>
      </w:tblGrid>
      <w:tr w:rsidR="00CD1279" w:rsidRPr="00315FA0" w:rsidTr="006D48E2">
        <w:trPr>
          <w:cantSplit/>
          <w:tblHeader/>
          <w:jc w:val="center"/>
        </w:trPr>
        <w:tc>
          <w:tcPr>
            <w:tcW w:w="4200" w:type="dxa"/>
          </w:tcPr>
          <w:p w:rsidR="00CD1279" w:rsidRPr="00315FA0" w:rsidRDefault="00CD1279" w:rsidP="006D48E2">
            <w:pPr>
              <w:spacing w:before="40" w:after="40"/>
              <w:jc w:val="center"/>
              <w:rPr>
                <w:rFonts w:ascii="Arial Narrow" w:hAnsi="Arial Narrow"/>
              </w:rPr>
            </w:pPr>
            <w:r w:rsidRPr="00315FA0">
              <w:rPr>
                <w:rFonts w:ascii="Arial Narrow" w:hAnsi="Arial Narrow"/>
                <w:b/>
                <w:bCs/>
              </w:rPr>
              <w:t>Estado del municipio (cierre de cada año)</w:t>
            </w:r>
          </w:p>
        </w:tc>
        <w:tc>
          <w:tcPr>
            <w:tcW w:w="1000" w:type="dxa"/>
          </w:tcPr>
          <w:p w:rsidR="00CD1279" w:rsidRPr="00315FA0" w:rsidRDefault="00CD1279" w:rsidP="006D48E2">
            <w:pPr>
              <w:spacing w:before="40" w:after="40"/>
              <w:jc w:val="center"/>
              <w:rPr>
                <w:rFonts w:ascii="Arial Narrow" w:hAnsi="Arial Narrow"/>
              </w:rPr>
            </w:pPr>
            <w:r w:rsidRPr="00315FA0">
              <w:rPr>
                <w:rFonts w:ascii="Arial Narrow" w:hAnsi="Arial Narrow"/>
                <w:b/>
                <w:bCs/>
              </w:rPr>
              <w:t>2020</w:t>
            </w:r>
          </w:p>
        </w:tc>
        <w:tc>
          <w:tcPr>
            <w:tcW w:w="1000" w:type="dxa"/>
          </w:tcPr>
          <w:p w:rsidR="00CD1279" w:rsidRPr="00315FA0" w:rsidRDefault="00CD1279" w:rsidP="006D48E2">
            <w:pPr>
              <w:spacing w:before="40" w:after="40"/>
              <w:jc w:val="center"/>
              <w:rPr>
                <w:rFonts w:ascii="Arial Narrow" w:hAnsi="Arial Narrow"/>
              </w:rPr>
            </w:pPr>
            <w:r w:rsidRPr="00315FA0">
              <w:rPr>
                <w:rFonts w:ascii="Arial Narrow" w:hAnsi="Arial Narrow"/>
                <w:b/>
                <w:bCs/>
              </w:rPr>
              <w:t>2021</w:t>
            </w:r>
          </w:p>
        </w:tc>
        <w:tc>
          <w:tcPr>
            <w:tcW w:w="1000" w:type="dxa"/>
          </w:tcPr>
          <w:p w:rsidR="00CD1279" w:rsidRPr="00315FA0" w:rsidRDefault="00CD1279" w:rsidP="006D48E2">
            <w:pPr>
              <w:spacing w:before="40" w:after="40"/>
              <w:jc w:val="center"/>
              <w:rPr>
                <w:rFonts w:ascii="Arial Narrow" w:hAnsi="Arial Narrow"/>
              </w:rPr>
            </w:pPr>
            <w:r w:rsidRPr="00315FA0">
              <w:rPr>
                <w:rFonts w:ascii="Arial Narrow" w:hAnsi="Arial Narrow"/>
                <w:b/>
                <w:bCs/>
              </w:rPr>
              <w:t>2022</w:t>
            </w:r>
          </w:p>
        </w:tc>
        <w:tc>
          <w:tcPr>
            <w:tcW w:w="1000" w:type="dxa"/>
          </w:tcPr>
          <w:p w:rsidR="00CD1279" w:rsidRPr="00315FA0" w:rsidRDefault="00CD1279" w:rsidP="006D48E2">
            <w:pPr>
              <w:spacing w:before="40" w:after="40"/>
              <w:jc w:val="center"/>
              <w:rPr>
                <w:rFonts w:ascii="Arial Narrow" w:hAnsi="Arial Narrow"/>
              </w:rPr>
            </w:pPr>
            <w:r w:rsidRPr="00315FA0">
              <w:rPr>
                <w:rFonts w:ascii="Arial Narrow" w:hAnsi="Arial Narrow"/>
                <w:b/>
                <w:bCs/>
              </w:rPr>
              <w:t>2023</w:t>
            </w:r>
          </w:p>
        </w:tc>
        <w:tc>
          <w:tcPr>
            <w:tcW w:w="1000" w:type="dxa"/>
          </w:tcPr>
          <w:p w:rsidR="00CD1279" w:rsidRPr="00315FA0" w:rsidRDefault="00CD1279" w:rsidP="006D48E2">
            <w:pPr>
              <w:spacing w:before="40" w:after="40"/>
              <w:jc w:val="center"/>
              <w:rPr>
                <w:rFonts w:ascii="Arial Narrow" w:hAnsi="Arial Narrow"/>
              </w:rPr>
            </w:pPr>
            <w:r w:rsidRPr="00315FA0">
              <w:rPr>
                <w:rFonts w:ascii="Arial Narrow" w:hAnsi="Arial Narrow"/>
                <w:b/>
                <w:bCs/>
              </w:rPr>
              <w:t>2024</w:t>
            </w:r>
          </w:p>
        </w:tc>
      </w:tr>
      <w:tr w:rsidR="00CD1279" w:rsidRPr="00315FA0" w:rsidTr="006D48E2">
        <w:trPr>
          <w:cantSplit/>
          <w:jc w:val="center"/>
        </w:trPr>
        <w:tc>
          <w:tcPr>
            <w:tcW w:w="4200" w:type="dxa"/>
          </w:tcPr>
          <w:p w:rsidR="00CD1279" w:rsidRPr="00315FA0" w:rsidRDefault="00CD1279" w:rsidP="006D48E2">
            <w:pPr>
              <w:spacing w:before="40" w:after="40"/>
              <w:rPr>
                <w:rFonts w:ascii="Arial Narrow" w:hAnsi="Arial Narrow"/>
              </w:rPr>
            </w:pPr>
            <w:r w:rsidRPr="00315FA0">
              <w:rPr>
                <w:rFonts w:ascii="Arial Narrow" w:hAnsi="Arial Narrow"/>
              </w:rPr>
              <w:t>Libres de sospecha por desminado humanitario</w:t>
            </w:r>
          </w:p>
        </w:tc>
        <w:tc>
          <w:tcPr>
            <w:tcW w:w="1000" w:type="dxa"/>
          </w:tcPr>
          <w:p w:rsidR="00CD1279" w:rsidRPr="00315FA0" w:rsidRDefault="00CD1279" w:rsidP="006D48E2">
            <w:pPr>
              <w:spacing w:before="40" w:after="40"/>
              <w:jc w:val="right"/>
              <w:rPr>
                <w:rFonts w:ascii="Arial Narrow" w:hAnsi="Arial Narrow"/>
              </w:rPr>
            </w:pPr>
            <w:r w:rsidRPr="00315FA0">
              <w:rPr>
                <w:rFonts w:ascii="Arial Narrow" w:hAnsi="Arial Narrow"/>
              </w:rPr>
              <w:t>212</w:t>
            </w:r>
          </w:p>
        </w:tc>
        <w:tc>
          <w:tcPr>
            <w:tcW w:w="1000" w:type="dxa"/>
          </w:tcPr>
          <w:p w:rsidR="00CD1279" w:rsidRPr="00315FA0" w:rsidRDefault="00CD1279" w:rsidP="006D48E2">
            <w:pPr>
              <w:spacing w:before="40" w:after="40"/>
              <w:jc w:val="right"/>
              <w:rPr>
                <w:rFonts w:ascii="Arial Narrow" w:hAnsi="Arial Narrow"/>
              </w:rPr>
            </w:pPr>
            <w:r w:rsidRPr="00315FA0">
              <w:rPr>
                <w:rFonts w:ascii="Arial Narrow" w:hAnsi="Arial Narrow"/>
              </w:rPr>
              <w:t>281</w:t>
            </w:r>
          </w:p>
        </w:tc>
        <w:tc>
          <w:tcPr>
            <w:tcW w:w="1000" w:type="dxa"/>
          </w:tcPr>
          <w:p w:rsidR="00CD1279" w:rsidRPr="00315FA0" w:rsidRDefault="00CD1279" w:rsidP="006D48E2">
            <w:pPr>
              <w:spacing w:before="40" w:after="40"/>
              <w:jc w:val="right"/>
              <w:rPr>
                <w:rFonts w:ascii="Arial Narrow" w:hAnsi="Arial Narrow"/>
              </w:rPr>
            </w:pPr>
            <w:r w:rsidRPr="00315FA0">
              <w:rPr>
                <w:rFonts w:ascii="Arial Narrow" w:hAnsi="Arial Narrow"/>
              </w:rPr>
              <w:t>299</w:t>
            </w:r>
          </w:p>
        </w:tc>
        <w:tc>
          <w:tcPr>
            <w:tcW w:w="1000" w:type="dxa"/>
          </w:tcPr>
          <w:p w:rsidR="00CD1279" w:rsidRPr="00315FA0" w:rsidRDefault="00CD1279" w:rsidP="006D48E2">
            <w:pPr>
              <w:spacing w:before="40" w:after="40"/>
              <w:jc w:val="right"/>
              <w:rPr>
                <w:rFonts w:ascii="Arial Narrow" w:hAnsi="Arial Narrow"/>
              </w:rPr>
            </w:pPr>
            <w:r w:rsidRPr="00315FA0">
              <w:rPr>
                <w:rFonts w:ascii="Arial Narrow" w:hAnsi="Arial Narrow"/>
              </w:rPr>
              <w:t>320</w:t>
            </w:r>
          </w:p>
        </w:tc>
        <w:tc>
          <w:tcPr>
            <w:tcW w:w="1000" w:type="dxa"/>
          </w:tcPr>
          <w:p w:rsidR="00CD1279" w:rsidRPr="00315FA0" w:rsidRDefault="00CD1279" w:rsidP="006D48E2">
            <w:pPr>
              <w:spacing w:before="40" w:after="40"/>
              <w:jc w:val="right"/>
              <w:rPr>
                <w:rFonts w:ascii="Arial Narrow" w:hAnsi="Arial Narrow"/>
              </w:rPr>
            </w:pPr>
            <w:r w:rsidRPr="00315FA0">
              <w:rPr>
                <w:rFonts w:ascii="Arial Narrow" w:hAnsi="Arial Narrow"/>
              </w:rPr>
              <w:t>346</w:t>
            </w:r>
          </w:p>
        </w:tc>
      </w:tr>
      <w:tr w:rsidR="00CD1279" w:rsidRPr="00315FA0" w:rsidTr="006D48E2">
        <w:trPr>
          <w:cantSplit/>
          <w:jc w:val="center"/>
        </w:trPr>
        <w:tc>
          <w:tcPr>
            <w:tcW w:w="4200" w:type="dxa"/>
          </w:tcPr>
          <w:p w:rsidR="00CD1279" w:rsidRPr="00315FA0" w:rsidRDefault="00CD1279" w:rsidP="006D48E2">
            <w:pPr>
              <w:spacing w:before="40" w:after="40"/>
              <w:rPr>
                <w:rFonts w:ascii="Arial Narrow" w:hAnsi="Arial Narrow"/>
              </w:rPr>
            </w:pPr>
            <w:r w:rsidRPr="00315FA0">
              <w:rPr>
                <w:rFonts w:ascii="Arial Narrow" w:hAnsi="Arial Narrow"/>
              </w:rPr>
              <w:t>Asignados para operaciones</w:t>
            </w:r>
          </w:p>
        </w:tc>
        <w:tc>
          <w:tcPr>
            <w:tcW w:w="1000" w:type="dxa"/>
          </w:tcPr>
          <w:p w:rsidR="00CD1279" w:rsidRPr="00315FA0" w:rsidRDefault="00CD1279" w:rsidP="006D48E2">
            <w:pPr>
              <w:spacing w:before="40" w:after="40"/>
              <w:jc w:val="right"/>
              <w:rPr>
                <w:rFonts w:ascii="Arial Narrow" w:hAnsi="Arial Narrow"/>
              </w:rPr>
            </w:pPr>
            <w:r w:rsidRPr="00315FA0">
              <w:rPr>
                <w:rFonts w:ascii="Arial Narrow" w:hAnsi="Arial Narrow"/>
              </w:rPr>
              <w:t>156</w:t>
            </w:r>
          </w:p>
        </w:tc>
        <w:tc>
          <w:tcPr>
            <w:tcW w:w="1000" w:type="dxa"/>
          </w:tcPr>
          <w:p w:rsidR="00CD1279" w:rsidRPr="00315FA0" w:rsidRDefault="00CD1279" w:rsidP="006D48E2">
            <w:pPr>
              <w:spacing w:before="40" w:after="40"/>
              <w:jc w:val="right"/>
              <w:rPr>
                <w:rFonts w:ascii="Arial Narrow" w:hAnsi="Arial Narrow"/>
              </w:rPr>
            </w:pPr>
            <w:r w:rsidRPr="00315FA0">
              <w:rPr>
                <w:rFonts w:ascii="Arial Narrow" w:hAnsi="Arial Narrow"/>
              </w:rPr>
              <w:t>108</w:t>
            </w:r>
          </w:p>
        </w:tc>
        <w:tc>
          <w:tcPr>
            <w:tcW w:w="1000" w:type="dxa"/>
          </w:tcPr>
          <w:p w:rsidR="00CD1279" w:rsidRPr="00315FA0" w:rsidRDefault="00CD1279" w:rsidP="006D48E2">
            <w:pPr>
              <w:spacing w:before="40" w:after="40"/>
              <w:jc w:val="right"/>
              <w:rPr>
                <w:rFonts w:ascii="Arial Narrow" w:hAnsi="Arial Narrow"/>
              </w:rPr>
            </w:pPr>
            <w:r w:rsidRPr="00315FA0">
              <w:rPr>
                <w:rFonts w:ascii="Arial Narrow" w:hAnsi="Arial Narrow"/>
              </w:rPr>
              <w:t>99</w:t>
            </w:r>
          </w:p>
        </w:tc>
        <w:tc>
          <w:tcPr>
            <w:tcW w:w="1000" w:type="dxa"/>
          </w:tcPr>
          <w:p w:rsidR="00CD1279" w:rsidRPr="00315FA0" w:rsidRDefault="00CD1279" w:rsidP="006D48E2">
            <w:pPr>
              <w:spacing w:before="40" w:after="40"/>
              <w:jc w:val="right"/>
              <w:rPr>
                <w:rFonts w:ascii="Arial Narrow" w:hAnsi="Arial Narrow"/>
              </w:rPr>
            </w:pPr>
            <w:r w:rsidRPr="00315FA0">
              <w:rPr>
                <w:rFonts w:ascii="Arial Narrow" w:hAnsi="Arial Narrow"/>
              </w:rPr>
              <w:t>93</w:t>
            </w:r>
          </w:p>
        </w:tc>
        <w:tc>
          <w:tcPr>
            <w:tcW w:w="1000" w:type="dxa"/>
          </w:tcPr>
          <w:p w:rsidR="00CD1279" w:rsidRPr="00315FA0" w:rsidRDefault="00CD1279" w:rsidP="006D48E2">
            <w:pPr>
              <w:spacing w:before="40" w:after="40"/>
              <w:jc w:val="right"/>
              <w:rPr>
                <w:rFonts w:ascii="Arial Narrow" w:hAnsi="Arial Narrow"/>
              </w:rPr>
            </w:pPr>
            <w:r w:rsidRPr="00315FA0">
              <w:rPr>
                <w:rFonts w:ascii="Arial Narrow" w:hAnsi="Arial Narrow"/>
              </w:rPr>
              <w:t>84</w:t>
            </w:r>
          </w:p>
        </w:tc>
      </w:tr>
      <w:tr w:rsidR="00CD1279" w:rsidRPr="00315FA0" w:rsidTr="006D48E2">
        <w:trPr>
          <w:cantSplit/>
          <w:jc w:val="center"/>
        </w:trPr>
        <w:tc>
          <w:tcPr>
            <w:tcW w:w="4200" w:type="dxa"/>
          </w:tcPr>
          <w:p w:rsidR="00CD1279" w:rsidRPr="00315FA0" w:rsidRDefault="00CD1279" w:rsidP="006D48E2">
            <w:pPr>
              <w:spacing w:before="40" w:after="40"/>
              <w:rPr>
                <w:rFonts w:ascii="Arial Narrow" w:hAnsi="Arial Narrow"/>
              </w:rPr>
            </w:pPr>
            <w:r w:rsidRPr="00315FA0">
              <w:rPr>
                <w:rFonts w:ascii="Arial Narrow" w:hAnsi="Arial Narrow"/>
              </w:rPr>
              <w:t>Priorizados</w:t>
            </w:r>
          </w:p>
        </w:tc>
        <w:tc>
          <w:tcPr>
            <w:tcW w:w="1000" w:type="dxa"/>
          </w:tcPr>
          <w:p w:rsidR="00CD1279" w:rsidRPr="00315FA0" w:rsidRDefault="00CD1279" w:rsidP="006D48E2">
            <w:pPr>
              <w:spacing w:before="40" w:after="40"/>
              <w:jc w:val="right"/>
              <w:rPr>
                <w:rFonts w:ascii="Arial Narrow" w:hAnsi="Arial Narrow"/>
              </w:rPr>
            </w:pPr>
            <w:r w:rsidRPr="00315FA0">
              <w:rPr>
                <w:rFonts w:ascii="Arial Narrow" w:hAnsi="Arial Narrow"/>
              </w:rPr>
              <w:t>1</w:t>
            </w:r>
          </w:p>
        </w:tc>
        <w:tc>
          <w:tcPr>
            <w:tcW w:w="1000" w:type="dxa"/>
          </w:tcPr>
          <w:p w:rsidR="00CD1279" w:rsidRPr="00315FA0" w:rsidRDefault="00CD1279" w:rsidP="006D48E2">
            <w:pPr>
              <w:spacing w:before="40" w:after="40"/>
              <w:jc w:val="right"/>
              <w:rPr>
                <w:rFonts w:ascii="Arial Narrow" w:hAnsi="Arial Narrow"/>
              </w:rPr>
            </w:pPr>
            <w:r w:rsidRPr="00315FA0">
              <w:rPr>
                <w:rFonts w:ascii="Arial Narrow" w:hAnsi="Arial Narrow"/>
              </w:rPr>
              <w:t>9</w:t>
            </w:r>
          </w:p>
        </w:tc>
        <w:tc>
          <w:tcPr>
            <w:tcW w:w="1000" w:type="dxa"/>
          </w:tcPr>
          <w:p w:rsidR="00CD1279" w:rsidRPr="00315FA0" w:rsidRDefault="00CD1279" w:rsidP="006D48E2">
            <w:pPr>
              <w:spacing w:before="40" w:after="40"/>
              <w:jc w:val="right"/>
              <w:rPr>
                <w:rFonts w:ascii="Arial Narrow" w:hAnsi="Arial Narrow"/>
              </w:rPr>
            </w:pPr>
            <w:r w:rsidRPr="00315FA0">
              <w:rPr>
                <w:rFonts w:ascii="Arial Narrow" w:hAnsi="Arial Narrow"/>
              </w:rPr>
              <w:t>12</w:t>
            </w:r>
          </w:p>
        </w:tc>
        <w:tc>
          <w:tcPr>
            <w:tcW w:w="1000" w:type="dxa"/>
          </w:tcPr>
          <w:p w:rsidR="00CD1279" w:rsidRPr="00315FA0" w:rsidRDefault="00CD1279" w:rsidP="006D48E2">
            <w:pPr>
              <w:spacing w:before="40" w:after="40"/>
              <w:jc w:val="right"/>
              <w:rPr>
                <w:rFonts w:ascii="Arial Narrow" w:hAnsi="Arial Narrow"/>
              </w:rPr>
            </w:pPr>
            <w:r w:rsidRPr="00315FA0">
              <w:rPr>
                <w:rFonts w:ascii="Arial Narrow" w:hAnsi="Arial Narrow"/>
              </w:rPr>
              <w:t>0</w:t>
            </w:r>
          </w:p>
        </w:tc>
        <w:tc>
          <w:tcPr>
            <w:tcW w:w="1000" w:type="dxa"/>
          </w:tcPr>
          <w:p w:rsidR="00CD1279" w:rsidRPr="00315FA0" w:rsidRDefault="00CD1279" w:rsidP="006D48E2">
            <w:pPr>
              <w:spacing w:before="40" w:after="40"/>
              <w:jc w:val="right"/>
              <w:rPr>
                <w:rFonts w:ascii="Arial Narrow" w:hAnsi="Arial Narrow"/>
              </w:rPr>
            </w:pPr>
            <w:r w:rsidRPr="00315FA0">
              <w:rPr>
                <w:rFonts w:ascii="Arial Narrow" w:hAnsi="Arial Narrow"/>
              </w:rPr>
              <w:t>63</w:t>
            </w:r>
          </w:p>
        </w:tc>
      </w:tr>
      <w:tr w:rsidR="00CD1279" w:rsidRPr="00315FA0" w:rsidTr="006D48E2">
        <w:trPr>
          <w:cantSplit/>
          <w:jc w:val="center"/>
        </w:trPr>
        <w:tc>
          <w:tcPr>
            <w:tcW w:w="4200" w:type="dxa"/>
          </w:tcPr>
          <w:p w:rsidR="00CD1279" w:rsidRPr="00315FA0" w:rsidRDefault="00CD1279" w:rsidP="006D48E2">
            <w:pPr>
              <w:spacing w:before="40" w:after="40"/>
              <w:rPr>
                <w:rFonts w:ascii="Arial Narrow" w:hAnsi="Arial Narrow"/>
              </w:rPr>
            </w:pPr>
            <w:r w:rsidRPr="00315FA0">
              <w:rPr>
                <w:rFonts w:ascii="Arial Narrow" w:hAnsi="Arial Narrow"/>
              </w:rPr>
              <w:lastRenderedPageBreak/>
              <w:t>Por priorizar</w:t>
            </w:r>
          </w:p>
        </w:tc>
        <w:tc>
          <w:tcPr>
            <w:tcW w:w="1000" w:type="dxa"/>
          </w:tcPr>
          <w:p w:rsidR="00CD1279" w:rsidRPr="00315FA0" w:rsidRDefault="00CD1279" w:rsidP="006D48E2">
            <w:pPr>
              <w:spacing w:before="40" w:after="40"/>
              <w:jc w:val="right"/>
              <w:rPr>
                <w:rFonts w:ascii="Arial Narrow" w:hAnsi="Arial Narrow"/>
              </w:rPr>
            </w:pPr>
            <w:r w:rsidRPr="00315FA0">
              <w:rPr>
                <w:rFonts w:ascii="Arial Narrow" w:hAnsi="Arial Narrow"/>
              </w:rPr>
              <w:t>165</w:t>
            </w:r>
          </w:p>
        </w:tc>
        <w:tc>
          <w:tcPr>
            <w:tcW w:w="1000" w:type="dxa"/>
          </w:tcPr>
          <w:p w:rsidR="00CD1279" w:rsidRPr="00315FA0" w:rsidRDefault="00CD1279" w:rsidP="006D48E2">
            <w:pPr>
              <w:spacing w:before="40" w:after="40"/>
              <w:jc w:val="right"/>
              <w:rPr>
                <w:rFonts w:ascii="Arial Narrow" w:hAnsi="Arial Narrow"/>
              </w:rPr>
            </w:pPr>
            <w:r w:rsidRPr="00315FA0">
              <w:rPr>
                <w:rFonts w:ascii="Arial Narrow" w:hAnsi="Arial Narrow"/>
              </w:rPr>
              <w:t>131</w:t>
            </w:r>
          </w:p>
        </w:tc>
        <w:tc>
          <w:tcPr>
            <w:tcW w:w="1000" w:type="dxa"/>
          </w:tcPr>
          <w:p w:rsidR="00CD1279" w:rsidRPr="00315FA0" w:rsidRDefault="00CD1279" w:rsidP="006D48E2">
            <w:pPr>
              <w:spacing w:before="40" w:after="40"/>
              <w:jc w:val="right"/>
              <w:rPr>
                <w:rFonts w:ascii="Arial Narrow" w:hAnsi="Arial Narrow"/>
              </w:rPr>
            </w:pPr>
            <w:r w:rsidRPr="00315FA0">
              <w:rPr>
                <w:rFonts w:ascii="Arial Narrow" w:hAnsi="Arial Narrow"/>
              </w:rPr>
              <w:t>122</w:t>
            </w:r>
          </w:p>
        </w:tc>
        <w:tc>
          <w:tcPr>
            <w:tcW w:w="1000" w:type="dxa"/>
          </w:tcPr>
          <w:p w:rsidR="00CD1279" w:rsidRPr="00315FA0" w:rsidRDefault="00CD1279" w:rsidP="006D48E2">
            <w:pPr>
              <w:spacing w:before="40" w:after="40"/>
              <w:jc w:val="right"/>
              <w:rPr>
                <w:rFonts w:ascii="Arial Narrow" w:hAnsi="Arial Narrow"/>
              </w:rPr>
            </w:pPr>
            <w:r w:rsidRPr="00315FA0">
              <w:rPr>
                <w:rFonts w:ascii="Arial Narrow" w:hAnsi="Arial Narrow"/>
              </w:rPr>
              <w:t>119</w:t>
            </w:r>
          </w:p>
        </w:tc>
        <w:tc>
          <w:tcPr>
            <w:tcW w:w="1000" w:type="dxa"/>
          </w:tcPr>
          <w:p w:rsidR="00CD1279" w:rsidRPr="00315FA0" w:rsidRDefault="00CD1279" w:rsidP="006D48E2">
            <w:pPr>
              <w:spacing w:before="40" w:after="40"/>
              <w:jc w:val="right"/>
              <w:rPr>
                <w:rFonts w:ascii="Arial Narrow" w:hAnsi="Arial Narrow"/>
              </w:rPr>
            </w:pPr>
            <w:r w:rsidRPr="00315FA0">
              <w:rPr>
                <w:rFonts w:ascii="Arial Narrow" w:hAnsi="Arial Narrow"/>
              </w:rPr>
              <w:t>39</w:t>
            </w:r>
          </w:p>
        </w:tc>
      </w:tr>
    </w:tbl>
    <w:p w:rsidR="00CD1279" w:rsidRPr="00315FA0" w:rsidRDefault="00CD1279" w:rsidP="00CD1279">
      <w:pPr>
        <w:spacing w:line="276" w:lineRule="auto"/>
        <w:jc w:val="both"/>
        <w:rPr>
          <w:rFonts w:ascii="Arial Narrow" w:hAnsi="Arial Narrow"/>
          <w:sz w:val="16"/>
          <w:szCs w:val="16"/>
        </w:rPr>
      </w:pPr>
      <w:r w:rsidRPr="00315FA0">
        <w:rPr>
          <w:rFonts w:ascii="Arial Narrow" w:hAnsi="Arial Narrow"/>
          <w:sz w:val="16"/>
          <w:szCs w:val="16"/>
        </w:rPr>
        <w:t>Fuente: Gobierno de Colombia, Informe del Artículo 7 de la Convención de Ottawa (2025, datos 2024), Tabla 1.</w:t>
      </w:r>
    </w:p>
    <w:p w:rsidR="00CD1279" w:rsidRPr="00315FA0" w:rsidRDefault="00CD1279" w:rsidP="00CD1279">
      <w:pPr>
        <w:spacing w:line="276" w:lineRule="auto"/>
        <w:jc w:val="both"/>
        <w:rPr>
          <w:rFonts w:ascii="Arial Narrow" w:hAnsi="Arial Narrow"/>
        </w:rPr>
      </w:pPr>
    </w:p>
    <w:p w:rsidR="00CD1279" w:rsidRPr="00315FA0" w:rsidRDefault="00CD1279" w:rsidP="00CD1279">
      <w:pPr>
        <w:keepNext/>
        <w:spacing w:line="276" w:lineRule="auto"/>
        <w:rPr>
          <w:rFonts w:ascii="Arial Narrow" w:hAnsi="Arial Narrow"/>
          <w:b/>
          <w:bCs/>
        </w:rPr>
      </w:pPr>
      <w:r w:rsidRPr="00315FA0">
        <w:rPr>
          <w:rFonts w:ascii="Arial Narrow" w:hAnsi="Arial Narrow"/>
          <w:b/>
          <w:bCs/>
        </w:rPr>
        <w:t>Gráfica 4. Municipios libres de sospecha por desminado humanitario y municipios asignados para operaciones, 2020-2024</w:t>
      </w:r>
    </w:p>
    <w:p w:rsidR="00CD1279" w:rsidRPr="00315FA0" w:rsidRDefault="00CD1279" w:rsidP="00CD1279">
      <w:pPr>
        <w:keepNext/>
        <w:spacing w:line="276" w:lineRule="auto"/>
        <w:rPr>
          <w:rFonts w:ascii="Arial Narrow" w:hAnsi="Arial Narrow"/>
        </w:rPr>
      </w:pPr>
    </w:p>
    <w:p w:rsidR="00CD1279" w:rsidRPr="00315FA0" w:rsidRDefault="00CD1279" w:rsidP="00CD1279">
      <w:pPr>
        <w:keepNext/>
        <w:jc w:val="center"/>
        <w:rPr>
          <w:rFonts w:ascii="Arial Narrow" w:hAnsi="Arial Narrow"/>
        </w:rPr>
      </w:pPr>
      <w:r w:rsidRPr="00315FA0">
        <w:rPr>
          <w:rFonts w:ascii="Arial Narrow" w:hAnsi="Arial Narrow"/>
          <w:noProof/>
        </w:rPr>
        <w:drawing>
          <wp:inline distT="0" distB="0" distL="0" distR="0" wp14:anchorId="3DF0032B" wp14:editId="3BB65BF1">
            <wp:extent cx="5760000" cy="2880000"/>
            <wp:effectExtent l="0" t="0" r="0" b="0"/>
            <wp:docPr id="400" name="Grafica nativa 10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CD1279" w:rsidRPr="00315FA0" w:rsidRDefault="00CD1279" w:rsidP="00CD1279">
      <w:pPr>
        <w:spacing w:line="276" w:lineRule="auto"/>
        <w:jc w:val="both"/>
        <w:rPr>
          <w:rFonts w:ascii="Arial Narrow" w:hAnsi="Arial Narrow"/>
          <w:sz w:val="16"/>
          <w:szCs w:val="16"/>
        </w:rPr>
      </w:pPr>
      <w:r w:rsidRPr="00315FA0">
        <w:rPr>
          <w:rFonts w:ascii="Arial Narrow" w:hAnsi="Arial Narrow"/>
          <w:sz w:val="16"/>
          <w:szCs w:val="16"/>
        </w:rPr>
        <w:t>Fuente: Gobierno de Colombia, Informe del Artículo 7 de la Convención de Ottawa (2025, datos 2024).</w:t>
      </w:r>
    </w:p>
    <w:p w:rsidR="00CD1279" w:rsidRPr="00315FA0" w:rsidRDefault="00CD1279" w:rsidP="00CD1279">
      <w:pPr>
        <w:spacing w:line="276" w:lineRule="auto"/>
        <w:jc w:val="both"/>
        <w:rPr>
          <w:rFonts w:ascii="Arial Narrow" w:hAnsi="Arial Narrow"/>
        </w:rPr>
      </w:pPr>
    </w:p>
    <w:tbl>
      <w:tblPr>
        <w:tblW w:w="92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0" w:type="dxa"/>
          <w:right w:w="80" w:type="dxa"/>
        </w:tblCellMar>
        <w:tblLook w:val="04A0" w:firstRow="1" w:lastRow="0" w:firstColumn="1" w:lastColumn="0" w:noHBand="0" w:noVBand="1"/>
      </w:tblPr>
      <w:tblGrid>
        <w:gridCol w:w="4400"/>
        <w:gridCol w:w="4800"/>
      </w:tblGrid>
      <w:tr w:rsidR="00CD1279" w:rsidRPr="00315FA0" w:rsidTr="006D48E2">
        <w:trPr>
          <w:cantSplit/>
          <w:tblHeader/>
          <w:jc w:val="center"/>
        </w:trPr>
        <w:tc>
          <w:tcPr>
            <w:tcW w:w="4400" w:type="dxa"/>
          </w:tcPr>
          <w:p w:rsidR="00CD1279" w:rsidRPr="00315FA0" w:rsidRDefault="00CD1279" w:rsidP="006D48E2">
            <w:pPr>
              <w:spacing w:before="40" w:after="40"/>
              <w:jc w:val="center"/>
              <w:rPr>
                <w:rFonts w:ascii="Arial Narrow" w:hAnsi="Arial Narrow"/>
              </w:rPr>
            </w:pPr>
            <w:r w:rsidRPr="00315FA0">
              <w:rPr>
                <w:rFonts w:ascii="Arial Narrow" w:hAnsi="Arial Narrow"/>
                <w:b/>
                <w:bCs/>
              </w:rPr>
              <w:t>Indicador (año 2025)</w:t>
            </w:r>
          </w:p>
        </w:tc>
        <w:tc>
          <w:tcPr>
            <w:tcW w:w="4800" w:type="dxa"/>
          </w:tcPr>
          <w:p w:rsidR="00CD1279" w:rsidRPr="00315FA0" w:rsidRDefault="00CD1279" w:rsidP="006D48E2">
            <w:pPr>
              <w:spacing w:before="40" w:after="40"/>
              <w:jc w:val="center"/>
              <w:rPr>
                <w:rFonts w:ascii="Arial Narrow" w:hAnsi="Arial Narrow"/>
              </w:rPr>
            </w:pPr>
            <w:r w:rsidRPr="00315FA0">
              <w:rPr>
                <w:rFonts w:ascii="Arial Narrow" w:hAnsi="Arial Narrow"/>
                <w:b/>
                <w:bCs/>
              </w:rPr>
              <w:t>Dato oficial</w:t>
            </w:r>
          </w:p>
        </w:tc>
      </w:tr>
      <w:tr w:rsidR="00CD1279" w:rsidRPr="00315FA0" w:rsidTr="006D48E2">
        <w:trPr>
          <w:cantSplit/>
          <w:jc w:val="center"/>
        </w:trPr>
        <w:tc>
          <w:tcPr>
            <w:tcW w:w="4400" w:type="dxa"/>
          </w:tcPr>
          <w:p w:rsidR="00CD1279" w:rsidRPr="00315FA0" w:rsidRDefault="00CD1279" w:rsidP="006D48E2">
            <w:pPr>
              <w:spacing w:before="40" w:after="40"/>
              <w:rPr>
                <w:rFonts w:ascii="Arial Narrow" w:hAnsi="Arial Narrow"/>
              </w:rPr>
            </w:pPr>
            <w:r w:rsidRPr="00315FA0">
              <w:rPr>
                <w:rFonts w:ascii="Arial Narrow" w:hAnsi="Arial Narrow"/>
              </w:rPr>
              <w:t>Víctimas de MAP y MUSE</w:t>
            </w:r>
          </w:p>
        </w:tc>
        <w:tc>
          <w:tcPr>
            <w:tcW w:w="4800" w:type="dxa"/>
          </w:tcPr>
          <w:p w:rsidR="00CD1279" w:rsidRPr="00315FA0" w:rsidRDefault="00CD1279" w:rsidP="006D48E2">
            <w:pPr>
              <w:spacing w:before="40" w:after="40"/>
              <w:rPr>
                <w:rFonts w:ascii="Arial Narrow" w:hAnsi="Arial Narrow"/>
              </w:rPr>
            </w:pPr>
            <w:r w:rsidRPr="00315FA0">
              <w:rPr>
                <w:rFonts w:ascii="Arial Narrow" w:hAnsi="Arial Narrow"/>
              </w:rPr>
              <w:t>136: 93 de la Fuerza Pública y 43 civiles; 10 fallecidos y 126 heridos; 5 menores de edad</w:t>
            </w:r>
          </w:p>
        </w:tc>
      </w:tr>
      <w:tr w:rsidR="00CD1279" w:rsidRPr="00315FA0" w:rsidTr="006D48E2">
        <w:trPr>
          <w:cantSplit/>
          <w:jc w:val="center"/>
        </w:trPr>
        <w:tc>
          <w:tcPr>
            <w:tcW w:w="4400" w:type="dxa"/>
          </w:tcPr>
          <w:p w:rsidR="00CD1279" w:rsidRPr="00315FA0" w:rsidRDefault="00CD1279" w:rsidP="006D48E2">
            <w:pPr>
              <w:spacing w:before="40" w:after="40"/>
              <w:rPr>
                <w:rFonts w:ascii="Arial Narrow" w:hAnsi="Arial Narrow"/>
              </w:rPr>
            </w:pPr>
            <w:r w:rsidRPr="00315FA0">
              <w:rPr>
                <w:rFonts w:ascii="Arial Narrow" w:hAnsi="Arial Narrow"/>
              </w:rPr>
              <w:t>Municipios con más víctimas</w:t>
            </w:r>
          </w:p>
        </w:tc>
        <w:tc>
          <w:tcPr>
            <w:tcW w:w="4800" w:type="dxa"/>
          </w:tcPr>
          <w:p w:rsidR="00CD1279" w:rsidRPr="00315FA0" w:rsidRDefault="00CD1279" w:rsidP="006D48E2">
            <w:pPr>
              <w:spacing w:before="40" w:after="40"/>
              <w:rPr>
                <w:rFonts w:ascii="Arial Narrow" w:hAnsi="Arial Narrow"/>
              </w:rPr>
            </w:pPr>
            <w:proofErr w:type="spellStart"/>
            <w:r w:rsidRPr="00315FA0">
              <w:rPr>
                <w:rFonts w:ascii="Arial Narrow" w:hAnsi="Arial Narrow"/>
              </w:rPr>
              <w:t>Anorí</w:t>
            </w:r>
            <w:proofErr w:type="spellEnd"/>
            <w:r w:rsidRPr="00315FA0">
              <w:rPr>
                <w:rFonts w:ascii="Arial Narrow" w:hAnsi="Arial Narrow"/>
              </w:rPr>
              <w:t>, Antioquia (13); Morales y Santa Rosa del Sur, Bolívar (7 cada uno)</w:t>
            </w:r>
          </w:p>
        </w:tc>
      </w:tr>
      <w:tr w:rsidR="00CD1279" w:rsidRPr="00315FA0" w:rsidTr="006D48E2">
        <w:trPr>
          <w:cantSplit/>
          <w:jc w:val="center"/>
        </w:trPr>
        <w:tc>
          <w:tcPr>
            <w:tcW w:w="4400" w:type="dxa"/>
          </w:tcPr>
          <w:p w:rsidR="00CD1279" w:rsidRPr="00315FA0" w:rsidRDefault="00CD1279" w:rsidP="006D48E2">
            <w:pPr>
              <w:spacing w:before="40" w:after="40"/>
              <w:rPr>
                <w:rFonts w:ascii="Arial Narrow" w:hAnsi="Arial Narrow"/>
              </w:rPr>
            </w:pPr>
            <w:r w:rsidRPr="00315FA0">
              <w:rPr>
                <w:rFonts w:ascii="Arial Narrow" w:hAnsi="Arial Narrow"/>
              </w:rPr>
              <w:t>Operaciones de desminado humanitario</w:t>
            </w:r>
          </w:p>
        </w:tc>
        <w:tc>
          <w:tcPr>
            <w:tcW w:w="4800" w:type="dxa"/>
          </w:tcPr>
          <w:p w:rsidR="00CD1279" w:rsidRPr="00315FA0" w:rsidRDefault="00CD1279" w:rsidP="006D48E2">
            <w:pPr>
              <w:spacing w:before="40" w:after="40"/>
              <w:rPr>
                <w:rFonts w:ascii="Arial Narrow" w:hAnsi="Arial Narrow"/>
              </w:rPr>
            </w:pPr>
            <w:r w:rsidRPr="00315FA0">
              <w:rPr>
                <w:rFonts w:ascii="Arial Narrow" w:hAnsi="Arial Narrow"/>
              </w:rPr>
              <w:t>110</w:t>
            </w:r>
          </w:p>
        </w:tc>
      </w:tr>
      <w:tr w:rsidR="00CD1279" w:rsidRPr="00315FA0" w:rsidTr="006D48E2">
        <w:trPr>
          <w:cantSplit/>
          <w:jc w:val="center"/>
        </w:trPr>
        <w:tc>
          <w:tcPr>
            <w:tcW w:w="4400" w:type="dxa"/>
          </w:tcPr>
          <w:p w:rsidR="00CD1279" w:rsidRPr="00315FA0" w:rsidRDefault="00CD1279" w:rsidP="006D48E2">
            <w:pPr>
              <w:spacing w:before="40" w:after="40"/>
              <w:rPr>
                <w:rFonts w:ascii="Arial Narrow" w:hAnsi="Arial Narrow"/>
              </w:rPr>
            </w:pPr>
            <w:r w:rsidRPr="00315FA0">
              <w:rPr>
                <w:rFonts w:ascii="Arial Narrow" w:hAnsi="Arial Narrow"/>
              </w:rPr>
              <w:t>Área liberada</w:t>
            </w:r>
          </w:p>
        </w:tc>
        <w:tc>
          <w:tcPr>
            <w:tcW w:w="4800" w:type="dxa"/>
          </w:tcPr>
          <w:p w:rsidR="00CD1279" w:rsidRPr="00315FA0" w:rsidRDefault="00CD1279" w:rsidP="006D48E2">
            <w:pPr>
              <w:spacing w:before="40" w:after="40"/>
              <w:rPr>
                <w:rFonts w:ascii="Arial Narrow" w:hAnsi="Arial Narrow"/>
              </w:rPr>
            </w:pPr>
            <w:r w:rsidRPr="00315FA0">
              <w:rPr>
                <w:rFonts w:ascii="Arial Narrow" w:hAnsi="Arial Narrow"/>
              </w:rPr>
              <w:t>644.226,926 m²</w:t>
            </w:r>
          </w:p>
        </w:tc>
      </w:tr>
      <w:tr w:rsidR="00CD1279" w:rsidRPr="00315FA0" w:rsidTr="006D48E2">
        <w:trPr>
          <w:cantSplit/>
          <w:jc w:val="center"/>
        </w:trPr>
        <w:tc>
          <w:tcPr>
            <w:tcW w:w="4400" w:type="dxa"/>
          </w:tcPr>
          <w:p w:rsidR="00CD1279" w:rsidRPr="00315FA0" w:rsidRDefault="00CD1279" w:rsidP="006D48E2">
            <w:pPr>
              <w:spacing w:before="40" w:after="40"/>
              <w:rPr>
                <w:rFonts w:ascii="Arial Narrow" w:hAnsi="Arial Narrow"/>
              </w:rPr>
            </w:pPr>
            <w:r w:rsidRPr="00315FA0">
              <w:rPr>
                <w:rFonts w:ascii="Arial Narrow" w:hAnsi="Arial Narrow"/>
              </w:rPr>
              <w:t>Artefactos destruidos</w:t>
            </w:r>
          </w:p>
        </w:tc>
        <w:tc>
          <w:tcPr>
            <w:tcW w:w="4800" w:type="dxa"/>
          </w:tcPr>
          <w:p w:rsidR="00CD1279" w:rsidRPr="00315FA0" w:rsidRDefault="00CD1279" w:rsidP="006D48E2">
            <w:pPr>
              <w:spacing w:before="40" w:after="40"/>
              <w:rPr>
                <w:rFonts w:ascii="Arial Narrow" w:hAnsi="Arial Narrow"/>
              </w:rPr>
            </w:pPr>
            <w:r w:rsidRPr="00315FA0">
              <w:rPr>
                <w:rFonts w:ascii="Arial Narrow" w:hAnsi="Arial Narrow"/>
              </w:rPr>
              <w:t>60 minas antipersonal y 46 otros artefactos explosivos</w:t>
            </w:r>
          </w:p>
        </w:tc>
      </w:tr>
      <w:tr w:rsidR="00CD1279" w:rsidRPr="00315FA0" w:rsidTr="006D48E2">
        <w:trPr>
          <w:cantSplit/>
          <w:jc w:val="center"/>
        </w:trPr>
        <w:tc>
          <w:tcPr>
            <w:tcW w:w="4400" w:type="dxa"/>
          </w:tcPr>
          <w:p w:rsidR="00CD1279" w:rsidRPr="00315FA0" w:rsidRDefault="00CD1279" w:rsidP="006D48E2">
            <w:pPr>
              <w:spacing w:before="40" w:after="40"/>
              <w:rPr>
                <w:rFonts w:ascii="Arial Narrow" w:hAnsi="Arial Narrow"/>
              </w:rPr>
            </w:pPr>
            <w:r w:rsidRPr="00315FA0">
              <w:rPr>
                <w:rFonts w:ascii="Arial Narrow" w:hAnsi="Arial Narrow"/>
              </w:rPr>
              <w:t>Zonas peligrosas pendientes</w:t>
            </w:r>
          </w:p>
        </w:tc>
        <w:tc>
          <w:tcPr>
            <w:tcW w:w="4800" w:type="dxa"/>
          </w:tcPr>
          <w:p w:rsidR="00CD1279" w:rsidRPr="00315FA0" w:rsidRDefault="00CD1279" w:rsidP="006D48E2">
            <w:pPr>
              <w:spacing w:before="40" w:after="40"/>
              <w:rPr>
                <w:rFonts w:ascii="Arial Narrow" w:hAnsi="Arial Narrow"/>
              </w:rPr>
            </w:pPr>
            <w:r w:rsidRPr="00315FA0">
              <w:rPr>
                <w:rFonts w:ascii="Arial Narrow" w:hAnsi="Arial Narrow"/>
              </w:rPr>
              <w:t>387 (170 confirmadas y 217 sospechosas), con 1.518.681,35 m²</w:t>
            </w:r>
          </w:p>
        </w:tc>
      </w:tr>
      <w:tr w:rsidR="00CD1279" w:rsidRPr="00315FA0" w:rsidTr="006D48E2">
        <w:trPr>
          <w:cantSplit/>
          <w:jc w:val="center"/>
        </w:trPr>
        <w:tc>
          <w:tcPr>
            <w:tcW w:w="4400" w:type="dxa"/>
          </w:tcPr>
          <w:p w:rsidR="00CD1279" w:rsidRPr="00315FA0" w:rsidRDefault="00CD1279" w:rsidP="006D48E2">
            <w:pPr>
              <w:spacing w:before="40" w:after="40"/>
              <w:rPr>
                <w:rFonts w:ascii="Arial Narrow" w:hAnsi="Arial Narrow"/>
              </w:rPr>
            </w:pPr>
            <w:r w:rsidRPr="00315FA0">
              <w:rPr>
                <w:rFonts w:ascii="Arial Narrow" w:hAnsi="Arial Narrow"/>
              </w:rPr>
              <w:t>Organizaciones de desminado humanitario acreditadas</w:t>
            </w:r>
          </w:p>
        </w:tc>
        <w:tc>
          <w:tcPr>
            <w:tcW w:w="4800" w:type="dxa"/>
          </w:tcPr>
          <w:p w:rsidR="00CD1279" w:rsidRPr="00315FA0" w:rsidRDefault="00CD1279" w:rsidP="006D48E2">
            <w:pPr>
              <w:spacing w:before="40" w:after="40"/>
              <w:rPr>
                <w:rFonts w:ascii="Arial Narrow" w:hAnsi="Arial Narrow"/>
              </w:rPr>
            </w:pPr>
            <w:r w:rsidRPr="00315FA0">
              <w:rPr>
                <w:rFonts w:ascii="Arial Narrow" w:hAnsi="Arial Narrow"/>
              </w:rPr>
              <w:t>7: 5 civiles y 2 de capacidad estatal</w:t>
            </w:r>
          </w:p>
        </w:tc>
      </w:tr>
    </w:tbl>
    <w:p w:rsidR="00690498" w:rsidRDefault="00690498" w:rsidP="00CD1279">
      <w:pPr>
        <w:spacing w:line="276" w:lineRule="auto"/>
        <w:jc w:val="both"/>
        <w:rPr>
          <w:rFonts w:ascii="Arial Narrow" w:hAnsi="Arial Narrow"/>
          <w:sz w:val="16"/>
          <w:szCs w:val="16"/>
        </w:rPr>
      </w:pPr>
    </w:p>
    <w:p w:rsidR="00CD1279" w:rsidRPr="00315FA0" w:rsidRDefault="00CD1279" w:rsidP="00CD1279">
      <w:pPr>
        <w:spacing w:line="276" w:lineRule="auto"/>
        <w:jc w:val="both"/>
        <w:rPr>
          <w:rFonts w:ascii="Arial Narrow" w:hAnsi="Arial Narrow"/>
          <w:sz w:val="16"/>
          <w:szCs w:val="16"/>
        </w:rPr>
      </w:pPr>
      <w:r w:rsidRPr="00315FA0">
        <w:rPr>
          <w:rFonts w:ascii="Arial Narrow" w:hAnsi="Arial Narrow"/>
          <w:sz w:val="16"/>
          <w:szCs w:val="16"/>
        </w:rPr>
        <w:t>Fuente: Gobierno de Colombia, Informe del Artículo 7 de la Convención de Ottawa (2026, datos 2025), págs. 17, 20, 26, 27 y 35.</w:t>
      </w:r>
    </w:p>
    <w:p w:rsidR="00CD1279" w:rsidRPr="00315FA0" w:rsidRDefault="00CD1279" w:rsidP="00CD1279">
      <w:pPr>
        <w:spacing w:line="276" w:lineRule="auto"/>
        <w:jc w:val="both"/>
        <w:rPr>
          <w:rFonts w:ascii="Arial Narrow" w:hAnsi="Arial Narrow"/>
        </w:rPr>
      </w:pPr>
    </w:p>
    <w:p w:rsidR="00CD1279" w:rsidRPr="00315FA0" w:rsidRDefault="00CD1279" w:rsidP="00CD1279">
      <w:pPr>
        <w:keepNext/>
        <w:spacing w:line="276" w:lineRule="auto"/>
        <w:rPr>
          <w:rFonts w:ascii="Arial Narrow" w:hAnsi="Arial Narrow"/>
        </w:rPr>
      </w:pPr>
      <w:r w:rsidRPr="00315FA0">
        <w:rPr>
          <w:rFonts w:ascii="Arial Narrow" w:hAnsi="Arial Narrow"/>
          <w:b/>
          <w:bCs/>
        </w:rPr>
        <w:lastRenderedPageBreak/>
        <w:t>6. Brecha de financiación 2025-2027</w:t>
      </w:r>
    </w:p>
    <w:p w:rsidR="00CD1279" w:rsidRPr="00315FA0" w:rsidRDefault="00CD1279" w:rsidP="00CD1279">
      <w:pPr>
        <w:spacing w:line="276" w:lineRule="auto"/>
        <w:jc w:val="both"/>
        <w:rPr>
          <w:rFonts w:ascii="Arial Narrow" w:hAnsi="Arial Narrow"/>
        </w:rPr>
      </w:pPr>
    </w:p>
    <w:p w:rsidR="00CD1279" w:rsidRPr="00315FA0" w:rsidRDefault="00CD1279" w:rsidP="00CD1279">
      <w:pPr>
        <w:spacing w:line="276" w:lineRule="auto"/>
        <w:jc w:val="both"/>
        <w:rPr>
          <w:rFonts w:ascii="Arial Narrow" w:hAnsi="Arial Narrow"/>
        </w:rPr>
      </w:pPr>
      <w:r w:rsidRPr="00315FA0">
        <w:rPr>
          <w:rFonts w:ascii="Arial Narrow" w:hAnsi="Arial Narrow"/>
        </w:rPr>
        <w:t>El plan presentado por el Gobierno con la solicitud de prórroga del Artículo 5 prevé COP 663.425.899.873 para 2025-2027. De ese monto, COP 391.579.847.607 están confirmados y COP 271.846.301.608 (41 %) no tienen financiación. El mismo documento señala: “De los 144 municipios restantes, se espera que al menos 40 se encuentren en intervención activa”.</w:t>
      </w:r>
    </w:p>
    <w:p w:rsidR="00CD1279" w:rsidRPr="00315FA0" w:rsidRDefault="00CD1279" w:rsidP="00CD1279">
      <w:pPr>
        <w:spacing w:line="276" w:lineRule="auto"/>
        <w:jc w:val="both"/>
        <w:rPr>
          <w:rFonts w:ascii="Arial Narrow" w:hAnsi="Arial Narrow"/>
        </w:rPr>
      </w:pPr>
    </w:p>
    <w:p w:rsidR="00CD1279" w:rsidRPr="00315FA0" w:rsidRDefault="00CD1279" w:rsidP="00CD1279">
      <w:pPr>
        <w:keepNext/>
        <w:spacing w:line="276" w:lineRule="auto"/>
        <w:rPr>
          <w:rFonts w:ascii="Arial Narrow" w:hAnsi="Arial Narrow"/>
          <w:b/>
          <w:bCs/>
        </w:rPr>
      </w:pPr>
      <w:r w:rsidRPr="00315FA0">
        <w:rPr>
          <w:rFonts w:ascii="Arial Narrow" w:hAnsi="Arial Narrow"/>
          <w:b/>
          <w:bCs/>
        </w:rPr>
        <w:t>Gráfica 5. Financiación del plan de desminado 2025-2027 (millones de pesos)</w:t>
      </w:r>
    </w:p>
    <w:p w:rsidR="00CD1279" w:rsidRPr="00315FA0" w:rsidRDefault="00CD1279" w:rsidP="00CD1279">
      <w:pPr>
        <w:keepNext/>
        <w:jc w:val="center"/>
        <w:rPr>
          <w:rFonts w:ascii="Arial Narrow" w:hAnsi="Arial Narrow"/>
        </w:rPr>
      </w:pPr>
      <w:r w:rsidRPr="00315FA0">
        <w:rPr>
          <w:rFonts w:ascii="Arial Narrow" w:hAnsi="Arial Narrow"/>
          <w:noProof/>
        </w:rPr>
        <w:drawing>
          <wp:inline distT="0" distB="0" distL="0" distR="0" wp14:anchorId="5DF205CA" wp14:editId="28D4FD09">
            <wp:extent cx="5760000" cy="2880000"/>
            <wp:effectExtent l="0" t="0" r="0" b="0"/>
            <wp:docPr id="401" name="Grafica nativa 10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CD1279" w:rsidRPr="00315FA0" w:rsidRDefault="00CD1279" w:rsidP="00CD1279">
      <w:pPr>
        <w:spacing w:line="276" w:lineRule="auto"/>
        <w:jc w:val="both"/>
        <w:rPr>
          <w:rFonts w:ascii="Arial Narrow" w:hAnsi="Arial Narrow"/>
          <w:sz w:val="16"/>
          <w:szCs w:val="16"/>
        </w:rPr>
      </w:pPr>
      <w:r w:rsidRPr="00315FA0">
        <w:rPr>
          <w:rFonts w:ascii="Arial Narrow" w:hAnsi="Arial Narrow"/>
          <w:sz w:val="16"/>
          <w:szCs w:val="16"/>
        </w:rPr>
        <w:t>Fuente: Gobierno de Colombia, Solicitud de prórroga del plazo del Artículo 5 de la Convención, documento APLC/MSP.22/2025/WP.18, 9 de octubre de 2025, párrafos 18 y 20.</w:t>
      </w:r>
    </w:p>
    <w:p w:rsidR="00CD1279" w:rsidRPr="00315FA0" w:rsidRDefault="00CD1279" w:rsidP="00CD1279">
      <w:pPr>
        <w:spacing w:line="276" w:lineRule="auto"/>
        <w:jc w:val="both"/>
        <w:rPr>
          <w:rFonts w:ascii="Arial Narrow" w:hAnsi="Arial Narrow"/>
        </w:rPr>
      </w:pPr>
    </w:p>
    <w:p w:rsidR="00CD1279" w:rsidRPr="00315FA0" w:rsidRDefault="00CD1279" w:rsidP="00CD1279">
      <w:pPr>
        <w:keepNext/>
        <w:spacing w:line="276" w:lineRule="auto"/>
        <w:rPr>
          <w:rFonts w:ascii="Arial Narrow" w:hAnsi="Arial Narrow"/>
        </w:rPr>
      </w:pPr>
      <w:r w:rsidRPr="00315FA0">
        <w:rPr>
          <w:rFonts w:ascii="Arial Narrow" w:hAnsi="Arial Narrow"/>
          <w:b/>
          <w:bCs/>
        </w:rPr>
        <w:t>7. Hechos de 2026</w:t>
      </w:r>
    </w:p>
    <w:p w:rsidR="00CD1279" w:rsidRPr="00315FA0" w:rsidRDefault="00CD1279" w:rsidP="00CD1279">
      <w:pPr>
        <w:keepNext/>
        <w:spacing w:line="276" w:lineRule="auto"/>
        <w:jc w:val="both"/>
        <w:rPr>
          <w:rFonts w:ascii="Arial Narrow" w:hAnsi="Arial Narrow"/>
        </w:rPr>
      </w:pPr>
    </w:p>
    <w:p w:rsidR="00CD1279" w:rsidRPr="00315FA0" w:rsidRDefault="00CD1279" w:rsidP="00CD1279">
      <w:pPr>
        <w:spacing w:line="276" w:lineRule="auto"/>
        <w:jc w:val="both"/>
        <w:rPr>
          <w:rFonts w:ascii="Arial Narrow" w:hAnsi="Arial Narrow"/>
        </w:rPr>
      </w:pPr>
      <w:r w:rsidRPr="00315FA0">
        <w:rPr>
          <w:rFonts w:ascii="Arial Narrow" w:hAnsi="Arial Narrow"/>
        </w:rPr>
        <w:t xml:space="preserve">Entre enero y octubre de 2026 la prensa registró víctimas de minas y artefactos explosivos en Antioquia, Cauca, Nariño y Norte de Santander: campesinos, menores de edad, trabajadores y soldados. Solo en </w:t>
      </w:r>
      <w:proofErr w:type="spellStart"/>
      <w:r w:rsidRPr="00315FA0">
        <w:rPr>
          <w:rFonts w:ascii="Arial Narrow" w:hAnsi="Arial Narrow"/>
        </w:rPr>
        <w:t>Tibú</w:t>
      </w:r>
      <w:proofErr w:type="spellEnd"/>
      <w:r w:rsidRPr="00315FA0">
        <w:rPr>
          <w:rFonts w:ascii="Arial Narrow" w:hAnsi="Arial Narrow"/>
        </w:rPr>
        <w:t xml:space="preserve"> (Norte de Santander) se publicaron cinco casos entre junio y septiembre, con dos muertos y cinco heridos.</w:t>
      </w:r>
    </w:p>
    <w:p w:rsidR="00CD1279" w:rsidRPr="00315FA0" w:rsidRDefault="00CD1279" w:rsidP="00CD1279">
      <w:pPr>
        <w:keepNext/>
        <w:spacing w:line="276" w:lineRule="auto"/>
        <w:jc w:val="both"/>
        <w:rPr>
          <w:rFonts w:ascii="Arial Narrow" w:hAnsi="Arial Narrow"/>
        </w:rPr>
      </w:pPr>
    </w:p>
    <w:tbl>
      <w:tblPr>
        <w:tblW w:w="92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0" w:type="dxa"/>
          <w:right w:w="80" w:type="dxa"/>
        </w:tblCellMar>
        <w:tblLook w:val="04A0" w:firstRow="1" w:lastRow="0" w:firstColumn="1" w:lastColumn="0" w:noHBand="0" w:noVBand="1"/>
      </w:tblPr>
      <w:tblGrid>
        <w:gridCol w:w="1500"/>
        <w:gridCol w:w="5800"/>
        <w:gridCol w:w="1900"/>
      </w:tblGrid>
      <w:tr w:rsidR="00CD1279" w:rsidRPr="00315FA0" w:rsidTr="006D48E2">
        <w:trPr>
          <w:cantSplit/>
          <w:tblHeader/>
          <w:jc w:val="center"/>
        </w:trPr>
        <w:tc>
          <w:tcPr>
            <w:tcW w:w="1500" w:type="dxa"/>
          </w:tcPr>
          <w:p w:rsidR="00CD1279" w:rsidRPr="00315FA0" w:rsidRDefault="00CD1279" w:rsidP="006D48E2">
            <w:pPr>
              <w:spacing w:before="40" w:after="40"/>
              <w:jc w:val="center"/>
              <w:rPr>
                <w:rFonts w:ascii="Arial Narrow" w:hAnsi="Arial Narrow"/>
              </w:rPr>
            </w:pPr>
            <w:r w:rsidRPr="00315FA0">
              <w:rPr>
                <w:rFonts w:ascii="Arial Narrow" w:hAnsi="Arial Narrow"/>
                <w:b/>
                <w:bCs/>
              </w:rPr>
              <w:t>Fecha (2026)</w:t>
            </w:r>
          </w:p>
        </w:tc>
        <w:tc>
          <w:tcPr>
            <w:tcW w:w="5800" w:type="dxa"/>
          </w:tcPr>
          <w:p w:rsidR="00CD1279" w:rsidRPr="00315FA0" w:rsidRDefault="00CD1279" w:rsidP="006D48E2">
            <w:pPr>
              <w:spacing w:before="40" w:after="40"/>
              <w:jc w:val="center"/>
              <w:rPr>
                <w:rFonts w:ascii="Arial Narrow" w:hAnsi="Arial Narrow"/>
              </w:rPr>
            </w:pPr>
            <w:r w:rsidRPr="00315FA0">
              <w:rPr>
                <w:rFonts w:ascii="Arial Narrow" w:hAnsi="Arial Narrow"/>
                <w:b/>
                <w:bCs/>
              </w:rPr>
              <w:t>Hecho</w:t>
            </w:r>
          </w:p>
        </w:tc>
        <w:tc>
          <w:tcPr>
            <w:tcW w:w="1900" w:type="dxa"/>
          </w:tcPr>
          <w:p w:rsidR="00CD1279" w:rsidRPr="00315FA0" w:rsidRDefault="00CD1279" w:rsidP="006D48E2">
            <w:pPr>
              <w:spacing w:before="40" w:after="40"/>
              <w:jc w:val="center"/>
              <w:rPr>
                <w:rFonts w:ascii="Arial Narrow" w:hAnsi="Arial Narrow"/>
              </w:rPr>
            </w:pPr>
            <w:r w:rsidRPr="00315FA0">
              <w:rPr>
                <w:rFonts w:ascii="Arial Narrow" w:hAnsi="Arial Narrow"/>
                <w:b/>
                <w:bCs/>
              </w:rPr>
              <w:t>Medio</w:t>
            </w:r>
          </w:p>
        </w:tc>
      </w:tr>
      <w:tr w:rsidR="00CD1279" w:rsidRPr="00315FA0" w:rsidTr="006D48E2">
        <w:trPr>
          <w:cantSplit/>
          <w:jc w:val="center"/>
        </w:trPr>
        <w:tc>
          <w:tcPr>
            <w:tcW w:w="1500" w:type="dxa"/>
          </w:tcPr>
          <w:p w:rsidR="00CD1279" w:rsidRPr="00315FA0" w:rsidRDefault="00CD1279" w:rsidP="006D48E2">
            <w:pPr>
              <w:spacing w:before="40" w:after="40"/>
              <w:rPr>
                <w:rFonts w:ascii="Arial Narrow" w:hAnsi="Arial Narrow"/>
              </w:rPr>
            </w:pPr>
            <w:r w:rsidRPr="00315FA0">
              <w:rPr>
                <w:rFonts w:ascii="Arial Narrow" w:hAnsi="Arial Narrow"/>
              </w:rPr>
              <w:t>23 de enero</w:t>
            </w:r>
          </w:p>
        </w:tc>
        <w:tc>
          <w:tcPr>
            <w:tcW w:w="5800" w:type="dxa"/>
          </w:tcPr>
          <w:p w:rsidR="00CD1279" w:rsidRPr="00315FA0" w:rsidRDefault="00CD1279" w:rsidP="006D48E2">
            <w:pPr>
              <w:spacing w:before="40" w:after="40"/>
              <w:rPr>
                <w:rFonts w:ascii="Arial Narrow" w:hAnsi="Arial Narrow"/>
              </w:rPr>
            </w:pPr>
            <w:r w:rsidRPr="00315FA0">
              <w:rPr>
                <w:rFonts w:ascii="Arial Narrow" w:hAnsi="Arial Narrow"/>
              </w:rPr>
              <w:t xml:space="preserve">Tres soldados de la Fuerza de Despliegue Rápido No. 7 caen en un campo minado en la vereda Providencia, </w:t>
            </w:r>
            <w:proofErr w:type="spellStart"/>
            <w:r w:rsidRPr="00315FA0">
              <w:rPr>
                <w:rFonts w:ascii="Arial Narrow" w:hAnsi="Arial Narrow"/>
              </w:rPr>
              <w:t>Anorí</w:t>
            </w:r>
            <w:proofErr w:type="spellEnd"/>
            <w:r w:rsidRPr="00315FA0">
              <w:rPr>
                <w:rFonts w:ascii="Arial Narrow" w:hAnsi="Arial Narrow"/>
              </w:rPr>
              <w:t xml:space="preserve"> (Antioquia). A uno le amputan las dos piernas.</w:t>
            </w:r>
          </w:p>
        </w:tc>
        <w:tc>
          <w:tcPr>
            <w:tcW w:w="1900" w:type="dxa"/>
          </w:tcPr>
          <w:p w:rsidR="00CD1279" w:rsidRPr="00315FA0" w:rsidRDefault="00CD1279" w:rsidP="006D48E2">
            <w:pPr>
              <w:spacing w:before="40" w:after="40"/>
              <w:jc w:val="right"/>
              <w:rPr>
                <w:rFonts w:ascii="Arial Narrow" w:hAnsi="Arial Narrow"/>
              </w:rPr>
            </w:pPr>
            <w:proofErr w:type="spellStart"/>
            <w:r w:rsidRPr="00315FA0">
              <w:rPr>
                <w:rFonts w:ascii="Arial Narrow" w:hAnsi="Arial Narrow"/>
              </w:rPr>
              <w:t>Infobae</w:t>
            </w:r>
            <w:proofErr w:type="spellEnd"/>
          </w:p>
        </w:tc>
      </w:tr>
      <w:tr w:rsidR="00CD1279" w:rsidRPr="00315FA0" w:rsidTr="006D48E2">
        <w:trPr>
          <w:cantSplit/>
          <w:jc w:val="center"/>
        </w:trPr>
        <w:tc>
          <w:tcPr>
            <w:tcW w:w="1500" w:type="dxa"/>
          </w:tcPr>
          <w:p w:rsidR="00CD1279" w:rsidRPr="00315FA0" w:rsidRDefault="00CD1279" w:rsidP="006D48E2">
            <w:pPr>
              <w:spacing w:before="40" w:after="40"/>
              <w:rPr>
                <w:rFonts w:ascii="Arial Narrow" w:hAnsi="Arial Narrow"/>
              </w:rPr>
            </w:pPr>
            <w:r w:rsidRPr="00315FA0">
              <w:rPr>
                <w:rFonts w:ascii="Arial Narrow" w:hAnsi="Arial Narrow"/>
              </w:rPr>
              <w:t>4 de abril</w:t>
            </w:r>
          </w:p>
        </w:tc>
        <w:tc>
          <w:tcPr>
            <w:tcW w:w="5800" w:type="dxa"/>
          </w:tcPr>
          <w:p w:rsidR="00CD1279" w:rsidRPr="00315FA0" w:rsidRDefault="00CD1279" w:rsidP="006D48E2">
            <w:pPr>
              <w:spacing w:before="40" w:after="40"/>
              <w:rPr>
                <w:rFonts w:ascii="Arial Narrow" w:hAnsi="Arial Narrow"/>
              </w:rPr>
            </w:pPr>
            <w:r w:rsidRPr="00315FA0">
              <w:rPr>
                <w:rFonts w:ascii="Arial Narrow" w:hAnsi="Arial Narrow"/>
              </w:rPr>
              <w:t>En el Día Internacional contra las minas, AICMA reporta 12.673 víctimas entre 1990 y febrero de 2026, 14 casos en lo corrido de 2026 y accidentes en 499 de los 1.103 municipios.</w:t>
            </w:r>
          </w:p>
        </w:tc>
        <w:tc>
          <w:tcPr>
            <w:tcW w:w="1900" w:type="dxa"/>
          </w:tcPr>
          <w:p w:rsidR="00CD1279" w:rsidRPr="00315FA0" w:rsidRDefault="00CD1279" w:rsidP="006D48E2">
            <w:pPr>
              <w:spacing w:before="40" w:after="40"/>
              <w:jc w:val="right"/>
              <w:rPr>
                <w:rFonts w:ascii="Arial Narrow" w:hAnsi="Arial Narrow"/>
              </w:rPr>
            </w:pPr>
            <w:r w:rsidRPr="00315FA0">
              <w:rPr>
                <w:rFonts w:ascii="Arial Narrow" w:hAnsi="Arial Narrow"/>
              </w:rPr>
              <w:t>Radio Nacional de Colombia</w:t>
            </w:r>
          </w:p>
        </w:tc>
      </w:tr>
      <w:tr w:rsidR="00CD1279" w:rsidRPr="00315FA0" w:rsidTr="006D48E2">
        <w:trPr>
          <w:cantSplit/>
          <w:jc w:val="center"/>
        </w:trPr>
        <w:tc>
          <w:tcPr>
            <w:tcW w:w="1500" w:type="dxa"/>
          </w:tcPr>
          <w:p w:rsidR="00CD1279" w:rsidRPr="00315FA0" w:rsidRDefault="00CD1279" w:rsidP="006D48E2">
            <w:pPr>
              <w:spacing w:before="40" w:after="40"/>
              <w:rPr>
                <w:rFonts w:ascii="Arial Narrow" w:hAnsi="Arial Narrow"/>
              </w:rPr>
            </w:pPr>
            <w:r w:rsidRPr="00315FA0">
              <w:rPr>
                <w:rFonts w:ascii="Arial Narrow" w:hAnsi="Arial Narrow"/>
              </w:rPr>
              <w:t>4 de abril</w:t>
            </w:r>
          </w:p>
        </w:tc>
        <w:tc>
          <w:tcPr>
            <w:tcW w:w="5800" w:type="dxa"/>
          </w:tcPr>
          <w:p w:rsidR="00CD1279" w:rsidRPr="00315FA0" w:rsidRDefault="00CD1279" w:rsidP="006D48E2">
            <w:pPr>
              <w:spacing w:before="40" w:after="40"/>
              <w:rPr>
                <w:rFonts w:ascii="Arial Narrow" w:hAnsi="Arial Narrow"/>
              </w:rPr>
            </w:pPr>
            <w:r w:rsidRPr="00315FA0">
              <w:rPr>
                <w:rFonts w:ascii="Arial Narrow" w:hAnsi="Arial Narrow"/>
              </w:rPr>
              <w:t>“Víctimas de minas antipersonal aumentaron un 23 % en el último año”: de 110 en 2024 a 136 en 2025.</w:t>
            </w:r>
          </w:p>
        </w:tc>
        <w:tc>
          <w:tcPr>
            <w:tcW w:w="1900" w:type="dxa"/>
          </w:tcPr>
          <w:p w:rsidR="00CD1279" w:rsidRPr="00315FA0" w:rsidRDefault="00CD1279" w:rsidP="006D48E2">
            <w:pPr>
              <w:spacing w:before="40" w:after="40"/>
              <w:jc w:val="right"/>
              <w:rPr>
                <w:rFonts w:ascii="Arial Narrow" w:hAnsi="Arial Narrow"/>
              </w:rPr>
            </w:pPr>
            <w:r w:rsidRPr="00315FA0">
              <w:rPr>
                <w:rFonts w:ascii="Arial Narrow" w:hAnsi="Arial Narrow"/>
              </w:rPr>
              <w:t>El Tiempo</w:t>
            </w:r>
          </w:p>
        </w:tc>
      </w:tr>
      <w:tr w:rsidR="00CD1279" w:rsidRPr="00315FA0" w:rsidTr="006D48E2">
        <w:trPr>
          <w:cantSplit/>
          <w:jc w:val="center"/>
        </w:trPr>
        <w:tc>
          <w:tcPr>
            <w:tcW w:w="1500" w:type="dxa"/>
          </w:tcPr>
          <w:p w:rsidR="00CD1279" w:rsidRPr="00315FA0" w:rsidRDefault="00CD1279" w:rsidP="006D48E2">
            <w:pPr>
              <w:spacing w:before="40" w:after="40"/>
              <w:rPr>
                <w:rFonts w:ascii="Arial Narrow" w:hAnsi="Arial Narrow"/>
              </w:rPr>
            </w:pPr>
            <w:r w:rsidRPr="00315FA0">
              <w:rPr>
                <w:rFonts w:ascii="Arial Narrow" w:hAnsi="Arial Narrow"/>
              </w:rPr>
              <w:lastRenderedPageBreak/>
              <w:t>5 de abril</w:t>
            </w:r>
          </w:p>
        </w:tc>
        <w:tc>
          <w:tcPr>
            <w:tcW w:w="5800" w:type="dxa"/>
          </w:tcPr>
          <w:p w:rsidR="00CD1279" w:rsidRPr="00315FA0" w:rsidRDefault="00CD1279" w:rsidP="006D48E2">
            <w:pPr>
              <w:spacing w:before="40" w:after="40"/>
              <w:rPr>
                <w:rFonts w:ascii="Arial Narrow" w:hAnsi="Arial Narrow"/>
              </w:rPr>
            </w:pPr>
            <w:r w:rsidRPr="00315FA0">
              <w:rPr>
                <w:rFonts w:ascii="Arial Narrow" w:hAnsi="Arial Narrow"/>
              </w:rPr>
              <w:t>En Jamundí (Valle del Cauca) se suspenden operaciones de desminado por falta de seguridad. Los drones dejan artefactos activos cerca de escuelas, fincas y carreteras.</w:t>
            </w:r>
          </w:p>
        </w:tc>
        <w:tc>
          <w:tcPr>
            <w:tcW w:w="1900" w:type="dxa"/>
          </w:tcPr>
          <w:p w:rsidR="00CD1279" w:rsidRPr="00315FA0" w:rsidRDefault="00CD1279" w:rsidP="006D48E2">
            <w:pPr>
              <w:spacing w:before="40" w:after="40"/>
              <w:jc w:val="right"/>
              <w:rPr>
                <w:rFonts w:ascii="Arial Narrow" w:hAnsi="Arial Narrow"/>
              </w:rPr>
            </w:pPr>
            <w:r w:rsidRPr="00315FA0">
              <w:rPr>
                <w:rFonts w:ascii="Arial Narrow" w:hAnsi="Arial Narrow"/>
              </w:rPr>
              <w:t>El País (Cali)</w:t>
            </w:r>
          </w:p>
        </w:tc>
      </w:tr>
      <w:tr w:rsidR="00CD1279" w:rsidRPr="00315FA0" w:rsidTr="006D48E2">
        <w:trPr>
          <w:cantSplit/>
          <w:jc w:val="center"/>
        </w:trPr>
        <w:tc>
          <w:tcPr>
            <w:tcW w:w="1500" w:type="dxa"/>
          </w:tcPr>
          <w:p w:rsidR="00CD1279" w:rsidRPr="00315FA0" w:rsidRDefault="00CD1279" w:rsidP="006D48E2">
            <w:pPr>
              <w:spacing w:before="40" w:after="40"/>
              <w:rPr>
                <w:rFonts w:ascii="Arial Narrow" w:hAnsi="Arial Narrow"/>
              </w:rPr>
            </w:pPr>
            <w:r w:rsidRPr="00315FA0">
              <w:rPr>
                <w:rFonts w:ascii="Arial Narrow" w:hAnsi="Arial Narrow"/>
              </w:rPr>
              <w:t>18 de abril</w:t>
            </w:r>
          </w:p>
        </w:tc>
        <w:tc>
          <w:tcPr>
            <w:tcW w:w="5800" w:type="dxa"/>
          </w:tcPr>
          <w:p w:rsidR="00CD1279" w:rsidRPr="00315FA0" w:rsidRDefault="00CD1279" w:rsidP="006D48E2">
            <w:pPr>
              <w:spacing w:before="40" w:after="40"/>
              <w:rPr>
                <w:rFonts w:ascii="Arial Narrow" w:hAnsi="Arial Narrow"/>
              </w:rPr>
            </w:pPr>
            <w:r w:rsidRPr="00315FA0">
              <w:rPr>
                <w:rFonts w:ascii="Arial Narrow" w:hAnsi="Arial Narrow"/>
              </w:rPr>
              <w:t>El coordinador del Grupo AICMA afirma que “aproximadamente un 15 % del territorio nacional continúa afectado”. UNMAS advierte la caída de la cooperación internacional.</w:t>
            </w:r>
          </w:p>
        </w:tc>
        <w:tc>
          <w:tcPr>
            <w:tcW w:w="1900" w:type="dxa"/>
          </w:tcPr>
          <w:p w:rsidR="00CD1279" w:rsidRPr="00315FA0" w:rsidRDefault="00CD1279" w:rsidP="006D48E2">
            <w:pPr>
              <w:spacing w:before="40" w:after="40"/>
              <w:jc w:val="right"/>
              <w:rPr>
                <w:rFonts w:ascii="Arial Narrow" w:hAnsi="Arial Narrow"/>
              </w:rPr>
            </w:pPr>
            <w:proofErr w:type="spellStart"/>
            <w:r w:rsidRPr="00315FA0">
              <w:rPr>
                <w:rFonts w:ascii="Arial Narrow" w:hAnsi="Arial Narrow"/>
              </w:rPr>
              <w:t>Infobae</w:t>
            </w:r>
            <w:proofErr w:type="spellEnd"/>
            <w:r w:rsidRPr="00315FA0">
              <w:rPr>
                <w:rFonts w:ascii="Arial Narrow" w:hAnsi="Arial Narrow"/>
              </w:rPr>
              <w:t xml:space="preserve">, con información de </w:t>
            </w:r>
            <w:proofErr w:type="spellStart"/>
            <w:r w:rsidRPr="00315FA0">
              <w:rPr>
                <w:rFonts w:ascii="Arial Narrow" w:hAnsi="Arial Narrow"/>
              </w:rPr>
              <w:t>Blu</w:t>
            </w:r>
            <w:proofErr w:type="spellEnd"/>
            <w:r w:rsidRPr="00315FA0">
              <w:rPr>
                <w:rFonts w:ascii="Arial Narrow" w:hAnsi="Arial Narrow"/>
              </w:rPr>
              <w:t xml:space="preserve"> Radio</w:t>
            </w:r>
          </w:p>
        </w:tc>
      </w:tr>
      <w:tr w:rsidR="00CD1279" w:rsidRPr="00315FA0" w:rsidTr="006D48E2">
        <w:trPr>
          <w:cantSplit/>
          <w:jc w:val="center"/>
        </w:trPr>
        <w:tc>
          <w:tcPr>
            <w:tcW w:w="1500" w:type="dxa"/>
          </w:tcPr>
          <w:p w:rsidR="00CD1279" w:rsidRPr="00315FA0" w:rsidRDefault="00CD1279" w:rsidP="006D48E2">
            <w:pPr>
              <w:spacing w:before="40" w:after="40"/>
              <w:rPr>
                <w:rFonts w:ascii="Arial Narrow" w:hAnsi="Arial Narrow"/>
              </w:rPr>
            </w:pPr>
            <w:r w:rsidRPr="00315FA0">
              <w:rPr>
                <w:rFonts w:ascii="Arial Narrow" w:hAnsi="Arial Narrow"/>
              </w:rPr>
              <w:t>4 de mayo</w:t>
            </w:r>
          </w:p>
        </w:tc>
        <w:tc>
          <w:tcPr>
            <w:tcW w:w="5800" w:type="dxa"/>
          </w:tcPr>
          <w:p w:rsidR="00CD1279" w:rsidRPr="00315FA0" w:rsidRDefault="00CD1279" w:rsidP="006D48E2">
            <w:pPr>
              <w:spacing w:before="40" w:after="40"/>
              <w:rPr>
                <w:rFonts w:ascii="Arial Narrow" w:hAnsi="Arial Narrow"/>
              </w:rPr>
            </w:pPr>
            <w:r w:rsidRPr="00315FA0">
              <w:rPr>
                <w:rFonts w:ascii="Arial Narrow" w:hAnsi="Arial Narrow"/>
              </w:rPr>
              <w:t>Un niño de 12 años muere y otras tres personas resultan heridas al manipular un artefacto explosivo hallado en un potrero de la vereda La Garrapata, Caucasia (Antioquia).</w:t>
            </w:r>
          </w:p>
        </w:tc>
        <w:tc>
          <w:tcPr>
            <w:tcW w:w="1900" w:type="dxa"/>
          </w:tcPr>
          <w:p w:rsidR="00CD1279" w:rsidRPr="00315FA0" w:rsidRDefault="00CD1279" w:rsidP="006D48E2">
            <w:pPr>
              <w:spacing w:before="40" w:after="40"/>
              <w:jc w:val="right"/>
              <w:rPr>
                <w:rFonts w:ascii="Arial Narrow" w:hAnsi="Arial Narrow"/>
              </w:rPr>
            </w:pPr>
            <w:proofErr w:type="spellStart"/>
            <w:r w:rsidRPr="00315FA0">
              <w:rPr>
                <w:rFonts w:ascii="Arial Narrow" w:hAnsi="Arial Narrow"/>
              </w:rPr>
              <w:t>Infobae</w:t>
            </w:r>
            <w:proofErr w:type="spellEnd"/>
          </w:p>
        </w:tc>
      </w:tr>
      <w:tr w:rsidR="00CD1279" w:rsidRPr="00315FA0" w:rsidTr="006D48E2">
        <w:trPr>
          <w:cantSplit/>
          <w:jc w:val="center"/>
        </w:trPr>
        <w:tc>
          <w:tcPr>
            <w:tcW w:w="1500" w:type="dxa"/>
          </w:tcPr>
          <w:p w:rsidR="00CD1279" w:rsidRPr="00315FA0" w:rsidRDefault="00CD1279" w:rsidP="006D48E2">
            <w:pPr>
              <w:spacing w:before="40" w:after="40"/>
              <w:rPr>
                <w:rFonts w:ascii="Arial Narrow" w:hAnsi="Arial Narrow"/>
              </w:rPr>
            </w:pPr>
            <w:r w:rsidRPr="00315FA0">
              <w:rPr>
                <w:rFonts w:ascii="Arial Narrow" w:hAnsi="Arial Narrow"/>
              </w:rPr>
              <w:t>22 de mayo</w:t>
            </w:r>
          </w:p>
        </w:tc>
        <w:tc>
          <w:tcPr>
            <w:tcW w:w="5800" w:type="dxa"/>
          </w:tcPr>
          <w:p w:rsidR="00CD1279" w:rsidRPr="00315FA0" w:rsidRDefault="00CD1279" w:rsidP="006D48E2">
            <w:pPr>
              <w:spacing w:before="40" w:after="40"/>
              <w:rPr>
                <w:rFonts w:ascii="Arial Narrow" w:hAnsi="Arial Narrow"/>
              </w:rPr>
            </w:pPr>
            <w:r w:rsidRPr="00315FA0">
              <w:rPr>
                <w:rFonts w:ascii="Arial Narrow" w:hAnsi="Arial Narrow"/>
              </w:rPr>
              <w:t>Entre enero y abril de 2026, 45.869 personas estuvieron confinadas y 8.249 fueron desplazadas. Las minas antipersonal y los artefactos explosivos figuran entre las causas.</w:t>
            </w:r>
          </w:p>
        </w:tc>
        <w:tc>
          <w:tcPr>
            <w:tcW w:w="1900" w:type="dxa"/>
          </w:tcPr>
          <w:p w:rsidR="00CD1279" w:rsidRPr="00315FA0" w:rsidRDefault="00CD1279" w:rsidP="006D48E2">
            <w:pPr>
              <w:spacing w:before="40" w:after="40"/>
              <w:jc w:val="right"/>
              <w:rPr>
                <w:rFonts w:ascii="Arial Narrow" w:hAnsi="Arial Narrow"/>
              </w:rPr>
            </w:pPr>
            <w:r w:rsidRPr="00315FA0">
              <w:rPr>
                <w:rFonts w:ascii="Arial Narrow" w:hAnsi="Arial Narrow"/>
              </w:rPr>
              <w:t>Defensoría del Pueblo (comunicado oficial)</w:t>
            </w:r>
          </w:p>
        </w:tc>
      </w:tr>
      <w:tr w:rsidR="00CD1279" w:rsidRPr="00315FA0" w:rsidTr="006D48E2">
        <w:trPr>
          <w:cantSplit/>
          <w:jc w:val="center"/>
        </w:trPr>
        <w:tc>
          <w:tcPr>
            <w:tcW w:w="1500" w:type="dxa"/>
          </w:tcPr>
          <w:p w:rsidR="00CD1279" w:rsidRPr="00315FA0" w:rsidRDefault="00CD1279" w:rsidP="006D48E2">
            <w:pPr>
              <w:spacing w:before="40" w:after="40"/>
              <w:rPr>
                <w:rFonts w:ascii="Arial Narrow" w:hAnsi="Arial Narrow"/>
              </w:rPr>
            </w:pPr>
            <w:r w:rsidRPr="00315FA0">
              <w:rPr>
                <w:rFonts w:ascii="Arial Narrow" w:hAnsi="Arial Narrow"/>
              </w:rPr>
              <w:t>23 de junio</w:t>
            </w:r>
          </w:p>
        </w:tc>
        <w:tc>
          <w:tcPr>
            <w:tcW w:w="5800" w:type="dxa"/>
          </w:tcPr>
          <w:p w:rsidR="00CD1279" w:rsidRPr="00315FA0" w:rsidRDefault="00CD1279" w:rsidP="006D48E2">
            <w:pPr>
              <w:spacing w:before="40" w:after="40"/>
              <w:rPr>
                <w:rFonts w:ascii="Arial Narrow" w:hAnsi="Arial Narrow"/>
              </w:rPr>
            </w:pPr>
            <w:r w:rsidRPr="00315FA0">
              <w:rPr>
                <w:rFonts w:ascii="Arial Narrow" w:hAnsi="Arial Narrow"/>
              </w:rPr>
              <w:t xml:space="preserve">Un campesino resulta herido en un campo minado de la vereda El Retiro, </w:t>
            </w:r>
            <w:proofErr w:type="spellStart"/>
            <w:r w:rsidRPr="00315FA0">
              <w:rPr>
                <w:rFonts w:ascii="Arial Narrow" w:hAnsi="Arial Narrow"/>
              </w:rPr>
              <w:t>Tibú</w:t>
            </w:r>
            <w:proofErr w:type="spellEnd"/>
            <w:r w:rsidRPr="00315FA0">
              <w:rPr>
                <w:rFonts w:ascii="Arial Narrow" w:hAnsi="Arial Narrow"/>
              </w:rPr>
              <w:t xml:space="preserve"> (Norte de Santander). Las comunidades alertan que varios corredores rurales volvieron a estar minados.</w:t>
            </w:r>
          </w:p>
        </w:tc>
        <w:tc>
          <w:tcPr>
            <w:tcW w:w="1900" w:type="dxa"/>
          </w:tcPr>
          <w:p w:rsidR="00CD1279" w:rsidRPr="00315FA0" w:rsidRDefault="00CD1279" w:rsidP="006D48E2">
            <w:pPr>
              <w:spacing w:before="40" w:after="40"/>
              <w:jc w:val="right"/>
              <w:rPr>
                <w:rFonts w:ascii="Arial Narrow" w:hAnsi="Arial Narrow"/>
              </w:rPr>
            </w:pPr>
            <w:proofErr w:type="spellStart"/>
            <w:r w:rsidRPr="00315FA0">
              <w:rPr>
                <w:rFonts w:ascii="Arial Narrow" w:hAnsi="Arial Narrow"/>
              </w:rPr>
              <w:t>Infobae</w:t>
            </w:r>
            <w:proofErr w:type="spellEnd"/>
          </w:p>
        </w:tc>
      </w:tr>
      <w:tr w:rsidR="00CD1279" w:rsidRPr="00315FA0" w:rsidTr="006D48E2">
        <w:trPr>
          <w:cantSplit/>
          <w:jc w:val="center"/>
        </w:trPr>
        <w:tc>
          <w:tcPr>
            <w:tcW w:w="1500" w:type="dxa"/>
          </w:tcPr>
          <w:p w:rsidR="00CD1279" w:rsidRPr="00315FA0" w:rsidRDefault="00CD1279" w:rsidP="006D48E2">
            <w:pPr>
              <w:spacing w:before="40" w:after="40"/>
              <w:rPr>
                <w:rFonts w:ascii="Arial Narrow" w:hAnsi="Arial Narrow"/>
              </w:rPr>
            </w:pPr>
            <w:r w:rsidRPr="00315FA0">
              <w:rPr>
                <w:rFonts w:ascii="Arial Narrow" w:hAnsi="Arial Narrow"/>
              </w:rPr>
              <w:t>28 de julio</w:t>
            </w:r>
          </w:p>
        </w:tc>
        <w:tc>
          <w:tcPr>
            <w:tcW w:w="5800" w:type="dxa"/>
          </w:tcPr>
          <w:p w:rsidR="00CD1279" w:rsidRPr="00315FA0" w:rsidRDefault="00CD1279" w:rsidP="006D48E2">
            <w:pPr>
              <w:spacing w:before="40" w:after="40"/>
              <w:rPr>
                <w:rFonts w:ascii="Arial Narrow" w:hAnsi="Arial Narrow"/>
              </w:rPr>
            </w:pPr>
            <w:r w:rsidRPr="00315FA0">
              <w:rPr>
                <w:rFonts w:ascii="Arial Narrow" w:hAnsi="Arial Narrow"/>
              </w:rPr>
              <w:t xml:space="preserve">César Leonardo Correa Sepúlveda, contratista de CENS, pierde un brazo y una pierna al pisar una mina en la vía </w:t>
            </w:r>
            <w:proofErr w:type="spellStart"/>
            <w:r w:rsidRPr="00315FA0">
              <w:rPr>
                <w:rFonts w:ascii="Arial Narrow" w:hAnsi="Arial Narrow"/>
              </w:rPr>
              <w:t>Tibú</w:t>
            </w:r>
            <w:proofErr w:type="spellEnd"/>
            <w:r w:rsidRPr="00315FA0">
              <w:rPr>
                <w:rFonts w:ascii="Arial Narrow" w:hAnsi="Arial Narrow"/>
              </w:rPr>
              <w:t>-La Gabarra. La empresa suspende sus labores técnicas en La Gabarra.</w:t>
            </w:r>
          </w:p>
        </w:tc>
        <w:tc>
          <w:tcPr>
            <w:tcW w:w="1900" w:type="dxa"/>
          </w:tcPr>
          <w:p w:rsidR="00CD1279" w:rsidRPr="00315FA0" w:rsidRDefault="00CD1279" w:rsidP="006D48E2">
            <w:pPr>
              <w:spacing w:before="40" w:after="40"/>
              <w:jc w:val="right"/>
              <w:rPr>
                <w:rFonts w:ascii="Arial Narrow" w:hAnsi="Arial Narrow"/>
              </w:rPr>
            </w:pPr>
            <w:r w:rsidRPr="00315FA0">
              <w:rPr>
                <w:rFonts w:ascii="Arial Narrow" w:hAnsi="Arial Narrow"/>
              </w:rPr>
              <w:t>Vanguardia</w:t>
            </w:r>
          </w:p>
        </w:tc>
      </w:tr>
      <w:tr w:rsidR="00CD1279" w:rsidRPr="00315FA0" w:rsidTr="006D48E2">
        <w:trPr>
          <w:cantSplit/>
          <w:jc w:val="center"/>
        </w:trPr>
        <w:tc>
          <w:tcPr>
            <w:tcW w:w="1500" w:type="dxa"/>
          </w:tcPr>
          <w:p w:rsidR="00CD1279" w:rsidRPr="00315FA0" w:rsidRDefault="00CD1279" w:rsidP="006D48E2">
            <w:pPr>
              <w:spacing w:before="40" w:after="40"/>
              <w:rPr>
                <w:rFonts w:ascii="Arial Narrow" w:hAnsi="Arial Narrow"/>
              </w:rPr>
            </w:pPr>
            <w:r w:rsidRPr="00315FA0">
              <w:rPr>
                <w:rFonts w:ascii="Arial Narrow" w:hAnsi="Arial Narrow"/>
              </w:rPr>
              <w:t>5 de agosto</w:t>
            </w:r>
          </w:p>
        </w:tc>
        <w:tc>
          <w:tcPr>
            <w:tcW w:w="5800" w:type="dxa"/>
          </w:tcPr>
          <w:p w:rsidR="00CD1279" w:rsidRPr="00315FA0" w:rsidRDefault="00CD1279" w:rsidP="006D48E2">
            <w:pPr>
              <w:spacing w:before="40" w:after="40"/>
              <w:rPr>
                <w:rFonts w:ascii="Arial Narrow" w:hAnsi="Arial Narrow"/>
              </w:rPr>
            </w:pPr>
            <w:r w:rsidRPr="00315FA0">
              <w:rPr>
                <w:rFonts w:ascii="Arial Narrow" w:hAnsi="Arial Narrow"/>
              </w:rPr>
              <w:t>Un campesino de 46 años queda gravemente herido por una mina en zona rural de Amalfi (Antioquia). Es el segundo caso en el municipio en 2026.</w:t>
            </w:r>
          </w:p>
        </w:tc>
        <w:tc>
          <w:tcPr>
            <w:tcW w:w="1900" w:type="dxa"/>
          </w:tcPr>
          <w:p w:rsidR="00CD1279" w:rsidRPr="00315FA0" w:rsidRDefault="00CD1279" w:rsidP="006D48E2">
            <w:pPr>
              <w:spacing w:before="40" w:after="40"/>
              <w:jc w:val="right"/>
              <w:rPr>
                <w:rFonts w:ascii="Arial Narrow" w:hAnsi="Arial Narrow"/>
              </w:rPr>
            </w:pPr>
            <w:r w:rsidRPr="00315FA0">
              <w:rPr>
                <w:rFonts w:ascii="Arial Narrow" w:hAnsi="Arial Narrow"/>
              </w:rPr>
              <w:t>Seguimiento.co</w:t>
            </w:r>
          </w:p>
        </w:tc>
      </w:tr>
      <w:tr w:rsidR="00CD1279" w:rsidRPr="00315FA0" w:rsidTr="006D48E2">
        <w:trPr>
          <w:cantSplit/>
          <w:jc w:val="center"/>
        </w:trPr>
        <w:tc>
          <w:tcPr>
            <w:tcW w:w="1500" w:type="dxa"/>
          </w:tcPr>
          <w:p w:rsidR="00CD1279" w:rsidRPr="00315FA0" w:rsidRDefault="00CD1279" w:rsidP="006D48E2">
            <w:pPr>
              <w:spacing w:before="40" w:after="40"/>
              <w:rPr>
                <w:rFonts w:ascii="Arial Narrow" w:hAnsi="Arial Narrow"/>
              </w:rPr>
            </w:pPr>
            <w:r w:rsidRPr="00315FA0">
              <w:rPr>
                <w:rFonts w:ascii="Arial Narrow" w:hAnsi="Arial Narrow"/>
              </w:rPr>
              <w:t>8 de agosto</w:t>
            </w:r>
          </w:p>
        </w:tc>
        <w:tc>
          <w:tcPr>
            <w:tcW w:w="5800" w:type="dxa"/>
          </w:tcPr>
          <w:p w:rsidR="00CD1279" w:rsidRPr="00315FA0" w:rsidRDefault="00CD1279" w:rsidP="006D48E2">
            <w:pPr>
              <w:spacing w:before="40" w:after="40"/>
              <w:rPr>
                <w:rFonts w:ascii="Arial Narrow" w:hAnsi="Arial Narrow"/>
              </w:rPr>
            </w:pPr>
            <w:r w:rsidRPr="00315FA0">
              <w:rPr>
                <w:rFonts w:ascii="Arial Narrow" w:hAnsi="Arial Narrow"/>
              </w:rPr>
              <w:t xml:space="preserve">Un menor de 17 años pierde una pierna al activar una mina mientras trabajaba con su familia en zona rural de </w:t>
            </w:r>
            <w:proofErr w:type="spellStart"/>
            <w:r w:rsidRPr="00315FA0">
              <w:rPr>
                <w:rFonts w:ascii="Arial Narrow" w:hAnsi="Arial Narrow"/>
              </w:rPr>
              <w:t>Tibú</w:t>
            </w:r>
            <w:proofErr w:type="spellEnd"/>
            <w:r w:rsidRPr="00315FA0">
              <w:rPr>
                <w:rFonts w:ascii="Arial Narrow" w:hAnsi="Arial Narrow"/>
              </w:rPr>
              <w:t>.</w:t>
            </w:r>
          </w:p>
        </w:tc>
        <w:tc>
          <w:tcPr>
            <w:tcW w:w="1900" w:type="dxa"/>
          </w:tcPr>
          <w:p w:rsidR="00CD1279" w:rsidRPr="00315FA0" w:rsidRDefault="00CD1279" w:rsidP="006D48E2">
            <w:pPr>
              <w:spacing w:before="40" w:after="40"/>
              <w:jc w:val="right"/>
              <w:rPr>
                <w:rFonts w:ascii="Arial Narrow" w:hAnsi="Arial Narrow"/>
              </w:rPr>
            </w:pPr>
            <w:r w:rsidRPr="00315FA0">
              <w:rPr>
                <w:rFonts w:ascii="Arial Narrow" w:hAnsi="Arial Narrow"/>
              </w:rPr>
              <w:t>La FM</w:t>
            </w:r>
          </w:p>
        </w:tc>
      </w:tr>
      <w:tr w:rsidR="00CD1279" w:rsidRPr="00315FA0" w:rsidTr="006D48E2">
        <w:trPr>
          <w:cantSplit/>
          <w:jc w:val="center"/>
        </w:trPr>
        <w:tc>
          <w:tcPr>
            <w:tcW w:w="1500" w:type="dxa"/>
          </w:tcPr>
          <w:p w:rsidR="00CD1279" w:rsidRPr="00315FA0" w:rsidRDefault="00CD1279" w:rsidP="006D48E2">
            <w:pPr>
              <w:spacing w:before="40" w:after="40"/>
              <w:rPr>
                <w:rFonts w:ascii="Arial Narrow" w:hAnsi="Arial Narrow"/>
              </w:rPr>
            </w:pPr>
            <w:r w:rsidRPr="00315FA0">
              <w:rPr>
                <w:rFonts w:ascii="Arial Narrow" w:hAnsi="Arial Narrow"/>
              </w:rPr>
              <w:t>27 de agosto</w:t>
            </w:r>
          </w:p>
        </w:tc>
        <w:tc>
          <w:tcPr>
            <w:tcW w:w="5800" w:type="dxa"/>
          </w:tcPr>
          <w:p w:rsidR="00CD1279" w:rsidRPr="00315FA0" w:rsidRDefault="00CD1279" w:rsidP="006D48E2">
            <w:pPr>
              <w:spacing w:before="40" w:after="40"/>
              <w:rPr>
                <w:rFonts w:ascii="Arial Narrow" w:hAnsi="Arial Narrow"/>
              </w:rPr>
            </w:pPr>
            <w:r w:rsidRPr="00315FA0">
              <w:rPr>
                <w:rFonts w:ascii="Arial Narrow" w:hAnsi="Arial Narrow"/>
              </w:rPr>
              <w:t xml:space="preserve">El campesino Ariel </w:t>
            </w:r>
            <w:proofErr w:type="spellStart"/>
            <w:r w:rsidRPr="00315FA0">
              <w:rPr>
                <w:rFonts w:ascii="Arial Narrow" w:hAnsi="Arial Narrow"/>
              </w:rPr>
              <w:t>Piamba</w:t>
            </w:r>
            <w:proofErr w:type="spellEnd"/>
            <w:r w:rsidRPr="00315FA0">
              <w:rPr>
                <w:rFonts w:ascii="Arial Narrow" w:hAnsi="Arial Narrow"/>
              </w:rPr>
              <w:t xml:space="preserve"> Cruz, de 54 años, resulta herido por una explosión, al parecer de una mina, en la vereda La Pampa, La Vega (Cauca).</w:t>
            </w:r>
          </w:p>
        </w:tc>
        <w:tc>
          <w:tcPr>
            <w:tcW w:w="1900" w:type="dxa"/>
          </w:tcPr>
          <w:p w:rsidR="00CD1279" w:rsidRPr="00315FA0" w:rsidRDefault="00CD1279" w:rsidP="006D48E2">
            <w:pPr>
              <w:spacing w:before="40" w:after="40"/>
              <w:jc w:val="right"/>
              <w:rPr>
                <w:rFonts w:ascii="Arial Narrow" w:hAnsi="Arial Narrow"/>
              </w:rPr>
            </w:pPr>
            <w:r w:rsidRPr="00315FA0">
              <w:rPr>
                <w:rFonts w:ascii="Arial Narrow" w:hAnsi="Arial Narrow"/>
              </w:rPr>
              <w:t>El País (Cali)</w:t>
            </w:r>
          </w:p>
        </w:tc>
      </w:tr>
      <w:tr w:rsidR="00CD1279" w:rsidRPr="00315FA0" w:rsidTr="006D48E2">
        <w:trPr>
          <w:cantSplit/>
          <w:jc w:val="center"/>
        </w:trPr>
        <w:tc>
          <w:tcPr>
            <w:tcW w:w="1500" w:type="dxa"/>
          </w:tcPr>
          <w:p w:rsidR="00CD1279" w:rsidRPr="00315FA0" w:rsidRDefault="00CD1279" w:rsidP="006D48E2">
            <w:pPr>
              <w:spacing w:before="40" w:after="40"/>
              <w:rPr>
                <w:rFonts w:ascii="Arial Narrow" w:hAnsi="Arial Narrow"/>
              </w:rPr>
            </w:pPr>
            <w:r w:rsidRPr="00315FA0">
              <w:rPr>
                <w:rFonts w:ascii="Arial Narrow" w:hAnsi="Arial Narrow"/>
              </w:rPr>
              <w:t>Septiembre</w:t>
            </w:r>
          </w:p>
        </w:tc>
        <w:tc>
          <w:tcPr>
            <w:tcW w:w="5800" w:type="dxa"/>
          </w:tcPr>
          <w:p w:rsidR="00CD1279" w:rsidRPr="00315FA0" w:rsidRDefault="00CD1279" w:rsidP="006D48E2">
            <w:pPr>
              <w:spacing w:before="40" w:after="40"/>
              <w:rPr>
                <w:rFonts w:ascii="Arial Narrow" w:hAnsi="Arial Narrow"/>
              </w:rPr>
            </w:pPr>
            <w:r w:rsidRPr="00315FA0">
              <w:rPr>
                <w:rFonts w:ascii="Arial Narrow" w:hAnsi="Arial Narrow"/>
              </w:rPr>
              <w:t>Muere el soldado José Manuel López Villada y otros dos militares quedan heridos por una mina en Puente Mayo (Nariño), sobre la vía Panamericana.</w:t>
            </w:r>
          </w:p>
        </w:tc>
        <w:tc>
          <w:tcPr>
            <w:tcW w:w="1900" w:type="dxa"/>
          </w:tcPr>
          <w:p w:rsidR="00CD1279" w:rsidRPr="00315FA0" w:rsidRDefault="00CD1279" w:rsidP="006D48E2">
            <w:pPr>
              <w:spacing w:before="40" w:after="40"/>
              <w:jc w:val="right"/>
              <w:rPr>
                <w:rFonts w:ascii="Arial Narrow" w:hAnsi="Arial Narrow"/>
              </w:rPr>
            </w:pPr>
            <w:r w:rsidRPr="00315FA0">
              <w:rPr>
                <w:rFonts w:ascii="Arial Narrow" w:hAnsi="Arial Narrow"/>
              </w:rPr>
              <w:t>EFE, publicado por Eje21</w:t>
            </w:r>
          </w:p>
        </w:tc>
      </w:tr>
      <w:tr w:rsidR="00CD1279" w:rsidRPr="00315FA0" w:rsidTr="006D48E2">
        <w:trPr>
          <w:cantSplit/>
          <w:jc w:val="center"/>
        </w:trPr>
        <w:tc>
          <w:tcPr>
            <w:tcW w:w="1500" w:type="dxa"/>
          </w:tcPr>
          <w:p w:rsidR="00CD1279" w:rsidRPr="00315FA0" w:rsidRDefault="00CD1279" w:rsidP="006D48E2">
            <w:pPr>
              <w:spacing w:before="40" w:after="40"/>
              <w:rPr>
                <w:rFonts w:ascii="Arial Narrow" w:hAnsi="Arial Narrow"/>
              </w:rPr>
            </w:pPr>
            <w:r w:rsidRPr="00315FA0">
              <w:rPr>
                <w:rFonts w:ascii="Arial Narrow" w:hAnsi="Arial Narrow"/>
              </w:rPr>
              <w:t>10 de septiembre</w:t>
            </w:r>
          </w:p>
        </w:tc>
        <w:tc>
          <w:tcPr>
            <w:tcW w:w="5800" w:type="dxa"/>
          </w:tcPr>
          <w:p w:rsidR="00CD1279" w:rsidRPr="00315FA0" w:rsidRDefault="00CD1279" w:rsidP="006D48E2">
            <w:pPr>
              <w:spacing w:before="40" w:after="40"/>
              <w:rPr>
                <w:rFonts w:ascii="Arial Narrow" w:hAnsi="Arial Narrow"/>
              </w:rPr>
            </w:pPr>
            <w:r w:rsidRPr="00315FA0">
              <w:rPr>
                <w:rFonts w:ascii="Arial Narrow" w:hAnsi="Arial Narrow"/>
              </w:rPr>
              <w:t>Un joven muere y otros dos quedan heridos en un campo minado de la vía La Gabarra-</w:t>
            </w:r>
            <w:proofErr w:type="spellStart"/>
            <w:r w:rsidRPr="00315FA0">
              <w:rPr>
                <w:rFonts w:ascii="Arial Narrow" w:hAnsi="Arial Narrow"/>
              </w:rPr>
              <w:t>Tibú</w:t>
            </w:r>
            <w:proofErr w:type="spellEnd"/>
            <w:r w:rsidRPr="00315FA0">
              <w:rPr>
                <w:rFonts w:ascii="Arial Narrow" w:hAnsi="Arial Narrow"/>
              </w:rPr>
              <w:t xml:space="preserve"> (Norte de Santander).</w:t>
            </w:r>
          </w:p>
        </w:tc>
        <w:tc>
          <w:tcPr>
            <w:tcW w:w="1900" w:type="dxa"/>
          </w:tcPr>
          <w:p w:rsidR="00CD1279" w:rsidRPr="00315FA0" w:rsidRDefault="00CD1279" w:rsidP="006D48E2">
            <w:pPr>
              <w:spacing w:before="40" w:after="40"/>
              <w:jc w:val="right"/>
              <w:rPr>
                <w:rFonts w:ascii="Arial Narrow" w:hAnsi="Arial Narrow"/>
              </w:rPr>
            </w:pPr>
            <w:proofErr w:type="spellStart"/>
            <w:r w:rsidRPr="00315FA0">
              <w:rPr>
                <w:rFonts w:ascii="Arial Narrow" w:hAnsi="Arial Narrow"/>
              </w:rPr>
              <w:t>Infobae</w:t>
            </w:r>
            <w:proofErr w:type="spellEnd"/>
          </w:p>
        </w:tc>
      </w:tr>
      <w:tr w:rsidR="00CD1279" w:rsidRPr="00315FA0" w:rsidTr="006D48E2">
        <w:trPr>
          <w:cantSplit/>
          <w:jc w:val="center"/>
        </w:trPr>
        <w:tc>
          <w:tcPr>
            <w:tcW w:w="1500" w:type="dxa"/>
          </w:tcPr>
          <w:p w:rsidR="00CD1279" w:rsidRPr="00315FA0" w:rsidRDefault="00CD1279" w:rsidP="006D48E2">
            <w:pPr>
              <w:spacing w:before="40" w:after="40"/>
              <w:rPr>
                <w:rFonts w:ascii="Arial Narrow" w:hAnsi="Arial Narrow"/>
              </w:rPr>
            </w:pPr>
            <w:r w:rsidRPr="00315FA0">
              <w:rPr>
                <w:rFonts w:ascii="Arial Narrow" w:hAnsi="Arial Narrow"/>
              </w:rPr>
              <w:t>16 de septiembre</w:t>
            </w:r>
          </w:p>
        </w:tc>
        <w:tc>
          <w:tcPr>
            <w:tcW w:w="5800" w:type="dxa"/>
          </w:tcPr>
          <w:p w:rsidR="00CD1279" w:rsidRPr="00315FA0" w:rsidRDefault="00CD1279" w:rsidP="006D48E2">
            <w:pPr>
              <w:spacing w:before="40" w:after="40"/>
              <w:rPr>
                <w:rFonts w:ascii="Arial Narrow" w:hAnsi="Arial Narrow"/>
              </w:rPr>
            </w:pPr>
            <w:r w:rsidRPr="00315FA0">
              <w:rPr>
                <w:rFonts w:ascii="Arial Narrow" w:hAnsi="Arial Narrow"/>
              </w:rPr>
              <w:t xml:space="preserve">Víctor Manuel Corzo, de 17 años, muere al pisar una mina mientras trabajaba en una parcela de la vereda Unión Vetas, </w:t>
            </w:r>
            <w:proofErr w:type="spellStart"/>
            <w:r w:rsidRPr="00315FA0">
              <w:rPr>
                <w:rFonts w:ascii="Arial Narrow" w:hAnsi="Arial Narrow"/>
              </w:rPr>
              <w:t>Tibú</w:t>
            </w:r>
            <w:proofErr w:type="spellEnd"/>
            <w:r w:rsidRPr="00315FA0">
              <w:rPr>
                <w:rFonts w:ascii="Arial Narrow" w:hAnsi="Arial Narrow"/>
              </w:rPr>
              <w:t>.</w:t>
            </w:r>
          </w:p>
        </w:tc>
        <w:tc>
          <w:tcPr>
            <w:tcW w:w="1900" w:type="dxa"/>
          </w:tcPr>
          <w:p w:rsidR="00CD1279" w:rsidRPr="00315FA0" w:rsidRDefault="00CD1279" w:rsidP="006D48E2">
            <w:pPr>
              <w:spacing w:before="40" w:after="40"/>
              <w:jc w:val="right"/>
              <w:rPr>
                <w:rFonts w:ascii="Arial Narrow" w:hAnsi="Arial Narrow"/>
              </w:rPr>
            </w:pPr>
            <w:r w:rsidRPr="00315FA0">
              <w:rPr>
                <w:rFonts w:ascii="Arial Narrow" w:hAnsi="Arial Narrow"/>
              </w:rPr>
              <w:t>Canal TRO</w:t>
            </w:r>
          </w:p>
        </w:tc>
      </w:tr>
      <w:tr w:rsidR="00CD1279" w:rsidRPr="00315FA0" w:rsidTr="006D48E2">
        <w:trPr>
          <w:cantSplit/>
          <w:jc w:val="center"/>
        </w:trPr>
        <w:tc>
          <w:tcPr>
            <w:tcW w:w="1500" w:type="dxa"/>
          </w:tcPr>
          <w:p w:rsidR="00CD1279" w:rsidRPr="00315FA0" w:rsidRDefault="00CD1279" w:rsidP="006D48E2">
            <w:pPr>
              <w:spacing w:before="40" w:after="40"/>
              <w:rPr>
                <w:rFonts w:ascii="Arial Narrow" w:hAnsi="Arial Narrow"/>
              </w:rPr>
            </w:pPr>
            <w:r w:rsidRPr="00315FA0">
              <w:rPr>
                <w:rFonts w:ascii="Arial Narrow" w:hAnsi="Arial Narrow"/>
              </w:rPr>
              <w:t>17 de octubre</w:t>
            </w:r>
          </w:p>
        </w:tc>
        <w:tc>
          <w:tcPr>
            <w:tcW w:w="5800" w:type="dxa"/>
          </w:tcPr>
          <w:p w:rsidR="00CD1279" w:rsidRPr="00315FA0" w:rsidRDefault="00CD1279" w:rsidP="006D48E2">
            <w:pPr>
              <w:spacing w:before="40" w:after="40"/>
              <w:rPr>
                <w:rFonts w:ascii="Arial Narrow" w:hAnsi="Arial Narrow"/>
              </w:rPr>
            </w:pPr>
            <w:r w:rsidRPr="00315FA0">
              <w:rPr>
                <w:rFonts w:ascii="Arial Narrow" w:hAnsi="Arial Narrow"/>
              </w:rPr>
              <w:t>Muere el soldado José Oswaldo Zapata Cuéllar, herido el 10 de octubre en un campo minado del Catatumbo durante una operación contra el Frente 33.</w:t>
            </w:r>
          </w:p>
        </w:tc>
        <w:tc>
          <w:tcPr>
            <w:tcW w:w="1900" w:type="dxa"/>
          </w:tcPr>
          <w:p w:rsidR="00CD1279" w:rsidRPr="00315FA0" w:rsidRDefault="00CD1279" w:rsidP="006D48E2">
            <w:pPr>
              <w:spacing w:before="40" w:after="40"/>
              <w:jc w:val="right"/>
              <w:rPr>
                <w:rFonts w:ascii="Arial Narrow" w:hAnsi="Arial Narrow"/>
              </w:rPr>
            </w:pPr>
            <w:r w:rsidRPr="00315FA0">
              <w:rPr>
                <w:rFonts w:ascii="Arial Narrow" w:hAnsi="Arial Narrow"/>
              </w:rPr>
              <w:t>Vanguardia</w:t>
            </w:r>
          </w:p>
        </w:tc>
      </w:tr>
    </w:tbl>
    <w:p w:rsidR="00CD1279" w:rsidRPr="00315FA0" w:rsidRDefault="00CD1279" w:rsidP="00CD1279">
      <w:pPr>
        <w:spacing w:line="276" w:lineRule="auto"/>
        <w:jc w:val="both"/>
        <w:rPr>
          <w:rFonts w:ascii="Arial Narrow" w:hAnsi="Arial Narrow"/>
          <w:sz w:val="16"/>
          <w:szCs w:val="16"/>
        </w:rPr>
      </w:pPr>
    </w:p>
    <w:p w:rsidR="00CD1279" w:rsidRPr="00315FA0" w:rsidRDefault="00CD1279" w:rsidP="00CD1279">
      <w:pPr>
        <w:spacing w:line="276" w:lineRule="auto"/>
        <w:jc w:val="both"/>
        <w:rPr>
          <w:rFonts w:ascii="Arial Narrow" w:hAnsi="Arial Narrow"/>
          <w:sz w:val="16"/>
          <w:szCs w:val="16"/>
        </w:rPr>
      </w:pPr>
      <w:r w:rsidRPr="00315FA0">
        <w:rPr>
          <w:rFonts w:ascii="Arial Narrow" w:hAnsi="Arial Narrow"/>
          <w:sz w:val="16"/>
          <w:szCs w:val="16"/>
        </w:rPr>
        <w:t>Nota: salvo el comunicado de la Defensoría del Pueblo, los hechos de esta tabla provienen de medios de comunicación y se incluyen como contexto. Las cifras oficiales del informe son las de AICMA, el Ministerio de Defensa Nacional y los informes del Gobierno ante la Convención.</w:t>
      </w:r>
    </w:p>
    <w:p w:rsidR="00CD1279" w:rsidRPr="00315FA0" w:rsidRDefault="00CD1279" w:rsidP="00CD1279">
      <w:pPr>
        <w:spacing w:line="276" w:lineRule="auto"/>
        <w:jc w:val="both"/>
        <w:rPr>
          <w:rFonts w:ascii="Arial Narrow" w:hAnsi="Arial Narrow"/>
        </w:rPr>
      </w:pPr>
    </w:p>
    <w:p w:rsidR="00CD1279" w:rsidRPr="00315FA0" w:rsidRDefault="00CD1279" w:rsidP="00CD1279">
      <w:pPr>
        <w:keepNext/>
        <w:spacing w:line="276" w:lineRule="auto"/>
        <w:rPr>
          <w:rFonts w:ascii="Arial Narrow" w:hAnsi="Arial Narrow"/>
        </w:rPr>
      </w:pPr>
      <w:r w:rsidRPr="00315FA0">
        <w:rPr>
          <w:rFonts w:ascii="Arial Narrow" w:hAnsi="Arial Narrow"/>
          <w:b/>
          <w:bCs/>
        </w:rPr>
        <w:lastRenderedPageBreak/>
        <w:t>8. Mensajes para el debate</w:t>
      </w:r>
    </w:p>
    <w:p w:rsidR="00CD1279" w:rsidRPr="00315FA0" w:rsidRDefault="00CD1279" w:rsidP="00CD1279">
      <w:pPr>
        <w:spacing w:line="276" w:lineRule="auto"/>
        <w:jc w:val="both"/>
        <w:rPr>
          <w:rFonts w:ascii="Arial Narrow" w:hAnsi="Arial Narrow"/>
        </w:rPr>
      </w:pPr>
    </w:p>
    <w:p w:rsidR="00CD1279" w:rsidRPr="00690498" w:rsidRDefault="00CD1279" w:rsidP="00690498">
      <w:pPr>
        <w:pStyle w:val="Prrafodelista"/>
        <w:numPr>
          <w:ilvl w:val="0"/>
          <w:numId w:val="7"/>
        </w:numPr>
        <w:spacing w:line="276" w:lineRule="auto"/>
        <w:jc w:val="both"/>
        <w:rPr>
          <w:rFonts w:ascii="Arial Narrow" w:hAnsi="Arial Narrow"/>
        </w:rPr>
      </w:pPr>
      <w:r w:rsidRPr="00690498">
        <w:rPr>
          <w:rFonts w:ascii="Arial Narrow" w:hAnsi="Arial Narrow"/>
        </w:rPr>
        <w:t>El 4 de noviembre de 2026 vence la habilitación legal de las organizaciones civiles. Sin esta ley, 49 municipios quedan sin operador habilitado.</w:t>
      </w:r>
    </w:p>
    <w:p w:rsidR="00CD1279" w:rsidRPr="00690498" w:rsidRDefault="00CD1279" w:rsidP="00690498">
      <w:pPr>
        <w:pStyle w:val="Prrafodelista"/>
        <w:numPr>
          <w:ilvl w:val="0"/>
          <w:numId w:val="7"/>
        </w:numPr>
        <w:spacing w:line="276" w:lineRule="auto"/>
        <w:jc w:val="both"/>
        <w:rPr>
          <w:rFonts w:ascii="Arial Narrow" w:hAnsi="Arial Narrow"/>
        </w:rPr>
      </w:pPr>
      <w:r w:rsidRPr="00690498">
        <w:rPr>
          <w:rFonts w:ascii="Arial Narrow" w:hAnsi="Arial Narrow"/>
        </w:rPr>
        <w:t>Las organizaciones civiles tienen 61 de las 96 asignaciones municipales de desminado humanitario.</w:t>
      </w:r>
    </w:p>
    <w:p w:rsidR="00CD1279" w:rsidRPr="00690498" w:rsidRDefault="00CD1279" w:rsidP="00690498">
      <w:pPr>
        <w:pStyle w:val="Prrafodelista"/>
        <w:numPr>
          <w:ilvl w:val="0"/>
          <w:numId w:val="7"/>
        </w:numPr>
        <w:spacing w:line="276" w:lineRule="auto"/>
        <w:jc w:val="both"/>
        <w:rPr>
          <w:rFonts w:ascii="Arial Narrow" w:hAnsi="Arial Narrow"/>
        </w:rPr>
      </w:pPr>
      <w:r w:rsidRPr="00690498">
        <w:rPr>
          <w:rFonts w:ascii="Arial Narrow" w:hAnsi="Arial Narrow"/>
        </w:rPr>
        <w:t>En 2025 hubo 136 víctimas de minas y municiones sin explosionar; 93 eran miembros de la Fuerza Pública (68 %).</w:t>
      </w:r>
    </w:p>
    <w:p w:rsidR="00CD1279" w:rsidRPr="00690498" w:rsidRDefault="00CD1279" w:rsidP="00690498">
      <w:pPr>
        <w:pStyle w:val="Prrafodelista"/>
        <w:numPr>
          <w:ilvl w:val="0"/>
          <w:numId w:val="7"/>
        </w:numPr>
        <w:spacing w:line="276" w:lineRule="auto"/>
        <w:jc w:val="both"/>
        <w:rPr>
          <w:rFonts w:ascii="Arial Narrow" w:hAnsi="Arial Narrow"/>
        </w:rPr>
      </w:pPr>
      <w:r w:rsidRPr="00690498">
        <w:rPr>
          <w:rFonts w:ascii="Arial Narrow" w:hAnsi="Arial Narrow"/>
        </w:rPr>
        <w:t>El 41 % del plan 2025-2027 no tiene financiación confirmada y la cooperación internacional cayó 99 % desde 2021.</w:t>
      </w:r>
    </w:p>
    <w:p w:rsidR="00CD1279" w:rsidRPr="00690498" w:rsidRDefault="00CD1279" w:rsidP="00690498">
      <w:pPr>
        <w:pStyle w:val="Prrafodelista"/>
        <w:numPr>
          <w:ilvl w:val="0"/>
          <w:numId w:val="7"/>
        </w:numPr>
        <w:spacing w:line="276" w:lineRule="auto"/>
        <w:jc w:val="both"/>
        <w:rPr>
          <w:rFonts w:ascii="Arial Narrow" w:hAnsi="Arial Narrow"/>
        </w:rPr>
      </w:pPr>
      <w:r w:rsidRPr="00690498">
        <w:rPr>
          <w:rFonts w:ascii="Arial Narrow" w:hAnsi="Arial Narrow"/>
        </w:rPr>
        <w:t>La ley no crea entidades ni gasto: da carácter permanente a un modelo que ya funciona.</w:t>
      </w:r>
    </w:p>
    <w:p w:rsidR="00CD1279" w:rsidRPr="00315FA0" w:rsidRDefault="00CD1279" w:rsidP="00CD1279">
      <w:pPr>
        <w:spacing w:line="276" w:lineRule="auto"/>
        <w:jc w:val="both"/>
        <w:rPr>
          <w:rFonts w:ascii="Arial Narrow" w:hAnsi="Arial Narrow"/>
        </w:rPr>
      </w:pPr>
    </w:p>
    <w:p w:rsidR="00CD1279" w:rsidRPr="00315FA0" w:rsidRDefault="00CD1279" w:rsidP="00CD1279">
      <w:pPr>
        <w:keepNext/>
        <w:spacing w:line="276" w:lineRule="auto"/>
        <w:jc w:val="center"/>
        <w:rPr>
          <w:rFonts w:ascii="Arial Narrow" w:hAnsi="Arial Narrow"/>
        </w:rPr>
      </w:pPr>
      <w:r w:rsidRPr="00315FA0">
        <w:rPr>
          <w:rFonts w:ascii="Arial Narrow" w:hAnsi="Arial Narrow"/>
          <w:b/>
          <w:bCs/>
        </w:rPr>
        <w:t>VI. MARCO CONSTITUCIONAL, LEGAL Y JURISPRUDENCIAL</w:t>
      </w:r>
    </w:p>
    <w:p w:rsidR="00CD1279" w:rsidRPr="00315FA0" w:rsidRDefault="00CD1279" w:rsidP="00CD1279">
      <w:pPr>
        <w:keepNext/>
        <w:spacing w:line="276" w:lineRule="auto"/>
        <w:jc w:val="both"/>
        <w:rPr>
          <w:rFonts w:ascii="Arial Narrow" w:hAnsi="Arial Narrow"/>
        </w:rPr>
      </w:pPr>
    </w:p>
    <w:p w:rsidR="00CD1279" w:rsidRPr="00315FA0" w:rsidRDefault="00CD1279" w:rsidP="00CD1279">
      <w:pPr>
        <w:spacing w:line="276" w:lineRule="auto"/>
        <w:jc w:val="both"/>
        <w:rPr>
          <w:rFonts w:ascii="Arial Narrow" w:hAnsi="Arial Narrow"/>
        </w:rPr>
      </w:pPr>
      <w:r w:rsidRPr="00315FA0">
        <w:rPr>
          <w:rFonts w:ascii="Arial Narrow" w:hAnsi="Arial Narrow"/>
          <w:b/>
          <w:bCs/>
        </w:rPr>
        <w:t>Constitución Política:</w:t>
      </w:r>
      <w:r w:rsidRPr="00315FA0">
        <w:rPr>
          <w:rFonts w:ascii="Arial Narrow" w:hAnsi="Arial Narrow"/>
        </w:rPr>
        <w:t xml:space="preserve"> </w:t>
      </w:r>
    </w:p>
    <w:p w:rsidR="00CD1279" w:rsidRPr="00315FA0" w:rsidRDefault="00CD1279" w:rsidP="00CD1279">
      <w:pPr>
        <w:spacing w:line="276" w:lineRule="auto"/>
        <w:jc w:val="both"/>
        <w:rPr>
          <w:rFonts w:ascii="Arial Narrow" w:hAnsi="Arial Narrow"/>
        </w:rPr>
      </w:pPr>
    </w:p>
    <w:p w:rsidR="00CD1279" w:rsidRPr="00315FA0" w:rsidRDefault="00CD1279" w:rsidP="00CD1279">
      <w:pPr>
        <w:pStyle w:val="Prrafodelista"/>
        <w:numPr>
          <w:ilvl w:val="0"/>
          <w:numId w:val="3"/>
        </w:numPr>
        <w:spacing w:line="276" w:lineRule="auto"/>
        <w:contextualSpacing/>
        <w:jc w:val="both"/>
        <w:rPr>
          <w:rFonts w:ascii="Arial Narrow" w:hAnsi="Arial Narrow"/>
        </w:rPr>
      </w:pPr>
      <w:r w:rsidRPr="00315FA0">
        <w:rPr>
          <w:rFonts w:ascii="Arial Narrow" w:hAnsi="Arial Narrow"/>
        </w:rPr>
        <w:t>artículos 1, 2, 11, 12, 13, 22, 44, 49, 93, 150, 158, 169 y 217.</w:t>
      </w:r>
    </w:p>
    <w:p w:rsidR="00CD1279" w:rsidRPr="00315FA0" w:rsidRDefault="00CD1279" w:rsidP="00CD1279">
      <w:pPr>
        <w:spacing w:line="276" w:lineRule="auto"/>
        <w:jc w:val="both"/>
        <w:rPr>
          <w:rFonts w:ascii="Arial Narrow" w:hAnsi="Arial Narrow"/>
        </w:rPr>
      </w:pPr>
    </w:p>
    <w:p w:rsidR="00CD1279" w:rsidRPr="00315FA0" w:rsidRDefault="00CD1279" w:rsidP="00CD1279">
      <w:pPr>
        <w:spacing w:line="276" w:lineRule="auto"/>
        <w:jc w:val="both"/>
        <w:rPr>
          <w:rFonts w:ascii="Arial Narrow" w:hAnsi="Arial Narrow"/>
        </w:rPr>
      </w:pPr>
      <w:r w:rsidRPr="00315FA0">
        <w:rPr>
          <w:rFonts w:ascii="Arial Narrow" w:hAnsi="Arial Narrow"/>
          <w:b/>
          <w:bCs/>
        </w:rPr>
        <w:t>Ley:</w:t>
      </w:r>
      <w:r w:rsidRPr="00315FA0">
        <w:rPr>
          <w:rFonts w:ascii="Arial Narrow" w:hAnsi="Arial Narrow"/>
        </w:rPr>
        <w:t xml:space="preserve"> </w:t>
      </w:r>
    </w:p>
    <w:p w:rsidR="00CD1279" w:rsidRPr="00315FA0" w:rsidRDefault="00CD1279" w:rsidP="00CD1279">
      <w:pPr>
        <w:spacing w:line="276" w:lineRule="auto"/>
        <w:jc w:val="both"/>
        <w:rPr>
          <w:rFonts w:ascii="Arial Narrow" w:hAnsi="Arial Narrow"/>
        </w:rPr>
      </w:pPr>
    </w:p>
    <w:p w:rsidR="00CD1279" w:rsidRPr="00315FA0" w:rsidRDefault="00CD1279" w:rsidP="00CD1279">
      <w:pPr>
        <w:pStyle w:val="Prrafodelista"/>
        <w:numPr>
          <w:ilvl w:val="0"/>
          <w:numId w:val="2"/>
        </w:numPr>
        <w:spacing w:line="276" w:lineRule="auto"/>
        <w:contextualSpacing/>
        <w:jc w:val="both"/>
        <w:rPr>
          <w:rFonts w:ascii="Arial Narrow" w:hAnsi="Arial Narrow"/>
        </w:rPr>
      </w:pPr>
      <w:r w:rsidRPr="00315FA0">
        <w:rPr>
          <w:rFonts w:ascii="Arial Narrow" w:hAnsi="Arial Narrow"/>
        </w:rPr>
        <w:t>Ley 554 de 2000 (aprueba la Convención sobre la prohibición de minas antipersonal)</w:t>
      </w:r>
    </w:p>
    <w:p w:rsidR="00CD1279" w:rsidRPr="00315FA0" w:rsidRDefault="00CD1279" w:rsidP="00CD1279">
      <w:pPr>
        <w:pStyle w:val="Prrafodelista"/>
        <w:numPr>
          <w:ilvl w:val="0"/>
          <w:numId w:val="2"/>
        </w:numPr>
        <w:spacing w:line="276" w:lineRule="auto"/>
        <w:contextualSpacing/>
        <w:jc w:val="both"/>
        <w:rPr>
          <w:rFonts w:ascii="Arial Narrow" w:hAnsi="Arial Narrow"/>
        </w:rPr>
      </w:pPr>
      <w:r w:rsidRPr="00315FA0">
        <w:rPr>
          <w:rFonts w:ascii="Arial Narrow" w:hAnsi="Arial Narrow"/>
        </w:rPr>
        <w:t>Ley 759 de 2002; Ley 1421 de 2010, artículos 8 y 9; Ley 1437 de 2011, artículos 91 y 93 a 97</w:t>
      </w:r>
    </w:p>
    <w:p w:rsidR="00CD1279" w:rsidRPr="00315FA0" w:rsidRDefault="00CD1279" w:rsidP="00CD1279">
      <w:pPr>
        <w:pStyle w:val="Prrafodelista"/>
        <w:numPr>
          <w:ilvl w:val="0"/>
          <w:numId w:val="2"/>
        </w:numPr>
        <w:spacing w:line="276" w:lineRule="auto"/>
        <w:contextualSpacing/>
        <w:jc w:val="both"/>
        <w:rPr>
          <w:rFonts w:ascii="Arial Narrow" w:hAnsi="Arial Narrow"/>
        </w:rPr>
      </w:pPr>
      <w:r w:rsidRPr="00315FA0">
        <w:rPr>
          <w:rFonts w:ascii="Arial Narrow" w:hAnsi="Arial Narrow"/>
        </w:rPr>
        <w:t>Ley 1448 de 2011, artículos 3 y 53, modificada por la Ley 2421 de 2024</w:t>
      </w:r>
    </w:p>
    <w:p w:rsidR="00CD1279" w:rsidRPr="00315FA0" w:rsidRDefault="00CD1279" w:rsidP="00CD1279">
      <w:pPr>
        <w:pStyle w:val="Prrafodelista"/>
        <w:numPr>
          <w:ilvl w:val="0"/>
          <w:numId w:val="2"/>
        </w:numPr>
        <w:spacing w:line="276" w:lineRule="auto"/>
        <w:contextualSpacing/>
        <w:jc w:val="both"/>
        <w:rPr>
          <w:rFonts w:ascii="Arial Narrow" w:hAnsi="Arial Narrow"/>
        </w:rPr>
      </w:pPr>
      <w:r w:rsidRPr="00315FA0">
        <w:rPr>
          <w:rFonts w:ascii="Arial Narrow" w:hAnsi="Arial Narrow"/>
        </w:rPr>
        <w:t>Ley 1581 de 2012; Ley 1712 de 2014</w:t>
      </w:r>
    </w:p>
    <w:p w:rsidR="00CD1279" w:rsidRPr="00315FA0" w:rsidRDefault="00CD1279" w:rsidP="00CD1279">
      <w:pPr>
        <w:pStyle w:val="Prrafodelista"/>
        <w:numPr>
          <w:ilvl w:val="0"/>
          <w:numId w:val="2"/>
        </w:numPr>
        <w:spacing w:line="276" w:lineRule="auto"/>
        <w:contextualSpacing/>
        <w:jc w:val="both"/>
        <w:rPr>
          <w:rFonts w:ascii="Arial Narrow" w:hAnsi="Arial Narrow"/>
        </w:rPr>
      </w:pPr>
      <w:r w:rsidRPr="00315FA0">
        <w:rPr>
          <w:rFonts w:ascii="Arial Narrow" w:hAnsi="Arial Narrow"/>
        </w:rPr>
        <w:t xml:space="preserve">Ley 2272 de 2022, artículo 19; Ley 153 de 1887, artículo 14. </w:t>
      </w:r>
    </w:p>
    <w:p w:rsidR="0019237F" w:rsidRPr="00315FA0" w:rsidRDefault="0019237F" w:rsidP="0019237F">
      <w:pPr>
        <w:pStyle w:val="Prrafodelista"/>
        <w:spacing w:line="276" w:lineRule="auto"/>
        <w:ind w:left="720"/>
        <w:contextualSpacing/>
        <w:jc w:val="both"/>
        <w:rPr>
          <w:rFonts w:ascii="Arial Narrow" w:hAnsi="Arial Narrow"/>
        </w:rPr>
      </w:pPr>
    </w:p>
    <w:p w:rsidR="00CD1279" w:rsidRPr="00315FA0" w:rsidRDefault="00CD1279" w:rsidP="00CD1279">
      <w:pPr>
        <w:spacing w:line="276" w:lineRule="auto"/>
        <w:jc w:val="both"/>
        <w:rPr>
          <w:rFonts w:ascii="Arial Narrow" w:hAnsi="Arial Narrow"/>
        </w:rPr>
      </w:pPr>
      <w:r w:rsidRPr="00315FA0">
        <w:rPr>
          <w:rFonts w:ascii="Arial Narrow" w:hAnsi="Arial Narrow"/>
          <w:b/>
          <w:bCs/>
        </w:rPr>
        <w:t>Reglamentación:</w:t>
      </w:r>
      <w:r w:rsidRPr="00315FA0">
        <w:rPr>
          <w:rFonts w:ascii="Arial Narrow" w:hAnsi="Arial Narrow"/>
        </w:rPr>
        <w:t xml:space="preserve"> </w:t>
      </w:r>
    </w:p>
    <w:p w:rsidR="00CD1279" w:rsidRPr="00315FA0" w:rsidRDefault="00CD1279" w:rsidP="00CD1279">
      <w:pPr>
        <w:spacing w:line="276" w:lineRule="auto"/>
        <w:jc w:val="both"/>
        <w:rPr>
          <w:rFonts w:ascii="Arial Narrow" w:hAnsi="Arial Narrow"/>
        </w:rPr>
      </w:pPr>
    </w:p>
    <w:p w:rsidR="00CD1279" w:rsidRPr="00315FA0" w:rsidRDefault="00CD1279" w:rsidP="00CD1279">
      <w:pPr>
        <w:pStyle w:val="Prrafodelista"/>
        <w:numPr>
          <w:ilvl w:val="0"/>
          <w:numId w:val="2"/>
        </w:numPr>
        <w:spacing w:line="276" w:lineRule="auto"/>
        <w:contextualSpacing/>
        <w:jc w:val="both"/>
        <w:rPr>
          <w:rFonts w:ascii="Arial Narrow" w:hAnsi="Arial Narrow"/>
        </w:rPr>
      </w:pPr>
      <w:r w:rsidRPr="00315FA0">
        <w:rPr>
          <w:rFonts w:ascii="Arial Narrow" w:hAnsi="Arial Narrow"/>
        </w:rPr>
        <w:t>Decretos 3750 de 2011 y 1561 de 2013</w:t>
      </w:r>
    </w:p>
    <w:p w:rsidR="00CD1279" w:rsidRPr="00315FA0" w:rsidRDefault="00CD1279" w:rsidP="00CD1279">
      <w:pPr>
        <w:pStyle w:val="Prrafodelista"/>
        <w:numPr>
          <w:ilvl w:val="0"/>
          <w:numId w:val="2"/>
        </w:numPr>
        <w:spacing w:line="276" w:lineRule="auto"/>
        <w:contextualSpacing/>
        <w:jc w:val="both"/>
        <w:rPr>
          <w:rFonts w:ascii="Arial Narrow" w:hAnsi="Arial Narrow"/>
        </w:rPr>
      </w:pPr>
      <w:r w:rsidRPr="00315FA0">
        <w:rPr>
          <w:rFonts w:ascii="Arial Narrow" w:hAnsi="Arial Narrow"/>
        </w:rPr>
        <w:t>Estándares Nacionales EN-AICMA 6481, 6482 y 6483, y estándar de desminado humanitario en zonas con factores de inestabilidad en materia de seguridad (IIDH, 6 de mayo de 2024).</w:t>
      </w:r>
    </w:p>
    <w:p w:rsidR="00CD1279" w:rsidRPr="00315FA0" w:rsidRDefault="00CD1279" w:rsidP="00CD1279">
      <w:pPr>
        <w:spacing w:line="276" w:lineRule="auto"/>
        <w:jc w:val="both"/>
        <w:rPr>
          <w:rFonts w:ascii="Arial Narrow" w:hAnsi="Arial Narrow"/>
        </w:rPr>
      </w:pPr>
    </w:p>
    <w:p w:rsidR="00CD1279" w:rsidRPr="00315FA0" w:rsidRDefault="00CD1279" w:rsidP="00CD1279">
      <w:pPr>
        <w:spacing w:line="276" w:lineRule="auto"/>
        <w:jc w:val="both"/>
        <w:rPr>
          <w:rFonts w:ascii="Arial Narrow" w:hAnsi="Arial Narrow"/>
        </w:rPr>
      </w:pPr>
      <w:r w:rsidRPr="00315FA0">
        <w:rPr>
          <w:rFonts w:ascii="Arial Narrow" w:hAnsi="Arial Narrow"/>
          <w:b/>
          <w:bCs/>
        </w:rPr>
        <w:t>Jurisprudencia:</w:t>
      </w:r>
      <w:r w:rsidRPr="00315FA0">
        <w:rPr>
          <w:rFonts w:ascii="Arial Narrow" w:hAnsi="Arial Narrow"/>
        </w:rPr>
        <w:t xml:space="preserve"> </w:t>
      </w:r>
    </w:p>
    <w:p w:rsidR="00CD1279" w:rsidRPr="00315FA0" w:rsidRDefault="00CD1279" w:rsidP="00CD1279">
      <w:pPr>
        <w:spacing w:line="276" w:lineRule="auto"/>
        <w:jc w:val="both"/>
        <w:rPr>
          <w:rFonts w:ascii="Arial Narrow" w:hAnsi="Arial Narrow"/>
        </w:rPr>
      </w:pPr>
    </w:p>
    <w:p w:rsidR="00CD1279" w:rsidRPr="00315FA0" w:rsidRDefault="00CD1279" w:rsidP="00CD1279">
      <w:pPr>
        <w:pStyle w:val="Prrafodelista"/>
        <w:numPr>
          <w:ilvl w:val="0"/>
          <w:numId w:val="2"/>
        </w:numPr>
        <w:spacing w:line="276" w:lineRule="auto"/>
        <w:contextualSpacing/>
        <w:jc w:val="both"/>
        <w:rPr>
          <w:rFonts w:ascii="Arial Narrow" w:hAnsi="Arial Narrow"/>
        </w:rPr>
      </w:pPr>
      <w:r w:rsidRPr="00315FA0">
        <w:rPr>
          <w:rFonts w:ascii="Arial Narrow" w:hAnsi="Arial Narrow"/>
        </w:rPr>
        <w:t>Sentencia C-991 de 2000 (</w:t>
      </w:r>
      <w:proofErr w:type="spellStart"/>
      <w:r w:rsidRPr="00315FA0">
        <w:rPr>
          <w:rFonts w:ascii="Arial Narrow" w:hAnsi="Arial Narrow"/>
        </w:rPr>
        <w:t>exequibilidad</w:t>
      </w:r>
      <w:proofErr w:type="spellEnd"/>
      <w:r w:rsidRPr="00315FA0">
        <w:rPr>
          <w:rFonts w:ascii="Arial Narrow" w:hAnsi="Arial Narrow"/>
        </w:rPr>
        <w:t xml:space="preserve"> de la Convención)</w:t>
      </w:r>
    </w:p>
    <w:p w:rsidR="00CD1279" w:rsidRPr="00315FA0" w:rsidRDefault="00CD1279" w:rsidP="00CD1279">
      <w:pPr>
        <w:pStyle w:val="Prrafodelista"/>
        <w:numPr>
          <w:ilvl w:val="0"/>
          <w:numId w:val="2"/>
        </w:numPr>
        <w:spacing w:line="276" w:lineRule="auto"/>
        <w:contextualSpacing/>
        <w:jc w:val="both"/>
        <w:rPr>
          <w:rFonts w:ascii="Arial Narrow" w:hAnsi="Arial Narrow"/>
        </w:rPr>
      </w:pPr>
      <w:r w:rsidRPr="00315FA0">
        <w:rPr>
          <w:rFonts w:ascii="Arial Narrow" w:hAnsi="Arial Narrow"/>
        </w:rPr>
        <w:t>Sentencias C-024 de 1994 y C-600 de 2019 (orden público como medio para el ejercicio de derechos)</w:t>
      </w:r>
    </w:p>
    <w:p w:rsidR="00CD1279" w:rsidRPr="00315FA0" w:rsidRDefault="00CD1279" w:rsidP="00CD1279">
      <w:pPr>
        <w:pStyle w:val="Prrafodelista"/>
        <w:numPr>
          <w:ilvl w:val="0"/>
          <w:numId w:val="2"/>
        </w:numPr>
        <w:spacing w:line="276" w:lineRule="auto"/>
        <w:contextualSpacing/>
        <w:jc w:val="both"/>
        <w:rPr>
          <w:rFonts w:ascii="Arial Narrow" w:hAnsi="Arial Narrow"/>
        </w:rPr>
      </w:pPr>
      <w:r w:rsidRPr="00315FA0">
        <w:rPr>
          <w:rFonts w:ascii="Arial Narrow" w:hAnsi="Arial Narrow"/>
        </w:rPr>
        <w:t>Sentencia C-274 de 2013 (máxima publicidad)</w:t>
      </w:r>
    </w:p>
    <w:p w:rsidR="00CD1279" w:rsidRPr="00315FA0" w:rsidRDefault="00CD1279" w:rsidP="00CD1279">
      <w:pPr>
        <w:pStyle w:val="Prrafodelista"/>
        <w:numPr>
          <w:ilvl w:val="0"/>
          <w:numId w:val="2"/>
        </w:numPr>
        <w:spacing w:line="276" w:lineRule="auto"/>
        <w:contextualSpacing/>
        <w:jc w:val="both"/>
        <w:rPr>
          <w:rFonts w:ascii="Arial Narrow" w:hAnsi="Arial Narrow"/>
        </w:rPr>
      </w:pPr>
      <w:r w:rsidRPr="00315FA0">
        <w:rPr>
          <w:rFonts w:ascii="Arial Narrow" w:hAnsi="Arial Narrow"/>
        </w:rPr>
        <w:t>Sentencias C-315 de 2008 y C-490 de 2011 (análisis de impacto fiscal).</w:t>
      </w:r>
    </w:p>
    <w:p w:rsidR="00CD1279" w:rsidRPr="00315FA0" w:rsidRDefault="00CD1279" w:rsidP="00CD1279">
      <w:pPr>
        <w:keepNext/>
        <w:spacing w:line="276" w:lineRule="auto"/>
        <w:jc w:val="center"/>
        <w:rPr>
          <w:rFonts w:ascii="Arial Narrow" w:hAnsi="Arial Narrow"/>
        </w:rPr>
      </w:pPr>
      <w:r w:rsidRPr="00315FA0">
        <w:rPr>
          <w:rFonts w:ascii="Arial Narrow" w:hAnsi="Arial Narrow"/>
          <w:b/>
          <w:bCs/>
        </w:rPr>
        <w:lastRenderedPageBreak/>
        <w:t>VII. CONSIDERACIONES DE LOS PONENTES</w:t>
      </w:r>
    </w:p>
    <w:p w:rsidR="00CD1279" w:rsidRPr="00315FA0" w:rsidRDefault="00CD1279" w:rsidP="00CD1279">
      <w:pPr>
        <w:keepNext/>
        <w:spacing w:line="276" w:lineRule="auto"/>
        <w:jc w:val="both"/>
        <w:rPr>
          <w:rFonts w:ascii="Arial Narrow" w:hAnsi="Arial Narrow"/>
        </w:rPr>
      </w:pPr>
    </w:p>
    <w:p w:rsidR="00CD1279" w:rsidRPr="00315FA0" w:rsidRDefault="00CD1279" w:rsidP="00CD1279">
      <w:pPr>
        <w:keepNext/>
        <w:spacing w:line="276" w:lineRule="auto"/>
        <w:rPr>
          <w:rFonts w:ascii="Arial Narrow" w:hAnsi="Arial Narrow"/>
        </w:rPr>
      </w:pPr>
      <w:r w:rsidRPr="00315FA0">
        <w:rPr>
          <w:rFonts w:ascii="Arial Narrow" w:hAnsi="Arial Narrow"/>
          <w:b/>
          <w:bCs/>
        </w:rPr>
        <w:t>Conversión en ley autónoma</w:t>
      </w:r>
    </w:p>
    <w:p w:rsidR="00CD1279" w:rsidRPr="00315FA0" w:rsidRDefault="00CD1279" w:rsidP="00CD1279">
      <w:pPr>
        <w:keepNext/>
        <w:spacing w:line="276" w:lineRule="auto"/>
        <w:jc w:val="both"/>
        <w:rPr>
          <w:rFonts w:ascii="Arial Narrow" w:hAnsi="Arial Narrow"/>
        </w:rPr>
      </w:pPr>
    </w:p>
    <w:p w:rsidR="00CD1279" w:rsidRPr="00315FA0" w:rsidRDefault="00CD1279" w:rsidP="00CD1279">
      <w:pPr>
        <w:spacing w:line="276" w:lineRule="auto"/>
        <w:jc w:val="both"/>
        <w:rPr>
          <w:rFonts w:ascii="Arial Narrow" w:hAnsi="Arial Narrow"/>
        </w:rPr>
      </w:pPr>
      <w:r w:rsidRPr="00315FA0">
        <w:rPr>
          <w:rFonts w:ascii="Arial Narrow" w:hAnsi="Arial Narrow"/>
        </w:rPr>
        <w:t>El artículo 14 de la Ley 153 de 1887 dispone: “Una ley derogada no revivirá por solas las referencias que a ella se hagan, ni por haber sido abolida la ley que la derogó. Una disposición derogada sólo recobrará su fuerza en la forma en que aparezca reproducida en una ley nueva.” Por esa razón, y dado que la ley no alcanzará a promulgarse antes del 4 de noviembre de 2026, el pliego sustituye la adición de un inciso al artículo 9 por un régimen autónomo que reproduce su contenido y lo declara permanente (artículos 2 y 3 propuestos).</w:t>
      </w:r>
    </w:p>
    <w:p w:rsidR="00CD1279" w:rsidRPr="00315FA0" w:rsidRDefault="00CD1279" w:rsidP="00CD1279">
      <w:pPr>
        <w:spacing w:line="276" w:lineRule="auto"/>
        <w:jc w:val="both"/>
        <w:rPr>
          <w:rFonts w:ascii="Arial Narrow" w:hAnsi="Arial Narrow"/>
        </w:rPr>
      </w:pPr>
    </w:p>
    <w:p w:rsidR="00CD1279" w:rsidRPr="00315FA0" w:rsidRDefault="00CD1279" w:rsidP="00CD1279">
      <w:pPr>
        <w:keepNext/>
        <w:spacing w:line="276" w:lineRule="auto"/>
        <w:rPr>
          <w:rFonts w:ascii="Arial Narrow" w:hAnsi="Arial Narrow"/>
        </w:rPr>
      </w:pPr>
      <w:r w:rsidRPr="00315FA0">
        <w:rPr>
          <w:rFonts w:ascii="Arial Narrow" w:hAnsi="Arial Narrow"/>
          <w:b/>
          <w:bCs/>
        </w:rPr>
        <w:t>Unidad de materia y título</w:t>
      </w:r>
    </w:p>
    <w:p w:rsidR="00CD1279" w:rsidRPr="00315FA0" w:rsidRDefault="00CD1279" w:rsidP="00CD1279">
      <w:pPr>
        <w:keepNext/>
        <w:spacing w:line="276" w:lineRule="auto"/>
        <w:jc w:val="both"/>
        <w:rPr>
          <w:rFonts w:ascii="Arial Narrow" w:hAnsi="Arial Narrow"/>
        </w:rPr>
      </w:pPr>
    </w:p>
    <w:p w:rsidR="00CD1279" w:rsidRPr="00315FA0" w:rsidRDefault="00CD1279" w:rsidP="00CD1279">
      <w:pPr>
        <w:spacing w:line="276" w:lineRule="auto"/>
        <w:jc w:val="both"/>
        <w:rPr>
          <w:rFonts w:ascii="Arial Narrow" w:hAnsi="Arial Narrow"/>
        </w:rPr>
      </w:pPr>
      <w:r w:rsidRPr="00315FA0">
        <w:rPr>
          <w:rFonts w:ascii="Arial Narrow" w:hAnsi="Arial Narrow"/>
        </w:rPr>
        <w:t>El artículo 158 de la Constitución dispone: “Todo proyecto de ley debe referirse a una misma materia y serán inadmisibles las disposiciones o modificaciones que no se relacionen con ella.” La materia del proyecto no cambia: desminado humanitario por organizaciones civiles y atención a las víctimas. El artículo 169 dispone: “El título de las leyes deberá corresponder precisamente a su contenido”. Por ello se ajusta el título.</w:t>
      </w:r>
    </w:p>
    <w:p w:rsidR="00CD1279" w:rsidRPr="00315FA0" w:rsidRDefault="00CD1279" w:rsidP="00CD1279">
      <w:pPr>
        <w:spacing w:line="276" w:lineRule="auto"/>
        <w:jc w:val="both"/>
        <w:rPr>
          <w:rFonts w:ascii="Arial Narrow" w:hAnsi="Arial Narrow"/>
        </w:rPr>
      </w:pPr>
    </w:p>
    <w:p w:rsidR="00CD1279" w:rsidRPr="00315FA0" w:rsidRDefault="00CD1279" w:rsidP="00CD1279">
      <w:pPr>
        <w:keepNext/>
        <w:spacing w:line="276" w:lineRule="auto"/>
        <w:rPr>
          <w:rFonts w:ascii="Arial Narrow" w:hAnsi="Arial Narrow"/>
        </w:rPr>
      </w:pPr>
      <w:r w:rsidRPr="00315FA0">
        <w:rPr>
          <w:rFonts w:ascii="Arial Narrow" w:hAnsi="Arial Narrow"/>
          <w:b/>
          <w:bCs/>
        </w:rPr>
        <w:t>Transición, transparencia y derogatoria</w:t>
      </w:r>
    </w:p>
    <w:p w:rsidR="00CD1279" w:rsidRPr="00315FA0" w:rsidRDefault="00CD1279" w:rsidP="00CD1279">
      <w:pPr>
        <w:keepNext/>
        <w:spacing w:line="276" w:lineRule="auto"/>
        <w:jc w:val="both"/>
        <w:rPr>
          <w:rFonts w:ascii="Arial Narrow" w:hAnsi="Arial Narrow"/>
        </w:rPr>
      </w:pPr>
    </w:p>
    <w:p w:rsidR="00CD1279" w:rsidRPr="00315FA0" w:rsidRDefault="00CD1279" w:rsidP="00CD1279">
      <w:pPr>
        <w:pStyle w:val="Prrafodelista"/>
        <w:numPr>
          <w:ilvl w:val="0"/>
          <w:numId w:val="5"/>
        </w:numPr>
        <w:spacing w:line="276" w:lineRule="auto"/>
        <w:contextualSpacing/>
        <w:jc w:val="both"/>
        <w:rPr>
          <w:rFonts w:ascii="Arial Narrow" w:hAnsi="Arial Narrow"/>
        </w:rPr>
      </w:pPr>
      <w:r w:rsidRPr="00315FA0">
        <w:rPr>
          <w:rFonts w:ascii="Arial Narrow" w:hAnsi="Arial Narrow"/>
        </w:rPr>
        <w:t>El artículo 5 conserva los Decretos 3750 de 2011 y 1561 de 2013, los estándares nacionales, la Instancia Interinstitucional y las certificaciones, avales y asignaciones vigentes, y no exige repetir la acreditación inicial.</w:t>
      </w:r>
    </w:p>
    <w:p w:rsidR="00CD1279" w:rsidRPr="00315FA0" w:rsidRDefault="00CD1279" w:rsidP="00CD1279">
      <w:pPr>
        <w:pStyle w:val="Prrafodelista"/>
        <w:numPr>
          <w:ilvl w:val="0"/>
          <w:numId w:val="5"/>
        </w:numPr>
        <w:spacing w:line="276" w:lineRule="auto"/>
        <w:contextualSpacing/>
        <w:jc w:val="both"/>
        <w:rPr>
          <w:rFonts w:ascii="Arial Narrow" w:hAnsi="Arial Narrow"/>
        </w:rPr>
      </w:pPr>
      <w:r w:rsidRPr="00315FA0">
        <w:rPr>
          <w:rFonts w:ascii="Arial Narrow" w:hAnsi="Arial Narrow"/>
        </w:rPr>
        <w:t>Los artículos 10 y 11 exigen información por organización de desminado, personal operativo agregado y fuentes de financiación, con salvaguardas para la información sensible.</w:t>
      </w:r>
    </w:p>
    <w:p w:rsidR="00CD1279" w:rsidRPr="00315FA0" w:rsidRDefault="00CD1279" w:rsidP="00CD1279">
      <w:pPr>
        <w:pStyle w:val="Prrafodelista"/>
        <w:numPr>
          <w:ilvl w:val="0"/>
          <w:numId w:val="5"/>
        </w:numPr>
        <w:spacing w:line="276" w:lineRule="auto"/>
        <w:contextualSpacing/>
        <w:jc w:val="both"/>
        <w:rPr>
          <w:rFonts w:ascii="Arial Narrow" w:hAnsi="Arial Narrow"/>
        </w:rPr>
      </w:pPr>
      <w:r w:rsidRPr="00315FA0">
        <w:rPr>
          <w:rFonts w:ascii="Arial Narrow" w:hAnsi="Arial Narrow"/>
        </w:rPr>
        <w:t>El artículo 12 deroga el artículo 9 de la Ley 1421 de 2010, incorpora su habilitación a la nueva ley y dispone que las remisiones a esa norma se entiendan hechas al artículo 2.</w:t>
      </w:r>
    </w:p>
    <w:p w:rsidR="00CD1279" w:rsidRPr="00315FA0" w:rsidRDefault="00CD1279" w:rsidP="00CD1279">
      <w:pPr>
        <w:spacing w:line="276" w:lineRule="auto"/>
        <w:jc w:val="both"/>
        <w:rPr>
          <w:rFonts w:ascii="Arial Narrow" w:hAnsi="Arial Narrow"/>
        </w:rPr>
      </w:pPr>
    </w:p>
    <w:p w:rsidR="00CD1279" w:rsidRPr="00315FA0" w:rsidRDefault="00CD1279" w:rsidP="00CD1279">
      <w:pPr>
        <w:keepNext/>
        <w:spacing w:line="276" w:lineRule="auto"/>
        <w:rPr>
          <w:rFonts w:ascii="Arial Narrow" w:hAnsi="Arial Narrow"/>
        </w:rPr>
      </w:pPr>
      <w:r w:rsidRPr="00315FA0">
        <w:rPr>
          <w:rFonts w:ascii="Arial Narrow" w:hAnsi="Arial Narrow"/>
          <w:b/>
          <w:bCs/>
        </w:rPr>
        <w:t>Mesa técnica con las organizaciones civiles de desminado humanitario</w:t>
      </w:r>
    </w:p>
    <w:p w:rsidR="00CD1279" w:rsidRPr="00315FA0" w:rsidRDefault="00CD1279" w:rsidP="00CD1279">
      <w:pPr>
        <w:spacing w:line="276" w:lineRule="auto"/>
        <w:jc w:val="both"/>
        <w:rPr>
          <w:rFonts w:ascii="Arial Narrow" w:hAnsi="Arial Narrow"/>
        </w:rPr>
      </w:pPr>
    </w:p>
    <w:p w:rsidR="00CD1279" w:rsidRPr="00315FA0" w:rsidRDefault="00CD1279" w:rsidP="00CD1279">
      <w:pPr>
        <w:spacing w:line="276" w:lineRule="auto"/>
        <w:jc w:val="both"/>
        <w:rPr>
          <w:rFonts w:ascii="Arial Narrow" w:hAnsi="Arial Narrow"/>
        </w:rPr>
      </w:pPr>
      <w:r w:rsidRPr="00315FA0">
        <w:rPr>
          <w:rFonts w:ascii="Arial Narrow" w:hAnsi="Arial Narrow"/>
        </w:rPr>
        <w:t xml:space="preserve">El 13 de octubre de 2026 los ponentes convocaron una mesa técnica virtual con las organizaciones civiles que realizan desminado humanitario en Colombia. Participaron la Campaña Colombiana Contra Minas (CCCM) y </w:t>
      </w:r>
      <w:proofErr w:type="spellStart"/>
      <w:r w:rsidRPr="00315FA0">
        <w:rPr>
          <w:rFonts w:ascii="Arial Narrow" w:hAnsi="Arial Narrow"/>
        </w:rPr>
        <w:t>The</w:t>
      </w:r>
      <w:proofErr w:type="spellEnd"/>
      <w:r w:rsidRPr="00315FA0">
        <w:rPr>
          <w:rFonts w:ascii="Arial Narrow" w:hAnsi="Arial Narrow"/>
        </w:rPr>
        <w:t xml:space="preserve"> HALO Trust Colombia. UNMAS Colombia fue informada del proceso. La CCCM remitió después un análisis artículo por artículo con sus soportes normativos.</w:t>
      </w:r>
    </w:p>
    <w:p w:rsidR="00CD1279" w:rsidRPr="00315FA0" w:rsidRDefault="00CD1279" w:rsidP="00CD1279">
      <w:pPr>
        <w:spacing w:line="276" w:lineRule="auto"/>
        <w:jc w:val="both"/>
        <w:rPr>
          <w:rFonts w:ascii="Arial Narrow" w:hAnsi="Arial Narrow"/>
        </w:rPr>
      </w:pPr>
    </w:p>
    <w:p w:rsidR="00CD1279" w:rsidRPr="00315FA0" w:rsidRDefault="00CD1279" w:rsidP="00CD1279">
      <w:pPr>
        <w:spacing w:line="276" w:lineRule="auto"/>
        <w:jc w:val="both"/>
        <w:rPr>
          <w:rFonts w:ascii="Arial Narrow" w:hAnsi="Arial Narrow"/>
        </w:rPr>
      </w:pPr>
      <w:r w:rsidRPr="00315FA0">
        <w:rPr>
          <w:rFonts w:ascii="Arial Narrow" w:hAnsi="Arial Narrow"/>
        </w:rPr>
        <w:t>Las organizaciones reconocen el valor del proyecto y coinciden en que el desminado humanitario civil debe contar con un marco estable hasta cumplir la obligación del artículo 5 de la Convención de Ottawa, sin depender de prórrogas periódicas ni obligar a reconstruir lo que ya existe. El pliego acoge sus observaciones:</w:t>
      </w:r>
    </w:p>
    <w:p w:rsidR="00CD1279" w:rsidRPr="00315FA0" w:rsidRDefault="00CD1279" w:rsidP="00CD1279">
      <w:pPr>
        <w:spacing w:line="276" w:lineRule="auto"/>
        <w:jc w:val="both"/>
        <w:rPr>
          <w:rFonts w:ascii="Arial Narrow" w:hAnsi="Arial Narrow"/>
        </w:rPr>
      </w:pPr>
    </w:p>
    <w:p w:rsidR="00CD1279" w:rsidRPr="00315FA0" w:rsidRDefault="00CD1279" w:rsidP="00CD1279">
      <w:pPr>
        <w:pStyle w:val="Prrafodelista"/>
        <w:numPr>
          <w:ilvl w:val="0"/>
          <w:numId w:val="4"/>
        </w:numPr>
        <w:spacing w:line="276" w:lineRule="auto"/>
        <w:contextualSpacing/>
        <w:jc w:val="both"/>
        <w:rPr>
          <w:rFonts w:ascii="Arial Narrow" w:hAnsi="Arial Narrow"/>
        </w:rPr>
      </w:pPr>
      <w:r w:rsidRPr="00315FA0">
        <w:rPr>
          <w:rFonts w:ascii="Arial Narrow" w:hAnsi="Arial Narrow"/>
        </w:rPr>
        <w:t xml:space="preserve">Continuidad normativa. El Decreto 3750 de 2011 reglamenta el artículo 9 de la Ley 1421 de 2010. Si ese fundamento desaparece, el decreto y los estándares podrían perder fuerza ejecutoria (artículo 91, numeral 2, Ley 1437 de 2011). El artículo 5 </w:t>
      </w:r>
      <w:proofErr w:type="gramStart"/>
      <w:r w:rsidRPr="00315FA0">
        <w:rPr>
          <w:rFonts w:ascii="Arial Narrow" w:hAnsi="Arial Narrow"/>
        </w:rPr>
        <w:t>los conserva</w:t>
      </w:r>
      <w:proofErr w:type="gramEnd"/>
      <w:r w:rsidRPr="00315FA0">
        <w:rPr>
          <w:rFonts w:ascii="Arial Narrow" w:hAnsi="Arial Narrow"/>
        </w:rPr>
        <w:t xml:space="preserve"> de forma expresa.</w:t>
      </w:r>
    </w:p>
    <w:p w:rsidR="00CD1279" w:rsidRPr="00315FA0" w:rsidRDefault="00CD1279" w:rsidP="00CD1279">
      <w:pPr>
        <w:pStyle w:val="Prrafodelista"/>
        <w:numPr>
          <w:ilvl w:val="0"/>
          <w:numId w:val="4"/>
        </w:numPr>
        <w:spacing w:line="276" w:lineRule="auto"/>
        <w:contextualSpacing/>
        <w:jc w:val="both"/>
        <w:rPr>
          <w:rFonts w:ascii="Arial Narrow" w:hAnsi="Arial Narrow"/>
        </w:rPr>
      </w:pPr>
      <w:r w:rsidRPr="00315FA0">
        <w:rPr>
          <w:rFonts w:ascii="Arial Narrow" w:hAnsi="Arial Narrow"/>
        </w:rPr>
        <w:lastRenderedPageBreak/>
        <w:t>Acreditación. La certificación tiene vigencia de doce meses y se renueva conforme al estándar (artículo 4, parágrafo 1, Decreto 3750 de 2011; numerales 6.2 y 6.4 del EN-AICMA 6482). La ley no exige repetir la acreditación inicial.</w:t>
      </w:r>
    </w:p>
    <w:p w:rsidR="00CD1279" w:rsidRPr="00315FA0" w:rsidRDefault="00CD1279" w:rsidP="00CD1279">
      <w:pPr>
        <w:pStyle w:val="Prrafodelista"/>
        <w:numPr>
          <w:ilvl w:val="0"/>
          <w:numId w:val="4"/>
        </w:numPr>
        <w:spacing w:line="276" w:lineRule="auto"/>
        <w:contextualSpacing/>
        <w:jc w:val="both"/>
        <w:rPr>
          <w:rFonts w:ascii="Arial Narrow" w:hAnsi="Arial Narrow"/>
        </w:rPr>
      </w:pPr>
      <w:r w:rsidRPr="00315FA0">
        <w:rPr>
          <w:rFonts w:ascii="Arial Narrow" w:hAnsi="Arial Narrow"/>
        </w:rPr>
        <w:t>Priorización y asignación. El Decreto 3750 de 2011 atribuye a la Instancia Interinstitucional la determinación de zonas y la asignación de actividades (artículo 6, numerales 3 y 4) y fija criterios de viabilidad (artículo 12). El artículo 7 remite a los estándares nacionales, incluido el de zonas con factores de inestabilidad en materia de seguridad.</w:t>
      </w:r>
    </w:p>
    <w:p w:rsidR="00CD1279" w:rsidRPr="00315FA0" w:rsidRDefault="00CD1279" w:rsidP="00CD1279">
      <w:pPr>
        <w:pStyle w:val="Prrafodelista"/>
        <w:numPr>
          <w:ilvl w:val="0"/>
          <w:numId w:val="4"/>
        </w:numPr>
        <w:spacing w:line="276" w:lineRule="auto"/>
        <w:contextualSpacing/>
        <w:jc w:val="both"/>
        <w:rPr>
          <w:rFonts w:ascii="Arial Narrow" w:hAnsi="Arial Narrow"/>
        </w:rPr>
      </w:pPr>
      <w:r w:rsidRPr="00315FA0">
        <w:rPr>
          <w:rFonts w:ascii="Arial Narrow" w:hAnsi="Arial Narrow"/>
        </w:rPr>
        <w:t>Víctimas. El artículo 53 de la Ley 1448 de 2011 ya ordena la atención de emergencia inmediata “sin exigir condición previa para su admisión”, y el parágrafo 1 de su artículo 3 garantiza a la víctima de la Fuerza Pública el acceso a los demás derechos “en igualdad de condiciones”. El artículo 8 se armoniza con esa ley y conserva la garantía para la Fuerza Pública como parágrafo.</w:t>
      </w:r>
    </w:p>
    <w:p w:rsidR="00CD1279" w:rsidRPr="00315FA0" w:rsidRDefault="00CD1279" w:rsidP="00CD1279">
      <w:pPr>
        <w:pStyle w:val="Prrafodelista"/>
        <w:numPr>
          <w:ilvl w:val="0"/>
          <w:numId w:val="4"/>
        </w:numPr>
        <w:spacing w:line="276" w:lineRule="auto"/>
        <w:contextualSpacing/>
        <w:jc w:val="both"/>
        <w:rPr>
          <w:rFonts w:ascii="Arial Narrow" w:hAnsi="Arial Narrow"/>
        </w:rPr>
      </w:pPr>
      <w:r w:rsidRPr="00315FA0">
        <w:rPr>
          <w:rFonts w:ascii="Arial Narrow" w:hAnsi="Arial Narrow"/>
        </w:rPr>
        <w:t>Educación en el riesgo. El EN-AICMA 6481 la prevé también “cuando el desminado no es posible o no se ha iniciado” (numeral 6.1). El artículo 9 la desliga de la priorización de operaciones.</w:t>
      </w:r>
    </w:p>
    <w:p w:rsidR="00CD1279" w:rsidRPr="00315FA0" w:rsidRDefault="00CD1279" w:rsidP="00CD1279">
      <w:pPr>
        <w:pStyle w:val="Prrafodelista"/>
        <w:numPr>
          <w:ilvl w:val="0"/>
          <w:numId w:val="4"/>
        </w:numPr>
        <w:spacing w:line="276" w:lineRule="auto"/>
        <w:contextualSpacing/>
        <w:jc w:val="both"/>
        <w:rPr>
          <w:rFonts w:ascii="Arial Narrow" w:hAnsi="Arial Narrow"/>
        </w:rPr>
      </w:pPr>
      <w:r w:rsidRPr="00315FA0">
        <w:rPr>
          <w:rFonts w:ascii="Arial Narrow" w:hAnsi="Arial Narrow"/>
        </w:rPr>
        <w:t>Información. Se precisan la entidad que publica, el corte de los datos y la protección de la información sensible para víctimas, comunidades y personal.</w:t>
      </w:r>
    </w:p>
    <w:p w:rsidR="00CD1279" w:rsidRPr="00315FA0" w:rsidRDefault="00CD1279" w:rsidP="00CD1279">
      <w:pPr>
        <w:spacing w:line="276" w:lineRule="auto"/>
        <w:jc w:val="both"/>
        <w:rPr>
          <w:rFonts w:ascii="Arial Narrow" w:hAnsi="Arial Narrow"/>
        </w:rPr>
      </w:pPr>
    </w:p>
    <w:p w:rsidR="00CD1279" w:rsidRPr="00315FA0" w:rsidRDefault="00CD1279" w:rsidP="00CD1279">
      <w:pPr>
        <w:spacing w:line="276" w:lineRule="auto"/>
        <w:jc w:val="both"/>
        <w:rPr>
          <w:rFonts w:ascii="Arial Narrow" w:hAnsi="Arial Narrow"/>
        </w:rPr>
      </w:pPr>
      <w:r w:rsidRPr="00315FA0">
        <w:rPr>
          <w:rFonts w:ascii="Arial Narrow" w:hAnsi="Arial Narrow"/>
        </w:rPr>
        <w:t>Para segundo debate se solicitará concepto a la Unidad para la Atención y Reparación Integral a las Víctimas sobre la articulación del artículo 8 con la ruta de atención del hecho victimizante por minas antipersonal y artefactos explosivos.</w:t>
      </w:r>
    </w:p>
    <w:p w:rsidR="00CD1279" w:rsidRPr="00315FA0" w:rsidRDefault="00CD1279" w:rsidP="00CD1279">
      <w:pPr>
        <w:spacing w:line="276" w:lineRule="auto"/>
        <w:jc w:val="both"/>
        <w:rPr>
          <w:rFonts w:ascii="Arial Narrow" w:hAnsi="Arial Narrow"/>
        </w:rPr>
      </w:pPr>
    </w:p>
    <w:p w:rsidR="00CD1279" w:rsidRPr="00315FA0" w:rsidRDefault="00CD1279" w:rsidP="00CD1279">
      <w:pPr>
        <w:keepNext/>
        <w:spacing w:line="276" w:lineRule="auto"/>
        <w:rPr>
          <w:rFonts w:ascii="Arial Narrow" w:hAnsi="Arial Narrow"/>
        </w:rPr>
      </w:pPr>
      <w:r w:rsidRPr="00315FA0">
        <w:rPr>
          <w:rFonts w:ascii="Arial Narrow" w:hAnsi="Arial Narrow"/>
          <w:b/>
          <w:bCs/>
        </w:rPr>
        <w:t>Coordinación con el Gobierno Nacional</w:t>
      </w:r>
    </w:p>
    <w:p w:rsidR="00CD1279" w:rsidRPr="00315FA0" w:rsidRDefault="00CD1279" w:rsidP="00CD1279">
      <w:pPr>
        <w:keepNext/>
        <w:spacing w:line="276" w:lineRule="auto"/>
        <w:jc w:val="both"/>
        <w:rPr>
          <w:rFonts w:ascii="Arial Narrow" w:hAnsi="Arial Narrow"/>
        </w:rPr>
      </w:pPr>
    </w:p>
    <w:p w:rsidR="00CD1279" w:rsidRPr="00315FA0" w:rsidRDefault="00CD1279" w:rsidP="00CD1279">
      <w:pPr>
        <w:spacing w:line="276" w:lineRule="auto"/>
        <w:jc w:val="both"/>
        <w:rPr>
          <w:rFonts w:ascii="Arial Narrow" w:hAnsi="Arial Narrow"/>
        </w:rPr>
      </w:pPr>
      <w:r w:rsidRPr="00315FA0">
        <w:rPr>
          <w:rFonts w:ascii="Arial Narrow" w:hAnsi="Arial Narrow"/>
        </w:rPr>
        <w:t>Los ponentes solicitan al Gobierno Nacional considerar el mensaje de urgencia previsto en el artículo 163 de la Constitución o la inclusión de este contenido en la prórroga de la Ley 418 de 1997, para evitar el vacío temporal. Ninguna redacción de este proyecto cubre por sí sola el periodo entre el 4 de noviembre de 2026 y su promulgación; por ello la prórroga del artículo 9 en el proyecto que modifica la Ley 418 de 1997 es la medida de transición preferente. Se solicitará al Ministerio de Defensa Nacional su aval a las funciones que los artículos 7 y 10 atribuyen a la Instancia Interinstitucional de Desminado Humanitario y a la secretaría técnica de la Comisión Intersectorial, que no crean entidades ni modifican la estructura de la administración (artículos 150, numeral 7, y 154 de la Constitución). Los conceptos solicitados a los Ministerios del Interior, de Defensa Nacional y de Hacienda y Crédito Público el 25 de septiembre de 2026 se incorporarán al trámite una vez sean recibidos.</w:t>
      </w:r>
    </w:p>
    <w:p w:rsidR="00CD1279" w:rsidRPr="00315FA0" w:rsidRDefault="00CD1279" w:rsidP="00CD1279">
      <w:pPr>
        <w:spacing w:line="276" w:lineRule="auto"/>
        <w:jc w:val="both"/>
        <w:rPr>
          <w:rFonts w:ascii="Arial Narrow" w:hAnsi="Arial Narrow"/>
        </w:rPr>
      </w:pPr>
    </w:p>
    <w:p w:rsidR="00CD1279" w:rsidRPr="00315FA0" w:rsidRDefault="00CD1279" w:rsidP="00CD1279">
      <w:pPr>
        <w:keepNext/>
        <w:spacing w:line="276" w:lineRule="auto"/>
        <w:jc w:val="center"/>
        <w:rPr>
          <w:rFonts w:ascii="Arial Narrow" w:hAnsi="Arial Narrow"/>
        </w:rPr>
      </w:pPr>
      <w:r w:rsidRPr="00315FA0">
        <w:rPr>
          <w:rFonts w:ascii="Arial Narrow" w:hAnsi="Arial Narrow"/>
          <w:b/>
          <w:bCs/>
        </w:rPr>
        <w:t>VIII. PLIEGO DE MODIFICACIONES</w:t>
      </w:r>
    </w:p>
    <w:p w:rsidR="00CD1279" w:rsidRPr="00315FA0" w:rsidRDefault="00CD1279" w:rsidP="00CD1279">
      <w:pPr>
        <w:keepNext/>
        <w:spacing w:line="276" w:lineRule="auto"/>
        <w:jc w:val="both"/>
        <w:rPr>
          <w:rFonts w:ascii="Arial Narrow" w:hAnsi="Arial Narrow"/>
        </w:rPr>
      </w:pPr>
    </w:p>
    <w:tbl>
      <w:tblPr>
        <w:tblW w:w="92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0" w:type="dxa"/>
          <w:right w:w="80" w:type="dxa"/>
        </w:tblCellMar>
        <w:tblLook w:val="04A0" w:firstRow="1" w:lastRow="0" w:firstColumn="1" w:lastColumn="0" w:noHBand="0" w:noVBand="1"/>
      </w:tblPr>
      <w:tblGrid>
        <w:gridCol w:w="3500"/>
        <w:gridCol w:w="3500"/>
        <w:gridCol w:w="2200"/>
      </w:tblGrid>
      <w:tr w:rsidR="00CD1279" w:rsidRPr="00315FA0" w:rsidTr="006D48E2">
        <w:trPr>
          <w:cantSplit/>
          <w:tblHeader/>
          <w:jc w:val="center"/>
        </w:trPr>
        <w:tc>
          <w:tcPr>
            <w:tcW w:w="3500" w:type="dxa"/>
          </w:tcPr>
          <w:p w:rsidR="00CD1279" w:rsidRPr="00315FA0" w:rsidRDefault="00CD1279" w:rsidP="006D48E2">
            <w:pPr>
              <w:spacing w:before="40" w:after="40"/>
              <w:jc w:val="center"/>
              <w:rPr>
                <w:rFonts w:ascii="Arial Narrow" w:hAnsi="Arial Narrow"/>
              </w:rPr>
            </w:pPr>
            <w:r w:rsidRPr="00315FA0">
              <w:rPr>
                <w:rFonts w:ascii="Arial Narrow" w:hAnsi="Arial Narrow"/>
                <w:b/>
                <w:bCs/>
              </w:rPr>
              <w:t>Texto radicado</w:t>
            </w:r>
          </w:p>
        </w:tc>
        <w:tc>
          <w:tcPr>
            <w:tcW w:w="3500" w:type="dxa"/>
          </w:tcPr>
          <w:p w:rsidR="00CD1279" w:rsidRPr="00315FA0" w:rsidRDefault="00CD1279" w:rsidP="006D48E2">
            <w:pPr>
              <w:spacing w:before="40" w:after="40"/>
              <w:jc w:val="center"/>
              <w:rPr>
                <w:rFonts w:ascii="Arial Narrow" w:hAnsi="Arial Narrow"/>
              </w:rPr>
            </w:pPr>
            <w:r w:rsidRPr="00315FA0">
              <w:rPr>
                <w:rFonts w:ascii="Arial Narrow" w:hAnsi="Arial Narrow"/>
                <w:b/>
                <w:bCs/>
              </w:rPr>
              <w:t>Texto propuesto para primer debate</w:t>
            </w:r>
          </w:p>
        </w:tc>
        <w:tc>
          <w:tcPr>
            <w:tcW w:w="2200" w:type="dxa"/>
          </w:tcPr>
          <w:p w:rsidR="00CD1279" w:rsidRPr="00315FA0" w:rsidRDefault="00CD1279" w:rsidP="006D48E2">
            <w:pPr>
              <w:spacing w:before="40" w:after="40"/>
              <w:jc w:val="center"/>
              <w:rPr>
                <w:rFonts w:ascii="Arial Narrow" w:hAnsi="Arial Narrow"/>
              </w:rPr>
            </w:pPr>
            <w:r w:rsidRPr="00315FA0">
              <w:rPr>
                <w:rFonts w:ascii="Arial Narrow" w:hAnsi="Arial Narrow"/>
                <w:b/>
                <w:bCs/>
              </w:rPr>
              <w:t>Justificación</w:t>
            </w:r>
          </w:p>
        </w:tc>
      </w:tr>
      <w:tr w:rsidR="00CD1279" w:rsidRPr="00315FA0" w:rsidTr="006D48E2">
        <w:trPr>
          <w:jc w:val="center"/>
        </w:trPr>
        <w:tc>
          <w:tcPr>
            <w:tcW w:w="3500" w:type="dxa"/>
          </w:tcPr>
          <w:p w:rsidR="00CD1279" w:rsidRPr="00315FA0" w:rsidRDefault="00CD1279" w:rsidP="006D48E2">
            <w:pPr>
              <w:spacing w:before="40" w:after="40"/>
              <w:rPr>
                <w:rFonts w:ascii="Arial Narrow" w:hAnsi="Arial Narrow"/>
              </w:rPr>
            </w:pPr>
            <w:r w:rsidRPr="00315FA0">
              <w:rPr>
                <w:rFonts w:ascii="Arial Narrow" w:hAnsi="Arial Narrow"/>
              </w:rPr>
              <w:t>“Por medio de la cual se confiere carácter permanente al marco legal de la acción integral contra minas antipersonal, se fortalecen el desminado humanitario y la atención a las víctimas y se dictan otras disposiciones”</w:t>
            </w:r>
          </w:p>
        </w:tc>
        <w:tc>
          <w:tcPr>
            <w:tcW w:w="3500" w:type="dxa"/>
          </w:tcPr>
          <w:p w:rsidR="00CD1279" w:rsidRPr="00315FA0" w:rsidRDefault="00CD1279" w:rsidP="006D48E2">
            <w:pPr>
              <w:spacing w:before="40" w:after="40"/>
              <w:rPr>
                <w:rFonts w:ascii="Arial Narrow" w:hAnsi="Arial Narrow"/>
              </w:rPr>
            </w:pPr>
            <w:r w:rsidRPr="00315FA0">
              <w:rPr>
                <w:rFonts w:ascii="Arial Narrow" w:hAnsi="Arial Narrow"/>
              </w:rPr>
              <w:t>“Por medio de la cual se establece con carácter permanente el marco legal del desminado humanitario por organizaciones civiles, se fortalece la atención a las víctimas de minas antipersonal y otros artefactos explosivos y se dictan otras disposiciones”</w:t>
            </w:r>
          </w:p>
        </w:tc>
        <w:tc>
          <w:tcPr>
            <w:tcW w:w="2200" w:type="dxa"/>
          </w:tcPr>
          <w:p w:rsidR="00CD1279" w:rsidRPr="00315FA0" w:rsidRDefault="00CD1279" w:rsidP="006D48E2">
            <w:pPr>
              <w:spacing w:before="40" w:after="40"/>
              <w:rPr>
                <w:rFonts w:ascii="Arial Narrow" w:hAnsi="Arial Narrow"/>
              </w:rPr>
            </w:pPr>
            <w:r w:rsidRPr="00315FA0">
              <w:rPr>
                <w:rFonts w:ascii="Arial Narrow" w:hAnsi="Arial Narrow"/>
              </w:rPr>
              <w:t>MODIFICADO. Art. 169 C.P.: el título debe corresponder precisamente al contenido de la ley autónoma, que incluye víctimas de municiones sin explosionar y artefactos explosivos improvisados (art. 8).</w:t>
            </w:r>
          </w:p>
        </w:tc>
      </w:tr>
      <w:tr w:rsidR="00CD1279" w:rsidRPr="00315FA0" w:rsidTr="006D48E2">
        <w:trPr>
          <w:jc w:val="center"/>
        </w:trPr>
        <w:tc>
          <w:tcPr>
            <w:tcW w:w="3500" w:type="dxa"/>
          </w:tcPr>
          <w:p w:rsidR="00CD1279" w:rsidRPr="00315FA0" w:rsidRDefault="00CD1279" w:rsidP="006D48E2">
            <w:pPr>
              <w:spacing w:before="40" w:after="40"/>
              <w:rPr>
                <w:rFonts w:ascii="Arial Narrow" w:hAnsi="Arial Narrow"/>
              </w:rPr>
            </w:pPr>
            <w:r w:rsidRPr="00315FA0">
              <w:rPr>
                <w:rFonts w:ascii="Arial Narrow" w:hAnsi="Arial Narrow"/>
              </w:rPr>
              <w:lastRenderedPageBreak/>
              <w:t>ARTÍCULO 1. OBJETO. La presente ley tiene por objeto conferir carácter permanente al marco legal del desminado humanitario por organizaciones civiles, garantizar la continuidad de sus operaciones, fortalecer la atención a las víctimas y mejorar la información pública sobre la afectación y la descontaminación del territorio.</w:t>
            </w:r>
          </w:p>
        </w:tc>
        <w:tc>
          <w:tcPr>
            <w:tcW w:w="3500" w:type="dxa"/>
          </w:tcPr>
          <w:p w:rsidR="00CD1279" w:rsidRPr="00315FA0" w:rsidRDefault="00CD1279" w:rsidP="006D48E2">
            <w:pPr>
              <w:spacing w:before="40" w:after="40"/>
              <w:rPr>
                <w:rFonts w:ascii="Arial Narrow" w:hAnsi="Arial Narrow"/>
              </w:rPr>
            </w:pPr>
            <w:r w:rsidRPr="00315FA0">
              <w:rPr>
                <w:rFonts w:ascii="Arial Narrow" w:hAnsi="Arial Narrow"/>
              </w:rPr>
              <w:t>ARTÍCULO 1. OBJETO. La presente ley tiene por objeto establecer con carácter permanente el marco legal del desminado humanitario por organizaciones civiles, garantizar la continuidad de sus operaciones, fortalecer la atención a las víctimas y mejorar la información pública sobre la afectación y la descontaminación del territorio.</w:t>
            </w:r>
          </w:p>
        </w:tc>
        <w:tc>
          <w:tcPr>
            <w:tcW w:w="2200" w:type="dxa"/>
          </w:tcPr>
          <w:p w:rsidR="00CD1279" w:rsidRPr="00315FA0" w:rsidRDefault="00CD1279" w:rsidP="006D48E2">
            <w:pPr>
              <w:spacing w:before="40" w:after="40"/>
              <w:rPr>
                <w:rFonts w:ascii="Arial Narrow" w:hAnsi="Arial Narrow"/>
              </w:rPr>
            </w:pPr>
            <w:r w:rsidRPr="00315FA0">
              <w:rPr>
                <w:rFonts w:ascii="Arial Narrow" w:hAnsi="Arial Narrow"/>
              </w:rPr>
              <w:t>MODIFICADO. La ley ya no adiciona la Ley 1421 de 2010: establece un régimen propio y permanente.</w:t>
            </w:r>
          </w:p>
        </w:tc>
      </w:tr>
      <w:tr w:rsidR="00CD1279" w:rsidRPr="00315FA0" w:rsidTr="006D48E2">
        <w:trPr>
          <w:jc w:val="center"/>
        </w:trPr>
        <w:tc>
          <w:tcPr>
            <w:tcW w:w="3500" w:type="dxa"/>
          </w:tcPr>
          <w:p w:rsidR="00CD1279" w:rsidRPr="00315FA0" w:rsidRDefault="00CD1279" w:rsidP="006D48E2">
            <w:pPr>
              <w:spacing w:before="40" w:after="40"/>
              <w:rPr>
                <w:rFonts w:ascii="Arial Narrow" w:hAnsi="Arial Narrow"/>
              </w:rPr>
            </w:pPr>
            <w:r w:rsidRPr="00315FA0">
              <w:rPr>
                <w:rFonts w:ascii="Arial Narrow" w:hAnsi="Arial Narrow"/>
              </w:rPr>
              <w:t>ARTÍCULO 2. ADICIÓN DE UN INCISO AL ARTÍCULO 9 DE LA LEY 1421 DE 2010. Adiciónese un inciso final al artículo 9 de la Ley 1421 de 2010, así: El presente artículo no estará sometido a la vigencia de las prórrogas previstas para la Ley 418 de 1997 ni de las normas que la prorroguen, modifiquen o adicionen, y conservará carácter permanente.</w:t>
            </w:r>
          </w:p>
        </w:tc>
        <w:tc>
          <w:tcPr>
            <w:tcW w:w="3500" w:type="dxa"/>
          </w:tcPr>
          <w:p w:rsidR="00D051D2" w:rsidRPr="00315FA0" w:rsidRDefault="00D051D2" w:rsidP="00D051D2">
            <w:pPr>
              <w:spacing w:before="40" w:after="40"/>
              <w:rPr>
                <w:rFonts w:ascii="Arial Narrow" w:hAnsi="Arial Narrow"/>
              </w:rPr>
            </w:pPr>
            <w:r w:rsidRPr="00315FA0">
              <w:rPr>
                <w:rFonts w:ascii="Arial Narrow" w:hAnsi="Arial Narrow"/>
              </w:rPr>
              <w:t>ARTÍCULO 2. DESMINADO HUMANITARIO POR ORGANIZACIONES CIVILES. Se entiende por desminado humanitario por organizaciones civiles el conjunto de actividades de estudio no técnico, estudio técnico, despeje y disposición de artefactos explosivos (EOD) de áreas con sospecha o presencia de minas antipersonal, municiones sin explosionar y artefactos explosivos improvisados, y las demás que definan los estándares nacionales, que realizan organizaciones no gubernamentales nacionales o internacionales, certificadas y avaladas, en las tareas que les sean asignadas, con el fin de proteger a la población y liberar las tierras para su uso seguro.</w:t>
            </w:r>
          </w:p>
          <w:p w:rsidR="00D051D2" w:rsidRPr="00315FA0" w:rsidRDefault="00D051D2" w:rsidP="00D051D2">
            <w:pPr>
              <w:spacing w:before="40" w:after="40"/>
              <w:rPr>
                <w:rFonts w:ascii="Arial Narrow" w:hAnsi="Arial Narrow"/>
              </w:rPr>
            </w:pPr>
            <w:r w:rsidRPr="00315FA0">
              <w:rPr>
                <w:rFonts w:ascii="Arial Narrow" w:hAnsi="Arial Narrow"/>
              </w:rPr>
              <w:t>Parágrafo 1. El Gobierno Nacional, a través del Ministerio de Defensa Nacional, reglamentará las actividades de desminado humanitario que realicen organizaciones civiles, con base en los estándares internacionales y los principios humanitarios. La Comisión Intersectorial Nacional para la Acción contra Minas Antipersonal otorgará el aval a las organizaciones civiles certificadas para realizar actividades de desminado humanitario en el territorio nacional.</w:t>
            </w:r>
          </w:p>
          <w:p w:rsidR="00CD1279" w:rsidRPr="00315FA0" w:rsidRDefault="00D051D2" w:rsidP="00D051D2">
            <w:pPr>
              <w:spacing w:before="40" w:after="40"/>
              <w:rPr>
                <w:rFonts w:ascii="Arial Narrow" w:hAnsi="Arial Narrow"/>
              </w:rPr>
            </w:pPr>
            <w:r w:rsidRPr="00315FA0">
              <w:rPr>
                <w:rFonts w:ascii="Arial Narrow" w:hAnsi="Arial Narrow"/>
              </w:rPr>
              <w:t xml:space="preserve">Parágrafo 2. Las excepciones previstas en la Ley 759 de 2002 para el Ministerio de Defensa Nacional se extienden a las </w:t>
            </w:r>
            <w:r w:rsidRPr="00315FA0">
              <w:rPr>
                <w:rFonts w:ascii="Arial Narrow" w:hAnsi="Arial Narrow"/>
              </w:rPr>
              <w:lastRenderedPageBreak/>
              <w:t>organizaciones civiles que colaboren en el traslado de minas antipersonal en desarrollo de planes de destrucción, únicamente para ese fin.</w:t>
            </w:r>
          </w:p>
        </w:tc>
        <w:tc>
          <w:tcPr>
            <w:tcW w:w="2200" w:type="dxa"/>
          </w:tcPr>
          <w:p w:rsidR="00CD1279" w:rsidRPr="00315FA0" w:rsidRDefault="00CD1279" w:rsidP="006D48E2">
            <w:pPr>
              <w:spacing w:before="40" w:after="40"/>
              <w:rPr>
                <w:rFonts w:ascii="Arial Narrow" w:hAnsi="Arial Narrow"/>
              </w:rPr>
            </w:pPr>
            <w:r w:rsidRPr="00315FA0">
              <w:rPr>
                <w:rFonts w:ascii="Arial Narrow" w:hAnsi="Arial Narrow"/>
              </w:rPr>
              <w:lastRenderedPageBreak/>
              <w:t>SUSTITUIDO. El art. 9 vence el 4 de noviembre de 2026 (art. 19, Ley 2272 de 2022). Si la ley se promulga después, la adición recaería sobre una norma sin vigencia. Art. 14, Ley 153 de 1887: la disposición solo recobra fuerza reproducida en una ley nueva. Se agrega una definición de la actividad tomada del reglamento vigente (arts. 3 y 10, Decreto 3750 de 2011), abierta a los estándares nacionales; la habilitación se conserva en el cuerpo del artículo.</w:t>
            </w:r>
          </w:p>
        </w:tc>
      </w:tr>
      <w:tr w:rsidR="00CD1279" w:rsidRPr="00315FA0" w:rsidTr="006D48E2">
        <w:trPr>
          <w:jc w:val="center"/>
        </w:trPr>
        <w:tc>
          <w:tcPr>
            <w:tcW w:w="3500" w:type="dxa"/>
          </w:tcPr>
          <w:p w:rsidR="00CD1279" w:rsidRPr="00315FA0" w:rsidRDefault="00CD1279" w:rsidP="006D48E2">
            <w:pPr>
              <w:spacing w:before="40" w:after="40"/>
              <w:rPr>
                <w:rFonts w:ascii="Arial Narrow" w:hAnsi="Arial Narrow"/>
              </w:rPr>
            </w:pPr>
            <w:r w:rsidRPr="00315FA0">
              <w:rPr>
                <w:rFonts w:ascii="Arial Narrow" w:hAnsi="Arial Narrow"/>
              </w:rPr>
              <w:t>Sin texto (artículo nuevo).</w:t>
            </w:r>
          </w:p>
        </w:tc>
        <w:tc>
          <w:tcPr>
            <w:tcW w:w="3500" w:type="dxa"/>
          </w:tcPr>
          <w:p w:rsidR="00CD1279" w:rsidRPr="00315FA0" w:rsidRDefault="00CD1279" w:rsidP="006D48E2">
            <w:pPr>
              <w:spacing w:before="40" w:after="40"/>
              <w:rPr>
                <w:rFonts w:ascii="Arial Narrow" w:hAnsi="Arial Narrow"/>
              </w:rPr>
            </w:pPr>
            <w:r w:rsidRPr="00315FA0">
              <w:rPr>
                <w:rFonts w:ascii="Arial Narrow" w:hAnsi="Arial Narrow"/>
              </w:rPr>
              <w:t>ARTÍCULO 3. CARÁCTER PERMANENTE. La presente ley es de carácter permanente y no estará sometida a la vigencia de la Ley 418 de 1997 ni de las normas que la prorroguen, modifiquen o adicionen.</w:t>
            </w:r>
          </w:p>
        </w:tc>
        <w:tc>
          <w:tcPr>
            <w:tcW w:w="2200" w:type="dxa"/>
          </w:tcPr>
          <w:p w:rsidR="00CD1279" w:rsidRPr="00315FA0" w:rsidRDefault="00CD1279" w:rsidP="006D48E2">
            <w:pPr>
              <w:spacing w:before="40" w:after="40"/>
              <w:rPr>
                <w:rFonts w:ascii="Arial Narrow" w:hAnsi="Arial Narrow"/>
              </w:rPr>
            </w:pPr>
            <w:r w:rsidRPr="00315FA0">
              <w:rPr>
                <w:rFonts w:ascii="Arial Narrow" w:hAnsi="Arial Narrow"/>
              </w:rPr>
              <w:t>NUEVO. Traslada a la ley autónoma la regla de permanencia del art. 2 radicado. Precedente: inciso 2 del art. 8 de la Ley 1421 de 2010.</w:t>
            </w:r>
          </w:p>
        </w:tc>
      </w:tr>
      <w:tr w:rsidR="00CD1279" w:rsidRPr="00315FA0" w:rsidTr="006D48E2">
        <w:trPr>
          <w:jc w:val="center"/>
        </w:trPr>
        <w:tc>
          <w:tcPr>
            <w:tcW w:w="3500" w:type="dxa"/>
          </w:tcPr>
          <w:p w:rsidR="00CD1279" w:rsidRPr="00315FA0" w:rsidRDefault="00CD1279" w:rsidP="006D48E2">
            <w:pPr>
              <w:spacing w:before="40" w:after="40"/>
              <w:rPr>
                <w:rFonts w:ascii="Arial Narrow" w:hAnsi="Arial Narrow"/>
              </w:rPr>
            </w:pPr>
            <w:r w:rsidRPr="00315FA0">
              <w:rPr>
                <w:rFonts w:ascii="Arial Narrow" w:hAnsi="Arial Narrow"/>
              </w:rPr>
              <w:t>ARTÍCULO 3. PRINCIPIOS. La acción integral contra minas antipersonal se regirá por los principios de continuidad, imparcialidad humanitaria, priorización por riesgo, no discriminación, participación comunitaria, enfoque diferencial y territorial, transparencia y rendición de cuentas.</w:t>
            </w:r>
          </w:p>
        </w:tc>
        <w:tc>
          <w:tcPr>
            <w:tcW w:w="3500" w:type="dxa"/>
          </w:tcPr>
          <w:p w:rsidR="00CD1279" w:rsidRPr="00315FA0" w:rsidRDefault="00CD1279" w:rsidP="006D48E2">
            <w:pPr>
              <w:spacing w:before="40" w:after="40"/>
              <w:rPr>
                <w:rFonts w:ascii="Arial Narrow" w:hAnsi="Arial Narrow"/>
              </w:rPr>
            </w:pPr>
            <w:r w:rsidRPr="00315FA0">
              <w:rPr>
                <w:rFonts w:ascii="Arial Narrow" w:hAnsi="Arial Narrow"/>
              </w:rPr>
              <w:t>ARTÍCULO 4. PRINCIPIOS. La acción integral contra minas antipersonal se regirá por los principios de continuidad, imparcialidad humanitaria, priorización por riesgo, no discriminación, participación comunitaria, enfoque diferencial y territorial, transparencia y rendición de cuentas.</w:t>
            </w:r>
          </w:p>
        </w:tc>
        <w:tc>
          <w:tcPr>
            <w:tcW w:w="2200" w:type="dxa"/>
          </w:tcPr>
          <w:p w:rsidR="00CD1279" w:rsidRPr="00315FA0" w:rsidRDefault="00CD1279" w:rsidP="006D48E2">
            <w:pPr>
              <w:spacing w:before="40" w:after="40"/>
              <w:rPr>
                <w:rFonts w:ascii="Arial Narrow" w:hAnsi="Arial Narrow"/>
              </w:rPr>
            </w:pPr>
            <w:r w:rsidRPr="00315FA0">
              <w:rPr>
                <w:rFonts w:ascii="Arial Narrow" w:hAnsi="Arial Narrow"/>
              </w:rPr>
              <w:t>RENUMERADO. Se renumera por la inclusión del art. 3.</w:t>
            </w:r>
          </w:p>
        </w:tc>
      </w:tr>
      <w:tr w:rsidR="00CD1279" w:rsidRPr="00315FA0" w:rsidTr="006D48E2">
        <w:trPr>
          <w:jc w:val="center"/>
        </w:trPr>
        <w:tc>
          <w:tcPr>
            <w:tcW w:w="3500" w:type="dxa"/>
          </w:tcPr>
          <w:p w:rsidR="00CD1279" w:rsidRPr="00315FA0" w:rsidRDefault="00CD1279" w:rsidP="006D48E2">
            <w:pPr>
              <w:spacing w:before="40" w:after="40"/>
              <w:rPr>
                <w:rFonts w:ascii="Arial Narrow" w:hAnsi="Arial Narrow"/>
              </w:rPr>
            </w:pPr>
            <w:r w:rsidRPr="00315FA0">
              <w:rPr>
                <w:rFonts w:ascii="Arial Narrow" w:hAnsi="Arial Narrow"/>
              </w:rPr>
              <w:t>ARTÍCULO 4. CONTINUIDAD DE LAS OPERACIONES. La terminación o modificación de las vigencias temporales del régimen de orden público no suspenderá las operaciones de desminado humanitario ni afectará las acreditaciones y avales vigentes.</w:t>
            </w:r>
          </w:p>
        </w:tc>
        <w:tc>
          <w:tcPr>
            <w:tcW w:w="3500" w:type="dxa"/>
          </w:tcPr>
          <w:p w:rsidR="00D051D2" w:rsidRPr="00315FA0" w:rsidRDefault="00D051D2" w:rsidP="00D051D2">
            <w:pPr>
              <w:spacing w:before="40" w:after="40"/>
              <w:rPr>
                <w:rFonts w:ascii="Arial Narrow" w:hAnsi="Arial Narrow"/>
              </w:rPr>
            </w:pPr>
            <w:r w:rsidRPr="00315FA0">
              <w:rPr>
                <w:rFonts w:ascii="Arial Narrow" w:hAnsi="Arial Narrow"/>
              </w:rPr>
              <w:t>ARTÍCULO 5. CONTINUIDAD Y TRANSICIÓN. Los Decretos 3750 de 2011 y 1561 de 2013, los Estándares Nacionales de Acción Integral contra Minas Antipersonal, sus anexos y los demás actos administrativos expedidos en desarrollo del artículo 9 de la Ley 1421 de 2010, incluidos los que rigen la Instancia Interinstitucional de Desminado Humanitario, continuarán aplicándose en lo que no sea contrario a esta ley, hasta su modificación o sustitución por la autoridad competente.</w:t>
            </w:r>
          </w:p>
          <w:p w:rsidR="00D051D2" w:rsidRPr="00315FA0" w:rsidRDefault="00D051D2" w:rsidP="00D051D2">
            <w:pPr>
              <w:spacing w:before="40" w:after="40"/>
              <w:rPr>
                <w:rFonts w:ascii="Arial Narrow" w:hAnsi="Arial Narrow"/>
              </w:rPr>
            </w:pPr>
            <w:r w:rsidRPr="00315FA0">
              <w:rPr>
                <w:rFonts w:ascii="Arial Narrow" w:hAnsi="Arial Narrow"/>
              </w:rPr>
              <w:t>Las certificaciones, avales, acreditaciones de capacidad operacional, procedimientos operacionales aprobados, asignaciones, órdenes de tarea y demás autorizaciones vigentes al 4 de noviembre de 2026 conservarán sus efectos, sin solución de continuidad, conforme a sus términos y condiciones. Las que venzan entre esa fecha y la entrada en vigencia de esta ley se entenderán prorrogadas por tres meses para tramitar su renovación.</w:t>
            </w:r>
          </w:p>
          <w:p w:rsidR="00D051D2" w:rsidRPr="00315FA0" w:rsidRDefault="00D051D2" w:rsidP="00D051D2">
            <w:pPr>
              <w:spacing w:before="40" w:after="40"/>
              <w:rPr>
                <w:rFonts w:ascii="Arial Narrow" w:hAnsi="Arial Narrow"/>
              </w:rPr>
            </w:pPr>
            <w:r w:rsidRPr="00315FA0">
              <w:rPr>
                <w:rFonts w:ascii="Arial Narrow" w:hAnsi="Arial Narrow"/>
              </w:rPr>
              <w:lastRenderedPageBreak/>
              <w:t>Parágrafo 1. La entrada en vigencia de esta ley no exigirá repetir la acreditación inicial. Las renovaciones reconocerán las capacidades y evaluaciones ya acreditadas, sin perjuicio de las verificaciones que procedan conforme a los estándares nacionales.</w:t>
            </w:r>
          </w:p>
          <w:p w:rsidR="00D051D2" w:rsidRPr="00315FA0" w:rsidRDefault="00D051D2" w:rsidP="00D051D2">
            <w:pPr>
              <w:spacing w:before="40" w:after="40"/>
              <w:rPr>
                <w:rFonts w:ascii="Arial Narrow" w:hAnsi="Arial Narrow"/>
              </w:rPr>
            </w:pPr>
            <w:r w:rsidRPr="00315FA0">
              <w:rPr>
                <w:rFonts w:ascii="Arial Narrow" w:hAnsi="Arial Narrow"/>
              </w:rPr>
              <w:t>Parágrafo 2. Los trámites en curso continuarán sin reiniciarse por el cambio de fundamento legal.</w:t>
            </w:r>
          </w:p>
          <w:p w:rsidR="00CD1279" w:rsidRPr="00315FA0" w:rsidRDefault="00D051D2" w:rsidP="00D051D2">
            <w:pPr>
              <w:spacing w:before="40" w:after="40"/>
              <w:rPr>
                <w:rFonts w:ascii="Arial Narrow" w:hAnsi="Arial Narrow"/>
              </w:rPr>
            </w:pPr>
            <w:r w:rsidRPr="00315FA0">
              <w:rPr>
                <w:rFonts w:ascii="Arial Narrow" w:hAnsi="Arial Narrow"/>
              </w:rPr>
              <w:t>Parágrafo 3. La terminación o modificación de las vigencias temporales del régimen de orden público no suspenderá las operaciones de desminado humanitario.</w:t>
            </w:r>
          </w:p>
        </w:tc>
        <w:tc>
          <w:tcPr>
            <w:tcW w:w="2200" w:type="dxa"/>
          </w:tcPr>
          <w:p w:rsidR="00CD1279" w:rsidRPr="00315FA0" w:rsidRDefault="00CD1279" w:rsidP="006D48E2">
            <w:pPr>
              <w:spacing w:before="40" w:after="40"/>
              <w:rPr>
                <w:rFonts w:ascii="Arial Narrow" w:hAnsi="Arial Narrow"/>
              </w:rPr>
            </w:pPr>
            <w:r w:rsidRPr="00315FA0">
              <w:rPr>
                <w:rFonts w:ascii="Arial Narrow" w:hAnsi="Arial Narrow"/>
              </w:rPr>
              <w:lastRenderedPageBreak/>
              <w:t xml:space="preserve">MODIFICADO. El Decreto 3750 de 2011 reglamenta el art. 9 de la Ley 1421 de 2010; si ese fundamento desaparece, el decreto podría perder fuerza ejecutoria (art. 91, </w:t>
            </w:r>
            <w:proofErr w:type="spellStart"/>
            <w:r w:rsidRPr="00315FA0">
              <w:rPr>
                <w:rFonts w:ascii="Arial Narrow" w:hAnsi="Arial Narrow"/>
              </w:rPr>
              <w:t>num</w:t>
            </w:r>
            <w:proofErr w:type="spellEnd"/>
            <w:r w:rsidRPr="00315FA0">
              <w:rPr>
                <w:rFonts w:ascii="Arial Narrow" w:hAnsi="Arial Narrow"/>
              </w:rPr>
              <w:t xml:space="preserve">. 2, Ley 1437 de 2011). Se conservan expresamente los decretos, los estándares nacionales, la Instancia Interinstitucional, las acreditaciones y las asignaciones, y no se exige repetir la acreditación inicial (EN-AICMA 6482, </w:t>
            </w:r>
            <w:proofErr w:type="spellStart"/>
            <w:r w:rsidRPr="00315FA0">
              <w:rPr>
                <w:rFonts w:ascii="Arial Narrow" w:hAnsi="Arial Narrow"/>
              </w:rPr>
              <w:t>num</w:t>
            </w:r>
            <w:proofErr w:type="spellEnd"/>
            <w:r w:rsidRPr="00315FA0">
              <w:rPr>
                <w:rFonts w:ascii="Arial Narrow" w:hAnsi="Arial Narrow"/>
              </w:rPr>
              <w:t xml:space="preserve">. 6.1, 6.2 y 6.4). Fija como corte el 4 de noviembre de 2026 y prorroga por tres meses las autorizaciones que venzan antes de la promulgación. Protege los 49 municipios </w:t>
            </w:r>
            <w:r w:rsidRPr="00315FA0">
              <w:rPr>
                <w:rFonts w:ascii="Arial Narrow" w:hAnsi="Arial Narrow"/>
              </w:rPr>
              <w:lastRenderedPageBreak/>
              <w:t>atendidos solo por organizaciones civiles. Observación de la CCCM y HALO Colombia.</w:t>
            </w:r>
          </w:p>
        </w:tc>
      </w:tr>
      <w:tr w:rsidR="00CD1279" w:rsidRPr="00315FA0" w:rsidTr="006D48E2">
        <w:trPr>
          <w:jc w:val="center"/>
        </w:trPr>
        <w:tc>
          <w:tcPr>
            <w:tcW w:w="3500" w:type="dxa"/>
          </w:tcPr>
          <w:p w:rsidR="00CD1279" w:rsidRPr="00315FA0" w:rsidRDefault="00CD1279" w:rsidP="006D48E2">
            <w:pPr>
              <w:spacing w:before="40" w:after="40"/>
              <w:rPr>
                <w:rFonts w:ascii="Arial Narrow" w:hAnsi="Arial Narrow"/>
              </w:rPr>
            </w:pPr>
            <w:r w:rsidRPr="00315FA0">
              <w:rPr>
                <w:rFonts w:ascii="Arial Narrow" w:hAnsi="Arial Narrow"/>
              </w:rPr>
              <w:lastRenderedPageBreak/>
              <w:t>ARTÍCULO 5. ACREDITACIÓN Y AVAL. La autoridad nacional competente mantendrá el procedimiento de acreditación y aval de las organizaciones civiles de desminado humanitario, conforme a los estándares internacionales y principios humanitarios. Las decisiones de acreditación, suspensión o revocatoria deberán ser motivadas.</w:t>
            </w:r>
          </w:p>
        </w:tc>
        <w:tc>
          <w:tcPr>
            <w:tcW w:w="3500" w:type="dxa"/>
          </w:tcPr>
          <w:p w:rsidR="00CD1279" w:rsidRPr="00315FA0" w:rsidRDefault="00CD1279" w:rsidP="006D48E2">
            <w:pPr>
              <w:spacing w:before="40" w:after="40"/>
              <w:rPr>
                <w:rFonts w:ascii="Arial Narrow" w:hAnsi="Arial Narrow"/>
              </w:rPr>
            </w:pPr>
            <w:r w:rsidRPr="00315FA0">
              <w:rPr>
                <w:rFonts w:ascii="Arial Narrow" w:hAnsi="Arial Narrow"/>
              </w:rPr>
              <w:t>ARTÍCULO 6. CERTIFICACIÓN Y AVAL. Las decisiones de certificación, aval, renovación, suspensión, no renovación y terminación de la acreditación de las organizaciones civiles de desminado humanitario serán motivadas, observarán el debido proceso y se adoptarán por la autoridad competente conforme a la legislación nacional, los estándares nacionales e internacionales y los principios humanitarios. La revocación directa se regirá por la Ley 1437 de 2011.</w:t>
            </w:r>
          </w:p>
        </w:tc>
        <w:tc>
          <w:tcPr>
            <w:tcW w:w="2200" w:type="dxa"/>
          </w:tcPr>
          <w:p w:rsidR="00CD1279" w:rsidRPr="00315FA0" w:rsidRDefault="00CD1279" w:rsidP="006D48E2">
            <w:pPr>
              <w:spacing w:before="40" w:after="40"/>
              <w:rPr>
                <w:rFonts w:ascii="Arial Narrow" w:hAnsi="Arial Narrow"/>
              </w:rPr>
            </w:pPr>
            <w:r w:rsidRPr="00315FA0">
              <w:rPr>
                <w:rFonts w:ascii="Arial Narrow" w:hAnsi="Arial Narrow"/>
              </w:rPr>
              <w:t xml:space="preserve">MODIFICADO. Adopta las figuras del régimen vigente: renovación, suspensión, no renovación y terminación (art. 9, Decreto 3750 de 2011; </w:t>
            </w:r>
            <w:proofErr w:type="spellStart"/>
            <w:r w:rsidRPr="00315FA0">
              <w:rPr>
                <w:rFonts w:ascii="Arial Narrow" w:hAnsi="Arial Narrow"/>
              </w:rPr>
              <w:t>num</w:t>
            </w:r>
            <w:proofErr w:type="spellEnd"/>
            <w:r w:rsidRPr="00315FA0">
              <w:rPr>
                <w:rFonts w:ascii="Arial Narrow" w:hAnsi="Arial Narrow"/>
              </w:rPr>
              <w:t>. 6.4 y 6.6, EN-AICMA 6482). Incorpora los estándares nacionales y el debido proceso. La revocación directa se rige por los arts. 93 a 97 de la Ley 1437 de 2011.</w:t>
            </w:r>
          </w:p>
        </w:tc>
      </w:tr>
      <w:tr w:rsidR="00CD1279" w:rsidRPr="00315FA0" w:rsidTr="006D48E2">
        <w:trPr>
          <w:jc w:val="center"/>
        </w:trPr>
        <w:tc>
          <w:tcPr>
            <w:tcW w:w="3500" w:type="dxa"/>
          </w:tcPr>
          <w:p w:rsidR="00CD1279" w:rsidRPr="00315FA0" w:rsidRDefault="00CD1279" w:rsidP="006D48E2">
            <w:pPr>
              <w:spacing w:before="40" w:after="40"/>
              <w:rPr>
                <w:rFonts w:ascii="Arial Narrow" w:hAnsi="Arial Narrow"/>
              </w:rPr>
            </w:pPr>
            <w:r w:rsidRPr="00315FA0">
              <w:rPr>
                <w:rFonts w:ascii="Arial Narrow" w:hAnsi="Arial Narrow"/>
              </w:rPr>
              <w:t>ARTÍCULO 6. PRIORIZACIÓN TERRITORIAL. La priorización territorial se basará en criterios objetivos de riesgo humanitario, afectación a la población, alertas tempranas, acceso a servicios esenciales y viabilidad de la operación. Las decisiones y sus modificaciones serán públicas.</w:t>
            </w:r>
          </w:p>
        </w:tc>
        <w:tc>
          <w:tcPr>
            <w:tcW w:w="3500" w:type="dxa"/>
          </w:tcPr>
          <w:p w:rsidR="00CD1279" w:rsidRPr="00315FA0" w:rsidRDefault="00CD1279" w:rsidP="006D48E2">
            <w:pPr>
              <w:spacing w:before="40" w:after="40"/>
              <w:rPr>
                <w:rFonts w:ascii="Arial Narrow" w:hAnsi="Arial Narrow"/>
              </w:rPr>
            </w:pPr>
            <w:r w:rsidRPr="00315FA0">
              <w:rPr>
                <w:rFonts w:ascii="Arial Narrow" w:hAnsi="Arial Narrow"/>
              </w:rPr>
              <w:t>ARTÍCULO 7. PRIORIZACIÓN TERRITORIAL Y ASIGNACIÓN DE TAREAS. La priorización territorial se basará en criterios objetivos de riesgo humanitario, afectación a la población, alertas tempranas, acceso a servicios esenciales y viabilidad de la operación. La viabilidad se evaluará conforme a los estándares nacionales aplicables a cada modalidad de intervención, incluidos los de zonas con factores de inestabilidad en materia de seguridad.</w:t>
            </w:r>
          </w:p>
          <w:p w:rsidR="00CD1279" w:rsidRPr="00315FA0" w:rsidRDefault="00CD1279" w:rsidP="006D48E2">
            <w:pPr>
              <w:spacing w:before="40" w:after="40"/>
              <w:rPr>
                <w:rFonts w:ascii="Arial Narrow" w:hAnsi="Arial Narrow"/>
              </w:rPr>
            </w:pPr>
            <w:r w:rsidRPr="00315FA0">
              <w:rPr>
                <w:rFonts w:ascii="Arial Narrow" w:hAnsi="Arial Narrow"/>
              </w:rPr>
              <w:t xml:space="preserve">La determinación de zonas y la asignación de tareas corresponderán a la Instancia Interinstitucional de Desminado </w:t>
            </w:r>
            <w:r w:rsidRPr="00315FA0">
              <w:rPr>
                <w:rFonts w:ascii="Arial Narrow" w:hAnsi="Arial Narrow"/>
              </w:rPr>
              <w:lastRenderedPageBreak/>
              <w:t>Humanitario o a la que haga sus veces. Las decisiones y sus modificaciones serán públicas, con las salvaguardas previstas en el parágrafo del artículo 10.</w:t>
            </w:r>
          </w:p>
        </w:tc>
        <w:tc>
          <w:tcPr>
            <w:tcW w:w="2200" w:type="dxa"/>
          </w:tcPr>
          <w:p w:rsidR="00CD1279" w:rsidRPr="00315FA0" w:rsidRDefault="00CD1279" w:rsidP="006D48E2">
            <w:pPr>
              <w:spacing w:before="40" w:after="40"/>
              <w:rPr>
                <w:rFonts w:ascii="Arial Narrow" w:hAnsi="Arial Narrow"/>
              </w:rPr>
            </w:pPr>
            <w:r w:rsidRPr="00315FA0">
              <w:rPr>
                <w:rFonts w:ascii="Arial Narrow" w:hAnsi="Arial Narrow"/>
              </w:rPr>
              <w:lastRenderedPageBreak/>
              <w:t xml:space="preserve">MODIFICADO. Remite la viabilidad a los estándares nacionales, incluido el de zonas con factores de inestabilidad en materia de seguridad, aprobado por la IIDH el 6 de mayo de 2024 (oficio OFI24-00098590). Reconoce la competencia de la Instancia (art. 6, </w:t>
            </w:r>
            <w:proofErr w:type="spellStart"/>
            <w:r w:rsidRPr="00315FA0">
              <w:rPr>
                <w:rFonts w:ascii="Arial Narrow" w:hAnsi="Arial Narrow"/>
              </w:rPr>
              <w:t>num</w:t>
            </w:r>
            <w:proofErr w:type="spellEnd"/>
            <w:r w:rsidRPr="00315FA0">
              <w:rPr>
                <w:rFonts w:ascii="Arial Narrow" w:hAnsi="Arial Narrow"/>
              </w:rPr>
              <w:t xml:space="preserve">. 3 y 4, y art. 12, Decreto 3750 de 2011). La publicidad </w:t>
            </w:r>
            <w:r w:rsidRPr="00315FA0">
              <w:rPr>
                <w:rFonts w:ascii="Arial Narrow" w:hAnsi="Arial Narrow"/>
              </w:rPr>
              <w:lastRenderedPageBreak/>
              <w:t>se sujeta a salvaguardas.</w:t>
            </w:r>
          </w:p>
        </w:tc>
      </w:tr>
      <w:tr w:rsidR="00CD1279" w:rsidRPr="00315FA0" w:rsidTr="006D48E2">
        <w:trPr>
          <w:jc w:val="center"/>
        </w:trPr>
        <w:tc>
          <w:tcPr>
            <w:tcW w:w="3500" w:type="dxa"/>
          </w:tcPr>
          <w:p w:rsidR="00CD1279" w:rsidRPr="00315FA0" w:rsidRDefault="00CD1279" w:rsidP="006D48E2">
            <w:pPr>
              <w:spacing w:before="40" w:after="40"/>
              <w:rPr>
                <w:rFonts w:ascii="Arial Narrow" w:hAnsi="Arial Narrow"/>
              </w:rPr>
            </w:pPr>
            <w:r w:rsidRPr="00315FA0">
              <w:rPr>
                <w:rFonts w:ascii="Arial Narrow" w:hAnsi="Arial Narrow"/>
              </w:rPr>
              <w:lastRenderedPageBreak/>
              <w:t>ARTÍCULO 7. RUTA DE ATENCIÓN. Toda víctima de mina antipersonal, munición sin explotar o artefacto explosivo improvisado tendrá derecho a atención de urgencia, rehabilitación física y funcional, atención psicosocial y acceso a las medidas de asistencia y reparación aplicables. La atención de urgencia no podrá condicionarse a la acreditación previa de la condición de víctima, afiliación al sistema de salud o trámite alguno.</w:t>
            </w:r>
          </w:p>
        </w:tc>
        <w:tc>
          <w:tcPr>
            <w:tcW w:w="3500" w:type="dxa"/>
          </w:tcPr>
          <w:p w:rsidR="00AF6CDA" w:rsidRPr="00315FA0" w:rsidRDefault="00AF6CDA" w:rsidP="00AF6CDA">
            <w:pPr>
              <w:spacing w:before="40" w:after="40"/>
              <w:rPr>
                <w:rFonts w:ascii="Arial Narrow" w:hAnsi="Arial Narrow"/>
              </w:rPr>
            </w:pPr>
            <w:r w:rsidRPr="00315FA0">
              <w:rPr>
                <w:rFonts w:ascii="Arial Narrow" w:hAnsi="Arial Narrow"/>
              </w:rPr>
              <w:t>ARTÍCULO 8. ATENCIÓN Y ASISTENCIA A LAS VÍCTIMAS. Las víctimas de minas antipersonal, municiones sin explosionar y artefactos explosivos improvisados accederán a la atención de urgencia, la rehabilitación física y funcional, la atención psicosocial y las demás medidas de atención, asistencia y reparación integral que resulten procedentes, de conformidad con la Ley 1448 de 2011 y las demás normas vigentes aplicables. La atención de urgencia será inmediata y no podrá condicionarse al reconocimiento o registro de la condición de víctima, a la afiliación al sistema de salud ni a autorización administrativa previa.</w:t>
            </w:r>
          </w:p>
          <w:p w:rsidR="00AF6CDA" w:rsidRPr="00315FA0" w:rsidRDefault="00AF6CDA" w:rsidP="00AF6CDA">
            <w:pPr>
              <w:spacing w:before="40" w:after="40"/>
              <w:rPr>
                <w:rFonts w:ascii="Arial Narrow" w:hAnsi="Arial Narrow"/>
              </w:rPr>
            </w:pPr>
            <w:r w:rsidRPr="00315FA0">
              <w:rPr>
                <w:rFonts w:ascii="Arial Narrow" w:hAnsi="Arial Narrow"/>
              </w:rPr>
              <w:t>Parágrafo 1. Cuando se trate de miembros de la Fuerza Pública víctimas de estos artefactos, la reparación económica se sujetará a lo previsto en el parágrafo 1 del artículo 3 de la Ley 1448 de 2011 y al régimen especial que les sea aplicable. Cuando se determine que la persona se encuentra por fuera de la cobertura de dicho régimen, se aplicarán las medidas de reparación integral que legalmente correspondan. En todo caso, se evitará el doble reconocimiento o pago indemnizatorio por un mismo hecho, daño y concepto, sin excluir las medidas de distinta naturaleza a las que haya lugar conforme a la ley.</w:t>
            </w:r>
          </w:p>
          <w:p w:rsidR="00CD1279" w:rsidRPr="00315FA0" w:rsidRDefault="00AF6CDA" w:rsidP="00AF6CDA">
            <w:pPr>
              <w:spacing w:before="40" w:after="40"/>
              <w:rPr>
                <w:rFonts w:ascii="Arial Narrow" w:hAnsi="Arial Narrow"/>
              </w:rPr>
            </w:pPr>
            <w:r w:rsidRPr="00315FA0">
              <w:rPr>
                <w:rFonts w:ascii="Arial Narrow" w:hAnsi="Arial Narrow"/>
              </w:rPr>
              <w:t xml:space="preserve">Parágrafo 2. La vigencia permanente de esta ley no estará condicionada a la vigencia de la Ley 1448 de 2011, sin perjuicio de la aplicación de las normas vigentes sobre atención, asistencia y reparación a las víctimas y de evitar </w:t>
            </w:r>
            <w:r w:rsidRPr="00315FA0">
              <w:rPr>
                <w:rFonts w:ascii="Arial Narrow" w:hAnsi="Arial Narrow"/>
              </w:rPr>
              <w:lastRenderedPageBreak/>
              <w:t>dobles reconocimientos por los mismos hechos y conceptos.</w:t>
            </w:r>
          </w:p>
        </w:tc>
        <w:tc>
          <w:tcPr>
            <w:tcW w:w="2200" w:type="dxa"/>
          </w:tcPr>
          <w:p w:rsidR="00CD1279" w:rsidRPr="00315FA0" w:rsidRDefault="00CD1279" w:rsidP="006D48E2">
            <w:pPr>
              <w:spacing w:before="40" w:after="40"/>
              <w:rPr>
                <w:rFonts w:ascii="Arial Narrow" w:hAnsi="Arial Narrow"/>
              </w:rPr>
            </w:pPr>
            <w:r w:rsidRPr="00315FA0">
              <w:rPr>
                <w:rFonts w:ascii="Arial Narrow" w:hAnsi="Arial Narrow"/>
              </w:rPr>
              <w:lastRenderedPageBreak/>
              <w:t>MODIFICADO. Se armoniza con la Ley 1448 de 2011 sin crear una ruta paralela. El art. 53 de esa ley ordena la atención de emergencia inmediata "sin exigir condición previa para su admisión". Se usa la expresión artefactos explosivos improvisados.</w:t>
            </w:r>
          </w:p>
        </w:tc>
      </w:tr>
      <w:tr w:rsidR="00CD1279" w:rsidRPr="00315FA0" w:rsidTr="006D48E2">
        <w:trPr>
          <w:jc w:val="center"/>
        </w:trPr>
        <w:tc>
          <w:tcPr>
            <w:tcW w:w="3500" w:type="dxa"/>
          </w:tcPr>
          <w:p w:rsidR="00CD1279" w:rsidRPr="00315FA0" w:rsidRDefault="00CD1279" w:rsidP="006D48E2">
            <w:pPr>
              <w:spacing w:before="40" w:after="40"/>
              <w:rPr>
                <w:rFonts w:ascii="Arial Narrow" w:hAnsi="Arial Narrow"/>
              </w:rPr>
            </w:pPr>
            <w:r w:rsidRPr="00315FA0">
              <w:rPr>
                <w:rFonts w:ascii="Arial Narrow" w:hAnsi="Arial Narrow"/>
              </w:rPr>
              <w:t>ARTÍCULO 8. NO DISCRIMINACIÓN. La condición de miembro de la Fuerza Pública no excluirá ni limitará el acceso de la víctima a las medidas de rehabilitación, atención psicosocial e inclusión previstas en esta ley, sin perjuicio del régimen especial que le sea aplicable.</w:t>
            </w:r>
          </w:p>
        </w:tc>
        <w:tc>
          <w:tcPr>
            <w:tcW w:w="3500" w:type="dxa"/>
          </w:tcPr>
          <w:p w:rsidR="00CD1279" w:rsidRPr="00315FA0" w:rsidRDefault="00CD1279" w:rsidP="006D48E2">
            <w:pPr>
              <w:spacing w:before="40" w:after="40"/>
              <w:rPr>
                <w:rFonts w:ascii="Arial Narrow" w:hAnsi="Arial Narrow"/>
              </w:rPr>
            </w:pPr>
            <w:r w:rsidRPr="00315FA0">
              <w:rPr>
                <w:rFonts w:ascii="Arial Narrow" w:hAnsi="Arial Narrow"/>
              </w:rPr>
              <w:t>Se integra como parágrafo del artículo 8.</w:t>
            </w:r>
          </w:p>
        </w:tc>
        <w:tc>
          <w:tcPr>
            <w:tcW w:w="2200" w:type="dxa"/>
          </w:tcPr>
          <w:p w:rsidR="00CD1279" w:rsidRPr="00315FA0" w:rsidRDefault="00CD1279" w:rsidP="006D48E2">
            <w:pPr>
              <w:spacing w:before="40" w:after="40"/>
              <w:rPr>
                <w:rFonts w:ascii="Arial Narrow" w:hAnsi="Arial Narrow"/>
              </w:rPr>
            </w:pPr>
            <w:r w:rsidRPr="00315FA0">
              <w:rPr>
                <w:rFonts w:ascii="Arial Narrow" w:hAnsi="Arial Narrow"/>
              </w:rPr>
              <w:t>INTEGRADO. Conserva la garantía para la víctima de la Fuerza Pública, conforme al par. 1 del art. 3 de la Ley 1448 de 2011, modificado por el art. 3 de la Ley 2421 de 2024: el régimen especial "no es causal para que se les niegue el acceso a los otros derechos". Se suprime la remisión a medidas "de inclusión previstas en esta ley", que el proyecto no desarrolla.</w:t>
            </w:r>
          </w:p>
        </w:tc>
      </w:tr>
      <w:tr w:rsidR="00CD1279" w:rsidRPr="00315FA0" w:rsidTr="006D48E2">
        <w:trPr>
          <w:jc w:val="center"/>
        </w:trPr>
        <w:tc>
          <w:tcPr>
            <w:tcW w:w="3500" w:type="dxa"/>
          </w:tcPr>
          <w:p w:rsidR="00CD1279" w:rsidRPr="00315FA0" w:rsidRDefault="00CD1279" w:rsidP="006D48E2">
            <w:pPr>
              <w:spacing w:before="40" w:after="40"/>
              <w:rPr>
                <w:rFonts w:ascii="Arial Narrow" w:hAnsi="Arial Narrow"/>
              </w:rPr>
            </w:pPr>
            <w:r w:rsidRPr="00315FA0">
              <w:rPr>
                <w:rFonts w:ascii="Arial Narrow" w:hAnsi="Arial Narrow"/>
              </w:rPr>
              <w:t>ARTÍCULO 9. EDUCACIÓN EN EL RIESGO. Las autoridades territoriales de los municipios priorizados incorporarán acciones de educación en el riesgo de minas en sus instrumentos de seguridad y convivencia, en coordinación con la autoridad nacional competente y las instituciones educativas.</w:t>
            </w:r>
          </w:p>
        </w:tc>
        <w:tc>
          <w:tcPr>
            <w:tcW w:w="3500" w:type="dxa"/>
          </w:tcPr>
          <w:p w:rsidR="00CD1279" w:rsidRPr="00315FA0" w:rsidRDefault="00CD1279" w:rsidP="006D48E2">
            <w:pPr>
              <w:spacing w:before="40" w:after="40"/>
              <w:rPr>
                <w:rFonts w:ascii="Arial Narrow" w:hAnsi="Arial Narrow"/>
              </w:rPr>
            </w:pPr>
            <w:r w:rsidRPr="00315FA0">
              <w:rPr>
                <w:rFonts w:ascii="Arial Narrow" w:hAnsi="Arial Narrow"/>
              </w:rPr>
              <w:t>ARTÍCULO 9. EDUCACIÓN EN EL RIESGO. Las autoridades territoriales incorporarán acciones de educación en el riesgo de minas antipersonal, municiones sin explosionar y demás artefactos explosivos en los instrumentos de planeación pertinentes, según las necesidades y riesgos del territorio y conforme a los estándares nacionales, en coordinación con la autoridad nacional competente y las autoridades educativas.</w:t>
            </w:r>
          </w:p>
          <w:p w:rsidR="00CD1279" w:rsidRPr="00315FA0" w:rsidRDefault="00CD1279" w:rsidP="006D48E2">
            <w:pPr>
              <w:spacing w:before="40" w:after="40"/>
              <w:rPr>
                <w:rFonts w:ascii="Arial Narrow" w:hAnsi="Arial Narrow"/>
              </w:rPr>
            </w:pPr>
            <w:r w:rsidRPr="00315FA0">
              <w:rPr>
                <w:rFonts w:ascii="Arial Narrow" w:hAnsi="Arial Narrow"/>
              </w:rPr>
              <w:t>Parágrafo. La educación en el riesgo no estará condicionada a la priorización ni a la asignación de operaciones de desminado humanitario.</w:t>
            </w:r>
          </w:p>
        </w:tc>
        <w:tc>
          <w:tcPr>
            <w:tcW w:w="2200" w:type="dxa"/>
          </w:tcPr>
          <w:p w:rsidR="00CD1279" w:rsidRPr="00315FA0" w:rsidRDefault="00CD1279" w:rsidP="006D48E2">
            <w:pPr>
              <w:spacing w:before="40" w:after="40"/>
              <w:rPr>
                <w:rFonts w:ascii="Arial Narrow" w:hAnsi="Arial Narrow"/>
              </w:rPr>
            </w:pPr>
            <w:r w:rsidRPr="00315FA0">
              <w:rPr>
                <w:rFonts w:ascii="Arial Narrow" w:hAnsi="Arial Narrow"/>
              </w:rPr>
              <w:t>MODIFICADO. "Municipios priorizados" restringía la educación en el riesgo a las zonas con operación. El EN-AICMA 6481 (</w:t>
            </w:r>
            <w:proofErr w:type="spellStart"/>
            <w:r w:rsidRPr="00315FA0">
              <w:rPr>
                <w:rFonts w:ascii="Arial Narrow" w:hAnsi="Arial Narrow"/>
              </w:rPr>
              <w:t>num</w:t>
            </w:r>
            <w:proofErr w:type="spellEnd"/>
            <w:r w:rsidRPr="00315FA0">
              <w:rPr>
                <w:rFonts w:ascii="Arial Narrow" w:hAnsi="Arial Narrow"/>
              </w:rPr>
              <w:t>. 6.1) la prevé también "cuando el desminado no es posible o no se ha iniciado". Desarrolla la Ley 554 de 2000.</w:t>
            </w:r>
          </w:p>
        </w:tc>
      </w:tr>
      <w:tr w:rsidR="00CD1279" w:rsidRPr="00315FA0" w:rsidTr="006D48E2">
        <w:trPr>
          <w:jc w:val="center"/>
        </w:trPr>
        <w:tc>
          <w:tcPr>
            <w:tcW w:w="3500" w:type="dxa"/>
          </w:tcPr>
          <w:p w:rsidR="00CD1279" w:rsidRPr="00315FA0" w:rsidRDefault="00CD1279" w:rsidP="006D48E2">
            <w:pPr>
              <w:spacing w:before="40" w:after="40"/>
              <w:rPr>
                <w:rFonts w:ascii="Arial Narrow" w:hAnsi="Arial Narrow"/>
              </w:rPr>
            </w:pPr>
            <w:r w:rsidRPr="00315FA0">
              <w:rPr>
                <w:rFonts w:ascii="Arial Narrow" w:hAnsi="Arial Narrow"/>
              </w:rPr>
              <w:t xml:space="preserve">ARTÍCULO 10. ESTADÍSTICA OFICIAL Y DATOS ABIERTOS. La autoridad nacional competente publicará anualmente, a más tardar el 31 de marzo y en formato de datos abiertos, estadísticas agregadas sobre víctimas y avance de la descontaminación, desagregadas por año, departamento, municipio, condición de la víctima, sexo y rango de edad, e incluirá áreas </w:t>
            </w:r>
            <w:r w:rsidRPr="00315FA0">
              <w:rPr>
                <w:rFonts w:ascii="Arial Narrow" w:hAnsi="Arial Narrow"/>
              </w:rPr>
              <w:lastRenderedPageBreak/>
              <w:t>intervenidas, áreas entregadas y artefactos destruidos.</w:t>
            </w:r>
          </w:p>
          <w:p w:rsidR="00CD1279" w:rsidRPr="00315FA0" w:rsidRDefault="00CD1279" w:rsidP="006D48E2">
            <w:pPr>
              <w:spacing w:before="40" w:after="40"/>
              <w:rPr>
                <w:rFonts w:ascii="Arial Narrow" w:hAnsi="Arial Narrow"/>
              </w:rPr>
            </w:pPr>
            <w:r w:rsidRPr="00315FA0">
              <w:rPr>
                <w:rFonts w:ascii="Arial Narrow" w:hAnsi="Arial Narrow"/>
              </w:rPr>
              <w:t>Parágrafo. La publicación utilizará los registros existentes y protegerá los datos personales y la información cuya divulgación pueda incrementar el riesgo de las comunidades o de las operaciones.</w:t>
            </w:r>
          </w:p>
        </w:tc>
        <w:tc>
          <w:tcPr>
            <w:tcW w:w="3500" w:type="dxa"/>
          </w:tcPr>
          <w:p w:rsidR="00CD1279" w:rsidRPr="00315FA0" w:rsidRDefault="00CD1279" w:rsidP="006D48E2">
            <w:pPr>
              <w:spacing w:before="40" w:after="40"/>
              <w:rPr>
                <w:rFonts w:ascii="Arial Narrow" w:hAnsi="Arial Narrow"/>
              </w:rPr>
            </w:pPr>
            <w:r w:rsidRPr="00315FA0">
              <w:rPr>
                <w:rFonts w:ascii="Arial Narrow" w:hAnsi="Arial Narrow"/>
              </w:rPr>
              <w:lastRenderedPageBreak/>
              <w:t xml:space="preserve">ARTÍCULO 10. ESTADÍSTICA OFICIAL Y DATOS ABIERTOS. La entidad que ejerza la secretaría técnica de la Comisión Intersectorial Nacional para la Acción contra Minas Antipersonal publicará anualmente, a más tardar el 31 de marzo y en formato de datos abiertos, estadísticas agregadas con corte al 31 de diciembre del año anterior sobre víctimas y avance de la </w:t>
            </w:r>
            <w:r w:rsidRPr="00315FA0">
              <w:rPr>
                <w:rFonts w:ascii="Arial Narrow" w:hAnsi="Arial Narrow"/>
              </w:rPr>
              <w:lastRenderedPageBreak/>
              <w:t>descontaminación. Las estadísticas de víctimas se desagregarán por departamento, municipio, condición de la víctima, sexo y rango de edad. Los resultados operacionales se desagregarán por territorio y organización de desminado humanitario e incluirán áreas intervenidas, áreas entregadas y artefactos destruidos.</w:t>
            </w:r>
          </w:p>
          <w:p w:rsidR="00CD1279" w:rsidRPr="00315FA0" w:rsidRDefault="00CD1279" w:rsidP="006D48E2">
            <w:pPr>
              <w:spacing w:before="40" w:after="40"/>
              <w:rPr>
                <w:rFonts w:ascii="Arial Narrow" w:hAnsi="Arial Narrow"/>
              </w:rPr>
            </w:pPr>
            <w:r w:rsidRPr="00315FA0">
              <w:rPr>
                <w:rFonts w:ascii="Arial Narrow" w:hAnsi="Arial Narrow"/>
              </w:rPr>
              <w:t>Parágrafo. La publicación utilizará los registros y sistemas de información existentes y protegerá los datos personales conforme a la Ley 1581 de 2012 y la información clasificada y reservada conforme a los artículos 18 y 19 de la Ley 1712 de 2014, en especial la que pueda poner en riesgo la vida o la seguridad de las víctimas, las comunidades, el personal o las operaciones. Estas salvaguardas se aplicarán también a lo previsto en los artículos 7 y 11.</w:t>
            </w:r>
          </w:p>
        </w:tc>
        <w:tc>
          <w:tcPr>
            <w:tcW w:w="2200" w:type="dxa"/>
          </w:tcPr>
          <w:p w:rsidR="00CD1279" w:rsidRPr="00315FA0" w:rsidRDefault="00CD1279" w:rsidP="006D48E2">
            <w:pPr>
              <w:spacing w:before="40" w:after="40"/>
              <w:rPr>
                <w:rFonts w:ascii="Arial Narrow" w:hAnsi="Arial Narrow"/>
              </w:rPr>
            </w:pPr>
            <w:r w:rsidRPr="00315FA0">
              <w:rPr>
                <w:rFonts w:ascii="Arial Narrow" w:hAnsi="Arial Narrow"/>
              </w:rPr>
              <w:lastRenderedPageBreak/>
              <w:t xml:space="preserve">MODIFICADO. Precisa la entidad que publica y el corte de los datos; separa las variables de víctimas de los resultados operacionales; usa los sistemas existentes para no duplicar; remite a las excepciones de los arts. </w:t>
            </w:r>
            <w:r w:rsidRPr="00315FA0">
              <w:rPr>
                <w:rFonts w:ascii="Arial Narrow" w:hAnsi="Arial Narrow"/>
              </w:rPr>
              <w:lastRenderedPageBreak/>
              <w:t>18 y 19 de la Ley 1712 de 2014 y a la Ley 1581 de 2012, sin crear reservas nuevas (C-274 de 2013).</w:t>
            </w:r>
          </w:p>
        </w:tc>
      </w:tr>
      <w:tr w:rsidR="00CD1279" w:rsidRPr="00315FA0" w:rsidTr="006D48E2">
        <w:trPr>
          <w:jc w:val="center"/>
        </w:trPr>
        <w:tc>
          <w:tcPr>
            <w:tcW w:w="3500" w:type="dxa"/>
          </w:tcPr>
          <w:p w:rsidR="00CD1279" w:rsidRPr="00315FA0" w:rsidRDefault="00CD1279" w:rsidP="006D48E2">
            <w:pPr>
              <w:spacing w:before="40" w:after="40"/>
              <w:rPr>
                <w:rFonts w:ascii="Arial Narrow" w:hAnsi="Arial Narrow"/>
              </w:rPr>
            </w:pPr>
            <w:r w:rsidRPr="00315FA0">
              <w:rPr>
                <w:rFonts w:ascii="Arial Narrow" w:hAnsi="Arial Narrow"/>
              </w:rPr>
              <w:lastRenderedPageBreak/>
              <w:t>ARTÍCULO 11. INFORME ANUAL AL CONGRESO. El Gobierno Nacional presentará anualmente, antes del 31 de marzo, a las Comisiones Segundas Constitucionales Permanentes un informe sobre el estado de la acción integral contra minas antipersonal, que incluirá las estadísticas oficiales, la priorización territorial y las organizaciones civiles acreditadas y avaladas.</w:t>
            </w:r>
          </w:p>
        </w:tc>
        <w:tc>
          <w:tcPr>
            <w:tcW w:w="3500" w:type="dxa"/>
          </w:tcPr>
          <w:p w:rsidR="00CD1279" w:rsidRPr="00315FA0" w:rsidRDefault="00CD1279" w:rsidP="006D48E2">
            <w:pPr>
              <w:spacing w:before="40" w:after="40"/>
              <w:rPr>
                <w:rFonts w:ascii="Arial Narrow" w:hAnsi="Arial Narrow"/>
              </w:rPr>
            </w:pPr>
            <w:r w:rsidRPr="00315FA0">
              <w:rPr>
                <w:rFonts w:ascii="Arial Narrow" w:hAnsi="Arial Narrow"/>
              </w:rPr>
              <w:t>ARTÍCULO 11. INFORME ANUAL AL CONGRESO. El Gobierno Nacional presentará anualmente, antes del 31 de marzo, a las Comisiones Primeras y Segundas Constitucionales Permanentes un informe sobre el estado de la acción integral contra minas antipersonal durante el año calendario anterior, que incluirá las estadísticas oficiales, la priorización territorial, las organizaciones civiles certificadas y avaladas, el número agregado de personal operativo y las fuentes de financiación de las actividades de desminado humanitario de cada operador.</w:t>
            </w:r>
          </w:p>
          <w:p w:rsidR="00CD1279" w:rsidRPr="00315FA0" w:rsidRDefault="00CD1279" w:rsidP="006D48E2">
            <w:pPr>
              <w:spacing w:before="40" w:after="40"/>
              <w:rPr>
                <w:rFonts w:ascii="Arial Narrow" w:hAnsi="Arial Narrow"/>
              </w:rPr>
            </w:pPr>
            <w:r w:rsidRPr="00315FA0">
              <w:rPr>
                <w:rFonts w:ascii="Arial Narrow" w:hAnsi="Arial Narrow"/>
              </w:rPr>
              <w:t>Parágrafo. El informe utilizará los registros existentes y observará las salvaguardas del artículo 10. Esta disposición no crea obligaciones de reporte directo de los operadores al Congreso.</w:t>
            </w:r>
          </w:p>
        </w:tc>
        <w:tc>
          <w:tcPr>
            <w:tcW w:w="2200" w:type="dxa"/>
          </w:tcPr>
          <w:p w:rsidR="00CD1279" w:rsidRPr="00315FA0" w:rsidRDefault="00CD1279" w:rsidP="006D48E2">
            <w:pPr>
              <w:spacing w:before="40" w:after="40"/>
              <w:rPr>
                <w:rFonts w:ascii="Arial Narrow" w:hAnsi="Arial Narrow"/>
              </w:rPr>
            </w:pPr>
            <w:r w:rsidRPr="00315FA0">
              <w:rPr>
                <w:rFonts w:ascii="Arial Narrow" w:hAnsi="Arial Narrow"/>
              </w:rPr>
              <w:t>MODIFICADO. La Comisión Primera tramita la Ley 418 de 1997 y sus prórrogas. El personal operativo se informa en cifra agregada y la financiación se limita a las actividades de desminado. No crea reporte directo de los operadores al Congreso.</w:t>
            </w:r>
          </w:p>
        </w:tc>
      </w:tr>
      <w:tr w:rsidR="00CD1279" w:rsidRPr="00315FA0" w:rsidTr="006D48E2">
        <w:trPr>
          <w:jc w:val="center"/>
        </w:trPr>
        <w:tc>
          <w:tcPr>
            <w:tcW w:w="3500" w:type="dxa"/>
          </w:tcPr>
          <w:p w:rsidR="00CD1279" w:rsidRPr="00315FA0" w:rsidRDefault="00CD1279" w:rsidP="006D48E2">
            <w:pPr>
              <w:spacing w:before="40" w:after="40"/>
              <w:rPr>
                <w:rFonts w:ascii="Arial Narrow" w:hAnsi="Arial Narrow"/>
              </w:rPr>
            </w:pPr>
            <w:r w:rsidRPr="00315FA0">
              <w:rPr>
                <w:rFonts w:ascii="Arial Narrow" w:hAnsi="Arial Narrow"/>
              </w:rPr>
              <w:lastRenderedPageBreak/>
              <w:t>ARTÍCULO 12. ARMONIZACIÓN. La presente ley se aplicará de manera concurrente y complementaria con las Leyes 554 de 2000, 759 de 2002, 1421 de 2010 y 1448 de 2011, y las normas que las modifiquen, adicionen o sustituyan. No modifica las competencias de la Comisión Intersectorial Nacional para la Acción contra Minas Antipersonal ni el régimen de sanidad de la Fuerza Pública.</w:t>
            </w:r>
          </w:p>
        </w:tc>
        <w:tc>
          <w:tcPr>
            <w:tcW w:w="3500" w:type="dxa"/>
          </w:tcPr>
          <w:p w:rsidR="00CD1279" w:rsidRPr="00315FA0" w:rsidRDefault="00CD1279" w:rsidP="006D48E2">
            <w:pPr>
              <w:spacing w:before="40" w:after="40"/>
              <w:rPr>
                <w:rFonts w:ascii="Arial Narrow" w:hAnsi="Arial Narrow"/>
              </w:rPr>
            </w:pPr>
            <w:r w:rsidRPr="00315FA0">
              <w:rPr>
                <w:rFonts w:ascii="Arial Narrow" w:hAnsi="Arial Narrow"/>
              </w:rPr>
              <w:t>ARTÍCULO 12. ARMONIZACIÓN Y DEROGATORIA. La presente ley se aplicará de manera concurrente y complementaria con las Leyes 554 de 2000, 759 de 2002 y 1448 de 2011, y las normas que las modifiquen, adicionen o sustituyan. No modifica las competencias de la Comisión Intersectorial Nacional para la Acción contra Minas Antipersonal ni el régimen de sanidad de la Fuerza Pública.</w:t>
            </w:r>
          </w:p>
          <w:p w:rsidR="00CD1279" w:rsidRPr="00315FA0" w:rsidRDefault="00CD1279" w:rsidP="006D48E2">
            <w:pPr>
              <w:spacing w:before="40" w:after="40"/>
              <w:rPr>
                <w:rFonts w:ascii="Arial Narrow" w:hAnsi="Arial Narrow"/>
              </w:rPr>
            </w:pPr>
            <w:r w:rsidRPr="00315FA0">
              <w:rPr>
                <w:rFonts w:ascii="Arial Narrow" w:hAnsi="Arial Narrow"/>
              </w:rPr>
              <w:t>Deróguese el artículo 9 de la Ley 1421 de 2010, cuya habilitación se incorpora con carácter permanente en el artículo 2 de la presente ley. Las remisiones normativas al artículo derogado se entenderán hechas al artículo 2 de esta ley.</w:t>
            </w:r>
          </w:p>
        </w:tc>
        <w:tc>
          <w:tcPr>
            <w:tcW w:w="2200" w:type="dxa"/>
          </w:tcPr>
          <w:p w:rsidR="00CD1279" w:rsidRPr="00315FA0" w:rsidRDefault="00CD1279" w:rsidP="006D48E2">
            <w:pPr>
              <w:spacing w:before="40" w:after="40"/>
              <w:rPr>
                <w:rFonts w:ascii="Arial Narrow" w:hAnsi="Arial Narrow"/>
              </w:rPr>
            </w:pPr>
            <w:r w:rsidRPr="00315FA0">
              <w:rPr>
                <w:rFonts w:ascii="Arial Narrow" w:hAnsi="Arial Narrow"/>
              </w:rPr>
              <w:t>MODIFICADO. Evita la doble regulación y dispone que las remisiones al art. 9 de la Ley 1421 de 2010, incluidas las del Decreto 3750 de 2011, se entiendan hechas al art. 2.</w:t>
            </w:r>
          </w:p>
        </w:tc>
      </w:tr>
      <w:tr w:rsidR="00CD1279" w:rsidRPr="00315FA0" w:rsidTr="006D48E2">
        <w:trPr>
          <w:jc w:val="center"/>
        </w:trPr>
        <w:tc>
          <w:tcPr>
            <w:tcW w:w="3500" w:type="dxa"/>
          </w:tcPr>
          <w:p w:rsidR="00CD1279" w:rsidRPr="00315FA0" w:rsidRDefault="00CD1279" w:rsidP="006D48E2">
            <w:pPr>
              <w:spacing w:before="40" w:after="40"/>
              <w:rPr>
                <w:rFonts w:ascii="Arial Narrow" w:hAnsi="Arial Narrow"/>
              </w:rPr>
            </w:pPr>
            <w:r w:rsidRPr="00315FA0">
              <w:rPr>
                <w:rFonts w:ascii="Arial Narrow" w:hAnsi="Arial Narrow"/>
              </w:rPr>
              <w:t>ARTÍCULO 13. VIGENCIA. La presente ley rige a partir de su promulgación y deroga las disposiciones que le sean contrarias.</w:t>
            </w:r>
          </w:p>
        </w:tc>
        <w:tc>
          <w:tcPr>
            <w:tcW w:w="3500" w:type="dxa"/>
          </w:tcPr>
          <w:p w:rsidR="00CD1279" w:rsidRPr="00315FA0" w:rsidRDefault="00CD1279" w:rsidP="006D48E2">
            <w:pPr>
              <w:spacing w:before="40" w:after="40"/>
              <w:rPr>
                <w:rFonts w:ascii="Arial Narrow" w:hAnsi="Arial Narrow"/>
              </w:rPr>
            </w:pPr>
            <w:r w:rsidRPr="00315FA0">
              <w:rPr>
                <w:rFonts w:ascii="Arial Narrow" w:hAnsi="Arial Narrow"/>
              </w:rPr>
              <w:t>ARTÍCULO 13. VIGENCIA. La presente ley rige a partir de su promulgación y deroga las disposiciones que le sean contrarias.</w:t>
            </w:r>
          </w:p>
        </w:tc>
        <w:tc>
          <w:tcPr>
            <w:tcW w:w="2200" w:type="dxa"/>
          </w:tcPr>
          <w:p w:rsidR="00CD1279" w:rsidRPr="00315FA0" w:rsidRDefault="00CD1279" w:rsidP="006D48E2">
            <w:pPr>
              <w:spacing w:before="40" w:after="40"/>
              <w:rPr>
                <w:rFonts w:ascii="Arial Narrow" w:hAnsi="Arial Narrow"/>
              </w:rPr>
            </w:pPr>
            <w:r w:rsidRPr="00315FA0">
              <w:rPr>
                <w:rFonts w:ascii="Arial Narrow" w:hAnsi="Arial Narrow"/>
              </w:rPr>
              <w:t>SIN MODIFICACIÓN. Conserva el número 13 por la integración del art. 8 radicado como parágrafo del art. 8.</w:t>
            </w:r>
          </w:p>
        </w:tc>
      </w:tr>
    </w:tbl>
    <w:p w:rsidR="00CD1279" w:rsidRPr="00315FA0" w:rsidRDefault="00CD1279" w:rsidP="00CD1279">
      <w:pPr>
        <w:spacing w:line="276" w:lineRule="auto"/>
        <w:jc w:val="both"/>
        <w:rPr>
          <w:rFonts w:ascii="Arial Narrow" w:hAnsi="Arial Narrow"/>
        </w:rPr>
      </w:pPr>
    </w:p>
    <w:p w:rsidR="00CD1279" w:rsidRPr="00315FA0" w:rsidRDefault="00CD1279" w:rsidP="00CD1279">
      <w:pPr>
        <w:keepNext/>
        <w:spacing w:line="276" w:lineRule="auto"/>
        <w:jc w:val="center"/>
        <w:rPr>
          <w:rFonts w:ascii="Arial Narrow" w:hAnsi="Arial Narrow"/>
        </w:rPr>
      </w:pPr>
      <w:r w:rsidRPr="00315FA0">
        <w:rPr>
          <w:rFonts w:ascii="Arial Narrow" w:hAnsi="Arial Narrow"/>
          <w:b/>
          <w:bCs/>
        </w:rPr>
        <w:t>IX. IMPACTO FISCAL</w:t>
      </w:r>
    </w:p>
    <w:p w:rsidR="00CD1279" w:rsidRPr="00315FA0" w:rsidRDefault="00CD1279" w:rsidP="00CD1279">
      <w:pPr>
        <w:keepNext/>
        <w:spacing w:line="276" w:lineRule="auto"/>
        <w:jc w:val="both"/>
        <w:rPr>
          <w:rFonts w:ascii="Arial Narrow" w:hAnsi="Arial Narrow"/>
        </w:rPr>
      </w:pPr>
    </w:p>
    <w:p w:rsidR="00CD1279" w:rsidRPr="00315FA0" w:rsidRDefault="00CD1279" w:rsidP="00CD1279">
      <w:pPr>
        <w:spacing w:line="276" w:lineRule="auto"/>
        <w:jc w:val="both"/>
        <w:rPr>
          <w:rFonts w:ascii="Arial Narrow" w:hAnsi="Arial Narrow"/>
        </w:rPr>
      </w:pPr>
      <w:r w:rsidRPr="00315FA0">
        <w:rPr>
          <w:rFonts w:ascii="Arial Narrow" w:hAnsi="Arial Narrow"/>
        </w:rPr>
        <w:t>En cumplimiento del artículo 7 de la Ley 819 de 2003, se deja constancia de que el texto propuesto no crea entidades, dependencias, cargos, fondos ni apropiaciones. Reproduce una habilitación existente y mantiene las fuentes actuales de financiación de las operaciones. La atención a víctimas se presta por el Sistema General de Seguridad Social en Salud y las medidas existentes, y la información estadística usa registros que la autoridad ya administra. El concepto del Ministerio de Hacienda y Crédito Público fue solicitado el 25 de septiembre de 2026.</w:t>
      </w:r>
    </w:p>
    <w:p w:rsidR="00CD1279" w:rsidRPr="00315FA0" w:rsidRDefault="00CD1279" w:rsidP="00CD1279">
      <w:pPr>
        <w:spacing w:line="276" w:lineRule="auto"/>
        <w:jc w:val="both"/>
        <w:rPr>
          <w:rFonts w:ascii="Arial Narrow" w:hAnsi="Arial Narrow"/>
        </w:rPr>
      </w:pPr>
    </w:p>
    <w:p w:rsidR="00CD1279" w:rsidRPr="00315FA0" w:rsidRDefault="00CD1279" w:rsidP="00CD1279">
      <w:pPr>
        <w:keepNext/>
        <w:spacing w:line="276" w:lineRule="auto"/>
        <w:jc w:val="center"/>
        <w:rPr>
          <w:rFonts w:ascii="Arial Narrow" w:hAnsi="Arial Narrow"/>
        </w:rPr>
      </w:pPr>
      <w:r w:rsidRPr="00315FA0">
        <w:rPr>
          <w:rFonts w:ascii="Arial Narrow" w:hAnsi="Arial Narrow"/>
          <w:b/>
          <w:bCs/>
        </w:rPr>
        <w:t>X. CONFLICTO DE INTERÉS</w:t>
      </w:r>
    </w:p>
    <w:p w:rsidR="00CD1279" w:rsidRPr="00315FA0" w:rsidRDefault="00CD1279" w:rsidP="00CD1279">
      <w:pPr>
        <w:keepNext/>
        <w:spacing w:line="276" w:lineRule="auto"/>
        <w:jc w:val="both"/>
        <w:rPr>
          <w:rFonts w:ascii="Arial Narrow" w:hAnsi="Arial Narrow"/>
        </w:rPr>
      </w:pPr>
    </w:p>
    <w:p w:rsidR="00CD1279" w:rsidRPr="00315FA0" w:rsidRDefault="00CD1279" w:rsidP="00CD1279">
      <w:pPr>
        <w:spacing w:line="276" w:lineRule="auto"/>
        <w:jc w:val="both"/>
        <w:rPr>
          <w:rFonts w:ascii="Arial Narrow" w:hAnsi="Arial Narrow"/>
        </w:rPr>
      </w:pPr>
      <w:r w:rsidRPr="00315FA0">
        <w:rPr>
          <w:rFonts w:ascii="Arial Narrow" w:hAnsi="Arial Narrow"/>
        </w:rPr>
        <w:t>De conformidad con el artículo 291 de la Ley 5ª de 1992, modificado por el artículo 3 de la Ley 2003 de 2019, se considera que la iniciativa contiene reglas generales, abstractas e impersonales y no genera beneficio particular, actual y directo a favor de congresista alguno. El coordinador ponente H.R. Guillermo León Blanco Valencia deja constancia de su condición de oficial en retiro del Ejército Nacional; esta condición no configura beneficio particular, actual y directo, por cuanto el parágrafo del artículo 8 propuesto se limita a impedir la exclusión de la víctima de la Fuerza Pública de medidas generales, sin crear prestaciones ni modificar su régimen especial. Cada congresista deberá examinar su situación particular.</w:t>
      </w:r>
    </w:p>
    <w:p w:rsidR="00CD1279" w:rsidRPr="00315FA0" w:rsidRDefault="00CD1279" w:rsidP="00CD1279">
      <w:pPr>
        <w:spacing w:line="276" w:lineRule="auto"/>
        <w:jc w:val="both"/>
        <w:rPr>
          <w:rFonts w:ascii="Arial Narrow" w:hAnsi="Arial Narrow"/>
        </w:rPr>
      </w:pPr>
    </w:p>
    <w:p w:rsidR="00CD1279" w:rsidRPr="00315FA0" w:rsidRDefault="00CD1279" w:rsidP="00CD1279">
      <w:pPr>
        <w:keepNext/>
        <w:spacing w:line="276" w:lineRule="auto"/>
        <w:jc w:val="center"/>
        <w:rPr>
          <w:rFonts w:ascii="Arial Narrow" w:hAnsi="Arial Narrow"/>
        </w:rPr>
      </w:pPr>
      <w:r w:rsidRPr="00315FA0">
        <w:rPr>
          <w:rFonts w:ascii="Arial Narrow" w:hAnsi="Arial Narrow"/>
          <w:b/>
          <w:bCs/>
        </w:rPr>
        <w:lastRenderedPageBreak/>
        <w:t>XI. CONSULTA PREVIA</w:t>
      </w:r>
    </w:p>
    <w:p w:rsidR="00CD1279" w:rsidRPr="00315FA0" w:rsidRDefault="00CD1279" w:rsidP="00CD1279">
      <w:pPr>
        <w:keepNext/>
        <w:spacing w:line="276" w:lineRule="auto"/>
        <w:jc w:val="both"/>
        <w:rPr>
          <w:rFonts w:ascii="Arial Narrow" w:hAnsi="Arial Narrow"/>
        </w:rPr>
      </w:pPr>
    </w:p>
    <w:p w:rsidR="00CD1279" w:rsidRPr="00315FA0" w:rsidRDefault="00CD1279" w:rsidP="00CD1279">
      <w:pPr>
        <w:spacing w:line="276" w:lineRule="auto"/>
        <w:jc w:val="both"/>
        <w:rPr>
          <w:rFonts w:ascii="Arial Narrow" w:hAnsi="Arial Narrow"/>
        </w:rPr>
      </w:pPr>
      <w:r w:rsidRPr="00315FA0">
        <w:rPr>
          <w:rFonts w:ascii="Arial Narrow" w:hAnsi="Arial Narrow"/>
        </w:rPr>
        <w:t>La iniciativa establece reglas generales de habilitación, continuidad, atención e información, sin medidas específicas sobre territorios colectivos ni autoridades de pueblos étnicos. No se identifica afectación directa que haga exigible la consulta previa (Convenio 169 de la OIT, Ley 21 de 1991). Las operaciones en territorios étnicos continúan sujetas a los mecanismos de coordinación con las autoridades propias.</w:t>
      </w:r>
    </w:p>
    <w:p w:rsidR="00CD1279" w:rsidRPr="00315FA0" w:rsidRDefault="00CD1279" w:rsidP="00CD1279">
      <w:pPr>
        <w:spacing w:line="276" w:lineRule="auto"/>
        <w:jc w:val="both"/>
        <w:rPr>
          <w:rFonts w:ascii="Arial Narrow" w:hAnsi="Arial Narrow"/>
        </w:rPr>
      </w:pPr>
    </w:p>
    <w:p w:rsidR="00CD1279" w:rsidRPr="00315FA0" w:rsidRDefault="00CD1279" w:rsidP="00CD1279">
      <w:pPr>
        <w:keepNext/>
        <w:spacing w:line="276" w:lineRule="auto"/>
        <w:jc w:val="center"/>
        <w:rPr>
          <w:rFonts w:ascii="Arial Narrow" w:hAnsi="Arial Narrow"/>
        </w:rPr>
      </w:pPr>
      <w:r w:rsidRPr="00315FA0">
        <w:rPr>
          <w:rFonts w:ascii="Arial Narrow" w:hAnsi="Arial Narrow"/>
          <w:b/>
          <w:bCs/>
        </w:rPr>
        <w:t>XII. PROPOSICIÓN</w:t>
      </w:r>
    </w:p>
    <w:p w:rsidR="00CD1279" w:rsidRPr="00315FA0" w:rsidRDefault="00CD1279" w:rsidP="00CD1279">
      <w:pPr>
        <w:keepNext/>
        <w:spacing w:line="276" w:lineRule="auto"/>
        <w:jc w:val="both"/>
        <w:rPr>
          <w:rFonts w:ascii="Arial Narrow" w:hAnsi="Arial Narrow"/>
        </w:rPr>
      </w:pPr>
    </w:p>
    <w:p w:rsidR="00CD1279" w:rsidRPr="00315FA0" w:rsidRDefault="00CD1279" w:rsidP="00CD1279">
      <w:pPr>
        <w:spacing w:line="276" w:lineRule="auto"/>
        <w:jc w:val="both"/>
        <w:rPr>
          <w:rFonts w:ascii="Arial Narrow" w:hAnsi="Arial Narrow"/>
        </w:rPr>
      </w:pPr>
      <w:r w:rsidRPr="00315FA0">
        <w:rPr>
          <w:rFonts w:ascii="Arial Narrow" w:hAnsi="Arial Narrow"/>
        </w:rPr>
        <w:t>CON FUNDAMENTO EN LAS CONSIDERACIONES EXPUESTAS, PRESENTAMOS PONENCIA POSITIVA Y SOLICITAMOS A LA COMISIÓN PRIMERA CONSTITUCIONAL PERMANENTE DE LA CÁMARA DE REPRESENTANTES DAR PRIMER DEBATE Y APROBAR EL PROYECTO DE LEY NO. 345 DE 2026 CÁMARA, “POR MEDIO DE LA CUAL SE CONFIERE CARÁCTER PERMANENTE AL MARCO LEGAL DE LA ACCIÓN INTEGRAL CONTRA MINAS ANTIPERSONAL, SE FORTALECEN EL DESMINADO HUMANITARIO Y LA ATENCIÓN A LAS VÍCTIMAS Y SE DICTAN OTRAS DISPOSICIONES”, CONFORME AL PLIEGO DE MODIFICACIONES Y AL TEXTO PROPUESTO QUE SE ADJUNTA.</w:t>
      </w:r>
    </w:p>
    <w:p w:rsidR="00CD1279" w:rsidRPr="00315FA0" w:rsidRDefault="00CD1279" w:rsidP="00CD1279">
      <w:pPr>
        <w:spacing w:line="276" w:lineRule="auto"/>
        <w:jc w:val="both"/>
        <w:rPr>
          <w:rFonts w:ascii="Arial Narrow" w:hAnsi="Arial Narrow"/>
        </w:rPr>
      </w:pPr>
    </w:p>
    <w:p w:rsidR="00CD1279" w:rsidRPr="00315FA0" w:rsidRDefault="00CD1279" w:rsidP="00CD1279">
      <w:pPr>
        <w:spacing w:line="276" w:lineRule="auto"/>
        <w:rPr>
          <w:rFonts w:ascii="Arial Narrow" w:hAnsi="Arial Narrow"/>
        </w:rPr>
        <w:sectPr w:rsidR="00CD1279" w:rsidRPr="00315FA0" w:rsidSect="00CD1279">
          <w:type w:val="continuous"/>
          <w:pgSz w:w="12240" w:h="15840"/>
          <w:pgMar w:top="2100" w:right="1040" w:bottom="1900" w:left="1040" w:header="300" w:footer="250" w:gutter="0"/>
          <w:cols w:space="720"/>
          <w:docGrid w:linePitch="360"/>
        </w:sectPr>
      </w:pPr>
    </w:p>
    <w:p w:rsidR="00DA2EB7" w:rsidRDefault="00CD1279" w:rsidP="00CD1279">
      <w:pPr>
        <w:spacing w:line="276" w:lineRule="auto"/>
        <w:rPr>
          <w:rFonts w:ascii="Arial Narrow" w:hAnsi="Arial Narrow"/>
        </w:rPr>
      </w:pPr>
      <w:r w:rsidRPr="00315FA0">
        <w:rPr>
          <w:rFonts w:ascii="Arial Narrow" w:hAnsi="Arial Narrow"/>
        </w:rPr>
        <w:t>De los honorables Representantes,</w:t>
      </w:r>
    </w:p>
    <w:p w:rsidR="00F2687B" w:rsidRPr="00315FA0" w:rsidRDefault="00F2687B" w:rsidP="00CD1279">
      <w:pPr>
        <w:spacing w:line="276" w:lineRule="auto"/>
        <w:rPr>
          <w:rFonts w:ascii="Arial Narrow" w:hAnsi="Arial Narrow"/>
        </w:rPr>
      </w:pPr>
    </w:p>
    <w:p w:rsidR="00CD1279" w:rsidRPr="00315FA0" w:rsidRDefault="00CD1279" w:rsidP="00CD1279">
      <w:pPr>
        <w:spacing w:line="276" w:lineRule="auto"/>
        <w:rPr>
          <w:rFonts w:ascii="Arial Narrow" w:hAnsi="Arial Narrow"/>
        </w:rPr>
      </w:pPr>
    </w:p>
    <w:p w:rsidR="00CD1279" w:rsidRPr="00315FA0" w:rsidRDefault="00CD1279" w:rsidP="00CD1279">
      <w:pPr>
        <w:spacing w:line="276" w:lineRule="auto"/>
        <w:rPr>
          <w:rFonts w:ascii="Arial Narrow" w:hAnsi="Arial Narrow"/>
        </w:rPr>
      </w:pPr>
    </w:p>
    <w:p w:rsidR="00CD1279" w:rsidRPr="00315FA0" w:rsidRDefault="00CD1279" w:rsidP="00CD1279">
      <w:pPr>
        <w:spacing w:line="276" w:lineRule="auto"/>
        <w:jc w:val="both"/>
        <w:rPr>
          <w:rFonts w:ascii="Arial Narrow" w:hAnsi="Arial Narrow"/>
        </w:rPr>
      </w:pPr>
    </w:p>
    <w:p w:rsidR="00CD1279" w:rsidRPr="00315FA0" w:rsidRDefault="00CD1279" w:rsidP="00CD1279">
      <w:pPr>
        <w:keepNext/>
        <w:spacing w:line="276" w:lineRule="auto"/>
        <w:rPr>
          <w:rFonts w:ascii="Arial Narrow" w:hAnsi="Arial Narrow"/>
          <w:b/>
        </w:rPr>
        <w:sectPr w:rsidR="00CD1279" w:rsidRPr="00315FA0" w:rsidSect="00CD1279">
          <w:type w:val="continuous"/>
          <w:pgSz w:w="12240" w:h="15840"/>
          <w:pgMar w:top="2100" w:right="1040" w:bottom="1900" w:left="1040" w:header="300" w:footer="250" w:gutter="0"/>
          <w:cols w:num="2" w:space="720"/>
          <w:docGrid w:linePitch="360"/>
        </w:sectPr>
      </w:pPr>
    </w:p>
    <w:p w:rsidR="00CD1279" w:rsidRPr="00315FA0" w:rsidRDefault="00CD1279" w:rsidP="00CD1279">
      <w:pPr>
        <w:keepNext/>
        <w:spacing w:line="276" w:lineRule="auto"/>
        <w:rPr>
          <w:rFonts w:ascii="Arial Narrow" w:hAnsi="Arial Narrow"/>
          <w:b/>
        </w:rPr>
      </w:pPr>
      <w:r w:rsidRPr="00315FA0">
        <w:rPr>
          <w:rFonts w:ascii="Arial Narrow" w:hAnsi="Arial Narrow"/>
          <w:b/>
        </w:rPr>
        <w:t>H.R GUILLERMO LEÓN BLANCO VALENCIA</w:t>
      </w:r>
    </w:p>
    <w:p w:rsidR="00CD1279" w:rsidRPr="00315FA0" w:rsidRDefault="00CD1279" w:rsidP="00AA4905">
      <w:pPr>
        <w:spacing w:line="276" w:lineRule="auto"/>
        <w:rPr>
          <w:rFonts w:ascii="Arial Narrow" w:hAnsi="Arial Narrow"/>
        </w:rPr>
      </w:pPr>
      <w:r w:rsidRPr="00315FA0">
        <w:rPr>
          <w:rFonts w:ascii="Arial Narrow" w:hAnsi="Arial Narrow"/>
        </w:rPr>
        <w:t>Representante a la Cámara – Coordinador ponente</w:t>
      </w:r>
    </w:p>
    <w:p w:rsidR="00CD1279" w:rsidRPr="00315FA0" w:rsidRDefault="00CD1279" w:rsidP="00CD1279">
      <w:pPr>
        <w:spacing w:line="276" w:lineRule="auto"/>
        <w:jc w:val="both"/>
        <w:rPr>
          <w:rFonts w:ascii="Arial Narrow" w:hAnsi="Arial Narrow"/>
        </w:rPr>
      </w:pPr>
    </w:p>
    <w:p w:rsidR="00CD1279" w:rsidRPr="00315FA0" w:rsidRDefault="00CD1279" w:rsidP="00CD1279">
      <w:pPr>
        <w:spacing w:line="276" w:lineRule="auto"/>
        <w:jc w:val="both"/>
        <w:rPr>
          <w:rFonts w:ascii="Arial Narrow" w:hAnsi="Arial Narrow"/>
        </w:rPr>
      </w:pPr>
    </w:p>
    <w:p w:rsidR="00CD1279" w:rsidRPr="00315FA0" w:rsidRDefault="00CD1279" w:rsidP="00CD1279">
      <w:pPr>
        <w:keepNext/>
        <w:spacing w:line="276" w:lineRule="auto"/>
        <w:rPr>
          <w:rFonts w:ascii="Arial Narrow" w:hAnsi="Arial Narrow"/>
          <w:b/>
        </w:rPr>
      </w:pPr>
      <w:r w:rsidRPr="00315FA0">
        <w:rPr>
          <w:rFonts w:ascii="Arial Narrow" w:hAnsi="Arial Narrow"/>
          <w:b/>
        </w:rPr>
        <w:t>H.R DANIEL FELIPE BERNAL MONTEALEGRE</w:t>
      </w:r>
    </w:p>
    <w:p w:rsidR="00CD1279" w:rsidRPr="00315FA0" w:rsidRDefault="00CD1279" w:rsidP="00CD1279">
      <w:pPr>
        <w:spacing w:line="276" w:lineRule="auto"/>
        <w:rPr>
          <w:rFonts w:ascii="Arial Narrow" w:hAnsi="Arial Narrow"/>
        </w:rPr>
      </w:pPr>
      <w:r w:rsidRPr="00315FA0">
        <w:rPr>
          <w:rFonts w:ascii="Arial Narrow" w:hAnsi="Arial Narrow"/>
        </w:rPr>
        <w:t>Representante a la Cámara – Coordinador ponente</w:t>
      </w:r>
    </w:p>
    <w:p w:rsidR="00CD1279" w:rsidRPr="00315FA0" w:rsidRDefault="00CD1279" w:rsidP="00CD1279">
      <w:pPr>
        <w:spacing w:line="276" w:lineRule="auto"/>
        <w:jc w:val="both"/>
        <w:rPr>
          <w:rFonts w:ascii="Arial Narrow" w:hAnsi="Arial Narrow"/>
        </w:rPr>
      </w:pPr>
    </w:p>
    <w:p w:rsidR="00AA4905" w:rsidRPr="00315FA0" w:rsidRDefault="00AA4905" w:rsidP="00CD1279">
      <w:pPr>
        <w:spacing w:line="276" w:lineRule="auto"/>
        <w:jc w:val="both"/>
        <w:rPr>
          <w:rFonts w:ascii="Arial Narrow" w:hAnsi="Arial Narrow"/>
        </w:rPr>
      </w:pPr>
    </w:p>
    <w:p w:rsidR="00CD1279" w:rsidRPr="00315FA0" w:rsidRDefault="00CD1279" w:rsidP="00CD1279">
      <w:pPr>
        <w:keepNext/>
        <w:spacing w:line="276" w:lineRule="auto"/>
        <w:rPr>
          <w:rFonts w:ascii="Arial Narrow" w:hAnsi="Arial Narrow"/>
          <w:b/>
        </w:rPr>
      </w:pPr>
      <w:r w:rsidRPr="00315FA0">
        <w:rPr>
          <w:rFonts w:ascii="Arial Narrow" w:hAnsi="Arial Narrow"/>
          <w:b/>
        </w:rPr>
        <w:t>H.R DANIEL FELIPE BRICEÑO MONTES</w:t>
      </w:r>
    </w:p>
    <w:p w:rsidR="00CD1279" w:rsidRPr="00315FA0" w:rsidRDefault="00CD1279" w:rsidP="00CD1279">
      <w:pPr>
        <w:spacing w:line="276" w:lineRule="auto"/>
        <w:rPr>
          <w:rFonts w:ascii="Arial Narrow" w:hAnsi="Arial Narrow"/>
        </w:rPr>
      </w:pPr>
      <w:r w:rsidRPr="00315FA0">
        <w:rPr>
          <w:rFonts w:ascii="Arial Narrow" w:hAnsi="Arial Narrow"/>
        </w:rPr>
        <w:t>Representante a la Cámara – Ponente</w:t>
      </w:r>
    </w:p>
    <w:p w:rsidR="00CD1279" w:rsidRPr="00315FA0" w:rsidRDefault="00CD1279" w:rsidP="00CD1279">
      <w:pPr>
        <w:spacing w:line="276" w:lineRule="auto"/>
        <w:jc w:val="both"/>
        <w:rPr>
          <w:rFonts w:ascii="Arial Narrow" w:hAnsi="Arial Narrow"/>
        </w:rPr>
      </w:pPr>
    </w:p>
    <w:p w:rsidR="00CD1279" w:rsidRPr="00315FA0" w:rsidRDefault="00CD1279" w:rsidP="00CD1279">
      <w:pPr>
        <w:spacing w:line="276" w:lineRule="auto"/>
        <w:jc w:val="both"/>
        <w:rPr>
          <w:rFonts w:ascii="Arial Narrow" w:hAnsi="Arial Narrow"/>
        </w:rPr>
      </w:pPr>
    </w:p>
    <w:p w:rsidR="00CD1279" w:rsidRPr="00315FA0" w:rsidRDefault="00CD1279" w:rsidP="00CD1279">
      <w:pPr>
        <w:keepNext/>
        <w:spacing w:line="276" w:lineRule="auto"/>
        <w:rPr>
          <w:rFonts w:ascii="Arial Narrow" w:hAnsi="Arial Narrow"/>
        </w:rPr>
      </w:pPr>
      <w:r w:rsidRPr="00315FA0">
        <w:rPr>
          <w:rFonts w:ascii="Arial Narrow" w:hAnsi="Arial Narrow"/>
          <w:b/>
        </w:rPr>
        <w:t>H.R JUAN PABLO DUQUE GONZÁLEZ</w:t>
      </w:r>
    </w:p>
    <w:p w:rsidR="00CD1279" w:rsidRPr="00315FA0" w:rsidRDefault="00CD1279" w:rsidP="00CD1279">
      <w:pPr>
        <w:spacing w:line="276" w:lineRule="auto"/>
        <w:rPr>
          <w:rFonts w:ascii="Arial Narrow" w:hAnsi="Arial Narrow"/>
        </w:rPr>
      </w:pPr>
      <w:r w:rsidRPr="00315FA0">
        <w:rPr>
          <w:rFonts w:ascii="Arial Narrow" w:hAnsi="Arial Narrow"/>
        </w:rPr>
        <w:t>Representante a la Cámara – Ponente</w:t>
      </w:r>
    </w:p>
    <w:p w:rsidR="004B1C3E" w:rsidRDefault="004B1C3E" w:rsidP="00CD1279">
      <w:pPr>
        <w:keepNext/>
        <w:spacing w:line="276" w:lineRule="auto"/>
        <w:rPr>
          <w:rFonts w:ascii="Arial Narrow" w:hAnsi="Arial Narrow"/>
          <w:b/>
        </w:rPr>
      </w:pPr>
    </w:p>
    <w:p w:rsidR="004B1C3E" w:rsidRDefault="004B1C3E" w:rsidP="00CD1279">
      <w:pPr>
        <w:keepNext/>
        <w:spacing w:line="276" w:lineRule="auto"/>
        <w:rPr>
          <w:rFonts w:ascii="Arial Narrow" w:hAnsi="Arial Narrow"/>
          <w:b/>
        </w:rPr>
      </w:pPr>
    </w:p>
    <w:p w:rsidR="00CD1279" w:rsidRPr="00315FA0" w:rsidRDefault="00CD1279" w:rsidP="00CD1279">
      <w:pPr>
        <w:keepNext/>
        <w:spacing w:line="276" w:lineRule="auto"/>
        <w:rPr>
          <w:rFonts w:ascii="Arial Narrow" w:hAnsi="Arial Narrow"/>
        </w:rPr>
      </w:pPr>
      <w:r w:rsidRPr="00315FA0">
        <w:rPr>
          <w:rFonts w:ascii="Arial Narrow" w:hAnsi="Arial Narrow"/>
          <w:b/>
        </w:rPr>
        <w:t>H.R JUAN DAVID LONDOÑO ARANGO</w:t>
      </w:r>
    </w:p>
    <w:p w:rsidR="00CD1279" w:rsidRPr="00315FA0" w:rsidRDefault="00CD1279" w:rsidP="00CD1279">
      <w:pPr>
        <w:spacing w:line="276" w:lineRule="auto"/>
        <w:rPr>
          <w:rFonts w:ascii="Arial Narrow" w:hAnsi="Arial Narrow"/>
        </w:rPr>
      </w:pPr>
      <w:r w:rsidRPr="00315FA0">
        <w:rPr>
          <w:rFonts w:ascii="Arial Narrow" w:hAnsi="Arial Narrow"/>
        </w:rPr>
        <w:t>Representante a la Cámara – Ponente</w:t>
      </w:r>
    </w:p>
    <w:p w:rsidR="001E2B41" w:rsidRDefault="001E2B41" w:rsidP="00CD1279">
      <w:pPr>
        <w:spacing w:line="276" w:lineRule="auto"/>
        <w:jc w:val="both"/>
        <w:rPr>
          <w:rFonts w:ascii="Arial Narrow" w:hAnsi="Arial Narrow"/>
        </w:rPr>
      </w:pPr>
    </w:p>
    <w:p w:rsidR="004B1C3E" w:rsidRPr="00315FA0" w:rsidRDefault="004B1C3E" w:rsidP="00CD1279">
      <w:pPr>
        <w:spacing w:line="276" w:lineRule="auto"/>
        <w:jc w:val="both"/>
        <w:rPr>
          <w:rFonts w:ascii="Arial Narrow" w:hAnsi="Arial Narrow"/>
        </w:rPr>
      </w:pPr>
    </w:p>
    <w:p w:rsidR="00CD1279" w:rsidRPr="00315FA0" w:rsidRDefault="00CD1279" w:rsidP="00CD1279">
      <w:pPr>
        <w:keepNext/>
        <w:spacing w:line="276" w:lineRule="auto"/>
        <w:rPr>
          <w:rFonts w:ascii="Arial Narrow" w:hAnsi="Arial Narrow"/>
          <w:b/>
        </w:rPr>
      </w:pPr>
      <w:r w:rsidRPr="00315FA0">
        <w:rPr>
          <w:rFonts w:ascii="Arial Narrow" w:hAnsi="Arial Narrow"/>
          <w:b/>
        </w:rPr>
        <w:t>H.R ÓSCAR DAVID BENAVIDES ANGULO</w:t>
      </w:r>
    </w:p>
    <w:p w:rsidR="00CD1279" w:rsidRPr="00315FA0" w:rsidRDefault="00CD1279" w:rsidP="00CD1279">
      <w:pPr>
        <w:spacing w:line="276" w:lineRule="auto"/>
        <w:rPr>
          <w:rFonts w:ascii="Arial Narrow" w:hAnsi="Arial Narrow"/>
        </w:rPr>
      </w:pPr>
      <w:r w:rsidRPr="00315FA0">
        <w:rPr>
          <w:rFonts w:ascii="Arial Narrow" w:hAnsi="Arial Narrow"/>
        </w:rPr>
        <w:t>Representante a la Cámara – Ponente</w:t>
      </w:r>
    </w:p>
    <w:p w:rsidR="00CD1279" w:rsidRPr="00315FA0" w:rsidRDefault="00CD1279" w:rsidP="00CD1279">
      <w:pPr>
        <w:spacing w:line="276" w:lineRule="auto"/>
        <w:jc w:val="both"/>
        <w:rPr>
          <w:rFonts w:ascii="Arial Narrow" w:hAnsi="Arial Narrow"/>
        </w:rPr>
      </w:pPr>
    </w:p>
    <w:p w:rsidR="004B1C3E" w:rsidRDefault="004B1C3E" w:rsidP="00CD1279">
      <w:pPr>
        <w:keepNext/>
        <w:spacing w:line="276" w:lineRule="auto"/>
        <w:rPr>
          <w:rFonts w:ascii="Arial Narrow" w:hAnsi="Arial Narrow"/>
          <w:b/>
        </w:rPr>
      </w:pPr>
    </w:p>
    <w:p w:rsidR="004B1C3E" w:rsidRDefault="004B1C3E" w:rsidP="00CD1279">
      <w:pPr>
        <w:keepNext/>
        <w:spacing w:line="276" w:lineRule="auto"/>
        <w:rPr>
          <w:rFonts w:ascii="Arial Narrow" w:hAnsi="Arial Narrow"/>
          <w:b/>
        </w:rPr>
      </w:pPr>
    </w:p>
    <w:p w:rsidR="00CD1279" w:rsidRPr="00315FA0" w:rsidRDefault="00CD1279" w:rsidP="00CD1279">
      <w:pPr>
        <w:keepNext/>
        <w:spacing w:line="276" w:lineRule="auto"/>
        <w:rPr>
          <w:rFonts w:ascii="Arial Narrow" w:hAnsi="Arial Narrow"/>
        </w:rPr>
      </w:pPr>
      <w:r w:rsidRPr="00315FA0">
        <w:rPr>
          <w:rFonts w:ascii="Arial Narrow" w:hAnsi="Arial Narrow"/>
          <w:b/>
        </w:rPr>
        <w:t>H.R LAURA VANESSA DÍAZ CURA</w:t>
      </w:r>
    </w:p>
    <w:p w:rsidR="00CD1279" w:rsidRPr="00315FA0" w:rsidRDefault="00CD1279" w:rsidP="00CD1279">
      <w:pPr>
        <w:spacing w:line="276" w:lineRule="auto"/>
        <w:rPr>
          <w:rFonts w:ascii="Arial Narrow" w:hAnsi="Arial Narrow"/>
        </w:rPr>
      </w:pPr>
      <w:r w:rsidRPr="00315FA0">
        <w:rPr>
          <w:rFonts w:ascii="Arial Narrow" w:hAnsi="Arial Narrow"/>
        </w:rPr>
        <w:t>Representante a la Cámara – Ponente</w:t>
      </w:r>
    </w:p>
    <w:p w:rsidR="00CD1279" w:rsidRPr="00315FA0" w:rsidRDefault="00CD1279" w:rsidP="00CD1279">
      <w:pPr>
        <w:spacing w:line="276" w:lineRule="auto"/>
        <w:jc w:val="both"/>
        <w:rPr>
          <w:rFonts w:ascii="Arial Narrow" w:hAnsi="Arial Narrow"/>
        </w:rPr>
      </w:pPr>
    </w:p>
    <w:p w:rsidR="001E2B41" w:rsidRDefault="001E2B41" w:rsidP="00CD1279">
      <w:pPr>
        <w:spacing w:line="276" w:lineRule="auto"/>
        <w:jc w:val="both"/>
        <w:rPr>
          <w:rFonts w:ascii="Arial Narrow" w:hAnsi="Arial Narrow"/>
        </w:rPr>
      </w:pPr>
    </w:p>
    <w:p w:rsidR="004B1C3E" w:rsidRPr="00315FA0" w:rsidRDefault="004B1C3E" w:rsidP="00CD1279">
      <w:pPr>
        <w:spacing w:line="276" w:lineRule="auto"/>
        <w:jc w:val="both"/>
        <w:rPr>
          <w:rFonts w:ascii="Arial Narrow" w:hAnsi="Arial Narrow"/>
        </w:rPr>
      </w:pPr>
    </w:p>
    <w:p w:rsidR="00CD1279" w:rsidRPr="00315FA0" w:rsidRDefault="00CD1279" w:rsidP="00CD1279">
      <w:pPr>
        <w:keepNext/>
        <w:spacing w:line="276" w:lineRule="auto"/>
        <w:rPr>
          <w:rFonts w:ascii="Arial Narrow" w:hAnsi="Arial Narrow"/>
          <w:b/>
        </w:rPr>
      </w:pPr>
      <w:r w:rsidRPr="00315FA0">
        <w:rPr>
          <w:rFonts w:ascii="Arial Narrow" w:hAnsi="Arial Narrow"/>
          <w:b/>
        </w:rPr>
        <w:t>H.R ALEJANDRA GABRIELA ABÁSOLO GÓMEZ</w:t>
      </w:r>
    </w:p>
    <w:p w:rsidR="00CD1279" w:rsidRPr="00315FA0" w:rsidRDefault="00CD1279" w:rsidP="00CD1279">
      <w:pPr>
        <w:spacing w:line="276" w:lineRule="auto"/>
        <w:rPr>
          <w:rFonts w:ascii="Arial Narrow" w:hAnsi="Arial Narrow"/>
        </w:rPr>
      </w:pPr>
      <w:r w:rsidRPr="00315FA0">
        <w:rPr>
          <w:rFonts w:ascii="Arial Narrow" w:hAnsi="Arial Narrow"/>
        </w:rPr>
        <w:t>Representante a la Cámara – Ponente</w:t>
      </w:r>
    </w:p>
    <w:p w:rsidR="00CD1279" w:rsidRPr="00315FA0" w:rsidRDefault="00CD1279" w:rsidP="00CD1279">
      <w:pPr>
        <w:spacing w:line="276" w:lineRule="auto"/>
        <w:jc w:val="both"/>
        <w:rPr>
          <w:rFonts w:ascii="Arial Narrow" w:hAnsi="Arial Narrow"/>
        </w:rPr>
        <w:sectPr w:rsidR="00CD1279" w:rsidRPr="00315FA0" w:rsidSect="00CD1279">
          <w:type w:val="continuous"/>
          <w:pgSz w:w="12240" w:h="15840"/>
          <w:pgMar w:top="2100" w:right="1040" w:bottom="1900" w:left="1040" w:header="300" w:footer="250" w:gutter="0"/>
          <w:cols w:num="2" w:space="720"/>
          <w:docGrid w:linePitch="360"/>
        </w:sectPr>
      </w:pPr>
    </w:p>
    <w:p w:rsidR="001E2B41" w:rsidRPr="00315FA0" w:rsidRDefault="001E2B41" w:rsidP="001E2B41">
      <w:pPr>
        <w:spacing w:line="276" w:lineRule="auto"/>
        <w:jc w:val="both"/>
        <w:rPr>
          <w:rFonts w:ascii="Arial Narrow" w:hAnsi="Arial Narrow"/>
          <w:sz w:val="14"/>
        </w:rPr>
      </w:pPr>
    </w:p>
    <w:p w:rsidR="001E2B41" w:rsidRPr="00315FA0" w:rsidRDefault="001E2B41" w:rsidP="001E2B41">
      <w:pPr>
        <w:spacing w:line="276" w:lineRule="auto"/>
        <w:jc w:val="both"/>
        <w:rPr>
          <w:rFonts w:ascii="Arial Narrow" w:hAnsi="Arial Narrow"/>
          <w:sz w:val="14"/>
        </w:rPr>
      </w:pPr>
    </w:p>
    <w:p w:rsidR="00570C30" w:rsidRDefault="00570C30" w:rsidP="00315FA0">
      <w:pPr>
        <w:spacing w:line="276" w:lineRule="auto"/>
        <w:jc w:val="both"/>
        <w:rPr>
          <w:rFonts w:ascii="Arial Narrow" w:hAnsi="Arial Narrow"/>
          <w:sz w:val="14"/>
        </w:rPr>
      </w:pPr>
    </w:p>
    <w:p w:rsidR="00570C30" w:rsidRDefault="00570C30" w:rsidP="00315FA0">
      <w:pPr>
        <w:spacing w:line="276" w:lineRule="auto"/>
        <w:jc w:val="both"/>
        <w:rPr>
          <w:rFonts w:ascii="Arial Narrow" w:hAnsi="Arial Narrow"/>
          <w:sz w:val="14"/>
        </w:rPr>
      </w:pPr>
    </w:p>
    <w:p w:rsidR="00F2687B" w:rsidRDefault="00F2687B" w:rsidP="00CD1279">
      <w:pPr>
        <w:spacing w:line="276" w:lineRule="auto"/>
        <w:jc w:val="center"/>
        <w:rPr>
          <w:rFonts w:ascii="Arial Narrow" w:hAnsi="Arial Narrow"/>
          <w:b/>
          <w:bCs/>
        </w:rPr>
      </w:pPr>
    </w:p>
    <w:p w:rsidR="00CD1279" w:rsidRPr="00315FA0" w:rsidRDefault="00CD1279" w:rsidP="00CD1279">
      <w:pPr>
        <w:spacing w:line="276" w:lineRule="auto"/>
        <w:jc w:val="center"/>
        <w:rPr>
          <w:rFonts w:ascii="Arial Narrow" w:hAnsi="Arial Narrow"/>
        </w:rPr>
      </w:pPr>
      <w:r w:rsidRPr="00315FA0">
        <w:rPr>
          <w:rFonts w:ascii="Arial Narrow" w:hAnsi="Arial Narrow"/>
          <w:b/>
          <w:bCs/>
        </w:rPr>
        <w:lastRenderedPageBreak/>
        <w:t>TEXTO PROPUESTO PARA PRIMER DEBATE</w:t>
      </w:r>
    </w:p>
    <w:p w:rsidR="00CD1279" w:rsidRPr="00315FA0" w:rsidRDefault="00CD1279" w:rsidP="00CD1279">
      <w:pPr>
        <w:spacing w:line="276" w:lineRule="auto"/>
        <w:jc w:val="center"/>
        <w:rPr>
          <w:rFonts w:ascii="Arial Narrow" w:hAnsi="Arial Narrow"/>
          <w:b/>
          <w:bCs/>
        </w:rPr>
      </w:pPr>
      <w:r w:rsidRPr="00315FA0">
        <w:rPr>
          <w:rFonts w:ascii="Arial Narrow" w:hAnsi="Arial Narrow"/>
          <w:b/>
          <w:bCs/>
        </w:rPr>
        <w:t>PROYECTO DE LEY No. 345 DE 2026 CÁMARA</w:t>
      </w:r>
    </w:p>
    <w:p w:rsidR="00CD1279" w:rsidRPr="00315FA0" w:rsidRDefault="00CD1279" w:rsidP="00CD1279">
      <w:pPr>
        <w:spacing w:line="276" w:lineRule="auto"/>
        <w:jc w:val="center"/>
        <w:rPr>
          <w:rFonts w:ascii="Arial Narrow" w:hAnsi="Arial Narrow"/>
          <w:b/>
          <w:bCs/>
        </w:rPr>
      </w:pPr>
    </w:p>
    <w:p w:rsidR="00CD1279" w:rsidRPr="00315FA0" w:rsidRDefault="00CD1279" w:rsidP="00CD1279">
      <w:pPr>
        <w:spacing w:line="276" w:lineRule="auto"/>
        <w:jc w:val="center"/>
        <w:rPr>
          <w:rFonts w:ascii="Arial Narrow" w:hAnsi="Arial Narrow"/>
        </w:rPr>
      </w:pPr>
      <w:r w:rsidRPr="00315FA0">
        <w:rPr>
          <w:rFonts w:ascii="Arial Narrow" w:hAnsi="Arial Narrow"/>
          <w:b/>
          <w:bCs/>
        </w:rPr>
        <w:t>“Por medio de la cual se establece con carácter permanente el marco legal del desminado humanitario por organizaciones civiles, se fortalece la atención a las víctimas de minas antipersonal y otros artefactos explosivos, y se dictan otras disposiciones”</w:t>
      </w:r>
    </w:p>
    <w:p w:rsidR="00CD1279" w:rsidRPr="00315FA0" w:rsidRDefault="00CD1279" w:rsidP="00CD1279">
      <w:pPr>
        <w:spacing w:line="276" w:lineRule="auto"/>
        <w:jc w:val="both"/>
        <w:rPr>
          <w:rFonts w:ascii="Arial Narrow" w:hAnsi="Arial Narrow"/>
          <w:sz w:val="36"/>
          <w:szCs w:val="36"/>
        </w:rPr>
      </w:pPr>
    </w:p>
    <w:p w:rsidR="00CD1279" w:rsidRPr="00315FA0" w:rsidRDefault="00CD1279" w:rsidP="00CD1279">
      <w:pPr>
        <w:spacing w:line="276" w:lineRule="auto"/>
        <w:jc w:val="center"/>
        <w:rPr>
          <w:rFonts w:ascii="Arial Narrow" w:hAnsi="Arial Narrow"/>
        </w:rPr>
      </w:pPr>
      <w:r w:rsidRPr="00315FA0">
        <w:rPr>
          <w:rFonts w:ascii="Arial Narrow" w:hAnsi="Arial Narrow"/>
          <w:b/>
          <w:bCs/>
        </w:rPr>
        <w:t>EL CONGRESO DE COLOMBIA</w:t>
      </w:r>
    </w:p>
    <w:p w:rsidR="00CD1279" w:rsidRPr="00315FA0" w:rsidRDefault="00CD1279" w:rsidP="00CD1279">
      <w:pPr>
        <w:spacing w:line="276" w:lineRule="auto"/>
        <w:jc w:val="center"/>
        <w:rPr>
          <w:rFonts w:ascii="Arial Narrow" w:hAnsi="Arial Narrow"/>
        </w:rPr>
      </w:pPr>
      <w:r w:rsidRPr="00315FA0">
        <w:rPr>
          <w:rFonts w:ascii="Arial Narrow" w:hAnsi="Arial Narrow"/>
          <w:b/>
          <w:bCs/>
        </w:rPr>
        <w:t>DECRETA:</w:t>
      </w:r>
    </w:p>
    <w:p w:rsidR="00CD1279" w:rsidRPr="00315FA0" w:rsidRDefault="00CD1279" w:rsidP="00CD1279">
      <w:pPr>
        <w:spacing w:line="276" w:lineRule="auto"/>
        <w:jc w:val="both"/>
        <w:rPr>
          <w:rFonts w:ascii="Arial Narrow" w:hAnsi="Arial Narrow"/>
        </w:rPr>
      </w:pPr>
    </w:p>
    <w:p w:rsidR="00CD1279" w:rsidRPr="00315FA0" w:rsidRDefault="00CD1279" w:rsidP="00CD1279">
      <w:pPr>
        <w:keepNext/>
        <w:spacing w:line="276" w:lineRule="auto"/>
        <w:jc w:val="center"/>
        <w:rPr>
          <w:rFonts w:ascii="Arial Narrow" w:hAnsi="Arial Narrow"/>
        </w:rPr>
      </w:pPr>
      <w:r w:rsidRPr="00315FA0">
        <w:rPr>
          <w:rFonts w:ascii="Arial Narrow" w:hAnsi="Arial Narrow"/>
          <w:b/>
          <w:bCs/>
        </w:rPr>
        <w:t>TÍTULO I</w:t>
      </w:r>
    </w:p>
    <w:p w:rsidR="00CD1279" w:rsidRPr="00315FA0" w:rsidRDefault="00CD1279" w:rsidP="00CD1279">
      <w:pPr>
        <w:keepNext/>
        <w:spacing w:line="276" w:lineRule="auto"/>
        <w:jc w:val="center"/>
        <w:rPr>
          <w:rFonts w:ascii="Arial Narrow" w:hAnsi="Arial Narrow"/>
        </w:rPr>
      </w:pPr>
      <w:r w:rsidRPr="00315FA0">
        <w:rPr>
          <w:rFonts w:ascii="Arial Narrow" w:hAnsi="Arial Narrow"/>
          <w:b/>
          <w:bCs/>
        </w:rPr>
        <w:t>OBJETO, HABILITACIÓN Y PERMANENCIA</w:t>
      </w:r>
    </w:p>
    <w:p w:rsidR="00CD1279" w:rsidRPr="00315FA0" w:rsidRDefault="00CD1279" w:rsidP="00CD1279">
      <w:pPr>
        <w:spacing w:line="276" w:lineRule="auto"/>
        <w:jc w:val="both"/>
        <w:rPr>
          <w:rFonts w:ascii="Arial Narrow" w:hAnsi="Arial Narrow"/>
        </w:rPr>
      </w:pPr>
    </w:p>
    <w:p w:rsidR="00CD1279" w:rsidRPr="00315FA0" w:rsidRDefault="00CD1279" w:rsidP="00CD1279">
      <w:pPr>
        <w:spacing w:line="276" w:lineRule="auto"/>
        <w:jc w:val="both"/>
        <w:rPr>
          <w:rFonts w:ascii="Arial Narrow" w:hAnsi="Arial Narrow"/>
        </w:rPr>
      </w:pPr>
      <w:r w:rsidRPr="00315FA0">
        <w:rPr>
          <w:rFonts w:ascii="Arial Narrow" w:hAnsi="Arial Narrow"/>
          <w:b/>
          <w:bCs/>
        </w:rPr>
        <w:t xml:space="preserve">ARTÍCULO 1. OBJETO. </w:t>
      </w:r>
      <w:r w:rsidRPr="00315FA0">
        <w:rPr>
          <w:rFonts w:ascii="Arial Narrow" w:hAnsi="Arial Narrow"/>
        </w:rPr>
        <w:t>La presente ley tiene por objeto establecer con carácter permanente el marco legal del desminado humanitario por organizaciones civiles, garantizar la continuidad de sus operaciones, fortalecer la atención a las víctimas y mejorar la información pública sobre la afectación y la descontaminación del territorio.</w:t>
      </w:r>
    </w:p>
    <w:p w:rsidR="00CD1279" w:rsidRPr="00315FA0" w:rsidRDefault="00CD1279" w:rsidP="00CD1279">
      <w:pPr>
        <w:spacing w:line="276" w:lineRule="auto"/>
        <w:jc w:val="both"/>
        <w:rPr>
          <w:rFonts w:ascii="Arial Narrow" w:hAnsi="Arial Narrow"/>
        </w:rPr>
      </w:pPr>
    </w:p>
    <w:p w:rsidR="00CD1279" w:rsidRPr="00315FA0" w:rsidRDefault="00CD1279" w:rsidP="00CD1279">
      <w:pPr>
        <w:spacing w:line="276" w:lineRule="auto"/>
        <w:jc w:val="both"/>
        <w:rPr>
          <w:rFonts w:ascii="Arial Narrow" w:hAnsi="Arial Narrow"/>
        </w:rPr>
      </w:pPr>
      <w:r w:rsidRPr="00315FA0">
        <w:rPr>
          <w:rFonts w:ascii="Arial Narrow" w:hAnsi="Arial Narrow"/>
          <w:b/>
          <w:bCs/>
        </w:rPr>
        <w:t xml:space="preserve">ARTÍCULO 2. DESMINADO HUMANITARIO POR ORGANIZACIONES CIVILES. </w:t>
      </w:r>
      <w:r w:rsidRPr="00315FA0">
        <w:rPr>
          <w:rFonts w:ascii="Arial Narrow" w:hAnsi="Arial Narrow"/>
        </w:rPr>
        <w:t>Se entiende por desminado humanitario por organizaciones civiles el conjunto de actividades de estudio no técnico, estudio técnico, despeje y disposición de artefactos explosivos (EOD) de áreas con sospecha o presencia de minas antipersonal, municiones sin explosionar y artefactos explosivos improvisados, y las demás que definan los estándares nacionales, que realizan organizaciones no gubernamentales nacionales o internacionales, certificadas y avaladas, en las tareas que les sean asignadas, con el fin de proteger a la población y liberar las tierras para su uso seguro.</w:t>
      </w:r>
    </w:p>
    <w:p w:rsidR="00CD1279" w:rsidRPr="00315FA0" w:rsidRDefault="00CD1279" w:rsidP="00CD1279">
      <w:pPr>
        <w:spacing w:line="276" w:lineRule="auto"/>
        <w:jc w:val="both"/>
        <w:rPr>
          <w:rFonts w:ascii="Arial Narrow" w:hAnsi="Arial Narrow"/>
        </w:rPr>
      </w:pPr>
    </w:p>
    <w:p w:rsidR="00CD1279" w:rsidRPr="00315FA0" w:rsidRDefault="00CD1279" w:rsidP="00CD1279">
      <w:pPr>
        <w:spacing w:line="276" w:lineRule="auto"/>
        <w:jc w:val="both"/>
        <w:rPr>
          <w:rFonts w:ascii="Arial Narrow" w:hAnsi="Arial Narrow"/>
        </w:rPr>
      </w:pPr>
      <w:r w:rsidRPr="00315FA0">
        <w:rPr>
          <w:rFonts w:ascii="Arial Narrow" w:hAnsi="Arial Narrow"/>
          <w:b/>
          <w:bCs/>
        </w:rPr>
        <w:t>Parágrafo 1.</w:t>
      </w:r>
      <w:r w:rsidRPr="00315FA0">
        <w:rPr>
          <w:rFonts w:ascii="Arial Narrow" w:hAnsi="Arial Narrow"/>
        </w:rPr>
        <w:t xml:space="preserve"> El Gobierno Nacional, a través del Ministerio de Defensa Nacional, reglamentará las actividades de desminado humanitario que realicen organizaciones civiles, con base en los estándares internacionales y los principios humanitarios. La Comisión Intersectorial Nacional para la Acción contra Minas Antipersonal otorgará el aval a las organizaciones civiles certificadas para realizar actividades de desminado humanitario en el territorio nacional.</w:t>
      </w:r>
    </w:p>
    <w:p w:rsidR="00CD1279" w:rsidRPr="00315FA0" w:rsidRDefault="00CD1279" w:rsidP="00CD1279">
      <w:pPr>
        <w:spacing w:line="276" w:lineRule="auto"/>
        <w:jc w:val="both"/>
        <w:rPr>
          <w:rFonts w:ascii="Arial Narrow" w:hAnsi="Arial Narrow"/>
        </w:rPr>
      </w:pPr>
    </w:p>
    <w:p w:rsidR="00CD1279" w:rsidRPr="00315FA0" w:rsidRDefault="00CD1279" w:rsidP="00CD1279">
      <w:pPr>
        <w:spacing w:line="276" w:lineRule="auto"/>
        <w:jc w:val="both"/>
        <w:rPr>
          <w:rFonts w:ascii="Arial Narrow" w:hAnsi="Arial Narrow"/>
        </w:rPr>
      </w:pPr>
      <w:r w:rsidRPr="00315FA0">
        <w:rPr>
          <w:rFonts w:ascii="Arial Narrow" w:hAnsi="Arial Narrow"/>
          <w:b/>
          <w:bCs/>
        </w:rPr>
        <w:t xml:space="preserve">Parágrafo 2. </w:t>
      </w:r>
      <w:r w:rsidRPr="00315FA0">
        <w:rPr>
          <w:rFonts w:ascii="Arial Narrow" w:hAnsi="Arial Narrow"/>
        </w:rPr>
        <w:t>Las excepciones previstas en la Ley 759 de 2002 para el Ministerio de Defensa Nacional se extienden a las organizaciones civiles que colaboren en el traslado de minas antipersonal en desarrollo de planes de destrucción, únicamente para ese fin.</w:t>
      </w:r>
    </w:p>
    <w:p w:rsidR="00CD1279" w:rsidRPr="00315FA0" w:rsidRDefault="00CD1279" w:rsidP="00CD1279">
      <w:pPr>
        <w:spacing w:line="276" w:lineRule="auto"/>
        <w:jc w:val="both"/>
        <w:rPr>
          <w:rFonts w:ascii="Arial Narrow" w:hAnsi="Arial Narrow"/>
        </w:rPr>
      </w:pPr>
    </w:p>
    <w:p w:rsidR="00CD1279" w:rsidRPr="00315FA0" w:rsidRDefault="00CD1279" w:rsidP="00CD1279">
      <w:pPr>
        <w:spacing w:line="276" w:lineRule="auto"/>
        <w:jc w:val="both"/>
        <w:rPr>
          <w:rFonts w:ascii="Arial Narrow" w:hAnsi="Arial Narrow"/>
        </w:rPr>
      </w:pPr>
      <w:r w:rsidRPr="00315FA0">
        <w:rPr>
          <w:rFonts w:ascii="Arial Narrow" w:hAnsi="Arial Narrow"/>
          <w:b/>
          <w:bCs/>
        </w:rPr>
        <w:t xml:space="preserve">ARTÍCULO 3. CARÁCTER PERMANENTE. </w:t>
      </w:r>
      <w:r w:rsidRPr="00315FA0">
        <w:rPr>
          <w:rFonts w:ascii="Arial Narrow" w:hAnsi="Arial Narrow"/>
        </w:rPr>
        <w:t>La presente ley es de carácter permanente y no estará sometida a la vigencia de la Ley 418 de 1997 ni de las normas que la prorroguen, modifiquen o adicionen.</w:t>
      </w:r>
    </w:p>
    <w:p w:rsidR="00CD1279" w:rsidRPr="00315FA0" w:rsidRDefault="00CD1279" w:rsidP="00CD1279">
      <w:pPr>
        <w:spacing w:line="276" w:lineRule="auto"/>
        <w:jc w:val="both"/>
        <w:rPr>
          <w:rFonts w:ascii="Arial Narrow" w:hAnsi="Arial Narrow"/>
        </w:rPr>
      </w:pPr>
    </w:p>
    <w:p w:rsidR="00CD1279" w:rsidRPr="00315FA0" w:rsidRDefault="00CD1279" w:rsidP="00CD1279">
      <w:pPr>
        <w:spacing w:line="276" w:lineRule="auto"/>
        <w:jc w:val="both"/>
        <w:rPr>
          <w:rFonts w:ascii="Arial Narrow" w:hAnsi="Arial Narrow"/>
        </w:rPr>
      </w:pPr>
      <w:r w:rsidRPr="00315FA0">
        <w:rPr>
          <w:rFonts w:ascii="Arial Narrow" w:hAnsi="Arial Narrow"/>
          <w:b/>
          <w:bCs/>
        </w:rPr>
        <w:t xml:space="preserve">ARTÍCULO 4. PRINCIPIOS. </w:t>
      </w:r>
      <w:r w:rsidRPr="00315FA0">
        <w:rPr>
          <w:rFonts w:ascii="Arial Narrow" w:hAnsi="Arial Narrow"/>
        </w:rPr>
        <w:t>La acción integral contra minas antipersonal se regirá por los principios de continuidad, imparcialidad humanitaria, priorización por riesgo, no discriminación, participación comunitaria, enfoque diferencial y territorial, transparencia y rendición de cuentas.</w:t>
      </w:r>
    </w:p>
    <w:p w:rsidR="00CD1279" w:rsidRPr="00315FA0" w:rsidRDefault="00CD1279" w:rsidP="00CD1279">
      <w:pPr>
        <w:spacing w:line="276" w:lineRule="auto"/>
        <w:jc w:val="both"/>
        <w:rPr>
          <w:rFonts w:ascii="Arial Narrow" w:hAnsi="Arial Narrow"/>
        </w:rPr>
      </w:pPr>
    </w:p>
    <w:p w:rsidR="00CD1279" w:rsidRPr="00315FA0" w:rsidRDefault="00CD1279" w:rsidP="00CD1279">
      <w:pPr>
        <w:keepNext/>
        <w:spacing w:line="276" w:lineRule="auto"/>
        <w:jc w:val="center"/>
        <w:rPr>
          <w:rFonts w:ascii="Arial Narrow" w:hAnsi="Arial Narrow"/>
        </w:rPr>
      </w:pPr>
      <w:r w:rsidRPr="00315FA0">
        <w:rPr>
          <w:rFonts w:ascii="Arial Narrow" w:hAnsi="Arial Narrow"/>
          <w:b/>
          <w:bCs/>
        </w:rPr>
        <w:lastRenderedPageBreak/>
        <w:t>TÍTULO II</w:t>
      </w:r>
    </w:p>
    <w:p w:rsidR="00CD1279" w:rsidRPr="00315FA0" w:rsidRDefault="00CD1279" w:rsidP="00CD1279">
      <w:pPr>
        <w:keepNext/>
        <w:spacing w:line="276" w:lineRule="auto"/>
        <w:jc w:val="center"/>
        <w:rPr>
          <w:rFonts w:ascii="Arial Narrow" w:hAnsi="Arial Narrow"/>
        </w:rPr>
      </w:pPr>
      <w:r w:rsidRPr="00315FA0">
        <w:rPr>
          <w:rFonts w:ascii="Arial Narrow" w:hAnsi="Arial Narrow"/>
          <w:b/>
          <w:bCs/>
        </w:rPr>
        <w:t>DESMINADO HUMANITARIO</w:t>
      </w:r>
    </w:p>
    <w:p w:rsidR="00CD1279" w:rsidRPr="00315FA0" w:rsidRDefault="00CD1279" w:rsidP="00CD1279">
      <w:pPr>
        <w:spacing w:line="276" w:lineRule="auto"/>
        <w:jc w:val="both"/>
        <w:rPr>
          <w:rFonts w:ascii="Arial Narrow" w:hAnsi="Arial Narrow"/>
        </w:rPr>
      </w:pPr>
    </w:p>
    <w:p w:rsidR="00CD1279" w:rsidRPr="00315FA0" w:rsidRDefault="00CD1279" w:rsidP="00CD1279">
      <w:pPr>
        <w:spacing w:line="276" w:lineRule="auto"/>
        <w:jc w:val="both"/>
        <w:rPr>
          <w:rFonts w:ascii="Arial Narrow" w:hAnsi="Arial Narrow"/>
        </w:rPr>
      </w:pPr>
      <w:r w:rsidRPr="00315FA0">
        <w:rPr>
          <w:rFonts w:ascii="Arial Narrow" w:hAnsi="Arial Narrow"/>
          <w:b/>
          <w:bCs/>
        </w:rPr>
        <w:t xml:space="preserve">ARTÍCULO 5. CONTINUIDAD Y TRANSICIÓN. </w:t>
      </w:r>
      <w:r w:rsidRPr="00315FA0">
        <w:rPr>
          <w:rFonts w:ascii="Arial Narrow" w:hAnsi="Arial Narrow"/>
        </w:rPr>
        <w:t>Los Decretos 3750 de 2011 y 1561 de 2013, los Estándares Nacionales de Acción Integral contra Minas Antipersonal, sus anexos y los demás actos administrativos expedidos en desarrollo del artículo 9 de la Ley 1421 de 2010, incluidos los que rigen la Instancia Interinstitucional de Desminado Humanitario, continuarán aplicándose en lo que no sea contrario a esta ley, hasta su modificación o sustitución por la autoridad competente.</w:t>
      </w:r>
    </w:p>
    <w:p w:rsidR="00CD1279" w:rsidRPr="00315FA0" w:rsidRDefault="00CD1279" w:rsidP="00CD1279">
      <w:pPr>
        <w:spacing w:line="276" w:lineRule="auto"/>
        <w:jc w:val="both"/>
        <w:rPr>
          <w:rFonts w:ascii="Arial Narrow" w:hAnsi="Arial Narrow"/>
        </w:rPr>
      </w:pPr>
    </w:p>
    <w:p w:rsidR="00CD1279" w:rsidRPr="00315FA0" w:rsidRDefault="00CD1279" w:rsidP="00CD1279">
      <w:pPr>
        <w:spacing w:line="276" w:lineRule="auto"/>
        <w:jc w:val="both"/>
        <w:rPr>
          <w:rFonts w:ascii="Arial Narrow" w:hAnsi="Arial Narrow"/>
        </w:rPr>
      </w:pPr>
      <w:r w:rsidRPr="00315FA0">
        <w:rPr>
          <w:rFonts w:ascii="Arial Narrow" w:hAnsi="Arial Narrow"/>
        </w:rPr>
        <w:t>Las certificaciones, avales, acreditaciones de capacidad operacional, procedimientos operacionales aprobados, asignaciones, órdenes de tarea y demás autorizaciones vigentes al 4 de noviembre de 2026 conservarán sus efectos, sin solución de continuidad, conforme a sus términos y condiciones. Las que venzan entre esa fecha y la entrada en vigencia de esta ley se entenderán prorrogadas por tres meses para tramitar su renovación.</w:t>
      </w:r>
    </w:p>
    <w:p w:rsidR="00CD1279" w:rsidRPr="00315FA0" w:rsidRDefault="00CD1279" w:rsidP="00CD1279">
      <w:pPr>
        <w:spacing w:line="276" w:lineRule="auto"/>
        <w:jc w:val="both"/>
        <w:rPr>
          <w:rFonts w:ascii="Arial Narrow" w:hAnsi="Arial Narrow"/>
        </w:rPr>
      </w:pPr>
    </w:p>
    <w:p w:rsidR="00CD1279" w:rsidRPr="00315FA0" w:rsidRDefault="00CD1279" w:rsidP="00CD1279">
      <w:pPr>
        <w:spacing w:line="276" w:lineRule="auto"/>
        <w:jc w:val="both"/>
        <w:rPr>
          <w:rFonts w:ascii="Arial Narrow" w:hAnsi="Arial Narrow"/>
        </w:rPr>
      </w:pPr>
      <w:r w:rsidRPr="00315FA0">
        <w:rPr>
          <w:rFonts w:ascii="Arial Narrow" w:hAnsi="Arial Narrow"/>
          <w:b/>
          <w:bCs/>
        </w:rPr>
        <w:t xml:space="preserve">Parágrafo 1. </w:t>
      </w:r>
      <w:r w:rsidRPr="00315FA0">
        <w:rPr>
          <w:rFonts w:ascii="Arial Narrow" w:hAnsi="Arial Narrow"/>
        </w:rPr>
        <w:t>La entrada en vigencia de esta ley no exigirá repetir la acreditación inicial. Las renovaciones reconocerán las capacidades y evaluaciones ya acreditadas, sin perjuicio de las verificaciones que procedan conforme a los estándares nacionales.</w:t>
      </w:r>
    </w:p>
    <w:p w:rsidR="00CD1279" w:rsidRPr="00315FA0" w:rsidRDefault="00CD1279" w:rsidP="00CD1279">
      <w:pPr>
        <w:spacing w:line="276" w:lineRule="auto"/>
        <w:jc w:val="both"/>
        <w:rPr>
          <w:rFonts w:ascii="Arial Narrow" w:hAnsi="Arial Narrow"/>
        </w:rPr>
      </w:pPr>
    </w:p>
    <w:p w:rsidR="00CD1279" w:rsidRPr="00315FA0" w:rsidRDefault="00CD1279" w:rsidP="00CD1279">
      <w:pPr>
        <w:spacing w:line="276" w:lineRule="auto"/>
        <w:jc w:val="both"/>
        <w:rPr>
          <w:rFonts w:ascii="Arial Narrow" w:hAnsi="Arial Narrow"/>
        </w:rPr>
      </w:pPr>
      <w:r w:rsidRPr="00315FA0">
        <w:rPr>
          <w:rFonts w:ascii="Arial Narrow" w:hAnsi="Arial Narrow"/>
          <w:b/>
          <w:bCs/>
        </w:rPr>
        <w:t xml:space="preserve">Parágrafo 2. </w:t>
      </w:r>
      <w:r w:rsidRPr="00315FA0">
        <w:rPr>
          <w:rFonts w:ascii="Arial Narrow" w:hAnsi="Arial Narrow"/>
        </w:rPr>
        <w:t>Los trámites en curso continuarán sin reiniciarse por el cambio de fundamento legal.</w:t>
      </w:r>
    </w:p>
    <w:p w:rsidR="00CD1279" w:rsidRPr="00315FA0" w:rsidRDefault="00CD1279" w:rsidP="00CD1279">
      <w:pPr>
        <w:spacing w:line="276" w:lineRule="auto"/>
        <w:jc w:val="both"/>
        <w:rPr>
          <w:rFonts w:ascii="Arial Narrow" w:hAnsi="Arial Narrow"/>
        </w:rPr>
      </w:pPr>
    </w:p>
    <w:p w:rsidR="00CD1279" w:rsidRPr="00315FA0" w:rsidRDefault="00CD1279" w:rsidP="00CD1279">
      <w:pPr>
        <w:spacing w:line="276" w:lineRule="auto"/>
        <w:jc w:val="both"/>
        <w:rPr>
          <w:rFonts w:ascii="Arial Narrow" w:hAnsi="Arial Narrow"/>
        </w:rPr>
      </w:pPr>
      <w:r w:rsidRPr="00315FA0">
        <w:rPr>
          <w:rFonts w:ascii="Arial Narrow" w:hAnsi="Arial Narrow"/>
          <w:b/>
          <w:bCs/>
        </w:rPr>
        <w:t xml:space="preserve">Parágrafo 3. </w:t>
      </w:r>
      <w:r w:rsidRPr="00315FA0">
        <w:rPr>
          <w:rFonts w:ascii="Arial Narrow" w:hAnsi="Arial Narrow"/>
        </w:rPr>
        <w:t>La terminación o modificación de las vigencias temporales del régimen de orden público no suspenderá las operaciones de desminado humanitario.</w:t>
      </w:r>
    </w:p>
    <w:p w:rsidR="00CD1279" w:rsidRPr="00315FA0" w:rsidRDefault="00CD1279" w:rsidP="00CD1279">
      <w:pPr>
        <w:spacing w:line="276" w:lineRule="auto"/>
        <w:jc w:val="both"/>
        <w:rPr>
          <w:rFonts w:ascii="Arial Narrow" w:hAnsi="Arial Narrow"/>
        </w:rPr>
      </w:pPr>
    </w:p>
    <w:p w:rsidR="00CD1279" w:rsidRPr="00315FA0" w:rsidRDefault="00CD1279" w:rsidP="00CD1279">
      <w:pPr>
        <w:spacing w:line="276" w:lineRule="auto"/>
        <w:jc w:val="both"/>
        <w:rPr>
          <w:rFonts w:ascii="Arial Narrow" w:hAnsi="Arial Narrow"/>
        </w:rPr>
      </w:pPr>
      <w:r w:rsidRPr="00315FA0">
        <w:rPr>
          <w:rFonts w:ascii="Arial Narrow" w:hAnsi="Arial Narrow"/>
          <w:b/>
          <w:bCs/>
        </w:rPr>
        <w:t xml:space="preserve">ARTÍCULO 6. CERTIFICACIÓN Y AVAL. </w:t>
      </w:r>
      <w:r w:rsidRPr="00315FA0">
        <w:rPr>
          <w:rFonts w:ascii="Arial Narrow" w:hAnsi="Arial Narrow"/>
        </w:rPr>
        <w:t>Las decisiones de certificación, aval, renovación, suspensión, no renovación y terminación de la acreditación de las organizaciones civiles de desminado humanitario serán motivadas, observarán el debido proceso y se adoptarán por la autoridad competente conforme a la legislación nacional, los estándares nacionales e internacionales y los principios humanitarios. La revocación directa se regirá por la Ley 1437 de 2011.</w:t>
      </w:r>
    </w:p>
    <w:p w:rsidR="00CD1279" w:rsidRPr="00315FA0" w:rsidRDefault="00CD1279" w:rsidP="00CD1279">
      <w:pPr>
        <w:spacing w:line="276" w:lineRule="auto"/>
        <w:jc w:val="both"/>
        <w:rPr>
          <w:rFonts w:ascii="Arial Narrow" w:hAnsi="Arial Narrow"/>
        </w:rPr>
      </w:pPr>
    </w:p>
    <w:p w:rsidR="00CD1279" w:rsidRPr="00315FA0" w:rsidRDefault="00CD1279" w:rsidP="00CD1279">
      <w:pPr>
        <w:spacing w:line="276" w:lineRule="auto"/>
        <w:jc w:val="both"/>
        <w:rPr>
          <w:rFonts w:ascii="Arial Narrow" w:hAnsi="Arial Narrow"/>
        </w:rPr>
      </w:pPr>
      <w:r w:rsidRPr="00315FA0">
        <w:rPr>
          <w:rFonts w:ascii="Arial Narrow" w:hAnsi="Arial Narrow"/>
          <w:b/>
          <w:bCs/>
        </w:rPr>
        <w:t xml:space="preserve">ARTÍCULO 7. PRIORIZACIÓN TERRITORIAL Y ASIGNACIÓN DE TAREAS. </w:t>
      </w:r>
      <w:r w:rsidRPr="00315FA0">
        <w:rPr>
          <w:rFonts w:ascii="Arial Narrow" w:hAnsi="Arial Narrow"/>
        </w:rPr>
        <w:t>La priorización territorial se basará en criterios objetivos de riesgo humanitario, afectación a la población, alertas tempranas, acceso a servicios esenciales y viabilidad de la operación. La viabilidad se evaluará conforme a los estándares nacionales aplicables a cada modalidad de intervención, incluidos los de zonas con factores de inestabilidad en materia de seguridad.</w:t>
      </w:r>
    </w:p>
    <w:p w:rsidR="00CD1279" w:rsidRPr="00315FA0" w:rsidRDefault="00CD1279" w:rsidP="00CD1279">
      <w:pPr>
        <w:spacing w:line="276" w:lineRule="auto"/>
        <w:jc w:val="both"/>
        <w:rPr>
          <w:rFonts w:ascii="Arial Narrow" w:hAnsi="Arial Narrow"/>
        </w:rPr>
      </w:pPr>
    </w:p>
    <w:p w:rsidR="00CD1279" w:rsidRPr="00315FA0" w:rsidRDefault="00CD1279" w:rsidP="00CD1279">
      <w:pPr>
        <w:spacing w:line="276" w:lineRule="auto"/>
        <w:jc w:val="both"/>
        <w:rPr>
          <w:rFonts w:ascii="Arial Narrow" w:hAnsi="Arial Narrow"/>
        </w:rPr>
      </w:pPr>
      <w:r w:rsidRPr="00315FA0">
        <w:rPr>
          <w:rFonts w:ascii="Arial Narrow" w:hAnsi="Arial Narrow"/>
        </w:rPr>
        <w:t>La determinación de zonas y la asignación de tareas corresponderán a la Instancia Interinstitucional de Desminado Humanitario o a la que haga sus veces. Las decisiones y sus modificaciones serán públicas, con las salvaguardas previstas en el parágrafo del artículo 10.</w:t>
      </w:r>
    </w:p>
    <w:p w:rsidR="00CD1279" w:rsidRPr="00315FA0" w:rsidRDefault="00CD1279" w:rsidP="00CD1279">
      <w:pPr>
        <w:spacing w:line="276" w:lineRule="auto"/>
        <w:jc w:val="both"/>
        <w:rPr>
          <w:rFonts w:ascii="Arial Narrow" w:hAnsi="Arial Narrow"/>
        </w:rPr>
      </w:pPr>
    </w:p>
    <w:p w:rsidR="00CD1279" w:rsidRPr="00315FA0" w:rsidRDefault="00CD1279" w:rsidP="00CD1279">
      <w:pPr>
        <w:keepNext/>
        <w:spacing w:line="276" w:lineRule="auto"/>
        <w:jc w:val="center"/>
        <w:rPr>
          <w:rFonts w:ascii="Arial Narrow" w:hAnsi="Arial Narrow"/>
        </w:rPr>
      </w:pPr>
      <w:r w:rsidRPr="00315FA0">
        <w:rPr>
          <w:rFonts w:ascii="Arial Narrow" w:hAnsi="Arial Narrow"/>
          <w:b/>
          <w:bCs/>
        </w:rPr>
        <w:t>TÍTULO III</w:t>
      </w:r>
    </w:p>
    <w:p w:rsidR="00CD1279" w:rsidRPr="00315FA0" w:rsidRDefault="00CD1279" w:rsidP="00CD1279">
      <w:pPr>
        <w:keepNext/>
        <w:spacing w:line="276" w:lineRule="auto"/>
        <w:jc w:val="center"/>
        <w:rPr>
          <w:rFonts w:ascii="Arial Narrow" w:hAnsi="Arial Narrow"/>
        </w:rPr>
      </w:pPr>
      <w:r w:rsidRPr="00315FA0">
        <w:rPr>
          <w:rFonts w:ascii="Arial Narrow" w:hAnsi="Arial Narrow"/>
          <w:b/>
          <w:bCs/>
        </w:rPr>
        <w:t>ATENCIÓN A LAS VÍCTIMAS Y EDUCACIÓN EN EL RIESGO</w:t>
      </w:r>
    </w:p>
    <w:p w:rsidR="00CD1279" w:rsidRPr="00315FA0" w:rsidRDefault="00CD1279" w:rsidP="00CD1279">
      <w:pPr>
        <w:spacing w:line="276" w:lineRule="auto"/>
        <w:jc w:val="both"/>
        <w:rPr>
          <w:rFonts w:ascii="Arial Narrow" w:hAnsi="Arial Narrow"/>
        </w:rPr>
      </w:pPr>
    </w:p>
    <w:p w:rsidR="00CD1279" w:rsidRPr="00315FA0" w:rsidRDefault="00CD1279" w:rsidP="00CD1279">
      <w:pPr>
        <w:spacing w:line="276" w:lineRule="auto"/>
        <w:jc w:val="both"/>
        <w:rPr>
          <w:rFonts w:ascii="Arial Narrow" w:hAnsi="Arial Narrow"/>
        </w:rPr>
      </w:pPr>
      <w:r w:rsidRPr="00315FA0">
        <w:rPr>
          <w:rFonts w:ascii="Arial Narrow" w:hAnsi="Arial Narrow"/>
          <w:b/>
          <w:bCs/>
        </w:rPr>
        <w:lastRenderedPageBreak/>
        <w:t xml:space="preserve">ARTÍCULO 8. ATENCIÓN Y ASISTENCIA A LAS VÍCTIMAS. </w:t>
      </w:r>
      <w:r w:rsidRPr="00315FA0">
        <w:rPr>
          <w:rFonts w:ascii="Arial Narrow" w:hAnsi="Arial Narrow"/>
        </w:rPr>
        <w:t>Las víctimas de minas antipersonal, municiones sin explosionar y artefactos explosivos improvisados accederán a la atención de urgencia, la rehabilitación física y funcional, la atención psicosocial y las demás medidas de atención, asistencia y reparación integral que resulten procedentes, de conformidad con la Ley 1448 de 2011 y las demás normas vigentes aplicables. La atención de urgencia será inmediata y no podrá condicionarse al reconocimiento o registro de la condición de víctima, a la afiliación al sistema de salud ni a autorización administrativa previa.</w:t>
      </w:r>
    </w:p>
    <w:p w:rsidR="00CD1279" w:rsidRPr="00315FA0" w:rsidRDefault="00CD1279" w:rsidP="00CD1279">
      <w:pPr>
        <w:spacing w:line="276" w:lineRule="auto"/>
        <w:jc w:val="both"/>
        <w:rPr>
          <w:rFonts w:ascii="Arial Narrow" w:hAnsi="Arial Narrow"/>
        </w:rPr>
      </w:pPr>
    </w:p>
    <w:p w:rsidR="00CD1279" w:rsidRPr="00315FA0" w:rsidRDefault="00CD1279" w:rsidP="00CD1279">
      <w:pPr>
        <w:spacing w:line="276" w:lineRule="auto"/>
        <w:jc w:val="both"/>
        <w:rPr>
          <w:rFonts w:ascii="Arial Narrow" w:hAnsi="Arial Narrow"/>
        </w:rPr>
      </w:pPr>
      <w:r w:rsidRPr="00315FA0">
        <w:rPr>
          <w:rFonts w:ascii="Arial Narrow" w:hAnsi="Arial Narrow"/>
          <w:b/>
          <w:bCs/>
        </w:rPr>
        <w:t xml:space="preserve">Parágrafo 1. </w:t>
      </w:r>
      <w:r w:rsidRPr="00315FA0">
        <w:rPr>
          <w:rFonts w:ascii="Arial Narrow" w:hAnsi="Arial Narrow"/>
        </w:rPr>
        <w:t>Cuando se trate de miembros de la Fuerza Pública víctimas de estos artefactos, la reparación económica se sujetará a lo previsto en el parágrafo 1 del artículo 3 de la Ley 1448 de 2011 y al régimen especial que les sea aplicable. Cuando se determine que la persona se encuentra por fuera de la cobertura de dicho régimen, se aplicarán las medidas de reparación integral que legalmente correspondan. En todo caso, se evitará el doble reconocimiento o pago indemnizatorio por un mismo hecho, daño y concepto, sin excluir las medidas de distinta naturaleza a las que haya lugar conforme a la ley.</w:t>
      </w:r>
    </w:p>
    <w:p w:rsidR="00CD1279" w:rsidRPr="00315FA0" w:rsidRDefault="00CD1279" w:rsidP="00CD1279">
      <w:pPr>
        <w:spacing w:line="276" w:lineRule="auto"/>
        <w:jc w:val="both"/>
        <w:rPr>
          <w:rFonts w:ascii="Arial Narrow" w:hAnsi="Arial Narrow"/>
        </w:rPr>
      </w:pPr>
    </w:p>
    <w:p w:rsidR="00CD1279" w:rsidRPr="00315FA0" w:rsidRDefault="00CD1279" w:rsidP="00CD1279">
      <w:pPr>
        <w:spacing w:line="276" w:lineRule="auto"/>
        <w:jc w:val="both"/>
        <w:rPr>
          <w:rFonts w:ascii="Arial Narrow" w:hAnsi="Arial Narrow"/>
          <w:b/>
          <w:bCs/>
        </w:rPr>
      </w:pPr>
      <w:r w:rsidRPr="00315FA0">
        <w:rPr>
          <w:rFonts w:ascii="Arial Narrow" w:hAnsi="Arial Narrow"/>
          <w:b/>
        </w:rPr>
        <w:t xml:space="preserve">Parágrafo 2. </w:t>
      </w:r>
      <w:r w:rsidRPr="00315FA0">
        <w:rPr>
          <w:rFonts w:ascii="Arial Narrow" w:hAnsi="Arial Narrow"/>
        </w:rPr>
        <w:t>La vigencia permanente de esta ley no estará condicionada a la vigencia de la Ley 1448 de 2011, sin perjuicio de la aplicación de las normas vigentes sobre atención, asistencia y reparación a las víctimas y de evitar dobles reconocimientos por los mismos hechos y conceptos.</w:t>
      </w:r>
    </w:p>
    <w:p w:rsidR="00CD1279" w:rsidRPr="00315FA0" w:rsidRDefault="00CD1279" w:rsidP="00CD1279">
      <w:pPr>
        <w:spacing w:line="276" w:lineRule="auto"/>
        <w:jc w:val="both"/>
        <w:rPr>
          <w:rFonts w:ascii="Arial Narrow" w:hAnsi="Arial Narrow"/>
          <w:b/>
          <w:bCs/>
        </w:rPr>
      </w:pPr>
    </w:p>
    <w:p w:rsidR="00CD1279" w:rsidRPr="00315FA0" w:rsidRDefault="00CD1279" w:rsidP="00CD1279">
      <w:pPr>
        <w:spacing w:line="276" w:lineRule="auto"/>
        <w:jc w:val="both"/>
        <w:rPr>
          <w:rFonts w:ascii="Arial Narrow" w:hAnsi="Arial Narrow"/>
        </w:rPr>
      </w:pPr>
      <w:r w:rsidRPr="00315FA0">
        <w:rPr>
          <w:rFonts w:ascii="Arial Narrow" w:hAnsi="Arial Narrow"/>
          <w:b/>
          <w:bCs/>
        </w:rPr>
        <w:t xml:space="preserve">ARTÍCULO 9. EDUCACIÓN EN EL RIESGO. </w:t>
      </w:r>
      <w:r w:rsidRPr="00315FA0">
        <w:rPr>
          <w:rFonts w:ascii="Arial Narrow" w:hAnsi="Arial Narrow"/>
        </w:rPr>
        <w:t>Las autoridades territoriales incorporarán acciones de educación en el riesgo de minas antipersonal, municiones sin explosionar y demás artefactos explosivos en los instrumentos de planeación pertinentes, según las necesidades y riesgos del territorio y conforme a los estándares nacionales, en coordinación con la autoridad nacional competente y las autoridades educativas.</w:t>
      </w:r>
    </w:p>
    <w:p w:rsidR="00CD1279" w:rsidRPr="00315FA0" w:rsidRDefault="00CD1279" w:rsidP="00CD1279">
      <w:pPr>
        <w:spacing w:line="276" w:lineRule="auto"/>
        <w:jc w:val="both"/>
        <w:rPr>
          <w:rFonts w:ascii="Arial Narrow" w:hAnsi="Arial Narrow"/>
        </w:rPr>
      </w:pPr>
    </w:p>
    <w:p w:rsidR="00CD1279" w:rsidRPr="00315FA0" w:rsidRDefault="00CD1279" w:rsidP="00CD1279">
      <w:pPr>
        <w:spacing w:line="276" w:lineRule="auto"/>
        <w:jc w:val="both"/>
        <w:rPr>
          <w:rFonts w:ascii="Arial Narrow" w:hAnsi="Arial Narrow"/>
        </w:rPr>
      </w:pPr>
      <w:r w:rsidRPr="00315FA0">
        <w:rPr>
          <w:rFonts w:ascii="Arial Narrow" w:hAnsi="Arial Narrow"/>
          <w:b/>
          <w:bCs/>
        </w:rPr>
        <w:t xml:space="preserve">Parágrafo. </w:t>
      </w:r>
      <w:r w:rsidRPr="00315FA0">
        <w:rPr>
          <w:rFonts w:ascii="Arial Narrow" w:hAnsi="Arial Narrow"/>
        </w:rPr>
        <w:t>La educación en el riesgo no estará condicionada a la priorización ni a la asignación de operaciones de desminado humanitario.</w:t>
      </w:r>
    </w:p>
    <w:p w:rsidR="00CD1279" w:rsidRPr="00315FA0" w:rsidRDefault="00CD1279" w:rsidP="00CD1279">
      <w:pPr>
        <w:spacing w:line="276" w:lineRule="auto"/>
        <w:jc w:val="both"/>
        <w:rPr>
          <w:rFonts w:ascii="Arial Narrow" w:hAnsi="Arial Narrow"/>
        </w:rPr>
      </w:pPr>
    </w:p>
    <w:p w:rsidR="00CD1279" w:rsidRPr="00315FA0" w:rsidRDefault="00CD1279" w:rsidP="00CD1279">
      <w:pPr>
        <w:keepNext/>
        <w:spacing w:line="276" w:lineRule="auto"/>
        <w:jc w:val="center"/>
        <w:rPr>
          <w:rFonts w:ascii="Arial Narrow" w:hAnsi="Arial Narrow"/>
        </w:rPr>
      </w:pPr>
      <w:r w:rsidRPr="00315FA0">
        <w:rPr>
          <w:rFonts w:ascii="Arial Narrow" w:hAnsi="Arial Narrow"/>
          <w:b/>
          <w:bCs/>
        </w:rPr>
        <w:t>TÍTULO IV</w:t>
      </w:r>
    </w:p>
    <w:p w:rsidR="00CD1279" w:rsidRPr="00315FA0" w:rsidRDefault="00CD1279" w:rsidP="00CD1279">
      <w:pPr>
        <w:keepNext/>
        <w:spacing w:line="276" w:lineRule="auto"/>
        <w:jc w:val="center"/>
        <w:rPr>
          <w:rFonts w:ascii="Arial Narrow" w:hAnsi="Arial Narrow"/>
        </w:rPr>
      </w:pPr>
      <w:r w:rsidRPr="00315FA0">
        <w:rPr>
          <w:rFonts w:ascii="Arial Narrow" w:hAnsi="Arial Narrow"/>
          <w:b/>
          <w:bCs/>
        </w:rPr>
        <w:t>INFORMACIÓN PÚBLICA Y SEGUIMIENTO</w:t>
      </w:r>
    </w:p>
    <w:p w:rsidR="00CD1279" w:rsidRPr="00315FA0" w:rsidRDefault="00CD1279" w:rsidP="00CD1279">
      <w:pPr>
        <w:spacing w:line="276" w:lineRule="auto"/>
        <w:jc w:val="both"/>
        <w:rPr>
          <w:rFonts w:ascii="Arial Narrow" w:hAnsi="Arial Narrow"/>
        </w:rPr>
      </w:pPr>
    </w:p>
    <w:p w:rsidR="00CD1279" w:rsidRPr="00315FA0" w:rsidRDefault="00CD1279" w:rsidP="00CD1279">
      <w:pPr>
        <w:spacing w:line="276" w:lineRule="auto"/>
        <w:jc w:val="both"/>
        <w:rPr>
          <w:rFonts w:ascii="Arial Narrow" w:hAnsi="Arial Narrow"/>
        </w:rPr>
      </w:pPr>
      <w:r w:rsidRPr="00315FA0">
        <w:rPr>
          <w:rFonts w:ascii="Arial Narrow" w:hAnsi="Arial Narrow"/>
          <w:b/>
          <w:bCs/>
        </w:rPr>
        <w:t xml:space="preserve">ARTÍCULO 10. ESTADÍSTICA OFICIAL Y DATOS ABIERTOS. </w:t>
      </w:r>
      <w:r w:rsidRPr="00315FA0">
        <w:rPr>
          <w:rFonts w:ascii="Arial Narrow" w:hAnsi="Arial Narrow"/>
        </w:rPr>
        <w:t>La entidad que ejerza la secretaría técnica de la Comisión Intersectorial Nacional para la Acción contra Minas Antipersonal publicará anualmente, a más tardar el 31 de marzo y en formato de datos abiertos, estadísticas agregadas con corte al 31 de diciembre del año anterior sobre víctimas y avance de la descontaminación. Las estadísticas de víctimas se desagregarán por departamento, municipio, condición de la víctima, sexo y rango de edad. Los resultados operacionales se desagregarán por territorio y organización de desminado humanitario e incluirán áreas intervenidas, áreas entregadas y artefactos destruidos.</w:t>
      </w:r>
    </w:p>
    <w:p w:rsidR="00CD1279" w:rsidRPr="00315FA0" w:rsidRDefault="00CD1279" w:rsidP="00CD1279">
      <w:pPr>
        <w:spacing w:line="276" w:lineRule="auto"/>
        <w:jc w:val="both"/>
        <w:rPr>
          <w:rFonts w:ascii="Arial Narrow" w:hAnsi="Arial Narrow"/>
        </w:rPr>
      </w:pPr>
    </w:p>
    <w:p w:rsidR="00CD1279" w:rsidRPr="00315FA0" w:rsidRDefault="00CD1279" w:rsidP="00CD1279">
      <w:pPr>
        <w:spacing w:line="276" w:lineRule="auto"/>
        <w:jc w:val="both"/>
        <w:rPr>
          <w:rFonts w:ascii="Arial Narrow" w:hAnsi="Arial Narrow"/>
        </w:rPr>
      </w:pPr>
      <w:r w:rsidRPr="00315FA0">
        <w:rPr>
          <w:rFonts w:ascii="Arial Narrow" w:hAnsi="Arial Narrow"/>
          <w:b/>
          <w:bCs/>
        </w:rPr>
        <w:t xml:space="preserve">Parágrafo. </w:t>
      </w:r>
      <w:r w:rsidRPr="00315FA0">
        <w:rPr>
          <w:rFonts w:ascii="Arial Narrow" w:hAnsi="Arial Narrow"/>
        </w:rPr>
        <w:t>La publicación utilizará los registros y sistemas de información existentes y protegerá los datos personales conforme a la Ley 1581 de 2012 y la información clasificada y reservada conforme a los artículos 18 y 19 de la Ley 1712 de 2014, en especial la que pueda poner en riesgo la vida o la seguridad de las víctimas, las comunidades, el personal o las operaciones. Estas salvaguardas se aplicarán también a lo previsto en los artículos 7 y 11.</w:t>
      </w:r>
    </w:p>
    <w:p w:rsidR="00CD1279" w:rsidRPr="00315FA0" w:rsidRDefault="00CD1279" w:rsidP="00CD1279">
      <w:pPr>
        <w:spacing w:line="276" w:lineRule="auto"/>
        <w:jc w:val="both"/>
        <w:rPr>
          <w:rFonts w:ascii="Arial Narrow" w:hAnsi="Arial Narrow"/>
        </w:rPr>
      </w:pPr>
    </w:p>
    <w:p w:rsidR="00CD1279" w:rsidRPr="00315FA0" w:rsidRDefault="00CD1279" w:rsidP="00CD1279">
      <w:pPr>
        <w:spacing w:line="276" w:lineRule="auto"/>
        <w:jc w:val="both"/>
        <w:rPr>
          <w:rFonts w:ascii="Arial Narrow" w:hAnsi="Arial Narrow"/>
        </w:rPr>
      </w:pPr>
      <w:r w:rsidRPr="00315FA0">
        <w:rPr>
          <w:rFonts w:ascii="Arial Narrow" w:hAnsi="Arial Narrow"/>
          <w:b/>
          <w:bCs/>
        </w:rPr>
        <w:lastRenderedPageBreak/>
        <w:t xml:space="preserve">ARTÍCULO 11. INFORME ANUAL AL CONGRESO. </w:t>
      </w:r>
      <w:r w:rsidRPr="00315FA0">
        <w:rPr>
          <w:rFonts w:ascii="Arial Narrow" w:hAnsi="Arial Narrow"/>
        </w:rPr>
        <w:t>El Gobierno Nacional presentará anualmente, antes del 31 de marzo, a las Comisiones Primeras y Segundas Constitucionales Permanentes un informe sobre el estado de la acción integral contra minas antipersonal durante el año calendario anterior, que incluirá las estadísticas oficiales, la priorización territorial, las organizaciones civiles certificadas y avaladas, el número agregado de personal operativo y las fuentes de financiación de las actividades de desminado humanitario de cada operador.</w:t>
      </w:r>
    </w:p>
    <w:p w:rsidR="00CD1279" w:rsidRPr="00315FA0" w:rsidRDefault="00CD1279" w:rsidP="00CD1279">
      <w:pPr>
        <w:spacing w:line="276" w:lineRule="auto"/>
        <w:jc w:val="both"/>
        <w:rPr>
          <w:rFonts w:ascii="Arial Narrow" w:hAnsi="Arial Narrow"/>
        </w:rPr>
      </w:pPr>
    </w:p>
    <w:p w:rsidR="00CD1279" w:rsidRPr="00315FA0" w:rsidRDefault="00CD1279" w:rsidP="00CD1279">
      <w:pPr>
        <w:spacing w:line="276" w:lineRule="auto"/>
        <w:jc w:val="both"/>
        <w:rPr>
          <w:rFonts w:ascii="Arial Narrow" w:hAnsi="Arial Narrow"/>
        </w:rPr>
      </w:pPr>
      <w:r w:rsidRPr="00315FA0">
        <w:rPr>
          <w:rFonts w:ascii="Arial Narrow" w:hAnsi="Arial Narrow"/>
          <w:b/>
          <w:bCs/>
        </w:rPr>
        <w:t xml:space="preserve">Parágrafo. </w:t>
      </w:r>
      <w:r w:rsidRPr="00315FA0">
        <w:rPr>
          <w:rFonts w:ascii="Arial Narrow" w:hAnsi="Arial Narrow"/>
        </w:rPr>
        <w:t>El informe utilizará los registros existentes y observará las salvaguardas del artículo 10. Esta disposición no crea obligaciones de reporte directo de los operadores al Congreso.</w:t>
      </w:r>
    </w:p>
    <w:p w:rsidR="00CD1279" w:rsidRPr="00315FA0" w:rsidRDefault="00CD1279" w:rsidP="00CD1279">
      <w:pPr>
        <w:spacing w:line="276" w:lineRule="auto"/>
        <w:jc w:val="both"/>
        <w:rPr>
          <w:rFonts w:ascii="Arial Narrow" w:hAnsi="Arial Narrow"/>
        </w:rPr>
      </w:pPr>
    </w:p>
    <w:p w:rsidR="00CD1279" w:rsidRPr="00315FA0" w:rsidRDefault="00CD1279" w:rsidP="00CD1279">
      <w:pPr>
        <w:keepNext/>
        <w:spacing w:line="276" w:lineRule="auto"/>
        <w:jc w:val="center"/>
        <w:rPr>
          <w:rFonts w:ascii="Arial Narrow" w:hAnsi="Arial Narrow"/>
        </w:rPr>
      </w:pPr>
      <w:r w:rsidRPr="00315FA0">
        <w:rPr>
          <w:rFonts w:ascii="Arial Narrow" w:hAnsi="Arial Narrow"/>
          <w:b/>
          <w:bCs/>
        </w:rPr>
        <w:t>TÍTULO V</w:t>
      </w:r>
    </w:p>
    <w:p w:rsidR="00CD1279" w:rsidRPr="00315FA0" w:rsidRDefault="00CD1279" w:rsidP="00CD1279">
      <w:pPr>
        <w:keepNext/>
        <w:spacing w:line="276" w:lineRule="auto"/>
        <w:jc w:val="center"/>
        <w:rPr>
          <w:rFonts w:ascii="Arial Narrow" w:hAnsi="Arial Narrow"/>
        </w:rPr>
      </w:pPr>
      <w:r w:rsidRPr="00315FA0">
        <w:rPr>
          <w:rFonts w:ascii="Arial Narrow" w:hAnsi="Arial Narrow"/>
          <w:b/>
          <w:bCs/>
        </w:rPr>
        <w:t>DISPOSICIONES FINALES</w:t>
      </w:r>
    </w:p>
    <w:p w:rsidR="00CD1279" w:rsidRPr="00315FA0" w:rsidRDefault="00CD1279" w:rsidP="00CD1279">
      <w:pPr>
        <w:spacing w:line="276" w:lineRule="auto"/>
        <w:jc w:val="both"/>
        <w:rPr>
          <w:rFonts w:ascii="Arial Narrow" w:hAnsi="Arial Narrow"/>
        </w:rPr>
      </w:pPr>
    </w:p>
    <w:p w:rsidR="00CD1279" w:rsidRPr="00315FA0" w:rsidRDefault="00CD1279" w:rsidP="00CD1279">
      <w:pPr>
        <w:spacing w:line="276" w:lineRule="auto"/>
        <w:jc w:val="both"/>
        <w:rPr>
          <w:rFonts w:ascii="Arial Narrow" w:hAnsi="Arial Narrow"/>
        </w:rPr>
      </w:pPr>
      <w:r w:rsidRPr="00315FA0">
        <w:rPr>
          <w:rFonts w:ascii="Arial Narrow" w:hAnsi="Arial Narrow"/>
          <w:b/>
          <w:bCs/>
        </w:rPr>
        <w:t xml:space="preserve">ARTÍCULO 12. ARMONIZACIÓN Y DEROGATORIA. </w:t>
      </w:r>
      <w:r w:rsidRPr="00315FA0">
        <w:rPr>
          <w:rFonts w:ascii="Arial Narrow" w:hAnsi="Arial Narrow"/>
        </w:rPr>
        <w:t>La presente ley se aplicará de manera concurrente y complementaria con las Leyes 554 de 2000, 759 de 2002 y 1448 de 2011, y las normas que las modifiquen, adicionen o sustituyan. No modifica las competencias de la Comisión Intersectorial Nacional para la Acción contra Minas Antipersonal ni el régimen de sanidad de la Fuerza Pública.</w:t>
      </w:r>
    </w:p>
    <w:p w:rsidR="00CD1279" w:rsidRPr="00315FA0" w:rsidRDefault="00CD1279" w:rsidP="00CD1279">
      <w:pPr>
        <w:spacing w:line="276" w:lineRule="auto"/>
        <w:jc w:val="both"/>
        <w:rPr>
          <w:rFonts w:ascii="Arial Narrow" w:hAnsi="Arial Narrow"/>
        </w:rPr>
      </w:pPr>
    </w:p>
    <w:p w:rsidR="00CD1279" w:rsidRPr="00315FA0" w:rsidRDefault="00CD1279" w:rsidP="00CD1279">
      <w:pPr>
        <w:spacing w:line="276" w:lineRule="auto"/>
        <w:jc w:val="both"/>
        <w:rPr>
          <w:rFonts w:ascii="Arial Narrow" w:hAnsi="Arial Narrow"/>
        </w:rPr>
      </w:pPr>
      <w:r w:rsidRPr="00315FA0">
        <w:rPr>
          <w:rFonts w:ascii="Arial Narrow" w:hAnsi="Arial Narrow"/>
        </w:rPr>
        <w:t>Deróguese el artículo 9 de la Ley 1421 de 2010, cuya habilitación se incorpora con carácter permanente en el artículo 2 de la presente ley. Las remisiones normativas al artículo derogado se entenderán hechas al artículo 2 de esta ley.</w:t>
      </w:r>
    </w:p>
    <w:p w:rsidR="00CD1279" w:rsidRPr="00315FA0" w:rsidRDefault="00CD1279" w:rsidP="00CD1279">
      <w:pPr>
        <w:spacing w:line="276" w:lineRule="auto"/>
        <w:jc w:val="both"/>
        <w:rPr>
          <w:rFonts w:ascii="Arial Narrow" w:hAnsi="Arial Narrow"/>
        </w:rPr>
      </w:pPr>
    </w:p>
    <w:p w:rsidR="00CD1279" w:rsidRPr="00315FA0" w:rsidRDefault="00CD1279" w:rsidP="00CD1279">
      <w:pPr>
        <w:spacing w:line="276" w:lineRule="auto"/>
        <w:jc w:val="both"/>
        <w:rPr>
          <w:rFonts w:ascii="Arial Narrow" w:hAnsi="Arial Narrow"/>
        </w:rPr>
      </w:pPr>
      <w:r w:rsidRPr="00315FA0">
        <w:rPr>
          <w:rFonts w:ascii="Arial Narrow" w:hAnsi="Arial Narrow"/>
          <w:b/>
          <w:bCs/>
        </w:rPr>
        <w:t xml:space="preserve">ARTÍCULO 13. VIGENCIA. </w:t>
      </w:r>
      <w:r w:rsidRPr="00315FA0">
        <w:rPr>
          <w:rFonts w:ascii="Arial Narrow" w:hAnsi="Arial Narrow"/>
        </w:rPr>
        <w:t>La presente ley rige a partir de su promulgación y deroga las disposiciones que le sean contrarias.</w:t>
      </w:r>
    </w:p>
    <w:p w:rsidR="006D48E2" w:rsidRPr="00315FA0" w:rsidRDefault="006D48E2" w:rsidP="007122B6">
      <w:pPr>
        <w:rPr>
          <w:rFonts w:ascii="Arial Narrow" w:hAnsi="Arial Narrow"/>
        </w:rPr>
      </w:pPr>
    </w:p>
    <w:p w:rsidR="006D48E2" w:rsidRPr="00315FA0" w:rsidRDefault="006D48E2" w:rsidP="006D48E2">
      <w:pPr>
        <w:rPr>
          <w:rFonts w:ascii="Arial Narrow" w:hAnsi="Arial Narrow"/>
        </w:rPr>
      </w:pPr>
      <w:r w:rsidRPr="00315FA0">
        <w:rPr>
          <w:rFonts w:ascii="Arial Narrow" w:hAnsi="Arial Narrow"/>
        </w:rPr>
        <w:t>De los honorables Representantes,</w:t>
      </w:r>
    </w:p>
    <w:p w:rsidR="006D48E2" w:rsidRPr="00315FA0" w:rsidRDefault="006D48E2" w:rsidP="006D48E2">
      <w:pPr>
        <w:rPr>
          <w:rFonts w:ascii="Arial Narrow" w:hAnsi="Arial Narrow"/>
        </w:rPr>
      </w:pPr>
    </w:p>
    <w:p w:rsidR="006D48E2" w:rsidRPr="00315FA0" w:rsidRDefault="006D48E2" w:rsidP="006D48E2">
      <w:pPr>
        <w:rPr>
          <w:rFonts w:ascii="Arial Narrow" w:hAnsi="Arial Narrow"/>
        </w:rPr>
        <w:sectPr w:rsidR="006D48E2" w:rsidRPr="00315FA0" w:rsidSect="00CD1279">
          <w:type w:val="continuous"/>
          <w:pgSz w:w="12240" w:h="15840"/>
          <w:pgMar w:top="2100" w:right="1040" w:bottom="1900" w:left="1040" w:header="300" w:footer="250" w:gutter="0"/>
          <w:cols w:space="720"/>
          <w:docGrid w:linePitch="360"/>
        </w:sectPr>
      </w:pPr>
    </w:p>
    <w:p w:rsidR="00570C30" w:rsidRDefault="006D48E2" w:rsidP="006D48E2">
      <w:pPr>
        <w:rPr>
          <w:rFonts w:ascii="Arial Narrow" w:hAnsi="Arial Narrow"/>
        </w:rPr>
        <w:sectPr w:rsidR="00570C30" w:rsidSect="00CD1279">
          <w:type w:val="continuous"/>
          <w:pgSz w:w="12240" w:h="15840"/>
          <w:pgMar w:top="2100" w:right="1040" w:bottom="1900" w:left="1040" w:header="300" w:footer="250" w:gutter="0"/>
          <w:cols w:space="720"/>
          <w:docGrid w:linePitch="360"/>
        </w:sectPr>
      </w:pPr>
      <w:r w:rsidRPr="00315FA0">
        <w:rPr>
          <w:rFonts w:ascii="Arial Narrow" w:hAnsi="Arial Narrow"/>
        </w:rPr>
        <w:t xml:space="preserve"> </w:t>
      </w:r>
    </w:p>
    <w:p w:rsidR="006D48E2" w:rsidRPr="00315FA0" w:rsidRDefault="006D48E2" w:rsidP="006D48E2">
      <w:pPr>
        <w:rPr>
          <w:rFonts w:ascii="Arial Narrow" w:hAnsi="Arial Narrow"/>
        </w:rPr>
      </w:pPr>
    </w:p>
    <w:p w:rsidR="006D48E2" w:rsidRPr="00315FA0" w:rsidRDefault="006D48E2" w:rsidP="006D48E2">
      <w:pPr>
        <w:rPr>
          <w:rFonts w:ascii="Arial Narrow" w:hAnsi="Arial Narrow"/>
          <w:b/>
        </w:rPr>
      </w:pPr>
      <w:r w:rsidRPr="00315FA0">
        <w:rPr>
          <w:rFonts w:ascii="Arial Narrow" w:hAnsi="Arial Narrow"/>
          <w:b/>
        </w:rPr>
        <w:t>H.R GUILLERMO LEÓN BLANCO VALENCIA</w:t>
      </w:r>
    </w:p>
    <w:p w:rsidR="006D48E2" w:rsidRPr="00315FA0" w:rsidRDefault="006D48E2" w:rsidP="006D48E2">
      <w:pPr>
        <w:rPr>
          <w:rFonts w:ascii="Arial Narrow" w:hAnsi="Arial Narrow"/>
        </w:rPr>
      </w:pPr>
      <w:r w:rsidRPr="00315FA0">
        <w:rPr>
          <w:rFonts w:ascii="Arial Narrow" w:hAnsi="Arial Narrow"/>
        </w:rPr>
        <w:t>Representante a la Cámara – Coordinador ponente</w:t>
      </w:r>
    </w:p>
    <w:p w:rsidR="006D48E2" w:rsidRPr="00315FA0" w:rsidRDefault="006D48E2" w:rsidP="006D48E2">
      <w:pPr>
        <w:rPr>
          <w:rFonts w:ascii="Arial Narrow" w:hAnsi="Arial Narrow"/>
        </w:rPr>
      </w:pPr>
    </w:p>
    <w:p w:rsidR="006D48E2" w:rsidRPr="00315FA0" w:rsidRDefault="006D48E2" w:rsidP="006D48E2">
      <w:pPr>
        <w:rPr>
          <w:rFonts w:ascii="Arial Narrow" w:hAnsi="Arial Narrow"/>
          <w:b/>
        </w:rPr>
      </w:pPr>
    </w:p>
    <w:p w:rsidR="0018574A" w:rsidRPr="00315FA0" w:rsidRDefault="0018574A" w:rsidP="006D48E2">
      <w:pPr>
        <w:rPr>
          <w:rFonts w:ascii="Arial Narrow" w:hAnsi="Arial Narrow"/>
          <w:b/>
        </w:rPr>
      </w:pPr>
    </w:p>
    <w:p w:rsidR="006D48E2" w:rsidRPr="00315FA0" w:rsidRDefault="006D48E2" w:rsidP="006D48E2">
      <w:pPr>
        <w:rPr>
          <w:rFonts w:ascii="Arial Narrow" w:hAnsi="Arial Narrow"/>
          <w:b/>
        </w:rPr>
      </w:pPr>
      <w:r w:rsidRPr="00315FA0">
        <w:rPr>
          <w:rFonts w:ascii="Arial Narrow" w:hAnsi="Arial Narrow"/>
          <w:b/>
        </w:rPr>
        <w:t>H.R DANIEL FELIPE BERNAL MONTEALEGRE</w:t>
      </w:r>
    </w:p>
    <w:p w:rsidR="006D48E2" w:rsidRPr="00315FA0" w:rsidRDefault="006D48E2" w:rsidP="006D48E2">
      <w:pPr>
        <w:rPr>
          <w:rFonts w:ascii="Arial Narrow" w:hAnsi="Arial Narrow"/>
        </w:rPr>
      </w:pPr>
      <w:r w:rsidRPr="00315FA0">
        <w:rPr>
          <w:rFonts w:ascii="Arial Narrow" w:hAnsi="Arial Narrow"/>
        </w:rPr>
        <w:t>Representante a la Cámara – Coordinador ponente</w:t>
      </w:r>
    </w:p>
    <w:p w:rsidR="006D48E2" w:rsidRDefault="006D48E2" w:rsidP="006D48E2">
      <w:pPr>
        <w:rPr>
          <w:rFonts w:ascii="Arial Narrow" w:hAnsi="Arial Narrow"/>
        </w:rPr>
      </w:pPr>
    </w:p>
    <w:p w:rsidR="0018574A" w:rsidRPr="00315FA0" w:rsidRDefault="0018574A" w:rsidP="006D48E2">
      <w:pPr>
        <w:rPr>
          <w:rFonts w:ascii="Arial Narrow" w:hAnsi="Arial Narrow"/>
        </w:rPr>
      </w:pPr>
    </w:p>
    <w:p w:rsidR="006D48E2" w:rsidRPr="00315FA0" w:rsidRDefault="006D48E2" w:rsidP="006D48E2">
      <w:pPr>
        <w:rPr>
          <w:rFonts w:ascii="Arial Narrow" w:hAnsi="Arial Narrow"/>
          <w:b/>
        </w:rPr>
      </w:pPr>
      <w:r w:rsidRPr="00315FA0">
        <w:rPr>
          <w:rFonts w:ascii="Arial Narrow" w:hAnsi="Arial Narrow"/>
          <w:b/>
        </w:rPr>
        <w:t>H.R DANIEL FELIPE BRICEÑO MONTES</w:t>
      </w:r>
    </w:p>
    <w:p w:rsidR="006D48E2" w:rsidRPr="00315FA0" w:rsidRDefault="006D48E2" w:rsidP="006D48E2">
      <w:pPr>
        <w:rPr>
          <w:rFonts w:ascii="Arial Narrow" w:hAnsi="Arial Narrow"/>
        </w:rPr>
      </w:pPr>
      <w:r w:rsidRPr="00315FA0">
        <w:rPr>
          <w:rFonts w:ascii="Arial Narrow" w:hAnsi="Arial Narrow"/>
        </w:rPr>
        <w:t>Representante a la Cámara – Ponente</w:t>
      </w:r>
    </w:p>
    <w:p w:rsidR="006D48E2" w:rsidRDefault="006D48E2" w:rsidP="006D48E2">
      <w:pPr>
        <w:rPr>
          <w:rFonts w:ascii="Arial Narrow" w:hAnsi="Arial Narrow"/>
        </w:rPr>
      </w:pPr>
    </w:p>
    <w:p w:rsidR="00570C30" w:rsidRPr="00315FA0" w:rsidRDefault="00570C30" w:rsidP="006D48E2">
      <w:pPr>
        <w:rPr>
          <w:rFonts w:ascii="Arial Narrow" w:hAnsi="Arial Narrow"/>
        </w:rPr>
      </w:pPr>
    </w:p>
    <w:p w:rsidR="006D48E2" w:rsidRPr="00315FA0" w:rsidRDefault="006D48E2" w:rsidP="006D48E2">
      <w:pPr>
        <w:rPr>
          <w:rFonts w:ascii="Arial Narrow" w:hAnsi="Arial Narrow"/>
          <w:b/>
        </w:rPr>
      </w:pPr>
      <w:r w:rsidRPr="00315FA0">
        <w:rPr>
          <w:rFonts w:ascii="Arial Narrow" w:hAnsi="Arial Narrow"/>
          <w:b/>
        </w:rPr>
        <w:t>H.R JUAN PABLO DUQUE GONZÁLEZ</w:t>
      </w:r>
    </w:p>
    <w:p w:rsidR="006D48E2" w:rsidRPr="00315FA0" w:rsidRDefault="006D48E2" w:rsidP="006D48E2">
      <w:pPr>
        <w:rPr>
          <w:rFonts w:ascii="Arial Narrow" w:hAnsi="Arial Narrow"/>
        </w:rPr>
      </w:pPr>
      <w:r w:rsidRPr="00315FA0">
        <w:rPr>
          <w:rFonts w:ascii="Arial Narrow" w:hAnsi="Arial Narrow"/>
        </w:rPr>
        <w:t>Representante a la Cámara – Ponente</w:t>
      </w:r>
    </w:p>
    <w:p w:rsidR="006D48E2" w:rsidRPr="00315FA0" w:rsidRDefault="006D48E2" w:rsidP="006D48E2">
      <w:pPr>
        <w:rPr>
          <w:rFonts w:ascii="Arial Narrow" w:hAnsi="Arial Narrow"/>
        </w:rPr>
      </w:pPr>
    </w:p>
    <w:p w:rsidR="006D48E2" w:rsidRPr="00315FA0" w:rsidRDefault="006D48E2" w:rsidP="006D48E2">
      <w:pPr>
        <w:rPr>
          <w:rFonts w:ascii="Arial Narrow" w:hAnsi="Arial Narrow"/>
        </w:rPr>
      </w:pPr>
    </w:p>
    <w:p w:rsidR="0018574A" w:rsidRPr="00315FA0" w:rsidRDefault="0018574A" w:rsidP="006D48E2">
      <w:pPr>
        <w:rPr>
          <w:rFonts w:ascii="Arial Narrow" w:hAnsi="Arial Narrow"/>
        </w:rPr>
      </w:pPr>
    </w:p>
    <w:p w:rsidR="006D48E2" w:rsidRPr="00315FA0" w:rsidRDefault="006D48E2" w:rsidP="006D48E2">
      <w:pPr>
        <w:rPr>
          <w:rFonts w:ascii="Arial Narrow" w:hAnsi="Arial Narrow"/>
          <w:b/>
        </w:rPr>
      </w:pPr>
      <w:r w:rsidRPr="00315FA0">
        <w:rPr>
          <w:rFonts w:ascii="Arial Narrow" w:hAnsi="Arial Narrow"/>
          <w:b/>
        </w:rPr>
        <w:t>H.R JUAN DAVID LONDOÑO ARANGO</w:t>
      </w:r>
    </w:p>
    <w:p w:rsidR="006D48E2" w:rsidRPr="00315FA0" w:rsidRDefault="006D48E2" w:rsidP="006D48E2">
      <w:pPr>
        <w:rPr>
          <w:rFonts w:ascii="Arial Narrow" w:hAnsi="Arial Narrow"/>
        </w:rPr>
      </w:pPr>
      <w:r w:rsidRPr="00315FA0">
        <w:rPr>
          <w:rFonts w:ascii="Arial Narrow" w:hAnsi="Arial Narrow"/>
        </w:rPr>
        <w:t>Representante a la Cámara – Ponente</w:t>
      </w:r>
    </w:p>
    <w:p w:rsidR="006D48E2" w:rsidRPr="00315FA0" w:rsidRDefault="006D48E2" w:rsidP="006D48E2">
      <w:pPr>
        <w:rPr>
          <w:rFonts w:ascii="Arial Narrow" w:hAnsi="Arial Narrow"/>
        </w:rPr>
      </w:pPr>
    </w:p>
    <w:p w:rsidR="006D48E2" w:rsidRPr="00315FA0" w:rsidRDefault="006D48E2" w:rsidP="006D48E2">
      <w:pPr>
        <w:rPr>
          <w:rFonts w:ascii="Arial Narrow" w:hAnsi="Arial Narrow"/>
        </w:rPr>
      </w:pPr>
    </w:p>
    <w:p w:rsidR="006D48E2" w:rsidRPr="00315FA0" w:rsidRDefault="006D48E2" w:rsidP="006D48E2">
      <w:pPr>
        <w:rPr>
          <w:rFonts w:ascii="Arial Narrow" w:hAnsi="Arial Narrow"/>
        </w:rPr>
      </w:pPr>
    </w:p>
    <w:p w:rsidR="006D48E2" w:rsidRPr="00315FA0" w:rsidRDefault="006D48E2" w:rsidP="006D48E2">
      <w:pPr>
        <w:rPr>
          <w:rFonts w:ascii="Arial Narrow" w:hAnsi="Arial Narrow"/>
          <w:b/>
        </w:rPr>
      </w:pPr>
      <w:r w:rsidRPr="00315FA0">
        <w:rPr>
          <w:rFonts w:ascii="Arial Narrow" w:hAnsi="Arial Narrow"/>
          <w:b/>
        </w:rPr>
        <w:t>H.R ÓSCAR DAVID BENAVIDES ANGULO</w:t>
      </w:r>
    </w:p>
    <w:p w:rsidR="006D48E2" w:rsidRPr="00315FA0" w:rsidRDefault="006D48E2" w:rsidP="006D48E2">
      <w:pPr>
        <w:rPr>
          <w:rFonts w:ascii="Arial Narrow" w:hAnsi="Arial Narrow"/>
        </w:rPr>
      </w:pPr>
      <w:r w:rsidRPr="00315FA0">
        <w:rPr>
          <w:rFonts w:ascii="Arial Narrow" w:hAnsi="Arial Narrow"/>
        </w:rPr>
        <w:t>Representante a la Cámara – Ponente</w:t>
      </w:r>
    </w:p>
    <w:p w:rsidR="006D48E2" w:rsidRPr="00315FA0" w:rsidRDefault="006D48E2" w:rsidP="006D48E2">
      <w:pPr>
        <w:rPr>
          <w:rFonts w:ascii="Arial Narrow" w:hAnsi="Arial Narrow"/>
        </w:rPr>
      </w:pPr>
    </w:p>
    <w:p w:rsidR="006D48E2" w:rsidRPr="00315FA0" w:rsidRDefault="006D48E2" w:rsidP="006D48E2">
      <w:pPr>
        <w:rPr>
          <w:rFonts w:ascii="Arial Narrow" w:hAnsi="Arial Narrow"/>
        </w:rPr>
      </w:pPr>
    </w:p>
    <w:p w:rsidR="006D48E2" w:rsidRPr="00315FA0" w:rsidRDefault="006D48E2" w:rsidP="006D48E2">
      <w:pPr>
        <w:rPr>
          <w:rFonts w:ascii="Arial Narrow" w:hAnsi="Arial Narrow"/>
          <w:b/>
        </w:rPr>
      </w:pPr>
      <w:r w:rsidRPr="00315FA0">
        <w:rPr>
          <w:rFonts w:ascii="Arial Narrow" w:hAnsi="Arial Narrow"/>
          <w:b/>
        </w:rPr>
        <w:t>H.R LAURA VANESSA DÍAZ CURA</w:t>
      </w:r>
    </w:p>
    <w:p w:rsidR="006D48E2" w:rsidRPr="00315FA0" w:rsidRDefault="006D48E2" w:rsidP="006D48E2">
      <w:pPr>
        <w:rPr>
          <w:rFonts w:ascii="Arial Narrow" w:hAnsi="Arial Narrow"/>
        </w:rPr>
      </w:pPr>
      <w:r w:rsidRPr="00315FA0">
        <w:rPr>
          <w:rFonts w:ascii="Arial Narrow" w:hAnsi="Arial Narrow"/>
        </w:rPr>
        <w:t>Representante a la Cámara – Ponente</w:t>
      </w:r>
    </w:p>
    <w:p w:rsidR="00570C30" w:rsidRPr="00315FA0" w:rsidRDefault="00570C30" w:rsidP="006D48E2">
      <w:pPr>
        <w:rPr>
          <w:rFonts w:ascii="Arial Narrow" w:hAnsi="Arial Narrow"/>
        </w:rPr>
      </w:pPr>
    </w:p>
    <w:p w:rsidR="006D48E2" w:rsidRPr="00315FA0" w:rsidRDefault="006D48E2" w:rsidP="006D48E2">
      <w:pPr>
        <w:rPr>
          <w:rFonts w:ascii="Arial Narrow" w:hAnsi="Arial Narrow"/>
        </w:rPr>
      </w:pPr>
    </w:p>
    <w:p w:rsidR="006D48E2" w:rsidRPr="00315FA0" w:rsidRDefault="006D48E2" w:rsidP="006D48E2">
      <w:pPr>
        <w:rPr>
          <w:rFonts w:ascii="Arial Narrow" w:hAnsi="Arial Narrow"/>
          <w:b/>
        </w:rPr>
      </w:pPr>
      <w:r w:rsidRPr="00315FA0">
        <w:rPr>
          <w:rFonts w:ascii="Arial Narrow" w:hAnsi="Arial Narrow"/>
          <w:b/>
        </w:rPr>
        <w:t>H.R ALEJANDRA GABRIELA ABÁSOLO GÓMEZ</w:t>
      </w:r>
    </w:p>
    <w:p w:rsidR="006D48E2" w:rsidRPr="00315FA0" w:rsidRDefault="006D48E2" w:rsidP="00570C30">
      <w:pPr>
        <w:rPr>
          <w:rFonts w:ascii="Arial Narrow" w:hAnsi="Arial Narrow"/>
        </w:rPr>
      </w:pPr>
      <w:r w:rsidRPr="00315FA0">
        <w:rPr>
          <w:rFonts w:ascii="Arial Narrow" w:hAnsi="Arial Narrow"/>
        </w:rPr>
        <w:t>Repr</w:t>
      </w:r>
      <w:r w:rsidR="00570C30">
        <w:rPr>
          <w:rFonts w:ascii="Arial Narrow" w:hAnsi="Arial Narrow"/>
        </w:rPr>
        <w:t>esentante a la Cámara – Ponente</w:t>
      </w:r>
    </w:p>
    <w:sectPr w:rsidR="006D48E2" w:rsidRPr="00315FA0" w:rsidSect="00570C30">
      <w:type w:val="continuous"/>
      <w:pgSz w:w="12240" w:h="15840"/>
      <w:pgMar w:top="2100" w:right="1040" w:bottom="1900" w:left="1040" w:header="300" w:footer="25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2702" w:rsidRDefault="00E62702">
      <w:r>
        <w:separator/>
      </w:r>
    </w:p>
  </w:endnote>
  <w:endnote w:type="continuationSeparator" w:id="0">
    <w:p w:rsidR="00E62702" w:rsidRDefault="00E627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43FE" w:rsidRDefault="007343FE">
    <w:pPr>
      <w:jc w:val="center"/>
    </w:pPr>
    <w:r>
      <w:rPr>
        <w:noProof/>
      </w:rPr>
      <w:drawing>
        <wp:inline distT="0" distB="0" distL="0" distR="0">
          <wp:extent cx="4953000" cy="6286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4953000" cy="62865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2702" w:rsidRDefault="00E62702">
      <w:r>
        <w:separator/>
      </w:r>
    </w:p>
  </w:footnote>
  <w:footnote w:type="continuationSeparator" w:id="0">
    <w:p w:rsidR="00E62702" w:rsidRDefault="00E627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43FE" w:rsidRDefault="007343FE">
    <w:pPr>
      <w:jc w:val="center"/>
    </w:pPr>
    <w:r>
      <w:rPr>
        <w:noProof/>
      </w:rPr>
      <w:drawing>
        <wp:anchor distT="0" distB="0" distL="114300" distR="114300" simplePos="0" relativeHeight="251659264" behindDoc="1" locked="0" layoutInCell="1" allowOverlap="1">
          <wp:simplePos x="0" y="0"/>
          <wp:positionH relativeFrom="margin">
            <wp:posOffset>292100</wp:posOffset>
          </wp:positionH>
          <wp:positionV relativeFrom="paragraph">
            <wp:posOffset>76200</wp:posOffset>
          </wp:positionV>
          <wp:extent cx="1800225" cy="564515"/>
          <wp:effectExtent l="0" t="0" r="9525" b="6985"/>
          <wp:wrapTight wrapText="bothSides">
            <wp:wrapPolygon edited="0">
              <wp:start x="21029" y="0"/>
              <wp:lineTo x="0" y="0"/>
              <wp:lineTo x="0" y="17494"/>
              <wp:lineTo x="1600" y="21138"/>
              <wp:lineTo x="4571" y="21138"/>
              <wp:lineTo x="21486" y="18223"/>
              <wp:lineTo x="21486" y="0"/>
              <wp:lineTo x="21029" y="0"/>
            </wp:wrapPolygon>
          </wp:wrapTight>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berna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00225" cy="56451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simplePos x="0" y="0"/>
          <wp:positionH relativeFrom="column">
            <wp:posOffset>2273300</wp:posOffset>
          </wp:positionH>
          <wp:positionV relativeFrom="paragraph">
            <wp:posOffset>-19050</wp:posOffset>
          </wp:positionV>
          <wp:extent cx="3810000" cy="733425"/>
          <wp:effectExtent l="0" t="0" r="0" b="9525"/>
          <wp:wrapTight wrapText="bothSides">
            <wp:wrapPolygon edited="0">
              <wp:start x="0" y="0"/>
              <wp:lineTo x="0" y="21319"/>
              <wp:lineTo x="21492" y="21319"/>
              <wp:lineTo x="21492"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3810000" cy="73342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F3346"/>
    <w:multiLevelType w:val="hybridMultilevel"/>
    <w:tmpl w:val="761C9F74"/>
    <w:lvl w:ilvl="0" w:tplc="5C3E4806">
      <w:start w:val="6"/>
      <w:numFmt w:val="bullet"/>
      <w:lvlText w:val="-"/>
      <w:lvlJc w:val="left"/>
      <w:pPr>
        <w:ind w:left="720" w:hanging="360"/>
      </w:pPr>
      <w:rPr>
        <w:rFonts w:ascii="Arial" w:eastAsia="Arial"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3575561"/>
    <w:multiLevelType w:val="hybridMultilevel"/>
    <w:tmpl w:val="201E8EC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A7D74F1"/>
    <w:multiLevelType w:val="hybridMultilevel"/>
    <w:tmpl w:val="9EF6CD2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E887525"/>
    <w:multiLevelType w:val="hybridMultilevel"/>
    <w:tmpl w:val="170C839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6A255614"/>
    <w:multiLevelType w:val="hybridMultilevel"/>
    <w:tmpl w:val="10E470C4"/>
    <w:lvl w:ilvl="0" w:tplc="708896BA">
      <w:start w:val="1"/>
      <w:numFmt w:val="bullet"/>
      <w:lvlText w:val="●"/>
      <w:lvlJc w:val="left"/>
      <w:pPr>
        <w:ind w:left="720" w:hanging="360"/>
      </w:pPr>
    </w:lvl>
    <w:lvl w:ilvl="1" w:tplc="E23241A2">
      <w:start w:val="1"/>
      <w:numFmt w:val="bullet"/>
      <w:lvlText w:val="○"/>
      <w:lvlJc w:val="left"/>
      <w:pPr>
        <w:ind w:left="1440" w:hanging="360"/>
      </w:pPr>
    </w:lvl>
    <w:lvl w:ilvl="2" w:tplc="600AF6AC">
      <w:start w:val="1"/>
      <w:numFmt w:val="bullet"/>
      <w:lvlText w:val="■"/>
      <w:lvlJc w:val="left"/>
      <w:pPr>
        <w:ind w:left="2160" w:hanging="360"/>
      </w:pPr>
    </w:lvl>
    <w:lvl w:ilvl="3" w:tplc="A9768862">
      <w:start w:val="1"/>
      <w:numFmt w:val="bullet"/>
      <w:lvlText w:val="●"/>
      <w:lvlJc w:val="left"/>
      <w:pPr>
        <w:ind w:left="2880" w:hanging="360"/>
      </w:pPr>
    </w:lvl>
    <w:lvl w:ilvl="4" w:tplc="8BDE4588">
      <w:start w:val="1"/>
      <w:numFmt w:val="bullet"/>
      <w:lvlText w:val="○"/>
      <w:lvlJc w:val="left"/>
      <w:pPr>
        <w:ind w:left="3600" w:hanging="360"/>
      </w:pPr>
    </w:lvl>
    <w:lvl w:ilvl="5" w:tplc="D1CE50E6">
      <w:start w:val="1"/>
      <w:numFmt w:val="bullet"/>
      <w:lvlText w:val="■"/>
      <w:lvlJc w:val="left"/>
      <w:pPr>
        <w:ind w:left="4320" w:hanging="360"/>
      </w:pPr>
    </w:lvl>
    <w:lvl w:ilvl="6" w:tplc="D8863F58">
      <w:start w:val="1"/>
      <w:numFmt w:val="bullet"/>
      <w:lvlText w:val="●"/>
      <w:lvlJc w:val="left"/>
      <w:pPr>
        <w:ind w:left="5040" w:hanging="360"/>
      </w:pPr>
    </w:lvl>
    <w:lvl w:ilvl="7" w:tplc="94DAD652">
      <w:start w:val="1"/>
      <w:numFmt w:val="bullet"/>
      <w:lvlText w:val="●"/>
      <w:lvlJc w:val="left"/>
      <w:pPr>
        <w:ind w:left="5760" w:hanging="360"/>
      </w:pPr>
    </w:lvl>
    <w:lvl w:ilvl="8" w:tplc="7F84523A">
      <w:start w:val="1"/>
      <w:numFmt w:val="bullet"/>
      <w:lvlText w:val="●"/>
      <w:lvlJc w:val="left"/>
      <w:pPr>
        <w:ind w:left="6480" w:hanging="360"/>
      </w:pPr>
    </w:lvl>
  </w:abstractNum>
  <w:abstractNum w:abstractNumId="5" w15:restartNumberingAfterBreak="0">
    <w:nsid w:val="6EC84B2E"/>
    <w:multiLevelType w:val="hybridMultilevel"/>
    <w:tmpl w:val="F428582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4506B9A"/>
    <w:multiLevelType w:val="hybridMultilevel"/>
    <w:tmpl w:val="3EB2BB38"/>
    <w:lvl w:ilvl="0" w:tplc="B6C42D0A">
      <w:start w:val="6"/>
      <w:numFmt w:val="bullet"/>
      <w:lvlText w:val="-"/>
      <w:lvlJc w:val="left"/>
      <w:pPr>
        <w:ind w:left="720" w:hanging="360"/>
      </w:pPr>
      <w:rPr>
        <w:rFonts w:ascii="Arial" w:eastAsia="Arial"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4"/>
    <w:lvlOverride w:ilvl="0">
      <w:startOverride w:val="1"/>
    </w:lvlOverride>
  </w:num>
  <w:num w:numId="2">
    <w:abstractNumId w:val="6"/>
  </w:num>
  <w:num w:numId="3">
    <w:abstractNumId w:val="0"/>
  </w:num>
  <w:num w:numId="4">
    <w:abstractNumId w:val="2"/>
  </w:num>
  <w:num w:numId="5">
    <w:abstractNumId w:val="3"/>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592"/>
    <w:rsid w:val="0018574A"/>
    <w:rsid w:val="0019237F"/>
    <w:rsid w:val="001E2B41"/>
    <w:rsid w:val="00315FA0"/>
    <w:rsid w:val="00423229"/>
    <w:rsid w:val="004B1C3E"/>
    <w:rsid w:val="00570C30"/>
    <w:rsid w:val="00690498"/>
    <w:rsid w:val="006D48E2"/>
    <w:rsid w:val="007122B6"/>
    <w:rsid w:val="007343FE"/>
    <w:rsid w:val="00751209"/>
    <w:rsid w:val="007B45A1"/>
    <w:rsid w:val="007B6803"/>
    <w:rsid w:val="008E1A25"/>
    <w:rsid w:val="009B1536"/>
    <w:rsid w:val="00AA4905"/>
    <w:rsid w:val="00AF6CDA"/>
    <w:rsid w:val="00B30E20"/>
    <w:rsid w:val="00B71018"/>
    <w:rsid w:val="00B85A6A"/>
    <w:rsid w:val="00C01452"/>
    <w:rsid w:val="00C64519"/>
    <w:rsid w:val="00C95592"/>
    <w:rsid w:val="00CB34C5"/>
    <w:rsid w:val="00CD1279"/>
    <w:rsid w:val="00D051D2"/>
    <w:rsid w:val="00DA2EB7"/>
    <w:rsid w:val="00DB1C92"/>
    <w:rsid w:val="00E23880"/>
    <w:rsid w:val="00E62702"/>
    <w:rsid w:val="00E6313C"/>
    <w:rsid w:val="00F2687B"/>
    <w:rsid w:val="00F64A9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6AF20"/>
  <w15:docId w15:val="{6789A214-635A-4731-9DA5-0BDEEAD24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000000"/>
        <w:sz w:val="22"/>
        <w:szCs w:val="22"/>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qFormat/>
    <w:pPr>
      <w:outlineLvl w:val="0"/>
    </w:pPr>
    <w:rPr>
      <w:color w:val="2E74B5"/>
      <w:sz w:val="32"/>
      <w:szCs w:val="32"/>
    </w:rPr>
  </w:style>
  <w:style w:type="paragraph" w:styleId="Ttulo2">
    <w:name w:val="heading 2"/>
    <w:qFormat/>
    <w:pPr>
      <w:outlineLvl w:val="1"/>
    </w:pPr>
    <w:rPr>
      <w:color w:val="2E74B5"/>
      <w:sz w:val="26"/>
      <w:szCs w:val="26"/>
    </w:rPr>
  </w:style>
  <w:style w:type="paragraph" w:styleId="Ttulo3">
    <w:name w:val="heading 3"/>
    <w:qFormat/>
    <w:pPr>
      <w:outlineLvl w:val="2"/>
    </w:pPr>
    <w:rPr>
      <w:color w:val="1F4D78"/>
      <w:sz w:val="24"/>
      <w:szCs w:val="24"/>
    </w:rPr>
  </w:style>
  <w:style w:type="paragraph" w:styleId="Ttulo4">
    <w:name w:val="heading 4"/>
    <w:qFormat/>
    <w:pPr>
      <w:outlineLvl w:val="3"/>
    </w:pPr>
    <w:rPr>
      <w:i/>
      <w:iCs/>
      <w:color w:val="2E74B5"/>
    </w:rPr>
  </w:style>
  <w:style w:type="paragraph" w:styleId="Ttulo5">
    <w:name w:val="heading 5"/>
    <w:qFormat/>
    <w:pPr>
      <w:outlineLvl w:val="4"/>
    </w:pPr>
    <w:rPr>
      <w:color w:val="2E74B5"/>
    </w:rPr>
  </w:style>
  <w:style w:type="paragraph" w:styleId="Ttulo6">
    <w:name w:val="heading 6"/>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qFormat/>
    <w:rPr>
      <w:sz w:val="56"/>
      <w:szCs w:val="56"/>
    </w:rPr>
  </w:style>
  <w:style w:type="paragraph" w:customStyle="1" w:styleId="Textoennegrita1">
    <w:name w:val="Texto en negrita1"/>
    <w:qFormat/>
    <w:rPr>
      <w:b/>
      <w:bCs/>
    </w:rPr>
  </w:style>
  <w:style w:type="paragraph" w:styleId="Prrafodelista">
    <w:name w:val="List Paragraph"/>
    <w:uiPriority w:val="34"/>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 w:type="paragraph" w:styleId="Textodeglobo">
    <w:name w:val="Balloon Text"/>
    <w:basedOn w:val="Normal"/>
    <w:link w:val="TextodegloboCar"/>
    <w:uiPriority w:val="99"/>
    <w:semiHidden/>
    <w:unhideWhenUsed/>
    <w:rsid w:val="00B85A6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5A6A"/>
    <w:rPr>
      <w:rFonts w:ascii="Segoe UI" w:hAnsi="Segoe UI" w:cs="Segoe UI"/>
      <w:sz w:val="18"/>
      <w:szCs w:val="18"/>
    </w:rPr>
  </w:style>
  <w:style w:type="paragraph" w:styleId="Encabezado">
    <w:name w:val="header"/>
    <w:basedOn w:val="Normal"/>
    <w:link w:val="EncabezadoCar"/>
    <w:uiPriority w:val="99"/>
    <w:unhideWhenUsed/>
    <w:rsid w:val="00B85A6A"/>
    <w:pPr>
      <w:tabs>
        <w:tab w:val="center" w:pos="4419"/>
        <w:tab w:val="right" w:pos="8838"/>
      </w:tabs>
    </w:pPr>
  </w:style>
  <w:style w:type="character" w:customStyle="1" w:styleId="EncabezadoCar">
    <w:name w:val="Encabezado Car"/>
    <w:basedOn w:val="Fuentedeprrafopredeter"/>
    <w:link w:val="Encabezado"/>
    <w:uiPriority w:val="99"/>
    <w:rsid w:val="00B85A6A"/>
  </w:style>
  <w:style w:type="paragraph" w:styleId="Piedepgina">
    <w:name w:val="footer"/>
    <w:basedOn w:val="Normal"/>
    <w:link w:val="PiedepginaCar"/>
    <w:uiPriority w:val="99"/>
    <w:unhideWhenUsed/>
    <w:rsid w:val="00B85A6A"/>
    <w:pPr>
      <w:tabs>
        <w:tab w:val="center" w:pos="4419"/>
        <w:tab w:val="right" w:pos="8838"/>
      </w:tabs>
    </w:pPr>
  </w:style>
  <w:style w:type="character" w:customStyle="1" w:styleId="PiedepginaCar">
    <w:name w:val="Pie de página Car"/>
    <w:basedOn w:val="Fuentedeprrafopredeter"/>
    <w:link w:val="Piedepgina"/>
    <w:uiPriority w:val="99"/>
    <w:rsid w:val="00B85A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hart" Target="charts/chart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5.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Hoja_de_c_lculo_de_Microsoft_Excel.xlsx"/></Relationships>
</file>

<file path=word/charts/_rels/chart2.xml.rels><?xml version="1.0" encoding="UTF-8" standalone="yes"?>
<Relationships xmlns="http://schemas.openxmlformats.org/package/2006/relationships"><Relationship Id="rId1" Type="http://schemas.openxmlformats.org/officeDocument/2006/relationships/package" Target="../embeddings/Hoja_de_c_lculo_de_Microsoft_Excel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Hoja_de_c_lculo_de_Microsoft_Excel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Hoja_de_c_lculo_de_Microsoft_Excel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Hoja_de_c_lculo_de_Microsoft_Excel4.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Víctimas 2025</c:v>
                </c:pt>
              </c:strCache>
            </c:strRef>
          </c:tx>
          <c:spPr>
            <a:solidFill>
              <a:srgbClr val="A6A6A6"/>
            </a:solidFill>
            <a:ln>
              <a:noFill/>
            </a:ln>
          </c:spPr>
          <c:invertIfNegative val="1"/>
          <c:dPt>
            <c:idx val="0"/>
            <c:invertIfNegative val="0"/>
            <c:bubble3D val="0"/>
            <c:spPr>
              <a:solidFill>
                <a:srgbClr val="1F3864"/>
              </a:solidFill>
              <a:ln>
                <a:noFill/>
              </a:ln>
            </c:spPr>
            <c:extLst>
              <c:ext xmlns:c16="http://schemas.microsoft.com/office/drawing/2014/chart" uri="{C3380CC4-5D6E-409C-BE32-E72D297353CC}">
                <c16:uniqueId val="{00000001-5EE0-4CE4-A70C-46E1DBDB9B03}"/>
              </c:ext>
            </c:extLst>
          </c:dPt>
          <c:dLbls>
            <c:numFmt formatCode="#,##0" sourceLinked="0"/>
            <c:spPr>
              <a:noFill/>
              <a:ln>
                <a:noFill/>
              </a:ln>
            </c:spPr>
            <c:txPr>
              <a:bodyPr/>
              <a:lstStyle/>
              <a:p>
                <a:pPr>
                  <a:defRPr sz="800" b="0">
                    <a:solidFill>
                      <a:srgbClr val="000000"/>
                    </a:solidFill>
                    <a:latin typeface="Arial"/>
                    <a:cs typeface="Arial"/>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Sheet1!$A$2:$A$10</c:f>
              <c:strCache>
                <c:ptCount val="9"/>
                <c:pt idx="0">
                  <c:v>Colombia</c:v>
                </c:pt>
                <c:pt idx="1">
                  <c:v>Yemen</c:v>
                </c:pt>
                <c:pt idx="2">
                  <c:v>Sudán</c:v>
                </c:pt>
                <c:pt idx="3">
                  <c:v>Ucrania</c:v>
                </c:pt>
                <c:pt idx="4">
                  <c:v>Nigeria</c:v>
                </c:pt>
                <c:pt idx="5">
                  <c:v>Palestina</c:v>
                </c:pt>
                <c:pt idx="6">
                  <c:v>Afganistán</c:v>
                </c:pt>
                <c:pt idx="7">
                  <c:v>Myanmar</c:v>
                </c:pt>
                <c:pt idx="8">
                  <c:v>Siria</c:v>
                </c:pt>
              </c:strCache>
            </c:strRef>
          </c:cat>
          <c:val>
            <c:numRef>
              <c:f>Sheet1!$B$2:$B$10</c:f>
              <c:numCache>
                <c:formatCode>#,##0</c:formatCode>
                <c:ptCount val="9"/>
                <c:pt idx="0">
                  <c:v>136</c:v>
                </c:pt>
                <c:pt idx="1">
                  <c:v>164</c:v>
                </c:pt>
                <c:pt idx="2">
                  <c:v>172</c:v>
                </c:pt>
                <c:pt idx="3">
                  <c:v>275</c:v>
                </c:pt>
                <c:pt idx="4">
                  <c:v>296</c:v>
                </c:pt>
                <c:pt idx="5">
                  <c:v>319</c:v>
                </c:pt>
                <c:pt idx="6">
                  <c:v>497</c:v>
                </c:pt>
                <c:pt idx="7">
                  <c:v>745</c:v>
                </c:pt>
                <c:pt idx="8">
                  <c:v>1602</c:v>
                </c:pt>
              </c:numCache>
            </c:numRef>
          </c:val>
          <c:extLst>
            <c:ext xmlns:c14="http://schemas.microsoft.com/office/drawing/2007/8/2/chart" uri="{6F2FDCE9-48DA-4B69-8628-5D25D57E5C99}">
              <c14:invertSolidFillFmt>
                <c14:spPr xmlns:c14="http://schemas.microsoft.com/office/drawing/2007/8/2/chart">
                  <a:solidFill>
                    <a:srgbClr val="FFFFFF"/>
                  </a:solidFill>
                  <a:ln>
                    <a:noFill/>
                  </a:ln>
                </c14:spPr>
              </c14:invertSolidFillFmt>
            </c:ext>
            <c:ext xmlns:c16="http://schemas.microsoft.com/office/drawing/2014/chart" uri="{C3380CC4-5D6E-409C-BE32-E72D297353CC}">
              <c16:uniqueId val="{00000002-5EE0-4CE4-A70C-46E1DBDB9B03}"/>
            </c:ext>
          </c:extLst>
        </c:ser>
        <c:dLbls>
          <c:showLegendKey val="0"/>
          <c:showVal val="0"/>
          <c:showCatName val="0"/>
          <c:showSerName val="0"/>
          <c:showPercent val="0"/>
          <c:showBubbleSize val="0"/>
        </c:dLbls>
        <c:gapWidth val="50"/>
        <c:axId val="500000"/>
        <c:axId val="501000"/>
      </c:barChart>
      <c:catAx>
        <c:axId val="500000"/>
        <c:scaling>
          <c:orientation val="minMax"/>
        </c:scaling>
        <c:delete val="0"/>
        <c:axPos val="l"/>
        <c:numFmt formatCode="General" sourceLinked="0"/>
        <c:majorTickMark val="none"/>
        <c:minorTickMark val="none"/>
        <c:tickLblPos val="nextTo"/>
        <c:spPr>
          <a:ln w="9525">
            <a:solidFill>
              <a:srgbClr val="BFBFBF"/>
            </a:solidFill>
          </a:ln>
        </c:spPr>
        <c:txPr>
          <a:bodyPr/>
          <a:lstStyle/>
          <a:p>
            <a:pPr>
              <a:defRPr sz="800" b="0">
                <a:solidFill>
                  <a:srgbClr val="000000"/>
                </a:solidFill>
                <a:latin typeface="Arial"/>
                <a:cs typeface="Arial"/>
              </a:defRPr>
            </a:pPr>
            <a:endParaRPr lang="es-MX"/>
          </a:p>
        </c:txPr>
        <c:crossAx val="501000"/>
        <c:crosses val="autoZero"/>
        <c:auto val="1"/>
        <c:lblAlgn val="ctr"/>
        <c:lblOffset val="100"/>
        <c:noMultiLvlLbl val="0"/>
      </c:catAx>
      <c:valAx>
        <c:axId val="501000"/>
        <c:scaling>
          <c:orientation val="minMax"/>
        </c:scaling>
        <c:delete val="1"/>
        <c:axPos val="b"/>
        <c:numFmt formatCode="#,##0" sourceLinked="1"/>
        <c:majorTickMark val="none"/>
        <c:minorTickMark val="none"/>
        <c:tickLblPos val="nextTo"/>
        <c:crossAx val="500000"/>
        <c:crosses val="autoZero"/>
        <c:crossBetween val="between"/>
      </c:valAx>
    </c:plotArea>
    <c:plotVisOnly val="1"/>
    <c:dispBlanksAs val="gap"/>
    <c:showDLblsOverMax val="1"/>
  </c:chart>
  <c:spPr>
    <a:noFill/>
    <a:ln>
      <a:noFill/>
    </a:ln>
  </c:spPr>
  <c:txPr>
    <a:bodyPr/>
    <a:lstStyle/>
    <a:p>
      <a:pPr>
        <a:defRPr sz="900" b="0">
          <a:solidFill>
            <a:srgbClr val="000000"/>
          </a:solidFill>
          <a:latin typeface="Arial"/>
          <a:cs typeface="Arial"/>
        </a:defRPr>
      </a:pPr>
      <a:endParaRPr lang="es-MX"/>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Actos de terrorismo (art. 144)</c:v>
                </c:pt>
              </c:strCache>
            </c:strRef>
          </c:tx>
          <c:spPr>
            <a:solidFill>
              <a:srgbClr val="A6A6A6"/>
            </a:solidFill>
            <a:ln>
              <a:noFill/>
            </a:ln>
          </c:spPr>
          <c:invertIfNegative val="1"/>
          <c:dPt>
            <c:idx val="10"/>
            <c:invertIfNegative val="0"/>
            <c:bubble3D val="0"/>
            <c:spPr>
              <a:solidFill>
                <a:srgbClr val="1F3864"/>
              </a:solidFill>
              <a:ln>
                <a:noFill/>
              </a:ln>
            </c:spPr>
            <c:extLst>
              <c:ext xmlns:c16="http://schemas.microsoft.com/office/drawing/2014/chart" uri="{C3380CC4-5D6E-409C-BE32-E72D297353CC}">
                <c16:uniqueId val="{00000001-27A5-4BA4-8410-99E0863F26CB}"/>
              </c:ext>
            </c:extLst>
          </c:dPt>
          <c:dPt>
            <c:idx val="11"/>
            <c:invertIfNegative val="0"/>
            <c:bubble3D val="0"/>
            <c:spPr>
              <a:solidFill>
                <a:srgbClr val="1F3864"/>
              </a:solidFill>
              <a:ln>
                <a:noFill/>
              </a:ln>
            </c:spPr>
            <c:extLst>
              <c:ext xmlns:c16="http://schemas.microsoft.com/office/drawing/2014/chart" uri="{C3380CC4-5D6E-409C-BE32-E72D297353CC}">
                <c16:uniqueId val="{00000003-27A5-4BA4-8410-99E0863F26CB}"/>
              </c:ext>
            </c:extLst>
          </c:dPt>
          <c:dLbls>
            <c:numFmt formatCode="#,##0" sourceLinked="0"/>
            <c:spPr>
              <a:noFill/>
              <a:ln>
                <a:noFill/>
              </a:ln>
            </c:spPr>
            <c:txPr>
              <a:bodyPr/>
              <a:lstStyle/>
              <a:p>
                <a:pPr>
                  <a:defRPr sz="800" b="0">
                    <a:solidFill>
                      <a:srgbClr val="000000"/>
                    </a:solidFill>
                    <a:latin typeface="Arial"/>
                    <a:cs typeface="Arial"/>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Sheet1!$A$2:$A$13</c:f>
              <c:strCache>
                <c:ptCount val="12"/>
                <c:pt idx="0">
                  <c:v>2015</c:v>
                </c:pt>
                <c:pt idx="1">
                  <c:v>2016</c:v>
                </c:pt>
                <c:pt idx="2">
                  <c:v>2017</c:v>
                </c:pt>
                <c:pt idx="3">
                  <c:v>2018</c:v>
                </c:pt>
                <c:pt idx="4">
                  <c:v>2019</c:v>
                </c:pt>
                <c:pt idx="5">
                  <c:v>2020</c:v>
                </c:pt>
                <c:pt idx="6">
                  <c:v>2021</c:v>
                </c:pt>
                <c:pt idx="7">
                  <c:v>2022</c:v>
                </c:pt>
                <c:pt idx="8">
                  <c:v>2023</c:v>
                </c:pt>
                <c:pt idx="9">
                  <c:v>2024</c:v>
                </c:pt>
                <c:pt idx="10">
                  <c:v>2025</c:v>
                </c:pt>
                <c:pt idx="11">
                  <c:v>2026</c:v>
                </c:pt>
              </c:strCache>
            </c:strRef>
          </c:cat>
          <c:val>
            <c:numRef>
              <c:f>Sheet1!$B$2:$B$13</c:f>
              <c:numCache>
                <c:formatCode>#,##0</c:formatCode>
                <c:ptCount val="12"/>
                <c:pt idx="0">
                  <c:v>42</c:v>
                </c:pt>
                <c:pt idx="1">
                  <c:v>154</c:v>
                </c:pt>
                <c:pt idx="2">
                  <c:v>121</c:v>
                </c:pt>
                <c:pt idx="3">
                  <c:v>92</c:v>
                </c:pt>
                <c:pt idx="4">
                  <c:v>84</c:v>
                </c:pt>
                <c:pt idx="5">
                  <c:v>83</c:v>
                </c:pt>
                <c:pt idx="6">
                  <c:v>99</c:v>
                </c:pt>
                <c:pt idx="7">
                  <c:v>121</c:v>
                </c:pt>
                <c:pt idx="8">
                  <c:v>211</c:v>
                </c:pt>
                <c:pt idx="9">
                  <c:v>427</c:v>
                </c:pt>
                <c:pt idx="10">
                  <c:v>530</c:v>
                </c:pt>
                <c:pt idx="11">
                  <c:v>496</c:v>
                </c:pt>
              </c:numCache>
            </c:numRef>
          </c:val>
          <c:extLst>
            <c:ext xmlns:c14="http://schemas.microsoft.com/office/drawing/2007/8/2/chart" uri="{6F2FDCE9-48DA-4B69-8628-5D25D57E5C99}">
              <c14:invertSolidFillFmt>
                <c14:spPr xmlns:c14="http://schemas.microsoft.com/office/drawing/2007/8/2/chart">
                  <a:solidFill>
                    <a:srgbClr val="FFFFFF"/>
                  </a:solidFill>
                  <a:ln>
                    <a:noFill/>
                  </a:ln>
                </c14:spPr>
              </c14:invertSolidFillFmt>
            </c:ext>
            <c:ext xmlns:c16="http://schemas.microsoft.com/office/drawing/2014/chart" uri="{C3380CC4-5D6E-409C-BE32-E72D297353CC}">
              <c16:uniqueId val="{00000004-27A5-4BA4-8410-99E0863F26CB}"/>
            </c:ext>
          </c:extLst>
        </c:ser>
        <c:dLbls>
          <c:showLegendKey val="0"/>
          <c:showVal val="0"/>
          <c:showCatName val="0"/>
          <c:showSerName val="0"/>
          <c:showPercent val="0"/>
          <c:showBubbleSize val="0"/>
        </c:dLbls>
        <c:gapWidth val="60"/>
        <c:axId val="500000"/>
        <c:axId val="501000"/>
      </c:barChart>
      <c:catAx>
        <c:axId val="500000"/>
        <c:scaling>
          <c:orientation val="minMax"/>
        </c:scaling>
        <c:delete val="0"/>
        <c:axPos val="b"/>
        <c:numFmt formatCode="General" sourceLinked="0"/>
        <c:majorTickMark val="none"/>
        <c:minorTickMark val="none"/>
        <c:tickLblPos val="nextTo"/>
        <c:spPr>
          <a:ln w="9525">
            <a:solidFill>
              <a:srgbClr val="BFBFBF"/>
            </a:solidFill>
          </a:ln>
        </c:spPr>
        <c:txPr>
          <a:bodyPr/>
          <a:lstStyle/>
          <a:p>
            <a:pPr>
              <a:defRPr sz="800" b="0">
                <a:solidFill>
                  <a:srgbClr val="000000"/>
                </a:solidFill>
                <a:latin typeface="Arial"/>
                <a:cs typeface="Arial"/>
              </a:defRPr>
            </a:pPr>
            <a:endParaRPr lang="es-MX"/>
          </a:p>
        </c:txPr>
        <c:crossAx val="501000"/>
        <c:crosses val="autoZero"/>
        <c:auto val="1"/>
        <c:lblAlgn val="ctr"/>
        <c:lblOffset val="100"/>
        <c:noMultiLvlLbl val="0"/>
      </c:catAx>
      <c:valAx>
        <c:axId val="501000"/>
        <c:scaling>
          <c:orientation val="minMax"/>
        </c:scaling>
        <c:delete val="1"/>
        <c:axPos val="l"/>
        <c:numFmt formatCode="#,##0" sourceLinked="1"/>
        <c:majorTickMark val="none"/>
        <c:minorTickMark val="none"/>
        <c:tickLblPos val="nextTo"/>
        <c:crossAx val="500000"/>
        <c:crosses val="autoZero"/>
        <c:crossBetween val="between"/>
      </c:valAx>
    </c:plotArea>
    <c:plotVisOnly val="1"/>
    <c:dispBlanksAs val="gap"/>
    <c:showDLblsOverMax val="1"/>
  </c:chart>
  <c:spPr>
    <a:noFill/>
    <a:ln>
      <a:noFill/>
    </a:ln>
  </c:spPr>
  <c:txPr>
    <a:bodyPr/>
    <a:lstStyle/>
    <a:p>
      <a:pPr>
        <a:defRPr sz="900" b="0">
          <a:solidFill>
            <a:srgbClr val="000000"/>
          </a:solidFill>
          <a:latin typeface="Arial"/>
          <a:cs typeface="Arial"/>
        </a:defRPr>
      </a:pPr>
      <a:endParaRPr lang="es-MX"/>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Municipios asignados</c:v>
                </c:pt>
              </c:strCache>
            </c:strRef>
          </c:tx>
          <c:spPr>
            <a:solidFill>
              <a:srgbClr val="A6A6A6"/>
            </a:solidFill>
            <a:ln>
              <a:noFill/>
            </a:ln>
          </c:spPr>
          <c:invertIfNegative val="1"/>
          <c:dPt>
            <c:idx val="1"/>
            <c:invertIfNegative val="0"/>
            <c:bubble3D val="0"/>
            <c:spPr>
              <a:solidFill>
                <a:srgbClr val="1F3864"/>
              </a:solidFill>
              <a:ln>
                <a:noFill/>
              </a:ln>
            </c:spPr>
            <c:extLst>
              <c:ext xmlns:c16="http://schemas.microsoft.com/office/drawing/2014/chart" uri="{C3380CC4-5D6E-409C-BE32-E72D297353CC}">
                <c16:uniqueId val="{00000001-7F4E-43AF-B385-35399167A9E4}"/>
              </c:ext>
            </c:extLst>
          </c:dPt>
          <c:dPt>
            <c:idx val="2"/>
            <c:invertIfNegative val="0"/>
            <c:bubble3D val="0"/>
            <c:spPr>
              <a:solidFill>
                <a:srgbClr val="1F3864"/>
              </a:solidFill>
              <a:ln>
                <a:noFill/>
              </a:ln>
            </c:spPr>
            <c:extLst>
              <c:ext xmlns:c16="http://schemas.microsoft.com/office/drawing/2014/chart" uri="{C3380CC4-5D6E-409C-BE32-E72D297353CC}">
                <c16:uniqueId val="{00000003-7F4E-43AF-B385-35399167A9E4}"/>
              </c:ext>
            </c:extLst>
          </c:dPt>
          <c:dPt>
            <c:idx val="3"/>
            <c:invertIfNegative val="0"/>
            <c:bubble3D val="0"/>
            <c:spPr>
              <a:solidFill>
                <a:srgbClr val="1F3864"/>
              </a:solidFill>
              <a:ln>
                <a:noFill/>
              </a:ln>
            </c:spPr>
            <c:extLst>
              <c:ext xmlns:c16="http://schemas.microsoft.com/office/drawing/2014/chart" uri="{C3380CC4-5D6E-409C-BE32-E72D297353CC}">
                <c16:uniqueId val="{00000005-7F4E-43AF-B385-35399167A9E4}"/>
              </c:ext>
            </c:extLst>
          </c:dPt>
          <c:dPt>
            <c:idx val="4"/>
            <c:invertIfNegative val="0"/>
            <c:bubble3D val="0"/>
            <c:spPr>
              <a:solidFill>
                <a:srgbClr val="1F3864"/>
              </a:solidFill>
              <a:ln>
                <a:noFill/>
              </a:ln>
            </c:spPr>
            <c:extLst>
              <c:ext xmlns:c16="http://schemas.microsoft.com/office/drawing/2014/chart" uri="{C3380CC4-5D6E-409C-BE32-E72D297353CC}">
                <c16:uniqueId val="{00000007-7F4E-43AF-B385-35399167A9E4}"/>
              </c:ext>
            </c:extLst>
          </c:dPt>
          <c:dPt>
            <c:idx val="5"/>
            <c:invertIfNegative val="0"/>
            <c:bubble3D val="0"/>
            <c:spPr>
              <a:solidFill>
                <a:srgbClr val="1F3864"/>
              </a:solidFill>
              <a:ln>
                <a:noFill/>
              </a:ln>
            </c:spPr>
            <c:extLst>
              <c:ext xmlns:c16="http://schemas.microsoft.com/office/drawing/2014/chart" uri="{C3380CC4-5D6E-409C-BE32-E72D297353CC}">
                <c16:uniqueId val="{00000009-7F4E-43AF-B385-35399167A9E4}"/>
              </c:ext>
            </c:extLst>
          </c:dPt>
          <c:dLbls>
            <c:numFmt formatCode="#,##0" sourceLinked="0"/>
            <c:spPr>
              <a:noFill/>
              <a:ln>
                <a:noFill/>
              </a:ln>
            </c:spPr>
            <c:txPr>
              <a:bodyPr/>
              <a:lstStyle/>
              <a:p>
                <a:pPr>
                  <a:defRPr sz="800" b="0">
                    <a:solidFill>
                      <a:srgbClr val="000000"/>
                    </a:solidFill>
                    <a:latin typeface="Arial"/>
                    <a:cs typeface="Arial"/>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7"/>
                <c:pt idx="0">
                  <c:v>BDIAN (Armada)</c:v>
                </c:pt>
                <c:pt idx="1">
                  <c:v>Humanicemos DH</c:v>
                </c:pt>
                <c:pt idx="2">
                  <c:v>DRC</c:v>
                </c:pt>
                <c:pt idx="3">
                  <c:v>HI</c:v>
                </c:pt>
                <c:pt idx="4">
                  <c:v>CCCM</c:v>
                </c:pt>
                <c:pt idx="5">
                  <c:v>HALO Trust</c:v>
                </c:pt>
                <c:pt idx="6">
                  <c:v>BRDEH (Ejército)</c:v>
                </c:pt>
              </c:strCache>
            </c:strRef>
          </c:cat>
          <c:val>
            <c:numRef>
              <c:f>Sheet1!$B$2:$B$8</c:f>
              <c:numCache>
                <c:formatCode>#,##0</c:formatCode>
                <c:ptCount val="7"/>
                <c:pt idx="0">
                  <c:v>2</c:v>
                </c:pt>
                <c:pt idx="1">
                  <c:v>3</c:v>
                </c:pt>
                <c:pt idx="2">
                  <c:v>10</c:v>
                </c:pt>
                <c:pt idx="3">
                  <c:v>11</c:v>
                </c:pt>
                <c:pt idx="4">
                  <c:v>16</c:v>
                </c:pt>
                <c:pt idx="5">
                  <c:v>21</c:v>
                </c:pt>
                <c:pt idx="6">
                  <c:v>33</c:v>
                </c:pt>
              </c:numCache>
            </c:numRef>
          </c:val>
          <c:extLst>
            <c:ext xmlns:c14="http://schemas.microsoft.com/office/drawing/2007/8/2/chart" uri="{6F2FDCE9-48DA-4B69-8628-5D25D57E5C99}">
              <c14:invertSolidFillFmt>
                <c14:spPr xmlns:c14="http://schemas.microsoft.com/office/drawing/2007/8/2/chart">
                  <a:solidFill>
                    <a:srgbClr val="FFFFFF"/>
                  </a:solidFill>
                  <a:ln>
                    <a:noFill/>
                  </a:ln>
                </c14:spPr>
              </c14:invertSolidFillFmt>
            </c:ext>
            <c:ext xmlns:c16="http://schemas.microsoft.com/office/drawing/2014/chart" uri="{C3380CC4-5D6E-409C-BE32-E72D297353CC}">
              <c16:uniqueId val="{0000000A-7F4E-43AF-B385-35399167A9E4}"/>
            </c:ext>
          </c:extLst>
        </c:ser>
        <c:dLbls>
          <c:showLegendKey val="0"/>
          <c:showVal val="0"/>
          <c:showCatName val="0"/>
          <c:showSerName val="0"/>
          <c:showPercent val="0"/>
          <c:showBubbleSize val="0"/>
        </c:dLbls>
        <c:gapWidth val="50"/>
        <c:axId val="500000"/>
        <c:axId val="501000"/>
      </c:barChart>
      <c:catAx>
        <c:axId val="500000"/>
        <c:scaling>
          <c:orientation val="minMax"/>
        </c:scaling>
        <c:delete val="0"/>
        <c:axPos val="l"/>
        <c:numFmt formatCode="General" sourceLinked="0"/>
        <c:majorTickMark val="none"/>
        <c:minorTickMark val="none"/>
        <c:tickLblPos val="nextTo"/>
        <c:spPr>
          <a:ln w="9525">
            <a:solidFill>
              <a:srgbClr val="BFBFBF"/>
            </a:solidFill>
          </a:ln>
        </c:spPr>
        <c:txPr>
          <a:bodyPr/>
          <a:lstStyle/>
          <a:p>
            <a:pPr>
              <a:defRPr sz="800" b="0">
                <a:solidFill>
                  <a:srgbClr val="000000"/>
                </a:solidFill>
                <a:latin typeface="Arial"/>
                <a:cs typeface="Arial"/>
              </a:defRPr>
            </a:pPr>
            <a:endParaRPr lang="es-MX"/>
          </a:p>
        </c:txPr>
        <c:crossAx val="501000"/>
        <c:crosses val="autoZero"/>
        <c:auto val="1"/>
        <c:lblAlgn val="ctr"/>
        <c:lblOffset val="100"/>
        <c:noMultiLvlLbl val="0"/>
      </c:catAx>
      <c:valAx>
        <c:axId val="501000"/>
        <c:scaling>
          <c:orientation val="minMax"/>
        </c:scaling>
        <c:delete val="1"/>
        <c:axPos val="b"/>
        <c:numFmt formatCode="#,##0" sourceLinked="1"/>
        <c:majorTickMark val="none"/>
        <c:minorTickMark val="none"/>
        <c:tickLblPos val="nextTo"/>
        <c:crossAx val="500000"/>
        <c:crosses val="autoZero"/>
        <c:crossBetween val="between"/>
      </c:valAx>
    </c:plotArea>
    <c:plotVisOnly val="1"/>
    <c:dispBlanksAs val="gap"/>
    <c:showDLblsOverMax val="1"/>
  </c:chart>
  <c:spPr>
    <a:noFill/>
    <a:ln>
      <a:noFill/>
    </a:ln>
  </c:spPr>
  <c:txPr>
    <a:bodyPr/>
    <a:lstStyle/>
    <a:p>
      <a:pPr>
        <a:defRPr sz="900" b="0">
          <a:solidFill>
            <a:srgbClr val="000000"/>
          </a:solidFill>
          <a:latin typeface="Arial"/>
          <a:cs typeface="Arial"/>
        </a:defRPr>
      </a:pPr>
      <a:endParaRPr lang="es-MX"/>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tx>
            <c:strRef>
              <c:f>Sheet1!$B$1</c:f>
              <c:strCache>
                <c:ptCount val="1"/>
                <c:pt idx="0">
                  <c:v>Libres de sospecha por desminado humanitario</c:v>
                </c:pt>
              </c:strCache>
            </c:strRef>
          </c:tx>
          <c:spPr>
            <a:solidFill>
              <a:srgbClr val="1F3864"/>
            </a:solidFill>
          </c:spPr>
          <c:invertIfNegative val="1"/>
          <c:dLbls>
            <c:numFmt formatCode="#,##0" sourceLinked="0"/>
            <c:spPr>
              <a:noFill/>
              <a:ln>
                <a:noFill/>
              </a:ln>
            </c:spPr>
            <c:txPr>
              <a:bodyPr/>
              <a:lstStyle/>
              <a:p>
                <a:pPr>
                  <a:defRPr sz="800">
                    <a:solidFill>
                      <a:srgbClr val="000000"/>
                    </a:solidFill>
                    <a:latin typeface="Arial"/>
                    <a:cs typeface="Arial"/>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2020</c:v>
                </c:pt>
                <c:pt idx="1">
                  <c:v>2021</c:v>
                </c:pt>
                <c:pt idx="2">
                  <c:v>2022</c:v>
                </c:pt>
                <c:pt idx="3">
                  <c:v>2023</c:v>
                </c:pt>
                <c:pt idx="4">
                  <c:v>2024</c:v>
                </c:pt>
              </c:strCache>
            </c:strRef>
          </c:cat>
          <c:val>
            <c:numRef>
              <c:f>Sheet1!$B$2:$B$6</c:f>
              <c:numCache>
                <c:formatCode>#,##0</c:formatCode>
                <c:ptCount val="5"/>
                <c:pt idx="0">
                  <c:v>212</c:v>
                </c:pt>
                <c:pt idx="1">
                  <c:v>281</c:v>
                </c:pt>
                <c:pt idx="2">
                  <c:v>299</c:v>
                </c:pt>
                <c:pt idx="3">
                  <c:v>320</c:v>
                </c:pt>
                <c:pt idx="4">
                  <c:v>346</c:v>
                </c:pt>
              </c:numCache>
            </c:numRef>
          </c:val>
          <c:extLst>
            <c:ext xmlns:c14="http://schemas.microsoft.com/office/drawing/2007/8/2/chart" uri="{6F2FDCE9-48DA-4B69-8628-5D25D57E5C99}">
              <c14:invertSolidFillFmt>
                <c14:spPr xmlns:c14="http://schemas.microsoft.com/office/drawing/2007/8/2/chart">
                  <a:solidFill>
                    <a:srgbClr val="FFFFFF"/>
                  </a:solidFill>
                </c14:spPr>
              </c14:invertSolidFillFmt>
            </c:ext>
            <c:ext xmlns:c16="http://schemas.microsoft.com/office/drawing/2014/chart" uri="{C3380CC4-5D6E-409C-BE32-E72D297353CC}">
              <c16:uniqueId val="{00000000-E81F-4FBB-9B90-DA7A64ED4B59}"/>
            </c:ext>
          </c:extLst>
        </c:ser>
        <c:ser>
          <c:idx val="1"/>
          <c:order val="1"/>
          <c:tx>
            <c:strRef>
              <c:f>Sheet1!$C$1</c:f>
              <c:strCache>
                <c:ptCount val="1"/>
                <c:pt idx="0">
                  <c:v>Asignados para operaciones</c:v>
                </c:pt>
              </c:strCache>
            </c:strRef>
          </c:tx>
          <c:spPr>
            <a:solidFill>
              <a:srgbClr val="A6A6A6"/>
            </a:solidFill>
          </c:spPr>
          <c:invertIfNegative val="1"/>
          <c:dLbls>
            <c:numFmt formatCode="#,##0" sourceLinked="0"/>
            <c:spPr>
              <a:noFill/>
              <a:ln>
                <a:noFill/>
              </a:ln>
            </c:spPr>
            <c:txPr>
              <a:bodyPr/>
              <a:lstStyle/>
              <a:p>
                <a:pPr>
                  <a:defRPr sz="800">
                    <a:solidFill>
                      <a:srgbClr val="000000"/>
                    </a:solidFill>
                    <a:latin typeface="Arial"/>
                    <a:cs typeface="Arial"/>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2020</c:v>
                </c:pt>
                <c:pt idx="1">
                  <c:v>2021</c:v>
                </c:pt>
                <c:pt idx="2">
                  <c:v>2022</c:v>
                </c:pt>
                <c:pt idx="3">
                  <c:v>2023</c:v>
                </c:pt>
                <c:pt idx="4">
                  <c:v>2024</c:v>
                </c:pt>
              </c:strCache>
            </c:strRef>
          </c:cat>
          <c:val>
            <c:numRef>
              <c:f>Sheet1!$C$2:$C$6</c:f>
              <c:numCache>
                <c:formatCode>#,##0</c:formatCode>
                <c:ptCount val="5"/>
                <c:pt idx="0">
                  <c:v>156</c:v>
                </c:pt>
                <c:pt idx="1">
                  <c:v>108</c:v>
                </c:pt>
                <c:pt idx="2">
                  <c:v>99</c:v>
                </c:pt>
                <c:pt idx="3">
                  <c:v>93</c:v>
                </c:pt>
                <c:pt idx="4">
                  <c:v>84</c:v>
                </c:pt>
              </c:numCache>
            </c:numRef>
          </c:val>
          <c:extLst>
            <c:ext xmlns:c14="http://schemas.microsoft.com/office/drawing/2007/8/2/chart" uri="{6F2FDCE9-48DA-4B69-8628-5D25D57E5C99}">
              <c14:invertSolidFillFmt>
                <c14:spPr xmlns:c14="http://schemas.microsoft.com/office/drawing/2007/8/2/chart">
                  <a:solidFill>
                    <a:srgbClr val="FFFFFF"/>
                  </a:solidFill>
                </c14:spPr>
              </c14:invertSolidFillFmt>
            </c:ext>
            <c:ext xmlns:c16="http://schemas.microsoft.com/office/drawing/2014/chart" uri="{C3380CC4-5D6E-409C-BE32-E72D297353CC}">
              <c16:uniqueId val="{00000001-E81F-4FBB-9B90-DA7A64ED4B59}"/>
            </c:ext>
          </c:extLst>
        </c:ser>
        <c:dLbls>
          <c:showLegendKey val="0"/>
          <c:showVal val="0"/>
          <c:showCatName val="0"/>
          <c:showSerName val="0"/>
          <c:showPercent val="0"/>
          <c:showBubbleSize val="0"/>
        </c:dLbls>
        <c:gapWidth val="150"/>
        <c:axId val="500000002"/>
        <c:axId val="500000001"/>
      </c:barChart>
      <c:catAx>
        <c:axId val="500000002"/>
        <c:scaling>
          <c:orientation val="minMax"/>
        </c:scaling>
        <c:delete val="0"/>
        <c:axPos val="b"/>
        <c:numFmt formatCode="General" sourceLinked="0"/>
        <c:majorTickMark val="out"/>
        <c:minorTickMark val="none"/>
        <c:tickLblPos val="nextTo"/>
        <c:crossAx val="500000001"/>
        <c:crosses val="autoZero"/>
        <c:auto val="1"/>
        <c:lblAlgn val="ctr"/>
        <c:lblOffset val="100"/>
        <c:noMultiLvlLbl val="0"/>
      </c:catAx>
      <c:valAx>
        <c:axId val="500000001"/>
        <c:scaling>
          <c:orientation val="minMax"/>
        </c:scaling>
        <c:delete val="0"/>
        <c:axPos val="l"/>
        <c:numFmt formatCode="#,##0" sourceLinked="0"/>
        <c:majorTickMark val="out"/>
        <c:minorTickMark val="none"/>
        <c:tickLblPos val="nextTo"/>
        <c:crossAx val="500000002"/>
        <c:crosses val="autoZero"/>
        <c:crossBetween val="between"/>
      </c:valAx>
    </c:plotArea>
    <c:legend>
      <c:legendPos val="b"/>
      <c:overlay val="0"/>
    </c:legend>
    <c:plotVisOnly val="1"/>
    <c:dispBlanksAs val="gap"/>
    <c:showDLblsOverMax val="1"/>
  </c:chart>
  <c:spPr>
    <a:ln>
      <a:noFill/>
    </a:ln>
  </c:spPr>
  <c:txPr>
    <a:bodyPr/>
    <a:lstStyle/>
    <a:p>
      <a:pPr>
        <a:defRPr sz="900">
          <a:solidFill>
            <a:srgbClr val="000000"/>
          </a:solidFill>
          <a:latin typeface="Arial"/>
          <a:cs typeface="Arial"/>
        </a:defRPr>
      </a:pPr>
      <a:endParaRPr lang="es-MX"/>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1"/>
        <c:ser>
          <c:idx val="0"/>
          <c:order val="0"/>
          <c:tx>
            <c:strRef>
              <c:f>Sheet1!$B$1</c:f>
              <c:strCache>
                <c:ptCount val="1"/>
                <c:pt idx="0">
                  <c:v>Millones de pesos</c:v>
                </c:pt>
              </c:strCache>
            </c:strRef>
          </c:tx>
          <c:spPr>
            <a:solidFill>
              <a:srgbClr val="1F3864"/>
            </a:solidFill>
          </c:spPr>
          <c:invertIfNegative val="1"/>
          <c:dLbls>
            <c:numFmt formatCode="#,##0" sourceLinked="0"/>
            <c:spPr>
              <a:noFill/>
              <a:ln>
                <a:noFill/>
              </a:ln>
            </c:spPr>
            <c:txPr>
              <a:bodyPr/>
              <a:lstStyle/>
              <a:p>
                <a:pPr>
                  <a:defRPr sz="800">
                    <a:solidFill>
                      <a:srgbClr val="000000"/>
                    </a:solidFill>
                    <a:latin typeface="Arial"/>
                    <a:cs typeface="Arial"/>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Sheet1!$A$2:$A$3</c:f>
              <c:strCache>
                <c:ptCount val="2"/>
                <c:pt idx="0">
                  <c:v>Brecha sin financiación</c:v>
                </c:pt>
                <c:pt idx="1">
                  <c:v>Recursos confirmados</c:v>
                </c:pt>
              </c:strCache>
            </c:strRef>
          </c:cat>
          <c:val>
            <c:numRef>
              <c:f>Sheet1!$B$2:$B$3</c:f>
              <c:numCache>
                <c:formatCode>#,##0</c:formatCode>
                <c:ptCount val="2"/>
                <c:pt idx="0">
                  <c:v>271846</c:v>
                </c:pt>
                <c:pt idx="1">
                  <c:v>391580</c:v>
                </c:pt>
              </c:numCache>
            </c:numRef>
          </c:val>
          <c:extLst>
            <c:ext xmlns:c14="http://schemas.microsoft.com/office/drawing/2007/8/2/chart" uri="{6F2FDCE9-48DA-4B69-8628-5D25D57E5C99}">
              <c14:invertSolidFillFmt>
                <c14:spPr xmlns:c14="http://schemas.microsoft.com/office/drawing/2007/8/2/chart">
                  <a:solidFill>
                    <a:srgbClr val="FFFFFF"/>
                  </a:solidFill>
                </c14:spPr>
              </c14:invertSolidFillFmt>
            </c:ext>
            <c:ext xmlns:c16="http://schemas.microsoft.com/office/drawing/2014/chart" uri="{C3380CC4-5D6E-409C-BE32-E72D297353CC}">
              <c16:uniqueId val="{00000000-9C74-4A43-B904-D7323C80E0A0}"/>
            </c:ext>
          </c:extLst>
        </c:ser>
        <c:dLbls>
          <c:showLegendKey val="0"/>
          <c:showVal val="0"/>
          <c:showCatName val="0"/>
          <c:showSerName val="0"/>
          <c:showPercent val="0"/>
          <c:showBubbleSize val="0"/>
        </c:dLbls>
        <c:gapWidth val="150"/>
        <c:axId val="500000002"/>
        <c:axId val="500000001"/>
      </c:barChart>
      <c:catAx>
        <c:axId val="500000002"/>
        <c:scaling>
          <c:orientation val="minMax"/>
        </c:scaling>
        <c:delete val="0"/>
        <c:axPos val="l"/>
        <c:numFmt formatCode="General" sourceLinked="0"/>
        <c:majorTickMark val="out"/>
        <c:minorTickMark val="none"/>
        <c:tickLblPos val="nextTo"/>
        <c:crossAx val="500000001"/>
        <c:crosses val="autoZero"/>
        <c:auto val="1"/>
        <c:lblAlgn val="ctr"/>
        <c:lblOffset val="100"/>
        <c:noMultiLvlLbl val="0"/>
      </c:catAx>
      <c:valAx>
        <c:axId val="500000001"/>
        <c:scaling>
          <c:orientation val="minMax"/>
        </c:scaling>
        <c:delete val="0"/>
        <c:axPos val="b"/>
        <c:numFmt formatCode="#,##0" sourceLinked="0"/>
        <c:majorTickMark val="out"/>
        <c:minorTickMark val="none"/>
        <c:tickLblPos val="nextTo"/>
        <c:crossAx val="500000002"/>
        <c:crosses val="autoZero"/>
        <c:crossBetween val="between"/>
      </c:valAx>
    </c:plotArea>
    <c:plotVisOnly val="1"/>
    <c:dispBlanksAs val="gap"/>
    <c:showDLblsOverMax val="1"/>
  </c:chart>
  <c:spPr>
    <a:ln>
      <a:noFill/>
    </a:ln>
  </c:spPr>
  <c:txPr>
    <a:bodyPr/>
    <a:lstStyle/>
    <a:p>
      <a:pPr>
        <a:defRPr sz="900">
          <a:solidFill>
            <a:srgbClr val="000000"/>
          </a:solidFill>
          <a:latin typeface="Arial"/>
          <a:cs typeface="Arial"/>
        </a:defRPr>
      </a:pPr>
      <a:endParaRPr lang="es-MX"/>
    </a:p>
  </c:txPr>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05077E-BEF2-4DE6-BCE0-53CF98245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24</Pages>
  <Words>8044</Words>
  <Characters>44245</Characters>
  <Application>Microsoft Office Word</Application>
  <DocSecurity>0</DocSecurity>
  <Lines>368</Lines>
  <Paragraphs>104</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52185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Gabriel Andres Jimenez Almeira</cp:lastModifiedBy>
  <cp:revision>8</cp:revision>
  <cp:lastPrinted>2026-10-21T13:07:00Z</cp:lastPrinted>
  <dcterms:created xsi:type="dcterms:W3CDTF">2026-10-20T15:59:00Z</dcterms:created>
  <dcterms:modified xsi:type="dcterms:W3CDTF">2026-10-21T13:08:00Z</dcterms:modified>
</cp:coreProperties>
</file>