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87F0F" w14:textId="6B165B52" w:rsidR="008B75F2" w:rsidRPr="007D6F92" w:rsidRDefault="008B75F2" w:rsidP="008B75F2">
      <w:pPr>
        <w:widowControl w:val="0"/>
        <w:autoSpaceDE w:val="0"/>
        <w:autoSpaceDN w:val="0"/>
        <w:spacing w:after="0" w:line="240" w:lineRule="auto"/>
        <w:ind w:right="46"/>
        <w:jc w:val="both"/>
        <w:rPr>
          <w:rFonts w:ascii="Arial" w:hAnsi="Arial" w:cs="Arial"/>
          <w:b/>
          <w:bCs/>
          <w:i/>
          <w:iCs/>
        </w:rPr>
      </w:pPr>
      <w:r w:rsidRPr="008B75F2">
        <w:rPr>
          <w:rFonts w:ascii="Arial" w:hAnsi="Arial" w:cs="Arial"/>
          <w:b/>
          <w:bCs/>
        </w:rPr>
        <w:t>TEXTO APROBADO EN LA COMISIÓN PRIMERA DE LA HONORABLE CÁMARA DE REPRESENTANTES EN PRIMER DEBATE (PRIMERA VUELTA)</w:t>
      </w:r>
      <w:r>
        <w:rPr>
          <w:rFonts w:ascii="Arial" w:hAnsi="Arial" w:cs="Arial"/>
          <w:b/>
          <w:bCs/>
        </w:rPr>
        <w:t xml:space="preserve"> </w:t>
      </w:r>
      <w:r w:rsidRPr="008B75F2">
        <w:rPr>
          <w:rFonts w:ascii="Arial" w:hAnsi="Arial" w:cs="Arial"/>
          <w:b/>
          <w:bCs/>
        </w:rPr>
        <w:t>DEL PROYECTO DE ACTO LEGISLATIVO</w:t>
      </w:r>
      <w:r w:rsidRPr="002966B5">
        <w:rPr>
          <w:rFonts w:ascii="Arial" w:hAnsi="Arial" w:cs="Arial"/>
          <w:b/>
          <w:bCs/>
        </w:rPr>
        <w:t xml:space="preserve"> No. 244 DE 2026 CÁMARA</w:t>
      </w:r>
      <w:r>
        <w:rPr>
          <w:rFonts w:ascii="Arial" w:hAnsi="Arial" w:cs="Arial"/>
        </w:rPr>
        <w:t xml:space="preserve"> </w:t>
      </w:r>
      <w:r w:rsidRPr="007D6F92">
        <w:rPr>
          <w:rFonts w:ascii="Arial" w:hAnsi="Arial" w:cs="Arial"/>
          <w:b/>
          <w:bCs/>
          <w:i/>
          <w:iCs/>
        </w:rPr>
        <w:t>“POR EL CUAL SE OTORGA LA CALIDAD DE DISTRITO ESPECIAL DEL CONOCIMIENTO, LA SOSTENIBILIDAD Y LA INNOVACIÓN A LA CIUDAD DE MANIZALES Y SE DICTAN OTRAS DISPOSICIONES”</w:t>
      </w:r>
    </w:p>
    <w:p w14:paraId="3570C41C" w14:textId="77777777" w:rsidR="008B75F2" w:rsidRPr="002966B5" w:rsidRDefault="008B75F2" w:rsidP="008B75F2">
      <w:pPr>
        <w:spacing w:after="120"/>
        <w:jc w:val="both"/>
        <w:rPr>
          <w:rFonts w:ascii="Arial" w:hAnsi="Arial" w:cs="Arial"/>
        </w:rPr>
      </w:pPr>
    </w:p>
    <w:p w14:paraId="6B3F285B" w14:textId="77777777" w:rsidR="008B75F2" w:rsidRPr="002966B5" w:rsidRDefault="008B75F2" w:rsidP="008B75F2">
      <w:pPr>
        <w:spacing w:after="40"/>
        <w:jc w:val="center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>EL CONGRESO DE COLOMBIA</w:t>
      </w:r>
    </w:p>
    <w:p w14:paraId="70FC16F4" w14:textId="4B5C8A56" w:rsidR="008B75F2" w:rsidRDefault="008B75F2" w:rsidP="008B75F2">
      <w:pPr>
        <w:spacing w:after="240"/>
        <w:jc w:val="center"/>
        <w:rPr>
          <w:rFonts w:ascii="Arial" w:hAnsi="Arial" w:cs="Arial"/>
          <w:b/>
          <w:bCs/>
        </w:rPr>
      </w:pPr>
      <w:r w:rsidRPr="002966B5">
        <w:rPr>
          <w:rFonts w:ascii="Arial" w:hAnsi="Arial" w:cs="Arial"/>
          <w:b/>
          <w:bCs/>
        </w:rPr>
        <w:t>DECRETA:</w:t>
      </w:r>
    </w:p>
    <w:p w14:paraId="3833ECDE" w14:textId="77777777" w:rsidR="004C539D" w:rsidRPr="002966B5" w:rsidRDefault="004C539D" w:rsidP="008B75F2">
      <w:pPr>
        <w:spacing w:after="240"/>
        <w:jc w:val="center"/>
        <w:rPr>
          <w:rFonts w:ascii="Arial" w:hAnsi="Arial" w:cs="Arial"/>
        </w:rPr>
      </w:pPr>
    </w:p>
    <w:p w14:paraId="12097E10" w14:textId="77777777" w:rsidR="008B75F2" w:rsidRPr="002966B5" w:rsidRDefault="008B75F2" w:rsidP="008B75F2">
      <w:pPr>
        <w:spacing w:after="120" w:line="276" w:lineRule="auto"/>
        <w:jc w:val="both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 xml:space="preserve">ARTÍCULO PRIMERO. </w:t>
      </w:r>
      <w:r w:rsidRPr="002966B5">
        <w:rPr>
          <w:rFonts w:ascii="Arial" w:hAnsi="Arial" w:cs="Arial"/>
        </w:rPr>
        <w:t>Adición al artículo 328 de la Constitución Política del siguiente tenor: “Artículo 328. (...) La ciudad de Manizales se organiza como Distrito Especial del Conocimiento, la Sostenibilidad y la Innovación”.</w:t>
      </w:r>
    </w:p>
    <w:p w14:paraId="1135E330" w14:textId="77777777" w:rsidR="008B75F2" w:rsidRPr="002966B5" w:rsidRDefault="008B75F2" w:rsidP="008B75F2">
      <w:pPr>
        <w:spacing w:after="200" w:line="276" w:lineRule="auto"/>
        <w:jc w:val="both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 xml:space="preserve">PARÁGRAFO. </w:t>
      </w:r>
      <w:r w:rsidRPr="002966B5">
        <w:rPr>
          <w:rFonts w:ascii="Arial" w:hAnsi="Arial" w:cs="Arial"/>
        </w:rPr>
        <w:t>“Los municipios integrantes del Área Metropolitana del Centro Sur de Caldas y otros del departamento de Caldas estarán facultados para beneficiarse de los incentivos del Distrito Especial del Conocimiento, la Sostenibilidad y la Innovación de conformidad con la Ley que lo reglamente, y no se afectará sus funciones, competencias, recursos ni autonomía territorial”.</w:t>
      </w:r>
    </w:p>
    <w:p w14:paraId="5B5964D4" w14:textId="77777777" w:rsidR="008B75F2" w:rsidRPr="002966B5" w:rsidRDefault="008B75F2" w:rsidP="008B75F2">
      <w:pPr>
        <w:spacing w:after="120" w:line="276" w:lineRule="auto"/>
        <w:jc w:val="both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 xml:space="preserve">ARTÍCULO SEGUNDO. </w:t>
      </w:r>
      <w:r w:rsidRPr="002966B5">
        <w:rPr>
          <w:rFonts w:ascii="Arial" w:hAnsi="Arial" w:cs="Arial"/>
        </w:rPr>
        <w:t>Adición al artículo 356 de la Constitución Política, del siguiente tenor: “Artículo 356. (...) La ciudad de Manizales se organiza como Distrito Especial del Conocimiento, la Sostenibilidad y la Innovación. Su régimen político, fiscal y administrativo será el que determine la Constitución y la ley especial que para el efecto se expida”.</w:t>
      </w:r>
    </w:p>
    <w:p w14:paraId="0F7E024B" w14:textId="77777777" w:rsidR="008B75F2" w:rsidRPr="002966B5" w:rsidRDefault="008B75F2" w:rsidP="008B75F2">
      <w:pPr>
        <w:spacing w:after="200" w:line="276" w:lineRule="auto"/>
        <w:jc w:val="both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 xml:space="preserve">PARÁGRAFO. </w:t>
      </w:r>
      <w:r w:rsidRPr="002966B5">
        <w:rPr>
          <w:rFonts w:ascii="Arial" w:hAnsi="Arial" w:cs="Arial"/>
        </w:rPr>
        <w:t>La ciudad de Manizales podrá crear mecanismos adicionales a los existentes para la promoción y el desarrollo del Distrito Especial del Conocimiento, la Sostenibilidad y la Innovación, así como la creación de un fondo de desarrollo distrital para el financiamiento de los proyectos.</w:t>
      </w:r>
    </w:p>
    <w:p w14:paraId="702AB296" w14:textId="77777777" w:rsidR="008B75F2" w:rsidRPr="002966B5" w:rsidRDefault="008B75F2" w:rsidP="008B75F2">
      <w:pPr>
        <w:spacing w:after="200" w:line="276" w:lineRule="auto"/>
        <w:jc w:val="both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 xml:space="preserve">ARTÍCULO TERCERO. </w:t>
      </w:r>
      <w:r w:rsidRPr="002966B5">
        <w:rPr>
          <w:rFonts w:ascii="Arial" w:hAnsi="Arial" w:cs="Arial"/>
        </w:rPr>
        <w:t>Dentro de los seis (06) meses siguientes a la promulgación del presente Acto Legislativo, el Congreso de la República expedirá la ley que desarrolle el régimen especial del Distrito Especial del Conocimiento, la Sostenibilidad y la Innovación.</w:t>
      </w:r>
    </w:p>
    <w:p w14:paraId="1F479BBA" w14:textId="7ADD169F" w:rsidR="008B75F2" w:rsidRDefault="008B75F2" w:rsidP="008B75F2">
      <w:pPr>
        <w:spacing w:after="120" w:line="240" w:lineRule="auto"/>
        <w:jc w:val="both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 xml:space="preserve">ARTÍCULO CUARTO. </w:t>
      </w:r>
      <w:r w:rsidRPr="002966B5">
        <w:rPr>
          <w:rFonts w:ascii="Arial" w:hAnsi="Arial" w:cs="Arial"/>
        </w:rPr>
        <w:t>Vigencia. El presente Acto Legislativo rige a partir de la fecha de su promulgación.</w:t>
      </w:r>
    </w:p>
    <w:p w14:paraId="0EB9D5B7" w14:textId="0A487C04" w:rsidR="008B75F2" w:rsidRDefault="008B75F2" w:rsidP="008B75F2">
      <w:pPr>
        <w:spacing w:after="120" w:line="240" w:lineRule="auto"/>
        <w:jc w:val="both"/>
        <w:rPr>
          <w:rFonts w:ascii="Arial" w:hAnsi="Arial" w:cs="Arial"/>
        </w:rPr>
      </w:pPr>
    </w:p>
    <w:p w14:paraId="1185E045" w14:textId="3D467BD4" w:rsidR="007D6F92" w:rsidRPr="007D6F92" w:rsidRDefault="008B75F2" w:rsidP="001C2C13">
      <w:pPr>
        <w:widowControl w:val="0"/>
        <w:autoSpaceDE w:val="0"/>
        <w:autoSpaceDN w:val="0"/>
        <w:spacing w:after="0" w:line="240" w:lineRule="auto"/>
        <w:ind w:right="46"/>
        <w:jc w:val="both"/>
        <w:rPr>
          <w:rFonts w:ascii="Arial" w:eastAsia="Times New Roman" w:hAnsi="Arial"/>
          <w:iCs/>
          <w:lang w:val="es-CO"/>
        </w:rPr>
      </w:pPr>
      <w:r w:rsidRPr="008B75F2">
        <w:rPr>
          <w:rFonts w:ascii="Arial" w:eastAsia="Times New Roman" w:hAnsi="Arial"/>
          <w:bCs/>
          <w:lang w:val="es-CO"/>
        </w:rPr>
        <w:t xml:space="preserve">En los anteriores términos fue aprobado </w:t>
      </w:r>
      <w:r w:rsidR="007D6F92" w:rsidRPr="007D6F92">
        <w:rPr>
          <w:rFonts w:ascii="Arial" w:eastAsia="Times New Roman" w:hAnsi="Arial"/>
          <w:bCs/>
          <w:lang w:val="es-CO"/>
        </w:rPr>
        <w:t>sin</w:t>
      </w:r>
      <w:r w:rsidRPr="008B75F2">
        <w:rPr>
          <w:rFonts w:ascii="Arial" w:eastAsia="Times New Roman" w:hAnsi="Arial"/>
          <w:bCs/>
          <w:lang w:val="es-CO"/>
        </w:rPr>
        <w:t xml:space="preserve"> modificaciones el Proyecto de </w:t>
      </w:r>
      <w:r w:rsidRPr="008B75F2">
        <w:rPr>
          <w:rFonts w:ascii="Arial" w:eastAsia="Times New Roman" w:hAnsi="Arial"/>
          <w:b/>
          <w:lang w:val="es-CO"/>
        </w:rPr>
        <w:t xml:space="preserve">ACTO LEGISLATIVO </w:t>
      </w:r>
      <w:r w:rsidR="007D6F92" w:rsidRPr="007D6F92">
        <w:rPr>
          <w:rFonts w:ascii="Arial" w:hAnsi="Arial" w:cs="Arial"/>
          <w:b/>
          <w:bCs/>
        </w:rPr>
        <w:t>No. 244 DE 2026 CÁMARA</w:t>
      </w:r>
      <w:r w:rsidR="007D6F92" w:rsidRPr="007D6F92">
        <w:rPr>
          <w:rFonts w:ascii="Arial" w:hAnsi="Arial" w:cs="Arial"/>
        </w:rPr>
        <w:t xml:space="preserve"> </w:t>
      </w:r>
      <w:r w:rsidR="007D6F92" w:rsidRPr="007D6F92">
        <w:rPr>
          <w:rFonts w:ascii="Arial" w:hAnsi="Arial" w:cs="Arial"/>
          <w:b/>
          <w:bCs/>
          <w:i/>
          <w:iCs/>
        </w:rPr>
        <w:t xml:space="preserve">“POR EL CUAL SE OTORGA LA CALIDAD DE DISTRITO ESPECIAL DEL CONOCIMIENTO, LA </w:t>
      </w:r>
      <w:r w:rsidR="007D6F92" w:rsidRPr="007D6F92">
        <w:rPr>
          <w:rFonts w:ascii="Arial" w:hAnsi="Arial" w:cs="Arial"/>
          <w:b/>
          <w:bCs/>
          <w:i/>
          <w:iCs/>
        </w:rPr>
        <w:lastRenderedPageBreak/>
        <w:t xml:space="preserve">SOSTENIBILIDAD Y LA INNOVACIÓN A LA CIUDAD DE MANIZALES Y SE DICTAN OTRAS DISPOSICIONES”, </w:t>
      </w:r>
      <w:r w:rsidR="007D6F92" w:rsidRPr="007D6F92">
        <w:rPr>
          <w:rFonts w:ascii="Arial" w:eastAsia="Times New Roman" w:hAnsi="Arial"/>
          <w:iCs/>
          <w:lang w:val="es-CO"/>
        </w:rPr>
        <w:t xml:space="preserve">según consta en el Acta No. 13 del 30 de </w:t>
      </w:r>
      <w:proofErr w:type="gramStart"/>
      <w:r w:rsidR="007D6F92" w:rsidRPr="007D6F92">
        <w:rPr>
          <w:rFonts w:ascii="Arial" w:eastAsia="Times New Roman" w:hAnsi="Arial"/>
          <w:iCs/>
          <w:lang w:val="es-CO"/>
        </w:rPr>
        <w:t>Septiembre</w:t>
      </w:r>
      <w:proofErr w:type="gramEnd"/>
      <w:r w:rsidR="007D6F92" w:rsidRPr="007D6F92">
        <w:rPr>
          <w:rFonts w:ascii="Arial" w:eastAsia="Times New Roman" w:hAnsi="Arial"/>
          <w:iCs/>
          <w:lang w:val="es-CO"/>
        </w:rPr>
        <w:t xml:space="preserve"> del 2026.</w:t>
      </w:r>
      <w:r w:rsidR="001C2C13">
        <w:rPr>
          <w:rFonts w:ascii="Arial" w:eastAsia="Times New Roman" w:hAnsi="Arial"/>
          <w:iCs/>
          <w:lang w:val="es-CO"/>
        </w:rPr>
        <w:t xml:space="preserve"> Así mismo, el proyecto fue </w:t>
      </w:r>
      <w:r w:rsidR="007D6F92" w:rsidRPr="007D6F92">
        <w:rPr>
          <w:rFonts w:ascii="Arial" w:eastAsia="Times New Roman" w:hAnsi="Arial"/>
          <w:iCs/>
          <w:lang w:val="es-CO"/>
        </w:rPr>
        <w:t xml:space="preserve">anunciado en la sesión del 29 de </w:t>
      </w:r>
      <w:proofErr w:type="gramStart"/>
      <w:r w:rsidR="007D6F92" w:rsidRPr="007D6F92">
        <w:rPr>
          <w:rFonts w:ascii="Arial" w:eastAsia="Times New Roman" w:hAnsi="Arial"/>
          <w:iCs/>
          <w:lang w:val="es-CO"/>
        </w:rPr>
        <w:t>Septiembre</w:t>
      </w:r>
      <w:proofErr w:type="gramEnd"/>
      <w:r w:rsidR="007D6F92" w:rsidRPr="007D6F92">
        <w:rPr>
          <w:rFonts w:ascii="Arial" w:eastAsia="Times New Roman" w:hAnsi="Arial"/>
          <w:iCs/>
          <w:lang w:val="es-CO"/>
        </w:rPr>
        <w:t xml:space="preserve"> del 2026, según consta en el Acta No 12 de la misma fecha.</w:t>
      </w:r>
    </w:p>
    <w:p w14:paraId="19CA5137" w14:textId="28BA13B0" w:rsidR="008B75F2" w:rsidRDefault="008B75F2" w:rsidP="008B75F2">
      <w:pPr>
        <w:spacing w:after="120" w:line="240" w:lineRule="auto"/>
        <w:jc w:val="both"/>
        <w:rPr>
          <w:rFonts w:ascii="Arial" w:hAnsi="Arial" w:cs="Arial"/>
          <w:lang w:val="es-CO"/>
        </w:rPr>
      </w:pPr>
    </w:p>
    <w:p w14:paraId="059211CB" w14:textId="77777777" w:rsidR="007D6F92" w:rsidRPr="008B75F2" w:rsidRDefault="007D6F92" w:rsidP="008B75F2">
      <w:pPr>
        <w:spacing w:after="120" w:line="240" w:lineRule="auto"/>
        <w:jc w:val="both"/>
        <w:rPr>
          <w:rFonts w:ascii="Arial" w:hAnsi="Arial" w:cs="Arial"/>
          <w:lang w:val="es-CO"/>
        </w:rPr>
      </w:pPr>
    </w:p>
    <w:p w14:paraId="192DDE61" w14:textId="77777777" w:rsidR="008B75F2" w:rsidRDefault="008B75F2" w:rsidP="008B75F2">
      <w:pPr>
        <w:spacing w:after="120" w:line="240" w:lineRule="auto"/>
        <w:jc w:val="both"/>
        <w:rPr>
          <w:rFonts w:ascii="Arial" w:hAnsi="Arial" w:cs="Arial"/>
        </w:rPr>
      </w:pPr>
    </w:p>
    <w:p w14:paraId="0FB8DE5F" w14:textId="77777777" w:rsidR="008B75F2" w:rsidRPr="002966B5" w:rsidRDefault="008B75F2" w:rsidP="008B75F2">
      <w:pPr>
        <w:spacing w:after="0"/>
        <w:jc w:val="center"/>
        <w:rPr>
          <w:rFonts w:ascii="Arial" w:hAnsi="Arial" w:cs="Arial"/>
        </w:rPr>
      </w:pPr>
      <w:r w:rsidRPr="002966B5">
        <w:rPr>
          <w:rFonts w:ascii="Arial" w:hAnsi="Arial" w:cs="Arial"/>
          <w:b/>
          <w:bCs/>
        </w:rPr>
        <w:t>MANUEL</w:t>
      </w:r>
      <w:r>
        <w:rPr>
          <w:rFonts w:ascii="Arial" w:hAnsi="Arial" w:cs="Arial"/>
          <w:b/>
          <w:bCs/>
        </w:rPr>
        <w:t xml:space="preserve"> ORLANDO</w:t>
      </w:r>
      <w:r w:rsidRPr="002966B5">
        <w:rPr>
          <w:rFonts w:ascii="Arial" w:hAnsi="Arial" w:cs="Arial"/>
          <w:b/>
          <w:bCs/>
        </w:rPr>
        <w:t xml:space="preserve"> CORREA</w:t>
      </w:r>
      <w:r>
        <w:rPr>
          <w:rFonts w:ascii="Arial" w:hAnsi="Arial" w:cs="Arial"/>
          <w:b/>
          <w:bCs/>
        </w:rPr>
        <w:t xml:space="preserve"> BEDOYA</w:t>
      </w:r>
    </w:p>
    <w:p w14:paraId="42379FA7" w14:textId="77777777" w:rsidR="008B75F2" w:rsidRPr="002966B5" w:rsidRDefault="008B75F2" w:rsidP="008B75F2">
      <w:pPr>
        <w:spacing w:after="0"/>
        <w:jc w:val="center"/>
        <w:rPr>
          <w:rFonts w:ascii="Arial" w:hAnsi="Arial" w:cs="Arial"/>
        </w:rPr>
      </w:pPr>
      <w:r w:rsidRPr="002966B5">
        <w:rPr>
          <w:rFonts w:ascii="Arial" w:hAnsi="Arial" w:cs="Arial"/>
        </w:rPr>
        <w:t>Representante a la Cámara por el Departamento de Caldas</w:t>
      </w:r>
    </w:p>
    <w:p w14:paraId="6AF4ABE6" w14:textId="799C5F2A" w:rsidR="008B75F2" w:rsidRDefault="008B75F2" w:rsidP="008B75F2">
      <w:pPr>
        <w:spacing w:after="0"/>
        <w:jc w:val="center"/>
        <w:rPr>
          <w:rFonts w:ascii="Arial" w:hAnsi="Arial" w:cs="Arial"/>
        </w:rPr>
      </w:pPr>
      <w:r w:rsidRPr="002966B5">
        <w:rPr>
          <w:rFonts w:ascii="Arial" w:hAnsi="Arial" w:cs="Arial"/>
        </w:rPr>
        <w:t>Ponente Único</w:t>
      </w:r>
    </w:p>
    <w:p w14:paraId="7EFBC6F7" w14:textId="1C0CE38D" w:rsidR="007D6F92" w:rsidRDefault="007D6F92" w:rsidP="008B75F2">
      <w:pPr>
        <w:spacing w:after="0"/>
        <w:jc w:val="center"/>
        <w:rPr>
          <w:rFonts w:ascii="Arial" w:hAnsi="Arial" w:cs="Arial"/>
        </w:rPr>
      </w:pPr>
    </w:p>
    <w:p w14:paraId="35824867" w14:textId="62206963" w:rsidR="007D6F92" w:rsidRDefault="007D6F92" w:rsidP="008B75F2">
      <w:pPr>
        <w:spacing w:after="0"/>
        <w:jc w:val="center"/>
        <w:rPr>
          <w:rFonts w:ascii="Arial" w:hAnsi="Arial" w:cs="Arial"/>
        </w:rPr>
      </w:pPr>
    </w:p>
    <w:p w14:paraId="1077F03B" w14:textId="6447C52C" w:rsidR="007D6F92" w:rsidRDefault="007D6F92" w:rsidP="008B75F2">
      <w:pPr>
        <w:spacing w:after="0"/>
        <w:jc w:val="center"/>
        <w:rPr>
          <w:rFonts w:ascii="Arial" w:hAnsi="Arial" w:cs="Arial"/>
        </w:rPr>
      </w:pPr>
    </w:p>
    <w:p w14:paraId="30641C9A" w14:textId="0BA9FDD7" w:rsidR="007D6F92" w:rsidRDefault="007D6F92" w:rsidP="008B75F2">
      <w:pPr>
        <w:spacing w:after="0"/>
        <w:jc w:val="center"/>
        <w:rPr>
          <w:rFonts w:ascii="Arial" w:hAnsi="Arial" w:cs="Arial"/>
        </w:rPr>
      </w:pPr>
    </w:p>
    <w:p w14:paraId="137BD5EF" w14:textId="1351A78D" w:rsidR="007D6F92" w:rsidRDefault="004C539D" w:rsidP="008B75F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JOSE JAIME USCÁTEGUI PASTRANA</w:t>
      </w:r>
    </w:p>
    <w:p w14:paraId="07A60810" w14:textId="581B4157" w:rsidR="004C539D" w:rsidRDefault="004C539D" w:rsidP="004C539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Presidente </w:t>
      </w:r>
    </w:p>
    <w:p w14:paraId="28A696DA" w14:textId="3FAF0D8D" w:rsidR="004C539D" w:rsidRDefault="004C539D" w:rsidP="004C539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Comisión Primera Cámara de Representantes</w:t>
      </w:r>
    </w:p>
    <w:p w14:paraId="39A7B5B6" w14:textId="71F2D8A3" w:rsidR="004C539D" w:rsidRDefault="004C539D" w:rsidP="004C539D">
      <w:pPr>
        <w:spacing w:after="0"/>
        <w:jc w:val="center"/>
        <w:rPr>
          <w:rFonts w:ascii="Arial" w:hAnsi="Arial" w:cs="Arial"/>
        </w:rPr>
      </w:pPr>
    </w:p>
    <w:p w14:paraId="0C6DD709" w14:textId="6CDF2472" w:rsidR="004C539D" w:rsidRDefault="004C539D" w:rsidP="004C539D">
      <w:pPr>
        <w:spacing w:after="0"/>
        <w:jc w:val="center"/>
        <w:rPr>
          <w:rFonts w:ascii="Arial" w:hAnsi="Arial" w:cs="Arial"/>
        </w:rPr>
      </w:pPr>
    </w:p>
    <w:p w14:paraId="478621C0" w14:textId="7FC991CC" w:rsidR="004C539D" w:rsidRDefault="004C539D" w:rsidP="004C539D">
      <w:pPr>
        <w:spacing w:after="0"/>
        <w:jc w:val="center"/>
        <w:rPr>
          <w:rFonts w:ascii="Arial" w:hAnsi="Arial" w:cs="Arial"/>
        </w:rPr>
      </w:pPr>
    </w:p>
    <w:p w14:paraId="72EB3126" w14:textId="43C96A54" w:rsidR="004C539D" w:rsidRDefault="004C539D" w:rsidP="004C539D">
      <w:pPr>
        <w:spacing w:after="0"/>
        <w:jc w:val="center"/>
        <w:rPr>
          <w:rFonts w:ascii="Arial" w:hAnsi="Arial" w:cs="Arial"/>
        </w:rPr>
      </w:pPr>
    </w:p>
    <w:p w14:paraId="2100E52B" w14:textId="3A64757E" w:rsidR="004C539D" w:rsidRDefault="004C539D" w:rsidP="004C539D">
      <w:pPr>
        <w:spacing w:after="0"/>
        <w:jc w:val="center"/>
        <w:rPr>
          <w:rFonts w:ascii="Arial" w:hAnsi="Arial" w:cs="Arial"/>
        </w:rPr>
      </w:pPr>
    </w:p>
    <w:p w14:paraId="3AFC3891" w14:textId="405EE8CA" w:rsidR="004C539D" w:rsidRDefault="004C539D" w:rsidP="004C539D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AMPARO YANETH CALDERÓN PERDOMO</w:t>
      </w:r>
    </w:p>
    <w:p w14:paraId="1415673A" w14:textId="1C2F9D3C" w:rsidR="004C539D" w:rsidRDefault="004C539D" w:rsidP="004C539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Secretaria General</w:t>
      </w:r>
    </w:p>
    <w:p w14:paraId="69AFCF7A" w14:textId="70175D20" w:rsidR="004C539D" w:rsidRPr="004C539D" w:rsidRDefault="004C539D" w:rsidP="004C539D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Comisión Primera Cámara de Representantes</w:t>
      </w:r>
    </w:p>
    <w:p w14:paraId="4E93E2EA" w14:textId="77777777" w:rsidR="003931A4" w:rsidRDefault="003931A4"/>
    <w:sectPr w:rsidR="003931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 CJK SC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F2"/>
    <w:rsid w:val="001C2C13"/>
    <w:rsid w:val="0038766F"/>
    <w:rsid w:val="003931A4"/>
    <w:rsid w:val="00477855"/>
    <w:rsid w:val="004C539D"/>
    <w:rsid w:val="007D6F92"/>
    <w:rsid w:val="008B75F2"/>
    <w:rsid w:val="00C0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1B9E6"/>
  <w15:chartTrackingRefBased/>
  <w15:docId w15:val="{7E78F9FF-242F-48B3-BA4A-7259EE7D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F2"/>
    <w:rPr>
      <w:rFonts w:ascii="Times New Roman" w:eastAsia="Noto Sans CJK SC" w:hAnsi="Times New Roman" w:cs="Times New Roman"/>
      <w:sz w:val="24"/>
      <w:szCs w:val="24"/>
      <w:lang w:val="es-ES" w:eastAsia="es-CO"/>
    </w:rPr>
  </w:style>
  <w:style w:type="paragraph" w:styleId="Ttulo2">
    <w:name w:val="heading 2"/>
    <w:basedOn w:val="Normal"/>
    <w:link w:val="Ttulo2Car"/>
    <w:qFormat/>
    <w:rsid w:val="008B75F2"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8B75F2"/>
    <w:rPr>
      <w:rFonts w:ascii="Times New Roman" w:eastAsia="Noto Sans CJK SC" w:hAnsi="Times New Roman" w:cs="Times New Roman"/>
      <w:b/>
      <w:bCs/>
      <w:color w:val="2F5496"/>
      <w:sz w:val="26"/>
      <w:szCs w:val="26"/>
      <w:lang w:val="es-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422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MARLENE garcia chalarca</dc:creator>
  <cp:keywords/>
  <dc:description/>
  <cp:lastModifiedBy>CLAUDIA MARLENE garcia chalarca</cp:lastModifiedBy>
  <cp:revision>2</cp:revision>
  <dcterms:created xsi:type="dcterms:W3CDTF">2026-10-05T15:55:00Z</dcterms:created>
  <dcterms:modified xsi:type="dcterms:W3CDTF">2026-10-05T21:51:00Z</dcterms:modified>
</cp:coreProperties>
</file>