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446CB" w14:textId="4A3C4EDD" w:rsidR="00861FE3" w:rsidRPr="00CF17A9" w:rsidRDefault="001B6D57">
      <w:pPr>
        <w:ind w:right="-136"/>
        <w:rPr>
          <w:rFonts w:ascii="Arial Narrow" w:eastAsia="Arial Narrow" w:hAnsi="Arial Narrow" w:cs="Arial Narrow"/>
        </w:rPr>
      </w:pPr>
      <w:r w:rsidRPr="00CF17A9">
        <w:rPr>
          <w:rFonts w:ascii="Arial Narrow" w:eastAsia="Arial Narrow" w:hAnsi="Arial Narrow" w:cs="Arial Narrow"/>
        </w:rPr>
        <w:t>Bogotá D</w:t>
      </w:r>
      <w:r w:rsidR="005F0FEA">
        <w:rPr>
          <w:rFonts w:ascii="Arial Narrow" w:eastAsia="Arial Narrow" w:hAnsi="Arial Narrow" w:cs="Arial Narrow"/>
        </w:rPr>
        <w:t xml:space="preserve"> </w:t>
      </w:r>
      <w:r w:rsidRPr="00CF17A9">
        <w:rPr>
          <w:rFonts w:ascii="Arial Narrow" w:eastAsia="Arial Narrow" w:hAnsi="Arial Narrow" w:cs="Arial Narrow"/>
        </w:rPr>
        <w:t>C.</w:t>
      </w:r>
      <w:r w:rsidR="008A25DE">
        <w:rPr>
          <w:rFonts w:ascii="Arial Narrow" w:eastAsia="Arial Narrow" w:hAnsi="Arial Narrow" w:cs="Arial Narrow"/>
        </w:rPr>
        <w:t xml:space="preserve"> </w:t>
      </w:r>
      <w:r w:rsidR="004D44AE">
        <w:rPr>
          <w:rFonts w:ascii="Arial Narrow" w:eastAsia="Arial Narrow" w:hAnsi="Arial Narrow" w:cs="Arial Narrow"/>
        </w:rPr>
        <w:t xml:space="preserve">30 </w:t>
      </w:r>
      <w:r w:rsidR="00AC56DA">
        <w:rPr>
          <w:rFonts w:ascii="Arial Narrow" w:eastAsia="Arial Narrow" w:hAnsi="Arial Narrow" w:cs="Arial Narrow"/>
        </w:rPr>
        <w:t xml:space="preserve">de septiembre de </w:t>
      </w:r>
      <w:r w:rsidRPr="00CF17A9">
        <w:rPr>
          <w:rFonts w:ascii="Arial Narrow" w:eastAsia="Arial Narrow" w:hAnsi="Arial Narrow" w:cs="Arial Narrow"/>
        </w:rPr>
        <w:t>2026.</w:t>
      </w:r>
    </w:p>
    <w:p w14:paraId="5DFCDB12" w14:textId="77777777" w:rsidR="00861FE3" w:rsidRPr="00CF17A9" w:rsidRDefault="00861FE3" w:rsidP="005B46B1">
      <w:pPr>
        <w:ind w:left="720" w:right="-136" w:hanging="720"/>
        <w:rPr>
          <w:rFonts w:ascii="Arial Narrow" w:eastAsia="Arial Narrow" w:hAnsi="Arial Narrow" w:cs="Arial Narrow"/>
        </w:rPr>
      </w:pPr>
    </w:p>
    <w:p w14:paraId="486D2F29" w14:textId="77777777" w:rsidR="00861FE3" w:rsidRPr="00CF17A9" w:rsidRDefault="001B6D57">
      <w:pPr>
        <w:spacing w:after="0"/>
        <w:ind w:right="-136"/>
        <w:rPr>
          <w:rFonts w:ascii="Arial Narrow" w:eastAsia="Arial Narrow" w:hAnsi="Arial Narrow" w:cs="Arial Narrow"/>
        </w:rPr>
      </w:pPr>
      <w:r w:rsidRPr="00CF17A9">
        <w:rPr>
          <w:rFonts w:ascii="Arial Narrow" w:eastAsia="Arial Narrow" w:hAnsi="Arial Narrow" w:cs="Arial Narrow"/>
        </w:rPr>
        <w:t>Honorable Representante</w:t>
      </w:r>
    </w:p>
    <w:p w14:paraId="1FB707C5" w14:textId="781226E0" w:rsidR="00861FE3" w:rsidRPr="00CF17A9" w:rsidRDefault="001B6D57">
      <w:pPr>
        <w:spacing w:after="0"/>
        <w:ind w:right="-136"/>
        <w:rPr>
          <w:rFonts w:ascii="Arial Narrow" w:eastAsia="Arial Narrow" w:hAnsi="Arial Narrow" w:cs="Arial Narrow"/>
          <w:b/>
          <w:bCs/>
        </w:rPr>
      </w:pPr>
      <w:r w:rsidRPr="00CF17A9">
        <w:rPr>
          <w:rFonts w:ascii="Arial Narrow" w:eastAsia="Arial Narrow" w:hAnsi="Arial Narrow" w:cs="Arial Narrow"/>
          <w:b/>
          <w:bCs/>
        </w:rPr>
        <w:t>J</w:t>
      </w:r>
      <w:r w:rsidR="00BE0B6B" w:rsidRPr="00CF17A9">
        <w:rPr>
          <w:rFonts w:ascii="Arial Narrow" w:eastAsia="Arial Narrow" w:hAnsi="Arial Narrow" w:cs="Arial Narrow"/>
          <w:b/>
          <w:bCs/>
        </w:rPr>
        <w:t xml:space="preserve">osé </w:t>
      </w:r>
      <w:r w:rsidRPr="00CF17A9">
        <w:rPr>
          <w:rFonts w:ascii="Arial Narrow" w:eastAsia="Arial Narrow" w:hAnsi="Arial Narrow" w:cs="Arial Narrow"/>
          <w:b/>
          <w:bCs/>
        </w:rPr>
        <w:t>J</w:t>
      </w:r>
      <w:r w:rsidR="00BE0B6B" w:rsidRPr="00CF17A9">
        <w:rPr>
          <w:rFonts w:ascii="Arial Narrow" w:eastAsia="Arial Narrow" w:hAnsi="Arial Narrow" w:cs="Arial Narrow"/>
          <w:b/>
          <w:bCs/>
        </w:rPr>
        <w:t>aime</w:t>
      </w:r>
      <w:r w:rsidRPr="00CF17A9">
        <w:rPr>
          <w:rFonts w:ascii="Arial Narrow" w:eastAsia="Arial Narrow" w:hAnsi="Arial Narrow" w:cs="Arial Narrow"/>
          <w:b/>
          <w:bCs/>
        </w:rPr>
        <w:t xml:space="preserve"> </w:t>
      </w:r>
      <w:r w:rsidR="00BE0B6B" w:rsidRPr="00CF17A9">
        <w:rPr>
          <w:rFonts w:ascii="Arial Narrow" w:eastAsia="Arial Narrow" w:hAnsi="Arial Narrow" w:cs="Arial Narrow"/>
          <w:b/>
          <w:bCs/>
        </w:rPr>
        <w:t>Uscátegui</w:t>
      </w:r>
      <w:r w:rsidRPr="00CF17A9">
        <w:rPr>
          <w:rFonts w:ascii="Arial Narrow" w:eastAsia="Arial Narrow" w:hAnsi="Arial Narrow" w:cs="Arial Narrow"/>
          <w:b/>
          <w:bCs/>
        </w:rPr>
        <w:t xml:space="preserve"> P</w:t>
      </w:r>
      <w:r w:rsidR="00BE0B6B" w:rsidRPr="00CF17A9">
        <w:rPr>
          <w:rFonts w:ascii="Arial Narrow" w:eastAsia="Arial Narrow" w:hAnsi="Arial Narrow" w:cs="Arial Narrow"/>
          <w:b/>
          <w:bCs/>
        </w:rPr>
        <w:t>astrana</w:t>
      </w:r>
      <w:r w:rsidRPr="00CF17A9">
        <w:rPr>
          <w:rFonts w:ascii="Arial Narrow" w:eastAsia="Arial Narrow" w:hAnsi="Arial Narrow" w:cs="Arial Narrow"/>
          <w:b/>
          <w:bCs/>
        </w:rPr>
        <w:t xml:space="preserve"> </w:t>
      </w:r>
    </w:p>
    <w:p w14:paraId="4BB1DC2B" w14:textId="77777777" w:rsidR="00861FE3" w:rsidRPr="00CF17A9" w:rsidRDefault="001B6D57">
      <w:pPr>
        <w:spacing w:after="0"/>
        <w:ind w:right="-136"/>
        <w:rPr>
          <w:rFonts w:ascii="Arial Narrow" w:eastAsia="Arial Narrow" w:hAnsi="Arial Narrow" w:cs="Arial Narrow"/>
        </w:rPr>
      </w:pPr>
      <w:r w:rsidRPr="00CF17A9">
        <w:rPr>
          <w:rFonts w:ascii="Arial Narrow" w:eastAsia="Arial Narrow" w:hAnsi="Arial Narrow" w:cs="Arial Narrow"/>
        </w:rPr>
        <w:t>Presidente</w:t>
      </w:r>
    </w:p>
    <w:p w14:paraId="01584207" w14:textId="77777777" w:rsidR="00861FE3" w:rsidRPr="00CF17A9" w:rsidRDefault="001B6D57">
      <w:pPr>
        <w:spacing w:after="0"/>
        <w:ind w:right="-136"/>
        <w:rPr>
          <w:rFonts w:ascii="Arial Narrow" w:eastAsia="Arial Narrow" w:hAnsi="Arial Narrow" w:cs="Arial Narrow"/>
          <w:b/>
          <w:bCs/>
        </w:rPr>
      </w:pPr>
      <w:r w:rsidRPr="00CF17A9">
        <w:rPr>
          <w:rFonts w:ascii="Arial Narrow" w:eastAsia="Arial Narrow" w:hAnsi="Arial Narrow" w:cs="Arial Narrow"/>
          <w:b/>
          <w:bCs/>
        </w:rPr>
        <w:t>Comisión Primera Constitucional</w:t>
      </w:r>
    </w:p>
    <w:p w14:paraId="31E9C94E" w14:textId="77777777" w:rsidR="00861FE3" w:rsidRPr="00CF17A9" w:rsidRDefault="001B6D57">
      <w:pPr>
        <w:spacing w:after="0"/>
        <w:ind w:right="-136"/>
        <w:rPr>
          <w:rFonts w:ascii="Arial Narrow" w:eastAsia="Arial Narrow" w:hAnsi="Arial Narrow" w:cs="Arial Narrow"/>
        </w:rPr>
      </w:pPr>
      <w:r w:rsidRPr="00CF17A9">
        <w:rPr>
          <w:rFonts w:ascii="Arial Narrow" w:eastAsia="Arial Narrow" w:hAnsi="Arial Narrow" w:cs="Arial Narrow"/>
        </w:rPr>
        <w:t>Cámara de Representantes</w:t>
      </w:r>
    </w:p>
    <w:p w14:paraId="70DC891B" w14:textId="77777777" w:rsidR="00861FE3" w:rsidRPr="00CF17A9" w:rsidRDefault="00861FE3">
      <w:pPr>
        <w:ind w:right="-136"/>
        <w:rPr>
          <w:rFonts w:ascii="Arial Narrow" w:eastAsia="Arial Narrow" w:hAnsi="Arial Narrow" w:cs="Arial Narrow"/>
        </w:rPr>
      </w:pPr>
    </w:p>
    <w:p w14:paraId="5784B8FF" w14:textId="77777777" w:rsidR="00861FE3" w:rsidRPr="00CF17A9" w:rsidRDefault="001B6D57">
      <w:pPr>
        <w:spacing w:after="0"/>
        <w:ind w:right="-136"/>
        <w:rPr>
          <w:rFonts w:ascii="Arial Narrow" w:eastAsia="Arial Narrow" w:hAnsi="Arial Narrow" w:cs="Arial Narrow"/>
        </w:rPr>
      </w:pPr>
      <w:r w:rsidRPr="00CF17A9">
        <w:rPr>
          <w:rFonts w:ascii="Arial Narrow" w:eastAsia="Arial Narrow" w:hAnsi="Arial Narrow" w:cs="Arial Narrow"/>
        </w:rPr>
        <w:t>Doctora</w:t>
      </w:r>
    </w:p>
    <w:p w14:paraId="19B9EB53" w14:textId="6BCEA7CA" w:rsidR="00861FE3" w:rsidRPr="00CF17A9" w:rsidRDefault="001B6D57">
      <w:pPr>
        <w:spacing w:after="0"/>
        <w:ind w:right="-136"/>
        <w:rPr>
          <w:rFonts w:ascii="Arial Narrow" w:eastAsia="Arial Narrow" w:hAnsi="Arial Narrow" w:cs="Arial Narrow"/>
          <w:b/>
          <w:bCs/>
        </w:rPr>
      </w:pPr>
      <w:r w:rsidRPr="00CF17A9">
        <w:rPr>
          <w:rFonts w:ascii="Arial Narrow" w:eastAsia="Arial Narrow" w:hAnsi="Arial Narrow" w:cs="Arial Narrow"/>
          <w:b/>
          <w:bCs/>
        </w:rPr>
        <w:t xml:space="preserve">Amparo </w:t>
      </w:r>
      <w:r w:rsidR="00431D41" w:rsidRPr="00CF17A9">
        <w:rPr>
          <w:rFonts w:ascii="Arial Narrow" w:eastAsia="Arial Narrow" w:hAnsi="Arial Narrow" w:cs="Arial Narrow"/>
          <w:b/>
          <w:bCs/>
        </w:rPr>
        <w:t>Calderón</w:t>
      </w:r>
    </w:p>
    <w:p w14:paraId="0C859D15" w14:textId="77777777" w:rsidR="00861FE3" w:rsidRPr="00CF17A9" w:rsidRDefault="001B6D57">
      <w:pPr>
        <w:tabs>
          <w:tab w:val="left" w:pos="1905"/>
        </w:tabs>
        <w:spacing w:after="0"/>
        <w:ind w:right="-136"/>
        <w:rPr>
          <w:rFonts w:ascii="Arial Narrow" w:eastAsia="Arial Narrow" w:hAnsi="Arial Narrow" w:cs="Arial Narrow"/>
        </w:rPr>
      </w:pPr>
      <w:r w:rsidRPr="00CF17A9">
        <w:rPr>
          <w:rFonts w:ascii="Arial Narrow" w:eastAsia="Arial Narrow" w:hAnsi="Arial Narrow" w:cs="Arial Narrow"/>
        </w:rPr>
        <w:t xml:space="preserve">Secretaria </w:t>
      </w:r>
      <w:r w:rsidRPr="00CF17A9">
        <w:rPr>
          <w:rFonts w:ascii="Arial Narrow" w:eastAsia="Arial Narrow" w:hAnsi="Arial Narrow" w:cs="Arial Narrow"/>
        </w:rPr>
        <w:tab/>
      </w:r>
    </w:p>
    <w:p w14:paraId="7CE7DE81" w14:textId="77777777" w:rsidR="00861FE3" w:rsidRPr="00CF17A9" w:rsidRDefault="001B6D57">
      <w:pPr>
        <w:spacing w:after="0"/>
        <w:ind w:right="-136"/>
        <w:rPr>
          <w:rFonts w:ascii="Arial Narrow" w:eastAsia="Arial Narrow" w:hAnsi="Arial Narrow" w:cs="Arial Narrow"/>
          <w:b/>
          <w:bCs/>
        </w:rPr>
      </w:pPr>
      <w:r w:rsidRPr="00CF17A9">
        <w:rPr>
          <w:rFonts w:ascii="Arial Narrow" w:eastAsia="Arial Narrow" w:hAnsi="Arial Narrow" w:cs="Arial Narrow"/>
          <w:b/>
          <w:bCs/>
        </w:rPr>
        <w:t>Comisión Primera Constitucional</w:t>
      </w:r>
    </w:p>
    <w:p w14:paraId="664FFDB0" w14:textId="77777777" w:rsidR="00861FE3" w:rsidRPr="00CF17A9" w:rsidRDefault="001B6D57">
      <w:pPr>
        <w:spacing w:after="0"/>
        <w:ind w:right="-136"/>
        <w:rPr>
          <w:rFonts w:ascii="Arial Narrow" w:eastAsia="Arial Narrow" w:hAnsi="Arial Narrow" w:cs="Arial Narrow"/>
        </w:rPr>
      </w:pPr>
      <w:r w:rsidRPr="00CF17A9">
        <w:rPr>
          <w:rFonts w:ascii="Arial Narrow" w:eastAsia="Arial Narrow" w:hAnsi="Arial Narrow" w:cs="Arial Narrow"/>
        </w:rPr>
        <w:t>Cámara de Representantes</w:t>
      </w:r>
    </w:p>
    <w:p w14:paraId="25C42879" w14:textId="77777777" w:rsidR="00861FE3" w:rsidRPr="00CF17A9" w:rsidRDefault="00861FE3">
      <w:pPr>
        <w:ind w:right="-136"/>
        <w:rPr>
          <w:rFonts w:ascii="Arial Narrow" w:eastAsia="Arial Narrow" w:hAnsi="Arial Narrow" w:cs="Arial Narrow"/>
        </w:rPr>
      </w:pPr>
    </w:p>
    <w:p w14:paraId="71517422" w14:textId="2DBF624C" w:rsidR="00861FE3" w:rsidRPr="005F0FEA" w:rsidRDefault="001B6D57">
      <w:pPr>
        <w:pBdr>
          <w:top w:val="nil"/>
          <w:left w:val="nil"/>
          <w:bottom w:val="nil"/>
          <w:right w:val="nil"/>
          <w:between w:val="nil"/>
        </w:pBdr>
        <w:spacing w:after="0" w:line="240" w:lineRule="auto"/>
        <w:jc w:val="both"/>
        <w:rPr>
          <w:rFonts w:ascii="Arial Narrow" w:eastAsia="Arial Narrow" w:hAnsi="Arial Narrow" w:cs="Arial Narrow"/>
          <w:color w:val="000000"/>
        </w:rPr>
      </w:pPr>
      <w:r w:rsidRPr="00CF17A9">
        <w:rPr>
          <w:rFonts w:ascii="Arial Narrow" w:eastAsia="Arial Narrow" w:hAnsi="Arial Narrow" w:cs="Arial Narrow"/>
          <w:b/>
          <w:bCs/>
          <w:color w:val="000000"/>
        </w:rPr>
        <w:t xml:space="preserve">Asunto: </w:t>
      </w:r>
      <w:r w:rsidRPr="00CF17A9">
        <w:rPr>
          <w:rFonts w:ascii="Arial Narrow" w:eastAsia="Arial Narrow" w:hAnsi="Arial Narrow" w:cs="Arial Narrow"/>
        </w:rPr>
        <w:t>Po</w:t>
      </w:r>
      <w:r w:rsidRPr="00CF17A9">
        <w:rPr>
          <w:rFonts w:ascii="Arial Narrow" w:eastAsia="Arial Narrow" w:hAnsi="Arial Narrow" w:cs="Arial Narrow"/>
          <w:color w:val="000000"/>
        </w:rPr>
        <w:t xml:space="preserve">nencia para primer debate </w:t>
      </w:r>
      <w:r w:rsidRPr="00CF17A9">
        <w:rPr>
          <w:rFonts w:ascii="Arial Narrow" w:eastAsia="Arial Narrow" w:hAnsi="Arial Narrow" w:cs="Arial Narrow"/>
        </w:rPr>
        <w:t xml:space="preserve">al </w:t>
      </w:r>
      <w:r w:rsidRPr="00CF17A9">
        <w:rPr>
          <w:rFonts w:ascii="Arial Narrow" w:eastAsia="Arial Narrow" w:hAnsi="Arial Narrow" w:cs="Arial Narrow"/>
          <w:b/>
          <w:bCs/>
          <w:color w:val="000000"/>
        </w:rPr>
        <w:t>Proyecto de Ley No.</w:t>
      </w:r>
      <w:r w:rsidR="00C6756C">
        <w:rPr>
          <w:rFonts w:ascii="Arial Narrow" w:eastAsia="Arial Narrow" w:hAnsi="Arial Narrow" w:cs="Arial Narrow"/>
          <w:b/>
          <w:bCs/>
          <w:color w:val="000000"/>
        </w:rPr>
        <w:t xml:space="preserve"> 19</w:t>
      </w:r>
      <w:r w:rsidR="00E42656">
        <w:rPr>
          <w:rFonts w:ascii="Arial Narrow" w:eastAsia="Arial Narrow" w:hAnsi="Arial Narrow" w:cs="Arial Narrow"/>
          <w:b/>
          <w:bCs/>
          <w:color w:val="000000"/>
        </w:rPr>
        <w:t>9</w:t>
      </w:r>
      <w:r w:rsidRPr="00CF17A9">
        <w:rPr>
          <w:rFonts w:ascii="Arial Narrow" w:eastAsia="Arial Narrow" w:hAnsi="Arial Narrow" w:cs="Arial Narrow"/>
          <w:b/>
          <w:bCs/>
        </w:rPr>
        <w:t xml:space="preserve"> </w:t>
      </w:r>
      <w:r w:rsidRPr="00CF17A9">
        <w:rPr>
          <w:rFonts w:ascii="Arial Narrow" w:eastAsia="Arial Narrow" w:hAnsi="Arial Narrow" w:cs="Arial Narrow"/>
          <w:b/>
          <w:bCs/>
          <w:color w:val="000000"/>
        </w:rPr>
        <w:t>de 2026</w:t>
      </w:r>
      <w:r w:rsidR="005F0FEA">
        <w:rPr>
          <w:rFonts w:ascii="Arial Narrow" w:eastAsia="Arial Narrow" w:hAnsi="Arial Narrow" w:cs="Arial Narrow"/>
          <w:color w:val="000000"/>
        </w:rPr>
        <w:t xml:space="preserve"> </w:t>
      </w:r>
      <w:r w:rsidRPr="005F0FEA">
        <w:rPr>
          <w:rFonts w:ascii="Arial Narrow" w:eastAsia="Arial Narrow" w:hAnsi="Arial Narrow" w:cs="Arial Narrow"/>
          <w:color w:val="000000"/>
        </w:rPr>
        <w:t>Cámara,</w:t>
      </w:r>
      <w:r w:rsidRPr="005F0FEA">
        <w:rPr>
          <w:rFonts w:ascii="Arial Narrow" w:eastAsia="Arial Narrow" w:hAnsi="Arial Narrow" w:cs="Arial Narrow"/>
        </w:rPr>
        <w:t xml:space="preserve"> </w:t>
      </w:r>
      <w:bookmarkStart w:id="0" w:name="_Hlk239842375"/>
      <w:bookmarkStart w:id="1" w:name="_Hlk239842229"/>
      <w:r w:rsidR="005F0FEA" w:rsidRPr="005F0FEA">
        <w:rPr>
          <w:rFonts w:ascii="Arial Narrow" w:eastAsia="Arial Narrow" w:hAnsi="Arial Narrow" w:cs="Arial Narrow"/>
        </w:rPr>
        <w:t>“</w:t>
      </w:r>
      <w:r w:rsidR="00E42656" w:rsidRPr="00E42656">
        <w:rPr>
          <w:rFonts w:ascii="Arial Narrow" w:eastAsia="Arial Narrow" w:hAnsi="Arial Narrow" w:cs="Arial Narrow"/>
          <w:i/>
          <w:iCs/>
        </w:rPr>
        <w:t>Por medio de la cual se desarrolla el procedimiento de verificación médica funcional y toxicológica de gobernadores y alcaldes distritales y municipales, se modifican la Ley 136 de 1994 y la Ley 2200 de 2022</w:t>
      </w:r>
      <w:r w:rsidRPr="005F0FEA">
        <w:rPr>
          <w:rFonts w:ascii="Arial Narrow" w:eastAsia="Arial Narrow" w:hAnsi="Arial Narrow" w:cs="Arial Narrow"/>
        </w:rPr>
        <w:t>”</w:t>
      </w:r>
      <w:bookmarkEnd w:id="0"/>
      <w:r w:rsidRPr="005F0FEA">
        <w:rPr>
          <w:rFonts w:ascii="Arial Narrow" w:eastAsia="Arial Narrow" w:hAnsi="Arial Narrow" w:cs="Arial Narrow"/>
          <w:b/>
          <w:bCs/>
        </w:rPr>
        <w:t>.</w:t>
      </w:r>
      <w:bookmarkEnd w:id="1"/>
    </w:p>
    <w:p w14:paraId="5CE135CF" w14:textId="77777777" w:rsidR="00861FE3" w:rsidRPr="00CF17A9" w:rsidRDefault="00861FE3">
      <w:pPr>
        <w:ind w:right="-136"/>
        <w:rPr>
          <w:rFonts w:ascii="Arial Narrow" w:eastAsia="Arial Narrow" w:hAnsi="Arial Narrow" w:cs="Arial Narrow"/>
        </w:rPr>
      </w:pPr>
    </w:p>
    <w:p w14:paraId="46DA30F9" w14:textId="1009D98F" w:rsidR="00861FE3" w:rsidRPr="00CF17A9" w:rsidRDefault="001B6D57">
      <w:pPr>
        <w:ind w:right="-136"/>
        <w:rPr>
          <w:rFonts w:ascii="Arial Narrow" w:eastAsia="Arial Narrow" w:hAnsi="Arial Narrow" w:cs="Arial Narrow"/>
        </w:rPr>
      </w:pPr>
      <w:r w:rsidRPr="00CF17A9">
        <w:rPr>
          <w:rFonts w:ascii="Arial Narrow" w:eastAsia="Arial Narrow" w:hAnsi="Arial Narrow" w:cs="Arial Narrow"/>
        </w:rPr>
        <w:t xml:space="preserve">Honorable </w:t>
      </w:r>
      <w:r w:rsidR="00431D41" w:rsidRPr="00CF17A9">
        <w:rPr>
          <w:rFonts w:ascii="Arial Narrow" w:eastAsia="Arial Narrow" w:hAnsi="Arial Narrow" w:cs="Arial Narrow"/>
        </w:rPr>
        <w:t>p</w:t>
      </w:r>
      <w:r w:rsidRPr="00CF17A9">
        <w:rPr>
          <w:rFonts w:ascii="Arial Narrow" w:eastAsia="Arial Narrow" w:hAnsi="Arial Narrow" w:cs="Arial Narrow"/>
        </w:rPr>
        <w:t>residente</w:t>
      </w:r>
      <w:r w:rsidR="005A6511" w:rsidRPr="00CF17A9">
        <w:rPr>
          <w:rFonts w:ascii="Arial Narrow" w:eastAsia="Arial Narrow" w:hAnsi="Arial Narrow" w:cs="Arial Narrow"/>
        </w:rPr>
        <w:t>.</w:t>
      </w:r>
    </w:p>
    <w:p w14:paraId="3B959414" w14:textId="43671BF6" w:rsidR="00861FE3" w:rsidRPr="00CF17A9" w:rsidRDefault="001B6D57">
      <w:pPr>
        <w:ind w:right="-136"/>
        <w:jc w:val="both"/>
        <w:rPr>
          <w:rFonts w:ascii="Arial Narrow" w:eastAsia="Arial Narrow" w:hAnsi="Arial Narrow" w:cs="Arial Narrow"/>
          <w:i/>
          <w:iCs/>
        </w:rPr>
      </w:pPr>
      <w:r w:rsidRPr="00CF17A9">
        <w:rPr>
          <w:rFonts w:ascii="Arial Narrow" w:eastAsia="Arial Narrow" w:hAnsi="Arial Narrow" w:cs="Arial Narrow"/>
        </w:rPr>
        <w:t xml:space="preserve">De conformidad con lo dispuesto en los artículos 174 y 175 de la Ley 5 de 1992 y en </w:t>
      </w:r>
      <w:r w:rsidR="00D93B07">
        <w:rPr>
          <w:rFonts w:ascii="Arial Narrow" w:eastAsia="Arial Narrow" w:hAnsi="Arial Narrow" w:cs="Arial Narrow"/>
        </w:rPr>
        <w:t>atención</w:t>
      </w:r>
      <w:r w:rsidRPr="00CF17A9">
        <w:rPr>
          <w:rFonts w:ascii="Arial Narrow" w:eastAsia="Arial Narrow" w:hAnsi="Arial Narrow" w:cs="Arial Narrow"/>
        </w:rPr>
        <w:t xml:space="preserve"> a la designación efectuada por la Mesa Directiva de la Honorable Comisión Primera Constitucional Permanente de la Cámara de Representantes, presento informe de Ponencia para primer debate al Proyecto de Ley No. </w:t>
      </w:r>
      <w:r w:rsidR="005F0FEA">
        <w:rPr>
          <w:rFonts w:ascii="Arial Narrow" w:eastAsia="Arial Narrow" w:hAnsi="Arial Narrow" w:cs="Arial Narrow"/>
        </w:rPr>
        <w:t>1</w:t>
      </w:r>
      <w:r w:rsidR="00C6756C">
        <w:rPr>
          <w:rFonts w:ascii="Arial Narrow" w:eastAsia="Arial Narrow" w:hAnsi="Arial Narrow" w:cs="Arial Narrow"/>
        </w:rPr>
        <w:t>9</w:t>
      </w:r>
      <w:r w:rsidR="00E42656">
        <w:rPr>
          <w:rFonts w:ascii="Arial Narrow" w:eastAsia="Arial Narrow" w:hAnsi="Arial Narrow" w:cs="Arial Narrow"/>
        </w:rPr>
        <w:t>9</w:t>
      </w:r>
      <w:r w:rsidRPr="00CF17A9">
        <w:rPr>
          <w:rFonts w:ascii="Arial Narrow" w:eastAsia="Arial Narrow" w:hAnsi="Arial Narrow" w:cs="Arial Narrow"/>
        </w:rPr>
        <w:t xml:space="preserve"> de 2026</w:t>
      </w:r>
      <w:r w:rsidR="005F0FEA">
        <w:rPr>
          <w:rFonts w:ascii="Arial Narrow" w:eastAsia="Arial Narrow" w:hAnsi="Arial Narrow" w:cs="Arial Narrow"/>
        </w:rPr>
        <w:t xml:space="preserve"> </w:t>
      </w:r>
      <w:r w:rsidRPr="00CF17A9">
        <w:rPr>
          <w:rFonts w:ascii="Arial Narrow" w:eastAsia="Arial Narrow" w:hAnsi="Arial Narrow" w:cs="Arial Narrow"/>
        </w:rPr>
        <w:t xml:space="preserve">Cámara, </w:t>
      </w:r>
      <w:r w:rsidR="005F0FEA" w:rsidRPr="005F0FEA">
        <w:rPr>
          <w:rFonts w:ascii="Arial Narrow" w:eastAsia="Arial Narrow" w:hAnsi="Arial Narrow" w:cs="Arial Narrow"/>
          <w:i/>
          <w:iCs/>
        </w:rPr>
        <w:t>“</w:t>
      </w:r>
      <w:r w:rsidR="00E42656" w:rsidRPr="00E42656">
        <w:rPr>
          <w:rFonts w:ascii="Arial Narrow" w:eastAsia="Arial Narrow" w:hAnsi="Arial Narrow" w:cs="Arial Narrow"/>
          <w:i/>
          <w:iCs/>
        </w:rPr>
        <w:t>Por medio de la cual se desarrolla el procedimiento de verificación médica funcional y toxicológica de gobernadores y alcaldes distritales y municipales, se modifican la Ley 136 de 1994 y la Ley 2200 de 2022</w:t>
      </w:r>
      <w:r w:rsidR="005F0FEA" w:rsidRPr="005F0FEA">
        <w:rPr>
          <w:rFonts w:ascii="Arial Narrow" w:eastAsia="Arial Narrow" w:hAnsi="Arial Narrow" w:cs="Arial Narrow"/>
          <w:i/>
          <w:iCs/>
        </w:rPr>
        <w:t>”.</w:t>
      </w:r>
    </w:p>
    <w:p w14:paraId="745E9203" w14:textId="77777777" w:rsidR="00861FE3" w:rsidRPr="00CF17A9" w:rsidRDefault="00861FE3">
      <w:pPr>
        <w:ind w:right="-136"/>
        <w:jc w:val="both"/>
        <w:rPr>
          <w:rFonts w:ascii="Arial Narrow" w:eastAsia="Arial Narrow" w:hAnsi="Arial Narrow" w:cs="Arial Narrow"/>
        </w:rPr>
      </w:pPr>
    </w:p>
    <w:p w14:paraId="6B14799E" w14:textId="77777777" w:rsidR="00861FE3" w:rsidRDefault="001B6D57">
      <w:pPr>
        <w:ind w:right="-136"/>
        <w:rPr>
          <w:rFonts w:ascii="Arial Narrow" w:eastAsia="Arial Narrow" w:hAnsi="Arial Narrow" w:cs="Arial Narrow"/>
        </w:rPr>
      </w:pPr>
      <w:r w:rsidRPr="00CF17A9">
        <w:rPr>
          <w:rFonts w:ascii="Arial Narrow" w:eastAsia="Arial Narrow" w:hAnsi="Arial Narrow" w:cs="Arial Narrow"/>
        </w:rPr>
        <w:t xml:space="preserve">Cordialmente, </w:t>
      </w:r>
    </w:p>
    <w:p w14:paraId="0B0F4980" w14:textId="77777777" w:rsidR="00D93B07" w:rsidRPr="00CF17A9" w:rsidRDefault="00D93B07">
      <w:pPr>
        <w:ind w:right="-136"/>
        <w:rPr>
          <w:rFonts w:ascii="Arial Narrow" w:eastAsia="Arial Narrow" w:hAnsi="Arial Narrow" w:cs="Arial Narrow"/>
        </w:rPr>
      </w:pPr>
    </w:p>
    <w:p w14:paraId="0B8A9E69" w14:textId="77777777" w:rsidR="00861FE3" w:rsidRPr="00CF17A9" w:rsidRDefault="00861FE3">
      <w:pPr>
        <w:ind w:right="-136"/>
        <w:rPr>
          <w:rFonts w:ascii="Arial Narrow" w:eastAsia="Arial Narrow" w:hAnsi="Arial Narrow" w:cs="Arial Narrow"/>
        </w:rPr>
      </w:pPr>
    </w:p>
    <w:p w14:paraId="5FEBC6EF" w14:textId="1FF9496F" w:rsidR="00861FE3" w:rsidRPr="00CF17A9" w:rsidRDefault="001B6D57">
      <w:pPr>
        <w:pBdr>
          <w:top w:val="nil"/>
          <w:left w:val="nil"/>
          <w:bottom w:val="nil"/>
          <w:right w:val="nil"/>
          <w:between w:val="nil"/>
        </w:pBdr>
        <w:spacing w:after="0" w:line="240" w:lineRule="auto"/>
        <w:jc w:val="both"/>
        <w:rPr>
          <w:rFonts w:ascii="Arial Narrow" w:eastAsia="Arial Narrow" w:hAnsi="Arial Narrow" w:cs="Arial Narrow"/>
          <w:b/>
          <w:bCs/>
        </w:rPr>
      </w:pPr>
      <w:r w:rsidRPr="00CF17A9">
        <w:rPr>
          <w:rFonts w:ascii="Arial Narrow" w:eastAsia="Arial Narrow" w:hAnsi="Arial Narrow" w:cs="Arial Narrow"/>
          <w:b/>
          <w:bCs/>
        </w:rPr>
        <w:t xml:space="preserve">Jaime Ignacio Arizabaleta </w:t>
      </w:r>
      <w:r w:rsidR="00BE0B6B" w:rsidRPr="00CF17A9">
        <w:rPr>
          <w:rFonts w:ascii="Arial Narrow" w:eastAsia="Arial Narrow" w:hAnsi="Arial Narrow" w:cs="Arial Narrow"/>
          <w:b/>
          <w:bCs/>
        </w:rPr>
        <w:t>Fajardo.</w:t>
      </w:r>
    </w:p>
    <w:p w14:paraId="733B9FC7" w14:textId="64EC02C9" w:rsidR="00861FE3" w:rsidRPr="00CF17A9" w:rsidRDefault="001B6D57">
      <w:pPr>
        <w:pBdr>
          <w:top w:val="nil"/>
          <w:left w:val="nil"/>
          <w:bottom w:val="nil"/>
          <w:right w:val="nil"/>
          <w:between w:val="nil"/>
        </w:pBdr>
        <w:spacing w:after="0" w:line="240" w:lineRule="auto"/>
        <w:jc w:val="both"/>
        <w:rPr>
          <w:rFonts w:ascii="Arial Narrow" w:eastAsia="Arial Narrow" w:hAnsi="Arial Narrow" w:cs="Arial Narrow"/>
        </w:rPr>
      </w:pPr>
      <w:r w:rsidRPr="00CF17A9">
        <w:rPr>
          <w:rFonts w:ascii="Arial Narrow" w:eastAsia="Arial Narrow" w:hAnsi="Arial Narrow" w:cs="Arial Narrow"/>
        </w:rPr>
        <w:t>Representante a la Cámara</w:t>
      </w:r>
    </w:p>
    <w:p w14:paraId="4D33CFEE" w14:textId="333C95A1" w:rsidR="005A6511" w:rsidRPr="00CF17A9" w:rsidRDefault="005A6511">
      <w:pPr>
        <w:pBdr>
          <w:top w:val="nil"/>
          <w:left w:val="nil"/>
          <w:bottom w:val="nil"/>
          <w:right w:val="nil"/>
          <w:between w:val="nil"/>
        </w:pBdr>
        <w:spacing w:after="0" w:line="240" w:lineRule="auto"/>
        <w:jc w:val="both"/>
        <w:rPr>
          <w:rFonts w:ascii="Arial Narrow" w:eastAsia="Arial Narrow" w:hAnsi="Arial Narrow" w:cs="Arial Narrow"/>
        </w:rPr>
      </w:pPr>
      <w:r w:rsidRPr="00CF17A9">
        <w:rPr>
          <w:rFonts w:ascii="Arial Narrow" w:eastAsia="Arial Narrow" w:hAnsi="Arial Narrow" w:cs="Arial Narrow"/>
        </w:rPr>
        <w:t>Departamento del Valle del Cauca</w:t>
      </w:r>
    </w:p>
    <w:p w14:paraId="516D9725" w14:textId="77777777" w:rsidR="00861FE3" w:rsidRPr="00CF17A9" w:rsidRDefault="001B6D57">
      <w:pPr>
        <w:pBdr>
          <w:top w:val="nil"/>
          <w:left w:val="nil"/>
          <w:bottom w:val="nil"/>
          <w:right w:val="nil"/>
          <w:between w:val="nil"/>
        </w:pBdr>
        <w:spacing w:after="0" w:line="240" w:lineRule="auto"/>
        <w:jc w:val="both"/>
        <w:rPr>
          <w:rFonts w:ascii="Arial Narrow" w:eastAsia="Arial Narrow" w:hAnsi="Arial Narrow" w:cs="Arial Narrow"/>
        </w:rPr>
      </w:pPr>
      <w:r w:rsidRPr="00CF17A9">
        <w:rPr>
          <w:rFonts w:ascii="Arial Narrow" w:eastAsia="Arial Narrow" w:hAnsi="Arial Narrow" w:cs="Arial Narrow"/>
        </w:rPr>
        <w:t xml:space="preserve">Centro Democrático </w:t>
      </w:r>
    </w:p>
    <w:p w14:paraId="744C3809" w14:textId="77777777" w:rsidR="00861FE3" w:rsidRPr="00CF17A9" w:rsidRDefault="00861FE3">
      <w:pPr>
        <w:pBdr>
          <w:top w:val="nil"/>
          <w:left w:val="nil"/>
          <w:bottom w:val="nil"/>
          <w:right w:val="nil"/>
          <w:between w:val="nil"/>
        </w:pBdr>
        <w:spacing w:after="0" w:line="240" w:lineRule="auto"/>
        <w:jc w:val="both"/>
        <w:rPr>
          <w:rFonts w:ascii="Arial Narrow" w:eastAsia="Arial Narrow" w:hAnsi="Arial Narrow" w:cs="Arial Narrow"/>
          <w:b/>
          <w:bCs/>
        </w:rPr>
      </w:pPr>
    </w:p>
    <w:p w14:paraId="2B0EAA0E" w14:textId="77777777" w:rsidR="00861FE3" w:rsidRPr="00CF17A9" w:rsidRDefault="00861FE3">
      <w:pPr>
        <w:pBdr>
          <w:top w:val="nil"/>
          <w:left w:val="nil"/>
          <w:bottom w:val="nil"/>
          <w:right w:val="nil"/>
          <w:between w:val="nil"/>
        </w:pBdr>
        <w:spacing w:after="0" w:line="240" w:lineRule="auto"/>
        <w:jc w:val="both"/>
        <w:rPr>
          <w:rFonts w:ascii="Arial Narrow" w:eastAsia="Arial Narrow" w:hAnsi="Arial Narrow" w:cs="Arial Narrow"/>
          <w:b/>
          <w:bCs/>
        </w:rPr>
      </w:pPr>
    </w:p>
    <w:p w14:paraId="7AF82F6E" w14:textId="77777777" w:rsidR="005F0FEA" w:rsidRPr="00CF17A9" w:rsidRDefault="005F0FEA">
      <w:pPr>
        <w:pBdr>
          <w:top w:val="nil"/>
          <w:left w:val="nil"/>
          <w:bottom w:val="nil"/>
          <w:right w:val="nil"/>
          <w:between w:val="nil"/>
        </w:pBdr>
        <w:spacing w:after="0" w:line="240" w:lineRule="auto"/>
        <w:jc w:val="both"/>
        <w:rPr>
          <w:rFonts w:ascii="Arial Narrow" w:eastAsia="Arial Narrow" w:hAnsi="Arial Narrow" w:cs="Arial Narrow"/>
          <w:b/>
          <w:bCs/>
        </w:rPr>
      </w:pPr>
    </w:p>
    <w:p w14:paraId="5DE3FE2D" w14:textId="77777777" w:rsidR="00861FE3" w:rsidRPr="00CF17A9" w:rsidRDefault="00861FE3">
      <w:pPr>
        <w:pBdr>
          <w:top w:val="nil"/>
          <w:left w:val="nil"/>
          <w:bottom w:val="nil"/>
          <w:right w:val="nil"/>
          <w:between w:val="nil"/>
        </w:pBdr>
        <w:spacing w:after="0" w:line="240" w:lineRule="auto"/>
        <w:jc w:val="both"/>
        <w:rPr>
          <w:rFonts w:ascii="Arial Narrow" w:eastAsia="Arial Narrow" w:hAnsi="Arial Narrow" w:cs="Arial Narrow"/>
          <w:b/>
          <w:bCs/>
        </w:rPr>
      </w:pPr>
    </w:p>
    <w:p w14:paraId="0E9AE2B0" w14:textId="657BC719" w:rsidR="00861FE3" w:rsidRPr="00CF17A9" w:rsidRDefault="001B6D57" w:rsidP="00D44A7E">
      <w:pPr>
        <w:pBdr>
          <w:top w:val="nil"/>
          <w:left w:val="nil"/>
          <w:bottom w:val="nil"/>
          <w:right w:val="nil"/>
          <w:between w:val="nil"/>
        </w:pBdr>
        <w:spacing w:after="0" w:line="240" w:lineRule="auto"/>
        <w:jc w:val="center"/>
        <w:rPr>
          <w:rFonts w:ascii="Arial Narrow" w:eastAsia="Arial Narrow" w:hAnsi="Arial Narrow" w:cs="Arial Narrow"/>
          <w:color w:val="000000"/>
        </w:rPr>
      </w:pPr>
      <w:r w:rsidRPr="00CF17A9">
        <w:rPr>
          <w:rFonts w:ascii="Arial Narrow" w:eastAsia="Arial Narrow" w:hAnsi="Arial Narrow" w:cs="Arial Narrow"/>
          <w:b/>
          <w:bCs/>
          <w:color w:val="000000"/>
        </w:rPr>
        <w:lastRenderedPageBreak/>
        <w:t>INFORME DE PONENCIA PARA PRIMER DEBATE DEL PROYECTO DE LEY</w:t>
      </w:r>
      <w:r w:rsidR="00D44A7E">
        <w:rPr>
          <w:rFonts w:ascii="Arial Narrow" w:eastAsia="Arial Narrow" w:hAnsi="Arial Narrow" w:cs="Arial Narrow"/>
          <w:b/>
          <w:bCs/>
          <w:color w:val="000000"/>
        </w:rPr>
        <w:t xml:space="preserve"> </w:t>
      </w:r>
      <w:r w:rsidRPr="00CF17A9">
        <w:rPr>
          <w:rFonts w:ascii="Arial Narrow" w:eastAsia="Arial Narrow" w:hAnsi="Arial Narrow" w:cs="Arial Narrow"/>
          <w:b/>
          <w:bCs/>
          <w:color w:val="000000"/>
        </w:rPr>
        <w:t>N</w:t>
      </w:r>
      <w:r w:rsidRPr="00CF17A9">
        <w:rPr>
          <w:rFonts w:ascii="Arial Narrow" w:eastAsia="Arial Narrow" w:hAnsi="Arial Narrow" w:cs="Arial Narrow"/>
          <w:b/>
          <w:bCs/>
        </w:rPr>
        <w:t xml:space="preserve">o. </w:t>
      </w:r>
      <w:r w:rsidR="005F0FEA">
        <w:rPr>
          <w:rFonts w:ascii="Arial Narrow" w:eastAsia="Arial Narrow" w:hAnsi="Arial Narrow" w:cs="Arial Narrow"/>
          <w:b/>
          <w:bCs/>
        </w:rPr>
        <w:t>1</w:t>
      </w:r>
      <w:r w:rsidR="00D44A7E">
        <w:rPr>
          <w:rFonts w:ascii="Arial Narrow" w:eastAsia="Arial Narrow" w:hAnsi="Arial Narrow" w:cs="Arial Narrow"/>
          <w:b/>
          <w:bCs/>
        </w:rPr>
        <w:t>9</w:t>
      </w:r>
      <w:r w:rsidR="00836640">
        <w:rPr>
          <w:rFonts w:ascii="Arial Narrow" w:eastAsia="Arial Narrow" w:hAnsi="Arial Narrow" w:cs="Arial Narrow"/>
          <w:b/>
          <w:bCs/>
        </w:rPr>
        <w:t>9</w:t>
      </w:r>
      <w:r w:rsidRPr="00CF17A9">
        <w:rPr>
          <w:rFonts w:ascii="Arial Narrow" w:eastAsia="Arial Narrow" w:hAnsi="Arial Narrow" w:cs="Arial Narrow"/>
          <w:b/>
          <w:bCs/>
        </w:rPr>
        <w:t xml:space="preserve"> </w:t>
      </w:r>
      <w:r w:rsidRPr="00CF17A9">
        <w:rPr>
          <w:rFonts w:ascii="Arial Narrow" w:eastAsia="Arial Narrow" w:hAnsi="Arial Narrow" w:cs="Arial Narrow"/>
          <w:b/>
          <w:bCs/>
          <w:color w:val="000000"/>
        </w:rPr>
        <w:t>de 2026</w:t>
      </w:r>
      <w:r w:rsidRPr="00CF17A9">
        <w:rPr>
          <w:rFonts w:ascii="Arial Narrow" w:eastAsia="Arial Narrow" w:hAnsi="Arial Narrow" w:cs="Arial Narrow"/>
          <w:b/>
          <w:bCs/>
        </w:rPr>
        <w:t xml:space="preserve"> - CÁMARA.</w:t>
      </w:r>
    </w:p>
    <w:p w14:paraId="66F72159" w14:textId="77777777" w:rsidR="00861FE3" w:rsidRPr="00CF17A9" w:rsidRDefault="00861FE3">
      <w:pPr>
        <w:pBdr>
          <w:top w:val="nil"/>
          <w:left w:val="nil"/>
          <w:bottom w:val="nil"/>
          <w:right w:val="nil"/>
          <w:between w:val="nil"/>
        </w:pBdr>
        <w:spacing w:after="0" w:line="240" w:lineRule="auto"/>
        <w:jc w:val="center"/>
        <w:rPr>
          <w:rFonts w:ascii="Arial Narrow" w:eastAsia="Arial Narrow" w:hAnsi="Arial Narrow" w:cs="Arial Narrow"/>
          <w:color w:val="000000"/>
        </w:rPr>
      </w:pPr>
    </w:p>
    <w:p w14:paraId="443BDEB4" w14:textId="5B5D1CD7" w:rsidR="00861FE3" w:rsidRPr="00CF17A9" w:rsidRDefault="005F0FEA">
      <w:pPr>
        <w:ind w:right="-136"/>
        <w:jc w:val="center"/>
        <w:rPr>
          <w:rFonts w:ascii="Arial Narrow" w:eastAsia="Arial Narrow" w:hAnsi="Arial Narrow" w:cs="Arial Narrow"/>
          <w:b/>
          <w:bCs/>
          <w:i/>
          <w:iCs/>
        </w:rPr>
      </w:pPr>
      <w:r w:rsidRPr="005F0FEA">
        <w:rPr>
          <w:rFonts w:ascii="Arial Narrow" w:eastAsia="Arial Narrow" w:hAnsi="Arial Narrow" w:cs="Arial Narrow"/>
          <w:i/>
          <w:iCs/>
          <w:color w:val="000000"/>
        </w:rPr>
        <w:t>“</w:t>
      </w:r>
      <w:r w:rsidR="00836640" w:rsidRPr="00836640">
        <w:rPr>
          <w:rFonts w:ascii="Arial Narrow" w:eastAsia="Arial Narrow" w:hAnsi="Arial Narrow" w:cs="Arial Narrow"/>
          <w:i/>
          <w:iCs/>
          <w:color w:val="000000"/>
        </w:rPr>
        <w:t>Por medio de la cual se desarrolla el procedimiento de verificación médica funcional y toxicológica de gobernadores y alcaldes distritales y municipales, se modifican la Ley 136 de 1994 y la Ley 2200 de 2022</w:t>
      </w:r>
      <w:r w:rsidRPr="005F0FEA">
        <w:rPr>
          <w:rFonts w:ascii="Arial Narrow" w:eastAsia="Arial Narrow" w:hAnsi="Arial Narrow" w:cs="Arial Narrow"/>
          <w:i/>
          <w:iCs/>
          <w:color w:val="000000"/>
        </w:rPr>
        <w:t>”</w:t>
      </w:r>
    </w:p>
    <w:p w14:paraId="47DB7E06" w14:textId="77777777" w:rsidR="00861FE3" w:rsidRPr="00CF17A9" w:rsidRDefault="001B6D57">
      <w:pPr>
        <w:ind w:right="-136"/>
        <w:jc w:val="both"/>
        <w:rPr>
          <w:rFonts w:ascii="Arial Narrow" w:eastAsia="Arial Narrow" w:hAnsi="Arial Narrow" w:cs="Arial Narrow"/>
        </w:rPr>
      </w:pPr>
      <w:r w:rsidRPr="00CF17A9">
        <w:rPr>
          <w:rFonts w:ascii="Arial Narrow" w:eastAsia="Arial Narrow" w:hAnsi="Arial Narrow" w:cs="Arial Narrow"/>
        </w:rPr>
        <w:t>El informe de ponencia se desarrollará de la siguiente manera:</w:t>
      </w:r>
    </w:p>
    <w:p w14:paraId="4A7E95D4" w14:textId="77777777" w:rsidR="00861FE3" w:rsidRPr="00CF17A9" w:rsidRDefault="001B6D57">
      <w:pPr>
        <w:numPr>
          <w:ilvl w:val="0"/>
          <w:numId w:val="6"/>
        </w:numPr>
        <w:spacing w:after="0" w:line="276" w:lineRule="auto"/>
        <w:ind w:right="-136"/>
        <w:jc w:val="both"/>
        <w:rPr>
          <w:rFonts w:ascii="Arial Narrow" w:eastAsia="Arial Narrow" w:hAnsi="Arial Narrow" w:cs="Arial Narrow"/>
        </w:rPr>
      </w:pPr>
      <w:r w:rsidRPr="00CF17A9">
        <w:rPr>
          <w:rFonts w:ascii="Arial Narrow" w:eastAsia="Arial Narrow" w:hAnsi="Arial Narrow" w:cs="Arial Narrow"/>
        </w:rPr>
        <w:t>Antecedentes del trámite legislativo</w:t>
      </w:r>
    </w:p>
    <w:p w14:paraId="7546C433" w14:textId="08B17146" w:rsidR="00861FE3" w:rsidRPr="00CF17A9" w:rsidRDefault="001B6D57">
      <w:pPr>
        <w:numPr>
          <w:ilvl w:val="0"/>
          <w:numId w:val="6"/>
        </w:numPr>
        <w:spacing w:after="0" w:line="276" w:lineRule="auto"/>
        <w:ind w:right="-136"/>
        <w:jc w:val="both"/>
        <w:rPr>
          <w:rFonts w:ascii="Arial Narrow" w:eastAsia="Arial Narrow" w:hAnsi="Arial Narrow" w:cs="Arial Narrow"/>
        </w:rPr>
      </w:pPr>
      <w:r w:rsidRPr="00CF17A9">
        <w:rPr>
          <w:rFonts w:ascii="Arial Narrow" w:eastAsia="Arial Narrow" w:hAnsi="Arial Narrow" w:cs="Arial Narrow"/>
        </w:rPr>
        <w:t>Objeto</w:t>
      </w:r>
    </w:p>
    <w:p w14:paraId="36E1BEBB" w14:textId="7BE454E2" w:rsidR="00861FE3" w:rsidRPr="00CF17A9" w:rsidRDefault="001B6D57">
      <w:pPr>
        <w:numPr>
          <w:ilvl w:val="0"/>
          <w:numId w:val="6"/>
        </w:numPr>
        <w:spacing w:after="0" w:line="276" w:lineRule="auto"/>
        <w:ind w:right="-136"/>
        <w:jc w:val="both"/>
        <w:rPr>
          <w:rFonts w:ascii="Arial Narrow" w:eastAsia="Arial Narrow" w:hAnsi="Arial Narrow" w:cs="Arial Narrow"/>
        </w:rPr>
      </w:pPr>
      <w:r w:rsidRPr="00CF17A9">
        <w:rPr>
          <w:rFonts w:ascii="Arial Narrow" w:eastAsia="Arial Narrow" w:hAnsi="Arial Narrow" w:cs="Arial Narrow"/>
        </w:rPr>
        <w:t>Contenido del proyecto</w:t>
      </w:r>
    </w:p>
    <w:p w14:paraId="0D5EDC7C" w14:textId="3AA3B6BA" w:rsidR="00861FE3" w:rsidRPr="00CF17A9" w:rsidRDefault="008172E0">
      <w:pPr>
        <w:numPr>
          <w:ilvl w:val="0"/>
          <w:numId w:val="6"/>
        </w:numPr>
        <w:spacing w:after="0" w:line="276" w:lineRule="auto"/>
        <w:ind w:right="-136"/>
        <w:jc w:val="both"/>
        <w:rPr>
          <w:rFonts w:ascii="Arial Narrow" w:eastAsia="Arial Narrow" w:hAnsi="Arial Narrow" w:cs="Arial Narrow"/>
        </w:rPr>
      </w:pPr>
      <w:r>
        <w:rPr>
          <w:rFonts w:ascii="Arial Narrow" w:eastAsia="Arial Narrow" w:hAnsi="Arial Narrow" w:cs="Arial Narrow"/>
        </w:rPr>
        <w:t>Justificación del Proyecto de Ley</w:t>
      </w:r>
    </w:p>
    <w:p w14:paraId="0B3D3EA4" w14:textId="39296A6C" w:rsidR="00861FE3" w:rsidRDefault="008172E0">
      <w:pPr>
        <w:numPr>
          <w:ilvl w:val="0"/>
          <w:numId w:val="6"/>
        </w:numPr>
        <w:spacing w:after="0" w:line="276" w:lineRule="auto"/>
        <w:ind w:right="-136"/>
        <w:jc w:val="both"/>
        <w:rPr>
          <w:rFonts w:ascii="Arial Narrow" w:eastAsia="Arial Narrow" w:hAnsi="Arial Narrow" w:cs="Arial Narrow"/>
        </w:rPr>
      </w:pPr>
      <w:r>
        <w:rPr>
          <w:rFonts w:ascii="Arial Narrow" w:eastAsia="Arial Narrow" w:hAnsi="Arial Narrow" w:cs="Arial Narrow"/>
        </w:rPr>
        <w:t xml:space="preserve">Marco jurídico. </w:t>
      </w:r>
    </w:p>
    <w:p w14:paraId="04E47FFD" w14:textId="312FA051" w:rsidR="008172E0" w:rsidRPr="00970D85" w:rsidRDefault="008172E0">
      <w:pPr>
        <w:numPr>
          <w:ilvl w:val="0"/>
          <w:numId w:val="6"/>
        </w:numPr>
        <w:spacing w:after="0" w:line="276" w:lineRule="auto"/>
        <w:ind w:right="-136"/>
        <w:jc w:val="both"/>
        <w:rPr>
          <w:rFonts w:ascii="Arial Narrow" w:eastAsia="Arial Narrow" w:hAnsi="Arial Narrow" w:cs="Arial Narrow"/>
        </w:rPr>
      </w:pPr>
      <w:r w:rsidRPr="00970D85">
        <w:rPr>
          <w:rFonts w:ascii="Arial Narrow" w:eastAsia="Arial Narrow" w:hAnsi="Arial Narrow" w:cs="Arial Narrow"/>
        </w:rPr>
        <w:t>Antecedentes legislativos</w:t>
      </w:r>
    </w:p>
    <w:p w14:paraId="4798D8E4" w14:textId="58244032" w:rsidR="00861FE3" w:rsidRPr="00970D85" w:rsidRDefault="001B6D57">
      <w:pPr>
        <w:numPr>
          <w:ilvl w:val="0"/>
          <w:numId w:val="6"/>
        </w:numPr>
        <w:spacing w:after="0" w:line="276" w:lineRule="auto"/>
        <w:ind w:right="-136"/>
        <w:jc w:val="both"/>
        <w:rPr>
          <w:rFonts w:ascii="Arial Narrow" w:eastAsia="Arial Narrow" w:hAnsi="Arial Narrow" w:cs="Arial Narrow"/>
        </w:rPr>
      </w:pPr>
      <w:r w:rsidRPr="00970D85">
        <w:rPr>
          <w:rFonts w:ascii="Arial Narrow" w:eastAsia="Arial Narrow" w:hAnsi="Arial Narrow" w:cs="Arial Narrow"/>
        </w:rPr>
        <w:t>Considerac</w:t>
      </w:r>
      <w:r w:rsidR="005F0FEA" w:rsidRPr="00970D85">
        <w:rPr>
          <w:rFonts w:ascii="Arial Narrow" w:eastAsia="Arial Narrow" w:hAnsi="Arial Narrow" w:cs="Arial Narrow"/>
        </w:rPr>
        <w:t>ión</w:t>
      </w:r>
      <w:r w:rsidRPr="00970D85">
        <w:rPr>
          <w:rFonts w:ascii="Arial Narrow" w:eastAsia="Arial Narrow" w:hAnsi="Arial Narrow" w:cs="Arial Narrow"/>
        </w:rPr>
        <w:t xml:space="preserve"> de</w:t>
      </w:r>
      <w:r w:rsidR="005F0FEA" w:rsidRPr="00970D85">
        <w:rPr>
          <w:rFonts w:ascii="Arial Narrow" w:eastAsia="Arial Narrow" w:hAnsi="Arial Narrow" w:cs="Arial Narrow"/>
        </w:rPr>
        <w:t xml:space="preserve">l </w:t>
      </w:r>
      <w:r w:rsidRPr="00970D85">
        <w:rPr>
          <w:rFonts w:ascii="Arial Narrow" w:eastAsia="Arial Narrow" w:hAnsi="Arial Narrow" w:cs="Arial Narrow"/>
        </w:rPr>
        <w:t>ponente</w:t>
      </w:r>
    </w:p>
    <w:p w14:paraId="0322D8A8" w14:textId="2D58861A" w:rsidR="005B46B1" w:rsidRPr="00CF17A9" w:rsidRDefault="005B46B1">
      <w:pPr>
        <w:numPr>
          <w:ilvl w:val="0"/>
          <w:numId w:val="6"/>
        </w:numPr>
        <w:spacing w:after="0" w:line="276" w:lineRule="auto"/>
        <w:ind w:right="-136"/>
        <w:jc w:val="both"/>
        <w:rPr>
          <w:rFonts w:ascii="Arial Narrow" w:eastAsia="Arial Narrow" w:hAnsi="Arial Narrow" w:cs="Arial Narrow"/>
        </w:rPr>
      </w:pPr>
      <w:r w:rsidRPr="00CF17A9">
        <w:rPr>
          <w:rFonts w:ascii="Arial Narrow" w:eastAsia="Arial Narrow" w:hAnsi="Arial Narrow" w:cs="Arial Narrow"/>
        </w:rPr>
        <w:t>Impacto Fiscal</w:t>
      </w:r>
    </w:p>
    <w:p w14:paraId="478A8954" w14:textId="381D4DF7" w:rsidR="007169B7" w:rsidRPr="00CF17A9" w:rsidRDefault="007169B7" w:rsidP="007169B7">
      <w:pPr>
        <w:numPr>
          <w:ilvl w:val="0"/>
          <w:numId w:val="6"/>
        </w:numPr>
        <w:spacing w:after="0" w:line="276" w:lineRule="auto"/>
        <w:ind w:right="-136"/>
        <w:jc w:val="both"/>
        <w:rPr>
          <w:rFonts w:ascii="Arial Narrow" w:eastAsia="Arial Narrow" w:hAnsi="Arial Narrow" w:cs="Arial Narrow"/>
        </w:rPr>
      </w:pPr>
      <w:r w:rsidRPr="00CF17A9">
        <w:rPr>
          <w:rFonts w:ascii="Arial Narrow" w:eastAsia="Arial Narrow" w:hAnsi="Arial Narrow" w:cs="Arial Narrow"/>
        </w:rPr>
        <w:t>Conflicto de intereses</w:t>
      </w:r>
    </w:p>
    <w:p w14:paraId="4DC58F53" w14:textId="5744D140" w:rsidR="00861FE3" w:rsidRPr="00CF17A9" w:rsidRDefault="001B6D57">
      <w:pPr>
        <w:numPr>
          <w:ilvl w:val="0"/>
          <w:numId w:val="6"/>
        </w:numPr>
        <w:spacing w:after="0" w:line="276" w:lineRule="auto"/>
        <w:ind w:right="-136"/>
        <w:jc w:val="both"/>
        <w:rPr>
          <w:rFonts w:ascii="Arial Narrow" w:eastAsia="Arial Narrow" w:hAnsi="Arial Narrow" w:cs="Arial Narrow"/>
        </w:rPr>
      </w:pPr>
      <w:r w:rsidRPr="00CF17A9">
        <w:rPr>
          <w:rFonts w:ascii="Arial Narrow" w:eastAsia="Arial Narrow" w:hAnsi="Arial Narrow" w:cs="Arial Narrow"/>
        </w:rPr>
        <w:t>Pliego de modificaciones</w:t>
      </w:r>
    </w:p>
    <w:p w14:paraId="4FFFACE9" w14:textId="77777777" w:rsidR="00861FE3" w:rsidRPr="00CF17A9" w:rsidRDefault="001B6D57">
      <w:pPr>
        <w:numPr>
          <w:ilvl w:val="0"/>
          <w:numId w:val="6"/>
        </w:numPr>
        <w:spacing w:after="0" w:line="276" w:lineRule="auto"/>
        <w:ind w:right="-136"/>
        <w:jc w:val="both"/>
        <w:rPr>
          <w:rFonts w:ascii="Arial Narrow" w:eastAsia="Arial Narrow" w:hAnsi="Arial Narrow" w:cs="Arial Narrow"/>
        </w:rPr>
      </w:pPr>
      <w:r w:rsidRPr="00CF17A9">
        <w:rPr>
          <w:rFonts w:ascii="Arial Narrow" w:eastAsia="Arial Narrow" w:hAnsi="Arial Narrow" w:cs="Arial Narrow"/>
        </w:rPr>
        <w:t>Proposición a la Comisión Primera de la Honorable Cámara de Representantes.</w:t>
      </w:r>
    </w:p>
    <w:p w14:paraId="1E99456E" w14:textId="061C59E6" w:rsidR="00861FE3" w:rsidRPr="00CF17A9" w:rsidRDefault="001B6D57">
      <w:pPr>
        <w:numPr>
          <w:ilvl w:val="0"/>
          <w:numId w:val="6"/>
        </w:numPr>
        <w:spacing w:after="0" w:line="276" w:lineRule="auto"/>
        <w:ind w:right="-136"/>
        <w:jc w:val="both"/>
        <w:rPr>
          <w:rFonts w:ascii="Arial Narrow" w:eastAsia="Arial Narrow" w:hAnsi="Arial Narrow" w:cs="Arial Narrow"/>
        </w:rPr>
      </w:pPr>
      <w:r w:rsidRPr="00CF17A9">
        <w:rPr>
          <w:rFonts w:ascii="Arial Narrow" w:eastAsia="Arial Narrow" w:hAnsi="Arial Narrow" w:cs="Arial Narrow"/>
        </w:rPr>
        <w:t>Texto propuesto para Primer Debate</w:t>
      </w:r>
    </w:p>
    <w:p w14:paraId="79095E2E" w14:textId="77777777" w:rsidR="00861FE3" w:rsidRPr="00CF17A9" w:rsidRDefault="00861FE3">
      <w:pPr>
        <w:spacing w:line="240" w:lineRule="auto"/>
        <w:ind w:left="720"/>
        <w:jc w:val="both"/>
        <w:rPr>
          <w:rFonts w:ascii="Arial Narrow" w:eastAsia="Arial Narrow" w:hAnsi="Arial Narrow" w:cs="Arial Narrow"/>
        </w:rPr>
      </w:pPr>
    </w:p>
    <w:p w14:paraId="776F0704" w14:textId="2DE5F3CA" w:rsidR="00861FE3" w:rsidRPr="00621D5F" w:rsidRDefault="001B6D57" w:rsidP="00621D5F">
      <w:pPr>
        <w:pStyle w:val="Prrafodelista"/>
        <w:numPr>
          <w:ilvl w:val="3"/>
          <w:numId w:val="6"/>
        </w:numPr>
        <w:spacing w:after="0" w:line="240" w:lineRule="auto"/>
        <w:jc w:val="both"/>
        <w:rPr>
          <w:rFonts w:ascii="Arial Narrow" w:eastAsia="Arial Narrow" w:hAnsi="Arial Narrow" w:cs="Arial Narrow"/>
          <w:b/>
          <w:bCs/>
        </w:rPr>
      </w:pPr>
      <w:r w:rsidRPr="00621D5F">
        <w:rPr>
          <w:rFonts w:ascii="Arial Narrow" w:eastAsia="Arial Narrow" w:hAnsi="Arial Narrow" w:cs="Arial Narrow"/>
          <w:b/>
          <w:bCs/>
        </w:rPr>
        <w:t>ANTECEDENTES DEL TRÁMITE LEGISLATIVOS</w:t>
      </w:r>
    </w:p>
    <w:p w14:paraId="796D0B7A" w14:textId="77777777" w:rsidR="00861FE3" w:rsidRPr="00CF17A9" w:rsidRDefault="00861FE3">
      <w:pPr>
        <w:rPr>
          <w:rFonts w:ascii="Arial Narrow" w:eastAsia="Arial Narrow" w:hAnsi="Arial Narrow" w:cs="Arial Narrow"/>
        </w:rPr>
      </w:pPr>
    </w:p>
    <w:p w14:paraId="675E3E3B" w14:textId="6C62A954" w:rsidR="00861FE3" w:rsidRPr="00CF17A9" w:rsidRDefault="001B6D57">
      <w:pPr>
        <w:widowControl w:val="0"/>
        <w:spacing w:after="200"/>
        <w:ind w:right="-136"/>
        <w:jc w:val="both"/>
        <w:rPr>
          <w:rFonts w:ascii="Arial Narrow" w:eastAsia="Arial Narrow" w:hAnsi="Arial Narrow" w:cs="Arial Narrow"/>
        </w:rPr>
      </w:pPr>
      <w:r w:rsidRPr="00CF17A9">
        <w:rPr>
          <w:rFonts w:ascii="Arial Narrow" w:eastAsia="Arial Narrow" w:hAnsi="Arial Narrow" w:cs="Arial Narrow"/>
        </w:rPr>
        <w:t xml:space="preserve">La presente iniciativa fue radicada el </w:t>
      </w:r>
      <w:r w:rsidR="00D44A7E">
        <w:rPr>
          <w:rFonts w:ascii="Arial Narrow" w:eastAsia="Arial Narrow" w:hAnsi="Arial Narrow" w:cs="Arial Narrow"/>
        </w:rPr>
        <w:t>12</w:t>
      </w:r>
      <w:r w:rsidRPr="00CF17A9">
        <w:rPr>
          <w:rFonts w:ascii="Arial Narrow" w:eastAsia="Arial Narrow" w:hAnsi="Arial Narrow" w:cs="Arial Narrow"/>
        </w:rPr>
        <w:t xml:space="preserve"> de </w:t>
      </w:r>
      <w:r w:rsidR="00D44A7E">
        <w:rPr>
          <w:rFonts w:ascii="Arial Narrow" w:eastAsia="Arial Narrow" w:hAnsi="Arial Narrow" w:cs="Arial Narrow"/>
        </w:rPr>
        <w:t>agosto</w:t>
      </w:r>
      <w:r w:rsidRPr="00CF17A9">
        <w:rPr>
          <w:rFonts w:ascii="Arial Narrow" w:eastAsia="Arial Narrow" w:hAnsi="Arial Narrow" w:cs="Arial Narrow"/>
        </w:rPr>
        <w:t xml:space="preserve"> de 2026 en la Secretaría General de la Cámara de Representantes por </w:t>
      </w:r>
      <w:r w:rsidR="00D44A7E">
        <w:rPr>
          <w:rFonts w:ascii="Arial Narrow" w:eastAsia="Arial Narrow" w:hAnsi="Arial Narrow" w:cs="Arial Narrow"/>
        </w:rPr>
        <w:t>los</w:t>
      </w:r>
      <w:r w:rsidRPr="00CF17A9">
        <w:rPr>
          <w:rFonts w:ascii="Arial Narrow" w:eastAsia="Arial Narrow" w:hAnsi="Arial Narrow" w:cs="Arial Narrow"/>
        </w:rPr>
        <w:t xml:space="preserve"> Honorable Representante </w:t>
      </w:r>
      <w:r w:rsidR="00836640" w:rsidRPr="00836640">
        <w:rPr>
          <w:rFonts w:ascii="Arial Narrow" w:eastAsia="Arial Narrow" w:hAnsi="Arial Narrow" w:cs="Arial Narrow"/>
        </w:rPr>
        <w:t xml:space="preserve">Juan David Zuluaga </w:t>
      </w:r>
      <w:proofErr w:type="spellStart"/>
      <w:r w:rsidR="00836640" w:rsidRPr="00836640">
        <w:rPr>
          <w:rFonts w:ascii="Arial Narrow" w:eastAsia="Arial Narrow" w:hAnsi="Arial Narrow" w:cs="Arial Narrow"/>
        </w:rPr>
        <w:t>Zuluaga</w:t>
      </w:r>
      <w:proofErr w:type="spellEnd"/>
      <w:r w:rsidR="00836640" w:rsidRPr="00836640">
        <w:rPr>
          <w:rFonts w:ascii="Arial Narrow" w:eastAsia="Arial Narrow" w:hAnsi="Arial Narrow" w:cs="Arial Narrow"/>
        </w:rPr>
        <w:t xml:space="preserve">, Melissa Orrego </w:t>
      </w:r>
      <w:proofErr w:type="spellStart"/>
      <w:r w:rsidR="00836640" w:rsidRPr="00836640">
        <w:rPr>
          <w:rFonts w:ascii="Arial Narrow" w:eastAsia="Arial Narrow" w:hAnsi="Arial Narrow" w:cs="Arial Narrow"/>
        </w:rPr>
        <w:t>Eusse</w:t>
      </w:r>
      <w:proofErr w:type="spellEnd"/>
      <w:r w:rsidR="00D44A7E">
        <w:rPr>
          <w:rFonts w:ascii="Arial Narrow" w:eastAsia="Arial Narrow" w:hAnsi="Arial Narrow" w:cs="Arial Narrow"/>
        </w:rPr>
        <w:t xml:space="preserve">, </w:t>
      </w:r>
      <w:r w:rsidRPr="00CF17A9">
        <w:rPr>
          <w:rFonts w:ascii="Arial Narrow" w:eastAsia="Arial Narrow" w:hAnsi="Arial Narrow" w:cs="Arial Narrow"/>
        </w:rPr>
        <w:t xml:space="preserve">publicado en la gaceta del Congreso número </w:t>
      </w:r>
      <w:r w:rsidR="005F0FEA">
        <w:rPr>
          <w:rFonts w:ascii="Arial Narrow" w:eastAsia="Arial Narrow" w:hAnsi="Arial Narrow" w:cs="Arial Narrow"/>
        </w:rPr>
        <w:t>1</w:t>
      </w:r>
      <w:r w:rsidR="00D44A7E">
        <w:rPr>
          <w:rFonts w:ascii="Arial Narrow" w:eastAsia="Arial Narrow" w:hAnsi="Arial Narrow" w:cs="Arial Narrow"/>
        </w:rPr>
        <w:t>12</w:t>
      </w:r>
      <w:r w:rsidR="00836640">
        <w:rPr>
          <w:rFonts w:ascii="Arial Narrow" w:eastAsia="Arial Narrow" w:hAnsi="Arial Narrow" w:cs="Arial Narrow"/>
        </w:rPr>
        <w:t>1</w:t>
      </w:r>
      <w:r w:rsidRPr="00CF17A9">
        <w:rPr>
          <w:rFonts w:ascii="Arial Narrow" w:eastAsia="Arial Narrow" w:hAnsi="Arial Narrow" w:cs="Arial Narrow"/>
        </w:rPr>
        <w:t xml:space="preserve"> de</w:t>
      </w:r>
      <w:r w:rsidR="005F0FEA">
        <w:rPr>
          <w:rFonts w:ascii="Arial Narrow" w:eastAsia="Arial Narrow" w:hAnsi="Arial Narrow" w:cs="Arial Narrow"/>
        </w:rPr>
        <w:t>l</w:t>
      </w:r>
      <w:r w:rsidRPr="00CF17A9">
        <w:rPr>
          <w:rFonts w:ascii="Arial Narrow" w:eastAsia="Arial Narrow" w:hAnsi="Arial Narrow" w:cs="Arial Narrow"/>
        </w:rPr>
        <w:t xml:space="preserve"> 2026.</w:t>
      </w:r>
    </w:p>
    <w:p w14:paraId="61057DDE" w14:textId="46107DBB" w:rsidR="00621D5F" w:rsidRDefault="001B6D57">
      <w:pPr>
        <w:widowControl w:val="0"/>
        <w:spacing w:after="200"/>
        <w:ind w:right="-136"/>
        <w:jc w:val="both"/>
        <w:rPr>
          <w:rFonts w:ascii="Arial Narrow" w:eastAsia="Arial Narrow" w:hAnsi="Arial Narrow" w:cs="Arial Narrow"/>
        </w:rPr>
      </w:pPr>
      <w:r w:rsidRPr="00CF17A9">
        <w:rPr>
          <w:rFonts w:ascii="Arial Narrow" w:eastAsia="Arial Narrow" w:hAnsi="Arial Narrow" w:cs="Arial Narrow"/>
        </w:rPr>
        <w:t xml:space="preserve">El </w:t>
      </w:r>
      <w:r w:rsidR="00D44A7E">
        <w:rPr>
          <w:rFonts w:ascii="Arial Narrow" w:eastAsia="Arial Narrow" w:hAnsi="Arial Narrow" w:cs="Arial Narrow"/>
        </w:rPr>
        <w:t>25</w:t>
      </w:r>
      <w:r w:rsidR="005F0FEA">
        <w:rPr>
          <w:rFonts w:ascii="Arial Narrow" w:eastAsia="Arial Narrow" w:hAnsi="Arial Narrow" w:cs="Arial Narrow"/>
        </w:rPr>
        <w:t xml:space="preserve"> </w:t>
      </w:r>
      <w:r w:rsidRPr="00CF17A9">
        <w:rPr>
          <w:rFonts w:ascii="Arial Narrow" w:eastAsia="Arial Narrow" w:hAnsi="Arial Narrow" w:cs="Arial Narrow"/>
        </w:rPr>
        <w:t xml:space="preserve">de </w:t>
      </w:r>
      <w:r w:rsidR="005F0FEA">
        <w:rPr>
          <w:rFonts w:ascii="Arial Narrow" w:eastAsia="Arial Narrow" w:hAnsi="Arial Narrow" w:cs="Arial Narrow"/>
        </w:rPr>
        <w:t>septiembre</w:t>
      </w:r>
      <w:r w:rsidRPr="00CF17A9">
        <w:rPr>
          <w:rFonts w:ascii="Arial Narrow" w:eastAsia="Arial Narrow" w:hAnsi="Arial Narrow" w:cs="Arial Narrow"/>
        </w:rPr>
        <w:t xml:space="preserve"> de 2026 la mesa directiva de la Comisión Primera Constitucional Permanente mediante oficio </w:t>
      </w:r>
      <w:r w:rsidR="00BE0B6B" w:rsidRPr="00CF17A9">
        <w:rPr>
          <w:rFonts w:ascii="Arial Narrow" w:eastAsia="Arial Narrow" w:hAnsi="Arial Narrow" w:cs="Arial Narrow"/>
        </w:rPr>
        <w:t>C.P.</w:t>
      </w:r>
      <w:r w:rsidR="005F0FEA">
        <w:rPr>
          <w:rFonts w:ascii="Arial Narrow" w:eastAsia="Arial Narrow" w:hAnsi="Arial Narrow" w:cs="Arial Narrow"/>
        </w:rPr>
        <w:t>C.</w:t>
      </w:r>
      <w:r w:rsidR="00BE0B6B" w:rsidRPr="00CF17A9">
        <w:rPr>
          <w:rFonts w:ascii="Arial Narrow" w:eastAsia="Arial Narrow" w:hAnsi="Arial Narrow" w:cs="Arial Narrow"/>
        </w:rPr>
        <w:t>P 3.1 - 0</w:t>
      </w:r>
      <w:r w:rsidR="00D44A7E">
        <w:rPr>
          <w:rFonts w:ascii="Arial Narrow" w:eastAsia="Arial Narrow" w:hAnsi="Arial Narrow" w:cs="Arial Narrow"/>
        </w:rPr>
        <w:t>30</w:t>
      </w:r>
      <w:r w:rsidR="00836640">
        <w:rPr>
          <w:rFonts w:ascii="Arial Narrow" w:eastAsia="Arial Narrow" w:hAnsi="Arial Narrow" w:cs="Arial Narrow"/>
        </w:rPr>
        <w:t>2</w:t>
      </w:r>
      <w:r w:rsidR="00BE0B6B" w:rsidRPr="00CF17A9">
        <w:rPr>
          <w:rFonts w:ascii="Arial Narrow" w:eastAsia="Arial Narrow" w:hAnsi="Arial Narrow" w:cs="Arial Narrow"/>
        </w:rPr>
        <w:t xml:space="preserve"> - 2026</w:t>
      </w:r>
      <w:r w:rsidRPr="00CF17A9">
        <w:rPr>
          <w:rFonts w:ascii="Arial Narrow" w:eastAsia="Arial Narrow" w:hAnsi="Arial Narrow" w:cs="Arial Narrow"/>
        </w:rPr>
        <w:t xml:space="preserve"> designó como coordinador ponente al Honorable Representante Jaime</w:t>
      </w:r>
      <w:r w:rsidR="00BE0B6B" w:rsidRPr="00CF17A9">
        <w:rPr>
          <w:rFonts w:ascii="Arial Narrow" w:eastAsia="Arial Narrow" w:hAnsi="Arial Narrow" w:cs="Arial Narrow"/>
        </w:rPr>
        <w:t xml:space="preserve"> Ignacio</w:t>
      </w:r>
      <w:r w:rsidRPr="00CF17A9">
        <w:rPr>
          <w:rFonts w:ascii="Arial Narrow" w:eastAsia="Arial Narrow" w:hAnsi="Arial Narrow" w:cs="Arial Narrow"/>
        </w:rPr>
        <w:t xml:space="preserve"> Arizabalet</w:t>
      </w:r>
      <w:r w:rsidR="00BE0B6B" w:rsidRPr="00CF17A9">
        <w:rPr>
          <w:rFonts w:ascii="Arial Narrow" w:eastAsia="Arial Narrow" w:hAnsi="Arial Narrow" w:cs="Arial Narrow"/>
        </w:rPr>
        <w:t xml:space="preserve">a Fajardo. </w:t>
      </w:r>
    </w:p>
    <w:p w14:paraId="2A8A3884" w14:textId="5003B737" w:rsidR="00861FE3" w:rsidRPr="00621D5F" w:rsidRDefault="001B6D57" w:rsidP="00621D5F">
      <w:pPr>
        <w:pStyle w:val="Prrafodelista"/>
        <w:widowControl w:val="0"/>
        <w:numPr>
          <w:ilvl w:val="3"/>
          <w:numId w:val="6"/>
        </w:numPr>
        <w:spacing w:after="200"/>
        <w:ind w:right="-136"/>
        <w:jc w:val="both"/>
        <w:rPr>
          <w:rFonts w:ascii="Arial Narrow" w:eastAsia="Arial Narrow" w:hAnsi="Arial Narrow" w:cs="Arial Narrow"/>
        </w:rPr>
      </w:pPr>
      <w:r w:rsidRPr="00621D5F">
        <w:rPr>
          <w:rFonts w:ascii="Arial Narrow" w:eastAsia="Arial Narrow" w:hAnsi="Arial Narrow" w:cs="Arial Narrow"/>
          <w:b/>
          <w:bCs/>
        </w:rPr>
        <w:t>OBJETO DEL PROYECTO</w:t>
      </w:r>
      <w:r w:rsidRPr="00621D5F">
        <w:rPr>
          <w:rFonts w:ascii="Arial Narrow" w:eastAsia="Arial Narrow" w:hAnsi="Arial Narrow" w:cs="Arial Narrow"/>
        </w:rPr>
        <w:t xml:space="preserve"> </w:t>
      </w:r>
    </w:p>
    <w:p w14:paraId="225CBC1D" w14:textId="77777777" w:rsidR="00D93B07" w:rsidRDefault="00836640">
      <w:pPr>
        <w:jc w:val="both"/>
        <w:rPr>
          <w:rFonts w:ascii="Arial Narrow" w:eastAsia="Arial Narrow" w:hAnsi="Arial Narrow" w:cs="Arial Narrow"/>
          <w:b/>
          <w:bCs/>
          <w:color w:val="FF0000"/>
        </w:rPr>
      </w:pPr>
      <w:r w:rsidRPr="00836640">
        <w:rPr>
          <w:rFonts w:ascii="Arial Narrow" w:eastAsia="Arial Narrow" w:hAnsi="Arial Narrow" w:cs="Arial Narrow"/>
        </w:rPr>
        <w:t>La presente ley establece el procedimiento de verificación médica funcional y toxicológica de los gobernadores y de los alcaldes distritales y municipales, orientado a determinar, de manera excepcional, técnica y garantista, si una condición física, mental, cognitiva, neurológica o derivada del consumo de sustancias psicoactivas afecta gravemente su capacidad para el adecuado ejercicio del cargo. La evaluación toxicológica constituirá un componente integral del procedimiento de verificación médica funcional y sus resultados deberán analizarse conjuntamente con los demás hallazgos clínicos, médicos y funcionales.</w:t>
      </w:r>
      <w:r w:rsidR="001B6D57" w:rsidRPr="00CF17A9">
        <w:rPr>
          <w:rFonts w:ascii="Arial Narrow" w:eastAsia="Arial Narrow" w:hAnsi="Arial Narrow" w:cs="Arial Narrow"/>
          <w:b/>
          <w:bCs/>
          <w:color w:val="FF0000"/>
        </w:rPr>
        <w:t xml:space="preserve">    </w:t>
      </w:r>
    </w:p>
    <w:p w14:paraId="2E0F77D9" w14:textId="77777777" w:rsidR="00D93B07" w:rsidRDefault="00D93B07">
      <w:pPr>
        <w:jc w:val="both"/>
        <w:rPr>
          <w:rFonts w:ascii="Arial Narrow" w:eastAsia="Arial Narrow" w:hAnsi="Arial Narrow" w:cs="Arial Narrow"/>
          <w:b/>
          <w:bCs/>
          <w:color w:val="FF0000"/>
        </w:rPr>
      </w:pPr>
    </w:p>
    <w:p w14:paraId="48E4092F" w14:textId="5AA95ADB" w:rsidR="007976FB" w:rsidRDefault="001B6D57">
      <w:pPr>
        <w:jc w:val="both"/>
        <w:rPr>
          <w:rFonts w:ascii="Arial Narrow" w:eastAsia="Arial Narrow" w:hAnsi="Arial Narrow" w:cs="Arial Narrow"/>
          <w:b/>
          <w:bCs/>
          <w:color w:val="FF0000"/>
        </w:rPr>
      </w:pPr>
      <w:r w:rsidRPr="00CF17A9">
        <w:rPr>
          <w:rFonts w:ascii="Arial Narrow" w:eastAsia="Arial Narrow" w:hAnsi="Arial Narrow" w:cs="Arial Narrow"/>
          <w:b/>
          <w:bCs/>
          <w:color w:val="FF0000"/>
        </w:rPr>
        <w:t xml:space="preserve"> </w:t>
      </w:r>
    </w:p>
    <w:p w14:paraId="791C1415" w14:textId="2D8875DB" w:rsidR="00861FE3" w:rsidRDefault="001B6D57" w:rsidP="00621D5F">
      <w:pPr>
        <w:pStyle w:val="Prrafodelista"/>
        <w:numPr>
          <w:ilvl w:val="3"/>
          <w:numId w:val="6"/>
        </w:numPr>
        <w:jc w:val="both"/>
        <w:rPr>
          <w:rFonts w:ascii="Arial Narrow" w:eastAsia="Arial Narrow" w:hAnsi="Arial Narrow" w:cs="Arial Narrow"/>
          <w:b/>
          <w:bCs/>
        </w:rPr>
      </w:pPr>
      <w:r w:rsidRPr="00621D5F">
        <w:rPr>
          <w:rFonts w:ascii="Arial Narrow" w:eastAsia="Arial Narrow" w:hAnsi="Arial Narrow" w:cs="Arial Narrow"/>
          <w:b/>
          <w:bCs/>
        </w:rPr>
        <w:lastRenderedPageBreak/>
        <w:t>CONTENIDO DEL PROYECTO</w:t>
      </w:r>
    </w:p>
    <w:p w14:paraId="5EB6BE4A" w14:textId="77777777" w:rsidR="00836640" w:rsidRPr="00DC5EA9" w:rsidRDefault="00836640" w:rsidP="00836640">
      <w:pPr>
        <w:jc w:val="both"/>
        <w:rPr>
          <w:rFonts w:ascii="Arial Narrow" w:eastAsia="Arial Narrow" w:hAnsi="Arial Narrow" w:cs="Arial Narrow"/>
        </w:rPr>
      </w:pPr>
      <w:bookmarkStart w:id="2" w:name="_Hlk241588186"/>
      <w:r w:rsidRPr="00836640">
        <w:rPr>
          <w:rFonts w:ascii="Arial Narrow" w:eastAsia="Arial Narrow" w:hAnsi="Arial Narrow" w:cs="Arial Narrow"/>
          <w:b/>
          <w:bCs/>
        </w:rPr>
        <w:t xml:space="preserve">ARTÍCULO 1. Objeto. </w:t>
      </w:r>
      <w:r w:rsidRPr="00DC5EA9">
        <w:rPr>
          <w:rFonts w:ascii="Arial Narrow" w:eastAsia="Arial Narrow" w:hAnsi="Arial Narrow" w:cs="Arial Narrow"/>
        </w:rPr>
        <w:t xml:space="preserve">La presente ley establece el procedimiento de verificación médica funcional y toxicológica de los gobernadores y de los alcaldes distritales y municipales, orientado a determinar, de manera excepcional, técnica y garantista, si una condición física, mental, cognitiva, neurológica o derivada del consumo de sustancias psicoactivas afecta gravemente su capacidad para el adecuado ejercicio del cargo. La evaluación toxicológica constituirá un componente integral del procedimiento de verificación médica funcional y sus resultados deberán analizarse conjuntamente con los demás hallazgos clínicos, médicos y funcionales. </w:t>
      </w:r>
    </w:p>
    <w:p w14:paraId="0D7203E5" w14:textId="77777777" w:rsidR="00836640" w:rsidRDefault="00836640" w:rsidP="00836640">
      <w:pPr>
        <w:jc w:val="both"/>
        <w:rPr>
          <w:rFonts w:ascii="Arial Narrow" w:eastAsia="Arial Narrow" w:hAnsi="Arial Narrow" w:cs="Arial Narrow"/>
          <w:b/>
          <w:bCs/>
        </w:rPr>
      </w:pPr>
      <w:r w:rsidRPr="00836640">
        <w:rPr>
          <w:rFonts w:ascii="Arial Narrow" w:eastAsia="Arial Narrow" w:hAnsi="Arial Narrow" w:cs="Arial Narrow"/>
          <w:b/>
          <w:bCs/>
        </w:rPr>
        <w:t xml:space="preserve">ARTÍCULO 2. Principios. </w:t>
      </w:r>
      <w:r w:rsidRPr="00DC5EA9">
        <w:rPr>
          <w:rFonts w:ascii="Arial Narrow" w:eastAsia="Arial Narrow" w:hAnsi="Arial Narrow" w:cs="Arial Narrow"/>
        </w:rPr>
        <w:t>El procedimiento se rige por los principios de presunción de aptitud, dignidad humana, debido proceso, contradicción, reserva, proporcionalidad, imparcialidad técnica, no discriminación por razón de discapacidad o condición de salud y autonomía territorial.</w:t>
      </w:r>
      <w:r w:rsidRPr="00836640">
        <w:rPr>
          <w:rFonts w:ascii="Arial Narrow" w:eastAsia="Arial Narrow" w:hAnsi="Arial Narrow" w:cs="Arial Narrow"/>
          <w:b/>
          <w:bCs/>
        </w:rPr>
        <w:t xml:space="preserve"> </w:t>
      </w:r>
    </w:p>
    <w:p w14:paraId="6F152F34" w14:textId="77777777" w:rsidR="00836640" w:rsidRPr="00DC5EA9" w:rsidRDefault="00836640" w:rsidP="00836640">
      <w:pPr>
        <w:jc w:val="both"/>
        <w:rPr>
          <w:rFonts w:ascii="Arial Narrow" w:eastAsia="Arial Narrow" w:hAnsi="Arial Narrow" w:cs="Arial Narrow"/>
        </w:rPr>
      </w:pPr>
      <w:r w:rsidRPr="00836640">
        <w:rPr>
          <w:rFonts w:ascii="Arial Narrow" w:eastAsia="Arial Narrow" w:hAnsi="Arial Narrow" w:cs="Arial Narrow"/>
          <w:b/>
          <w:bCs/>
        </w:rPr>
        <w:t xml:space="preserve">ARTÍCULO 3. Apertura del procedimiento. </w:t>
      </w:r>
      <w:r w:rsidRPr="00DC5EA9">
        <w:rPr>
          <w:rFonts w:ascii="Arial Narrow" w:eastAsia="Arial Narrow" w:hAnsi="Arial Narrow" w:cs="Arial Narrow"/>
        </w:rPr>
        <w:t xml:space="preserve">Cuando existan indicios serios y objetivos de una afectación grave de las capacidades físicas, mentales, cognitivas o funcionales de un gobernador o alcalde que comprometan el adecuado ejercicio de sus funciones, podrá disponerse la apertura del procedimiento de verificación médica funcional. </w:t>
      </w:r>
    </w:p>
    <w:p w14:paraId="7082F997" w14:textId="77777777" w:rsidR="00836640" w:rsidRPr="00DC5EA9" w:rsidRDefault="00836640" w:rsidP="00836640">
      <w:pPr>
        <w:jc w:val="both"/>
        <w:rPr>
          <w:rFonts w:ascii="Arial Narrow" w:eastAsia="Arial Narrow" w:hAnsi="Arial Narrow" w:cs="Arial Narrow"/>
        </w:rPr>
      </w:pPr>
      <w:r w:rsidRPr="00DC5EA9">
        <w:rPr>
          <w:rFonts w:ascii="Arial Narrow" w:eastAsia="Arial Narrow" w:hAnsi="Arial Narrow" w:cs="Arial Narrow"/>
        </w:rPr>
        <w:t xml:space="preserve">Para los gobernadores, por la respectiva Asamblea Departamental, mediante solicitud motivada suscrita por al menos la tercera parte de sus integrantes y aprobada por mayoría absoluta. </w:t>
      </w:r>
    </w:p>
    <w:p w14:paraId="0CB71B7C" w14:textId="77777777" w:rsidR="00836640" w:rsidRPr="00DC5EA9" w:rsidRDefault="00836640" w:rsidP="00836640">
      <w:pPr>
        <w:jc w:val="both"/>
        <w:rPr>
          <w:rFonts w:ascii="Arial Narrow" w:eastAsia="Arial Narrow" w:hAnsi="Arial Narrow" w:cs="Arial Narrow"/>
        </w:rPr>
      </w:pPr>
      <w:r w:rsidRPr="00DC5EA9">
        <w:rPr>
          <w:rFonts w:ascii="Arial Narrow" w:eastAsia="Arial Narrow" w:hAnsi="Arial Narrow" w:cs="Arial Narrow"/>
        </w:rPr>
        <w:t xml:space="preserve">Para los alcaldes, por el respectivo Concejo Distrital o Municipal, mediante solicitud motivada suscrita por al menos la tercera parte de sus integrantes y aprobada por mayoría absoluta. </w:t>
      </w:r>
    </w:p>
    <w:p w14:paraId="68EFCC36" w14:textId="77777777" w:rsidR="00836640" w:rsidRPr="00DC5EA9" w:rsidRDefault="00836640" w:rsidP="00836640">
      <w:pPr>
        <w:jc w:val="both"/>
        <w:rPr>
          <w:rFonts w:ascii="Arial Narrow" w:eastAsia="Arial Narrow" w:hAnsi="Arial Narrow" w:cs="Arial Narrow"/>
        </w:rPr>
      </w:pPr>
      <w:r w:rsidRPr="00DC5EA9">
        <w:rPr>
          <w:rFonts w:ascii="Arial Narrow" w:eastAsia="Arial Narrow" w:hAnsi="Arial Narrow" w:cs="Arial Narrow"/>
        </w:rPr>
        <w:t xml:space="preserve">La Procuraduría General de la Nación podrá poner en conocimiento de la respectiva corporación los hechos o elementos objetivos que considere relevantes para la apertura del procedimiento. </w:t>
      </w:r>
    </w:p>
    <w:p w14:paraId="671E208F" w14:textId="527A3445" w:rsidR="00836640" w:rsidRPr="00DC5EA9" w:rsidRDefault="00836640" w:rsidP="00836640">
      <w:pPr>
        <w:jc w:val="both"/>
        <w:rPr>
          <w:rFonts w:ascii="Arial Narrow" w:eastAsia="Arial Narrow" w:hAnsi="Arial Narrow" w:cs="Arial Narrow"/>
        </w:rPr>
      </w:pPr>
      <w:r w:rsidRPr="00DC5EA9">
        <w:rPr>
          <w:rFonts w:ascii="Arial Narrow" w:eastAsia="Arial Narrow" w:hAnsi="Arial Narrow" w:cs="Arial Narrow"/>
        </w:rPr>
        <w:t>La Asamblea Departamental y el Concejo Distrital o Municipal no tendrán competencia para decidir sobre la aptitud, suspensión, incapacidad o retiro del mandatario.</w:t>
      </w:r>
    </w:p>
    <w:p w14:paraId="7FD84F3F" w14:textId="77777777" w:rsidR="00DC5EA9" w:rsidRDefault="00836640" w:rsidP="00836640">
      <w:pPr>
        <w:jc w:val="both"/>
        <w:rPr>
          <w:rFonts w:ascii="Arial Narrow" w:eastAsia="Arial Narrow" w:hAnsi="Arial Narrow" w:cs="Arial Narrow"/>
        </w:rPr>
      </w:pPr>
      <w:r w:rsidRPr="00836640">
        <w:rPr>
          <w:rFonts w:ascii="Arial Narrow" w:eastAsia="Arial Narrow" w:hAnsi="Arial Narrow" w:cs="Arial Narrow"/>
          <w:b/>
          <w:bCs/>
        </w:rPr>
        <w:t xml:space="preserve">ARTÍCULO 4. Comisión Médica. </w:t>
      </w:r>
      <w:r w:rsidRPr="00DC5EA9">
        <w:rPr>
          <w:rFonts w:ascii="Arial Narrow" w:eastAsia="Arial Narrow" w:hAnsi="Arial Narrow" w:cs="Arial Narrow"/>
        </w:rPr>
        <w:t xml:space="preserve">Abierto el procedimiento, el Ministerio de Salud y Protección Social conformará, dentro de los cinco (5) días siguientes, una Comisión Médica integrada por tres (3) profesionales de la salud, especialistas en medicina interna o salud mental, designados de la siguiente manera: uno por la Academia Nacional de Medicina, uno por la Federación Médica Colombiana y uno por el Tribunal Nacional de Ética Médica. </w:t>
      </w:r>
    </w:p>
    <w:p w14:paraId="476403BD" w14:textId="47A0D355" w:rsidR="00DC5EA9" w:rsidRPr="00DC5EA9" w:rsidRDefault="00836640" w:rsidP="00836640">
      <w:pPr>
        <w:jc w:val="both"/>
        <w:rPr>
          <w:rFonts w:ascii="Arial Narrow" w:eastAsia="Arial Narrow" w:hAnsi="Arial Narrow" w:cs="Arial Narrow"/>
        </w:rPr>
      </w:pPr>
      <w:r w:rsidRPr="00DC5EA9">
        <w:rPr>
          <w:rFonts w:ascii="Arial Narrow" w:eastAsia="Arial Narrow" w:hAnsi="Arial Narrow" w:cs="Arial Narrow"/>
        </w:rPr>
        <w:t xml:space="preserve">La Comisión podrá solicitar, de manera motivada, la incorporación temporal de un especialista adicional cuando la naturaleza del caso lo exija. </w:t>
      </w:r>
    </w:p>
    <w:p w14:paraId="4CD2A4C2" w14:textId="77777777" w:rsidR="00DC5EA9" w:rsidRPr="00DC5EA9" w:rsidRDefault="00836640" w:rsidP="00836640">
      <w:pPr>
        <w:jc w:val="both"/>
        <w:rPr>
          <w:rFonts w:ascii="Arial Narrow" w:eastAsia="Arial Narrow" w:hAnsi="Arial Narrow" w:cs="Arial Narrow"/>
        </w:rPr>
      </w:pPr>
      <w:r w:rsidRPr="00836640">
        <w:rPr>
          <w:rFonts w:ascii="Arial Narrow" w:eastAsia="Arial Narrow" w:hAnsi="Arial Narrow" w:cs="Arial Narrow"/>
          <w:b/>
          <w:bCs/>
        </w:rPr>
        <w:t xml:space="preserve">ARTÍCULO 5. Evaluación médica funcional y examen toxicológico. </w:t>
      </w:r>
      <w:r w:rsidRPr="00DC5EA9">
        <w:rPr>
          <w:rFonts w:ascii="Arial Narrow" w:eastAsia="Arial Narrow" w:hAnsi="Arial Narrow" w:cs="Arial Narrow"/>
        </w:rPr>
        <w:t xml:space="preserve">La Comisión Médica practicará una evaluación integral de las condiciones físicas, mentales, cognitivas, neurológicas y funcionales del gobernador o alcalde, mediante los exámenes clínicos, médicos, neurológicos, psiquiátricos, toxicológicos y de laboratorio que resulten pertinentes, de conformidad con protocolos técnicos y científicos reconocidos. </w:t>
      </w:r>
    </w:p>
    <w:p w14:paraId="62B89642" w14:textId="77777777" w:rsidR="00DC5EA9" w:rsidRPr="00DC5EA9" w:rsidRDefault="00836640" w:rsidP="00836640">
      <w:pPr>
        <w:jc w:val="both"/>
        <w:rPr>
          <w:rFonts w:ascii="Arial Narrow" w:eastAsia="Arial Narrow" w:hAnsi="Arial Narrow" w:cs="Arial Narrow"/>
        </w:rPr>
      </w:pPr>
      <w:r w:rsidRPr="00DC5EA9">
        <w:rPr>
          <w:rFonts w:ascii="Arial Narrow" w:eastAsia="Arial Narrow" w:hAnsi="Arial Narrow" w:cs="Arial Narrow"/>
        </w:rPr>
        <w:t xml:space="preserve">El examen toxicológico será un componente obligatorio e integral del procedimiento. </w:t>
      </w:r>
    </w:p>
    <w:p w14:paraId="1119B5C0" w14:textId="77777777" w:rsidR="00DC5EA9" w:rsidRDefault="00836640" w:rsidP="00DC5EA9">
      <w:pPr>
        <w:ind w:left="720"/>
        <w:jc w:val="both"/>
        <w:rPr>
          <w:rFonts w:ascii="Arial Narrow" w:eastAsia="Arial Narrow" w:hAnsi="Arial Narrow" w:cs="Arial Narrow"/>
        </w:rPr>
      </w:pPr>
      <w:r w:rsidRPr="00836640">
        <w:rPr>
          <w:rFonts w:ascii="Arial Narrow" w:eastAsia="Arial Narrow" w:hAnsi="Arial Narrow" w:cs="Arial Narrow"/>
          <w:b/>
          <w:bCs/>
        </w:rPr>
        <w:lastRenderedPageBreak/>
        <w:t xml:space="preserve">Parágrafo 1°. </w:t>
      </w:r>
      <w:r w:rsidRPr="00DC5EA9">
        <w:rPr>
          <w:rFonts w:ascii="Arial Narrow" w:eastAsia="Arial Narrow" w:hAnsi="Arial Narrow" w:cs="Arial Narrow"/>
        </w:rPr>
        <w:t xml:space="preserve">El examen toxicológico tendrá como finalidad determinar la eventual presencia de sustancias psicoactivas y establecer si existe relación entre su consumo y una afectación actual de las capacidades necesarias para el adecuado ejercicio del cargo. </w:t>
      </w:r>
    </w:p>
    <w:p w14:paraId="0BA6335C" w14:textId="2F2A9EC5" w:rsidR="00DC5EA9" w:rsidRPr="00DC5EA9" w:rsidRDefault="00836640" w:rsidP="00DC5EA9">
      <w:pPr>
        <w:ind w:left="720"/>
        <w:jc w:val="both"/>
        <w:rPr>
          <w:rFonts w:ascii="Arial Narrow" w:eastAsia="Arial Narrow" w:hAnsi="Arial Narrow" w:cs="Arial Narrow"/>
        </w:rPr>
      </w:pPr>
      <w:r w:rsidRPr="00DC5EA9">
        <w:rPr>
          <w:rFonts w:ascii="Arial Narrow" w:eastAsia="Arial Narrow" w:hAnsi="Arial Narrow" w:cs="Arial Narrow"/>
        </w:rPr>
        <w:t>La evaluación deberá distinguir entre el consumo de medicamentos prescritos, la presencia de sustancias sin afectación funcional demostrada, el consumo ocasional, el consumo problemático, el trastorno por consumo o dependencia y la</w:t>
      </w:r>
      <w:r w:rsidRPr="00836640">
        <w:rPr>
          <w:rFonts w:ascii="Arial Narrow" w:eastAsia="Arial Narrow" w:hAnsi="Arial Narrow" w:cs="Arial Narrow"/>
          <w:b/>
          <w:bCs/>
        </w:rPr>
        <w:t xml:space="preserve"> </w:t>
      </w:r>
      <w:r w:rsidRPr="00DC5EA9">
        <w:rPr>
          <w:rFonts w:ascii="Arial Narrow" w:eastAsia="Arial Narrow" w:hAnsi="Arial Narrow" w:cs="Arial Narrow"/>
        </w:rPr>
        <w:t xml:space="preserve">intoxicación o afectación actual de las capacidades para ejercer el cargo. </w:t>
      </w:r>
    </w:p>
    <w:p w14:paraId="4AFEE1D6" w14:textId="77777777" w:rsidR="00DC5EA9" w:rsidRDefault="00836640" w:rsidP="00DC5EA9">
      <w:pPr>
        <w:ind w:left="720"/>
        <w:jc w:val="both"/>
        <w:rPr>
          <w:rFonts w:ascii="Arial Narrow" w:eastAsia="Arial Narrow" w:hAnsi="Arial Narrow" w:cs="Arial Narrow"/>
          <w:b/>
          <w:bCs/>
        </w:rPr>
      </w:pPr>
      <w:r w:rsidRPr="00836640">
        <w:rPr>
          <w:rFonts w:ascii="Arial Narrow" w:eastAsia="Arial Narrow" w:hAnsi="Arial Narrow" w:cs="Arial Narrow"/>
          <w:b/>
          <w:bCs/>
        </w:rPr>
        <w:t xml:space="preserve">Parágrafo 2°. </w:t>
      </w:r>
      <w:r w:rsidRPr="00DC5EA9">
        <w:rPr>
          <w:rFonts w:ascii="Arial Narrow" w:eastAsia="Arial Narrow" w:hAnsi="Arial Narrow" w:cs="Arial Narrow"/>
        </w:rPr>
        <w:t>Cuando la prueba inicial de detección arroje un resultado positivo, deberá practicarse una prueba confirmatoria mediante una metodología científicamente validada. La prueba inicial no podrá servir, por sí sola, de fundamento para el dictamen ni para la adopción de una decisión.</w:t>
      </w:r>
      <w:r w:rsidRPr="00836640">
        <w:rPr>
          <w:rFonts w:ascii="Arial Narrow" w:eastAsia="Arial Narrow" w:hAnsi="Arial Narrow" w:cs="Arial Narrow"/>
          <w:b/>
          <w:bCs/>
        </w:rPr>
        <w:t xml:space="preserve"> </w:t>
      </w:r>
    </w:p>
    <w:p w14:paraId="2C7B7C7C" w14:textId="77777777" w:rsidR="00DC5EA9" w:rsidRPr="00DC5EA9" w:rsidRDefault="00836640" w:rsidP="00DC5EA9">
      <w:pPr>
        <w:ind w:left="720"/>
        <w:jc w:val="both"/>
        <w:rPr>
          <w:rFonts w:ascii="Arial Narrow" w:eastAsia="Arial Narrow" w:hAnsi="Arial Narrow" w:cs="Arial Narrow"/>
        </w:rPr>
      </w:pPr>
      <w:r w:rsidRPr="00836640">
        <w:rPr>
          <w:rFonts w:ascii="Arial Narrow" w:eastAsia="Arial Narrow" w:hAnsi="Arial Narrow" w:cs="Arial Narrow"/>
          <w:b/>
          <w:bCs/>
        </w:rPr>
        <w:t xml:space="preserve">Parágrafo 3°. </w:t>
      </w:r>
      <w:r w:rsidRPr="00DC5EA9">
        <w:rPr>
          <w:rFonts w:ascii="Arial Narrow" w:eastAsia="Arial Narrow" w:hAnsi="Arial Narrow" w:cs="Arial Narrow"/>
        </w:rPr>
        <w:t xml:space="preserve">El mandatario tendrá derecho a conocer y controvertir los resultados y a solicitar una contraprueba ante un laboratorio distinto y debidamente acreditado, dentro de los cinco (5) días siguientes a la notificación del resultado confirmatorio. </w:t>
      </w:r>
    </w:p>
    <w:p w14:paraId="12E9E062" w14:textId="3151DC41" w:rsidR="00DC5EA9" w:rsidRDefault="00836640" w:rsidP="00DC5EA9">
      <w:pPr>
        <w:ind w:left="720"/>
        <w:jc w:val="both"/>
        <w:rPr>
          <w:rFonts w:ascii="Arial Narrow" w:eastAsia="Arial Narrow" w:hAnsi="Arial Narrow" w:cs="Arial Narrow"/>
          <w:b/>
          <w:bCs/>
        </w:rPr>
      </w:pPr>
      <w:r w:rsidRPr="00836640">
        <w:rPr>
          <w:rFonts w:ascii="Arial Narrow" w:eastAsia="Arial Narrow" w:hAnsi="Arial Narrow" w:cs="Arial Narrow"/>
          <w:b/>
          <w:bCs/>
        </w:rPr>
        <w:t xml:space="preserve">Parágrafo 4º. </w:t>
      </w:r>
      <w:r w:rsidRPr="00DC5EA9">
        <w:rPr>
          <w:rFonts w:ascii="Arial Narrow" w:eastAsia="Arial Narrow" w:hAnsi="Arial Narrow" w:cs="Arial Narrow"/>
        </w:rPr>
        <w:t>El gobernador o alcalde sometido al procedimiento tendrá el deber de comparecer y practicarse las evaluaciones, exámenes y pruebas que, de manera motivada, determine la Comisión Médica de conformidad con el presente artículo. La negativa injustificada no podrá interpretarse como prueba de incapacidad ni de consumo de sustancias, pero constituirá incumplimiento de un deber legal y deberá ponerse en conocimiento de la Procuraduría General de la Nación para lo de su competencia.</w:t>
      </w:r>
      <w:r w:rsidRPr="00836640">
        <w:rPr>
          <w:rFonts w:ascii="Arial Narrow" w:eastAsia="Arial Narrow" w:hAnsi="Arial Narrow" w:cs="Arial Narrow"/>
          <w:b/>
          <w:bCs/>
        </w:rPr>
        <w:t xml:space="preserve"> </w:t>
      </w:r>
    </w:p>
    <w:p w14:paraId="3AD2EF1F" w14:textId="77777777" w:rsidR="00DC5EA9" w:rsidRPr="00DC5EA9" w:rsidRDefault="00836640" w:rsidP="00836640">
      <w:pPr>
        <w:jc w:val="both"/>
        <w:rPr>
          <w:rFonts w:ascii="Arial Narrow" w:eastAsia="Arial Narrow" w:hAnsi="Arial Narrow" w:cs="Arial Narrow"/>
        </w:rPr>
      </w:pPr>
      <w:r w:rsidRPr="00836640">
        <w:rPr>
          <w:rFonts w:ascii="Arial Narrow" w:eastAsia="Arial Narrow" w:hAnsi="Arial Narrow" w:cs="Arial Narrow"/>
          <w:b/>
          <w:bCs/>
        </w:rPr>
        <w:t xml:space="preserve">ARTÍCULO 6. </w:t>
      </w:r>
      <w:r w:rsidRPr="00DC5EA9">
        <w:rPr>
          <w:rFonts w:ascii="Arial Narrow" w:eastAsia="Arial Narrow" w:hAnsi="Arial Narrow" w:cs="Arial Narrow"/>
        </w:rPr>
        <w:t xml:space="preserve">La Comisión Médica rendirá su dictamen dentro de los quince (15) días calendario siguientes a su conformación, prorrogables hasta por quince (15) días adicionales cuando la complejidad del caso lo justifique, mediante decisión motivada. </w:t>
      </w:r>
    </w:p>
    <w:p w14:paraId="43200F16" w14:textId="77777777" w:rsidR="00DC5EA9" w:rsidRPr="00DC5EA9" w:rsidRDefault="00836640" w:rsidP="00836640">
      <w:pPr>
        <w:jc w:val="both"/>
        <w:rPr>
          <w:rFonts w:ascii="Arial Narrow" w:eastAsia="Arial Narrow" w:hAnsi="Arial Narrow" w:cs="Arial Narrow"/>
        </w:rPr>
      </w:pPr>
      <w:r w:rsidRPr="00DC5EA9">
        <w:rPr>
          <w:rFonts w:ascii="Arial Narrow" w:eastAsia="Arial Narrow" w:hAnsi="Arial Narrow" w:cs="Arial Narrow"/>
        </w:rPr>
        <w:t xml:space="preserve">El dictamen determinará si existe o no una afectación funcional grave y, en caso afirmativo, si esta tiene carácter temporal o permanente. </w:t>
      </w:r>
    </w:p>
    <w:p w14:paraId="144BFBD9" w14:textId="77777777" w:rsidR="00DC5EA9" w:rsidRDefault="00836640" w:rsidP="00836640">
      <w:pPr>
        <w:jc w:val="both"/>
        <w:rPr>
          <w:rFonts w:ascii="Arial Narrow" w:eastAsia="Arial Narrow" w:hAnsi="Arial Narrow" w:cs="Arial Narrow"/>
        </w:rPr>
      </w:pPr>
      <w:r w:rsidRPr="00836640">
        <w:rPr>
          <w:rFonts w:ascii="Arial Narrow" w:eastAsia="Arial Narrow" w:hAnsi="Arial Narrow" w:cs="Arial Narrow"/>
          <w:b/>
          <w:bCs/>
        </w:rPr>
        <w:t xml:space="preserve">ARTÍCULO 7. </w:t>
      </w:r>
      <w:r w:rsidRPr="00DC5EA9">
        <w:rPr>
          <w:rFonts w:ascii="Arial Narrow" w:eastAsia="Arial Narrow" w:hAnsi="Arial Narrow" w:cs="Arial Narrow"/>
        </w:rPr>
        <w:t xml:space="preserve">Durante todo el procedimiento, el gobernador o alcalde podrá participar directamente o por intermedio de apoderado; conocer, aportar y controvertir las pruebas; solicitar la práctica de exámenes adicionales; y presentar, dentro de los diez (10) días siguientes a la notificación del dictamen de la Comisión Médica, un dictamen médico independiente elaborado por un profesional o institución de su elección. </w:t>
      </w:r>
    </w:p>
    <w:p w14:paraId="636B5035" w14:textId="469D1C1A" w:rsidR="00DC5EA9" w:rsidRDefault="00836640" w:rsidP="00836640">
      <w:pPr>
        <w:jc w:val="both"/>
        <w:rPr>
          <w:rFonts w:ascii="Arial Narrow" w:eastAsia="Arial Narrow" w:hAnsi="Arial Narrow" w:cs="Arial Narrow"/>
          <w:b/>
          <w:bCs/>
        </w:rPr>
      </w:pPr>
      <w:r w:rsidRPr="00DC5EA9">
        <w:rPr>
          <w:rFonts w:ascii="Arial Narrow" w:eastAsia="Arial Narrow" w:hAnsi="Arial Narrow" w:cs="Arial Narrow"/>
        </w:rPr>
        <w:t>El dictamen independiente y las demás pruebas aportadas deberán ser valorados de manera expresa y motivada por la autoridad competente al momento de adoptar la decisión correspondiente.</w:t>
      </w:r>
      <w:r w:rsidRPr="00836640">
        <w:rPr>
          <w:rFonts w:ascii="Arial Narrow" w:eastAsia="Arial Narrow" w:hAnsi="Arial Narrow" w:cs="Arial Narrow"/>
          <w:b/>
          <w:bCs/>
        </w:rPr>
        <w:t xml:space="preserve"> </w:t>
      </w:r>
    </w:p>
    <w:p w14:paraId="5C73B0EB" w14:textId="77777777" w:rsidR="00DC5EA9" w:rsidRDefault="00836640" w:rsidP="00836640">
      <w:pPr>
        <w:jc w:val="both"/>
        <w:rPr>
          <w:rFonts w:ascii="Arial Narrow" w:eastAsia="Arial Narrow" w:hAnsi="Arial Narrow" w:cs="Arial Narrow"/>
        </w:rPr>
      </w:pPr>
      <w:r w:rsidRPr="00836640">
        <w:rPr>
          <w:rFonts w:ascii="Arial Narrow" w:eastAsia="Arial Narrow" w:hAnsi="Arial Narrow" w:cs="Arial Narrow"/>
          <w:b/>
          <w:bCs/>
        </w:rPr>
        <w:t xml:space="preserve">ARTÍCULO 8. </w:t>
      </w:r>
      <w:r w:rsidRPr="00DC5EA9">
        <w:rPr>
          <w:rFonts w:ascii="Arial Narrow" w:eastAsia="Arial Narrow" w:hAnsi="Arial Narrow" w:cs="Arial Narrow"/>
        </w:rPr>
        <w:t xml:space="preserve">El dictamen y las demás actuaciones serán remitidos a la autoridad competente, que decidirá dentro de los quince (15) días siguientes. </w:t>
      </w:r>
    </w:p>
    <w:p w14:paraId="7D659806" w14:textId="3D8618D6" w:rsidR="00DC5EA9" w:rsidRDefault="00836640" w:rsidP="00836640">
      <w:pPr>
        <w:jc w:val="both"/>
        <w:rPr>
          <w:rFonts w:ascii="Arial Narrow" w:eastAsia="Arial Narrow" w:hAnsi="Arial Narrow" w:cs="Arial Narrow"/>
        </w:rPr>
      </w:pPr>
      <w:r w:rsidRPr="00DC5EA9">
        <w:rPr>
          <w:rFonts w:ascii="Arial Narrow" w:eastAsia="Arial Narrow" w:hAnsi="Arial Narrow" w:cs="Arial Narrow"/>
        </w:rPr>
        <w:t xml:space="preserve">Respecto de los gobernadores, al Presidente de la República. Respecto de los alcaldes municipales y distritales, al gobernador del respectivo departamento. </w:t>
      </w:r>
    </w:p>
    <w:p w14:paraId="6E859E66" w14:textId="77777777" w:rsidR="00DC5EA9" w:rsidRDefault="00836640" w:rsidP="00836640">
      <w:pPr>
        <w:jc w:val="both"/>
        <w:rPr>
          <w:rFonts w:ascii="Arial Narrow" w:eastAsia="Arial Narrow" w:hAnsi="Arial Narrow" w:cs="Arial Narrow"/>
        </w:rPr>
      </w:pPr>
      <w:r w:rsidRPr="00DC5EA9">
        <w:rPr>
          <w:rFonts w:ascii="Arial Narrow" w:eastAsia="Arial Narrow" w:hAnsi="Arial Narrow" w:cs="Arial Narrow"/>
        </w:rPr>
        <w:t xml:space="preserve">Respecto del Alcalde Mayor de Bogotá, al Presidente de la República. </w:t>
      </w:r>
    </w:p>
    <w:p w14:paraId="516A8138" w14:textId="77777777" w:rsidR="00DC5EA9" w:rsidRDefault="00836640" w:rsidP="00836640">
      <w:pPr>
        <w:jc w:val="both"/>
        <w:rPr>
          <w:rFonts w:ascii="Arial Narrow" w:eastAsia="Arial Narrow" w:hAnsi="Arial Narrow" w:cs="Arial Narrow"/>
        </w:rPr>
      </w:pPr>
      <w:r w:rsidRPr="00DC5EA9">
        <w:rPr>
          <w:rFonts w:ascii="Arial Narrow" w:eastAsia="Arial Narrow" w:hAnsi="Arial Narrow" w:cs="Arial Narrow"/>
        </w:rPr>
        <w:t xml:space="preserve">Cuando el dictamen concluya que no existe una afectación funcional grave, se archivará la actuación. </w:t>
      </w:r>
    </w:p>
    <w:p w14:paraId="72838E2C" w14:textId="3BF21709" w:rsidR="00DC5EA9" w:rsidRDefault="00836640" w:rsidP="00836640">
      <w:pPr>
        <w:jc w:val="both"/>
        <w:rPr>
          <w:rFonts w:ascii="Arial Narrow" w:eastAsia="Arial Narrow" w:hAnsi="Arial Narrow" w:cs="Arial Narrow"/>
        </w:rPr>
      </w:pPr>
      <w:r w:rsidRPr="00DC5EA9">
        <w:rPr>
          <w:rFonts w:ascii="Arial Narrow" w:eastAsia="Arial Narrow" w:hAnsi="Arial Narrow" w:cs="Arial Narrow"/>
        </w:rPr>
        <w:lastRenderedPageBreak/>
        <w:t xml:space="preserve">Cuando se determine una afectación funcional grave de carácter temporal, se declarará la falta temporal por el tiempo estrictamente necesario y se aplicarán las reglas vigentes sobre encargo. </w:t>
      </w:r>
    </w:p>
    <w:p w14:paraId="0436D52F" w14:textId="171A999B" w:rsidR="00DC5EA9" w:rsidRDefault="00836640" w:rsidP="00836640">
      <w:pPr>
        <w:jc w:val="both"/>
        <w:rPr>
          <w:rFonts w:ascii="Arial Narrow" w:eastAsia="Arial Narrow" w:hAnsi="Arial Narrow" w:cs="Arial Narrow"/>
          <w:b/>
          <w:bCs/>
        </w:rPr>
      </w:pPr>
      <w:r w:rsidRPr="00DC5EA9">
        <w:rPr>
          <w:rFonts w:ascii="Arial Narrow" w:eastAsia="Arial Narrow" w:hAnsi="Arial Narrow" w:cs="Arial Narrow"/>
        </w:rPr>
        <w:t>Cuando se determine una afectación funcional grave de carácter permanente, se declarará la falta absoluta por incapacidad física o mental y se proveerá el cargo conforme a la Constitución y la ley.</w:t>
      </w:r>
      <w:r w:rsidRPr="00836640">
        <w:rPr>
          <w:rFonts w:ascii="Arial Narrow" w:eastAsia="Arial Narrow" w:hAnsi="Arial Narrow" w:cs="Arial Narrow"/>
          <w:b/>
          <w:bCs/>
        </w:rPr>
        <w:t xml:space="preserve"> </w:t>
      </w:r>
    </w:p>
    <w:p w14:paraId="74F1C3F5" w14:textId="77777777" w:rsidR="00DC5EA9" w:rsidRDefault="00836640" w:rsidP="00836640">
      <w:pPr>
        <w:jc w:val="both"/>
        <w:rPr>
          <w:rFonts w:ascii="Arial Narrow" w:eastAsia="Arial Narrow" w:hAnsi="Arial Narrow" w:cs="Arial Narrow"/>
        </w:rPr>
      </w:pPr>
      <w:r w:rsidRPr="00836640">
        <w:rPr>
          <w:rFonts w:ascii="Arial Narrow" w:eastAsia="Arial Narrow" w:hAnsi="Arial Narrow" w:cs="Arial Narrow"/>
          <w:b/>
          <w:bCs/>
        </w:rPr>
        <w:t xml:space="preserve">ARTÍCULO 9. </w:t>
      </w:r>
      <w:r w:rsidRPr="00DC5EA9">
        <w:rPr>
          <w:rFonts w:ascii="Arial Narrow" w:eastAsia="Arial Narrow" w:hAnsi="Arial Narrow" w:cs="Arial Narrow"/>
        </w:rPr>
        <w:t xml:space="preserve">Modifíquese el artículo 98 de la Ley 136 de 1994, el cual quedará así: </w:t>
      </w:r>
    </w:p>
    <w:p w14:paraId="2898DEB1" w14:textId="77777777" w:rsidR="00DC5EA9" w:rsidRDefault="00836640" w:rsidP="00DC5EA9">
      <w:pPr>
        <w:ind w:left="720"/>
        <w:jc w:val="both"/>
        <w:rPr>
          <w:rFonts w:ascii="Arial Narrow" w:eastAsia="Arial Narrow" w:hAnsi="Arial Narrow" w:cs="Arial Narrow"/>
        </w:rPr>
      </w:pPr>
      <w:r w:rsidRPr="00DC5EA9">
        <w:rPr>
          <w:rFonts w:ascii="Arial Narrow" w:eastAsia="Arial Narrow" w:hAnsi="Arial Narrow" w:cs="Arial Narrow"/>
          <w:b/>
          <w:bCs/>
        </w:rPr>
        <w:t>Artículo 98. Faltas absolutas.</w:t>
      </w:r>
      <w:r w:rsidRPr="00DC5EA9">
        <w:rPr>
          <w:rFonts w:ascii="Arial Narrow" w:eastAsia="Arial Narrow" w:hAnsi="Arial Narrow" w:cs="Arial Narrow"/>
        </w:rPr>
        <w:t xml:space="preserve"> Son faltas absolutas del alcalde: </w:t>
      </w:r>
    </w:p>
    <w:p w14:paraId="2DF6EB7A" w14:textId="77777777" w:rsidR="00DC5EA9" w:rsidRDefault="00836640" w:rsidP="00DC5EA9">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a) La muerte; </w:t>
      </w:r>
    </w:p>
    <w:p w14:paraId="49592FC2" w14:textId="77777777" w:rsidR="00DC5EA9" w:rsidRDefault="00836640" w:rsidP="00DC5EA9">
      <w:pPr>
        <w:spacing w:after="0"/>
        <w:ind w:left="720"/>
        <w:jc w:val="both"/>
        <w:rPr>
          <w:rFonts w:ascii="Arial Narrow" w:eastAsia="Arial Narrow" w:hAnsi="Arial Narrow" w:cs="Arial Narrow"/>
        </w:rPr>
      </w:pPr>
      <w:r w:rsidRPr="00DC5EA9">
        <w:rPr>
          <w:rFonts w:ascii="Arial Narrow" w:eastAsia="Arial Narrow" w:hAnsi="Arial Narrow" w:cs="Arial Narrow"/>
        </w:rPr>
        <w:t>b) La renuncia aceptada;</w:t>
      </w:r>
    </w:p>
    <w:p w14:paraId="7451D9E0" w14:textId="77777777" w:rsidR="00DC5EA9" w:rsidRDefault="00836640" w:rsidP="00DC5EA9">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c) La incapacidad física permanente; </w:t>
      </w:r>
    </w:p>
    <w:p w14:paraId="0D932783" w14:textId="77777777" w:rsidR="00DC5EA9" w:rsidRDefault="00836640" w:rsidP="00DC5EA9">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d) La declaratoria de nulidad de su elección; </w:t>
      </w:r>
    </w:p>
    <w:p w14:paraId="297E80CF" w14:textId="77777777" w:rsidR="00DC5EA9" w:rsidRDefault="00836640" w:rsidP="00DC5EA9">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e) La interdicción judicial; </w:t>
      </w:r>
    </w:p>
    <w:p w14:paraId="70C08FCB" w14:textId="77777777" w:rsidR="00DC5EA9" w:rsidRDefault="00836640" w:rsidP="00DC5EA9">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f) La destitución; </w:t>
      </w:r>
    </w:p>
    <w:p w14:paraId="4A328957" w14:textId="77777777" w:rsidR="00DC5EA9" w:rsidRDefault="00836640" w:rsidP="00DC5EA9">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g) La revocatoria del mandato; </w:t>
      </w:r>
    </w:p>
    <w:p w14:paraId="120A1A99" w14:textId="40964DA2" w:rsidR="00DC5EA9" w:rsidRDefault="00836640" w:rsidP="00DC5EA9">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h) La incapacidad por enfermedad superior a ciento ochenta (180) días. </w:t>
      </w:r>
    </w:p>
    <w:p w14:paraId="612D0E99" w14:textId="77777777" w:rsidR="00DC5EA9" w:rsidRDefault="00DC5EA9" w:rsidP="00DC5EA9">
      <w:pPr>
        <w:spacing w:after="0"/>
        <w:ind w:left="720"/>
        <w:jc w:val="both"/>
        <w:rPr>
          <w:rFonts w:ascii="Arial Narrow" w:eastAsia="Arial Narrow" w:hAnsi="Arial Narrow" w:cs="Arial Narrow"/>
        </w:rPr>
      </w:pPr>
    </w:p>
    <w:p w14:paraId="68FDA7A9" w14:textId="0FCBA1C7" w:rsidR="00DC5EA9" w:rsidRPr="00DC5EA9" w:rsidRDefault="00836640" w:rsidP="00DC5EA9">
      <w:pPr>
        <w:ind w:left="720"/>
        <w:jc w:val="both"/>
        <w:rPr>
          <w:rFonts w:ascii="Arial Narrow" w:eastAsia="Arial Narrow" w:hAnsi="Arial Narrow" w:cs="Arial Narrow"/>
        </w:rPr>
      </w:pPr>
      <w:r w:rsidRPr="00DC5EA9">
        <w:rPr>
          <w:rFonts w:ascii="Arial Narrow" w:eastAsia="Arial Narrow" w:hAnsi="Arial Narrow" w:cs="Arial Narrow"/>
        </w:rPr>
        <w:t xml:space="preserve">Para efectos de lo dispuesto en los literales c) y h), la incapacidad podrá comprender afectaciones físicas, mentales, cognitivas, neurológicas o funcionales, incluidas aquellas derivadas del consumo de sustancias psicoactivas, siempre que comprometan de manera grave y permanente la capacidad del alcalde para el adecuado ejercicio del cargo. Esta circunstancia podrá acreditarse mediante el dictamen de la Comisión Médica conformada de acuerdo con la presente ley. </w:t>
      </w:r>
    </w:p>
    <w:p w14:paraId="6D1FFC97" w14:textId="77777777" w:rsidR="00DC5EA9" w:rsidRDefault="00836640" w:rsidP="00836640">
      <w:pPr>
        <w:jc w:val="both"/>
        <w:rPr>
          <w:rFonts w:ascii="Arial Narrow" w:eastAsia="Arial Narrow" w:hAnsi="Arial Narrow" w:cs="Arial Narrow"/>
        </w:rPr>
      </w:pPr>
      <w:r w:rsidRPr="00836640">
        <w:rPr>
          <w:rFonts w:ascii="Arial Narrow" w:eastAsia="Arial Narrow" w:hAnsi="Arial Narrow" w:cs="Arial Narrow"/>
          <w:b/>
          <w:bCs/>
        </w:rPr>
        <w:t xml:space="preserve">ARTÍCULO 10. </w:t>
      </w:r>
      <w:r w:rsidRPr="00DC5EA9">
        <w:rPr>
          <w:rFonts w:ascii="Arial Narrow" w:eastAsia="Arial Narrow" w:hAnsi="Arial Narrow" w:cs="Arial Narrow"/>
        </w:rPr>
        <w:t xml:space="preserve">Modifíquese el artículo 121 de la Ley 2200 de 2022, el cual quedará así: </w:t>
      </w:r>
    </w:p>
    <w:p w14:paraId="6A8CCC09" w14:textId="77777777" w:rsidR="00DC5EA9" w:rsidRDefault="00836640" w:rsidP="00DC5EA9">
      <w:pPr>
        <w:ind w:left="720"/>
        <w:jc w:val="both"/>
        <w:rPr>
          <w:rFonts w:ascii="Arial Narrow" w:eastAsia="Arial Narrow" w:hAnsi="Arial Narrow" w:cs="Arial Narrow"/>
          <w:b/>
          <w:bCs/>
        </w:rPr>
      </w:pPr>
      <w:r w:rsidRPr="00836640">
        <w:rPr>
          <w:rFonts w:ascii="Arial Narrow" w:eastAsia="Arial Narrow" w:hAnsi="Arial Narrow" w:cs="Arial Narrow"/>
          <w:b/>
          <w:bCs/>
        </w:rPr>
        <w:t xml:space="preserve">Artículo 121. Faltas absolutas. Son faltas absolutas del gobernador: </w:t>
      </w:r>
    </w:p>
    <w:p w14:paraId="5CB3F728" w14:textId="77777777" w:rsidR="00DC5EA9" w:rsidRPr="00DC5EA9" w:rsidRDefault="00836640" w:rsidP="00DC5EA9">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1. La muerte. </w:t>
      </w:r>
    </w:p>
    <w:p w14:paraId="308568D3" w14:textId="77777777" w:rsidR="00DC5EA9" w:rsidRPr="00DC5EA9" w:rsidRDefault="00836640" w:rsidP="00DC5EA9">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2. La renuncia aceptada. </w:t>
      </w:r>
    </w:p>
    <w:p w14:paraId="4372A9E0" w14:textId="77777777" w:rsidR="00DC5EA9" w:rsidRPr="00DC5EA9" w:rsidRDefault="00836640" w:rsidP="00DC5EA9">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3. La incapacidad física, mental, cognitiva, neurológica o funcional de carácter permanente. </w:t>
      </w:r>
    </w:p>
    <w:p w14:paraId="11D91D12" w14:textId="77777777" w:rsidR="00DC5EA9" w:rsidRPr="00DC5EA9" w:rsidRDefault="00836640" w:rsidP="00DC5EA9">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4. La declaratoria de nulidad de la elección. </w:t>
      </w:r>
    </w:p>
    <w:p w14:paraId="28BE88BB" w14:textId="77777777" w:rsidR="00DC5EA9" w:rsidRPr="00DC5EA9" w:rsidRDefault="00836640" w:rsidP="00DC5EA9">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5. La interdicción judicial. </w:t>
      </w:r>
    </w:p>
    <w:p w14:paraId="28F3560E" w14:textId="77777777" w:rsidR="00DC5EA9" w:rsidRPr="00DC5EA9" w:rsidRDefault="00836640" w:rsidP="00DC5EA9">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6. La destitución. </w:t>
      </w:r>
    </w:p>
    <w:p w14:paraId="1A42BD62" w14:textId="77777777" w:rsidR="00DC5EA9" w:rsidRPr="00DC5EA9" w:rsidRDefault="00836640" w:rsidP="00DC5EA9">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7. La revocatoria del mandato. </w:t>
      </w:r>
    </w:p>
    <w:p w14:paraId="6CACA109" w14:textId="77777777" w:rsidR="00DC5EA9" w:rsidRPr="00DC5EA9" w:rsidRDefault="00836640" w:rsidP="00DC5EA9">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8. La declaración de vacancia por abandono del cargo. </w:t>
      </w:r>
    </w:p>
    <w:p w14:paraId="768DEAB8" w14:textId="77777777" w:rsidR="00DC5EA9" w:rsidRDefault="00836640" w:rsidP="00DC5EA9">
      <w:pPr>
        <w:spacing w:after="0"/>
        <w:ind w:left="720"/>
        <w:jc w:val="both"/>
        <w:rPr>
          <w:rFonts w:ascii="Arial Narrow" w:eastAsia="Arial Narrow" w:hAnsi="Arial Narrow" w:cs="Arial Narrow"/>
          <w:b/>
          <w:bCs/>
        </w:rPr>
      </w:pPr>
      <w:r w:rsidRPr="00DC5EA9">
        <w:rPr>
          <w:rFonts w:ascii="Arial Narrow" w:eastAsia="Arial Narrow" w:hAnsi="Arial Narrow" w:cs="Arial Narrow"/>
        </w:rPr>
        <w:t>9. La condena a pena privativa de la libertad debidamente ejecutoriada, salvo que se trate de delitos políticos o culposos</w:t>
      </w:r>
      <w:r w:rsidRPr="00836640">
        <w:rPr>
          <w:rFonts w:ascii="Arial Narrow" w:eastAsia="Arial Narrow" w:hAnsi="Arial Narrow" w:cs="Arial Narrow"/>
          <w:b/>
          <w:bCs/>
        </w:rPr>
        <w:t xml:space="preserve">. </w:t>
      </w:r>
    </w:p>
    <w:p w14:paraId="4D8F2E07" w14:textId="35AADA85" w:rsidR="00DC5EA9" w:rsidRPr="00DC5EA9" w:rsidRDefault="00836640" w:rsidP="00DC5EA9">
      <w:pPr>
        <w:ind w:left="720"/>
        <w:jc w:val="both"/>
        <w:rPr>
          <w:rFonts w:ascii="Arial Narrow" w:eastAsia="Arial Narrow" w:hAnsi="Arial Narrow" w:cs="Arial Narrow"/>
        </w:rPr>
      </w:pPr>
      <w:r w:rsidRPr="00DC5EA9">
        <w:rPr>
          <w:rFonts w:ascii="Arial Narrow" w:eastAsia="Arial Narrow" w:hAnsi="Arial Narrow" w:cs="Arial Narrow"/>
        </w:rPr>
        <w:t xml:space="preserve">Para efectos de lo dispuesto en el numeral 3, la incapacidad podrá comprender aquella derivada del consumo de sustancias psicoactivas, siempre que comprometa gravemente y de manera permanente la capacidad del gobernador para el adecuado ejercicio del cargo. Esta circunstancia podrá acreditarse mediante el dictamen de la Comisión Médica conformada de acuerdo con la presente ley. </w:t>
      </w:r>
    </w:p>
    <w:p w14:paraId="0E1BEC2C" w14:textId="77777777" w:rsidR="00DC5EA9" w:rsidRDefault="00836640" w:rsidP="00836640">
      <w:pPr>
        <w:jc w:val="both"/>
        <w:rPr>
          <w:rFonts w:ascii="Arial Narrow" w:eastAsia="Arial Narrow" w:hAnsi="Arial Narrow" w:cs="Arial Narrow"/>
        </w:rPr>
      </w:pPr>
      <w:r w:rsidRPr="00836640">
        <w:rPr>
          <w:rFonts w:ascii="Arial Narrow" w:eastAsia="Arial Narrow" w:hAnsi="Arial Narrow" w:cs="Arial Narrow"/>
          <w:b/>
          <w:bCs/>
        </w:rPr>
        <w:lastRenderedPageBreak/>
        <w:t xml:space="preserve">ARTÍCULO 11. Reserva. </w:t>
      </w:r>
      <w:r w:rsidRPr="00DC5EA9">
        <w:rPr>
          <w:rFonts w:ascii="Arial Narrow" w:eastAsia="Arial Narrow" w:hAnsi="Arial Narrow" w:cs="Arial Narrow"/>
        </w:rPr>
        <w:t xml:space="preserve">La historia clínica, los exámenes practicados y sus resultados específicos son reservados conforme al artículo 34 de la Ley 23 de 1981 y a la Ley 1581 de 2012, y solo podrán conocerlos el mandatario evaluado, su apoderado, los integrantes de la Comisión Médica y la autoridad competente para adoptar la decisión. </w:t>
      </w:r>
    </w:p>
    <w:p w14:paraId="439609FC" w14:textId="6E09EED2" w:rsidR="00DC5EA9" w:rsidRDefault="00836640" w:rsidP="00836640">
      <w:pPr>
        <w:jc w:val="both"/>
        <w:rPr>
          <w:rFonts w:ascii="Arial Narrow" w:eastAsia="Arial Narrow" w:hAnsi="Arial Narrow" w:cs="Arial Narrow"/>
          <w:b/>
          <w:bCs/>
        </w:rPr>
      </w:pPr>
      <w:r w:rsidRPr="00DC5EA9">
        <w:rPr>
          <w:rFonts w:ascii="Arial Narrow" w:eastAsia="Arial Narrow" w:hAnsi="Arial Narrow" w:cs="Arial Narrow"/>
        </w:rPr>
        <w:t>Únicamente podrá hacerse pública la conclusión general del dictamen y la decisión adoptada, sin motivación clínica detallada.</w:t>
      </w:r>
      <w:r w:rsidRPr="00836640">
        <w:rPr>
          <w:rFonts w:ascii="Arial Narrow" w:eastAsia="Arial Narrow" w:hAnsi="Arial Narrow" w:cs="Arial Narrow"/>
          <w:b/>
          <w:bCs/>
        </w:rPr>
        <w:t xml:space="preserve"> </w:t>
      </w:r>
    </w:p>
    <w:p w14:paraId="0CEC2FEC" w14:textId="4F6DD520" w:rsidR="00836640" w:rsidRPr="00836640" w:rsidRDefault="00836640" w:rsidP="00836640">
      <w:pPr>
        <w:jc w:val="both"/>
        <w:rPr>
          <w:rFonts w:ascii="Arial Narrow" w:eastAsia="Arial Narrow" w:hAnsi="Arial Narrow" w:cs="Arial Narrow"/>
          <w:b/>
          <w:bCs/>
        </w:rPr>
      </w:pPr>
      <w:r w:rsidRPr="00836640">
        <w:rPr>
          <w:rFonts w:ascii="Arial Narrow" w:eastAsia="Arial Narrow" w:hAnsi="Arial Narrow" w:cs="Arial Narrow"/>
          <w:b/>
          <w:bCs/>
        </w:rPr>
        <w:t xml:space="preserve">ARTÍCULO 12. </w:t>
      </w:r>
      <w:r w:rsidRPr="00DC5EA9">
        <w:rPr>
          <w:rFonts w:ascii="Arial Narrow" w:eastAsia="Arial Narrow" w:hAnsi="Arial Narrow" w:cs="Arial Narrow"/>
        </w:rPr>
        <w:t>Vigencia. La presente ley rige a partir de su promulgación y deroga las disposiciones que le sean contrarias.</w:t>
      </w:r>
    </w:p>
    <w:bookmarkEnd w:id="2"/>
    <w:p w14:paraId="28524993" w14:textId="1664D371" w:rsidR="00861FE3" w:rsidRPr="00F1455E" w:rsidRDefault="001B6D57" w:rsidP="00F1455E">
      <w:pPr>
        <w:pStyle w:val="Prrafodelista"/>
        <w:numPr>
          <w:ilvl w:val="3"/>
          <w:numId w:val="6"/>
        </w:numPr>
        <w:spacing w:line="276" w:lineRule="auto"/>
        <w:jc w:val="both"/>
        <w:rPr>
          <w:rFonts w:ascii="Arial Narrow" w:eastAsia="Arial Narrow" w:hAnsi="Arial Narrow" w:cs="Arial Narrow"/>
          <w:b/>
          <w:bCs/>
        </w:rPr>
      </w:pPr>
      <w:r w:rsidRPr="00F1455E">
        <w:rPr>
          <w:rFonts w:ascii="Arial Narrow" w:eastAsia="Arial Narrow" w:hAnsi="Arial Narrow" w:cs="Arial Narrow"/>
          <w:b/>
          <w:bCs/>
        </w:rPr>
        <w:t>JUSTIFICACIÓN DEL PROYECTO DE LEY</w:t>
      </w:r>
    </w:p>
    <w:p w14:paraId="5957B31A" w14:textId="77777777" w:rsidR="00A16D7C" w:rsidRDefault="00A16D7C">
      <w:pPr>
        <w:spacing w:before="240" w:after="240" w:line="276" w:lineRule="auto"/>
        <w:jc w:val="both"/>
        <w:rPr>
          <w:rFonts w:ascii="Arial Narrow" w:eastAsia="Arial Narrow" w:hAnsi="Arial Narrow" w:cs="Arial Narrow"/>
        </w:rPr>
      </w:pPr>
      <w:r w:rsidRPr="00A16D7C">
        <w:rPr>
          <w:rFonts w:ascii="Arial Narrow" w:eastAsia="Arial Narrow" w:hAnsi="Arial Narrow" w:cs="Arial Narrow"/>
        </w:rPr>
        <w:t xml:space="preserve">El Los gobernadores y alcaldes ejercen la dirección de la administración territorial y adoptan decisiones que inciden directamente en la seguridad, la prestación de los servicios públicos, la ejecución de los presupuestos, el desarrollo de los territorios y la atención de las necesidades de la población. Por esta razón, una afectación grave de las capacidades necesarias para ejercer el cargo no constituye únicamente un asunto personal o médico del mandatario, sino una situación que puede comprometer la continuidad y el adecuado funcionamiento de la administración pública. </w:t>
      </w:r>
    </w:p>
    <w:p w14:paraId="60C2D695" w14:textId="77777777" w:rsidR="00A16D7C" w:rsidRDefault="00A16D7C">
      <w:pPr>
        <w:spacing w:before="240" w:after="240" w:line="276" w:lineRule="auto"/>
        <w:jc w:val="both"/>
        <w:rPr>
          <w:rFonts w:ascii="Arial Narrow" w:eastAsia="Arial Narrow" w:hAnsi="Arial Narrow" w:cs="Arial Narrow"/>
        </w:rPr>
      </w:pPr>
      <w:r w:rsidRPr="00A16D7C">
        <w:rPr>
          <w:rFonts w:ascii="Arial Narrow" w:eastAsia="Arial Narrow" w:hAnsi="Arial Narrow" w:cs="Arial Narrow"/>
        </w:rPr>
        <w:t xml:space="preserve">La Constitución y la ley reconocen que la incapacidad física permanente puede dar lugar a una falta absoluta de gobernadores y alcaldes. Sin embargo, el ordenamiento no establece un procedimiento claro para determinar cuándo existe dicha incapacidad, quién debe realizar la valoración médica, qué pruebas pueden practicarse, cómo pueden controvertirse sus resultados ni qué autoridad debe valorar el dictamen antes de adoptar una decisión. </w:t>
      </w:r>
    </w:p>
    <w:p w14:paraId="2EC12B2D" w14:textId="77777777" w:rsidR="00A16D7C" w:rsidRDefault="00A16D7C">
      <w:pPr>
        <w:spacing w:before="240" w:after="240" w:line="276" w:lineRule="auto"/>
        <w:jc w:val="both"/>
        <w:rPr>
          <w:rFonts w:ascii="Arial Narrow" w:eastAsia="Arial Narrow" w:hAnsi="Arial Narrow" w:cs="Arial Narrow"/>
        </w:rPr>
      </w:pPr>
      <w:r w:rsidRPr="00A16D7C">
        <w:rPr>
          <w:rFonts w:ascii="Arial Narrow" w:eastAsia="Arial Narrow" w:hAnsi="Arial Narrow" w:cs="Arial Narrow"/>
        </w:rPr>
        <w:t xml:space="preserve">Este vacío normativo genera incertidumbre tanto para las instituciones como para el mandatario. Ante una posible afectación grave, las autoridades carecen de una ruta técnica que permita establecer objetivamente si la persona conserva las capacidades necesarias para ejercer sus funciones. Al mismo tiempo, la ausencia de reglas puede facilitar que asuntos relacionados con la salud sean utilizados como instrumentos de presión, estigmatización o confrontación política. </w:t>
      </w:r>
    </w:p>
    <w:p w14:paraId="11EEB5D2" w14:textId="77777777" w:rsidR="00C57F56" w:rsidRDefault="00A16D7C">
      <w:pPr>
        <w:spacing w:before="240" w:after="240" w:line="276" w:lineRule="auto"/>
        <w:jc w:val="both"/>
        <w:rPr>
          <w:rFonts w:ascii="Arial Narrow" w:eastAsia="Arial Narrow" w:hAnsi="Arial Narrow" w:cs="Arial Narrow"/>
        </w:rPr>
      </w:pPr>
      <w:r w:rsidRPr="00A16D7C">
        <w:rPr>
          <w:rFonts w:ascii="Arial Narrow" w:eastAsia="Arial Narrow" w:hAnsi="Arial Narrow" w:cs="Arial Narrow"/>
        </w:rPr>
        <w:t>La necesidad del proyecto resulta aún más evidente cuando la afectación no corresponde a una condición física fácilmente identificable, sino a circunstancias mentales, cognitivas, neurológicas o funcionales que requieren una valoración</w:t>
      </w:r>
      <w:r>
        <w:rPr>
          <w:rFonts w:ascii="Arial Narrow" w:eastAsia="Arial Narrow" w:hAnsi="Arial Narrow" w:cs="Arial Narrow"/>
        </w:rPr>
        <w:t xml:space="preserve"> </w:t>
      </w:r>
      <w:r w:rsidRPr="00A16D7C">
        <w:rPr>
          <w:rFonts w:ascii="Arial Narrow" w:eastAsia="Arial Narrow" w:hAnsi="Arial Narrow" w:cs="Arial Narrow"/>
        </w:rPr>
        <w:t xml:space="preserve">médica especializada. La expresión “incapacidad física permanente”, utilizada por la legislación vigente, puede resultar insuficiente frente a condiciones que, sin manifestarse exclusivamente de forma física, comprometen gravemente la capacidad de dirección, comprensión, decisión o actuación del mandatario. </w:t>
      </w:r>
    </w:p>
    <w:p w14:paraId="643A6626" w14:textId="77777777" w:rsidR="00C57F56" w:rsidRDefault="00A16D7C">
      <w:pPr>
        <w:spacing w:before="240" w:after="240" w:line="276" w:lineRule="auto"/>
        <w:jc w:val="both"/>
        <w:rPr>
          <w:rFonts w:ascii="Arial Narrow" w:eastAsia="Arial Narrow" w:hAnsi="Arial Narrow" w:cs="Arial Narrow"/>
        </w:rPr>
      </w:pPr>
      <w:r w:rsidRPr="00A16D7C">
        <w:rPr>
          <w:rFonts w:ascii="Arial Narrow" w:eastAsia="Arial Narrow" w:hAnsi="Arial Narrow" w:cs="Arial Narrow"/>
        </w:rPr>
        <w:t xml:space="preserve">También existe un vacío frente a las afectaciones derivadas del consumo de sustancias psicoactivas. La sola presencia de una sustancia no demuestra incapacidad ni puede generar automáticamente la separación del cargo. No obstante, cuando su consumo produce una afectación actual y grave de las capacidades necesarias para gobernar, el Estado debe contar con un mecanismo científico que permita verificarla con objetividad y </w:t>
      </w:r>
      <w:r w:rsidRPr="00A16D7C">
        <w:rPr>
          <w:rFonts w:ascii="Arial Narrow" w:eastAsia="Arial Narrow" w:hAnsi="Arial Narrow" w:cs="Arial Narrow"/>
        </w:rPr>
        <w:lastRenderedPageBreak/>
        <w:t xml:space="preserve">plenas garantías. La importancia de esta regulación radica, precisamente, en sustituir los rumores y las apreciaciones subjetivas por un procedimiento institucional. La exigencia de indicios serios y objetivos, la intervención de una Comisión Médica independiente, la práctica de pruebas confirmatorias y el derecho a la contradicción buscan impedir que el mecanismo sea utilizado por simples diferencias políticas o con fines de persecución. </w:t>
      </w:r>
    </w:p>
    <w:p w14:paraId="1CFC45F9" w14:textId="77777777" w:rsidR="00C57F56" w:rsidRDefault="00A16D7C">
      <w:pPr>
        <w:spacing w:before="240" w:after="240" w:line="276" w:lineRule="auto"/>
        <w:jc w:val="both"/>
        <w:rPr>
          <w:rFonts w:ascii="Arial Narrow" w:eastAsia="Arial Narrow" w:hAnsi="Arial Narrow" w:cs="Arial Narrow"/>
        </w:rPr>
      </w:pPr>
      <w:r w:rsidRPr="00A16D7C">
        <w:rPr>
          <w:rFonts w:ascii="Arial Narrow" w:eastAsia="Arial Narrow" w:hAnsi="Arial Narrow" w:cs="Arial Narrow"/>
        </w:rPr>
        <w:t xml:space="preserve">La iniciativa protege igualmente la legitimidad democrática de gobernadores y alcaldes. Al tratarse de mandatarios elegidos popularmente, cualquier decisión que afecte su permanencia en el cargo debe estar sustentada en elementos técnicos suficientes, respetar el debido proceso y ser adoptada exclusivamente por la autoridad competente. El dictamen médico no sustituye la decisión administrativa ni produce por sí mismo el retiro del mandatario. </w:t>
      </w:r>
    </w:p>
    <w:p w14:paraId="69C1AD97" w14:textId="77777777" w:rsidR="00C57F56" w:rsidRDefault="00A16D7C">
      <w:pPr>
        <w:spacing w:before="240" w:after="240" w:line="276" w:lineRule="auto"/>
        <w:jc w:val="both"/>
        <w:rPr>
          <w:rFonts w:ascii="Arial Narrow" w:eastAsia="Arial Narrow" w:hAnsi="Arial Narrow" w:cs="Arial Narrow"/>
        </w:rPr>
      </w:pPr>
      <w:r w:rsidRPr="00A16D7C">
        <w:rPr>
          <w:rFonts w:ascii="Arial Narrow" w:eastAsia="Arial Narrow" w:hAnsi="Arial Narrow" w:cs="Arial Narrow"/>
        </w:rPr>
        <w:t xml:space="preserve">De esta manera, el proyecto busca equilibrar dos intereses constitucionalmente relevantes: por una parte, la continuidad de la administración territorial y la protección de las comunidades frente a una eventual imposibilidad grave del mandatario para ejercer sus funciones; y, por otra, la dignidad, la intimidad, el debido proceso y la legitimidad democrática de la persona sometida a evaluación. </w:t>
      </w:r>
    </w:p>
    <w:p w14:paraId="5FBA9C47" w14:textId="7E9FE0B6" w:rsidR="00970D85" w:rsidRDefault="00A16D7C">
      <w:pPr>
        <w:spacing w:before="240" w:after="240" w:line="276" w:lineRule="auto"/>
        <w:jc w:val="both"/>
        <w:rPr>
          <w:rFonts w:ascii="Arial Narrow" w:eastAsia="Arial Narrow" w:hAnsi="Arial Narrow" w:cs="Arial Narrow"/>
        </w:rPr>
      </w:pPr>
      <w:r w:rsidRPr="00A16D7C">
        <w:rPr>
          <w:rFonts w:ascii="Arial Narrow" w:eastAsia="Arial Narrow" w:hAnsi="Arial Narrow" w:cs="Arial Narrow"/>
        </w:rPr>
        <w:t>Adicionalmente, la iniciativa no crea un mecanismo de control político sobre la salud de los mandatarios ni sanciona una enfermedad, discapacidad o condición personal. Su finalidad es llenar un vacío normativo y garantizar que cualquier decisión relacionada con la aptitud funcional de un gobernador o alcalde se adopte de manera excepcional, objetiva, científica y respetuosa del orden constituciona</w:t>
      </w:r>
      <w:r w:rsidR="00C57F56">
        <w:rPr>
          <w:rFonts w:ascii="Arial Narrow" w:eastAsia="Arial Narrow" w:hAnsi="Arial Narrow" w:cs="Arial Narrow"/>
        </w:rPr>
        <w:t>l</w:t>
      </w:r>
      <w:r w:rsidR="002C2B4A">
        <w:rPr>
          <w:rFonts w:ascii="Arial Narrow" w:eastAsia="Arial Narrow" w:hAnsi="Arial Narrow" w:cs="Arial Narrow"/>
        </w:rPr>
        <w:t>.</w:t>
      </w:r>
    </w:p>
    <w:p w14:paraId="5A9F9906" w14:textId="567C9B4E" w:rsidR="00F1455E" w:rsidRDefault="00F1455E" w:rsidP="00F1455E">
      <w:pPr>
        <w:pStyle w:val="Prrafodelista"/>
        <w:numPr>
          <w:ilvl w:val="3"/>
          <w:numId w:val="6"/>
        </w:numPr>
        <w:spacing w:line="240" w:lineRule="auto"/>
        <w:jc w:val="both"/>
        <w:rPr>
          <w:rFonts w:ascii="Arial Narrow" w:eastAsia="Arial Narrow" w:hAnsi="Arial Narrow" w:cs="Arial Narrow"/>
          <w:b/>
          <w:bCs/>
        </w:rPr>
      </w:pPr>
      <w:r w:rsidRPr="003035C7">
        <w:rPr>
          <w:rFonts w:ascii="Arial Narrow" w:eastAsia="Arial Narrow" w:hAnsi="Arial Narrow" w:cs="Arial Narrow"/>
          <w:b/>
          <w:bCs/>
        </w:rPr>
        <w:t>MARCO JURÍDICO</w:t>
      </w:r>
    </w:p>
    <w:p w14:paraId="7BF7EC25" w14:textId="77777777" w:rsidR="002C2B4A" w:rsidRDefault="002C2B4A" w:rsidP="002C2B4A">
      <w:pPr>
        <w:spacing w:line="240" w:lineRule="auto"/>
        <w:jc w:val="both"/>
        <w:rPr>
          <w:rFonts w:ascii="Arial Narrow" w:eastAsia="Arial Narrow" w:hAnsi="Arial Narrow" w:cs="Arial Narrow"/>
        </w:rPr>
      </w:pPr>
      <w:r w:rsidRPr="002C2B4A">
        <w:rPr>
          <w:rFonts w:ascii="Arial Narrow" w:eastAsia="Arial Narrow" w:hAnsi="Arial Narrow" w:cs="Arial Narrow"/>
        </w:rPr>
        <w:t xml:space="preserve">A continuación, se expone el marco constitucional, legal y jurisprudencial dentro del cual se desarrolla el presente proyecto de ley. </w:t>
      </w:r>
    </w:p>
    <w:p w14:paraId="20E1BF4C" w14:textId="77777777" w:rsidR="002C2B4A" w:rsidRPr="00D93B07" w:rsidRDefault="002C2B4A" w:rsidP="002C2B4A">
      <w:pPr>
        <w:spacing w:line="240" w:lineRule="auto"/>
        <w:jc w:val="both"/>
        <w:rPr>
          <w:rFonts w:ascii="Arial Narrow" w:eastAsia="Arial Narrow" w:hAnsi="Arial Narrow" w:cs="Arial Narrow"/>
          <w:b/>
          <w:bCs/>
        </w:rPr>
      </w:pPr>
      <w:r w:rsidRPr="00D93B07">
        <w:rPr>
          <w:rFonts w:ascii="Arial Narrow" w:eastAsia="Arial Narrow" w:hAnsi="Arial Narrow" w:cs="Arial Narrow"/>
          <w:b/>
          <w:bCs/>
        </w:rPr>
        <w:t xml:space="preserve">- Constitución Política </w:t>
      </w:r>
    </w:p>
    <w:p w14:paraId="07AC73EB" w14:textId="77777777" w:rsidR="002C2B4A" w:rsidRDefault="002C2B4A" w:rsidP="002C2B4A">
      <w:pPr>
        <w:spacing w:line="240" w:lineRule="auto"/>
        <w:jc w:val="both"/>
        <w:rPr>
          <w:rFonts w:ascii="Arial Narrow" w:eastAsia="Arial Narrow" w:hAnsi="Arial Narrow" w:cs="Arial Narrow"/>
        </w:rPr>
      </w:pPr>
      <w:r w:rsidRPr="00BB54A3">
        <w:rPr>
          <w:rFonts w:ascii="Arial Narrow" w:eastAsia="Arial Narrow" w:hAnsi="Arial Narrow" w:cs="Arial Narrow"/>
          <w:u w:val="single"/>
        </w:rPr>
        <w:t>Artículo 15</w:t>
      </w:r>
      <w:r w:rsidRPr="002C2B4A">
        <w:rPr>
          <w:rFonts w:ascii="Arial Narrow" w:eastAsia="Arial Narrow" w:hAnsi="Arial Narrow" w:cs="Arial Narrow"/>
        </w:rPr>
        <w:t xml:space="preserve">. Reconoce los derechos a la intimidad, al buen nombre y al habeas data. En atención a que los diagnósticos, exámenes médicos y resultados toxicológicos contienen datos sensibles, el proyecto garantiza su reserva y limita la divulgación pública a la conclusión general del dictamen y a la decisión adoptada. </w:t>
      </w:r>
    </w:p>
    <w:p w14:paraId="3EAF8BB5" w14:textId="77777777" w:rsidR="002C2B4A" w:rsidRDefault="002C2B4A" w:rsidP="002C2B4A">
      <w:pPr>
        <w:spacing w:line="240" w:lineRule="auto"/>
        <w:jc w:val="both"/>
        <w:rPr>
          <w:rFonts w:ascii="Arial Narrow" w:eastAsia="Arial Narrow" w:hAnsi="Arial Narrow" w:cs="Arial Narrow"/>
        </w:rPr>
      </w:pPr>
      <w:r w:rsidRPr="00BB54A3">
        <w:rPr>
          <w:rFonts w:ascii="Arial Narrow" w:eastAsia="Arial Narrow" w:hAnsi="Arial Narrow" w:cs="Arial Narrow"/>
          <w:u w:val="single"/>
        </w:rPr>
        <w:t>Artículo 29.</w:t>
      </w:r>
      <w:r w:rsidRPr="002C2B4A">
        <w:rPr>
          <w:rFonts w:ascii="Arial Narrow" w:eastAsia="Arial Narrow" w:hAnsi="Arial Narrow" w:cs="Arial Narrow"/>
        </w:rPr>
        <w:t xml:space="preserve"> Establece que el debido proceso se aplicará a toda clase de actuaciones judiciales y administrativas. En desarrollo de este mandato, la iniciativa garantiza al gobernador o alcalde el conocimiento y la contradicción de las pruebas, la posibilidad de solicitar una contraprueba, aportar un dictamen médico independiente y actuar directamente o mediante apoderado. </w:t>
      </w:r>
    </w:p>
    <w:p w14:paraId="6F5FA1E3" w14:textId="77777777" w:rsidR="002C2B4A" w:rsidRDefault="002C2B4A" w:rsidP="002C2B4A">
      <w:pPr>
        <w:spacing w:line="240" w:lineRule="auto"/>
        <w:jc w:val="both"/>
        <w:rPr>
          <w:rFonts w:ascii="Arial Narrow" w:eastAsia="Arial Narrow" w:hAnsi="Arial Narrow" w:cs="Arial Narrow"/>
        </w:rPr>
      </w:pPr>
      <w:r w:rsidRPr="00BB54A3">
        <w:rPr>
          <w:rFonts w:ascii="Arial Narrow" w:eastAsia="Arial Narrow" w:hAnsi="Arial Narrow" w:cs="Arial Narrow"/>
          <w:u w:val="single"/>
        </w:rPr>
        <w:t>Artículos 114 y 150</w:t>
      </w:r>
      <w:r w:rsidRPr="002C2B4A">
        <w:rPr>
          <w:rFonts w:ascii="Arial Narrow" w:eastAsia="Arial Narrow" w:hAnsi="Arial Narrow" w:cs="Arial Narrow"/>
        </w:rPr>
        <w:t xml:space="preserve">. Atribuyen al Congreso de la República la función de hacer las leyes y ejercer la cláusula general de competencia legislativa. En virtud de estas disposiciones, corresponde al legislador regular el régimen de faltas de gobernadores y alcaldes y establecer el procedimiento aplicable para verificar una eventual afectación grave de sus capacidades. </w:t>
      </w:r>
    </w:p>
    <w:p w14:paraId="1E136DE9" w14:textId="77777777" w:rsidR="002C2B4A" w:rsidRDefault="002C2B4A" w:rsidP="002C2B4A">
      <w:pPr>
        <w:spacing w:line="240" w:lineRule="auto"/>
        <w:jc w:val="both"/>
        <w:rPr>
          <w:rFonts w:ascii="Arial Narrow" w:eastAsia="Arial Narrow" w:hAnsi="Arial Narrow" w:cs="Arial Narrow"/>
        </w:rPr>
      </w:pPr>
      <w:r w:rsidRPr="00BB54A3">
        <w:rPr>
          <w:rFonts w:ascii="Arial Narrow" w:eastAsia="Arial Narrow" w:hAnsi="Arial Narrow" w:cs="Arial Narrow"/>
          <w:u w:val="single"/>
        </w:rPr>
        <w:t>Artículo 287.</w:t>
      </w:r>
      <w:r w:rsidRPr="002C2B4A">
        <w:rPr>
          <w:rFonts w:ascii="Arial Narrow" w:eastAsia="Arial Narrow" w:hAnsi="Arial Narrow" w:cs="Arial Narrow"/>
        </w:rPr>
        <w:t xml:space="preserve"> Reconoce la autonomía de las entidades territoriales para la gestión de sus intereses, dentro de los límites de la Constitución y la ley. Por esta razón, el proyecto incorpora a las asambleas departamentales y </w:t>
      </w:r>
      <w:r w:rsidRPr="002C2B4A">
        <w:rPr>
          <w:rFonts w:ascii="Arial Narrow" w:eastAsia="Arial Narrow" w:hAnsi="Arial Narrow" w:cs="Arial Narrow"/>
        </w:rPr>
        <w:lastRenderedPageBreak/>
        <w:t>a los concejos distritales y municipales en la apertura del procedimiento, sin atribuirles la facultad de declarar la incapacidad o retirar al mandatario.</w:t>
      </w:r>
    </w:p>
    <w:p w14:paraId="5443952A" w14:textId="77777777" w:rsidR="002C2B4A" w:rsidRDefault="002C2B4A" w:rsidP="002C2B4A">
      <w:pPr>
        <w:spacing w:line="240" w:lineRule="auto"/>
        <w:jc w:val="both"/>
        <w:rPr>
          <w:rFonts w:ascii="Arial Narrow" w:eastAsia="Arial Narrow" w:hAnsi="Arial Narrow" w:cs="Arial Narrow"/>
        </w:rPr>
      </w:pPr>
      <w:r w:rsidRPr="00BB54A3">
        <w:rPr>
          <w:rFonts w:ascii="Arial Narrow" w:eastAsia="Arial Narrow" w:hAnsi="Arial Narrow" w:cs="Arial Narrow"/>
          <w:u w:val="single"/>
        </w:rPr>
        <w:t xml:space="preserve"> Artículos 303 y 304</w:t>
      </w:r>
      <w:r w:rsidRPr="002C2B4A">
        <w:rPr>
          <w:rFonts w:ascii="Arial Narrow" w:eastAsia="Arial Narrow" w:hAnsi="Arial Narrow" w:cs="Arial Narrow"/>
        </w:rPr>
        <w:t xml:space="preserve">. Regulan la elección de los gobernadores, la provisión del cargo ante sus faltas y la competencia del Presidente de la República para suspenderlos o destituirlos en los casos expresamente determinados por la ley. </w:t>
      </w:r>
    </w:p>
    <w:p w14:paraId="0573B224" w14:textId="77777777" w:rsidR="002C2B4A" w:rsidRDefault="002C2B4A" w:rsidP="002C2B4A">
      <w:pPr>
        <w:spacing w:line="240" w:lineRule="auto"/>
        <w:jc w:val="both"/>
        <w:rPr>
          <w:rFonts w:ascii="Arial Narrow" w:eastAsia="Arial Narrow" w:hAnsi="Arial Narrow" w:cs="Arial Narrow"/>
        </w:rPr>
      </w:pPr>
      <w:r w:rsidRPr="00BB54A3">
        <w:rPr>
          <w:rFonts w:ascii="Arial Narrow" w:eastAsia="Arial Narrow" w:hAnsi="Arial Narrow" w:cs="Arial Narrow"/>
          <w:u w:val="single"/>
        </w:rPr>
        <w:t>Artículos 314 y 315.</w:t>
      </w:r>
      <w:r w:rsidRPr="002C2B4A">
        <w:rPr>
          <w:rFonts w:ascii="Arial Narrow" w:eastAsia="Arial Narrow" w:hAnsi="Arial Narrow" w:cs="Arial Narrow"/>
        </w:rPr>
        <w:t xml:space="preserve"> Regulan la elección, el período y las funciones de los alcaldes, así como las reglas constitucionales aplicables a la provisión del cargo ante faltas absolutas. Estas disposiciones sustentan la necesidad de que cualquier decisión que afecte la permanencia de un alcalde respete su legitimidad democrática y las competencias establecidas en la Constitución. </w:t>
      </w:r>
    </w:p>
    <w:p w14:paraId="08001E49" w14:textId="77777777" w:rsidR="00BB54A3" w:rsidRDefault="002C2B4A" w:rsidP="002C2B4A">
      <w:pPr>
        <w:spacing w:line="240" w:lineRule="auto"/>
        <w:jc w:val="both"/>
        <w:rPr>
          <w:rFonts w:ascii="Arial Narrow" w:eastAsia="Arial Narrow" w:hAnsi="Arial Narrow" w:cs="Arial Narrow"/>
        </w:rPr>
      </w:pPr>
      <w:r w:rsidRPr="002C2B4A">
        <w:rPr>
          <w:rFonts w:ascii="Arial Narrow" w:eastAsia="Arial Narrow" w:hAnsi="Arial Narrow" w:cs="Arial Narrow"/>
        </w:rPr>
        <w:t xml:space="preserve">- </w:t>
      </w:r>
      <w:r w:rsidRPr="00D93B07">
        <w:rPr>
          <w:rFonts w:ascii="Arial Narrow" w:eastAsia="Arial Narrow" w:hAnsi="Arial Narrow" w:cs="Arial Narrow"/>
          <w:b/>
          <w:bCs/>
        </w:rPr>
        <w:t>Leyes</w:t>
      </w:r>
    </w:p>
    <w:p w14:paraId="201B380C" w14:textId="07969251" w:rsidR="002C2B4A" w:rsidRPr="00BB54A3" w:rsidRDefault="002C2B4A" w:rsidP="002C2B4A">
      <w:pPr>
        <w:spacing w:line="240" w:lineRule="auto"/>
        <w:jc w:val="both"/>
        <w:rPr>
          <w:rFonts w:ascii="Arial Narrow" w:eastAsia="Arial Narrow" w:hAnsi="Arial Narrow" w:cs="Arial Narrow"/>
          <w:u w:val="single"/>
        </w:rPr>
      </w:pPr>
      <w:r w:rsidRPr="00BB54A3">
        <w:rPr>
          <w:rFonts w:ascii="Arial Narrow" w:eastAsia="Arial Narrow" w:hAnsi="Arial Narrow" w:cs="Arial Narrow"/>
          <w:u w:val="single"/>
        </w:rPr>
        <w:t xml:space="preserve">Ley 136 de 1994 — Régimen municipal </w:t>
      </w:r>
    </w:p>
    <w:p w14:paraId="2BCB60DF" w14:textId="77777777" w:rsidR="002C2B4A" w:rsidRDefault="002C2B4A" w:rsidP="002C2B4A">
      <w:pPr>
        <w:spacing w:line="240" w:lineRule="auto"/>
        <w:jc w:val="both"/>
        <w:rPr>
          <w:rFonts w:ascii="Arial Narrow" w:eastAsia="Arial Narrow" w:hAnsi="Arial Narrow" w:cs="Arial Narrow"/>
        </w:rPr>
      </w:pPr>
      <w:r w:rsidRPr="002C2B4A">
        <w:rPr>
          <w:rFonts w:ascii="Arial Narrow" w:eastAsia="Arial Narrow" w:hAnsi="Arial Narrow" w:cs="Arial Narrow"/>
        </w:rPr>
        <w:t xml:space="preserve">La Ley 136 de 1994 contiene las normas sobre organización y funcionamiento de los municipios y regula el régimen aplicable a los alcaldes. Su artículo 98 establece las faltas absolutas del alcalde e incluye la incapacidad física permanente y la incapacidad por enfermedad superior a ciento ochenta días. El proyecto modifica esta disposición para precisar que la incapacidad puede comprender afectaciones físicas, mentales, cognitivas, neurológicas o funcionales, incluidas aquellas derivadas del consumo de sustancias psicoactivas, cuando comprometan gravemente la capacidad para ejercer el cargo. </w:t>
      </w:r>
    </w:p>
    <w:p w14:paraId="01CDAEEE" w14:textId="77777777" w:rsidR="002C2B4A" w:rsidRPr="00BB54A3" w:rsidRDefault="002C2B4A" w:rsidP="002C2B4A">
      <w:pPr>
        <w:spacing w:line="240" w:lineRule="auto"/>
        <w:jc w:val="both"/>
        <w:rPr>
          <w:rFonts w:ascii="Arial Narrow" w:eastAsia="Arial Narrow" w:hAnsi="Arial Narrow" w:cs="Arial Narrow"/>
          <w:u w:val="single"/>
        </w:rPr>
      </w:pPr>
      <w:r w:rsidRPr="00BB54A3">
        <w:rPr>
          <w:rFonts w:ascii="Arial Narrow" w:eastAsia="Arial Narrow" w:hAnsi="Arial Narrow" w:cs="Arial Narrow"/>
          <w:u w:val="single"/>
        </w:rPr>
        <w:t xml:space="preserve">Ley 2200 de 2022 — Régimen departamental </w:t>
      </w:r>
    </w:p>
    <w:p w14:paraId="4E3A8EB8" w14:textId="77777777" w:rsidR="002C2B4A" w:rsidRDefault="002C2B4A" w:rsidP="002C2B4A">
      <w:pPr>
        <w:spacing w:line="240" w:lineRule="auto"/>
        <w:jc w:val="both"/>
        <w:rPr>
          <w:rFonts w:ascii="Arial Narrow" w:eastAsia="Arial Narrow" w:hAnsi="Arial Narrow" w:cs="Arial Narrow"/>
        </w:rPr>
      </w:pPr>
      <w:r w:rsidRPr="002C2B4A">
        <w:rPr>
          <w:rFonts w:ascii="Arial Narrow" w:eastAsia="Arial Narrow" w:hAnsi="Arial Narrow" w:cs="Arial Narrow"/>
        </w:rPr>
        <w:t>La Ley 2200 de 2022 establece las normas sobre organización y funcionamiento de los departamentos y regula el régimen de los gobernadores.</w:t>
      </w:r>
    </w:p>
    <w:p w14:paraId="41AEF6E7" w14:textId="37820049" w:rsidR="002C2B4A" w:rsidRDefault="002C2B4A" w:rsidP="002C2B4A">
      <w:pPr>
        <w:spacing w:line="240" w:lineRule="auto"/>
        <w:jc w:val="both"/>
        <w:rPr>
          <w:rFonts w:ascii="Arial Narrow" w:eastAsia="Arial Narrow" w:hAnsi="Arial Narrow" w:cs="Arial Narrow"/>
        </w:rPr>
      </w:pPr>
      <w:r w:rsidRPr="002C2B4A">
        <w:rPr>
          <w:rFonts w:ascii="Arial Narrow" w:eastAsia="Arial Narrow" w:hAnsi="Arial Narrow" w:cs="Arial Narrow"/>
        </w:rPr>
        <w:t xml:space="preserve">El artículo 121 contempla la incapacidad física permanente como una de las faltas absolutas del gobernador. La iniciativa modifica esta disposición para ampliar su alcance a afectaciones mentales, cognitivas, neurológicas o funcionales y establecer que estas circunstancias pueden acreditarse mediante el dictamen de la Comisión Médica prevista en el proyecto. </w:t>
      </w:r>
    </w:p>
    <w:p w14:paraId="2FB112F4" w14:textId="77777777" w:rsidR="00BB54A3" w:rsidRPr="00BB54A3" w:rsidRDefault="002C2B4A" w:rsidP="002C2B4A">
      <w:pPr>
        <w:spacing w:line="240" w:lineRule="auto"/>
        <w:jc w:val="both"/>
        <w:rPr>
          <w:rFonts w:ascii="Arial Narrow" w:eastAsia="Arial Narrow" w:hAnsi="Arial Narrow" w:cs="Arial Narrow"/>
          <w:u w:val="single"/>
        </w:rPr>
      </w:pPr>
      <w:r w:rsidRPr="00BB54A3">
        <w:rPr>
          <w:rFonts w:ascii="Arial Narrow" w:eastAsia="Arial Narrow" w:hAnsi="Arial Narrow" w:cs="Arial Narrow"/>
          <w:u w:val="single"/>
        </w:rPr>
        <w:t xml:space="preserve">Ley 23 de 1981 — Normas en materia de ética médica </w:t>
      </w:r>
    </w:p>
    <w:p w14:paraId="09A79EC7" w14:textId="3677DEF4" w:rsidR="002C2B4A" w:rsidRDefault="002C2B4A" w:rsidP="002C2B4A">
      <w:pPr>
        <w:spacing w:line="240" w:lineRule="auto"/>
        <w:jc w:val="both"/>
        <w:rPr>
          <w:rFonts w:ascii="Arial Narrow" w:eastAsia="Arial Narrow" w:hAnsi="Arial Narrow" w:cs="Arial Narrow"/>
        </w:rPr>
      </w:pPr>
      <w:r w:rsidRPr="002C2B4A">
        <w:rPr>
          <w:rFonts w:ascii="Arial Narrow" w:eastAsia="Arial Narrow" w:hAnsi="Arial Narrow" w:cs="Arial Narrow"/>
        </w:rPr>
        <w:t xml:space="preserve">El artículo 34 define la historia clínica como un documento privado sometido a reserva, que únicamente puede ser conocido por terceros con autorización del paciente o en los casos previstos por la ley. En concordancia con esta disposición, el proyecto limita el acceso a la información clínica a las personas y autoridades directamente vinculadas con el procedimiento. </w:t>
      </w:r>
    </w:p>
    <w:p w14:paraId="01D1FCC4" w14:textId="77777777" w:rsidR="002C2B4A" w:rsidRPr="00BB54A3" w:rsidRDefault="002C2B4A" w:rsidP="002C2B4A">
      <w:pPr>
        <w:spacing w:line="240" w:lineRule="auto"/>
        <w:jc w:val="both"/>
        <w:rPr>
          <w:rFonts w:ascii="Arial Narrow" w:eastAsia="Arial Narrow" w:hAnsi="Arial Narrow" w:cs="Arial Narrow"/>
          <w:u w:val="single"/>
        </w:rPr>
      </w:pPr>
      <w:r w:rsidRPr="00BB54A3">
        <w:rPr>
          <w:rFonts w:ascii="Arial Narrow" w:eastAsia="Arial Narrow" w:hAnsi="Arial Narrow" w:cs="Arial Narrow"/>
          <w:u w:val="single"/>
        </w:rPr>
        <w:t xml:space="preserve">Ley Estatutaria 1581 de 2012 — Protección de datos personales </w:t>
      </w:r>
    </w:p>
    <w:p w14:paraId="30095644" w14:textId="77777777" w:rsidR="002C2B4A" w:rsidRDefault="002C2B4A" w:rsidP="002C2B4A">
      <w:pPr>
        <w:spacing w:line="240" w:lineRule="auto"/>
        <w:jc w:val="both"/>
        <w:rPr>
          <w:rFonts w:ascii="Arial Narrow" w:eastAsia="Arial Narrow" w:hAnsi="Arial Narrow" w:cs="Arial Narrow"/>
        </w:rPr>
      </w:pPr>
      <w:r w:rsidRPr="002C2B4A">
        <w:rPr>
          <w:rFonts w:ascii="Arial Narrow" w:eastAsia="Arial Narrow" w:hAnsi="Arial Narrow" w:cs="Arial Narrow"/>
        </w:rPr>
        <w:t xml:space="preserve">La Ley 1581 de 2012 reconoce como sensibles los datos relacionados con la salud y establece condiciones reforzadas para su tratamiento. En consecuencia, los diagnósticos, exámenes y resultados toxicológicos obtenidos durante el procedimiento solo podrán utilizarse para determinar la aptitud funcional del mandatario y no para fines políticos, mediáticos o distintos de los establecidos en la ley. </w:t>
      </w:r>
    </w:p>
    <w:p w14:paraId="057F6891" w14:textId="77777777" w:rsidR="00BA78D2" w:rsidRDefault="002C2B4A" w:rsidP="002C2B4A">
      <w:pPr>
        <w:spacing w:line="240" w:lineRule="auto"/>
        <w:jc w:val="both"/>
        <w:rPr>
          <w:rFonts w:ascii="Arial Narrow" w:eastAsia="Arial Narrow" w:hAnsi="Arial Narrow" w:cs="Arial Narrow"/>
        </w:rPr>
      </w:pPr>
      <w:r w:rsidRPr="002C2B4A">
        <w:rPr>
          <w:rFonts w:ascii="Arial Narrow" w:eastAsia="Arial Narrow" w:hAnsi="Arial Narrow" w:cs="Arial Narrow"/>
        </w:rPr>
        <w:t xml:space="preserve">- Jurisprudencia constitucional </w:t>
      </w:r>
    </w:p>
    <w:p w14:paraId="240E0B53" w14:textId="58EFE05E" w:rsidR="002C2B4A" w:rsidRDefault="002C2B4A" w:rsidP="002C2B4A">
      <w:pPr>
        <w:spacing w:line="240" w:lineRule="auto"/>
        <w:jc w:val="both"/>
        <w:rPr>
          <w:rFonts w:ascii="Arial Narrow" w:eastAsia="Arial Narrow" w:hAnsi="Arial Narrow" w:cs="Arial Narrow"/>
        </w:rPr>
      </w:pPr>
      <w:r w:rsidRPr="002C2B4A">
        <w:rPr>
          <w:rFonts w:ascii="Arial Narrow" w:eastAsia="Arial Narrow" w:hAnsi="Arial Narrow" w:cs="Arial Narrow"/>
        </w:rPr>
        <w:lastRenderedPageBreak/>
        <w:t xml:space="preserve">La Corte Constitucional ha establecido que el consumo de sustancias puede ser objeto de medidas disciplinarias cuando afecte la función pública, pero no debe sancionarse automáticamente el consumo privado sin demostrar relación con el servicio. En la Sentencia C-252 de 2003 condicionó la sanción por consumo en lugares públicos a que se acreditara una afectación de la función pública. </w:t>
      </w:r>
    </w:p>
    <w:p w14:paraId="0DD2CFA9" w14:textId="77777777" w:rsidR="00BA78D2" w:rsidRDefault="002C2B4A" w:rsidP="002C2B4A">
      <w:pPr>
        <w:spacing w:line="240" w:lineRule="auto"/>
        <w:jc w:val="both"/>
        <w:rPr>
          <w:rFonts w:ascii="Arial Narrow" w:eastAsia="Arial Narrow" w:hAnsi="Arial Narrow" w:cs="Arial Narrow"/>
        </w:rPr>
      </w:pPr>
      <w:r w:rsidRPr="002C2B4A">
        <w:rPr>
          <w:rFonts w:ascii="Arial Narrow" w:eastAsia="Arial Narrow" w:hAnsi="Arial Narrow" w:cs="Arial Narrow"/>
        </w:rPr>
        <w:t xml:space="preserve">La Sentencia C-536 de 2019 reiteró la necesidad de distinguir entre consumo, asistencia al trabajo bajo los efectos de sustancias y afectación efectiva del cargo, función o servicio. </w:t>
      </w:r>
    </w:p>
    <w:p w14:paraId="143622C7" w14:textId="03DB442B" w:rsidR="002C2B4A" w:rsidRDefault="002C2B4A" w:rsidP="002C2B4A">
      <w:pPr>
        <w:spacing w:line="240" w:lineRule="auto"/>
        <w:jc w:val="both"/>
        <w:rPr>
          <w:rFonts w:ascii="Arial Narrow" w:eastAsia="Arial Narrow" w:hAnsi="Arial Narrow" w:cs="Arial Narrow"/>
        </w:rPr>
      </w:pPr>
      <w:r w:rsidRPr="002C2B4A">
        <w:rPr>
          <w:rFonts w:ascii="Arial Narrow" w:eastAsia="Arial Narrow" w:hAnsi="Arial Narrow" w:cs="Arial Narrow"/>
        </w:rPr>
        <w:t xml:space="preserve">La Corte también ha considerado desproporcionadas las prohibiciones generales sobre consumo cuando no existe una relación clara entre la conducta y el bien jurídico que se pretende proteger. </w:t>
      </w:r>
    </w:p>
    <w:p w14:paraId="055EDC7A" w14:textId="49D53A9B" w:rsidR="002C2B4A" w:rsidRPr="002C2B4A" w:rsidRDefault="002C2B4A" w:rsidP="002C2B4A">
      <w:pPr>
        <w:spacing w:line="240" w:lineRule="auto"/>
        <w:jc w:val="both"/>
        <w:rPr>
          <w:rFonts w:ascii="Arial Narrow" w:eastAsia="Arial Narrow" w:hAnsi="Arial Narrow" w:cs="Arial Narrow"/>
        </w:rPr>
      </w:pPr>
      <w:r w:rsidRPr="002C2B4A">
        <w:rPr>
          <w:rFonts w:ascii="Arial Narrow" w:eastAsia="Arial Narrow" w:hAnsi="Arial Narrow" w:cs="Arial Narrow"/>
        </w:rPr>
        <w:t>En materia de información médica, la Corte ha reiterado que la historia clínica contiene datos íntimos sometidos a reserva legal. En la Sentencia T-153 de 2024 recordó que dicha reserva se fundamenta en la protección de la intimidad del paciente y limita el acceso, uso y divulgación de la información relacionada con su estado de salud.</w:t>
      </w:r>
    </w:p>
    <w:p w14:paraId="16ABE494" w14:textId="1FADFDA5" w:rsidR="005840DC" w:rsidRDefault="001B6D57">
      <w:pPr>
        <w:spacing w:before="312"/>
        <w:ind w:right="17"/>
        <w:jc w:val="both"/>
        <w:rPr>
          <w:rFonts w:ascii="Arial Narrow" w:eastAsia="Arial Narrow" w:hAnsi="Arial Narrow" w:cs="Arial Narrow"/>
          <w:b/>
          <w:bCs/>
        </w:rPr>
      </w:pPr>
      <w:r w:rsidRPr="00D93B07">
        <w:rPr>
          <w:rFonts w:ascii="Arial Narrow" w:eastAsia="Arial Narrow" w:hAnsi="Arial Narrow" w:cs="Arial Narrow"/>
          <w:b/>
          <w:bCs/>
        </w:rPr>
        <w:t xml:space="preserve">6. </w:t>
      </w:r>
      <w:r w:rsidR="005840DC" w:rsidRPr="00D93B07">
        <w:rPr>
          <w:rFonts w:ascii="Arial Narrow" w:eastAsia="Arial Narrow" w:hAnsi="Arial Narrow" w:cs="Arial Narrow"/>
          <w:b/>
          <w:bCs/>
        </w:rPr>
        <w:t>ANTECEDENTES LEGISLATIVOS</w:t>
      </w:r>
    </w:p>
    <w:p w14:paraId="42E958F9" w14:textId="77777777" w:rsidR="009778D9" w:rsidRPr="009778D9" w:rsidRDefault="009778D9" w:rsidP="009778D9">
      <w:pPr>
        <w:spacing w:before="312"/>
        <w:ind w:right="17"/>
        <w:jc w:val="both"/>
        <w:rPr>
          <w:rFonts w:ascii="Arial Narrow" w:eastAsia="Arial Narrow" w:hAnsi="Arial Narrow" w:cs="Arial Narrow"/>
        </w:rPr>
      </w:pPr>
      <w:r w:rsidRPr="009778D9">
        <w:rPr>
          <w:rFonts w:ascii="Arial Narrow" w:eastAsia="Arial Narrow" w:hAnsi="Arial Narrow" w:cs="Arial Narrow"/>
        </w:rPr>
        <w:t>1. Proyecto de Ley 196 de 2012 Senado / 255 de 2012 Cámara</w:t>
      </w:r>
    </w:p>
    <w:p w14:paraId="5FB9E92F" w14:textId="7FDB96E9" w:rsidR="009778D9" w:rsidRPr="009778D9" w:rsidRDefault="009778D9" w:rsidP="009778D9">
      <w:pPr>
        <w:spacing w:before="312"/>
        <w:ind w:right="17"/>
        <w:jc w:val="both"/>
        <w:rPr>
          <w:rFonts w:ascii="Arial Narrow" w:eastAsia="Arial Narrow" w:hAnsi="Arial Narrow" w:cs="Arial Narrow"/>
        </w:rPr>
      </w:pPr>
      <w:r w:rsidRPr="009778D9">
        <w:rPr>
          <w:rFonts w:ascii="Arial Narrow" w:eastAsia="Arial Narrow" w:hAnsi="Arial Narrow" w:cs="Arial Narrow"/>
        </w:rPr>
        <w:t>De autoría del senador Juan Lozano Ramírez, proponía un examen médico integral anual para el Presidente, el Vicepresidente, ministros, directores de departamentos administrativos, gobernadores, alcaldes y la cúpula de la Fuerza Pública. Fue aprobado en los dos debates del Senado y archivado en la Comisión Séptima de la Cámara el 29 de mayo de 2013, durante el trámite del tercer debate. Durante su discusión se cuestionaron la divulgación de información médica, la autoridad competente para adoptar decisiones y la custodia de los resultados.</w:t>
      </w:r>
    </w:p>
    <w:p w14:paraId="7A338710" w14:textId="77777777" w:rsidR="009778D9" w:rsidRPr="009778D9" w:rsidRDefault="009778D9" w:rsidP="009778D9">
      <w:pPr>
        <w:spacing w:before="312"/>
        <w:ind w:right="17"/>
        <w:jc w:val="both"/>
        <w:rPr>
          <w:rFonts w:ascii="Arial Narrow" w:eastAsia="Arial Narrow" w:hAnsi="Arial Narrow" w:cs="Arial Narrow"/>
        </w:rPr>
      </w:pPr>
      <w:r w:rsidRPr="009778D9">
        <w:rPr>
          <w:rFonts w:ascii="Arial Narrow" w:eastAsia="Arial Narrow" w:hAnsi="Arial Narrow" w:cs="Arial Narrow"/>
        </w:rPr>
        <w:t>2. Proyecto de Ley 59 de 2013 Senado</w:t>
      </w:r>
    </w:p>
    <w:p w14:paraId="6E3FDFC1" w14:textId="47C622C1" w:rsidR="009778D9" w:rsidRPr="009778D9" w:rsidRDefault="009778D9" w:rsidP="009778D9">
      <w:pPr>
        <w:spacing w:before="312"/>
        <w:ind w:right="17"/>
        <w:jc w:val="both"/>
        <w:rPr>
          <w:rFonts w:ascii="Arial Narrow" w:eastAsia="Arial Narrow" w:hAnsi="Arial Narrow" w:cs="Arial Narrow"/>
        </w:rPr>
      </w:pPr>
      <w:r w:rsidRPr="009778D9">
        <w:rPr>
          <w:rFonts w:ascii="Arial Narrow" w:eastAsia="Arial Narrow" w:hAnsi="Arial Narrow" w:cs="Arial Narrow"/>
        </w:rPr>
        <w:t>También presentado por Juan Lozano Ramírez, retomó la regulación de la incapacidad por motivos de salud del Presidente, Vicepresidente, gobernadores y alcaldes. Proponía exámenes médicos integrales anuales para verificar su aptitud para cumplir las funciones constitucionales y legales.</w:t>
      </w:r>
      <w:r>
        <w:rPr>
          <w:rFonts w:ascii="Arial Narrow" w:eastAsia="Arial Narrow" w:hAnsi="Arial Narrow" w:cs="Arial Narrow"/>
        </w:rPr>
        <w:t xml:space="preserve"> </w:t>
      </w:r>
      <w:r w:rsidRPr="009778D9">
        <w:rPr>
          <w:rFonts w:ascii="Arial Narrow" w:eastAsia="Arial Narrow" w:hAnsi="Arial Narrow" w:cs="Arial Narrow"/>
        </w:rPr>
        <w:t xml:space="preserve">El informe legislativo oficial del Senado 2013–2014 registra su presentación el 15 de agosto de 2013 y su aprobación en primer debate el 27 de noviembre de 2013. </w:t>
      </w:r>
    </w:p>
    <w:p w14:paraId="474514DD" w14:textId="77777777" w:rsidR="009778D9" w:rsidRPr="009778D9" w:rsidRDefault="009778D9" w:rsidP="009778D9">
      <w:pPr>
        <w:spacing w:before="312"/>
        <w:ind w:right="17"/>
        <w:jc w:val="both"/>
        <w:rPr>
          <w:rFonts w:ascii="Arial Narrow" w:eastAsia="Arial Narrow" w:hAnsi="Arial Narrow" w:cs="Arial Narrow"/>
        </w:rPr>
      </w:pPr>
      <w:r w:rsidRPr="009778D9">
        <w:rPr>
          <w:rFonts w:ascii="Arial Narrow" w:eastAsia="Arial Narrow" w:hAnsi="Arial Narrow" w:cs="Arial Narrow"/>
        </w:rPr>
        <w:t>3. Proyecto de Ley Estatutaria 353 de 2023 Cámara</w:t>
      </w:r>
    </w:p>
    <w:p w14:paraId="30F3EE03" w14:textId="63E2D931" w:rsidR="009778D9" w:rsidRPr="009778D9" w:rsidRDefault="009778D9" w:rsidP="009778D9">
      <w:pPr>
        <w:spacing w:before="312"/>
        <w:ind w:right="17"/>
        <w:jc w:val="both"/>
        <w:rPr>
          <w:rFonts w:ascii="Arial Narrow" w:eastAsia="Arial Narrow" w:hAnsi="Arial Narrow" w:cs="Arial Narrow"/>
        </w:rPr>
      </w:pPr>
      <w:r w:rsidRPr="009778D9">
        <w:rPr>
          <w:rFonts w:ascii="Arial Narrow" w:eastAsia="Arial Narrow" w:hAnsi="Arial Narrow" w:cs="Arial Narrow"/>
        </w:rPr>
        <w:t>Presentado por el representante Carlos Felipe Quintero Ovalle, fue radicado el 7 de marzo de 2023. Buscaba establecer un dictamen médico integral obligatorio anual para el Presidente, Vicepresidente, gobernadores y alcaldes, con la finalidad de verificar sus condiciones para ejercer el cargo.</w:t>
      </w:r>
      <w:r>
        <w:rPr>
          <w:rFonts w:ascii="Arial Narrow" w:eastAsia="Arial Narrow" w:hAnsi="Arial Narrow" w:cs="Arial Narrow"/>
        </w:rPr>
        <w:t xml:space="preserve"> </w:t>
      </w:r>
      <w:r w:rsidRPr="009778D9">
        <w:rPr>
          <w:rFonts w:ascii="Arial Narrow" w:eastAsia="Arial Narrow" w:hAnsi="Arial Narrow" w:cs="Arial Narrow"/>
        </w:rPr>
        <w:t xml:space="preserve">La ficha oficial registra publicación en la Gaceta 157 de 2023, ponencia para primer debate en la Gaceta 287 de 2023 y archivo conforme al artículo 190 de la Ley 5ª de 1992. </w:t>
      </w:r>
    </w:p>
    <w:p w14:paraId="18FEA8EE" w14:textId="77777777" w:rsidR="009778D9" w:rsidRPr="009778D9" w:rsidRDefault="009778D9" w:rsidP="009778D9">
      <w:pPr>
        <w:spacing w:before="312"/>
        <w:ind w:right="17"/>
        <w:jc w:val="both"/>
        <w:rPr>
          <w:rFonts w:ascii="Arial Narrow" w:eastAsia="Arial Narrow" w:hAnsi="Arial Narrow" w:cs="Arial Narrow"/>
        </w:rPr>
      </w:pPr>
      <w:r w:rsidRPr="009778D9">
        <w:rPr>
          <w:rFonts w:ascii="Arial Narrow" w:eastAsia="Arial Narrow" w:hAnsi="Arial Narrow" w:cs="Arial Narrow"/>
        </w:rPr>
        <w:lastRenderedPageBreak/>
        <w:t>4. Proyecto de Ley Estatutaria 079 de 2023 Cámara</w:t>
      </w:r>
    </w:p>
    <w:p w14:paraId="7CA38301" w14:textId="77777777" w:rsidR="009778D9" w:rsidRPr="009778D9" w:rsidRDefault="009778D9" w:rsidP="009778D9">
      <w:pPr>
        <w:spacing w:before="312"/>
        <w:ind w:right="17"/>
        <w:jc w:val="both"/>
        <w:rPr>
          <w:rFonts w:ascii="Arial Narrow" w:eastAsia="Arial Narrow" w:hAnsi="Arial Narrow" w:cs="Arial Narrow"/>
        </w:rPr>
      </w:pPr>
      <w:r w:rsidRPr="009778D9">
        <w:rPr>
          <w:rFonts w:ascii="Arial Narrow" w:eastAsia="Arial Narrow" w:hAnsi="Arial Narrow" w:cs="Arial Narrow"/>
        </w:rPr>
        <w:t>También de autoría de Carlos Felipe Quintero Ovalle, fue radicado el 2 de agosto de 2023. Planteaba un dictamen médico integral obligatorio anual para cargos uninominales elegidos democráticamente.</w:t>
      </w:r>
    </w:p>
    <w:p w14:paraId="27E5C7AF" w14:textId="44343826" w:rsidR="009778D9" w:rsidRPr="009778D9" w:rsidRDefault="009778D9" w:rsidP="009778D9">
      <w:pPr>
        <w:spacing w:before="312"/>
        <w:ind w:right="17"/>
        <w:jc w:val="both"/>
        <w:rPr>
          <w:rFonts w:ascii="Arial Narrow" w:eastAsia="Arial Narrow" w:hAnsi="Arial Narrow" w:cs="Arial Narrow"/>
        </w:rPr>
      </w:pPr>
      <w:r w:rsidRPr="009778D9">
        <w:rPr>
          <w:rFonts w:ascii="Arial Narrow" w:eastAsia="Arial Narrow" w:hAnsi="Arial Narrow" w:cs="Arial Narrow"/>
        </w:rPr>
        <w:t>Fue archivado en la Comisión Primera de la Cámara el 12 de septiembre de 2023, según el Acta 12. La ficha registra publicación del proyecto en la Gaceta 1027 de 2023 y de la ponencia en la Gaceta 1137 de 2023</w:t>
      </w:r>
      <w:r>
        <w:rPr>
          <w:rFonts w:ascii="Arial Narrow" w:eastAsia="Arial Narrow" w:hAnsi="Arial Narrow" w:cs="Arial Narrow"/>
        </w:rPr>
        <w:t>.</w:t>
      </w:r>
    </w:p>
    <w:p w14:paraId="318107B4" w14:textId="77777777" w:rsidR="009778D9" w:rsidRPr="009778D9" w:rsidRDefault="009778D9" w:rsidP="009778D9">
      <w:pPr>
        <w:spacing w:before="312"/>
        <w:ind w:right="17"/>
        <w:jc w:val="both"/>
        <w:rPr>
          <w:rFonts w:ascii="Arial Narrow" w:eastAsia="Arial Narrow" w:hAnsi="Arial Narrow" w:cs="Arial Narrow"/>
        </w:rPr>
      </w:pPr>
      <w:r w:rsidRPr="009778D9">
        <w:rPr>
          <w:rFonts w:ascii="Arial Narrow" w:eastAsia="Arial Narrow" w:hAnsi="Arial Narrow" w:cs="Arial Narrow"/>
        </w:rPr>
        <w:t>5. Proyecto de Ley Orgánica 484 de 2025 Cámara — “</w:t>
      </w:r>
      <w:proofErr w:type="spellStart"/>
      <w:r w:rsidRPr="009778D9">
        <w:rPr>
          <w:rFonts w:ascii="Arial Narrow" w:eastAsia="Arial Narrow" w:hAnsi="Arial Narrow" w:cs="Arial Narrow"/>
        </w:rPr>
        <w:t>Narcotest</w:t>
      </w:r>
      <w:proofErr w:type="spellEnd"/>
      <w:r w:rsidRPr="009778D9">
        <w:rPr>
          <w:rFonts w:ascii="Arial Narrow" w:eastAsia="Arial Narrow" w:hAnsi="Arial Narrow" w:cs="Arial Narrow"/>
        </w:rPr>
        <w:t xml:space="preserve"> presidencial”</w:t>
      </w:r>
    </w:p>
    <w:p w14:paraId="3A339C4C" w14:textId="25C92E39" w:rsidR="009778D9" w:rsidRPr="009778D9" w:rsidRDefault="009778D9" w:rsidP="009778D9">
      <w:pPr>
        <w:spacing w:before="312"/>
        <w:ind w:right="17"/>
        <w:jc w:val="both"/>
        <w:rPr>
          <w:rFonts w:ascii="Arial Narrow" w:eastAsia="Arial Narrow" w:hAnsi="Arial Narrow" w:cs="Arial Narrow"/>
        </w:rPr>
      </w:pPr>
      <w:r w:rsidRPr="009778D9">
        <w:rPr>
          <w:rFonts w:ascii="Arial Narrow" w:eastAsia="Arial Narrow" w:hAnsi="Arial Narrow" w:cs="Arial Narrow"/>
        </w:rPr>
        <w:t>Radicado el 28 de enero de 2025, proponía adicionar un parágrafo al artículo 313 de la Ley 5ª de 1992 para facultar al Congreso a solicitar al Presidente un examen de detección de sustancias psicoactivas y una licencia obligatoria para su recuperación.</w:t>
      </w:r>
      <w:r>
        <w:rPr>
          <w:rFonts w:ascii="Arial Narrow" w:eastAsia="Arial Narrow" w:hAnsi="Arial Narrow" w:cs="Arial Narrow"/>
        </w:rPr>
        <w:t xml:space="preserve"> </w:t>
      </w:r>
      <w:r w:rsidRPr="009778D9">
        <w:rPr>
          <w:rFonts w:ascii="Arial Narrow" w:eastAsia="Arial Narrow" w:hAnsi="Arial Narrow" w:cs="Arial Narrow"/>
        </w:rPr>
        <w:t xml:space="preserve">Es un antecedente relacionado por su componente toxicológico, aunque no comprendía a gobernadores ni alcaldes. La Cámara registra su archivo el 24 de junio de 2025, conforme al artículo 162 constitucional y al artículo 190 de la Ley 5ª de 1992. </w:t>
      </w:r>
    </w:p>
    <w:p w14:paraId="68FFE759" w14:textId="77777777" w:rsidR="009778D9" w:rsidRPr="009778D9" w:rsidRDefault="009778D9" w:rsidP="009778D9">
      <w:pPr>
        <w:spacing w:before="312"/>
        <w:ind w:right="17"/>
        <w:jc w:val="both"/>
        <w:rPr>
          <w:rFonts w:ascii="Arial Narrow" w:eastAsia="Arial Narrow" w:hAnsi="Arial Narrow" w:cs="Arial Narrow"/>
        </w:rPr>
      </w:pPr>
      <w:r w:rsidRPr="009778D9">
        <w:rPr>
          <w:rFonts w:ascii="Arial Narrow" w:eastAsia="Arial Narrow" w:hAnsi="Arial Narrow" w:cs="Arial Narrow"/>
        </w:rPr>
        <w:t>6. Proyecto de Ley Orgánica 198 de 2026 Cámara</w:t>
      </w:r>
    </w:p>
    <w:p w14:paraId="25168B2D" w14:textId="6CE5F804" w:rsidR="009778D9" w:rsidRPr="009369A6" w:rsidRDefault="009778D9" w:rsidP="009778D9">
      <w:pPr>
        <w:spacing w:before="312"/>
        <w:ind w:right="17"/>
        <w:jc w:val="both"/>
        <w:rPr>
          <w:rFonts w:ascii="Arial Narrow" w:eastAsia="Arial Narrow" w:hAnsi="Arial Narrow" w:cs="Arial Narrow"/>
        </w:rPr>
      </w:pPr>
      <w:r w:rsidRPr="009778D9">
        <w:rPr>
          <w:rFonts w:ascii="Arial Narrow" w:eastAsia="Arial Narrow" w:hAnsi="Arial Narrow" w:cs="Arial Narrow"/>
        </w:rPr>
        <w:t>Fue radicado el 12 de agosto de 2026 y desarrolla una verificación médica funcional y toxicológica del Presidente, mediante modificaciones a los artículos 313, 320 y 326 de la Ley 5ª de 1992. Su objeto también se refiere a una evaluación excepcional de afectaciones graves de la capacidad para ejercer el cargo.</w:t>
      </w:r>
    </w:p>
    <w:p w14:paraId="1126FC69" w14:textId="13CD48F7" w:rsidR="009369A6" w:rsidRDefault="005840DC">
      <w:pPr>
        <w:spacing w:before="312"/>
        <w:ind w:right="17"/>
        <w:jc w:val="both"/>
        <w:rPr>
          <w:rFonts w:ascii="Arial Narrow" w:eastAsia="Arial Narrow" w:hAnsi="Arial Narrow" w:cs="Arial Narrow"/>
          <w:b/>
          <w:bCs/>
        </w:rPr>
      </w:pPr>
      <w:r w:rsidRPr="009778D9">
        <w:rPr>
          <w:rFonts w:ascii="Arial Narrow" w:eastAsia="Arial Narrow" w:hAnsi="Arial Narrow" w:cs="Arial Narrow"/>
          <w:b/>
          <w:bCs/>
        </w:rPr>
        <w:t xml:space="preserve">7. </w:t>
      </w:r>
      <w:r w:rsidR="001B6D57" w:rsidRPr="009778D9">
        <w:rPr>
          <w:rFonts w:ascii="Arial Narrow" w:eastAsia="Arial Narrow" w:hAnsi="Arial Narrow" w:cs="Arial Narrow"/>
          <w:b/>
          <w:bCs/>
        </w:rPr>
        <w:t>CONSIDERACIÓN DE</w:t>
      </w:r>
      <w:r w:rsidR="005A6511" w:rsidRPr="009778D9">
        <w:rPr>
          <w:rFonts w:ascii="Arial Narrow" w:eastAsia="Arial Narrow" w:hAnsi="Arial Narrow" w:cs="Arial Narrow"/>
          <w:b/>
          <w:bCs/>
        </w:rPr>
        <w:t>L</w:t>
      </w:r>
      <w:r w:rsidR="001B6D57" w:rsidRPr="009778D9">
        <w:rPr>
          <w:rFonts w:ascii="Arial Narrow" w:eastAsia="Arial Narrow" w:hAnsi="Arial Narrow" w:cs="Arial Narrow"/>
          <w:b/>
          <w:bCs/>
        </w:rPr>
        <w:t xml:space="preserve"> PONENTE</w:t>
      </w:r>
      <w:r w:rsidR="001B6D57" w:rsidRPr="00667E0B">
        <w:rPr>
          <w:rFonts w:ascii="Arial Narrow" w:eastAsia="Arial Narrow" w:hAnsi="Arial Narrow" w:cs="Arial Narrow"/>
          <w:b/>
          <w:bCs/>
        </w:rPr>
        <w:t xml:space="preserve">  </w:t>
      </w:r>
    </w:p>
    <w:p w14:paraId="1D74FC9C" w14:textId="77777777" w:rsidR="009778D9" w:rsidRPr="009778D9" w:rsidRDefault="009778D9" w:rsidP="009778D9">
      <w:pPr>
        <w:spacing w:before="312"/>
        <w:ind w:right="17"/>
        <w:jc w:val="both"/>
        <w:rPr>
          <w:rFonts w:ascii="Arial Narrow" w:eastAsia="Arial Narrow" w:hAnsi="Arial Narrow" w:cs="Arial Narrow"/>
        </w:rPr>
      </w:pPr>
      <w:r w:rsidRPr="009778D9">
        <w:rPr>
          <w:rFonts w:ascii="Arial Narrow" w:eastAsia="Arial Narrow" w:hAnsi="Arial Narrow" w:cs="Arial Narrow"/>
        </w:rPr>
        <w:t>Como ponente, considero pertinente respaldar el presente proyecto de ley, cuyo propósito es establecer un procedimiento técnico para verificar si una afectación grave de la salud de un gobernador o alcalde compromete su capacidad para ejercer el cargo. La continuidad de la administración territorial, la prestación de los servicios públicos y la gestión de los recursos de la comunidad justifican que estas situaciones puedan ser evaluadas mediante reglas claras, pruebas científicas y garantías suficientes para el mandatario.</w:t>
      </w:r>
    </w:p>
    <w:p w14:paraId="00F16B37" w14:textId="1CCE7AE6" w:rsidR="007E465B" w:rsidRPr="007E465B" w:rsidRDefault="009778D9" w:rsidP="007E465B">
      <w:pPr>
        <w:spacing w:before="312"/>
        <w:ind w:right="17"/>
        <w:jc w:val="both"/>
        <w:rPr>
          <w:rFonts w:ascii="Arial Narrow" w:eastAsia="Arial Narrow" w:hAnsi="Arial Narrow" w:cs="Arial Narrow"/>
        </w:rPr>
      </w:pPr>
      <w:r w:rsidRPr="009778D9">
        <w:rPr>
          <w:rFonts w:ascii="Arial Narrow" w:eastAsia="Arial Narrow" w:hAnsi="Arial Narrow" w:cs="Arial Narrow"/>
        </w:rPr>
        <w:t xml:space="preserve">El respaldo a la iniciativa también se fundamenta en las garantías previstas para el mandatario: conocer y controvertir las pruebas, aportar un dictamen independiente, actuar mediante apoderado y mantener la reserva de su información clínica. Por estas razones, </w:t>
      </w:r>
      <w:r>
        <w:rPr>
          <w:rFonts w:ascii="Arial Narrow" w:eastAsia="Arial Narrow" w:hAnsi="Arial Narrow" w:cs="Arial Narrow"/>
        </w:rPr>
        <w:t>c</w:t>
      </w:r>
      <w:r w:rsidR="007E465B" w:rsidRPr="007E465B">
        <w:rPr>
          <w:rFonts w:ascii="Arial Narrow" w:eastAsia="Arial Narrow" w:hAnsi="Arial Narrow" w:cs="Arial Narrow"/>
        </w:rPr>
        <w:t>onsider</w:t>
      </w:r>
      <w:r>
        <w:rPr>
          <w:rFonts w:ascii="Arial Narrow" w:eastAsia="Arial Narrow" w:hAnsi="Arial Narrow" w:cs="Arial Narrow"/>
        </w:rPr>
        <w:t>o</w:t>
      </w:r>
      <w:r w:rsidR="007E465B" w:rsidRPr="007E465B">
        <w:rPr>
          <w:rFonts w:ascii="Arial Narrow" w:eastAsia="Arial Narrow" w:hAnsi="Arial Narrow" w:cs="Arial Narrow"/>
        </w:rPr>
        <w:t xml:space="preserve"> que la iniciativa contribuye a dar certeza al ejercicio de una competencia constitucional de la mayor importancia, al tiempo que protege la continuidad institucional, la intimidad y el debido proceso del Presidente de la República</w:t>
      </w:r>
      <w:r w:rsidR="007E465B" w:rsidRPr="007E465B">
        <w:rPr>
          <w:rFonts w:ascii="Arial Narrow" w:eastAsia="Arial Narrow" w:hAnsi="Arial Narrow" w:cs="Arial Narrow"/>
          <w:b/>
          <w:bCs/>
        </w:rPr>
        <w:t>.</w:t>
      </w:r>
      <w:r w:rsidR="007E465B" w:rsidRPr="007E465B">
        <w:rPr>
          <w:rFonts w:ascii="Arial Narrow" w:eastAsia="Arial Narrow" w:hAnsi="Arial Narrow" w:cs="Arial Narrow"/>
        </w:rPr>
        <w:t xml:space="preserve"> </w:t>
      </w:r>
    </w:p>
    <w:p w14:paraId="4D98D3AB" w14:textId="53325475" w:rsidR="005B46B1" w:rsidRPr="00CF17A9" w:rsidRDefault="00A106C7">
      <w:pPr>
        <w:spacing w:before="312"/>
        <w:ind w:right="17"/>
        <w:jc w:val="both"/>
        <w:rPr>
          <w:rFonts w:ascii="Arial Narrow" w:hAnsi="Arial Narrow" w:cs="Segoe UI"/>
          <w:b/>
          <w:bCs/>
          <w:color w:val="0D0D0D"/>
          <w:shd w:val="clear" w:color="auto" w:fill="FCFCFC"/>
        </w:rPr>
      </w:pPr>
      <w:r>
        <w:rPr>
          <w:rFonts w:ascii="Arial Narrow" w:hAnsi="Arial Narrow" w:cs="Segoe UI"/>
          <w:b/>
          <w:bCs/>
          <w:color w:val="0D0D0D"/>
          <w:shd w:val="clear" w:color="auto" w:fill="FCFCFC"/>
        </w:rPr>
        <w:t>8</w:t>
      </w:r>
      <w:r w:rsidR="005B46B1" w:rsidRPr="00CF17A9">
        <w:rPr>
          <w:rFonts w:ascii="Arial Narrow" w:hAnsi="Arial Narrow" w:cs="Segoe UI"/>
          <w:b/>
          <w:bCs/>
          <w:color w:val="0D0D0D"/>
          <w:shd w:val="clear" w:color="auto" w:fill="FCFCFC"/>
        </w:rPr>
        <w:t>. IMPACTO FISCAL</w:t>
      </w:r>
    </w:p>
    <w:p w14:paraId="23C5BB61" w14:textId="77777777" w:rsidR="00E544A6" w:rsidRDefault="00E544A6" w:rsidP="005B46B1">
      <w:pPr>
        <w:pStyle w:val="NormalWeb"/>
        <w:shd w:val="clear" w:color="auto" w:fill="FCFCFC"/>
        <w:spacing w:before="0" w:beforeAutospacing="0" w:after="0" w:afterAutospacing="0"/>
        <w:jc w:val="both"/>
        <w:rPr>
          <w:rFonts w:ascii="Arial Narrow" w:hAnsi="Arial Narrow" w:cs="Segoe UI"/>
          <w:color w:val="0D0D0D"/>
          <w:sz w:val="22"/>
          <w:szCs w:val="22"/>
        </w:rPr>
      </w:pPr>
      <w:r w:rsidRPr="00E544A6">
        <w:rPr>
          <w:rFonts w:ascii="Arial Narrow" w:hAnsi="Arial Narrow" w:cs="Segoe UI"/>
          <w:color w:val="0D0D0D"/>
          <w:sz w:val="22"/>
          <w:szCs w:val="22"/>
        </w:rPr>
        <w:t xml:space="preserve">En el marco de lo establecido en el artículo 7 de la Ley 819 de 2003, por la cual se dictan normas orgánicas en materia de presupuesto, responsabilidad y transparencia fiscal y se dictan otras disposiciones, que establece: </w:t>
      </w:r>
    </w:p>
    <w:p w14:paraId="173246E9" w14:textId="77777777" w:rsidR="00E544A6" w:rsidRPr="00E544A6" w:rsidRDefault="00E544A6" w:rsidP="005B46B1">
      <w:pPr>
        <w:pStyle w:val="NormalWeb"/>
        <w:shd w:val="clear" w:color="auto" w:fill="FCFCFC"/>
        <w:spacing w:before="0" w:beforeAutospacing="0" w:after="0" w:afterAutospacing="0"/>
        <w:jc w:val="both"/>
        <w:rPr>
          <w:rFonts w:ascii="Arial Narrow" w:hAnsi="Arial Narrow" w:cs="Segoe UI"/>
          <w:b/>
          <w:bCs/>
          <w:color w:val="0D0D0D"/>
          <w:sz w:val="22"/>
          <w:szCs w:val="22"/>
        </w:rPr>
      </w:pPr>
    </w:p>
    <w:p w14:paraId="1DEFB0CB" w14:textId="77777777" w:rsidR="00E544A6" w:rsidRPr="00E544A6" w:rsidRDefault="00E544A6" w:rsidP="00E544A6">
      <w:pPr>
        <w:pStyle w:val="NormalWeb"/>
        <w:shd w:val="clear" w:color="auto" w:fill="FCFCFC"/>
        <w:spacing w:before="0" w:beforeAutospacing="0" w:after="0" w:afterAutospacing="0"/>
        <w:ind w:left="720"/>
        <w:jc w:val="both"/>
        <w:rPr>
          <w:rFonts w:ascii="Arial Narrow" w:hAnsi="Arial Narrow" w:cs="Segoe UI"/>
          <w:i/>
          <w:iCs/>
          <w:color w:val="0D0D0D"/>
          <w:sz w:val="20"/>
          <w:szCs w:val="20"/>
        </w:rPr>
      </w:pPr>
      <w:r w:rsidRPr="00E544A6">
        <w:rPr>
          <w:rFonts w:ascii="Arial Narrow" w:hAnsi="Arial Narrow" w:cs="Segoe UI"/>
          <w:b/>
          <w:bCs/>
          <w:i/>
          <w:iCs/>
          <w:color w:val="0D0D0D"/>
          <w:sz w:val="20"/>
          <w:szCs w:val="20"/>
        </w:rPr>
        <w:lastRenderedPageBreak/>
        <w:t>“ARTÍCULO 7. ANÁLISIS DEL IMPACTO FISCAL DE LAS NORMAS</w:t>
      </w:r>
      <w:r w:rsidRPr="00E544A6">
        <w:rPr>
          <w:rFonts w:ascii="Arial Narrow" w:hAnsi="Arial Narrow" w:cs="Segoe UI"/>
          <w:i/>
          <w:iCs/>
          <w:color w:val="0D0D0D"/>
          <w:sz w:val="20"/>
          <w:szCs w:val="20"/>
        </w:rPr>
        <w:t>. En todo momento, el impacto fiscal de cualquier proyecto de ley, ordenanza o acuerdo, que ordene gasto o que otorgue beneficios tributarios, deberá hacerse explícito y deberá ser compatible con el Marco Fiscal de Mediano Plazo. Para estos propósitos, deberá incluirse expresamente en la exposición de motivos y en las ponencias de trámite respectivas los costos fiscales de la iniciativa y la fuente de ingreso adicional generada para el financiamiento de dicho costo.</w:t>
      </w:r>
    </w:p>
    <w:p w14:paraId="61909A33" w14:textId="77777777" w:rsidR="00E544A6" w:rsidRPr="00E544A6" w:rsidRDefault="00E544A6" w:rsidP="00E544A6">
      <w:pPr>
        <w:pStyle w:val="NormalWeb"/>
        <w:shd w:val="clear" w:color="auto" w:fill="FCFCFC"/>
        <w:spacing w:before="0" w:beforeAutospacing="0" w:after="0" w:afterAutospacing="0"/>
        <w:ind w:left="720"/>
        <w:jc w:val="both"/>
        <w:rPr>
          <w:rFonts w:ascii="Arial Narrow" w:hAnsi="Arial Narrow" w:cs="Segoe UI"/>
          <w:i/>
          <w:iCs/>
          <w:color w:val="0D0D0D"/>
          <w:sz w:val="20"/>
          <w:szCs w:val="20"/>
        </w:rPr>
      </w:pPr>
    </w:p>
    <w:p w14:paraId="436F3ECA" w14:textId="77777777" w:rsidR="00E544A6" w:rsidRPr="00E544A6" w:rsidRDefault="00E544A6" w:rsidP="00E544A6">
      <w:pPr>
        <w:pStyle w:val="NormalWeb"/>
        <w:shd w:val="clear" w:color="auto" w:fill="FCFCFC"/>
        <w:spacing w:before="0" w:beforeAutospacing="0" w:after="0" w:afterAutospacing="0"/>
        <w:ind w:left="720"/>
        <w:jc w:val="both"/>
        <w:rPr>
          <w:rFonts w:ascii="Arial Narrow" w:hAnsi="Arial Narrow" w:cs="Segoe UI"/>
          <w:i/>
          <w:iCs/>
          <w:color w:val="0D0D0D"/>
          <w:sz w:val="20"/>
          <w:szCs w:val="20"/>
        </w:rPr>
      </w:pPr>
      <w:r w:rsidRPr="00E544A6">
        <w:rPr>
          <w:rFonts w:ascii="Arial Narrow" w:hAnsi="Arial Narrow" w:cs="Segoe UI"/>
          <w:i/>
          <w:iCs/>
          <w:color w:val="0D0D0D"/>
          <w:sz w:val="20"/>
          <w:szCs w:val="20"/>
        </w:rPr>
        <w:t xml:space="preserve">El Ministerio de Hacienda y Crédito Público, en cualquier tiempo durante el respectivo trámite en el Congreso de la República, deberá rendir su concepto frente a la consistencia de lo dispuesto en el inciso anterior. En ningún caso este concepto podrá ir en contravía del Marco Fiscal de Mediano Plazo. Este informe será publicado en la Gaceta del Congreso. </w:t>
      </w:r>
    </w:p>
    <w:p w14:paraId="334106DB" w14:textId="77777777" w:rsidR="00E544A6" w:rsidRPr="00E544A6" w:rsidRDefault="00E544A6" w:rsidP="00E544A6">
      <w:pPr>
        <w:pStyle w:val="NormalWeb"/>
        <w:shd w:val="clear" w:color="auto" w:fill="FCFCFC"/>
        <w:spacing w:before="0" w:beforeAutospacing="0" w:after="0" w:afterAutospacing="0"/>
        <w:ind w:left="720"/>
        <w:jc w:val="both"/>
        <w:rPr>
          <w:rFonts w:ascii="Arial Narrow" w:hAnsi="Arial Narrow" w:cs="Segoe UI"/>
          <w:i/>
          <w:iCs/>
          <w:color w:val="0D0D0D"/>
          <w:sz w:val="20"/>
          <w:szCs w:val="20"/>
        </w:rPr>
      </w:pPr>
    </w:p>
    <w:p w14:paraId="7C6E45C4" w14:textId="77777777" w:rsidR="00E544A6" w:rsidRPr="00E544A6" w:rsidRDefault="00E544A6" w:rsidP="00E544A6">
      <w:pPr>
        <w:pStyle w:val="NormalWeb"/>
        <w:shd w:val="clear" w:color="auto" w:fill="FCFCFC"/>
        <w:spacing w:before="0" w:beforeAutospacing="0" w:after="0" w:afterAutospacing="0"/>
        <w:ind w:left="720"/>
        <w:jc w:val="both"/>
        <w:rPr>
          <w:rFonts w:ascii="Arial Narrow" w:hAnsi="Arial Narrow" w:cs="Segoe UI"/>
          <w:i/>
          <w:iCs/>
          <w:color w:val="0D0D0D"/>
          <w:sz w:val="20"/>
          <w:szCs w:val="20"/>
        </w:rPr>
      </w:pPr>
      <w:r w:rsidRPr="00E544A6">
        <w:rPr>
          <w:rFonts w:ascii="Arial Narrow" w:hAnsi="Arial Narrow" w:cs="Segoe UI"/>
          <w:i/>
          <w:iCs/>
          <w:color w:val="0D0D0D"/>
          <w:sz w:val="20"/>
          <w:szCs w:val="20"/>
        </w:rPr>
        <w:t xml:space="preserve">Los proyectos de ley de iniciativa gubernamental, que planteen un gasto adicional o una reducción de ingresos, deberá contener la correspondiente fuente sustitutiva por disminución de gasto o aumentos de ingresos, lo cual deberá ser analizado y aprobado por el Ministerio de Hacienda y Crédito Público. </w:t>
      </w:r>
    </w:p>
    <w:p w14:paraId="587F4A5B" w14:textId="77777777" w:rsidR="00E544A6" w:rsidRPr="00E544A6" w:rsidRDefault="00E544A6" w:rsidP="00E544A6">
      <w:pPr>
        <w:pStyle w:val="NormalWeb"/>
        <w:shd w:val="clear" w:color="auto" w:fill="FCFCFC"/>
        <w:spacing w:before="0" w:beforeAutospacing="0" w:after="0" w:afterAutospacing="0"/>
        <w:ind w:left="720"/>
        <w:jc w:val="both"/>
        <w:rPr>
          <w:rFonts w:ascii="Arial Narrow" w:hAnsi="Arial Narrow" w:cs="Segoe UI"/>
          <w:i/>
          <w:iCs/>
          <w:color w:val="0D0D0D"/>
          <w:sz w:val="20"/>
          <w:szCs w:val="20"/>
        </w:rPr>
      </w:pPr>
    </w:p>
    <w:p w14:paraId="47E531D1" w14:textId="3EB50C65" w:rsidR="00E544A6" w:rsidRDefault="00E544A6" w:rsidP="00E544A6">
      <w:pPr>
        <w:pStyle w:val="NormalWeb"/>
        <w:shd w:val="clear" w:color="auto" w:fill="FCFCFC"/>
        <w:spacing w:before="0" w:beforeAutospacing="0" w:after="0" w:afterAutospacing="0"/>
        <w:ind w:left="720"/>
        <w:jc w:val="both"/>
        <w:rPr>
          <w:rFonts w:ascii="Arial Narrow" w:hAnsi="Arial Narrow" w:cs="Segoe UI"/>
          <w:i/>
          <w:iCs/>
          <w:color w:val="0D0D0D"/>
          <w:sz w:val="20"/>
          <w:szCs w:val="20"/>
        </w:rPr>
      </w:pPr>
      <w:r w:rsidRPr="00E544A6">
        <w:rPr>
          <w:rFonts w:ascii="Arial Narrow" w:hAnsi="Arial Narrow" w:cs="Segoe UI"/>
          <w:i/>
          <w:iCs/>
          <w:color w:val="0D0D0D"/>
          <w:sz w:val="20"/>
          <w:szCs w:val="20"/>
        </w:rPr>
        <w:t xml:space="preserve">En las entidades territoriales, el trámite previsto en el inciso anterior será surtido ante la respectiva Secretaría de Hacienda o quien haga sus veces”. </w:t>
      </w:r>
    </w:p>
    <w:p w14:paraId="7630ABBD" w14:textId="77777777" w:rsidR="00E544A6" w:rsidRDefault="00E544A6" w:rsidP="005B46B1">
      <w:pPr>
        <w:pStyle w:val="NormalWeb"/>
        <w:shd w:val="clear" w:color="auto" w:fill="FCFCFC"/>
        <w:spacing w:before="0" w:beforeAutospacing="0" w:after="0" w:afterAutospacing="0"/>
        <w:jc w:val="both"/>
        <w:rPr>
          <w:rFonts w:ascii="Arial Narrow" w:hAnsi="Arial Narrow" w:cs="Segoe UI"/>
          <w:i/>
          <w:iCs/>
          <w:color w:val="0D0D0D"/>
          <w:sz w:val="20"/>
          <w:szCs w:val="20"/>
        </w:rPr>
      </w:pPr>
    </w:p>
    <w:p w14:paraId="11E6829C" w14:textId="77777777" w:rsidR="00382167" w:rsidRDefault="00382167" w:rsidP="005B46B1">
      <w:pPr>
        <w:pStyle w:val="NormalWeb"/>
        <w:shd w:val="clear" w:color="auto" w:fill="FCFCFC"/>
        <w:spacing w:before="0" w:beforeAutospacing="0" w:after="0" w:afterAutospacing="0"/>
        <w:jc w:val="both"/>
        <w:rPr>
          <w:rFonts w:ascii="Arial Narrow" w:hAnsi="Arial Narrow" w:cs="Segoe UI"/>
          <w:color w:val="0D0D0D"/>
          <w:sz w:val="22"/>
          <w:szCs w:val="22"/>
        </w:rPr>
      </w:pPr>
      <w:r w:rsidRPr="00382167">
        <w:rPr>
          <w:rFonts w:ascii="Arial Narrow" w:hAnsi="Arial Narrow" w:cs="Segoe UI"/>
          <w:color w:val="0D0D0D"/>
          <w:sz w:val="22"/>
          <w:szCs w:val="22"/>
        </w:rPr>
        <w:t xml:space="preserve">La presente iniciativa no genera un impacto fiscal permanente ni implica la creación de una nueva estructura administrativa, planta de personal, fondo, entidad o programa a cargo del Presupuesto General de la Nación. </w:t>
      </w:r>
    </w:p>
    <w:p w14:paraId="0BC8943C" w14:textId="77777777" w:rsidR="00382167" w:rsidRDefault="00382167" w:rsidP="005B46B1">
      <w:pPr>
        <w:pStyle w:val="NormalWeb"/>
        <w:shd w:val="clear" w:color="auto" w:fill="FCFCFC"/>
        <w:spacing w:before="0" w:beforeAutospacing="0" w:after="0" w:afterAutospacing="0"/>
        <w:jc w:val="both"/>
        <w:rPr>
          <w:rFonts w:ascii="Arial Narrow" w:hAnsi="Arial Narrow" w:cs="Segoe UI"/>
          <w:color w:val="0D0D0D"/>
          <w:sz w:val="22"/>
          <w:szCs w:val="22"/>
        </w:rPr>
      </w:pPr>
    </w:p>
    <w:p w14:paraId="6B5BF6D2" w14:textId="28EB702E" w:rsidR="00E544A6" w:rsidRDefault="00382167" w:rsidP="005B46B1">
      <w:pPr>
        <w:pStyle w:val="NormalWeb"/>
        <w:shd w:val="clear" w:color="auto" w:fill="FCFCFC"/>
        <w:spacing w:before="0" w:beforeAutospacing="0" w:after="0" w:afterAutospacing="0"/>
        <w:jc w:val="both"/>
        <w:rPr>
          <w:rFonts w:ascii="Arial Narrow" w:hAnsi="Arial Narrow" w:cs="Segoe UI"/>
          <w:color w:val="0D0D0D"/>
          <w:sz w:val="22"/>
          <w:szCs w:val="22"/>
        </w:rPr>
      </w:pPr>
      <w:r w:rsidRPr="00382167">
        <w:rPr>
          <w:rFonts w:ascii="Arial Narrow" w:hAnsi="Arial Narrow" w:cs="Segoe UI"/>
          <w:color w:val="0D0D0D"/>
          <w:sz w:val="22"/>
          <w:szCs w:val="22"/>
        </w:rPr>
        <w:t>El procedimiento de verificación médica funcional y toxicológica tiene carácter excepcional y solo se activa cuando concurren los requisitos establecidos en la ley. Su desarrollo se apoya en las competencias de las autoridades existentes y en la participación ocasional de profesionales designados por la Academia Nacional de Medicina, la Federación Médica Colombiana y el Tribunal Nacional de Ética Médica. En consecuencia, el proyecto no ordena apropiaciones presupuestales específicas, no crea rentas nuevas, no concede beneficios tributarios ni dispone una reducción de ingresos públicos. Por tanto, resulta compatible con el Marco Fiscal de Mediano Plazo y con la Ley 819 de 2003.</w:t>
      </w:r>
    </w:p>
    <w:p w14:paraId="6B3B58E5" w14:textId="77777777" w:rsidR="00382167" w:rsidRPr="00CF17A9" w:rsidRDefault="00382167" w:rsidP="005B46B1">
      <w:pPr>
        <w:pStyle w:val="NormalWeb"/>
        <w:shd w:val="clear" w:color="auto" w:fill="FCFCFC"/>
        <w:spacing w:before="0" w:beforeAutospacing="0" w:after="0" w:afterAutospacing="0"/>
        <w:jc w:val="both"/>
        <w:rPr>
          <w:rFonts w:ascii="Arial Narrow" w:hAnsi="Arial Narrow" w:cs="Segoe UI"/>
          <w:color w:val="0D0D0D"/>
          <w:sz w:val="22"/>
          <w:szCs w:val="22"/>
        </w:rPr>
      </w:pPr>
    </w:p>
    <w:p w14:paraId="33843AB6" w14:textId="1FFADB57" w:rsidR="007169B7" w:rsidRPr="00CF17A9" w:rsidRDefault="00A106C7" w:rsidP="007169B7">
      <w:pPr>
        <w:spacing w:line="240" w:lineRule="auto"/>
        <w:jc w:val="both"/>
        <w:rPr>
          <w:rFonts w:ascii="Arial Narrow" w:eastAsia="Arial Narrow" w:hAnsi="Arial Narrow" w:cs="Arial Narrow"/>
          <w:b/>
          <w:bCs/>
        </w:rPr>
      </w:pPr>
      <w:r>
        <w:rPr>
          <w:rFonts w:ascii="Arial Narrow" w:eastAsia="Arial Narrow" w:hAnsi="Arial Narrow" w:cs="Arial Narrow"/>
          <w:b/>
          <w:bCs/>
        </w:rPr>
        <w:t>9</w:t>
      </w:r>
      <w:r w:rsidR="007169B7" w:rsidRPr="00CF17A9">
        <w:rPr>
          <w:rFonts w:ascii="Arial Narrow" w:eastAsia="Arial Narrow" w:hAnsi="Arial Narrow" w:cs="Arial Narrow"/>
          <w:b/>
          <w:bCs/>
        </w:rPr>
        <w:t>. CONFLICTO DE INTERÉS</w:t>
      </w:r>
    </w:p>
    <w:p w14:paraId="16571D61" w14:textId="77777777" w:rsidR="00E544A6" w:rsidRDefault="00E544A6">
      <w:pPr>
        <w:spacing w:before="312"/>
        <w:ind w:right="17"/>
        <w:jc w:val="both"/>
        <w:rPr>
          <w:rFonts w:ascii="Arial Narrow" w:eastAsia="Arial Narrow" w:hAnsi="Arial Narrow" w:cs="Arial Narrow"/>
        </w:rPr>
      </w:pPr>
      <w:r w:rsidRPr="00E544A6">
        <w:rPr>
          <w:rFonts w:ascii="Arial Narrow" w:eastAsia="Arial Narrow" w:hAnsi="Arial Narrow" w:cs="Arial Narrow"/>
        </w:rPr>
        <w:t xml:space="preserve">De acuerdo con lo establecido en la Ley 2003 de 2019 que modificó la Ley 5 de 1992 en lo relativo al régimen de conflicto de interés de los congresistas, esta iniciativa se enmarca en los causales de ausencia de conflicto de interés para la discusión y votación del proyecto, específicamente: </w:t>
      </w:r>
    </w:p>
    <w:p w14:paraId="7E5BFCC9" w14:textId="77777777" w:rsidR="00E544A6" w:rsidRPr="00E544A6" w:rsidRDefault="00E544A6" w:rsidP="00E544A6">
      <w:pPr>
        <w:spacing w:before="312"/>
        <w:ind w:left="720" w:right="17"/>
        <w:jc w:val="both"/>
        <w:rPr>
          <w:rFonts w:ascii="Arial Narrow" w:eastAsia="Arial Narrow" w:hAnsi="Arial Narrow" w:cs="Arial Narrow"/>
          <w:i/>
          <w:iCs/>
          <w:sz w:val="20"/>
          <w:szCs w:val="20"/>
        </w:rPr>
      </w:pPr>
      <w:r w:rsidRPr="00E544A6">
        <w:rPr>
          <w:rFonts w:ascii="Arial Narrow" w:eastAsia="Arial Narrow" w:hAnsi="Arial Narrow" w:cs="Arial Narrow"/>
          <w:i/>
          <w:iCs/>
          <w:sz w:val="20"/>
          <w:szCs w:val="20"/>
        </w:rPr>
        <w:t xml:space="preserve">“d) Cuando el congresista participe, discuta o vote artículos de proyectos de ley o acto legislativo de carácter particular, que regula un sector económico en el cual el congresista tiene un interés particular, actual y directo, siempre y cuando no genere beneficio particular, directo y actual”. </w:t>
      </w:r>
    </w:p>
    <w:p w14:paraId="02178D0C" w14:textId="77777777" w:rsidR="00E544A6" w:rsidRDefault="00E544A6">
      <w:pPr>
        <w:spacing w:before="312"/>
        <w:ind w:right="17"/>
        <w:jc w:val="both"/>
        <w:rPr>
          <w:rFonts w:ascii="Arial Narrow" w:eastAsia="Arial Narrow" w:hAnsi="Arial Narrow" w:cs="Arial Narrow"/>
        </w:rPr>
      </w:pPr>
      <w:r w:rsidRPr="00E544A6">
        <w:rPr>
          <w:rFonts w:ascii="Arial Narrow" w:eastAsia="Arial Narrow" w:hAnsi="Arial Narrow" w:cs="Arial Narrow"/>
        </w:rPr>
        <w:t xml:space="preserve">La Sala Plena del Consejo de Estado en sentencia del 17 de octubre de 2000 afirmó lo siguiente frente a la pérdida de investidura de los Congresistas por violar el régimen de conflicto de intereses: </w:t>
      </w:r>
    </w:p>
    <w:p w14:paraId="724AD9B1" w14:textId="77777777" w:rsidR="00E544A6" w:rsidRDefault="00E544A6" w:rsidP="00E544A6">
      <w:pPr>
        <w:spacing w:before="312"/>
        <w:ind w:left="720" w:right="17"/>
        <w:jc w:val="both"/>
        <w:rPr>
          <w:rFonts w:ascii="Arial Narrow" w:eastAsia="Arial Narrow" w:hAnsi="Arial Narrow" w:cs="Arial Narrow"/>
          <w:i/>
          <w:iCs/>
          <w:sz w:val="20"/>
          <w:szCs w:val="20"/>
        </w:rPr>
      </w:pPr>
      <w:r w:rsidRPr="00E544A6">
        <w:rPr>
          <w:rFonts w:ascii="Arial Narrow" w:eastAsia="Arial Narrow" w:hAnsi="Arial Narrow" w:cs="Arial Narrow"/>
          <w:i/>
          <w:iCs/>
          <w:sz w:val="20"/>
          <w:szCs w:val="20"/>
        </w:rPr>
        <w:t xml:space="preserve">“El interés consiste en el provecho, conveniencia o utilidad que, atendidas sus circunstancias, derivarían el congresista o los suyos de la decisión que pudiera tomarse en el asunto. Así, no se encuentra en situación de conflicto de intereses el congresista que apoye o patrocine el proyecto que, de alguna manera, redundaría en su perjuicio o haría más gravosa su situación o la de los suyos, o se oponga al proyecto que de algún modo les </w:t>
      </w:r>
      <w:r w:rsidRPr="00E544A6">
        <w:rPr>
          <w:rFonts w:ascii="Arial Narrow" w:eastAsia="Arial Narrow" w:hAnsi="Arial Narrow" w:cs="Arial Narrow"/>
          <w:i/>
          <w:iCs/>
          <w:sz w:val="20"/>
          <w:szCs w:val="20"/>
        </w:rPr>
        <w:lastRenderedPageBreak/>
        <w:t>fuera provechoso. En ese sentido restringido ha de entenderse el artículo 286 de la ley 5.ª de 1.991, pues nadie tendría interés en su propio perjuicio, y de lo que trata es de preservar la rectitud de la conducta de los congresistas, que deben actuar siempre consultando la justicia y el bien común, como manda el artículo 133 de la Constitución. Por eso, se repite, la situación de conflicto resulta de la conducta del congresista en cada caso, atendidas la materia de que se trate y las circunstancias del congresista y los suyos. (...)”</w:t>
      </w:r>
    </w:p>
    <w:p w14:paraId="3848A46D" w14:textId="77777777" w:rsidR="00E544A6" w:rsidRDefault="00E544A6" w:rsidP="00382167">
      <w:pPr>
        <w:spacing w:before="312"/>
        <w:ind w:right="17"/>
        <w:jc w:val="both"/>
        <w:rPr>
          <w:rFonts w:ascii="Arial Narrow" w:eastAsia="Arial Narrow" w:hAnsi="Arial Narrow" w:cs="Arial Narrow"/>
        </w:rPr>
      </w:pPr>
      <w:r w:rsidRPr="00E544A6">
        <w:rPr>
          <w:rFonts w:ascii="Arial Narrow" w:eastAsia="Arial Narrow" w:hAnsi="Arial Narrow" w:cs="Arial Narrow"/>
        </w:rPr>
        <w:t>Teniendo en cuenta lo anterior, la discusión y votación del presente proyecto de ley no genera, en principio, conflicto de interés para los congresistas, por tratarse de una regulación de carácter general, impersonal y abstracto, orientada a desarrollar un procedimiento institucional aplicable al Presidente de la República. La iniciativa no concede beneficios particulares, directos y actuales a los autores, ponentes o demás miembros del Congreso, ni establece ventajas económicas o jurídicas individualizables. Por el contrario, regula el ejercicio de una atribución especial del Senado y fija garantías, requisitos y procedimientos aplicables de manera general frente a eventuales situaciones de afectación grave de la capacidad funcional del Presidente.</w:t>
      </w:r>
    </w:p>
    <w:p w14:paraId="728A6A5F" w14:textId="55D8C59C" w:rsidR="005A6511" w:rsidRPr="00E544A6" w:rsidRDefault="00E544A6" w:rsidP="00382167">
      <w:pPr>
        <w:spacing w:before="312"/>
        <w:ind w:right="17"/>
        <w:jc w:val="both"/>
        <w:rPr>
          <w:rFonts w:ascii="Arial Narrow" w:eastAsia="Arial Narrow" w:hAnsi="Arial Narrow" w:cs="Arial Narrow"/>
          <w:i/>
          <w:iCs/>
          <w:sz w:val="20"/>
          <w:szCs w:val="20"/>
        </w:rPr>
      </w:pPr>
      <w:r w:rsidRPr="00E544A6">
        <w:rPr>
          <w:rFonts w:ascii="Arial Narrow" w:eastAsia="Arial Narrow" w:hAnsi="Arial Narrow" w:cs="Arial Narrow"/>
        </w:rPr>
        <w:t>No obstante, los conflictos de interés son de naturaleza personal y concreta. En consecuencia, corresponde a cada congresista examinar las circunstancias particulares que puedan comprometer su imparcialidad y, de ser necesario, manifestar oportunamente el impedimento correspondiente, de acuerdo con la Constitución, la ley y el Reglamento del Congreso.</w:t>
      </w:r>
    </w:p>
    <w:p w14:paraId="224F32A4" w14:textId="17D4B974" w:rsidR="00861FE3" w:rsidRPr="00CF17A9" w:rsidRDefault="00585B65">
      <w:pPr>
        <w:spacing w:line="240" w:lineRule="auto"/>
        <w:jc w:val="both"/>
        <w:rPr>
          <w:rFonts w:ascii="Arial Narrow" w:eastAsia="Arial Narrow" w:hAnsi="Arial Narrow" w:cs="Arial Narrow"/>
          <w:b/>
          <w:bCs/>
        </w:rPr>
      </w:pPr>
      <w:r>
        <w:rPr>
          <w:rFonts w:ascii="Arial Narrow" w:eastAsia="Arial Narrow" w:hAnsi="Arial Narrow" w:cs="Arial Narrow"/>
          <w:b/>
          <w:bCs/>
        </w:rPr>
        <w:t>10</w:t>
      </w:r>
      <w:r w:rsidR="001B6D57" w:rsidRPr="00CF17A9">
        <w:rPr>
          <w:rFonts w:ascii="Arial Narrow" w:eastAsia="Arial Narrow" w:hAnsi="Arial Narrow" w:cs="Arial Narrow"/>
          <w:b/>
          <w:bCs/>
        </w:rPr>
        <w:t>. PLIEGO DE MODIFICACIONES</w:t>
      </w:r>
    </w:p>
    <w:p w14:paraId="091B5C0A" w14:textId="6470659E" w:rsidR="00CF17A9" w:rsidRPr="00CF17A9" w:rsidRDefault="005B46B1" w:rsidP="005B46B1">
      <w:pPr>
        <w:spacing w:line="240" w:lineRule="auto"/>
        <w:jc w:val="both"/>
        <w:rPr>
          <w:rFonts w:ascii="Arial Narrow" w:eastAsia="Arial Narrow" w:hAnsi="Arial Narrow" w:cs="Arial Narrow"/>
        </w:rPr>
      </w:pPr>
      <w:r w:rsidRPr="00CF17A9">
        <w:rPr>
          <w:rFonts w:ascii="Arial Narrow" w:eastAsia="Arial Narrow" w:hAnsi="Arial Narrow" w:cs="Arial Narrow"/>
        </w:rPr>
        <w:t>El presente proyecto de ley no contempla modificaciones.</w:t>
      </w:r>
    </w:p>
    <w:p w14:paraId="2307C813" w14:textId="382BC5A7" w:rsidR="00861FE3" w:rsidRPr="00CF17A9" w:rsidRDefault="005B46B1">
      <w:pPr>
        <w:spacing w:line="240" w:lineRule="auto"/>
        <w:jc w:val="both"/>
        <w:rPr>
          <w:rFonts w:ascii="Arial Narrow" w:eastAsia="Arial Narrow" w:hAnsi="Arial Narrow" w:cs="Arial Narrow"/>
          <w:b/>
          <w:bCs/>
        </w:rPr>
      </w:pPr>
      <w:r w:rsidRPr="00CF17A9">
        <w:rPr>
          <w:rFonts w:ascii="Arial Narrow" w:eastAsia="Arial Narrow" w:hAnsi="Arial Narrow" w:cs="Arial Narrow"/>
          <w:b/>
          <w:bCs/>
        </w:rPr>
        <w:t>1</w:t>
      </w:r>
      <w:r w:rsidR="00585B65">
        <w:rPr>
          <w:rFonts w:ascii="Arial Narrow" w:eastAsia="Arial Narrow" w:hAnsi="Arial Narrow" w:cs="Arial Narrow"/>
          <w:b/>
          <w:bCs/>
        </w:rPr>
        <w:t>1</w:t>
      </w:r>
      <w:r w:rsidR="001B6D57" w:rsidRPr="00CF17A9">
        <w:rPr>
          <w:rFonts w:ascii="Arial Narrow" w:eastAsia="Arial Narrow" w:hAnsi="Arial Narrow" w:cs="Arial Narrow"/>
          <w:b/>
          <w:bCs/>
        </w:rPr>
        <w:t xml:space="preserve">. PROPOSICIÓN </w:t>
      </w:r>
    </w:p>
    <w:p w14:paraId="7C933580" w14:textId="4959E200" w:rsidR="00861FE3" w:rsidRPr="00CF17A9" w:rsidRDefault="001B6D57">
      <w:pPr>
        <w:pBdr>
          <w:top w:val="nil"/>
          <w:left w:val="nil"/>
          <w:bottom w:val="nil"/>
          <w:right w:val="nil"/>
          <w:between w:val="nil"/>
        </w:pBdr>
        <w:spacing w:after="0" w:line="240" w:lineRule="auto"/>
        <w:jc w:val="both"/>
        <w:rPr>
          <w:rFonts w:ascii="Arial Narrow" w:eastAsia="Arial Narrow" w:hAnsi="Arial Narrow" w:cs="Arial Narrow"/>
          <w:color w:val="000000"/>
        </w:rPr>
      </w:pPr>
      <w:r w:rsidRPr="00CF17A9">
        <w:rPr>
          <w:rFonts w:ascii="Arial Narrow" w:eastAsia="Arial Narrow" w:hAnsi="Arial Narrow" w:cs="Arial Narrow"/>
          <w:color w:val="000000"/>
        </w:rPr>
        <w:t>Con base en las anteriores consideraciones, prese</w:t>
      </w:r>
      <w:r w:rsidR="00BF0E8A" w:rsidRPr="00CF17A9">
        <w:rPr>
          <w:rFonts w:ascii="Arial Narrow" w:eastAsia="Arial Narrow" w:hAnsi="Arial Narrow" w:cs="Arial Narrow"/>
          <w:color w:val="000000"/>
        </w:rPr>
        <w:t>nto</w:t>
      </w:r>
      <w:r w:rsidRPr="00CF17A9">
        <w:rPr>
          <w:rFonts w:ascii="Arial Narrow" w:eastAsia="Arial Narrow" w:hAnsi="Arial Narrow" w:cs="Arial Narrow"/>
          <w:color w:val="000000"/>
        </w:rPr>
        <w:t xml:space="preserve"> ponencia positiva y solicit</w:t>
      </w:r>
      <w:r w:rsidR="00BF0E8A" w:rsidRPr="00CF17A9">
        <w:rPr>
          <w:rFonts w:ascii="Arial Narrow" w:eastAsia="Arial Narrow" w:hAnsi="Arial Narrow" w:cs="Arial Narrow"/>
          <w:color w:val="000000"/>
        </w:rPr>
        <w:t>o</w:t>
      </w:r>
      <w:r w:rsidRPr="00CF17A9">
        <w:rPr>
          <w:rFonts w:ascii="Arial Narrow" w:eastAsia="Arial Narrow" w:hAnsi="Arial Narrow" w:cs="Arial Narrow"/>
          <w:color w:val="000000"/>
        </w:rPr>
        <w:t xml:space="preserve"> respetuosamente a la Comisión </w:t>
      </w:r>
      <w:r w:rsidRPr="00CF17A9">
        <w:rPr>
          <w:rFonts w:ascii="Arial Narrow" w:eastAsia="Arial Narrow" w:hAnsi="Arial Narrow" w:cs="Arial Narrow"/>
        </w:rPr>
        <w:t xml:space="preserve">Primera </w:t>
      </w:r>
      <w:r w:rsidR="00BF0E8A" w:rsidRPr="00CF17A9">
        <w:rPr>
          <w:rFonts w:ascii="Arial Narrow" w:eastAsia="Arial Narrow" w:hAnsi="Arial Narrow" w:cs="Arial Narrow"/>
        </w:rPr>
        <w:t xml:space="preserve">Constitucional </w:t>
      </w:r>
      <w:r w:rsidRPr="00CF17A9">
        <w:rPr>
          <w:rFonts w:ascii="Arial Narrow" w:eastAsia="Arial Narrow" w:hAnsi="Arial Narrow" w:cs="Arial Narrow"/>
          <w:color w:val="000000"/>
        </w:rPr>
        <w:t xml:space="preserve">de la Cámara de Representantes, dar trámite para primer debate al </w:t>
      </w:r>
      <w:r w:rsidRPr="00CF17A9">
        <w:rPr>
          <w:rFonts w:ascii="Arial Narrow" w:eastAsia="Arial Narrow" w:hAnsi="Arial Narrow" w:cs="Arial Narrow"/>
          <w:b/>
          <w:bCs/>
          <w:color w:val="000000"/>
        </w:rPr>
        <w:t xml:space="preserve">Proyecto de Ley No. </w:t>
      </w:r>
      <w:r w:rsidR="00970D85">
        <w:rPr>
          <w:rFonts w:ascii="Arial Narrow" w:eastAsia="Arial Narrow" w:hAnsi="Arial Narrow" w:cs="Arial Narrow"/>
          <w:b/>
          <w:bCs/>
        </w:rPr>
        <w:t>19</w:t>
      </w:r>
      <w:r w:rsidR="00382167">
        <w:rPr>
          <w:rFonts w:ascii="Arial Narrow" w:eastAsia="Arial Narrow" w:hAnsi="Arial Narrow" w:cs="Arial Narrow"/>
          <w:b/>
          <w:bCs/>
        </w:rPr>
        <w:t>9</w:t>
      </w:r>
      <w:r w:rsidRPr="00CF17A9">
        <w:rPr>
          <w:rFonts w:ascii="Arial Narrow" w:eastAsia="Arial Narrow" w:hAnsi="Arial Narrow" w:cs="Arial Narrow"/>
          <w:b/>
          <w:bCs/>
        </w:rPr>
        <w:t xml:space="preserve"> </w:t>
      </w:r>
      <w:r w:rsidRPr="00CF17A9">
        <w:rPr>
          <w:rFonts w:ascii="Arial Narrow" w:eastAsia="Arial Narrow" w:hAnsi="Arial Narrow" w:cs="Arial Narrow"/>
          <w:b/>
          <w:bCs/>
          <w:color w:val="000000"/>
        </w:rPr>
        <w:t>de 2026, Cámara</w:t>
      </w:r>
      <w:r w:rsidRPr="00CF17A9">
        <w:rPr>
          <w:rFonts w:ascii="Arial Narrow" w:eastAsia="Arial Narrow" w:hAnsi="Arial Narrow" w:cs="Arial Narrow"/>
          <w:color w:val="000000"/>
        </w:rPr>
        <w:t xml:space="preserve">, </w:t>
      </w:r>
      <w:r w:rsidRPr="00CF17A9">
        <w:rPr>
          <w:rFonts w:ascii="Arial Narrow" w:eastAsia="Arial Narrow" w:hAnsi="Arial Narrow" w:cs="Arial Narrow"/>
          <w:i/>
          <w:iCs/>
        </w:rPr>
        <w:t>“</w:t>
      </w:r>
      <w:r w:rsidR="00A204DC" w:rsidRPr="00A204DC">
        <w:rPr>
          <w:rFonts w:ascii="Arial Narrow" w:eastAsia="Arial Narrow" w:hAnsi="Arial Narrow" w:cs="Arial Narrow"/>
          <w:i/>
          <w:iCs/>
        </w:rPr>
        <w:t>Por medio de la cual se desarrolla el procedimiento de verificación médica funcional y toxicológica de gobernadores y alcaldes distritales y municipales, se modifican la Ley 136 de 1994 y la Ley 2200 de 2022</w:t>
      </w:r>
      <w:r w:rsidRPr="00CF17A9">
        <w:rPr>
          <w:rFonts w:ascii="Arial Narrow" w:eastAsia="Arial Narrow" w:hAnsi="Arial Narrow" w:cs="Arial Narrow"/>
          <w:i/>
          <w:iCs/>
        </w:rPr>
        <w:t>”</w:t>
      </w:r>
      <w:r w:rsidRPr="00CF17A9">
        <w:rPr>
          <w:rFonts w:ascii="Arial Narrow" w:eastAsia="Arial Narrow" w:hAnsi="Arial Narrow" w:cs="Arial Narrow"/>
          <w:b/>
          <w:bCs/>
        </w:rPr>
        <w:t xml:space="preserve">, </w:t>
      </w:r>
      <w:r w:rsidR="00CF17A9" w:rsidRPr="00CF17A9">
        <w:rPr>
          <w:rFonts w:ascii="Arial Narrow" w:eastAsia="Arial Narrow" w:hAnsi="Arial Narrow" w:cs="Arial Narrow"/>
          <w:color w:val="000000"/>
        </w:rPr>
        <w:t>conforme a</w:t>
      </w:r>
      <w:r w:rsidRPr="00CF17A9">
        <w:rPr>
          <w:rFonts w:ascii="Arial Narrow" w:eastAsia="Arial Narrow" w:hAnsi="Arial Narrow" w:cs="Arial Narrow"/>
          <w:color w:val="000000"/>
        </w:rPr>
        <w:t xml:space="preserve">l texto propuesto para </w:t>
      </w:r>
      <w:r w:rsidR="00CF17A9" w:rsidRPr="00CF17A9">
        <w:rPr>
          <w:rFonts w:ascii="Arial Narrow" w:eastAsia="Arial Narrow" w:hAnsi="Arial Narrow" w:cs="Arial Narrow"/>
          <w:color w:val="000000"/>
        </w:rPr>
        <w:t xml:space="preserve">primer </w:t>
      </w:r>
      <w:r w:rsidRPr="00CF17A9">
        <w:rPr>
          <w:rFonts w:ascii="Arial Narrow" w:eastAsia="Arial Narrow" w:hAnsi="Arial Narrow" w:cs="Arial Narrow"/>
          <w:color w:val="000000"/>
        </w:rPr>
        <w:t>debate</w:t>
      </w:r>
      <w:r w:rsidR="00CF17A9" w:rsidRPr="00CF17A9">
        <w:rPr>
          <w:rFonts w:ascii="Arial Narrow" w:eastAsia="Arial Narrow" w:hAnsi="Arial Narrow" w:cs="Arial Narrow"/>
          <w:color w:val="000000"/>
        </w:rPr>
        <w:t>.</w:t>
      </w:r>
    </w:p>
    <w:p w14:paraId="3217F71F" w14:textId="5C703A06" w:rsidR="007169B7" w:rsidRPr="00CF17A9" w:rsidRDefault="007169B7">
      <w:pPr>
        <w:pBdr>
          <w:top w:val="nil"/>
          <w:left w:val="nil"/>
          <w:bottom w:val="nil"/>
          <w:right w:val="nil"/>
          <w:between w:val="nil"/>
        </w:pBdr>
        <w:spacing w:after="0" w:line="240" w:lineRule="auto"/>
        <w:jc w:val="both"/>
        <w:rPr>
          <w:rFonts w:ascii="Arial Narrow" w:eastAsia="Arial Narrow" w:hAnsi="Arial Narrow" w:cs="Arial Narrow"/>
          <w:color w:val="000000"/>
        </w:rPr>
      </w:pPr>
    </w:p>
    <w:p w14:paraId="635EFE4C" w14:textId="77777777" w:rsidR="007169B7" w:rsidRPr="00CF17A9" w:rsidRDefault="007169B7" w:rsidP="007169B7">
      <w:pPr>
        <w:ind w:right="-136"/>
        <w:jc w:val="both"/>
        <w:rPr>
          <w:rFonts w:ascii="Arial Narrow" w:eastAsia="Arial Narrow" w:hAnsi="Arial Narrow" w:cs="Arial Narrow"/>
        </w:rPr>
      </w:pPr>
      <w:r w:rsidRPr="00CF17A9">
        <w:rPr>
          <w:rFonts w:ascii="Arial Narrow" w:eastAsia="Arial Narrow" w:hAnsi="Arial Narrow" w:cs="Arial Narrow"/>
        </w:rPr>
        <w:t>Cordialmente,</w:t>
      </w:r>
    </w:p>
    <w:p w14:paraId="4E4EA684" w14:textId="77777777" w:rsidR="007169B7" w:rsidRDefault="007169B7" w:rsidP="007169B7">
      <w:pPr>
        <w:ind w:right="-136"/>
        <w:jc w:val="both"/>
        <w:rPr>
          <w:rFonts w:ascii="Arial Narrow" w:eastAsia="Arial Narrow" w:hAnsi="Arial Narrow" w:cs="Arial Narrow"/>
        </w:rPr>
      </w:pPr>
    </w:p>
    <w:p w14:paraId="5B93EBA9" w14:textId="77777777" w:rsidR="00CB3505" w:rsidRPr="00CF17A9" w:rsidRDefault="00CB3505" w:rsidP="007169B7">
      <w:pPr>
        <w:ind w:right="-136"/>
        <w:jc w:val="both"/>
        <w:rPr>
          <w:rFonts w:ascii="Arial Narrow" w:eastAsia="Arial Narrow" w:hAnsi="Arial Narrow" w:cs="Arial Narrow"/>
        </w:rPr>
      </w:pPr>
    </w:p>
    <w:p w14:paraId="3A56E7ED" w14:textId="77777777" w:rsidR="007169B7" w:rsidRPr="00CF17A9" w:rsidRDefault="007169B7" w:rsidP="007169B7">
      <w:pPr>
        <w:pBdr>
          <w:top w:val="nil"/>
          <w:left w:val="nil"/>
          <w:bottom w:val="nil"/>
          <w:right w:val="nil"/>
          <w:between w:val="nil"/>
        </w:pBdr>
        <w:spacing w:after="0" w:line="240" w:lineRule="auto"/>
        <w:jc w:val="both"/>
        <w:rPr>
          <w:rFonts w:ascii="Arial Narrow" w:eastAsia="Arial Narrow" w:hAnsi="Arial Narrow" w:cs="Arial Narrow"/>
          <w:b/>
          <w:bCs/>
        </w:rPr>
      </w:pPr>
      <w:r w:rsidRPr="00CF17A9">
        <w:rPr>
          <w:rFonts w:ascii="Arial Narrow" w:eastAsia="Arial Narrow" w:hAnsi="Arial Narrow" w:cs="Arial Narrow"/>
          <w:b/>
          <w:bCs/>
        </w:rPr>
        <w:t>Jaime Ignacio Arizabaleta Fajardo.</w:t>
      </w:r>
    </w:p>
    <w:p w14:paraId="330C3E00" w14:textId="77777777" w:rsidR="007169B7" w:rsidRPr="00CF17A9" w:rsidRDefault="007169B7" w:rsidP="007169B7">
      <w:pPr>
        <w:pBdr>
          <w:top w:val="nil"/>
          <w:left w:val="nil"/>
          <w:bottom w:val="nil"/>
          <w:right w:val="nil"/>
          <w:between w:val="nil"/>
        </w:pBdr>
        <w:spacing w:after="0" w:line="240" w:lineRule="auto"/>
        <w:jc w:val="both"/>
        <w:rPr>
          <w:rFonts w:ascii="Arial Narrow" w:eastAsia="Arial Narrow" w:hAnsi="Arial Narrow" w:cs="Arial Narrow"/>
        </w:rPr>
      </w:pPr>
      <w:r w:rsidRPr="00CF17A9">
        <w:rPr>
          <w:rFonts w:ascii="Arial Narrow" w:eastAsia="Arial Narrow" w:hAnsi="Arial Narrow" w:cs="Arial Narrow"/>
        </w:rPr>
        <w:t>Representante a la Cámara</w:t>
      </w:r>
    </w:p>
    <w:p w14:paraId="77B343BD" w14:textId="77777777" w:rsidR="007169B7" w:rsidRPr="00CF17A9" w:rsidRDefault="007169B7" w:rsidP="007169B7">
      <w:pPr>
        <w:pBdr>
          <w:top w:val="nil"/>
          <w:left w:val="nil"/>
          <w:bottom w:val="nil"/>
          <w:right w:val="nil"/>
          <w:between w:val="nil"/>
        </w:pBdr>
        <w:spacing w:after="0" w:line="240" w:lineRule="auto"/>
        <w:jc w:val="both"/>
        <w:rPr>
          <w:rFonts w:ascii="Arial Narrow" w:eastAsia="Arial Narrow" w:hAnsi="Arial Narrow" w:cs="Arial Narrow"/>
        </w:rPr>
      </w:pPr>
      <w:r w:rsidRPr="00CF17A9">
        <w:rPr>
          <w:rFonts w:ascii="Arial Narrow" w:eastAsia="Arial Narrow" w:hAnsi="Arial Narrow" w:cs="Arial Narrow"/>
        </w:rPr>
        <w:t>Departamento del Valle del Cauca</w:t>
      </w:r>
    </w:p>
    <w:p w14:paraId="333A9D47" w14:textId="77777777" w:rsidR="007169B7" w:rsidRPr="00CF17A9" w:rsidRDefault="007169B7" w:rsidP="007169B7">
      <w:pPr>
        <w:pBdr>
          <w:top w:val="nil"/>
          <w:left w:val="nil"/>
          <w:bottom w:val="nil"/>
          <w:right w:val="nil"/>
          <w:between w:val="nil"/>
        </w:pBdr>
        <w:spacing w:after="0" w:line="240" w:lineRule="auto"/>
        <w:jc w:val="both"/>
        <w:rPr>
          <w:rFonts w:ascii="Arial Narrow" w:eastAsia="Arial Narrow" w:hAnsi="Arial Narrow" w:cs="Arial Narrow"/>
        </w:rPr>
      </w:pPr>
      <w:r w:rsidRPr="00CF17A9">
        <w:rPr>
          <w:rFonts w:ascii="Arial Narrow" w:eastAsia="Arial Narrow" w:hAnsi="Arial Narrow" w:cs="Arial Narrow"/>
        </w:rPr>
        <w:t xml:space="preserve">Centro Democrático </w:t>
      </w:r>
    </w:p>
    <w:p w14:paraId="5B72EF9B" w14:textId="77777777" w:rsidR="007169B7" w:rsidRDefault="007169B7">
      <w:pPr>
        <w:pBdr>
          <w:top w:val="nil"/>
          <w:left w:val="nil"/>
          <w:bottom w:val="nil"/>
          <w:right w:val="nil"/>
          <w:between w:val="nil"/>
        </w:pBdr>
        <w:spacing w:after="0" w:line="240" w:lineRule="auto"/>
        <w:jc w:val="both"/>
        <w:rPr>
          <w:rFonts w:ascii="Arial Narrow" w:eastAsia="Arial Narrow" w:hAnsi="Arial Narrow" w:cs="Arial Narrow"/>
          <w:color w:val="000000"/>
        </w:rPr>
      </w:pPr>
    </w:p>
    <w:p w14:paraId="14613EAB" w14:textId="77777777" w:rsidR="00CB3505" w:rsidRPr="00CF17A9" w:rsidRDefault="00CB3505">
      <w:pPr>
        <w:pBdr>
          <w:top w:val="nil"/>
          <w:left w:val="nil"/>
          <w:bottom w:val="nil"/>
          <w:right w:val="nil"/>
          <w:between w:val="nil"/>
        </w:pBdr>
        <w:spacing w:after="0" w:line="240" w:lineRule="auto"/>
        <w:jc w:val="both"/>
        <w:rPr>
          <w:rFonts w:ascii="Arial Narrow" w:eastAsia="Arial Narrow" w:hAnsi="Arial Narrow" w:cs="Arial Narrow"/>
          <w:color w:val="000000"/>
        </w:rPr>
      </w:pPr>
    </w:p>
    <w:p w14:paraId="580FC48D" w14:textId="77777777" w:rsidR="00861FE3" w:rsidRPr="00CF17A9" w:rsidRDefault="00861FE3">
      <w:pPr>
        <w:pBdr>
          <w:top w:val="nil"/>
          <w:left w:val="nil"/>
          <w:bottom w:val="nil"/>
          <w:right w:val="nil"/>
          <w:between w:val="nil"/>
        </w:pBdr>
        <w:spacing w:after="0" w:line="240" w:lineRule="auto"/>
        <w:jc w:val="both"/>
        <w:rPr>
          <w:rFonts w:ascii="Arial Narrow" w:eastAsia="Arial Narrow" w:hAnsi="Arial Narrow" w:cs="Arial Narrow"/>
          <w:b/>
          <w:bCs/>
        </w:rPr>
      </w:pPr>
    </w:p>
    <w:p w14:paraId="6FF42817" w14:textId="38737F0F" w:rsidR="00861FE3" w:rsidRPr="00CF17A9" w:rsidRDefault="001B6D57" w:rsidP="00970D85">
      <w:pPr>
        <w:pBdr>
          <w:top w:val="nil"/>
          <w:left w:val="nil"/>
          <w:bottom w:val="nil"/>
          <w:right w:val="nil"/>
          <w:between w:val="nil"/>
        </w:pBdr>
        <w:spacing w:after="0" w:line="240" w:lineRule="auto"/>
        <w:jc w:val="center"/>
        <w:rPr>
          <w:rFonts w:ascii="Arial Narrow" w:eastAsia="Arial Narrow" w:hAnsi="Arial Narrow" w:cs="Arial Narrow"/>
          <w:color w:val="000000"/>
        </w:rPr>
      </w:pPr>
      <w:r w:rsidRPr="00CF17A9">
        <w:rPr>
          <w:rFonts w:ascii="Arial Narrow" w:eastAsia="Arial Narrow" w:hAnsi="Arial Narrow" w:cs="Arial Narrow"/>
          <w:b/>
          <w:bCs/>
        </w:rPr>
        <w:lastRenderedPageBreak/>
        <w:t>1</w:t>
      </w:r>
      <w:r w:rsidR="00585B65">
        <w:rPr>
          <w:rFonts w:ascii="Arial Narrow" w:eastAsia="Arial Narrow" w:hAnsi="Arial Narrow" w:cs="Arial Narrow"/>
          <w:b/>
          <w:bCs/>
        </w:rPr>
        <w:t>2</w:t>
      </w:r>
      <w:r w:rsidR="005B46B1" w:rsidRPr="00CF17A9">
        <w:rPr>
          <w:rFonts w:ascii="Arial Narrow" w:eastAsia="Arial Narrow" w:hAnsi="Arial Narrow" w:cs="Arial Narrow"/>
          <w:b/>
          <w:bCs/>
        </w:rPr>
        <w:t>.</w:t>
      </w:r>
      <w:r w:rsidR="00C1388E" w:rsidRPr="00CF17A9">
        <w:rPr>
          <w:rFonts w:ascii="Arial Narrow" w:hAnsi="Arial Narrow" w:cs="Arial"/>
          <w:b/>
          <w:bCs/>
        </w:rPr>
        <w:t xml:space="preserve"> TEXTO PROPUESTO PARA EL PRIMER DEBATE EN LA COMISIÓN PRIMERA CONSTITUCIONAL PERMANENTE DE LA CÁMARA DE REPRESENTANTES AL PROYECTO DE LEY</w:t>
      </w:r>
      <w:r w:rsidR="00970D85">
        <w:rPr>
          <w:rFonts w:ascii="Arial Narrow" w:hAnsi="Arial Narrow" w:cs="Arial"/>
          <w:b/>
          <w:bCs/>
        </w:rPr>
        <w:t xml:space="preserve"> </w:t>
      </w:r>
      <w:r w:rsidR="00C1388E" w:rsidRPr="00CF17A9">
        <w:rPr>
          <w:rFonts w:ascii="Arial Narrow" w:hAnsi="Arial Narrow" w:cs="Arial"/>
          <w:b/>
          <w:bCs/>
        </w:rPr>
        <w:t>No.</w:t>
      </w:r>
      <w:r w:rsidR="00970D85">
        <w:rPr>
          <w:rFonts w:ascii="Arial Narrow" w:eastAsia="Arial Narrow" w:hAnsi="Arial Narrow" w:cs="Arial Narrow"/>
          <w:b/>
          <w:bCs/>
        </w:rPr>
        <w:t xml:space="preserve"> 19</w:t>
      </w:r>
      <w:r w:rsidR="00A204DC">
        <w:rPr>
          <w:rFonts w:ascii="Arial Narrow" w:eastAsia="Arial Narrow" w:hAnsi="Arial Narrow" w:cs="Arial Narrow"/>
          <w:b/>
          <w:bCs/>
        </w:rPr>
        <w:t>9</w:t>
      </w:r>
      <w:r w:rsidRPr="00CF17A9">
        <w:rPr>
          <w:rFonts w:ascii="Arial Narrow" w:eastAsia="Arial Narrow" w:hAnsi="Arial Narrow" w:cs="Arial Narrow"/>
          <w:b/>
          <w:bCs/>
        </w:rPr>
        <w:t xml:space="preserve"> </w:t>
      </w:r>
      <w:r w:rsidRPr="00CF17A9">
        <w:rPr>
          <w:rFonts w:ascii="Arial Narrow" w:eastAsia="Arial Narrow" w:hAnsi="Arial Narrow" w:cs="Arial Narrow"/>
          <w:b/>
          <w:bCs/>
          <w:color w:val="000000"/>
        </w:rPr>
        <w:t>DE 2026, CÁMARA</w:t>
      </w:r>
      <w:r w:rsidR="00C1388E" w:rsidRPr="00CF17A9">
        <w:rPr>
          <w:rFonts w:ascii="Arial Narrow" w:eastAsia="Arial Narrow" w:hAnsi="Arial Narrow" w:cs="Arial Narrow"/>
          <w:b/>
          <w:bCs/>
          <w:color w:val="000000"/>
        </w:rPr>
        <w:t>.</w:t>
      </w:r>
    </w:p>
    <w:p w14:paraId="60A7D8AE" w14:textId="77777777" w:rsidR="00861FE3" w:rsidRPr="00CF17A9" w:rsidRDefault="00861FE3">
      <w:pPr>
        <w:spacing w:after="0" w:line="259" w:lineRule="auto"/>
        <w:rPr>
          <w:rFonts w:ascii="Arial Narrow" w:eastAsia="Arial Narrow" w:hAnsi="Arial Narrow" w:cs="Arial Narrow"/>
          <w:i/>
          <w:iCs/>
        </w:rPr>
      </w:pPr>
    </w:p>
    <w:p w14:paraId="223063EE" w14:textId="046241B0" w:rsidR="00861FE3" w:rsidRPr="00CF17A9" w:rsidRDefault="001B6D57">
      <w:pPr>
        <w:spacing w:after="0" w:line="259" w:lineRule="auto"/>
        <w:jc w:val="center"/>
        <w:rPr>
          <w:rFonts w:ascii="Arial Narrow" w:eastAsia="Arial Narrow" w:hAnsi="Arial Narrow" w:cs="Arial Narrow"/>
          <w:i/>
          <w:iCs/>
        </w:rPr>
      </w:pPr>
      <w:r w:rsidRPr="00CF17A9">
        <w:rPr>
          <w:rFonts w:ascii="Arial Narrow" w:eastAsia="Arial Narrow" w:hAnsi="Arial Narrow" w:cs="Arial Narrow"/>
          <w:i/>
          <w:iCs/>
        </w:rPr>
        <w:t>“</w:t>
      </w:r>
      <w:r w:rsidR="00A204DC" w:rsidRPr="00A204DC">
        <w:rPr>
          <w:rFonts w:ascii="Arial Narrow" w:eastAsia="Arial Narrow" w:hAnsi="Arial Narrow" w:cs="Arial Narrow"/>
          <w:i/>
          <w:iCs/>
        </w:rPr>
        <w:t>Por medio de la cual se desarrolla el procedimiento de verificación médica funcional y toxicológica de gobernadores y alcaldes distritales y municipales, se modifican la Ley 136 de 1994 y la Ley 2200 de 2022</w:t>
      </w:r>
      <w:r w:rsidRPr="00CF17A9">
        <w:rPr>
          <w:rFonts w:ascii="Arial Narrow" w:eastAsia="Arial Narrow" w:hAnsi="Arial Narrow" w:cs="Arial Narrow"/>
          <w:i/>
          <w:iCs/>
        </w:rPr>
        <w:t>”</w:t>
      </w:r>
    </w:p>
    <w:p w14:paraId="35765756" w14:textId="77777777" w:rsidR="00861FE3" w:rsidRPr="00CF17A9" w:rsidRDefault="00861FE3">
      <w:pPr>
        <w:pBdr>
          <w:top w:val="nil"/>
          <w:left w:val="nil"/>
          <w:bottom w:val="nil"/>
          <w:right w:val="nil"/>
          <w:between w:val="nil"/>
        </w:pBdr>
        <w:spacing w:after="0" w:line="240" w:lineRule="auto"/>
        <w:jc w:val="center"/>
        <w:rPr>
          <w:rFonts w:ascii="Arial Narrow" w:eastAsia="Arial Narrow" w:hAnsi="Arial Narrow" w:cs="Arial Narrow"/>
          <w:i/>
          <w:iCs/>
        </w:rPr>
      </w:pPr>
    </w:p>
    <w:p w14:paraId="044FA9D1" w14:textId="041635B5" w:rsidR="00861FE3" w:rsidRPr="00CF17A9" w:rsidRDefault="001B6D57" w:rsidP="00BF0E8A">
      <w:pPr>
        <w:ind w:right="-136"/>
        <w:jc w:val="center"/>
        <w:rPr>
          <w:rFonts w:ascii="Arial Narrow" w:eastAsia="Arial Narrow" w:hAnsi="Arial Narrow" w:cs="Arial Narrow"/>
          <w:b/>
          <w:bCs/>
        </w:rPr>
      </w:pPr>
      <w:r w:rsidRPr="00CF17A9">
        <w:rPr>
          <w:rFonts w:ascii="Arial Narrow" w:eastAsia="Arial Narrow" w:hAnsi="Arial Narrow" w:cs="Arial Narrow"/>
          <w:b/>
          <w:bCs/>
        </w:rPr>
        <w:t xml:space="preserve">EL CONGRESO </w:t>
      </w:r>
      <w:r w:rsidR="007169B7" w:rsidRPr="00CF17A9">
        <w:rPr>
          <w:rFonts w:ascii="Arial Narrow" w:eastAsia="Arial Narrow" w:hAnsi="Arial Narrow" w:cs="Arial Narrow"/>
          <w:b/>
          <w:bCs/>
        </w:rPr>
        <w:t xml:space="preserve">DE </w:t>
      </w:r>
      <w:r w:rsidRPr="00CF17A9">
        <w:rPr>
          <w:rFonts w:ascii="Arial Narrow" w:eastAsia="Arial Narrow" w:hAnsi="Arial Narrow" w:cs="Arial Narrow"/>
          <w:b/>
          <w:bCs/>
        </w:rPr>
        <w:t>COLOMBIA</w:t>
      </w:r>
    </w:p>
    <w:p w14:paraId="4C372271" w14:textId="0F126844" w:rsidR="00861FE3" w:rsidRPr="00970D85" w:rsidRDefault="001B6D57" w:rsidP="00970D85">
      <w:pPr>
        <w:ind w:right="-136"/>
        <w:jc w:val="center"/>
        <w:rPr>
          <w:rFonts w:ascii="Arial Narrow" w:eastAsia="Arial Narrow" w:hAnsi="Arial Narrow" w:cs="Arial Narrow"/>
          <w:b/>
          <w:bCs/>
        </w:rPr>
      </w:pPr>
      <w:r w:rsidRPr="00CF17A9">
        <w:rPr>
          <w:rFonts w:ascii="Arial Narrow" w:eastAsia="Arial Narrow" w:hAnsi="Arial Narrow" w:cs="Arial Narrow"/>
          <w:b/>
          <w:bCs/>
        </w:rPr>
        <w:t>DECRETA:</w:t>
      </w:r>
    </w:p>
    <w:p w14:paraId="01F1B000" w14:textId="77777777" w:rsidR="001578C1" w:rsidRPr="00DC5EA9" w:rsidRDefault="001578C1" w:rsidP="001578C1">
      <w:pPr>
        <w:jc w:val="both"/>
        <w:rPr>
          <w:rFonts w:ascii="Arial Narrow" w:eastAsia="Arial Narrow" w:hAnsi="Arial Narrow" w:cs="Arial Narrow"/>
        </w:rPr>
      </w:pPr>
      <w:r w:rsidRPr="00836640">
        <w:rPr>
          <w:rFonts w:ascii="Arial Narrow" w:eastAsia="Arial Narrow" w:hAnsi="Arial Narrow" w:cs="Arial Narrow"/>
          <w:b/>
          <w:bCs/>
        </w:rPr>
        <w:t xml:space="preserve">ARTÍCULO 1. Objeto. </w:t>
      </w:r>
      <w:r w:rsidRPr="00DC5EA9">
        <w:rPr>
          <w:rFonts w:ascii="Arial Narrow" w:eastAsia="Arial Narrow" w:hAnsi="Arial Narrow" w:cs="Arial Narrow"/>
        </w:rPr>
        <w:t xml:space="preserve">La presente ley establece el procedimiento de verificación médica funcional y toxicológica de los gobernadores y de los alcaldes distritales y municipales, orientado a determinar, de manera excepcional, técnica y garantista, si una condición física, mental, cognitiva, neurológica o derivada del consumo de sustancias psicoactivas afecta gravemente su capacidad para el adecuado ejercicio del cargo. La evaluación toxicológica constituirá un componente integral del procedimiento de verificación médica funcional y sus resultados deberán analizarse conjuntamente con los demás hallazgos clínicos, médicos y funcionales. </w:t>
      </w:r>
    </w:p>
    <w:p w14:paraId="2FF9A041" w14:textId="77777777" w:rsidR="001578C1" w:rsidRDefault="001578C1" w:rsidP="001578C1">
      <w:pPr>
        <w:jc w:val="both"/>
        <w:rPr>
          <w:rFonts w:ascii="Arial Narrow" w:eastAsia="Arial Narrow" w:hAnsi="Arial Narrow" w:cs="Arial Narrow"/>
          <w:b/>
          <w:bCs/>
        </w:rPr>
      </w:pPr>
      <w:r w:rsidRPr="00836640">
        <w:rPr>
          <w:rFonts w:ascii="Arial Narrow" w:eastAsia="Arial Narrow" w:hAnsi="Arial Narrow" w:cs="Arial Narrow"/>
          <w:b/>
          <w:bCs/>
        </w:rPr>
        <w:t xml:space="preserve">ARTÍCULO 2. Principios. </w:t>
      </w:r>
      <w:r w:rsidRPr="00DC5EA9">
        <w:rPr>
          <w:rFonts w:ascii="Arial Narrow" w:eastAsia="Arial Narrow" w:hAnsi="Arial Narrow" w:cs="Arial Narrow"/>
        </w:rPr>
        <w:t>El procedimiento se rige por los principios de presunción de aptitud, dignidad humana, debido proceso, contradicción, reserva, proporcionalidad, imparcialidad técnica, no discriminación por razón de discapacidad o condición de salud y autonomía territorial.</w:t>
      </w:r>
      <w:r w:rsidRPr="00836640">
        <w:rPr>
          <w:rFonts w:ascii="Arial Narrow" w:eastAsia="Arial Narrow" w:hAnsi="Arial Narrow" w:cs="Arial Narrow"/>
          <w:b/>
          <w:bCs/>
        </w:rPr>
        <w:t xml:space="preserve"> </w:t>
      </w:r>
    </w:p>
    <w:p w14:paraId="1685B68F" w14:textId="77777777" w:rsidR="001578C1" w:rsidRPr="00DC5EA9" w:rsidRDefault="001578C1" w:rsidP="001578C1">
      <w:pPr>
        <w:jc w:val="both"/>
        <w:rPr>
          <w:rFonts w:ascii="Arial Narrow" w:eastAsia="Arial Narrow" w:hAnsi="Arial Narrow" w:cs="Arial Narrow"/>
        </w:rPr>
      </w:pPr>
      <w:r w:rsidRPr="00836640">
        <w:rPr>
          <w:rFonts w:ascii="Arial Narrow" w:eastAsia="Arial Narrow" w:hAnsi="Arial Narrow" w:cs="Arial Narrow"/>
          <w:b/>
          <w:bCs/>
        </w:rPr>
        <w:t xml:space="preserve">ARTÍCULO 3. Apertura del procedimiento. </w:t>
      </w:r>
      <w:r w:rsidRPr="00DC5EA9">
        <w:rPr>
          <w:rFonts w:ascii="Arial Narrow" w:eastAsia="Arial Narrow" w:hAnsi="Arial Narrow" w:cs="Arial Narrow"/>
        </w:rPr>
        <w:t xml:space="preserve">Cuando existan indicios serios y objetivos de una afectación grave de las capacidades físicas, mentales, cognitivas o funcionales de un gobernador o alcalde que comprometan el adecuado ejercicio de sus funciones, podrá disponerse la apertura del procedimiento de verificación médica funcional. </w:t>
      </w:r>
    </w:p>
    <w:p w14:paraId="22B9475F" w14:textId="77777777" w:rsidR="001578C1" w:rsidRPr="00DC5EA9" w:rsidRDefault="001578C1" w:rsidP="001578C1">
      <w:pPr>
        <w:jc w:val="both"/>
        <w:rPr>
          <w:rFonts w:ascii="Arial Narrow" w:eastAsia="Arial Narrow" w:hAnsi="Arial Narrow" w:cs="Arial Narrow"/>
        </w:rPr>
      </w:pPr>
      <w:r w:rsidRPr="00DC5EA9">
        <w:rPr>
          <w:rFonts w:ascii="Arial Narrow" w:eastAsia="Arial Narrow" w:hAnsi="Arial Narrow" w:cs="Arial Narrow"/>
        </w:rPr>
        <w:t xml:space="preserve">Para los gobernadores, por la respectiva Asamblea Departamental, mediante solicitud motivada suscrita por al menos la tercera parte de sus integrantes y aprobada por mayoría absoluta. </w:t>
      </w:r>
    </w:p>
    <w:p w14:paraId="38F3BC90" w14:textId="77777777" w:rsidR="001578C1" w:rsidRPr="00DC5EA9" w:rsidRDefault="001578C1" w:rsidP="001578C1">
      <w:pPr>
        <w:jc w:val="both"/>
        <w:rPr>
          <w:rFonts w:ascii="Arial Narrow" w:eastAsia="Arial Narrow" w:hAnsi="Arial Narrow" w:cs="Arial Narrow"/>
        </w:rPr>
      </w:pPr>
      <w:r w:rsidRPr="00DC5EA9">
        <w:rPr>
          <w:rFonts w:ascii="Arial Narrow" w:eastAsia="Arial Narrow" w:hAnsi="Arial Narrow" w:cs="Arial Narrow"/>
        </w:rPr>
        <w:t xml:space="preserve">Para los alcaldes, por el respectivo Concejo Distrital o Municipal, mediante solicitud motivada suscrita por al menos la tercera parte de sus integrantes y aprobada por mayoría absoluta. </w:t>
      </w:r>
    </w:p>
    <w:p w14:paraId="7995AADD" w14:textId="77777777" w:rsidR="001578C1" w:rsidRPr="00DC5EA9" w:rsidRDefault="001578C1" w:rsidP="001578C1">
      <w:pPr>
        <w:jc w:val="both"/>
        <w:rPr>
          <w:rFonts w:ascii="Arial Narrow" w:eastAsia="Arial Narrow" w:hAnsi="Arial Narrow" w:cs="Arial Narrow"/>
        </w:rPr>
      </w:pPr>
      <w:r w:rsidRPr="00DC5EA9">
        <w:rPr>
          <w:rFonts w:ascii="Arial Narrow" w:eastAsia="Arial Narrow" w:hAnsi="Arial Narrow" w:cs="Arial Narrow"/>
        </w:rPr>
        <w:t xml:space="preserve">La Procuraduría General de la Nación podrá poner en conocimiento de la respectiva corporación los hechos o elementos objetivos que considere relevantes para la apertura del procedimiento. </w:t>
      </w:r>
    </w:p>
    <w:p w14:paraId="7DC8D638" w14:textId="77777777" w:rsidR="001578C1" w:rsidRPr="00DC5EA9" w:rsidRDefault="001578C1" w:rsidP="001578C1">
      <w:pPr>
        <w:jc w:val="both"/>
        <w:rPr>
          <w:rFonts w:ascii="Arial Narrow" w:eastAsia="Arial Narrow" w:hAnsi="Arial Narrow" w:cs="Arial Narrow"/>
        </w:rPr>
      </w:pPr>
      <w:r w:rsidRPr="00DC5EA9">
        <w:rPr>
          <w:rFonts w:ascii="Arial Narrow" w:eastAsia="Arial Narrow" w:hAnsi="Arial Narrow" w:cs="Arial Narrow"/>
        </w:rPr>
        <w:t>La Asamblea Departamental y el Concejo Distrital o Municipal no tendrán competencia para decidir sobre la aptitud, suspensión, incapacidad o retiro del mandatario.</w:t>
      </w:r>
    </w:p>
    <w:p w14:paraId="1CCF1EF4" w14:textId="77777777" w:rsidR="001578C1" w:rsidRDefault="001578C1" w:rsidP="001578C1">
      <w:pPr>
        <w:jc w:val="both"/>
        <w:rPr>
          <w:rFonts w:ascii="Arial Narrow" w:eastAsia="Arial Narrow" w:hAnsi="Arial Narrow" w:cs="Arial Narrow"/>
        </w:rPr>
      </w:pPr>
      <w:r w:rsidRPr="00836640">
        <w:rPr>
          <w:rFonts w:ascii="Arial Narrow" w:eastAsia="Arial Narrow" w:hAnsi="Arial Narrow" w:cs="Arial Narrow"/>
          <w:b/>
          <w:bCs/>
        </w:rPr>
        <w:t xml:space="preserve">ARTÍCULO 4. Comisión Médica. </w:t>
      </w:r>
      <w:r w:rsidRPr="00DC5EA9">
        <w:rPr>
          <w:rFonts w:ascii="Arial Narrow" w:eastAsia="Arial Narrow" w:hAnsi="Arial Narrow" w:cs="Arial Narrow"/>
        </w:rPr>
        <w:t xml:space="preserve">Abierto el procedimiento, el Ministerio de Salud y Protección Social conformará, dentro de los cinco (5) días siguientes, una Comisión Médica integrada por tres (3) profesionales de la salud, especialistas en medicina interna o salud mental, designados de la siguiente manera: uno por la Academia Nacional de Medicina, uno por la Federación Médica Colombiana y uno por el Tribunal Nacional de Ética Médica. </w:t>
      </w:r>
    </w:p>
    <w:p w14:paraId="50E32CD0" w14:textId="77777777" w:rsidR="001578C1" w:rsidRPr="00DC5EA9" w:rsidRDefault="001578C1" w:rsidP="001578C1">
      <w:pPr>
        <w:jc w:val="both"/>
        <w:rPr>
          <w:rFonts w:ascii="Arial Narrow" w:eastAsia="Arial Narrow" w:hAnsi="Arial Narrow" w:cs="Arial Narrow"/>
        </w:rPr>
      </w:pPr>
      <w:r w:rsidRPr="00DC5EA9">
        <w:rPr>
          <w:rFonts w:ascii="Arial Narrow" w:eastAsia="Arial Narrow" w:hAnsi="Arial Narrow" w:cs="Arial Narrow"/>
        </w:rPr>
        <w:lastRenderedPageBreak/>
        <w:t xml:space="preserve">La Comisión podrá solicitar, de manera motivada, la incorporación temporal de un especialista adicional cuando la naturaleza del caso lo exija. </w:t>
      </w:r>
    </w:p>
    <w:p w14:paraId="363B0DEA" w14:textId="77777777" w:rsidR="001578C1" w:rsidRPr="00DC5EA9" w:rsidRDefault="001578C1" w:rsidP="001578C1">
      <w:pPr>
        <w:jc w:val="both"/>
        <w:rPr>
          <w:rFonts w:ascii="Arial Narrow" w:eastAsia="Arial Narrow" w:hAnsi="Arial Narrow" w:cs="Arial Narrow"/>
        </w:rPr>
      </w:pPr>
      <w:r w:rsidRPr="00836640">
        <w:rPr>
          <w:rFonts w:ascii="Arial Narrow" w:eastAsia="Arial Narrow" w:hAnsi="Arial Narrow" w:cs="Arial Narrow"/>
          <w:b/>
          <w:bCs/>
        </w:rPr>
        <w:t xml:space="preserve">ARTÍCULO 5. Evaluación médica funcional y examen toxicológico. </w:t>
      </w:r>
      <w:r w:rsidRPr="00DC5EA9">
        <w:rPr>
          <w:rFonts w:ascii="Arial Narrow" w:eastAsia="Arial Narrow" w:hAnsi="Arial Narrow" w:cs="Arial Narrow"/>
        </w:rPr>
        <w:t xml:space="preserve">La Comisión Médica practicará una evaluación integral de las condiciones físicas, mentales, cognitivas, neurológicas y funcionales del gobernador o alcalde, mediante los exámenes clínicos, médicos, neurológicos, psiquiátricos, toxicológicos y de laboratorio que resulten pertinentes, de conformidad con protocolos técnicos y científicos reconocidos. </w:t>
      </w:r>
    </w:p>
    <w:p w14:paraId="1291A87F" w14:textId="77777777" w:rsidR="001578C1" w:rsidRPr="00DC5EA9" w:rsidRDefault="001578C1" w:rsidP="001578C1">
      <w:pPr>
        <w:jc w:val="both"/>
        <w:rPr>
          <w:rFonts w:ascii="Arial Narrow" w:eastAsia="Arial Narrow" w:hAnsi="Arial Narrow" w:cs="Arial Narrow"/>
        </w:rPr>
      </w:pPr>
      <w:r w:rsidRPr="00DC5EA9">
        <w:rPr>
          <w:rFonts w:ascii="Arial Narrow" w:eastAsia="Arial Narrow" w:hAnsi="Arial Narrow" w:cs="Arial Narrow"/>
        </w:rPr>
        <w:t xml:space="preserve">El examen toxicológico será un componente obligatorio e integral del procedimiento. </w:t>
      </w:r>
    </w:p>
    <w:p w14:paraId="78F9C57C" w14:textId="77777777" w:rsidR="001578C1" w:rsidRDefault="001578C1" w:rsidP="001578C1">
      <w:pPr>
        <w:ind w:left="720"/>
        <w:jc w:val="both"/>
        <w:rPr>
          <w:rFonts w:ascii="Arial Narrow" w:eastAsia="Arial Narrow" w:hAnsi="Arial Narrow" w:cs="Arial Narrow"/>
        </w:rPr>
      </w:pPr>
      <w:r w:rsidRPr="00836640">
        <w:rPr>
          <w:rFonts w:ascii="Arial Narrow" w:eastAsia="Arial Narrow" w:hAnsi="Arial Narrow" w:cs="Arial Narrow"/>
          <w:b/>
          <w:bCs/>
        </w:rPr>
        <w:t xml:space="preserve">Parágrafo 1°. </w:t>
      </w:r>
      <w:r w:rsidRPr="00DC5EA9">
        <w:rPr>
          <w:rFonts w:ascii="Arial Narrow" w:eastAsia="Arial Narrow" w:hAnsi="Arial Narrow" w:cs="Arial Narrow"/>
        </w:rPr>
        <w:t xml:space="preserve">El examen toxicológico tendrá como finalidad determinar la eventual presencia de sustancias psicoactivas y establecer si existe relación entre su consumo y una afectación actual de las capacidades necesarias para el adecuado ejercicio del cargo. </w:t>
      </w:r>
    </w:p>
    <w:p w14:paraId="211A0C7A" w14:textId="77777777" w:rsidR="001578C1" w:rsidRPr="00DC5EA9" w:rsidRDefault="001578C1" w:rsidP="001578C1">
      <w:pPr>
        <w:ind w:left="720"/>
        <w:jc w:val="both"/>
        <w:rPr>
          <w:rFonts w:ascii="Arial Narrow" w:eastAsia="Arial Narrow" w:hAnsi="Arial Narrow" w:cs="Arial Narrow"/>
        </w:rPr>
      </w:pPr>
      <w:r w:rsidRPr="00DC5EA9">
        <w:rPr>
          <w:rFonts w:ascii="Arial Narrow" w:eastAsia="Arial Narrow" w:hAnsi="Arial Narrow" w:cs="Arial Narrow"/>
        </w:rPr>
        <w:t>La evaluación deberá distinguir entre el consumo de medicamentos prescritos, la presencia de sustancias sin afectación funcional demostrada, el consumo ocasional, el consumo problemático, el trastorno por consumo o dependencia y la</w:t>
      </w:r>
      <w:r w:rsidRPr="00836640">
        <w:rPr>
          <w:rFonts w:ascii="Arial Narrow" w:eastAsia="Arial Narrow" w:hAnsi="Arial Narrow" w:cs="Arial Narrow"/>
          <w:b/>
          <w:bCs/>
        </w:rPr>
        <w:t xml:space="preserve"> </w:t>
      </w:r>
      <w:r w:rsidRPr="00DC5EA9">
        <w:rPr>
          <w:rFonts w:ascii="Arial Narrow" w:eastAsia="Arial Narrow" w:hAnsi="Arial Narrow" w:cs="Arial Narrow"/>
        </w:rPr>
        <w:t xml:space="preserve">intoxicación o afectación actual de las capacidades para ejercer el cargo. </w:t>
      </w:r>
    </w:p>
    <w:p w14:paraId="7F5D637B" w14:textId="77777777" w:rsidR="001578C1" w:rsidRDefault="001578C1" w:rsidP="001578C1">
      <w:pPr>
        <w:ind w:left="720"/>
        <w:jc w:val="both"/>
        <w:rPr>
          <w:rFonts w:ascii="Arial Narrow" w:eastAsia="Arial Narrow" w:hAnsi="Arial Narrow" w:cs="Arial Narrow"/>
          <w:b/>
          <w:bCs/>
        </w:rPr>
      </w:pPr>
      <w:r w:rsidRPr="00836640">
        <w:rPr>
          <w:rFonts w:ascii="Arial Narrow" w:eastAsia="Arial Narrow" w:hAnsi="Arial Narrow" w:cs="Arial Narrow"/>
          <w:b/>
          <w:bCs/>
        </w:rPr>
        <w:t xml:space="preserve">Parágrafo 2°. </w:t>
      </w:r>
      <w:r w:rsidRPr="00DC5EA9">
        <w:rPr>
          <w:rFonts w:ascii="Arial Narrow" w:eastAsia="Arial Narrow" w:hAnsi="Arial Narrow" w:cs="Arial Narrow"/>
        </w:rPr>
        <w:t>Cuando la prueba inicial de detección arroje un resultado positivo, deberá practicarse una prueba confirmatoria mediante una metodología científicamente validada. La prueba inicial no podrá servir, por sí sola, de fundamento para el dictamen ni para la adopción de una decisión.</w:t>
      </w:r>
      <w:r w:rsidRPr="00836640">
        <w:rPr>
          <w:rFonts w:ascii="Arial Narrow" w:eastAsia="Arial Narrow" w:hAnsi="Arial Narrow" w:cs="Arial Narrow"/>
          <w:b/>
          <w:bCs/>
        </w:rPr>
        <w:t xml:space="preserve"> </w:t>
      </w:r>
    </w:p>
    <w:p w14:paraId="3CBE6A9B" w14:textId="77777777" w:rsidR="001578C1" w:rsidRPr="00DC5EA9" w:rsidRDefault="001578C1" w:rsidP="001578C1">
      <w:pPr>
        <w:ind w:left="720"/>
        <w:jc w:val="both"/>
        <w:rPr>
          <w:rFonts w:ascii="Arial Narrow" w:eastAsia="Arial Narrow" w:hAnsi="Arial Narrow" w:cs="Arial Narrow"/>
        </w:rPr>
      </w:pPr>
      <w:r w:rsidRPr="00836640">
        <w:rPr>
          <w:rFonts w:ascii="Arial Narrow" w:eastAsia="Arial Narrow" w:hAnsi="Arial Narrow" w:cs="Arial Narrow"/>
          <w:b/>
          <w:bCs/>
        </w:rPr>
        <w:t xml:space="preserve">Parágrafo 3°. </w:t>
      </w:r>
      <w:r w:rsidRPr="00DC5EA9">
        <w:rPr>
          <w:rFonts w:ascii="Arial Narrow" w:eastAsia="Arial Narrow" w:hAnsi="Arial Narrow" w:cs="Arial Narrow"/>
        </w:rPr>
        <w:t xml:space="preserve">El mandatario tendrá derecho a conocer y controvertir los resultados y a solicitar una contraprueba ante un laboratorio distinto y debidamente acreditado, dentro de los cinco (5) días siguientes a la notificación del resultado confirmatorio. </w:t>
      </w:r>
    </w:p>
    <w:p w14:paraId="700C9F23" w14:textId="77777777" w:rsidR="001578C1" w:rsidRDefault="001578C1" w:rsidP="001578C1">
      <w:pPr>
        <w:ind w:left="720"/>
        <w:jc w:val="both"/>
        <w:rPr>
          <w:rFonts w:ascii="Arial Narrow" w:eastAsia="Arial Narrow" w:hAnsi="Arial Narrow" w:cs="Arial Narrow"/>
          <w:b/>
          <w:bCs/>
        </w:rPr>
      </w:pPr>
      <w:r w:rsidRPr="00836640">
        <w:rPr>
          <w:rFonts w:ascii="Arial Narrow" w:eastAsia="Arial Narrow" w:hAnsi="Arial Narrow" w:cs="Arial Narrow"/>
          <w:b/>
          <w:bCs/>
        </w:rPr>
        <w:t xml:space="preserve">Parágrafo 4º. </w:t>
      </w:r>
      <w:r w:rsidRPr="00DC5EA9">
        <w:rPr>
          <w:rFonts w:ascii="Arial Narrow" w:eastAsia="Arial Narrow" w:hAnsi="Arial Narrow" w:cs="Arial Narrow"/>
        </w:rPr>
        <w:t>El gobernador o alcalde sometido al procedimiento tendrá el deber de comparecer y practicarse las evaluaciones, exámenes y pruebas que, de manera motivada, determine la Comisión Médica de conformidad con el presente artículo. La negativa injustificada no podrá interpretarse como prueba de incapacidad ni de consumo de sustancias, pero constituirá incumplimiento de un deber legal y deberá ponerse en conocimiento de la Procuraduría General de la Nación para lo de su competencia.</w:t>
      </w:r>
      <w:r w:rsidRPr="00836640">
        <w:rPr>
          <w:rFonts w:ascii="Arial Narrow" w:eastAsia="Arial Narrow" w:hAnsi="Arial Narrow" w:cs="Arial Narrow"/>
          <w:b/>
          <w:bCs/>
        </w:rPr>
        <w:t xml:space="preserve"> </w:t>
      </w:r>
    </w:p>
    <w:p w14:paraId="2F41F1F5" w14:textId="77777777" w:rsidR="001578C1" w:rsidRPr="00DC5EA9" w:rsidRDefault="001578C1" w:rsidP="001578C1">
      <w:pPr>
        <w:jc w:val="both"/>
        <w:rPr>
          <w:rFonts w:ascii="Arial Narrow" w:eastAsia="Arial Narrow" w:hAnsi="Arial Narrow" w:cs="Arial Narrow"/>
        </w:rPr>
      </w:pPr>
      <w:r w:rsidRPr="00836640">
        <w:rPr>
          <w:rFonts w:ascii="Arial Narrow" w:eastAsia="Arial Narrow" w:hAnsi="Arial Narrow" w:cs="Arial Narrow"/>
          <w:b/>
          <w:bCs/>
        </w:rPr>
        <w:t xml:space="preserve">ARTÍCULO 6. </w:t>
      </w:r>
      <w:r w:rsidRPr="00DC5EA9">
        <w:rPr>
          <w:rFonts w:ascii="Arial Narrow" w:eastAsia="Arial Narrow" w:hAnsi="Arial Narrow" w:cs="Arial Narrow"/>
        </w:rPr>
        <w:t xml:space="preserve">La Comisión Médica rendirá su dictamen dentro de los quince (15) días calendario siguientes a su conformación, prorrogables hasta por quince (15) días adicionales cuando la complejidad del caso lo justifique, mediante decisión motivada. </w:t>
      </w:r>
    </w:p>
    <w:p w14:paraId="0FEC21BE" w14:textId="77777777" w:rsidR="001578C1" w:rsidRPr="00DC5EA9" w:rsidRDefault="001578C1" w:rsidP="001578C1">
      <w:pPr>
        <w:jc w:val="both"/>
        <w:rPr>
          <w:rFonts w:ascii="Arial Narrow" w:eastAsia="Arial Narrow" w:hAnsi="Arial Narrow" w:cs="Arial Narrow"/>
        </w:rPr>
      </w:pPr>
      <w:r w:rsidRPr="00DC5EA9">
        <w:rPr>
          <w:rFonts w:ascii="Arial Narrow" w:eastAsia="Arial Narrow" w:hAnsi="Arial Narrow" w:cs="Arial Narrow"/>
        </w:rPr>
        <w:t xml:space="preserve">El dictamen determinará si existe o no una afectación funcional grave y, en caso afirmativo, si esta tiene carácter temporal o permanente. </w:t>
      </w:r>
    </w:p>
    <w:p w14:paraId="70D7326A" w14:textId="77777777" w:rsidR="001578C1" w:rsidRDefault="001578C1" w:rsidP="001578C1">
      <w:pPr>
        <w:jc w:val="both"/>
        <w:rPr>
          <w:rFonts w:ascii="Arial Narrow" w:eastAsia="Arial Narrow" w:hAnsi="Arial Narrow" w:cs="Arial Narrow"/>
        </w:rPr>
      </w:pPr>
      <w:r w:rsidRPr="00836640">
        <w:rPr>
          <w:rFonts w:ascii="Arial Narrow" w:eastAsia="Arial Narrow" w:hAnsi="Arial Narrow" w:cs="Arial Narrow"/>
          <w:b/>
          <w:bCs/>
        </w:rPr>
        <w:t xml:space="preserve">ARTÍCULO 7. </w:t>
      </w:r>
      <w:r w:rsidRPr="00DC5EA9">
        <w:rPr>
          <w:rFonts w:ascii="Arial Narrow" w:eastAsia="Arial Narrow" w:hAnsi="Arial Narrow" w:cs="Arial Narrow"/>
        </w:rPr>
        <w:t xml:space="preserve">Durante todo el procedimiento, el gobernador o alcalde podrá participar directamente o por intermedio de apoderado; conocer, aportar y controvertir las pruebas; solicitar la práctica de exámenes adicionales; y presentar, dentro de los diez (10) días siguientes a la notificación del dictamen de la Comisión Médica, un dictamen médico independiente elaborado por un profesional o institución de su elección. </w:t>
      </w:r>
    </w:p>
    <w:p w14:paraId="0AB5F5C9" w14:textId="77777777" w:rsidR="001578C1" w:rsidRDefault="001578C1" w:rsidP="001578C1">
      <w:pPr>
        <w:jc w:val="both"/>
        <w:rPr>
          <w:rFonts w:ascii="Arial Narrow" w:eastAsia="Arial Narrow" w:hAnsi="Arial Narrow" w:cs="Arial Narrow"/>
          <w:b/>
          <w:bCs/>
        </w:rPr>
      </w:pPr>
      <w:r w:rsidRPr="00DC5EA9">
        <w:rPr>
          <w:rFonts w:ascii="Arial Narrow" w:eastAsia="Arial Narrow" w:hAnsi="Arial Narrow" w:cs="Arial Narrow"/>
        </w:rPr>
        <w:t>El dictamen independiente y las demás pruebas aportadas deberán ser valorados de manera expresa y motivada por la autoridad competente al momento de adoptar la decisión correspondiente.</w:t>
      </w:r>
      <w:r w:rsidRPr="00836640">
        <w:rPr>
          <w:rFonts w:ascii="Arial Narrow" w:eastAsia="Arial Narrow" w:hAnsi="Arial Narrow" w:cs="Arial Narrow"/>
          <w:b/>
          <w:bCs/>
        </w:rPr>
        <w:t xml:space="preserve"> </w:t>
      </w:r>
    </w:p>
    <w:p w14:paraId="01A2DB71" w14:textId="77777777" w:rsidR="001578C1" w:rsidRDefault="001578C1" w:rsidP="001578C1">
      <w:pPr>
        <w:jc w:val="both"/>
        <w:rPr>
          <w:rFonts w:ascii="Arial Narrow" w:eastAsia="Arial Narrow" w:hAnsi="Arial Narrow" w:cs="Arial Narrow"/>
        </w:rPr>
      </w:pPr>
      <w:r w:rsidRPr="00836640">
        <w:rPr>
          <w:rFonts w:ascii="Arial Narrow" w:eastAsia="Arial Narrow" w:hAnsi="Arial Narrow" w:cs="Arial Narrow"/>
          <w:b/>
          <w:bCs/>
        </w:rPr>
        <w:lastRenderedPageBreak/>
        <w:t xml:space="preserve">ARTÍCULO 8. </w:t>
      </w:r>
      <w:r w:rsidRPr="00DC5EA9">
        <w:rPr>
          <w:rFonts w:ascii="Arial Narrow" w:eastAsia="Arial Narrow" w:hAnsi="Arial Narrow" w:cs="Arial Narrow"/>
        </w:rPr>
        <w:t xml:space="preserve">El dictamen y las demás actuaciones serán remitidos a la autoridad competente, que decidirá dentro de los quince (15) días siguientes. </w:t>
      </w:r>
    </w:p>
    <w:p w14:paraId="5FC93319" w14:textId="77777777" w:rsidR="001578C1" w:rsidRDefault="001578C1" w:rsidP="001578C1">
      <w:pPr>
        <w:jc w:val="both"/>
        <w:rPr>
          <w:rFonts w:ascii="Arial Narrow" w:eastAsia="Arial Narrow" w:hAnsi="Arial Narrow" w:cs="Arial Narrow"/>
        </w:rPr>
      </w:pPr>
      <w:r w:rsidRPr="00DC5EA9">
        <w:rPr>
          <w:rFonts w:ascii="Arial Narrow" w:eastAsia="Arial Narrow" w:hAnsi="Arial Narrow" w:cs="Arial Narrow"/>
        </w:rPr>
        <w:t xml:space="preserve">Respecto de los gobernadores, al Presidente de la República. Respecto de los alcaldes municipales y distritales, al gobernador del respectivo departamento. </w:t>
      </w:r>
    </w:p>
    <w:p w14:paraId="44BA3700" w14:textId="77777777" w:rsidR="001578C1" w:rsidRDefault="001578C1" w:rsidP="001578C1">
      <w:pPr>
        <w:jc w:val="both"/>
        <w:rPr>
          <w:rFonts w:ascii="Arial Narrow" w:eastAsia="Arial Narrow" w:hAnsi="Arial Narrow" w:cs="Arial Narrow"/>
        </w:rPr>
      </w:pPr>
      <w:r w:rsidRPr="00DC5EA9">
        <w:rPr>
          <w:rFonts w:ascii="Arial Narrow" w:eastAsia="Arial Narrow" w:hAnsi="Arial Narrow" w:cs="Arial Narrow"/>
        </w:rPr>
        <w:t xml:space="preserve">Respecto del Alcalde Mayor de Bogotá, al Presidente de la República. </w:t>
      </w:r>
    </w:p>
    <w:p w14:paraId="36DCD60A" w14:textId="77777777" w:rsidR="001578C1" w:rsidRDefault="001578C1" w:rsidP="001578C1">
      <w:pPr>
        <w:jc w:val="both"/>
        <w:rPr>
          <w:rFonts w:ascii="Arial Narrow" w:eastAsia="Arial Narrow" w:hAnsi="Arial Narrow" w:cs="Arial Narrow"/>
        </w:rPr>
      </w:pPr>
      <w:r w:rsidRPr="00DC5EA9">
        <w:rPr>
          <w:rFonts w:ascii="Arial Narrow" w:eastAsia="Arial Narrow" w:hAnsi="Arial Narrow" w:cs="Arial Narrow"/>
        </w:rPr>
        <w:t xml:space="preserve">Cuando el dictamen concluya que no existe una afectación funcional grave, se archivará la actuación. </w:t>
      </w:r>
    </w:p>
    <w:p w14:paraId="510C0BB5" w14:textId="77777777" w:rsidR="001578C1" w:rsidRDefault="001578C1" w:rsidP="001578C1">
      <w:pPr>
        <w:jc w:val="both"/>
        <w:rPr>
          <w:rFonts w:ascii="Arial Narrow" w:eastAsia="Arial Narrow" w:hAnsi="Arial Narrow" w:cs="Arial Narrow"/>
        </w:rPr>
      </w:pPr>
      <w:r w:rsidRPr="00DC5EA9">
        <w:rPr>
          <w:rFonts w:ascii="Arial Narrow" w:eastAsia="Arial Narrow" w:hAnsi="Arial Narrow" w:cs="Arial Narrow"/>
        </w:rPr>
        <w:t xml:space="preserve">Cuando se determine una afectación funcional grave de carácter temporal, se declarará la falta temporal por el tiempo estrictamente necesario y se aplicarán las reglas vigentes sobre encargo. </w:t>
      </w:r>
    </w:p>
    <w:p w14:paraId="562A02EF" w14:textId="77777777" w:rsidR="001578C1" w:rsidRDefault="001578C1" w:rsidP="001578C1">
      <w:pPr>
        <w:jc w:val="both"/>
        <w:rPr>
          <w:rFonts w:ascii="Arial Narrow" w:eastAsia="Arial Narrow" w:hAnsi="Arial Narrow" w:cs="Arial Narrow"/>
          <w:b/>
          <w:bCs/>
        </w:rPr>
      </w:pPr>
      <w:r w:rsidRPr="00DC5EA9">
        <w:rPr>
          <w:rFonts w:ascii="Arial Narrow" w:eastAsia="Arial Narrow" w:hAnsi="Arial Narrow" w:cs="Arial Narrow"/>
        </w:rPr>
        <w:t>Cuando se determine una afectación funcional grave de carácter permanente, se declarará la falta absoluta por incapacidad física o mental y se proveerá el cargo conforme a la Constitución y la ley.</w:t>
      </w:r>
      <w:r w:rsidRPr="00836640">
        <w:rPr>
          <w:rFonts w:ascii="Arial Narrow" w:eastAsia="Arial Narrow" w:hAnsi="Arial Narrow" w:cs="Arial Narrow"/>
          <w:b/>
          <w:bCs/>
        </w:rPr>
        <w:t xml:space="preserve"> </w:t>
      </w:r>
    </w:p>
    <w:p w14:paraId="24BF5F0C" w14:textId="77777777" w:rsidR="001578C1" w:rsidRDefault="001578C1" w:rsidP="001578C1">
      <w:pPr>
        <w:jc w:val="both"/>
        <w:rPr>
          <w:rFonts w:ascii="Arial Narrow" w:eastAsia="Arial Narrow" w:hAnsi="Arial Narrow" w:cs="Arial Narrow"/>
        </w:rPr>
      </w:pPr>
      <w:r w:rsidRPr="00836640">
        <w:rPr>
          <w:rFonts w:ascii="Arial Narrow" w:eastAsia="Arial Narrow" w:hAnsi="Arial Narrow" w:cs="Arial Narrow"/>
          <w:b/>
          <w:bCs/>
        </w:rPr>
        <w:t xml:space="preserve">ARTÍCULO 9. </w:t>
      </w:r>
      <w:r w:rsidRPr="00DC5EA9">
        <w:rPr>
          <w:rFonts w:ascii="Arial Narrow" w:eastAsia="Arial Narrow" w:hAnsi="Arial Narrow" w:cs="Arial Narrow"/>
        </w:rPr>
        <w:t xml:space="preserve">Modifíquese el artículo 98 de la Ley 136 de 1994, el cual quedará así: </w:t>
      </w:r>
    </w:p>
    <w:p w14:paraId="5CAE0921" w14:textId="77777777" w:rsidR="001578C1" w:rsidRDefault="001578C1" w:rsidP="001578C1">
      <w:pPr>
        <w:ind w:left="720"/>
        <w:jc w:val="both"/>
        <w:rPr>
          <w:rFonts w:ascii="Arial Narrow" w:eastAsia="Arial Narrow" w:hAnsi="Arial Narrow" w:cs="Arial Narrow"/>
        </w:rPr>
      </w:pPr>
      <w:r w:rsidRPr="00DC5EA9">
        <w:rPr>
          <w:rFonts w:ascii="Arial Narrow" w:eastAsia="Arial Narrow" w:hAnsi="Arial Narrow" w:cs="Arial Narrow"/>
          <w:b/>
          <w:bCs/>
        </w:rPr>
        <w:t>Artículo 98. Faltas absolutas.</w:t>
      </w:r>
      <w:r w:rsidRPr="00DC5EA9">
        <w:rPr>
          <w:rFonts w:ascii="Arial Narrow" w:eastAsia="Arial Narrow" w:hAnsi="Arial Narrow" w:cs="Arial Narrow"/>
        </w:rPr>
        <w:t xml:space="preserve"> Son faltas absolutas del alcalde: </w:t>
      </w:r>
    </w:p>
    <w:p w14:paraId="1BA1128E" w14:textId="77777777" w:rsidR="001578C1" w:rsidRDefault="001578C1" w:rsidP="001578C1">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a) La muerte; </w:t>
      </w:r>
    </w:p>
    <w:p w14:paraId="0D5183B7" w14:textId="77777777" w:rsidR="001578C1" w:rsidRDefault="001578C1" w:rsidP="001578C1">
      <w:pPr>
        <w:spacing w:after="0"/>
        <w:ind w:left="720"/>
        <w:jc w:val="both"/>
        <w:rPr>
          <w:rFonts w:ascii="Arial Narrow" w:eastAsia="Arial Narrow" w:hAnsi="Arial Narrow" w:cs="Arial Narrow"/>
        </w:rPr>
      </w:pPr>
      <w:r w:rsidRPr="00DC5EA9">
        <w:rPr>
          <w:rFonts w:ascii="Arial Narrow" w:eastAsia="Arial Narrow" w:hAnsi="Arial Narrow" w:cs="Arial Narrow"/>
        </w:rPr>
        <w:t>b) La renuncia aceptada;</w:t>
      </w:r>
    </w:p>
    <w:p w14:paraId="0B36CAD1" w14:textId="77777777" w:rsidR="001578C1" w:rsidRDefault="001578C1" w:rsidP="001578C1">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c) La incapacidad física permanente; </w:t>
      </w:r>
    </w:p>
    <w:p w14:paraId="500F6467" w14:textId="77777777" w:rsidR="001578C1" w:rsidRDefault="001578C1" w:rsidP="001578C1">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d) La declaratoria de nulidad de su elección; </w:t>
      </w:r>
    </w:p>
    <w:p w14:paraId="798BB142" w14:textId="77777777" w:rsidR="001578C1" w:rsidRDefault="001578C1" w:rsidP="001578C1">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e) La interdicción judicial; </w:t>
      </w:r>
    </w:p>
    <w:p w14:paraId="7F1C3C1D" w14:textId="77777777" w:rsidR="001578C1" w:rsidRDefault="001578C1" w:rsidP="001578C1">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f) La destitución; </w:t>
      </w:r>
    </w:p>
    <w:p w14:paraId="793B3093" w14:textId="77777777" w:rsidR="001578C1" w:rsidRDefault="001578C1" w:rsidP="001578C1">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g) La revocatoria del mandato; </w:t>
      </w:r>
    </w:p>
    <w:p w14:paraId="6EC363F9" w14:textId="77777777" w:rsidR="001578C1" w:rsidRDefault="001578C1" w:rsidP="001578C1">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h) La incapacidad por enfermedad superior a ciento ochenta (180) días. </w:t>
      </w:r>
    </w:p>
    <w:p w14:paraId="58DF28F0" w14:textId="77777777" w:rsidR="001578C1" w:rsidRDefault="001578C1" w:rsidP="001578C1">
      <w:pPr>
        <w:spacing w:after="0"/>
        <w:ind w:left="720"/>
        <w:jc w:val="both"/>
        <w:rPr>
          <w:rFonts w:ascii="Arial Narrow" w:eastAsia="Arial Narrow" w:hAnsi="Arial Narrow" w:cs="Arial Narrow"/>
        </w:rPr>
      </w:pPr>
    </w:p>
    <w:p w14:paraId="0432652B" w14:textId="77777777" w:rsidR="001578C1" w:rsidRPr="00DC5EA9" w:rsidRDefault="001578C1" w:rsidP="001578C1">
      <w:pPr>
        <w:ind w:left="720"/>
        <w:jc w:val="both"/>
        <w:rPr>
          <w:rFonts w:ascii="Arial Narrow" w:eastAsia="Arial Narrow" w:hAnsi="Arial Narrow" w:cs="Arial Narrow"/>
        </w:rPr>
      </w:pPr>
      <w:r w:rsidRPr="00DC5EA9">
        <w:rPr>
          <w:rFonts w:ascii="Arial Narrow" w:eastAsia="Arial Narrow" w:hAnsi="Arial Narrow" w:cs="Arial Narrow"/>
        </w:rPr>
        <w:t xml:space="preserve">Para efectos de lo dispuesto en los literales c) y h), la incapacidad podrá comprender afectaciones físicas, mentales, cognitivas, neurológicas o funcionales, incluidas aquellas derivadas del consumo de sustancias psicoactivas, siempre que comprometan de manera grave y permanente la capacidad del alcalde para el adecuado ejercicio del cargo. Esta circunstancia podrá acreditarse mediante el dictamen de la Comisión Médica conformada de acuerdo con la presente ley. </w:t>
      </w:r>
    </w:p>
    <w:p w14:paraId="1C5FDE44" w14:textId="77777777" w:rsidR="001578C1" w:rsidRDefault="001578C1" w:rsidP="001578C1">
      <w:pPr>
        <w:jc w:val="both"/>
        <w:rPr>
          <w:rFonts w:ascii="Arial Narrow" w:eastAsia="Arial Narrow" w:hAnsi="Arial Narrow" w:cs="Arial Narrow"/>
        </w:rPr>
      </w:pPr>
      <w:r w:rsidRPr="00836640">
        <w:rPr>
          <w:rFonts w:ascii="Arial Narrow" w:eastAsia="Arial Narrow" w:hAnsi="Arial Narrow" w:cs="Arial Narrow"/>
          <w:b/>
          <w:bCs/>
        </w:rPr>
        <w:t xml:space="preserve">ARTÍCULO 10. </w:t>
      </w:r>
      <w:r w:rsidRPr="00DC5EA9">
        <w:rPr>
          <w:rFonts w:ascii="Arial Narrow" w:eastAsia="Arial Narrow" w:hAnsi="Arial Narrow" w:cs="Arial Narrow"/>
        </w:rPr>
        <w:t xml:space="preserve">Modifíquese el artículo 121 de la Ley 2200 de 2022, el cual quedará así: </w:t>
      </w:r>
    </w:p>
    <w:p w14:paraId="24DEA0A9" w14:textId="77777777" w:rsidR="001578C1" w:rsidRDefault="001578C1" w:rsidP="001578C1">
      <w:pPr>
        <w:ind w:left="720"/>
        <w:jc w:val="both"/>
        <w:rPr>
          <w:rFonts w:ascii="Arial Narrow" w:eastAsia="Arial Narrow" w:hAnsi="Arial Narrow" w:cs="Arial Narrow"/>
          <w:b/>
          <w:bCs/>
        </w:rPr>
      </w:pPr>
      <w:r w:rsidRPr="00836640">
        <w:rPr>
          <w:rFonts w:ascii="Arial Narrow" w:eastAsia="Arial Narrow" w:hAnsi="Arial Narrow" w:cs="Arial Narrow"/>
          <w:b/>
          <w:bCs/>
        </w:rPr>
        <w:t xml:space="preserve">Artículo 121. Faltas absolutas. Son faltas absolutas del gobernador: </w:t>
      </w:r>
    </w:p>
    <w:p w14:paraId="0BC63197" w14:textId="77777777" w:rsidR="001578C1" w:rsidRPr="00DC5EA9" w:rsidRDefault="001578C1" w:rsidP="001578C1">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1. La muerte. </w:t>
      </w:r>
    </w:p>
    <w:p w14:paraId="4D691831" w14:textId="77777777" w:rsidR="001578C1" w:rsidRPr="00DC5EA9" w:rsidRDefault="001578C1" w:rsidP="001578C1">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2. La renuncia aceptada. </w:t>
      </w:r>
    </w:p>
    <w:p w14:paraId="53D1DB54" w14:textId="77777777" w:rsidR="001578C1" w:rsidRPr="00DC5EA9" w:rsidRDefault="001578C1" w:rsidP="001578C1">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3. La incapacidad física, mental, cognitiva, neurológica o funcional de carácter permanente. </w:t>
      </w:r>
    </w:p>
    <w:p w14:paraId="34D802F4" w14:textId="77777777" w:rsidR="001578C1" w:rsidRPr="00DC5EA9" w:rsidRDefault="001578C1" w:rsidP="001578C1">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4. La declaratoria de nulidad de la elección. </w:t>
      </w:r>
    </w:p>
    <w:p w14:paraId="5DF61185" w14:textId="77777777" w:rsidR="001578C1" w:rsidRPr="00DC5EA9" w:rsidRDefault="001578C1" w:rsidP="001578C1">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5. La interdicción judicial. </w:t>
      </w:r>
    </w:p>
    <w:p w14:paraId="440B1513" w14:textId="77777777" w:rsidR="001578C1" w:rsidRPr="00DC5EA9" w:rsidRDefault="001578C1" w:rsidP="001578C1">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6. La destitución. </w:t>
      </w:r>
    </w:p>
    <w:p w14:paraId="78345A1B" w14:textId="77777777" w:rsidR="001578C1" w:rsidRPr="00DC5EA9" w:rsidRDefault="001578C1" w:rsidP="001578C1">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7. La revocatoria del mandato. </w:t>
      </w:r>
    </w:p>
    <w:p w14:paraId="0B71C6B5" w14:textId="77777777" w:rsidR="001578C1" w:rsidRPr="00DC5EA9" w:rsidRDefault="001578C1" w:rsidP="001578C1">
      <w:pPr>
        <w:spacing w:after="0"/>
        <w:ind w:left="720"/>
        <w:jc w:val="both"/>
        <w:rPr>
          <w:rFonts w:ascii="Arial Narrow" w:eastAsia="Arial Narrow" w:hAnsi="Arial Narrow" w:cs="Arial Narrow"/>
        </w:rPr>
      </w:pPr>
      <w:r w:rsidRPr="00DC5EA9">
        <w:rPr>
          <w:rFonts w:ascii="Arial Narrow" w:eastAsia="Arial Narrow" w:hAnsi="Arial Narrow" w:cs="Arial Narrow"/>
        </w:rPr>
        <w:t xml:space="preserve">8. La declaración de vacancia por abandono del cargo. </w:t>
      </w:r>
    </w:p>
    <w:p w14:paraId="26E0BBD6" w14:textId="47591E15" w:rsidR="001578C1" w:rsidRDefault="001578C1" w:rsidP="001578C1">
      <w:pPr>
        <w:spacing w:after="0"/>
        <w:ind w:left="720"/>
        <w:jc w:val="both"/>
        <w:rPr>
          <w:rFonts w:ascii="Arial Narrow" w:eastAsia="Arial Narrow" w:hAnsi="Arial Narrow" w:cs="Arial Narrow"/>
          <w:b/>
          <w:bCs/>
        </w:rPr>
      </w:pPr>
      <w:r w:rsidRPr="00DC5EA9">
        <w:rPr>
          <w:rFonts w:ascii="Arial Narrow" w:eastAsia="Arial Narrow" w:hAnsi="Arial Narrow" w:cs="Arial Narrow"/>
        </w:rPr>
        <w:lastRenderedPageBreak/>
        <w:t>9. La condena a pena privativa de la libertad debidamente ejecutoriada, salvo que se trate de delitos políticos o culposos</w:t>
      </w:r>
      <w:r w:rsidRPr="00836640">
        <w:rPr>
          <w:rFonts w:ascii="Arial Narrow" w:eastAsia="Arial Narrow" w:hAnsi="Arial Narrow" w:cs="Arial Narrow"/>
          <w:b/>
          <w:bCs/>
        </w:rPr>
        <w:t xml:space="preserve">. </w:t>
      </w:r>
    </w:p>
    <w:p w14:paraId="40E3F607" w14:textId="77777777" w:rsidR="001578C1" w:rsidRDefault="001578C1" w:rsidP="001578C1">
      <w:pPr>
        <w:spacing w:after="0"/>
        <w:ind w:left="720"/>
        <w:jc w:val="both"/>
        <w:rPr>
          <w:rFonts w:ascii="Arial Narrow" w:eastAsia="Arial Narrow" w:hAnsi="Arial Narrow" w:cs="Arial Narrow"/>
          <w:b/>
          <w:bCs/>
        </w:rPr>
      </w:pPr>
    </w:p>
    <w:p w14:paraId="1692CF6B" w14:textId="77777777" w:rsidR="001578C1" w:rsidRPr="00DC5EA9" w:rsidRDefault="001578C1" w:rsidP="001578C1">
      <w:pPr>
        <w:ind w:left="720"/>
        <w:jc w:val="both"/>
        <w:rPr>
          <w:rFonts w:ascii="Arial Narrow" w:eastAsia="Arial Narrow" w:hAnsi="Arial Narrow" w:cs="Arial Narrow"/>
        </w:rPr>
      </w:pPr>
      <w:r w:rsidRPr="00DC5EA9">
        <w:rPr>
          <w:rFonts w:ascii="Arial Narrow" w:eastAsia="Arial Narrow" w:hAnsi="Arial Narrow" w:cs="Arial Narrow"/>
        </w:rPr>
        <w:t xml:space="preserve">Para efectos de lo dispuesto en el numeral 3, la incapacidad podrá comprender aquella derivada del consumo de sustancias psicoactivas, siempre que comprometa gravemente y de manera permanente la capacidad del gobernador para el adecuado ejercicio del cargo. Esta circunstancia podrá acreditarse mediante el dictamen de la Comisión Médica conformada de acuerdo con la presente ley. </w:t>
      </w:r>
    </w:p>
    <w:p w14:paraId="192C0B13" w14:textId="77777777" w:rsidR="001578C1" w:rsidRDefault="001578C1" w:rsidP="001578C1">
      <w:pPr>
        <w:jc w:val="both"/>
        <w:rPr>
          <w:rFonts w:ascii="Arial Narrow" w:eastAsia="Arial Narrow" w:hAnsi="Arial Narrow" w:cs="Arial Narrow"/>
        </w:rPr>
      </w:pPr>
      <w:r w:rsidRPr="00836640">
        <w:rPr>
          <w:rFonts w:ascii="Arial Narrow" w:eastAsia="Arial Narrow" w:hAnsi="Arial Narrow" w:cs="Arial Narrow"/>
          <w:b/>
          <w:bCs/>
        </w:rPr>
        <w:t xml:space="preserve">ARTÍCULO 11. Reserva. </w:t>
      </w:r>
      <w:r w:rsidRPr="00DC5EA9">
        <w:rPr>
          <w:rFonts w:ascii="Arial Narrow" w:eastAsia="Arial Narrow" w:hAnsi="Arial Narrow" w:cs="Arial Narrow"/>
        </w:rPr>
        <w:t xml:space="preserve">La historia clínica, los exámenes practicados y sus resultados específicos son reservados conforme al artículo 34 de la Ley 23 de 1981 y a la Ley 1581 de 2012, y solo podrán conocerlos el mandatario evaluado, su apoderado, los integrantes de la Comisión Médica y la autoridad competente para adoptar la decisión. </w:t>
      </w:r>
    </w:p>
    <w:p w14:paraId="49B18B27" w14:textId="77777777" w:rsidR="001578C1" w:rsidRDefault="001578C1" w:rsidP="001578C1">
      <w:pPr>
        <w:jc w:val="both"/>
        <w:rPr>
          <w:rFonts w:ascii="Arial Narrow" w:eastAsia="Arial Narrow" w:hAnsi="Arial Narrow" w:cs="Arial Narrow"/>
          <w:b/>
          <w:bCs/>
        </w:rPr>
      </w:pPr>
      <w:r w:rsidRPr="00DC5EA9">
        <w:rPr>
          <w:rFonts w:ascii="Arial Narrow" w:eastAsia="Arial Narrow" w:hAnsi="Arial Narrow" w:cs="Arial Narrow"/>
        </w:rPr>
        <w:t>Únicamente podrá hacerse pública la conclusión general del dictamen y la decisión adoptada, sin motivación clínica detallada.</w:t>
      </w:r>
      <w:r w:rsidRPr="00836640">
        <w:rPr>
          <w:rFonts w:ascii="Arial Narrow" w:eastAsia="Arial Narrow" w:hAnsi="Arial Narrow" w:cs="Arial Narrow"/>
          <w:b/>
          <w:bCs/>
        </w:rPr>
        <w:t xml:space="preserve"> </w:t>
      </w:r>
    </w:p>
    <w:p w14:paraId="3B343A4C" w14:textId="77777777" w:rsidR="001578C1" w:rsidRDefault="001578C1" w:rsidP="001578C1">
      <w:pPr>
        <w:jc w:val="both"/>
        <w:rPr>
          <w:rFonts w:ascii="Arial Narrow" w:eastAsia="Arial Narrow" w:hAnsi="Arial Narrow" w:cs="Arial Narrow"/>
        </w:rPr>
      </w:pPr>
      <w:r w:rsidRPr="00836640">
        <w:rPr>
          <w:rFonts w:ascii="Arial Narrow" w:eastAsia="Arial Narrow" w:hAnsi="Arial Narrow" w:cs="Arial Narrow"/>
          <w:b/>
          <w:bCs/>
        </w:rPr>
        <w:t xml:space="preserve">ARTÍCULO 12. </w:t>
      </w:r>
      <w:r w:rsidRPr="00DC5EA9">
        <w:rPr>
          <w:rFonts w:ascii="Arial Narrow" w:eastAsia="Arial Narrow" w:hAnsi="Arial Narrow" w:cs="Arial Narrow"/>
        </w:rPr>
        <w:t>Vigencia. La presente ley rige a partir de su promulgación y deroga las disposiciones que le sean contrarias.</w:t>
      </w:r>
    </w:p>
    <w:p w14:paraId="3789DCD9" w14:textId="77777777" w:rsidR="00CB3505" w:rsidRPr="00836640" w:rsidRDefault="00CB3505" w:rsidP="001578C1">
      <w:pPr>
        <w:jc w:val="both"/>
        <w:rPr>
          <w:rFonts w:ascii="Arial Narrow" w:eastAsia="Arial Narrow" w:hAnsi="Arial Narrow" w:cs="Arial Narrow"/>
          <w:b/>
          <w:bCs/>
        </w:rPr>
      </w:pPr>
    </w:p>
    <w:p w14:paraId="146C3E88" w14:textId="3ADDA56D" w:rsidR="00970D85" w:rsidRDefault="00970D85" w:rsidP="005A6511">
      <w:pPr>
        <w:ind w:right="-136"/>
        <w:jc w:val="both"/>
        <w:rPr>
          <w:rFonts w:ascii="Arial Narrow" w:eastAsia="Arial Narrow" w:hAnsi="Arial Narrow" w:cs="Arial Narrow"/>
        </w:rPr>
      </w:pPr>
      <w:r>
        <w:rPr>
          <w:rFonts w:ascii="Arial Narrow" w:eastAsia="Arial Narrow" w:hAnsi="Arial Narrow" w:cs="Arial Narrow"/>
        </w:rPr>
        <w:t>Cordialmente,</w:t>
      </w:r>
    </w:p>
    <w:p w14:paraId="6420139F" w14:textId="77777777" w:rsidR="00073F40" w:rsidRDefault="00073F40" w:rsidP="005A6511">
      <w:pPr>
        <w:ind w:right="-136"/>
        <w:jc w:val="both"/>
        <w:rPr>
          <w:rFonts w:ascii="Arial Narrow" w:eastAsia="Arial Narrow" w:hAnsi="Arial Narrow" w:cs="Arial Narrow"/>
        </w:rPr>
      </w:pPr>
    </w:p>
    <w:p w14:paraId="3DE41FF3" w14:textId="77777777" w:rsidR="00CB3505" w:rsidRPr="00CF17A9" w:rsidRDefault="00CB3505" w:rsidP="005A6511">
      <w:pPr>
        <w:ind w:right="-136"/>
        <w:jc w:val="both"/>
        <w:rPr>
          <w:rFonts w:ascii="Arial Narrow" w:eastAsia="Arial Narrow" w:hAnsi="Arial Narrow" w:cs="Arial Narrow"/>
        </w:rPr>
      </w:pPr>
    </w:p>
    <w:p w14:paraId="60D1F336" w14:textId="77777777" w:rsidR="005A6511" w:rsidRPr="00CF17A9" w:rsidRDefault="005A6511" w:rsidP="005A6511">
      <w:pPr>
        <w:pBdr>
          <w:top w:val="nil"/>
          <w:left w:val="nil"/>
          <w:bottom w:val="nil"/>
          <w:right w:val="nil"/>
          <w:between w:val="nil"/>
        </w:pBdr>
        <w:spacing w:after="0" w:line="240" w:lineRule="auto"/>
        <w:jc w:val="both"/>
        <w:rPr>
          <w:rFonts w:ascii="Arial Narrow" w:eastAsia="Arial Narrow" w:hAnsi="Arial Narrow" w:cs="Arial Narrow"/>
          <w:b/>
          <w:bCs/>
        </w:rPr>
      </w:pPr>
      <w:r w:rsidRPr="00CF17A9">
        <w:rPr>
          <w:rFonts w:ascii="Arial Narrow" w:eastAsia="Arial Narrow" w:hAnsi="Arial Narrow" w:cs="Arial Narrow"/>
          <w:b/>
          <w:bCs/>
        </w:rPr>
        <w:t>Jaime Ignacio Arizabaleta Fajardo.</w:t>
      </w:r>
    </w:p>
    <w:p w14:paraId="0F81DDD4" w14:textId="77777777" w:rsidR="00CF17A9" w:rsidRPr="00CF17A9" w:rsidRDefault="005A6511" w:rsidP="005A6511">
      <w:pPr>
        <w:pBdr>
          <w:top w:val="nil"/>
          <w:left w:val="nil"/>
          <w:bottom w:val="nil"/>
          <w:right w:val="nil"/>
          <w:between w:val="nil"/>
        </w:pBdr>
        <w:spacing w:after="0" w:line="240" w:lineRule="auto"/>
        <w:jc w:val="both"/>
        <w:rPr>
          <w:rFonts w:ascii="Arial Narrow" w:eastAsia="Arial Narrow" w:hAnsi="Arial Narrow" w:cs="Arial Narrow"/>
        </w:rPr>
      </w:pPr>
      <w:r w:rsidRPr="00CF17A9">
        <w:rPr>
          <w:rFonts w:ascii="Arial Narrow" w:eastAsia="Arial Narrow" w:hAnsi="Arial Narrow" w:cs="Arial Narrow"/>
        </w:rPr>
        <w:t>Representante a la Cámara</w:t>
      </w:r>
    </w:p>
    <w:p w14:paraId="63900634" w14:textId="0DE7C51F" w:rsidR="005A6511" w:rsidRPr="00CF17A9" w:rsidRDefault="005A6511" w:rsidP="005A6511">
      <w:pPr>
        <w:pBdr>
          <w:top w:val="nil"/>
          <w:left w:val="nil"/>
          <w:bottom w:val="nil"/>
          <w:right w:val="nil"/>
          <w:between w:val="nil"/>
        </w:pBdr>
        <w:spacing w:after="0" w:line="240" w:lineRule="auto"/>
        <w:jc w:val="both"/>
        <w:rPr>
          <w:rFonts w:ascii="Arial Narrow" w:eastAsia="Arial Narrow" w:hAnsi="Arial Narrow" w:cs="Arial Narrow"/>
        </w:rPr>
      </w:pPr>
      <w:r w:rsidRPr="00CF17A9">
        <w:rPr>
          <w:rFonts w:ascii="Arial Narrow" w:eastAsia="Arial Narrow" w:hAnsi="Arial Narrow" w:cs="Arial Narrow"/>
        </w:rPr>
        <w:t>Departamento del Valle del Cauca</w:t>
      </w:r>
    </w:p>
    <w:p w14:paraId="274AE4B7" w14:textId="77777777" w:rsidR="005A6511" w:rsidRPr="00CF17A9" w:rsidRDefault="005A6511" w:rsidP="005A6511">
      <w:pPr>
        <w:pBdr>
          <w:top w:val="nil"/>
          <w:left w:val="nil"/>
          <w:bottom w:val="nil"/>
          <w:right w:val="nil"/>
          <w:between w:val="nil"/>
        </w:pBdr>
        <w:spacing w:after="0" w:line="240" w:lineRule="auto"/>
        <w:jc w:val="both"/>
        <w:rPr>
          <w:rFonts w:ascii="Arial Narrow" w:eastAsia="Arial Narrow" w:hAnsi="Arial Narrow" w:cs="Arial Narrow"/>
        </w:rPr>
      </w:pPr>
      <w:r w:rsidRPr="00CF17A9">
        <w:rPr>
          <w:rFonts w:ascii="Arial Narrow" w:eastAsia="Arial Narrow" w:hAnsi="Arial Narrow" w:cs="Arial Narrow"/>
        </w:rPr>
        <w:t xml:space="preserve">Centro Democrático </w:t>
      </w:r>
    </w:p>
    <w:p w14:paraId="37BE6421" w14:textId="4E19163D" w:rsidR="00861FE3" w:rsidRDefault="00861FE3" w:rsidP="005A6511">
      <w:pPr>
        <w:pBdr>
          <w:top w:val="nil"/>
          <w:left w:val="nil"/>
          <w:bottom w:val="nil"/>
          <w:right w:val="nil"/>
          <w:between w:val="nil"/>
        </w:pBdr>
        <w:spacing w:after="0" w:line="240" w:lineRule="auto"/>
        <w:jc w:val="both"/>
        <w:rPr>
          <w:rFonts w:ascii="Arial Narrow" w:eastAsia="Arial Narrow" w:hAnsi="Arial Narrow" w:cs="Arial Narrow"/>
        </w:rPr>
      </w:pPr>
    </w:p>
    <w:p w14:paraId="337703A5" w14:textId="77777777" w:rsidR="009120AC" w:rsidRDefault="009120AC" w:rsidP="005A6511">
      <w:pPr>
        <w:pBdr>
          <w:top w:val="nil"/>
          <w:left w:val="nil"/>
          <w:bottom w:val="nil"/>
          <w:right w:val="nil"/>
          <w:between w:val="nil"/>
        </w:pBdr>
        <w:spacing w:after="0" w:line="240" w:lineRule="auto"/>
        <w:jc w:val="both"/>
        <w:rPr>
          <w:rFonts w:ascii="Arial Narrow" w:eastAsia="Arial Narrow" w:hAnsi="Arial Narrow" w:cs="Arial Narrow"/>
        </w:rPr>
      </w:pPr>
    </w:p>
    <w:sectPr w:rsidR="009120AC">
      <w:headerReference w:type="default" r:id="rId8"/>
      <w:foot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5428A" w14:textId="77777777" w:rsidR="002535B4" w:rsidRDefault="002535B4">
      <w:pPr>
        <w:spacing w:after="0" w:line="240" w:lineRule="auto"/>
      </w:pPr>
      <w:r>
        <w:separator/>
      </w:r>
    </w:p>
  </w:endnote>
  <w:endnote w:type="continuationSeparator" w:id="0">
    <w:p w14:paraId="2B9BFFFF" w14:textId="77777777" w:rsidR="002535B4" w:rsidRDefault="00253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embedRegular r:id="rId1" w:fontKey="{D4941A72-EDBA-449E-819E-1F008A231FB4}"/>
    <w:embedBold r:id="rId2" w:fontKey="{FC8EEDC9-6453-47AA-BC98-49FE3FD3491A}"/>
    <w:embedItalic r:id="rId3" w:fontKey="{4ACFC3C0-4DF4-49A7-9919-863D3D313054}"/>
    <w:embedBoldItalic r:id="rId4" w:fontKey="{BBAEF6C2-EBEF-4175-840B-FD50CC4DDFEB}"/>
  </w:font>
  <w:font w:name="Tahoma">
    <w:panose1 w:val="020B0604030504040204"/>
    <w:charset w:val="00"/>
    <w:family w:val="swiss"/>
    <w:pitch w:val="variable"/>
    <w:sig w:usb0="E1002EFF" w:usb1="C000605B" w:usb2="00000029" w:usb3="00000000" w:csb0="000101FF" w:csb1="00000000"/>
    <w:embedBold r:id="rId5" w:fontKey="{F68E8AE4-F88C-4C6F-BCA8-AC0E21B29027}"/>
  </w:font>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6" w:fontKey="{024EF0D1-DFFF-4DCA-A722-D623DD2E23D7}"/>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7" w:fontKey="{D9EB73CB-817C-43E1-8C6E-656B269BCD80}"/>
    <w:embedBold r:id="rId8" w:fontKey="{7D0C66AC-58DE-413D-A198-18095F5DEF89}"/>
  </w:font>
  <w:font w:name="Georgia">
    <w:panose1 w:val="02040502050405020303"/>
    <w:charset w:val="00"/>
    <w:family w:val="roman"/>
    <w:pitch w:val="variable"/>
    <w:sig w:usb0="00000287" w:usb1="00000000" w:usb2="00000000" w:usb3="00000000" w:csb0="0000009F" w:csb1="00000000"/>
    <w:embedItalic r:id="rId9" w:fontKey="{7F498C2A-873E-474B-995C-B7987CA14B10}"/>
  </w:font>
  <w:font w:name="Segoe UI">
    <w:panose1 w:val="020B0502040204020203"/>
    <w:charset w:val="00"/>
    <w:family w:val="swiss"/>
    <w:pitch w:val="variable"/>
    <w:sig w:usb0="E4002EFF" w:usb1="C000E47F" w:usb2="00000009" w:usb3="00000000" w:csb0="000001FF" w:csb1="00000000"/>
    <w:embedRegular r:id="rId10" w:fontKey="{E0EDD4DB-721A-4A8F-A0C4-EFCD68B3DC60}"/>
    <w:embedBold r:id="rId11" w:fontKey="{3D79FDBF-DF3F-4956-B36F-34DEC2BAF177}"/>
    <w:embedItalic r:id="rId12" w:fontKey="{7980A996-2377-4DD8-B90B-65687E4DAE0A}"/>
    <w:embedBoldItalic r:id="rId13" w:fontKey="{3EEF4940-432C-4F6C-9775-AE9D03EBB20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4" w:fontKey="{1E65D2CC-7046-4BB3-A647-CB38CE422FE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DA7FE" w14:textId="3DA12CBF" w:rsidR="00BE0B6B" w:rsidRPr="00BE0B6B" w:rsidRDefault="00BE0B6B" w:rsidP="00BE0B6B">
    <w:pPr>
      <w:pStyle w:val="Piedepgina"/>
      <w:rPr>
        <w:rFonts w:ascii="Arial Narrow" w:hAnsi="Arial Narrow"/>
      </w:rPr>
    </w:pPr>
  </w:p>
  <w:p w14:paraId="7B92806E" w14:textId="77777777" w:rsidR="00BE0B6B" w:rsidRDefault="00BE0B6B" w:rsidP="00BE0B6B">
    <w:pPr>
      <w:tabs>
        <w:tab w:val="left" w:pos="714"/>
      </w:tabs>
      <w:spacing w:line="240" w:lineRule="auto"/>
      <w:jc w:val="center"/>
      <w:rPr>
        <w:rFonts w:ascii="Arial Narrow" w:hAnsi="Arial Narrow"/>
        <w:noProof/>
        <w:sz w:val="20"/>
        <w:szCs w:val="20"/>
      </w:rPr>
    </w:pPr>
    <w:r w:rsidRPr="00437E4B">
      <w:rPr>
        <w:rFonts w:ascii="Arial Narrow" w:hAnsi="Arial Narrow"/>
        <w:noProof/>
        <w:sz w:val="20"/>
        <w:szCs w:val="20"/>
      </w:rPr>
      <w:drawing>
        <wp:anchor distT="0" distB="0" distL="114300" distR="114300" simplePos="0" relativeHeight="251662336" behindDoc="1" locked="0" layoutInCell="1" allowOverlap="1" wp14:anchorId="792F14F1" wp14:editId="1E435851">
          <wp:simplePos x="0" y="0"/>
          <wp:positionH relativeFrom="margin">
            <wp:align>left</wp:align>
          </wp:positionH>
          <wp:positionV relativeFrom="paragraph">
            <wp:posOffset>12700</wp:posOffset>
          </wp:positionV>
          <wp:extent cx="5400040" cy="7937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9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55EEE7" w14:textId="77777777" w:rsidR="00BE0B6B" w:rsidRPr="00437E4B" w:rsidRDefault="00BE0B6B" w:rsidP="00BE0B6B">
    <w:pPr>
      <w:tabs>
        <w:tab w:val="left" w:pos="714"/>
      </w:tabs>
      <w:spacing w:line="240" w:lineRule="auto"/>
      <w:jc w:val="center"/>
      <w:rPr>
        <w:rFonts w:ascii="Arial Narrow" w:hAnsi="Arial Narrow"/>
        <w:noProof/>
        <w:sz w:val="20"/>
        <w:szCs w:val="20"/>
      </w:rPr>
    </w:pPr>
    <w:r w:rsidRPr="00437E4B">
      <w:rPr>
        <w:rFonts w:ascii="Arial Narrow" w:hAnsi="Arial Narrow"/>
        <w:noProof/>
        <w:sz w:val="20"/>
        <w:szCs w:val="20"/>
      </w:rPr>
      <w:drawing>
        <wp:anchor distT="0" distB="0" distL="114300" distR="114300" simplePos="0" relativeHeight="251661312" behindDoc="1" locked="0" layoutInCell="1" allowOverlap="1" wp14:anchorId="189FE216" wp14:editId="48B1247B">
          <wp:simplePos x="0" y="0"/>
          <wp:positionH relativeFrom="column">
            <wp:posOffset>-3175</wp:posOffset>
          </wp:positionH>
          <wp:positionV relativeFrom="paragraph">
            <wp:posOffset>9278620</wp:posOffset>
          </wp:positionV>
          <wp:extent cx="5400040" cy="7937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9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37E4B">
      <w:rPr>
        <w:rFonts w:ascii="Arial Narrow" w:hAnsi="Arial Narrow"/>
        <w:noProof/>
        <w:sz w:val="20"/>
        <w:szCs w:val="20"/>
      </w:rPr>
      <w:drawing>
        <wp:anchor distT="0" distB="0" distL="114300" distR="114300" simplePos="0" relativeHeight="251660288" behindDoc="1" locked="0" layoutInCell="1" allowOverlap="1" wp14:anchorId="4ED16F41" wp14:editId="53A5F205">
          <wp:simplePos x="0" y="0"/>
          <wp:positionH relativeFrom="column">
            <wp:posOffset>-3175</wp:posOffset>
          </wp:positionH>
          <wp:positionV relativeFrom="paragraph">
            <wp:posOffset>9278620</wp:posOffset>
          </wp:positionV>
          <wp:extent cx="5400040" cy="793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9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37E4B">
      <w:rPr>
        <w:rFonts w:ascii="Arial Narrow" w:hAnsi="Arial Narrow"/>
        <w:noProof/>
        <w:sz w:val="20"/>
        <w:szCs w:val="20"/>
      </w:rPr>
      <w:drawing>
        <wp:anchor distT="0" distB="0" distL="114300" distR="114300" simplePos="0" relativeHeight="251659264" behindDoc="1" locked="0" layoutInCell="1" allowOverlap="1" wp14:anchorId="204288C1" wp14:editId="33850CE9">
          <wp:simplePos x="0" y="0"/>
          <wp:positionH relativeFrom="column">
            <wp:posOffset>-3175</wp:posOffset>
          </wp:positionH>
          <wp:positionV relativeFrom="paragraph">
            <wp:posOffset>9278620</wp:posOffset>
          </wp:positionV>
          <wp:extent cx="5400040" cy="7937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9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37E4B">
      <w:rPr>
        <w:rFonts w:ascii="Arial Narrow" w:hAnsi="Arial Narrow"/>
        <w:noProof/>
        <w:sz w:val="20"/>
        <w:szCs w:val="20"/>
      </w:rPr>
      <w:t>Carrera 7 N° 8 – 68 Ed. Nuevo del Congreso – PBX: (+57) 60 1 3904050 – Email:</w:t>
    </w:r>
    <w:r>
      <w:rPr>
        <w:rFonts w:ascii="Arial Narrow" w:hAnsi="Arial Narrow"/>
        <w:noProof/>
        <w:sz w:val="20"/>
        <w:szCs w:val="20"/>
      </w:rPr>
      <w:t xml:space="preserve"> jaime.arizabaleta@camara.gov.co</w:t>
    </w:r>
  </w:p>
  <w:p w14:paraId="01BADFF9" w14:textId="77777777" w:rsidR="00BE0B6B" w:rsidRPr="00437E4B" w:rsidRDefault="00BE0B6B" w:rsidP="00BE0B6B">
    <w:pPr>
      <w:tabs>
        <w:tab w:val="left" w:pos="714"/>
      </w:tabs>
      <w:spacing w:line="240" w:lineRule="auto"/>
      <w:jc w:val="center"/>
      <w:rPr>
        <w:rFonts w:ascii="Arial Narrow" w:hAnsi="Arial Narrow"/>
        <w:noProof/>
        <w:sz w:val="20"/>
        <w:szCs w:val="20"/>
      </w:rPr>
    </w:pPr>
    <w:r w:rsidRPr="00437E4B">
      <w:rPr>
        <w:rFonts w:ascii="Arial Narrow" w:hAnsi="Arial Narrow"/>
        <w:noProof/>
        <w:sz w:val="20"/>
        <w:szCs w:val="20"/>
      </w:rPr>
      <w:t>Bogota D.C.</w:t>
    </w:r>
  </w:p>
  <w:p w14:paraId="20C84B57" w14:textId="0C506E9E" w:rsidR="00861FE3" w:rsidRPr="00BE0B6B" w:rsidRDefault="00BE0B6B" w:rsidP="00BE0B6B">
    <w:pPr>
      <w:pBdr>
        <w:top w:val="nil"/>
        <w:left w:val="nil"/>
        <w:bottom w:val="nil"/>
        <w:right w:val="nil"/>
        <w:between w:val="nil"/>
      </w:pBdr>
      <w:tabs>
        <w:tab w:val="center" w:pos="4419"/>
        <w:tab w:val="right" w:pos="8838"/>
      </w:tabs>
      <w:spacing w:after="0" w:line="240" w:lineRule="auto"/>
      <w:jc w:val="right"/>
      <w:rPr>
        <w:color w:val="000000"/>
        <w:sz w:val="16"/>
        <w:szCs w:val="16"/>
      </w:rPr>
    </w:pPr>
    <w:r w:rsidRPr="00BE0B6B">
      <w:rPr>
        <w:rFonts w:ascii="Arial Narrow" w:hAnsi="Arial Narrow"/>
        <w:sz w:val="16"/>
        <w:szCs w:val="16"/>
      </w:rPr>
      <w:fldChar w:fldCharType="begin"/>
    </w:r>
    <w:r w:rsidRPr="00BE0B6B">
      <w:rPr>
        <w:rFonts w:ascii="Arial Narrow" w:hAnsi="Arial Narrow"/>
        <w:sz w:val="16"/>
        <w:szCs w:val="16"/>
      </w:rPr>
      <w:instrText>PAGE   \* MERGEFORMAT</w:instrText>
    </w:r>
    <w:r w:rsidRPr="00BE0B6B">
      <w:rPr>
        <w:rFonts w:ascii="Arial Narrow" w:hAnsi="Arial Narrow"/>
        <w:sz w:val="16"/>
        <w:szCs w:val="16"/>
      </w:rPr>
      <w:fldChar w:fldCharType="separate"/>
    </w:r>
    <w:r w:rsidRPr="00BE0B6B">
      <w:rPr>
        <w:rFonts w:ascii="Arial Narrow" w:hAnsi="Arial Narrow"/>
        <w:sz w:val="16"/>
        <w:szCs w:val="16"/>
      </w:rPr>
      <w:t>4</w:t>
    </w:r>
    <w:r w:rsidRPr="00BE0B6B">
      <w:rPr>
        <w:rFonts w:ascii="Arial Narrow" w:hAnsi="Arial Narrow"/>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D0BB8" w14:textId="77777777" w:rsidR="002535B4" w:rsidRDefault="002535B4">
      <w:pPr>
        <w:spacing w:after="0" w:line="240" w:lineRule="auto"/>
      </w:pPr>
      <w:r>
        <w:separator/>
      </w:r>
    </w:p>
  </w:footnote>
  <w:footnote w:type="continuationSeparator" w:id="0">
    <w:p w14:paraId="2E845902" w14:textId="77777777" w:rsidR="002535B4" w:rsidRDefault="002535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5B8E5" w14:textId="6FE671BD" w:rsidR="00861FE3" w:rsidRDefault="001B6D57">
    <w:pPr>
      <w:tabs>
        <w:tab w:val="center" w:pos="4419"/>
        <w:tab w:val="right" w:pos="8838"/>
      </w:tabs>
      <w:spacing w:after="0" w:line="240" w:lineRule="auto"/>
      <w:jc w:val="right"/>
      <w:rPr>
        <w:color w:val="000000"/>
      </w:rPr>
    </w:pPr>
    <w:r>
      <w:rPr>
        <w:noProof/>
      </w:rPr>
      <w:drawing>
        <wp:inline distT="0" distB="0" distL="0" distR="0" wp14:anchorId="6C5BCCDD" wp14:editId="18CF1F84">
          <wp:extent cx="2145665" cy="85979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145665" cy="85979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B4465"/>
    <w:multiLevelType w:val="multilevel"/>
    <w:tmpl w:val="ADC01DB4"/>
    <w:lvl w:ilvl="0">
      <w:start w:val="1"/>
      <w:numFmt w:val="lowerLetter"/>
      <w:lvlText w:val="%1)"/>
      <w:lvlJc w:val="left"/>
      <w:pPr>
        <w:ind w:left="1243" w:hanging="253"/>
      </w:pPr>
      <w:rPr>
        <w:rFonts w:ascii="Arial Narrow" w:eastAsia="Tahoma" w:hAnsi="Arial Narrow" w:cs="Tahoma" w:hint="default"/>
        <w:b/>
        <w:bCs/>
        <w:sz w:val="22"/>
        <w:szCs w:val="22"/>
      </w:rPr>
    </w:lvl>
    <w:lvl w:ilvl="1">
      <w:start w:val="1"/>
      <w:numFmt w:val="lowerRoman"/>
      <w:lvlText w:val="(%2)"/>
      <w:lvlJc w:val="left"/>
      <w:pPr>
        <w:ind w:left="2335" w:hanging="721"/>
      </w:pPr>
      <w:rPr>
        <w:i/>
        <w:iCs/>
      </w:rPr>
    </w:lvl>
    <w:lvl w:ilvl="2">
      <w:numFmt w:val="bullet"/>
      <w:lvlText w:val="•"/>
      <w:lvlJc w:val="left"/>
      <w:pPr>
        <w:ind w:left="3313" w:hanging="720"/>
      </w:pPr>
    </w:lvl>
    <w:lvl w:ilvl="3">
      <w:numFmt w:val="bullet"/>
      <w:lvlText w:val="•"/>
      <w:lvlJc w:val="left"/>
      <w:pPr>
        <w:ind w:left="4286" w:hanging="721"/>
      </w:pPr>
    </w:lvl>
    <w:lvl w:ilvl="4">
      <w:numFmt w:val="bullet"/>
      <w:lvlText w:val="•"/>
      <w:lvlJc w:val="left"/>
      <w:pPr>
        <w:ind w:left="5260" w:hanging="721"/>
      </w:pPr>
    </w:lvl>
    <w:lvl w:ilvl="5">
      <w:numFmt w:val="bullet"/>
      <w:lvlText w:val="•"/>
      <w:lvlJc w:val="left"/>
      <w:pPr>
        <w:ind w:left="6233" w:hanging="721"/>
      </w:pPr>
    </w:lvl>
    <w:lvl w:ilvl="6">
      <w:numFmt w:val="bullet"/>
      <w:lvlText w:val="•"/>
      <w:lvlJc w:val="left"/>
      <w:pPr>
        <w:ind w:left="7206" w:hanging="721"/>
      </w:pPr>
    </w:lvl>
    <w:lvl w:ilvl="7">
      <w:numFmt w:val="bullet"/>
      <w:lvlText w:val="•"/>
      <w:lvlJc w:val="left"/>
      <w:pPr>
        <w:ind w:left="8180" w:hanging="721"/>
      </w:pPr>
    </w:lvl>
    <w:lvl w:ilvl="8">
      <w:numFmt w:val="bullet"/>
      <w:lvlText w:val="•"/>
      <w:lvlJc w:val="left"/>
      <w:pPr>
        <w:ind w:left="9153" w:hanging="721"/>
      </w:pPr>
    </w:lvl>
  </w:abstractNum>
  <w:abstractNum w:abstractNumId="1" w15:restartNumberingAfterBreak="0">
    <w:nsid w:val="085C5724"/>
    <w:multiLevelType w:val="multilevel"/>
    <w:tmpl w:val="840090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b/>
        <w:bCs/>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8A26D45"/>
    <w:multiLevelType w:val="multilevel"/>
    <w:tmpl w:val="80E687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52B56E6"/>
    <w:multiLevelType w:val="multilevel"/>
    <w:tmpl w:val="DB8E8A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F6D5CF9"/>
    <w:multiLevelType w:val="multilevel"/>
    <w:tmpl w:val="FA8A31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9F97A59"/>
    <w:multiLevelType w:val="multilevel"/>
    <w:tmpl w:val="EE2EDF7C"/>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6" w15:restartNumberingAfterBreak="0">
    <w:nsid w:val="2DC772CF"/>
    <w:multiLevelType w:val="multilevel"/>
    <w:tmpl w:val="68AE6E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9A70912"/>
    <w:multiLevelType w:val="multilevel"/>
    <w:tmpl w:val="4568FE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4520654"/>
    <w:multiLevelType w:val="multilevel"/>
    <w:tmpl w:val="FEA0C4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2384BF9"/>
    <w:multiLevelType w:val="multilevel"/>
    <w:tmpl w:val="BA2472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2FB56E5"/>
    <w:multiLevelType w:val="multilevel"/>
    <w:tmpl w:val="840090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b/>
        <w:bCs/>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3"/>
  </w:num>
  <w:num w:numId="3">
    <w:abstractNumId w:val="8"/>
  </w:num>
  <w:num w:numId="4">
    <w:abstractNumId w:val="7"/>
  </w:num>
  <w:num w:numId="5">
    <w:abstractNumId w:val="4"/>
  </w:num>
  <w:num w:numId="6">
    <w:abstractNumId w:val="1"/>
  </w:num>
  <w:num w:numId="7">
    <w:abstractNumId w:val="0"/>
  </w:num>
  <w:num w:numId="8">
    <w:abstractNumId w:val="5"/>
  </w:num>
  <w:num w:numId="9">
    <w:abstractNumId w:val="6"/>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FE3"/>
    <w:rsid w:val="000738B0"/>
    <w:rsid w:val="00073F40"/>
    <w:rsid w:val="00076C3F"/>
    <w:rsid w:val="00124ED6"/>
    <w:rsid w:val="001578C1"/>
    <w:rsid w:val="001B6D57"/>
    <w:rsid w:val="002535B4"/>
    <w:rsid w:val="00265FFA"/>
    <w:rsid w:val="00292F7D"/>
    <w:rsid w:val="002C2B4A"/>
    <w:rsid w:val="003035C7"/>
    <w:rsid w:val="00382167"/>
    <w:rsid w:val="0039699C"/>
    <w:rsid w:val="003B60B7"/>
    <w:rsid w:val="00431D41"/>
    <w:rsid w:val="004D44AE"/>
    <w:rsid w:val="00517157"/>
    <w:rsid w:val="005840DC"/>
    <w:rsid w:val="00585B65"/>
    <w:rsid w:val="005A6511"/>
    <w:rsid w:val="005A67C9"/>
    <w:rsid w:val="005B46B1"/>
    <w:rsid w:val="005F0FEA"/>
    <w:rsid w:val="00610EFB"/>
    <w:rsid w:val="00621D5F"/>
    <w:rsid w:val="00642887"/>
    <w:rsid w:val="00667E0B"/>
    <w:rsid w:val="00673379"/>
    <w:rsid w:val="007169B7"/>
    <w:rsid w:val="00764AE0"/>
    <w:rsid w:val="007976FB"/>
    <w:rsid w:val="007E465B"/>
    <w:rsid w:val="008172E0"/>
    <w:rsid w:val="00824399"/>
    <w:rsid w:val="00836640"/>
    <w:rsid w:val="00861FE3"/>
    <w:rsid w:val="008831A7"/>
    <w:rsid w:val="008A25DE"/>
    <w:rsid w:val="008C4DB3"/>
    <w:rsid w:val="009120AC"/>
    <w:rsid w:val="00913871"/>
    <w:rsid w:val="009369A6"/>
    <w:rsid w:val="00970D85"/>
    <w:rsid w:val="009778D9"/>
    <w:rsid w:val="00A106C7"/>
    <w:rsid w:val="00A16D7C"/>
    <w:rsid w:val="00A204DC"/>
    <w:rsid w:val="00A33701"/>
    <w:rsid w:val="00AC56DA"/>
    <w:rsid w:val="00B15693"/>
    <w:rsid w:val="00B710AF"/>
    <w:rsid w:val="00BA78D2"/>
    <w:rsid w:val="00BB54A3"/>
    <w:rsid w:val="00BC70A3"/>
    <w:rsid w:val="00BE0B6B"/>
    <w:rsid w:val="00BF0E8A"/>
    <w:rsid w:val="00C1388E"/>
    <w:rsid w:val="00C40A2F"/>
    <w:rsid w:val="00C57F56"/>
    <w:rsid w:val="00C6756C"/>
    <w:rsid w:val="00CB3505"/>
    <w:rsid w:val="00CF17A9"/>
    <w:rsid w:val="00CF307F"/>
    <w:rsid w:val="00D44A7E"/>
    <w:rsid w:val="00D93B07"/>
    <w:rsid w:val="00DC5EA9"/>
    <w:rsid w:val="00DD408B"/>
    <w:rsid w:val="00DF54FF"/>
    <w:rsid w:val="00DF6A1B"/>
    <w:rsid w:val="00E42656"/>
    <w:rsid w:val="00E45697"/>
    <w:rsid w:val="00E544A6"/>
    <w:rsid w:val="00F145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F8B940"/>
  <w15:docId w15:val="{48004290-9264-4E76-A4A3-FBB60CC5A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8C1"/>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spacing w:line="240" w:lineRule="auto"/>
      <w:outlineLvl w:val="2"/>
    </w:pPr>
    <w:rPr>
      <w:rFonts w:ascii="Times New Roman" w:eastAsia="Times New Roman" w:hAnsi="Times New Roman" w:cs="Times New Roman"/>
      <w:b/>
      <w:bCs/>
      <w:sz w:val="27"/>
      <w:szCs w:val="27"/>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paragraph" w:styleId="Encabezado">
    <w:name w:val="header"/>
    <w:basedOn w:val="Normal"/>
    <w:link w:val="EncabezadoCar"/>
    <w:uiPriority w:val="99"/>
    <w:unhideWhenUsed/>
    <w:rsid w:val="00BE0B6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E0B6B"/>
  </w:style>
  <w:style w:type="paragraph" w:styleId="Piedepgina">
    <w:name w:val="footer"/>
    <w:basedOn w:val="Normal"/>
    <w:link w:val="PiedepginaCar"/>
    <w:uiPriority w:val="99"/>
    <w:unhideWhenUsed/>
    <w:rsid w:val="00BE0B6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E0B6B"/>
  </w:style>
  <w:style w:type="character" w:styleId="Textoennegrita">
    <w:name w:val="Strong"/>
    <w:basedOn w:val="Fuentedeprrafopredeter"/>
    <w:uiPriority w:val="22"/>
    <w:qFormat/>
    <w:rsid w:val="005A6511"/>
    <w:rPr>
      <w:b/>
      <w:bCs/>
    </w:rPr>
  </w:style>
  <w:style w:type="paragraph" w:styleId="NormalWeb">
    <w:name w:val="Normal (Web)"/>
    <w:basedOn w:val="Normal"/>
    <w:uiPriority w:val="99"/>
    <w:unhideWhenUsed/>
    <w:rsid w:val="005B46B1"/>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
    <w:name w:val="Hyperlink"/>
    <w:basedOn w:val="Fuentedeprrafopredeter"/>
    <w:uiPriority w:val="99"/>
    <w:unhideWhenUsed/>
    <w:rsid w:val="00CF17A9"/>
    <w:rPr>
      <w:color w:val="0000FF" w:themeColor="hyperlink"/>
      <w:u w:val="single"/>
    </w:rPr>
  </w:style>
  <w:style w:type="character" w:styleId="Mencinsinresolver">
    <w:name w:val="Unresolved Mention"/>
    <w:basedOn w:val="Fuentedeprrafopredeter"/>
    <w:uiPriority w:val="99"/>
    <w:semiHidden/>
    <w:unhideWhenUsed/>
    <w:rsid w:val="00CF17A9"/>
    <w:rPr>
      <w:color w:val="605E5C"/>
      <w:shd w:val="clear" w:color="auto" w:fill="E1DFDD"/>
    </w:rPr>
  </w:style>
  <w:style w:type="paragraph" w:styleId="Prrafodelista">
    <w:name w:val="List Paragraph"/>
    <w:basedOn w:val="Normal"/>
    <w:uiPriority w:val="34"/>
    <w:qFormat/>
    <w:rsid w:val="00621D5F"/>
    <w:pPr>
      <w:ind w:left="720"/>
      <w:contextualSpacing/>
    </w:pPr>
  </w:style>
  <w:style w:type="character" w:styleId="Refdecomentario">
    <w:name w:val="annotation reference"/>
    <w:basedOn w:val="Fuentedeprrafopredeter"/>
    <w:uiPriority w:val="99"/>
    <w:semiHidden/>
    <w:unhideWhenUsed/>
    <w:rsid w:val="009120AC"/>
    <w:rPr>
      <w:sz w:val="16"/>
      <w:szCs w:val="16"/>
    </w:rPr>
  </w:style>
  <w:style w:type="paragraph" w:styleId="Textocomentario">
    <w:name w:val="annotation text"/>
    <w:basedOn w:val="Normal"/>
    <w:link w:val="TextocomentarioCar"/>
    <w:uiPriority w:val="99"/>
    <w:semiHidden/>
    <w:unhideWhenUsed/>
    <w:rsid w:val="009120A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120AC"/>
    <w:rPr>
      <w:sz w:val="20"/>
      <w:szCs w:val="20"/>
    </w:rPr>
  </w:style>
  <w:style w:type="paragraph" w:styleId="Asuntodelcomentario">
    <w:name w:val="annotation subject"/>
    <w:basedOn w:val="Textocomentario"/>
    <w:next w:val="Textocomentario"/>
    <w:link w:val="AsuntodelcomentarioCar"/>
    <w:uiPriority w:val="99"/>
    <w:semiHidden/>
    <w:unhideWhenUsed/>
    <w:rsid w:val="009120AC"/>
    <w:rPr>
      <w:b/>
      <w:bCs/>
    </w:rPr>
  </w:style>
  <w:style w:type="character" w:customStyle="1" w:styleId="AsuntodelcomentarioCar">
    <w:name w:val="Asunto del comentario Car"/>
    <w:basedOn w:val="TextocomentarioCar"/>
    <w:link w:val="Asuntodelcomentario"/>
    <w:uiPriority w:val="99"/>
    <w:semiHidden/>
    <w:rsid w:val="009120A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20163">
      <w:bodyDiv w:val="1"/>
      <w:marLeft w:val="0"/>
      <w:marRight w:val="0"/>
      <w:marTop w:val="0"/>
      <w:marBottom w:val="0"/>
      <w:divBdr>
        <w:top w:val="none" w:sz="0" w:space="0" w:color="auto"/>
        <w:left w:val="none" w:sz="0" w:space="0" w:color="auto"/>
        <w:bottom w:val="none" w:sz="0" w:space="0" w:color="auto"/>
        <w:right w:val="none" w:sz="0" w:space="0" w:color="auto"/>
      </w:divBdr>
      <w:divsChild>
        <w:div w:id="1293093772">
          <w:marLeft w:val="0"/>
          <w:marRight w:val="0"/>
          <w:marTop w:val="0"/>
          <w:marBottom w:val="0"/>
          <w:divBdr>
            <w:top w:val="none" w:sz="0" w:space="0" w:color="auto"/>
            <w:left w:val="none" w:sz="0" w:space="0" w:color="auto"/>
            <w:bottom w:val="none" w:sz="0" w:space="0" w:color="auto"/>
            <w:right w:val="none" w:sz="0" w:space="0" w:color="auto"/>
          </w:divBdr>
          <w:divsChild>
            <w:div w:id="1895923299">
              <w:marLeft w:val="0"/>
              <w:marRight w:val="0"/>
              <w:marTop w:val="0"/>
              <w:marBottom w:val="0"/>
              <w:divBdr>
                <w:top w:val="none" w:sz="0" w:space="0" w:color="auto"/>
                <w:left w:val="none" w:sz="0" w:space="0" w:color="auto"/>
                <w:bottom w:val="none" w:sz="0" w:space="0" w:color="auto"/>
                <w:right w:val="none" w:sz="0" w:space="0" w:color="auto"/>
              </w:divBdr>
              <w:divsChild>
                <w:div w:id="210148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899842">
      <w:bodyDiv w:val="1"/>
      <w:marLeft w:val="0"/>
      <w:marRight w:val="0"/>
      <w:marTop w:val="0"/>
      <w:marBottom w:val="0"/>
      <w:divBdr>
        <w:top w:val="none" w:sz="0" w:space="0" w:color="auto"/>
        <w:left w:val="none" w:sz="0" w:space="0" w:color="auto"/>
        <w:bottom w:val="none" w:sz="0" w:space="0" w:color="auto"/>
        <w:right w:val="none" w:sz="0" w:space="0" w:color="auto"/>
      </w:divBdr>
    </w:div>
    <w:div w:id="1436363286">
      <w:bodyDiv w:val="1"/>
      <w:marLeft w:val="0"/>
      <w:marRight w:val="0"/>
      <w:marTop w:val="0"/>
      <w:marBottom w:val="0"/>
      <w:divBdr>
        <w:top w:val="none" w:sz="0" w:space="0" w:color="auto"/>
        <w:left w:val="none" w:sz="0" w:space="0" w:color="auto"/>
        <w:bottom w:val="none" w:sz="0" w:space="0" w:color="auto"/>
        <w:right w:val="none" w:sz="0" w:space="0" w:color="auto"/>
      </w:divBdr>
      <w:divsChild>
        <w:div w:id="145637076">
          <w:marLeft w:val="0"/>
          <w:marRight w:val="0"/>
          <w:marTop w:val="0"/>
          <w:marBottom w:val="0"/>
          <w:divBdr>
            <w:top w:val="none" w:sz="0" w:space="0" w:color="auto"/>
            <w:left w:val="none" w:sz="0" w:space="0" w:color="auto"/>
            <w:bottom w:val="none" w:sz="0" w:space="0" w:color="auto"/>
            <w:right w:val="none" w:sz="0" w:space="0" w:color="auto"/>
          </w:divBdr>
          <w:divsChild>
            <w:div w:id="2048790723">
              <w:marLeft w:val="0"/>
              <w:marRight w:val="0"/>
              <w:marTop w:val="0"/>
              <w:marBottom w:val="0"/>
              <w:divBdr>
                <w:top w:val="none" w:sz="0" w:space="0" w:color="auto"/>
                <w:left w:val="none" w:sz="0" w:space="0" w:color="auto"/>
                <w:bottom w:val="none" w:sz="0" w:space="0" w:color="auto"/>
                <w:right w:val="none" w:sz="0" w:space="0" w:color="auto"/>
              </w:divBdr>
              <w:divsChild>
                <w:div w:id="82007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054572">
      <w:bodyDiv w:val="1"/>
      <w:marLeft w:val="0"/>
      <w:marRight w:val="0"/>
      <w:marTop w:val="0"/>
      <w:marBottom w:val="0"/>
      <w:divBdr>
        <w:top w:val="none" w:sz="0" w:space="0" w:color="auto"/>
        <w:left w:val="none" w:sz="0" w:space="0" w:color="auto"/>
        <w:bottom w:val="none" w:sz="0" w:space="0" w:color="auto"/>
        <w:right w:val="none" w:sz="0" w:space="0" w:color="auto"/>
      </w:divBdr>
    </w:div>
    <w:div w:id="1615599561">
      <w:bodyDiv w:val="1"/>
      <w:marLeft w:val="0"/>
      <w:marRight w:val="0"/>
      <w:marTop w:val="0"/>
      <w:marBottom w:val="0"/>
      <w:divBdr>
        <w:top w:val="none" w:sz="0" w:space="0" w:color="auto"/>
        <w:left w:val="none" w:sz="0" w:space="0" w:color="auto"/>
        <w:bottom w:val="none" w:sz="0" w:space="0" w:color="auto"/>
        <w:right w:val="none" w:sz="0" w:space="0" w:color="auto"/>
      </w:divBdr>
    </w:div>
    <w:div w:id="1641492487">
      <w:bodyDiv w:val="1"/>
      <w:marLeft w:val="0"/>
      <w:marRight w:val="0"/>
      <w:marTop w:val="0"/>
      <w:marBottom w:val="0"/>
      <w:divBdr>
        <w:top w:val="none" w:sz="0" w:space="0" w:color="auto"/>
        <w:left w:val="none" w:sz="0" w:space="0" w:color="auto"/>
        <w:bottom w:val="none" w:sz="0" w:space="0" w:color="auto"/>
        <w:right w:val="none" w:sz="0" w:space="0" w:color="auto"/>
      </w:divBdr>
    </w:div>
    <w:div w:id="17732846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g9nurpqIuwa13mr3mwY4JbZrlg==">CgMxLjAyDmguejYxMG5uaWhsM3c3Mg5oLnVnbWVoNWZ2bXk1ZzIOaC5teDZhbno0a3hxOWIyDmguM2F3bWQ0dXEzczFlOAByITFsSnNYdW1xNmRkU0xPaVRaUklpdEIxUTZEeWRIb0dCcw==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6398</Words>
  <Characters>35193</Characters>
  <Application>Microsoft Office Word</Application>
  <DocSecurity>0</DocSecurity>
  <Lines>293</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Samira Gomez Ojeda</dc:creator>
  <cp:lastModifiedBy>Jaime Ignacio Arizabaleta Fajardo</cp:lastModifiedBy>
  <cp:revision>2</cp:revision>
  <cp:lastPrinted>2026-08-18T15:06:00Z</cp:lastPrinted>
  <dcterms:created xsi:type="dcterms:W3CDTF">2026-09-30T22:07:00Z</dcterms:created>
  <dcterms:modified xsi:type="dcterms:W3CDTF">2026-09-30T22:07:00Z</dcterms:modified>
</cp:coreProperties>
</file>