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4609C" w14:textId="77777777" w:rsidR="00A66790" w:rsidRDefault="00A66790" w:rsidP="00D9691E">
      <w:pPr>
        <w:tabs>
          <w:tab w:val="center" w:pos="4419"/>
          <w:tab w:val="right" w:pos="8838"/>
        </w:tabs>
        <w:spacing w:after="0" w:line="240" w:lineRule="auto"/>
        <w:jc w:val="center"/>
        <w:rPr>
          <w:rFonts w:ascii="Arial" w:eastAsia="Times New Roman" w:hAnsi="Arial" w:cs="Times New Roman"/>
          <w:b/>
          <w:sz w:val="24"/>
          <w:szCs w:val="24"/>
          <w:lang w:eastAsia="es-CO"/>
        </w:rPr>
      </w:pPr>
    </w:p>
    <w:p w14:paraId="21596E24" w14:textId="11FC6611" w:rsidR="00D9691E" w:rsidRPr="00D9691E" w:rsidRDefault="00D9691E" w:rsidP="00D9691E">
      <w:pPr>
        <w:tabs>
          <w:tab w:val="center" w:pos="4419"/>
          <w:tab w:val="right" w:pos="8838"/>
        </w:tabs>
        <w:spacing w:after="0" w:line="240" w:lineRule="auto"/>
        <w:jc w:val="center"/>
        <w:rPr>
          <w:rFonts w:ascii="Arial" w:eastAsia="Times New Roman" w:hAnsi="Arial" w:cs="Times New Roman"/>
          <w:b/>
          <w:sz w:val="24"/>
          <w:szCs w:val="24"/>
          <w:lang w:eastAsia="es-CO"/>
        </w:rPr>
      </w:pPr>
      <w:r w:rsidRPr="00D9691E">
        <w:rPr>
          <w:rFonts w:ascii="Arial" w:eastAsia="Times New Roman" w:hAnsi="Arial" w:cs="Times New Roman"/>
          <w:b/>
          <w:sz w:val="24"/>
          <w:szCs w:val="24"/>
          <w:lang w:eastAsia="es-CO"/>
        </w:rPr>
        <w:t xml:space="preserve">TEXTO APROBADO EN LA COMISIÓN PRIMERA DE LA HONORABLE CÁMARA DE REPRESENTANTES EN PRIMER DEBATE </w:t>
      </w:r>
    </w:p>
    <w:p w14:paraId="7EE3136C" w14:textId="5052C242" w:rsidR="00D9691E" w:rsidRPr="00D9691E" w:rsidRDefault="00D9691E" w:rsidP="00D9691E">
      <w:pPr>
        <w:spacing w:after="0" w:line="240" w:lineRule="auto"/>
        <w:jc w:val="center"/>
        <w:rPr>
          <w:rFonts w:ascii="Arial" w:eastAsia="Times New Roman" w:hAnsi="Arial" w:cs="Times New Roman"/>
          <w:sz w:val="21"/>
          <w:szCs w:val="24"/>
          <w:lang w:eastAsia="es-CO"/>
        </w:rPr>
      </w:pPr>
      <w:r w:rsidRPr="00D9691E">
        <w:rPr>
          <w:rFonts w:ascii="Arial" w:eastAsia="Times New Roman" w:hAnsi="Arial" w:cs="Times New Roman"/>
          <w:b/>
          <w:sz w:val="24"/>
          <w:szCs w:val="24"/>
          <w:lang w:eastAsia="es-CO"/>
        </w:rPr>
        <w:t>DEL PROYECTO DE LEY</w:t>
      </w:r>
      <w:r w:rsidR="005E0177">
        <w:rPr>
          <w:rFonts w:ascii="Montserrat" w:hAnsi="Montserrat" w:cs="Arial"/>
          <w:b/>
          <w:lang w:bidi="es-CO"/>
        </w:rPr>
        <w:t xml:space="preserve"> </w:t>
      </w:r>
      <w:r w:rsidR="005E0177" w:rsidRPr="005E0177">
        <w:rPr>
          <w:rFonts w:ascii="Arial" w:eastAsia="Times New Roman" w:hAnsi="Arial" w:cs="Times New Roman"/>
          <w:b/>
          <w:sz w:val="24"/>
          <w:szCs w:val="24"/>
          <w:lang w:eastAsia="es-CO"/>
        </w:rPr>
        <w:t>ESTATUTARIA</w:t>
      </w:r>
      <w:r w:rsidR="005E0177">
        <w:rPr>
          <w:rFonts w:ascii="Montserrat" w:hAnsi="Montserrat" w:cs="Arial"/>
          <w:b/>
          <w:lang w:bidi="es-CO"/>
        </w:rPr>
        <w:t xml:space="preserve"> </w:t>
      </w:r>
      <w:r w:rsidRPr="00D9691E">
        <w:rPr>
          <w:rFonts w:ascii="Arial" w:eastAsia="Times New Roman" w:hAnsi="Arial" w:cs="Times New Roman"/>
          <w:b/>
          <w:sz w:val="24"/>
          <w:szCs w:val="24"/>
          <w:lang w:eastAsia="es-CO"/>
        </w:rPr>
        <w:t xml:space="preserve">No. </w:t>
      </w:r>
      <w:r>
        <w:rPr>
          <w:rFonts w:ascii="Arial" w:eastAsia="Times New Roman" w:hAnsi="Arial" w:cs="Times New Roman"/>
          <w:b/>
          <w:sz w:val="24"/>
          <w:szCs w:val="24"/>
          <w:lang w:eastAsia="es-CO"/>
        </w:rPr>
        <w:t>037</w:t>
      </w:r>
      <w:r w:rsidRPr="00D9691E">
        <w:rPr>
          <w:rFonts w:ascii="Arial" w:eastAsia="Times New Roman" w:hAnsi="Arial" w:cs="Times New Roman"/>
          <w:b/>
          <w:sz w:val="24"/>
          <w:szCs w:val="24"/>
          <w:lang w:eastAsia="es-CO"/>
        </w:rPr>
        <w:t xml:space="preserve"> DE 2026 CÁMARA</w:t>
      </w:r>
    </w:p>
    <w:p w14:paraId="686D06D9" w14:textId="11F33067" w:rsidR="00D9691E" w:rsidRDefault="00D9691E" w:rsidP="00D9691E">
      <w:pPr>
        <w:spacing w:after="200" w:line="276" w:lineRule="auto"/>
        <w:jc w:val="center"/>
        <w:rPr>
          <w:rFonts w:ascii="Arial" w:eastAsia="Times New Roman" w:hAnsi="Arial" w:cs="Times New Roman"/>
          <w:i/>
          <w:sz w:val="21"/>
          <w:szCs w:val="24"/>
          <w:lang w:eastAsia="es-CO"/>
        </w:rPr>
      </w:pPr>
      <w:r w:rsidRPr="00D9691E">
        <w:rPr>
          <w:rFonts w:ascii="Arial" w:eastAsia="Times New Roman" w:hAnsi="Arial" w:cs="Times New Roman"/>
          <w:i/>
          <w:sz w:val="21"/>
          <w:szCs w:val="24"/>
          <w:lang w:eastAsia="es-CO"/>
        </w:rPr>
        <w:t>“POR MEDIO DE</w:t>
      </w:r>
      <w:r>
        <w:rPr>
          <w:rFonts w:ascii="Arial" w:eastAsia="Times New Roman" w:hAnsi="Arial" w:cs="Times New Roman"/>
          <w:i/>
          <w:sz w:val="21"/>
          <w:szCs w:val="24"/>
          <w:lang w:eastAsia="es-CO"/>
        </w:rPr>
        <w:t xml:space="preserve">L CUAL SE ADOPTAN MEDIDAS DE ACCIÓN AFIRMATIVA PARA GARANTIZAR LA PARTICIPACIÓN REPRESENTATIVA DE LAS VÍCTIMAS DEL CONFLICTO ARMADO INTERNO EN LAS DIFERENTES RAMAS Y ÓRGANOS DEL PODER PÚBLICO </w:t>
      </w:r>
      <w:r w:rsidRPr="00D9691E">
        <w:rPr>
          <w:rFonts w:ascii="Arial" w:eastAsia="Times New Roman" w:hAnsi="Arial" w:cs="Times New Roman"/>
          <w:i/>
          <w:sz w:val="21"/>
          <w:szCs w:val="24"/>
          <w:lang w:eastAsia="es-CO"/>
        </w:rPr>
        <w:t>Y SE DICTAN OTRAS DISPOSICIONES”</w:t>
      </w:r>
    </w:p>
    <w:p w14:paraId="39948B67" w14:textId="77777777" w:rsidR="005E0177" w:rsidRPr="00D9691E" w:rsidRDefault="005E0177" w:rsidP="00D9691E">
      <w:pPr>
        <w:spacing w:after="200" w:line="276" w:lineRule="auto"/>
        <w:jc w:val="center"/>
        <w:rPr>
          <w:rFonts w:ascii="Arial" w:eastAsia="Times New Roman" w:hAnsi="Arial" w:cs="Times New Roman"/>
          <w:sz w:val="21"/>
          <w:szCs w:val="24"/>
          <w:lang w:eastAsia="es-CO"/>
        </w:rPr>
      </w:pPr>
    </w:p>
    <w:p w14:paraId="39ACB356" w14:textId="77777777" w:rsidR="00D9691E" w:rsidRPr="00D9691E" w:rsidRDefault="00D9691E" w:rsidP="00D9691E">
      <w:pPr>
        <w:spacing w:after="200" w:line="276" w:lineRule="auto"/>
        <w:jc w:val="center"/>
        <w:rPr>
          <w:rFonts w:ascii="Arial" w:eastAsia="Times New Roman" w:hAnsi="Arial" w:cs="Times New Roman"/>
          <w:sz w:val="21"/>
          <w:szCs w:val="24"/>
          <w:lang w:eastAsia="es-CO"/>
        </w:rPr>
      </w:pPr>
      <w:r w:rsidRPr="00D9691E">
        <w:rPr>
          <w:rFonts w:ascii="Arial" w:eastAsia="Times New Roman" w:hAnsi="Arial" w:cs="Times New Roman"/>
          <w:b/>
          <w:szCs w:val="24"/>
          <w:lang w:eastAsia="es-CO"/>
        </w:rPr>
        <w:t>EL CONGRESO DE COLOMBIA</w:t>
      </w:r>
    </w:p>
    <w:p w14:paraId="3168B16D" w14:textId="465B109F" w:rsidR="00D9691E" w:rsidRDefault="00D9691E" w:rsidP="00D9691E">
      <w:pPr>
        <w:spacing w:after="240" w:line="276" w:lineRule="auto"/>
        <w:jc w:val="center"/>
        <w:rPr>
          <w:rFonts w:ascii="Arial" w:eastAsia="Times New Roman" w:hAnsi="Arial" w:cs="Times New Roman"/>
          <w:b/>
          <w:szCs w:val="24"/>
          <w:lang w:eastAsia="es-CO"/>
        </w:rPr>
      </w:pPr>
      <w:r w:rsidRPr="00D9691E">
        <w:rPr>
          <w:rFonts w:ascii="Arial" w:eastAsia="Times New Roman" w:hAnsi="Arial" w:cs="Times New Roman"/>
          <w:b/>
          <w:szCs w:val="24"/>
          <w:lang w:eastAsia="es-CO"/>
        </w:rPr>
        <w:t>DECRETA:</w:t>
      </w:r>
    </w:p>
    <w:p w14:paraId="2E997656" w14:textId="77777777" w:rsidR="00A66790" w:rsidRPr="00D9691E" w:rsidRDefault="00A66790" w:rsidP="00D9691E">
      <w:pPr>
        <w:spacing w:after="240" w:line="276" w:lineRule="auto"/>
        <w:jc w:val="center"/>
        <w:rPr>
          <w:rFonts w:ascii="Arial" w:eastAsia="Times New Roman" w:hAnsi="Arial" w:cs="Times New Roman"/>
          <w:sz w:val="21"/>
          <w:szCs w:val="24"/>
          <w:lang w:eastAsia="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tblGrid>
      <w:tr w:rsidR="00D9691E" w:rsidRPr="00D9691E" w14:paraId="054DFF2D" w14:textId="77777777" w:rsidTr="00E60508">
        <w:tc>
          <w:tcPr>
            <w:tcW w:w="8926" w:type="dxa"/>
          </w:tcPr>
          <w:p w14:paraId="464FFA9C" w14:textId="77777777" w:rsidR="00D9691E" w:rsidRPr="00D9691E" w:rsidRDefault="00D9691E" w:rsidP="00D9691E">
            <w:pPr>
              <w:widowControl w:val="0"/>
              <w:spacing w:before="4" w:after="240" w:line="276" w:lineRule="auto"/>
              <w:jc w:val="both"/>
              <w:rPr>
                <w:rFonts w:ascii="Calibri" w:eastAsia="Arial" w:hAnsi="Calibri" w:cs="Calibri"/>
                <w:b/>
                <w:color w:val="262626" w:themeColor="text1" w:themeTint="D9"/>
                <w:sz w:val="24"/>
                <w:szCs w:val="24"/>
                <w:lang w:val="es-ES_tradnl" w:eastAsia="es-CO"/>
              </w:rPr>
            </w:pPr>
            <w:r w:rsidRPr="00D9691E">
              <w:rPr>
                <w:rFonts w:ascii="Calibri" w:eastAsia="Arial" w:hAnsi="Calibri" w:cs="Calibri"/>
                <w:b/>
                <w:color w:val="262626" w:themeColor="text1" w:themeTint="D9"/>
                <w:sz w:val="24"/>
                <w:szCs w:val="24"/>
                <w:lang w:eastAsia="es-MX"/>
              </w:rPr>
              <w:t>Artículo</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1</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b/>
                <w:color w:val="262626" w:themeColor="text1" w:themeTint="D9"/>
                <w:sz w:val="24"/>
                <w:szCs w:val="24"/>
                <w:lang w:eastAsia="es-MX"/>
              </w:rPr>
              <w:t>Objeto</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presente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Ley</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tiene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por</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objeto</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establecer</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medidas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 xml:space="preserve">de acción afirmativas conforme a los mandatos constitucionales que exigen </w:t>
            </w:r>
            <w:r w:rsidRPr="00D9691E">
              <w:rPr>
                <w:rFonts w:ascii="Calibri" w:eastAsia="Arial" w:hAnsi="Calibri" w:cs="Calibri"/>
                <w:color w:val="262626" w:themeColor="text1" w:themeTint="D9"/>
                <w:spacing w:val="-4"/>
                <w:sz w:val="24"/>
                <w:szCs w:val="24"/>
                <w:lang w:eastAsia="es-MX"/>
              </w:rPr>
              <w:t>por</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parte</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del</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Estado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promover</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las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condiciones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para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que</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la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igualdad</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sea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 xml:space="preserve">real </w:t>
            </w:r>
            <w:r w:rsidRPr="00D9691E">
              <w:rPr>
                <w:rFonts w:ascii="Calibri" w:eastAsia="Arial" w:hAnsi="Calibri" w:cs="Calibri"/>
                <w:color w:val="262626" w:themeColor="text1" w:themeTint="D9"/>
                <w:sz w:val="24"/>
                <w:szCs w:val="24"/>
                <w:lang w:eastAsia="es-MX"/>
              </w:rPr>
              <w:t>y efectiva, adoptando medidas en favor de las víctimas del conflicto armado</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interno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como</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población</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que</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ha</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sufrido</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una</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desventaja</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histórica</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z w:val="24"/>
                <w:szCs w:val="24"/>
                <w:lang w:eastAsia="es-MX"/>
              </w:rPr>
              <w:t xml:space="preserve">y </w:t>
            </w:r>
            <w:r w:rsidRPr="00D9691E">
              <w:rPr>
                <w:rFonts w:ascii="Calibri" w:eastAsia="Arial" w:hAnsi="Calibri" w:cs="Calibri"/>
                <w:color w:val="262626" w:themeColor="text1" w:themeTint="D9"/>
                <w:spacing w:val="-4"/>
                <w:sz w:val="24"/>
                <w:szCs w:val="24"/>
                <w:lang w:eastAsia="es-MX"/>
              </w:rPr>
              <w:t>estructural</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para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garantizar</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su</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participación</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efectiva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y</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decisoria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en</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todos</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pacing w:val="-4"/>
                <w:sz w:val="24"/>
                <w:szCs w:val="24"/>
                <w:lang w:eastAsia="es-MX"/>
              </w:rPr>
              <w:t xml:space="preserve">los </w:t>
            </w:r>
            <w:r w:rsidRPr="00D9691E">
              <w:rPr>
                <w:rFonts w:ascii="Calibri" w:eastAsia="Arial" w:hAnsi="Calibri" w:cs="Calibri"/>
                <w:color w:val="262626" w:themeColor="text1" w:themeTint="D9"/>
                <w:spacing w:val="-2"/>
                <w:sz w:val="24"/>
                <w:szCs w:val="24"/>
                <w:lang w:eastAsia="es-MX"/>
              </w:rPr>
              <w:t>niveles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las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ramas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del</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poder</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órganos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control.</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Estas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medidas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buscan </w:t>
            </w:r>
            <w:r w:rsidRPr="00D9691E">
              <w:rPr>
                <w:rFonts w:ascii="Calibri" w:eastAsia="Arial" w:hAnsi="Calibri" w:cs="Calibri"/>
                <w:color w:val="262626" w:themeColor="text1" w:themeTint="D9"/>
                <w:sz w:val="24"/>
                <w:szCs w:val="24"/>
                <w:lang w:eastAsia="es-MX"/>
              </w:rPr>
              <w:t>materializar</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derecho</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reparación</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integral</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y</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no</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repetición.</w:t>
            </w:r>
          </w:p>
        </w:tc>
      </w:tr>
      <w:tr w:rsidR="00D9691E" w:rsidRPr="00D9691E" w14:paraId="57207631" w14:textId="77777777" w:rsidTr="00E60508">
        <w:tc>
          <w:tcPr>
            <w:tcW w:w="8926" w:type="dxa"/>
          </w:tcPr>
          <w:p w14:paraId="1C432649" w14:textId="77777777" w:rsidR="00D9691E" w:rsidRPr="00D9691E" w:rsidRDefault="00D9691E" w:rsidP="00D9691E">
            <w:pPr>
              <w:widowControl w:val="0"/>
              <w:spacing w:after="240" w:line="276" w:lineRule="auto"/>
              <w:jc w:val="both"/>
              <w:rPr>
                <w:rFonts w:ascii="Calibri" w:eastAsia="Arial" w:hAnsi="Calibri" w:cs="Calibri"/>
                <w:b/>
                <w:color w:val="262626" w:themeColor="text1" w:themeTint="D9"/>
                <w:sz w:val="24"/>
                <w:szCs w:val="24"/>
                <w:lang w:val="es-ES_tradnl" w:eastAsia="es-CO"/>
              </w:rPr>
            </w:pPr>
            <w:r w:rsidRPr="00D9691E">
              <w:rPr>
                <w:rFonts w:ascii="Calibri" w:eastAsia="Arial" w:hAnsi="Calibri" w:cs="Calibri"/>
                <w:b/>
                <w:color w:val="262626" w:themeColor="text1" w:themeTint="D9"/>
                <w:sz w:val="24"/>
                <w:szCs w:val="24"/>
                <w:lang w:eastAsia="es-MX"/>
              </w:rPr>
              <w:t>Artículo</w:t>
            </w:r>
            <w:r w:rsidRPr="00D9691E">
              <w:rPr>
                <w:rFonts w:ascii="Calibri" w:eastAsia="Arial" w:hAnsi="Calibri" w:cs="Calibri"/>
                <w:b/>
                <w:color w:val="262626" w:themeColor="text1" w:themeTint="D9"/>
                <w:spacing w:val="-6"/>
                <w:sz w:val="24"/>
                <w:szCs w:val="24"/>
                <w:lang w:eastAsia="es-MX"/>
              </w:rPr>
              <w:t xml:space="preserve"> </w:t>
            </w:r>
            <w:r w:rsidRPr="00D9691E">
              <w:rPr>
                <w:rFonts w:ascii="Calibri" w:eastAsia="Arial" w:hAnsi="Calibri" w:cs="Calibri"/>
                <w:b/>
                <w:color w:val="262626" w:themeColor="text1" w:themeTint="D9"/>
                <w:sz w:val="24"/>
                <w:szCs w:val="24"/>
                <w:lang w:eastAsia="es-MX"/>
              </w:rPr>
              <w:t>2</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b/>
                <w:color w:val="262626" w:themeColor="text1" w:themeTint="D9"/>
                <w:sz w:val="24"/>
                <w:szCs w:val="24"/>
                <w:lang w:eastAsia="es-MX"/>
              </w:rPr>
              <w:t>Ámbito</w:t>
            </w:r>
            <w:r w:rsidRPr="00D9691E">
              <w:rPr>
                <w:rFonts w:ascii="Calibri" w:eastAsia="Arial" w:hAnsi="Calibri" w:cs="Calibri"/>
                <w:b/>
                <w:color w:val="262626" w:themeColor="text1" w:themeTint="D9"/>
                <w:spacing w:val="-7"/>
                <w:sz w:val="24"/>
                <w:szCs w:val="24"/>
                <w:lang w:eastAsia="es-MX"/>
              </w:rPr>
              <w:t xml:space="preserve"> </w:t>
            </w:r>
            <w:r w:rsidRPr="00D9691E">
              <w:rPr>
                <w:rFonts w:ascii="Calibri" w:eastAsia="Arial" w:hAnsi="Calibri" w:cs="Calibri"/>
                <w:b/>
                <w:color w:val="262626" w:themeColor="text1" w:themeTint="D9"/>
                <w:sz w:val="24"/>
                <w:szCs w:val="24"/>
                <w:lang w:eastAsia="es-MX"/>
              </w:rPr>
              <w:t>de</w:t>
            </w:r>
            <w:r w:rsidRPr="00D9691E">
              <w:rPr>
                <w:rFonts w:ascii="Calibri" w:eastAsia="Arial" w:hAnsi="Calibri" w:cs="Calibri"/>
                <w:b/>
                <w:color w:val="262626" w:themeColor="text1" w:themeTint="D9"/>
                <w:spacing w:val="-7"/>
                <w:sz w:val="24"/>
                <w:szCs w:val="24"/>
                <w:lang w:eastAsia="es-MX"/>
              </w:rPr>
              <w:t xml:space="preserve"> </w:t>
            </w:r>
            <w:r w:rsidRPr="00D9691E">
              <w:rPr>
                <w:rFonts w:ascii="Calibri" w:eastAsia="Arial" w:hAnsi="Calibri" w:cs="Calibri"/>
                <w:b/>
                <w:color w:val="262626" w:themeColor="text1" w:themeTint="D9"/>
                <w:sz w:val="24"/>
                <w:szCs w:val="24"/>
                <w:lang w:eastAsia="es-MX"/>
              </w:rPr>
              <w:t>aplicación</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Las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disposiciones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contenidas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esta</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Ley son de obligatorio cumplimiento para las ramas Ejecutiva, Legislativa y Judicial del poder público, así como para los órganos de control, la organización electoral y los entes autónomos e independientes, en los niveles</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nacional,</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departamental,</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distrital</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y</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municipal.</w:t>
            </w:r>
          </w:p>
        </w:tc>
      </w:tr>
      <w:tr w:rsidR="00D9691E" w:rsidRPr="00D9691E" w14:paraId="5A1F7AF7" w14:textId="77777777" w:rsidTr="00E60508">
        <w:tc>
          <w:tcPr>
            <w:tcW w:w="8926" w:type="dxa"/>
          </w:tcPr>
          <w:p w14:paraId="3A48969C" w14:textId="77777777" w:rsidR="00D9691E" w:rsidRDefault="00D9691E" w:rsidP="00D9691E">
            <w:pPr>
              <w:widowControl w:val="0"/>
              <w:spacing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262626" w:themeColor="text1" w:themeTint="D9"/>
                <w:sz w:val="24"/>
                <w:szCs w:val="24"/>
                <w:lang w:eastAsia="es-MX"/>
              </w:rPr>
              <w:t>Artículo 3</w:t>
            </w:r>
            <w:r w:rsidRPr="00D9691E">
              <w:rPr>
                <w:rFonts w:ascii="Calibri" w:eastAsia="Arial" w:hAnsi="Calibri" w:cs="Calibri"/>
                <w:color w:val="262626" w:themeColor="text1" w:themeTint="D9"/>
                <w:sz w:val="24"/>
                <w:szCs w:val="24"/>
                <w:lang w:eastAsia="es-MX"/>
              </w:rPr>
              <w:t xml:space="preserve">. </w:t>
            </w:r>
            <w:r w:rsidRPr="00D9691E">
              <w:rPr>
                <w:rFonts w:ascii="Calibri" w:eastAsia="Arial" w:hAnsi="Calibri" w:cs="Calibri"/>
                <w:b/>
                <w:color w:val="262626" w:themeColor="text1" w:themeTint="D9"/>
                <w:sz w:val="24"/>
                <w:szCs w:val="24"/>
                <w:lang w:eastAsia="es-MX"/>
              </w:rPr>
              <w:t>Población beneficiaria</w:t>
            </w:r>
            <w:r w:rsidRPr="00D9691E">
              <w:rPr>
                <w:rFonts w:ascii="Calibri" w:eastAsia="Arial" w:hAnsi="Calibri" w:cs="Calibri"/>
                <w:color w:val="262626" w:themeColor="text1" w:themeTint="D9"/>
                <w:sz w:val="24"/>
                <w:szCs w:val="24"/>
                <w:lang w:eastAsia="es-MX"/>
              </w:rPr>
              <w:t>. Serán beneficiarias de las medidas de acción afirmativa dispuestas en la presente ley, las personas que, cumpliendo con el perfil requerido para ocupar el cargo público, se encuentren debidamente acreditadas en el Registro Único de Víctimas (RUV) a cargo de la Unidad para la Atención y Reparación Integral a las Víctimas</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(UARIV).</w:t>
            </w:r>
          </w:p>
          <w:p w14:paraId="509F0B4C" w14:textId="33CB3BDB" w:rsidR="005E0177" w:rsidRDefault="005E0177" w:rsidP="00D9691E">
            <w:pPr>
              <w:widowControl w:val="0"/>
              <w:spacing w:after="240" w:line="276" w:lineRule="auto"/>
              <w:jc w:val="both"/>
              <w:rPr>
                <w:rFonts w:ascii="Calibri" w:eastAsia="Arial" w:hAnsi="Calibri" w:cs="Calibri"/>
                <w:color w:val="262626" w:themeColor="text1" w:themeTint="D9"/>
                <w:sz w:val="24"/>
                <w:szCs w:val="24"/>
                <w:lang w:eastAsia="es-MX"/>
              </w:rPr>
            </w:pPr>
            <w:r w:rsidRPr="005E0177">
              <w:rPr>
                <w:rFonts w:ascii="Calibri" w:eastAsia="Arial" w:hAnsi="Calibri" w:cs="Calibri"/>
                <w:b/>
                <w:color w:val="262626" w:themeColor="text1" w:themeTint="D9"/>
                <w:sz w:val="24"/>
                <w:szCs w:val="24"/>
                <w:lang w:eastAsia="es-MX"/>
              </w:rPr>
              <w:t>PARÁGRA</w:t>
            </w:r>
            <w:r>
              <w:rPr>
                <w:rFonts w:ascii="Calibri" w:eastAsia="Arial" w:hAnsi="Calibri" w:cs="Calibri"/>
                <w:b/>
                <w:color w:val="262626" w:themeColor="text1" w:themeTint="D9"/>
                <w:sz w:val="24"/>
                <w:szCs w:val="24"/>
                <w:lang w:eastAsia="es-MX"/>
              </w:rPr>
              <w:t>F</w:t>
            </w:r>
            <w:r w:rsidRPr="005E0177">
              <w:rPr>
                <w:rFonts w:ascii="Calibri" w:eastAsia="Arial" w:hAnsi="Calibri" w:cs="Calibri"/>
                <w:b/>
                <w:color w:val="262626" w:themeColor="text1" w:themeTint="D9"/>
                <w:sz w:val="24"/>
                <w:szCs w:val="24"/>
                <w:lang w:eastAsia="es-MX"/>
              </w:rPr>
              <w:t>O</w:t>
            </w:r>
            <w:r>
              <w:rPr>
                <w:rFonts w:ascii="Calibri" w:eastAsia="Arial" w:hAnsi="Calibri" w:cs="Calibri"/>
                <w:b/>
                <w:color w:val="262626" w:themeColor="text1" w:themeTint="D9"/>
                <w:sz w:val="24"/>
                <w:szCs w:val="24"/>
                <w:lang w:eastAsia="es-MX"/>
              </w:rPr>
              <w:t xml:space="preserve"> 1.</w:t>
            </w:r>
            <w:r>
              <w:rPr>
                <w:rFonts w:ascii="Calibri" w:eastAsia="Arial" w:hAnsi="Calibri" w:cs="Calibri"/>
                <w:b/>
                <w:bCs/>
                <w:color w:val="262626" w:themeColor="text1" w:themeTint="D9"/>
                <w:sz w:val="24"/>
                <w:szCs w:val="24"/>
                <w:lang w:eastAsia="es-MX"/>
              </w:rPr>
              <w:t xml:space="preserve"> </w:t>
            </w:r>
            <w:r>
              <w:rPr>
                <w:rFonts w:ascii="Calibri" w:eastAsia="Arial" w:hAnsi="Calibri" w:cs="Calibri"/>
                <w:color w:val="262626" w:themeColor="text1" w:themeTint="D9"/>
                <w:sz w:val="24"/>
                <w:szCs w:val="24"/>
                <w:lang w:eastAsia="es-MX"/>
              </w:rPr>
              <w:t>Para efectos de la aplicación de las cuotas y medidas de que trata la presente Ley, toda referencia a personas acreditadas en el Registro Único de Víctimas (RUV) se entenderá igualmente hecha a quienes acrediten su condición de víctima del conflicto armado mediante providencia judicial en firme, proferida en el marco de los procesos transicionales de Justicia y Paz (Ley 975 de 2005) o de la Jurisdicción Especial para la Paz (Ley 1922 de 2018).</w:t>
            </w:r>
          </w:p>
          <w:p w14:paraId="13630E12" w14:textId="5A024FA8" w:rsidR="005E0177" w:rsidRPr="00D9691E" w:rsidRDefault="005E0177" w:rsidP="00D9691E">
            <w:pPr>
              <w:widowControl w:val="0"/>
              <w:spacing w:after="240" w:line="276" w:lineRule="auto"/>
              <w:jc w:val="both"/>
              <w:rPr>
                <w:rFonts w:ascii="Calibri" w:eastAsia="Arial" w:hAnsi="Calibri" w:cs="Calibri"/>
                <w:color w:val="262626" w:themeColor="text1" w:themeTint="D9"/>
                <w:sz w:val="24"/>
                <w:szCs w:val="24"/>
                <w:lang w:eastAsia="es-MX"/>
              </w:rPr>
            </w:pPr>
            <w:r>
              <w:rPr>
                <w:rFonts w:ascii="Calibri" w:eastAsia="Arial" w:hAnsi="Calibri" w:cs="Calibri"/>
                <w:b/>
                <w:bCs/>
                <w:color w:val="262626" w:themeColor="text1" w:themeTint="D9"/>
                <w:sz w:val="24"/>
                <w:szCs w:val="24"/>
                <w:lang w:eastAsia="es-MX"/>
              </w:rPr>
              <w:lastRenderedPageBreak/>
              <w:t>PARÁGRA</w:t>
            </w:r>
            <w:r w:rsidR="009B26C9">
              <w:rPr>
                <w:rFonts w:ascii="Calibri" w:eastAsia="Arial" w:hAnsi="Calibri" w:cs="Calibri"/>
                <w:b/>
                <w:bCs/>
                <w:color w:val="262626" w:themeColor="text1" w:themeTint="D9"/>
                <w:sz w:val="24"/>
                <w:szCs w:val="24"/>
                <w:lang w:eastAsia="es-MX"/>
              </w:rPr>
              <w:t>F</w:t>
            </w:r>
            <w:r>
              <w:rPr>
                <w:rFonts w:ascii="Calibri" w:eastAsia="Arial" w:hAnsi="Calibri" w:cs="Calibri"/>
                <w:b/>
                <w:bCs/>
                <w:color w:val="262626" w:themeColor="text1" w:themeTint="D9"/>
                <w:sz w:val="24"/>
                <w:szCs w:val="24"/>
                <w:lang w:eastAsia="es-MX"/>
              </w:rPr>
              <w:t xml:space="preserve">O 2. </w:t>
            </w:r>
            <w:r>
              <w:rPr>
                <w:rFonts w:ascii="Calibri" w:eastAsia="Arial" w:hAnsi="Calibri" w:cs="Calibri"/>
                <w:color w:val="262626" w:themeColor="text1" w:themeTint="D9"/>
                <w:sz w:val="24"/>
                <w:szCs w:val="24"/>
                <w:lang w:eastAsia="es-MX"/>
              </w:rPr>
              <w:t xml:space="preserve">Queda estrictamente prohibido a los nominadores exigir certificaciones físicas del Registro Único de Víctimas (RUV) a los aspirantes. </w:t>
            </w:r>
            <w:r w:rsidR="00676203">
              <w:rPr>
                <w:rFonts w:ascii="Calibri" w:eastAsia="Arial" w:hAnsi="Calibri" w:cs="Calibri"/>
                <w:color w:val="262626" w:themeColor="text1" w:themeTint="D9"/>
                <w:sz w:val="24"/>
                <w:szCs w:val="24"/>
                <w:lang w:eastAsia="es-MX"/>
              </w:rPr>
              <w:t xml:space="preserve">El Departamento Administrativo de la Función Pública (DAFP) y la Unidad para la Atención y Reparación Integral a las Víctimas (UARIV) garantizarán la interoperabilidad digital de sus bases de datos para que la verificación del estado de víctima se realice de manera directa y en línea por la entidad contratante. </w:t>
            </w:r>
          </w:p>
        </w:tc>
      </w:tr>
      <w:tr w:rsidR="00D9691E" w:rsidRPr="00D9691E" w14:paraId="6A3E158B" w14:textId="77777777" w:rsidTr="00E60508">
        <w:tc>
          <w:tcPr>
            <w:tcW w:w="8926" w:type="dxa"/>
          </w:tcPr>
          <w:p w14:paraId="04BD38F1" w14:textId="77777777" w:rsidR="00D9691E" w:rsidRPr="00D9691E" w:rsidRDefault="00D9691E" w:rsidP="00D9691E">
            <w:pPr>
              <w:widowControl w:val="0"/>
              <w:spacing w:before="13" w:after="240" w:line="276" w:lineRule="auto"/>
              <w:jc w:val="both"/>
              <w:rPr>
                <w:rFonts w:ascii="Calibri" w:eastAsia="Arial" w:hAnsi="Calibri" w:cs="Calibri"/>
                <w:b/>
                <w:color w:val="262626" w:themeColor="text1" w:themeTint="D9"/>
                <w:sz w:val="24"/>
                <w:szCs w:val="24"/>
                <w:lang w:val="es-ES_tradnl" w:eastAsia="es-CO"/>
              </w:rPr>
            </w:pPr>
            <w:r w:rsidRPr="00D9691E">
              <w:rPr>
                <w:rFonts w:ascii="Calibri" w:eastAsia="Arial" w:hAnsi="Calibri" w:cs="Calibri"/>
                <w:b/>
                <w:color w:val="262626" w:themeColor="text1" w:themeTint="D9"/>
                <w:sz w:val="24"/>
                <w:szCs w:val="24"/>
                <w:lang w:eastAsia="es-MX"/>
              </w:rPr>
              <w:lastRenderedPageBreak/>
              <w:t>Artículo</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4.</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Enfoque</w:t>
            </w:r>
            <w:r w:rsidRPr="00D9691E">
              <w:rPr>
                <w:rFonts w:ascii="Calibri" w:eastAsia="Arial" w:hAnsi="Calibri" w:cs="Calibri"/>
                <w:b/>
                <w:color w:val="262626" w:themeColor="text1" w:themeTint="D9"/>
                <w:spacing w:val="-17"/>
                <w:sz w:val="24"/>
                <w:szCs w:val="24"/>
                <w:lang w:eastAsia="es-MX"/>
              </w:rPr>
              <w:t xml:space="preserve"> </w:t>
            </w:r>
            <w:r w:rsidRPr="00D9691E">
              <w:rPr>
                <w:rFonts w:ascii="Calibri" w:eastAsia="Arial" w:hAnsi="Calibri" w:cs="Calibri"/>
                <w:b/>
                <w:color w:val="262626" w:themeColor="text1" w:themeTint="D9"/>
                <w:sz w:val="24"/>
                <w:szCs w:val="24"/>
                <w:lang w:eastAsia="es-MX"/>
              </w:rPr>
              <w:t>diferencial</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y</w:t>
            </w:r>
            <w:r w:rsidRPr="00D9691E">
              <w:rPr>
                <w:rFonts w:ascii="Calibri" w:eastAsia="Arial" w:hAnsi="Calibri" w:cs="Calibri"/>
                <w:b/>
                <w:color w:val="262626" w:themeColor="text1" w:themeTint="D9"/>
                <w:spacing w:val="-17"/>
                <w:sz w:val="24"/>
                <w:szCs w:val="24"/>
                <w:lang w:eastAsia="es-MX"/>
              </w:rPr>
              <w:t xml:space="preserve"> </w:t>
            </w:r>
            <w:r w:rsidRPr="00D9691E">
              <w:rPr>
                <w:rFonts w:ascii="Calibri" w:eastAsia="Arial" w:hAnsi="Calibri" w:cs="Calibri"/>
                <w:b/>
                <w:color w:val="262626" w:themeColor="text1" w:themeTint="D9"/>
                <w:sz w:val="24"/>
                <w:szCs w:val="24"/>
                <w:lang w:eastAsia="es-MX"/>
              </w:rPr>
              <w:t>de</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género</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aplicación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las</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cuotas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 xml:space="preserve">y medidas establecidas en la presente ley, las entidades públicas deberán adoptar un enfoque diferencial que </w:t>
            </w:r>
            <w:r w:rsidRPr="00D9691E">
              <w:rPr>
                <w:rFonts w:ascii="Calibri" w:eastAsia="Arial" w:hAnsi="Calibri" w:cs="Calibri"/>
                <w:color w:val="262626" w:themeColor="text1" w:themeTint="D9"/>
                <w:spacing w:val="-5"/>
                <w:sz w:val="24"/>
                <w:szCs w:val="24"/>
                <w:lang w:eastAsia="es-MX"/>
              </w:rPr>
              <w:t>priorice</w:t>
            </w:r>
            <w:r w:rsidRPr="00D9691E">
              <w:rPr>
                <w:rFonts w:ascii="Calibri" w:eastAsia="Arial" w:hAnsi="Calibri" w:cs="Calibri"/>
                <w:b/>
                <w:bCs/>
                <w:color w:val="262626" w:themeColor="text1" w:themeTint="D9"/>
                <w:spacing w:val="-5"/>
                <w:sz w:val="24"/>
                <w:szCs w:val="24"/>
                <w:lang w:eastAsia="es-MX"/>
              </w:rPr>
              <w:t xml:space="preserve"> </w:t>
            </w:r>
            <w:r w:rsidRPr="00D9691E">
              <w:rPr>
                <w:rFonts w:ascii="Calibri" w:eastAsia="Arial" w:hAnsi="Calibri" w:cs="Calibri"/>
                <w:color w:val="262626" w:themeColor="text1" w:themeTint="D9"/>
                <w:spacing w:val="-5"/>
                <w:sz w:val="24"/>
                <w:szCs w:val="24"/>
                <w:lang w:eastAsia="es-MX"/>
              </w:rPr>
              <w:t xml:space="preserve">la </w:t>
            </w:r>
            <w:r w:rsidRPr="00D9691E">
              <w:rPr>
                <w:rFonts w:ascii="Calibri" w:eastAsia="Arial" w:hAnsi="Calibri" w:cs="Calibri"/>
                <w:color w:val="262626" w:themeColor="text1" w:themeTint="D9"/>
                <w:sz w:val="24"/>
                <w:szCs w:val="24"/>
                <w:lang w:eastAsia="es-MX"/>
              </w:rPr>
              <w:t>participación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mujeres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víctimas,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personas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condición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discapacidad y</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miembros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grupos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étnicos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afectados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por</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conflicto.</w:t>
            </w:r>
          </w:p>
        </w:tc>
      </w:tr>
      <w:tr w:rsidR="00D9691E" w:rsidRPr="00D9691E" w14:paraId="64A262CC" w14:textId="77777777" w:rsidTr="00E60508">
        <w:tc>
          <w:tcPr>
            <w:tcW w:w="8926" w:type="dxa"/>
          </w:tcPr>
          <w:p w14:paraId="41EF6C93" w14:textId="77777777" w:rsidR="00D9691E" w:rsidRDefault="00D9691E" w:rsidP="00D9691E">
            <w:pPr>
              <w:widowControl w:val="0"/>
              <w:spacing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262626" w:themeColor="text1" w:themeTint="D9"/>
                <w:sz w:val="24"/>
                <w:szCs w:val="24"/>
                <w:lang w:eastAsia="es-MX"/>
              </w:rPr>
              <w:t>Artículo</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5.</w:t>
            </w:r>
            <w:r w:rsidRPr="00D9691E">
              <w:rPr>
                <w:rFonts w:ascii="Calibri" w:eastAsia="Arial" w:hAnsi="Calibri" w:cs="Calibri"/>
                <w:b/>
                <w:color w:val="262626" w:themeColor="text1" w:themeTint="D9"/>
                <w:spacing w:val="-16"/>
                <w:sz w:val="24"/>
                <w:szCs w:val="24"/>
                <w:lang w:eastAsia="es-MX"/>
              </w:rPr>
              <w:t xml:space="preserve"> </w:t>
            </w:r>
            <w:r w:rsidRPr="00D9691E">
              <w:rPr>
                <w:rFonts w:ascii="Calibri" w:eastAsia="Arial" w:hAnsi="Calibri" w:cs="Calibri"/>
                <w:b/>
                <w:color w:val="262626" w:themeColor="text1" w:themeTint="D9"/>
                <w:sz w:val="24"/>
                <w:szCs w:val="24"/>
                <w:lang w:eastAsia="es-MX"/>
              </w:rPr>
              <w:t>Cuotas</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de</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representación</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en</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el</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nivel</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máximo</w:t>
            </w:r>
            <w:r w:rsidRPr="00D9691E">
              <w:rPr>
                <w:rFonts w:ascii="Calibri" w:eastAsia="Arial" w:hAnsi="Calibri" w:cs="Calibri"/>
                <w:b/>
                <w:color w:val="262626" w:themeColor="text1" w:themeTint="D9"/>
                <w:spacing w:val="-12"/>
                <w:sz w:val="24"/>
                <w:szCs w:val="24"/>
                <w:lang w:eastAsia="es-MX"/>
              </w:rPr>
              <w:t xml:space="preserve"> </w:t>
            </w:r>
            <w:r w:rsidRPr="00D9691E">
              <w:rPr>
                <w:rFonts w:ascii="Calibri" w:eastAsia="Arial" w:hAnsi="Calibri" w:cs="Calibri"/>
                <w:b/>
                <w:color w:val="262626" w:themeColor="text1" w:themeTint="D9"/>
                <w:sz w:val="24"/>
                <w:szCs w:val="24"/>
                <w:lang w:eastAsia="es-MX"/>
              </w:rPr>
              <w:t>decisorio</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Al</w:t>
            </w:r>
            <w:r w:rsidRPr="00D9691E">
              <w:rPr>
                <w:rFonts w:ascii="Calibri" w:eastAsia="Arial" w:hAnsi="Calibri" w:cs="Calibri"/>
                <w:b/>
                <w:bCs/>
                <w:color w:val="262626" w:themeColor="text1" w:themeTint="D9"/>
                <w:spacing w:val="-2"/>
                <w:sz w:val="24"/>
                <w:szCs w:val="24"/>
                <w:lang w:eastAsia="es-MX"/>
              </w:rPr>
              <w:t xml:space="preserve"> </w:t>
            </w:r>
            <w:r w:rsidRPr="00D9691E">
              <w:rPr>
                <w:rFonts w:ascii="Calibri" w:eastAsia="Arial" w:hAnsi="Calibri" w:cs="Calibri"/>
                <w:color w:val="262626" w:themeColor="text1" w:themeTint="D9"/>
                <w:spacing w:val="-2"/>
                <w:sz w:val="24"/>
                <w:szCs w:val="24"/>
                <w:lang w:eastAsia="es-MX"/>
              </w:rPr>
              <w:t>menos</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el</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diez</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por</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ciento</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(10%)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los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cargos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máximo</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nivel</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decisorio,</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entendidos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estos</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como</w:t>
            </w:r>
            <w:r w:rsidRPr="00D9691E">
              <w:rPr>
                <w:rFonts w:ascii="Calibri" w:eastAsia="Arial" w:hAnsi="Calibri" w:cs="Calibri"/>
                <w:color w:val="262626" w:themeColor="text1" w:themeTint="D9"/>
                <w:spacing w:val="-4"/>
                <w:sz w:val="24"/>
                <w:szCs w:val="24"/>
                <w:lang w:eastAsia="es-MX"/>
              </w:rPr>
              <w:t xml:space="preserve"> </w:t>
            </w:r>
            <w:r w:rsidRPr="00D9691E">
              <w:rPr>
                <w:rFonts w:ascii="Calibri" w:eastAsia="Arial" w:hAnsi="Calibri" w:cs="Calibri"/>
                <w:color w:val="262626" w:themeColor="text1" w:themeTint="D9"/>
                <w:sz w:val="24"/>
                <w:szCs w:val="24"/>
                <w:lang w:eastAsia="es-MX"/>
              </w:rPr>
              <w:t xml:space="preserve">aquellos que corresponden a quienes ejercen la máxima dirección y conducción </w:t>
            </w:r>
            <w:r w:rsidRPr="00D9691E">
              <w:rPr>
                <w:rFonts w:ascii="Calibri" w:eastAsia="Arial" w:hAnsi="Calibri" w:cs="Calibri"/>
                <w:color w:val="262626" w:themeColor="text1" w:themeTint="D9"/>
                <w:spacing w:val="-2"/>
                <w:sz w:val="24"/>
                <w:szCs w:val="24"/>
                <w:lang w:eastAsia="es-MX"/>
              </w:rPr>
              <w:t>institucional</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conforme</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a</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las</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definiciones</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la</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Ley</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581</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2000</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la</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Ley</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909 </w:t>
            </w:r>
            <w:r w:rsidRPr="00D9691E">
              <w:rPr>
                <w:rFonts w:ascii="Calibri" w:eastAsia="Arial" w:hAnsi="Calibri" w:cs="Calibri"/>
                <w:color w:val="262626" w:themeColor="text1" w:themeTint="D9"/>
                <w:sz w:val="24"/>
                <w:szCs w:val="24"/>
                <w:lang w:eastAsia="es-MX"/>
              </w:rPr>
              <w:t xml:space="preserve">de 2004, en los Ministerios, Departamentos Administrativos, Superintendencias, Unidades Administrativas Especiales y entidades </w:t>
            </w:r>
            <w:r w:rsidRPr="00D9691E">
              <w:rPr>
                <w:rFonts w:ascii="Calibri" w:eastAsia="Arial" w:hAnsi="Calibri" w:cs="Calibri"/>
                <w:color w:val="262626" w:themeColor="text1" w:themeTint="D9"/>
                <w:spacing w:val="-2"/>
                <w:sz w:val="24"/>
                <w:szCs w:val="24"/>
                <w:lang w:eastAsia="es-MX"/>
              </w:rPr>
              <w:t>descentralizadas</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del</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orden</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nacional</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territorial,</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deberán</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ser</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provistos</w:t>
            </w:r>
            <w:r w:rsidRPr="00D9691E">
              <w:rPr>
                <w:rFonts w:ascii="Calibri" w:eastAsia="Arial" w:hAnsi="Calibri" w:cs="Calibri"/>
                <w:color w:val="262626" w:themeColor="text1" w:themeTint="D9"/>
                <w:spacing w:val="-11"/>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con </w:t>
            </w:r>
            <w:r w:rsidRPr="00D9691E">
              <w:rPr>
                <w:rFonts w:ascii="Calibri" w:eastAsia="Arial" w:hAnsi="Calibri" w:cs="Calibri"/>
                <w:color w:val="262626" w:themeColor="text1" w:themeTint="D9"/>
                <w:sz w:val="24"/>
                <w:szCs w:val="24"/>
                <w:lang w:eastAsia="es-MX"/>
              </w:rPr>
              <w:t>personas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que se encuentren acreditadas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RUV</w:t>
            </w:r>
            <w:r w:rsidRPr="00D9691E">
              <w:rPr>
                <w:rFonts w:ascii="Calibri" w:eastAsia="Arial" w:hAnsi="Calibri" w:cs="Calibri"/>
                <w:color w:val="262626" w:themeColor="text1" w:themeTint="D9"/>
                <w:spacing w:val="-11"/>
                <w:sz w:val="24"/>
                <w:szCs w:val="24"/>
                <w:lang w:eastAsia="es-MX"/>
              </w:rPr>
              <w:t xml:space="preserve"> y </w:t>
            </w:r>
            <w:r w:rsidRPr="00D9691E">
              <w:rPr>
                <w:rFonts w:ascii="Calibri" w:eastAsia="Arial" w:hAnsi="Calibri" w:cs="Calibri"/>
                <w:color w:val="262626" w:themeColor="text1" w:themeTint="D9"/>
                <w:sz w:val="24"/>
                <w:szCs w:val="24"/>
                <w:lang w:eastAsia="es-MX"/>
              </w:rPr>
              <w:t>que</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cumplan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con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los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requisitos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técnicos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y profesionales para el cargo.</w:t>
            </w:r>
          </w:p>
          <w:p w14:paraId="6ACD64D6" w14:textId="2C065C7A" w:rsidR="00931FD2" w:rsidRPr="00D9691E" w:rsidRDefault="00931FD2" w:rsidP="00D9691E">
            <w:pPr>
              <w:widowControl w:val="0"/>
              <w:spacing w:after="240" w:line="276" w:lineRule="auto"/>
              <w:jc w:val="both"/>
              <w:rPr>
                <w:rFonts w:ascii="Calibri" w:eastAsia="Arial" w:hAnsi="Calibri" w:cs="Calibri"/>
                <w:color w:val="262626" w:themeColor="text1" w:themeTint="D9"/>
                <w:sz w:val="24"/>
                <w:szCs w:val="24"/>
                <w:lang w:eastAsia="es-MX"/>
              </w:rPr>
            </w:pPr>
            <w:r>
              <w:rPr>
                <w:rFonts w:ascii="Calibri" w:eastAsia="Arial" w:hAnsi="Calibri" w:cs="Calibri"/>
                <w:color w:val="262626" w:themeColor="text1" w:themeTint="D9"/>
                <w:sz w:val="24"/>
                <w:szCs w:val="24"/>
                <w:lang w:eastAsia="es-MX"/>
              </w:rPr>
              <w:t xml:space="preserve">El Departamento Administrativo de la Función Pública, con base en los registros de la Unidad para la Atención y Reparación Integral a las Víctimas (UARIV), </w:t>
            </w:r>
            <w:r w:rsidRPr="006A660B">
              <w:rPr>
                <w:rFonts w:ascii="Calibri" w:eastAsia="Arial" w:hAnsi="Calibri" w:cs="Calibri"/>
                <w:color w:val="000000" w:themeColor="text1"/>
                <w:sz w:val="24"/>
                <w:szCs w:val="24"/>
                <w:lang w:eastAsia="es-MX"/>
              </w:rPr>
              <w:t xml:space="preserve">actualizará anualmente el reporte de cumplimiento de </w:t>
            </w:r>
            <w:proofErr w:type="gramStart"/>
            <w:r w:rsidRPr="006A660B">
              <w:rPr>
                <w:rFonts w:ascii="Calibri" w:eastAsia="Arial" w:hAnsi="Calibri" w:cs="Calibri"/>
                <w:color w:val="000000" w:themeColor="text1"/>
                <w:sz w:val="24"/>
                <w:szCs w:val="24"/>
                <w:lang w:eastAsia="es-MX"/>
              </w:rPr>
              <w:t>éste</w:t>
            </w:r>
            <w:proofErr w:type="gramEnd"/>
            <w:r w:rsidRPr="006A660B">
              <w:rPr>
                <w:rFonts w:ascii="Calibri" w:eastAsia="Arial" w:hAnsi="Calibri" w:cs="Calibri"/>
                <w:color w:val="000000" w:themeColor="text1"/>
                <w:sz w:val="24"/>
                <w:szCs w:val="24"/>
                <w:lang w:eastAsia="es-MX"/>
              </w:rPr>
              <w:t xml:space="preserve"> porcentaje, el cual servirá de fundamento para la revisión de que trata el artículo nueve de la presente ley. </w:t>
            </w:r>
          </w:p>
        </w:tc>
      </w:tr>
      <w:tr w:rsidR="00D9691E" w:rsidRPr="00D9691E" w14:paraId="709DC258" w14:textId="77777777" w:rsidTr="00E60508">
        <w:tc>
          <w:tcPr>
            <w:tcW w:w="8926" w:type="dxa"/>
          </w:tcPr>
          <w:p w14:paraId="44B50C18" w14:textId="77777777" w:rsidR="00D9691E" w:rsidRPr="00D9691E" w:rsidRDefault="00D9691E" w:rsidP="00D9691E">
            <w:pPr>
              <w:widowControl w:val="0"/>
              <w:spacing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262626" w:themeColor="text1" w:themeTint="D9"/>
                <w:spacing w:val="-2"/>
                <w:sz w:val="24"/>
                <w:szCs w:val="24"/>
                <w:lang w:eastAsia="es-MX"/>
              </w:rPr>
              <w:t>Artículo</w:t>
            </w:r>
            <w:r w:rsidRPr="00D9691E">
              <w:rPr>
                <w:rFonts w:ascii="Calibri" w:eastAsia="Arial" w:hAnsi="Calibri" w:cs="Calibri"/>
                <w:b/>
                <w:color w:val="262626" w:themeColor="text1" w:themeTint="D9"/>
                <w:spacing w:val="-16"/>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6.</w:t>
            </w:r>
            <w:r w:rsidRPr="00D9691E">
              <w:rPr>
                <w:rFonts w:ascii="Calibri" w:eastAsia="Arial" w:hAnsi="Calibri" w:cs="Calibri"/>
                <w:b/>
                <w:color w:val="262626" w:themeColor="text1" w:themeTint="D9"/>
                <w:spacing w:val="-16"/>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Cuotas</w:t>
            </w:r>
            <w:r w:rsidRPr="00D9691E">
              <w:rPr>
                <w:rFonts w:ascii="Calibri" w:eastAsia="Arial" w:hAnsi="Calibri" w:cs="Calibri"/>
                <w:b/>
                <w:color w:val="262626" w:themeColor="text1" w:themeTint="D9"/>
                <w:spacing w:val="-15"/>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de</w:t>
            </w:r>
            <w:r w:rsidRPr="00D9691E">
              <w:rPr>
                <w:rFonts w:ascii="Calibri" w:eastAsia="Arial" w:hAnsi="Calibri" w:cs="Calibri"/>
                <w:b/>
                <w:color w:val="262626" w:themeColor="text1" w:themeTint="D9"/>
                <w:spacing w:val="-16"/>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representación</w:t>
            </w:r>
            <w:r w:rsidRPr="00D9691E">
              <w:rPr>
                <w:rFonts w:ascii="Calibri" w:eastAsia="Arial" w:hAnsi="Calibri" w:cs="Calibri"/>
                <w:b/>
                <w:color w:val="262626" w:themeColor="text1" w:themeTint="D9"/>
                <w:spacing w:val="-11"/>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en</w:t>
            </w:r>
            <w:r w:rsidRPr="00D9691E">
              <w:rPr>
                <w:rFonts w:ascii="Calibri" w:eastAsia="Arial" w:hAnsi="Calibri" w:cs="Calibri"/>
                <w:b/>
                <w:color w:val="262626" w:themeColor="text1" w:themeTint="D9"/>
                <w:spacing w:val="-11"/>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otros</w:t>
            </w:r>
            <w:r w:rsidRPr="00D9691E">
              <w:rPr>
                <w:rFonts w:ascii="Calibri" w:eastAsia="Arial" w:hAnsi="Calibri" w:cs="Calibri"/>
                <w:b/>
                <w:color w:val="262626" w:themeColor="text1" w:themeTint="D9"/>
                <w:spacing w:val="-11"/>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niveles</w:t>
            </w:r>
            <w:r w:rsidRPr="00D9691E">
              <w:rPr>
                <w:rFonts w:ascii="Calibri" w:eastAsia="Arial" w:hAnsi="Calibri" w:cs="Calibri"/>
                <w:b/>
                <w:color w:val="262626" w:themeColor="text1" w:themeTint="D9"/>
                <w:spacing w:val="-11"/>
                <w:sz w:val="24"/>
                <w:szCs w:val="24"/>
                <w:lang w:eastAsia="es-MX"/>
              </w:rPr>
              <w:t xml:space="preserve"> </w:t>
            </w:r>
            <w:r w:rsidRPr="00D9691E">
              <w:rPr>
                <w:rFonts w:ascii="Calibri" w:eastAsia="Arial" w:hAnsi="Calibri" w:cs="Calibri"/>
                <w:b/>
                <w:color w:val="262626" w:themeColor="text1" w:themeTint="D9"/>
                <w:spacing w:val="-2"/>
                <w:sz w:val="24"/>
                <w:szCs w:val="24"/>
                <w:lang w:eastAsia="es-MX"/>
              </w:rPr>
              <w:t>decisorios</w:t>
            </w:r>
            <w:r w:rsidRPr="00D9691E">
              <w:rPr>
                <w:rFonts w:ascii="Calibri" w:eastAsia="Arial" w:hAnsi="Calibri" w:cs="Calibri"/>
                <w:color w:val="262626" w:themeColor="text1" w:themeTint="D9"/>
                <w:spacing w:val="-2"/>
                <w:sz w:val="24"/>
                <w:szCs w:val="24"/>
                <w:lang w:eastAsia="es-MX"/>
              </w:rPr>
              <w:t>.</w:t>
            </w:r>
            <w:r w:rsidRPr="00D9691E">
              <w:rPr>
                <w:rFonts w:ascii="Calibri" w:eastAsia="Arial" w:hAnsi="Calibri" w:cs="Calibri"/>
                <w:color w:val="262626" w:themeColor="text1" w:themeTint="D9"/>
                <w:spacing w:val="-20"/>
                <w:sz w:val="24"/>
                <w:szCs w:val="24"/>
                <w:lang w:eastAsia="es-MX"/>
              </w:rPr>
              <w:t xml:space="preserve"> </w:t>
            </w:r>
            <w:r w:rsidRPr="00D9691E">
              <w:rPr>
                <w:rFonts w:ascii="Calibri" w:eastAsia="Arial" w:hAnsi="Calibri" w:cs="Calibri"/>
                <w:color w:val="262626" w:themeColor="text1" w:themeTint="D9"/>
                <w:spacing w:val="-19"/>
                <w:sz w:val="24"/>
                <w:szCs w:val="24"/>
                <w:lang w:eastAsia="es-MX"/>
              </w:rPr>
              <w:t>Al</w:t>
            </w:r>
            <w:r w:rsidRPr="00D9691E">
              <w:rPr>
                <w:rFonts w:ascii="Calibri" w:eastAsia="Arial" w:hAnsi="Calibri" w:cs="Calibri"/>
                <w:b/>
                <w:bCs/>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menos</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el</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diez</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por</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ciento</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(10%)</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de </w:t>
            </w:r>
            <w:r w:rsidRPr="00D9691E">
              <w:rPr>
                <w:rFonts w:ascii="Calibri" w:eastAsia="Arial" w:hAnsi="Calibri" w:cs="Calibri"/>
                <w:color w:val="262626" w:themeColor="text1" w:themeTint="D9"/>
                <w:sz w:val="24"/>
                <w:szCs w:val="24"/>
                <w:lang w:eastAsia="es-MX"/>
              </w:rPr>
              <w:t>los</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cargos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que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correspondan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a</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libre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nombramiento</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y</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remoción,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 xml:space="preserve">rama </w:t>
            </w:r>
            <w:r w:rsidRPr="00D9691E">
              <w:rPr>
                <w:rFonts w:ascii="Calibri" w:eastAsia="Arial" w:hAnsi="Calibri" w:cs="Calibri"/>
                <w:color w:val="262626" w:themeColor="text1" w:themeTint="D9"/>
                <w:spacing w:val="-2"/>
                <w:sz w:val="24"/>
                <w:szCs w:val="24"/>
                <w:lang w:eastAsia="es-MX"/>
              </w:rPr>
              <w:t>ejecutiva,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del</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personal</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administrativo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la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rama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legislativa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los</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demás </w:t>
            </w:r>
            <w:r w:rsidRPr="00D9691E">
              <w:rPr>
                <w:rFonts w:ascii="Calibri" w:eastAsia="Arial" w:hAnsi="Calibri" w:cs="Calibri"/>
                <w:color w:val="262626" w:themeColor="text1" w:themeTint="D9"/>
                <w:sz w:val="24"/>
                <w:szCs w:val="24"/>
                <w:lang w:eastAsia="es-MX"/>
              </w:rPr>
              <w:t xml:space="preserve">órganos del poder público, diferentes a los contemplados en el artículo </w:t>
            </w:r>
            <w:r w:rsidRPr="00D9691E">
              <w:rPr>
                <w:rFonts w:ascii="Calibri" w:eastAsia="Arial" w:hAnsi="Calibri" w:cs="Calibri"/>
                <w:color w:val="262626" w:themeColor="text1" w:themeTint="D9"/>
                <w:spacing w:val="-4"/>
                <w:sz w:val="24"/>
                <w:szCs w:val="24"/>
                <w:lang w:eastAsia="es-MX"/>
              </w:rPr>
              <w:t>anterior,</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y</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que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tengan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atribuciones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de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dirección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y</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mando</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en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la</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pacing w:val="-4"/>
                <w:sz w:val="24"/>
                <w:szCs w:val="24"/>
                <w:lang w:eastAsia="es-MX"/>
              </w:rPr>
              <w:t xml:space="preserve">formulación, </w:t>
            </w:r>
            <w:r w:rsidRPr="00D9691E">
              <w:rPr>
                <w:rFonts w:ascii="Calibri" w:eastAsia="Arial" w:hAnsi="Calibri" w:cs="Calibri"/>
                <w:color w:val="262626" w:themeColor="text1" w:themeTint="D9"/>
                <w:spacing w:val="-2"/>
                <w:sz w:val="24"/>
                <w:szCs w:val="24"/>
                <w:lang w:eastAsia="es-MX"/>
              </w:rPr>
              <w:t>planeación,</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coordinación,</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ejecución</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control</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las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acciones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y</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políticas</w:t>
            </w:r>
            <w:r w:rsidRPr="00D9691E">
              <w:rPr>
                <w:rFonts w:ascii="Calibri" w:eastAsia="Arial" w:hAnsi="Calibri" w:cs="Calibri"/>
                <w:color w:val="262626" w:themeColor="text1" w:themeTint="D9"/>
                <w:spacing w:val="-14"/>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del </w:t>
            </w:r>
            <w:r w:rsidRPr="00D9691E">
              <w:rPr>
                <w:rFonts w:ascii="Calibri" w:eastAsia="Arial" w:hAnsi="Calibri" w:cs="Calibri"/>
                <w:color w:val="262626" w:themeColor="text1" w:themeTint="D9"/>
                <w:spacing w:val="-6"/>
                <w:sz w:val="24"/>
                <w:szCs w:val="24"/>
                <w:lang w:eastAsia="es-MX"/>
              </w:rPr>
              <w:t>Estado,</w:t>
            </w:r>
            <w:r w:rsidRPr="00D9691E">
              <w:rPr>
                <w:rFonts w:ascii="Calibri" w:eastAsia="Arial" w:hAnsi="Calibri" w:cs="Calibri"/>
                <w:color w:val="262626" w:themeColor="text1" w:themeTint="D9"/>
                <w:spacing w:val="-16"/>
                <w:sz w:val="24"/>
                <w:szCs w:val="24"/>
                <w:lang w:eastAsia="es-MX"/>
              </w:rPr>
              <w:t xml:space="preserve"> </w:t>
            </w:r>
            <w:r w:rsidRPr="00D9691E">
              <w:rPr>
                <w:rFonts w:ascii="Calibri" w:eastAsia="Arial" w:hAnsi="Calibri" w:cs="Calibri"/>
                <w:color w:val="262626" w:themeColor="text1" w:themeTint="D9"/>
                <w:spacing w:val="-6"/>
                <w:sz w:val="24"/>
                <w:szCs w:val="24"/>
                <w:lang w:eastAsia="es-MX"/>
              </w:rPr>
              <w:t>en</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los</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niveles</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nacional,</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departamental,</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distrital</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y</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municipal,</w:t>
            </w:r>
            <w:r w:rsidRPr="00D9691E">
              <w:rPr>
                <w:rFonts w:ascii="Calibri" w:eastAsia="Arial" w:hAnsi="Calibri" w:cs="Calibri"/>
                <w:color w:val="262626" w:themeColor="text1" w:themeTint="D9"/>
                <w:spacing w:val="-15"/>
                <w:sz w:val="24"/>
                <w:szCs w:val="24"/>
                <w:lang w:eastAsia="es-MX"/>
              </w:rPr>
              <w:t xml:space="preserve"> </w:t>
            </w:r>
            <w:r w:rsidRPr="00D9691E">
              <w:rPr>
                <w:rFonts w:ascii="Calibri" w:eastAsia="Arial" w:hAnsi="Calibri" w:cs="Calibri"/>
                <w:color w:val="262626" w:themeColor="text1" w:themeTint="D9"/>
                <w:spacing w:val="-6"/>
                <w:sz w:val="24"/>
                <w:szCs w:val="24"/>
                <w:lang w:eastAsia="es-MX"/>
              </w:rPr>
              <w:t xml:space="preserve">incluidos </w:t>
            </w:r>
            <w:r w:rsidRPr="00D9691E">
              <w:rPr>
                <w:rFonts w:ascii="Calibri" w:eastAsia="Arial" w:hAnsi="Calibri" w:cs="Calibri"/>
                <w:color w:val="262626" w:themeColor="text1" w:themeTint="D9"/>
                <w:sz w:val="24"/>
                <w:szCs w:val="24"/>
                <w:lang w:eastAsia="es-MX"/>
              </w:rPr>
              <w:t>los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cargos</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libre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nombramiento</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y</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remoción</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rama</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judicial,</w:t>
            </w:r>
            <w:r w:rsidRPr="00D9691E">
              <w:rPr>
                <w:rFonts w:ascii="Calibri" w:eastAsia="Arial" w:hAnsi="Calibri" w:cs="Calibri"/>
                <w:color w:val="262626" w:themeColor="text1" w:themeTint="D9"/>
                <w:spacing w:val="-13"/>
                <w:sz w:val="24"/>
                <w:szCs w:val="24"/>
                <w:lang w:eastAsia="es-MX"/>
              </w:rPr>
              <w:t xml:space="preserve"> </w:t>
            </w:r>
            <w:r w:rsidRPr="00D9691E">
              <w:rPr>
                <w:rFonts w:ascii="Calibri" w:eastAsia="Arial" w:hAnsi="Calibri" w:cs="Calibri"/>
                <w:color w:val="262626" w:themeColor="text1" w:themeTint="D9"/>
                <w:sz w:val="24"/>
                <w:szCs w:val="24"/>
                <w:lang w:eastAsia="es-MX"/>
              </w:rPr>
              <w:t>deberán ser</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provistos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con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personas que se encuentren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acreditadas</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Registro</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Único</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Víctimas</w:t>
            </w:r>
            <w:r w:rsidRPr="00D9691E">
              <w:rPr>
                <w:rFonts w:ascii="Calibri" w:eastAsia="Arial" w:hAnsi="Calibri" w:cs="Calibri"/>
                <w:color w:val="262626" w:themeColor="text1" w:themeTint="D9"/>
                <w:spacing w:val="-11"/>
                <w:sz w:val="24"/>
                <w:szCs w:val="24"/>
                <w:lang w:eastAsia="es-MX"/>
              </w:rPr>
              <w:t xml:space="preserve"> y </w:t>
            </w:r>
            <w:r w:rsidRPr="00D9691E">
              <w:rPr>
                <w:rFonts w:ascii="Calibri" w:eastAsia="Arial" w:hAnsi="Calibri" w:cs="Calibri"/>
                <w:color w:val="262626" w:themeColor="text1" w:themeTint="D9"/>
                <w:sz w:val="24"/>
                <w:szCs w:val="24"/>
                <w:lang w:eastAsia="es-MX"/>
              </w:rPr>
              <w:t>que</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cumplan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con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los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requisitos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técnicos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z w:val="24"/>
                <w:szCs w:val="24"/>
                <w:lang w:eastAsia="es-MX"/>
              </w:rPr>
              <w:t>y profesionales para el cargo.</w:t>
            </w:r>
          </w:p>
        </w:tc>
      </w:tr>
      <w:tr w:rsidR="00D9691E" w:rsidRPr="00D9691E" w14:paraId="7416E20C" w14:textId="77777777" w:rsidTr="00E60508">
        <w:tc>
          <w:tcPr>
            <w:tcW w:w="8926" w:type="dxa"/>
          </w:tcPr>
          <w:p w14:paraId="731F70CB" w14:textId="77777777" w:rsidR="00D9691E" w:rsidRDefault="00D9691E" w:rsidP="00D9691E">
            <w:pPr>
              <w:widowControl w:val="0"/>
              <w:spacing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262626" w:themeColor="text1" w:themeTint="D9"/>
                <w:sz w:val="24"/>
                <w:szCs w:val="24"/>
                <w:lang w:eastAsia="es-MX"/>
              </w:rPr>
              <w:t>Artículo 7. Progresividad</w:t>
            </w:r>
            <w:r w:rsidRPr="00D9691E">
              <w:rPr>
                <w:rFonts w:ascii="Calibri" w:eastAsia="Arial" w:hAnsi="Calibri" w:cs="Calibri"/>
                <w:color w:val="262626" w:themeColor="text1" w:themeTint="D9"/>
                <w:sz w:val="24"/>
                <w:szCs w:val="24"/>
                <w:lang w:eastAsia="es-MX"/>
              </w:rPr>
              <w:t xml:space="preserve">. Las entidades a quienes aplica la </w:t>
            </w:r>
            <w:r w:rsidRPr="00D9691E">
              <w:rPr>
                <w:rFonts w:ascii="Calibri" w:eastAsia="Arial" w:hAnsi="Calibri" w:cs="Calibri"/>
                <w:color w:val="262626" w:themeColor="text1" w:themeTint="D9"/>
                <w:spacing w:val="-4"/>
                <w:sz w:val="24"/>
                <w:szCs w:val="24"/>
                <w:lang w:eastAsia="es-MX"/>
              </w:rPr>
              <w:t>presente</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4"/>
                <w:sz w:val="24"/>
                <w:szCs w:val="24"/>
                <w:lang w:eastAsia="es-MX"/>
              </w:rPr>
              <w:t>ley</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tendrán</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un</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plazo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de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cuatro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(4)</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años,</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alcanzando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un</w:t>
            </w:r>
            <w:r w:rsidRPr="00D9691E">
              <w:rPr>
                <w:rFonts w:ascii="Calibri" w:eastAsia="Arial" w:hAnsi="Calibri" w:cs="Calibri"/>
                <w:color w:val="262626" w:themeColor="text1" w:themeTint="D9"/>
                <w:spacing w:val="-18"/>
                <w:sz w:val="24"/>
                <w:szCs w:val="24"/>
                <w:lang w:eastAsia="es-MX"/>
              </w:rPr>
              <w:t xml:space="preserve"> </w:t>
            </w:r>
            <w:r w:rsidRPr="00D9691E">
              <w:rPr>
                <w:rFonts w:ascii="Calibri" w:eastAsia="Arial" w:hAnsi="Calibri" w:cs="Calibri"/>
                <w:color w:val="262626" w:themeColor="text1" w:themeTint="D9"/>
                <w:spacing w:val="-4"/>
                <w:sz w:val="24"/>
                <w:szCs w:val="24"/>
                <w:lang w:eastAsia="es-MX"/>
              </w:rPr>
              <w:t>mínimo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pacing w:val="-4"/>
                <w:sz w:val="24"/>
                <w:szCs w:val="24"/>
                <w:lang w:eastAsia="es-MX"/>
              </w:rPr>
              <w:t xml:space="preserve">del </w:t>
            </w:r>
            <w:r w:rsidRPr="00D9691E">
              <w:rPr>
                <w:rFonts w:ascii="Calibri" w:eastAsia="Arial" w:hAnsi="Calibri" w:cs="Calibri"/>
                <w:color w:val="262626" w:themeColor="text1" w:themeTint="D9"/>
                <w:sz w:val="24"/>
                <w:szCs w:val="24"/>
                <w:lang w:eastAsia="es-MX"/>
              </w:rPr>
              <w:t>dos punto cinco por ciento (2.5%) anual, contados a partir de la promulgación</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esta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ley,</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para</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alcanzar</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progresivamente</w:t>
            </w:r>
            <w:r w:rsidRPr="00D9691E">
              <w:rPr>
                <w:rFonts w:ascii="Calibri" w:eastAsia="Arial" w:hAnsi="Calibri" w:cs="Calibri"/>
                <w:color w:val="262626" w:themeColor="text1" w:themeTint="D9"/>
                <w:spacing w:val="-9"/>
                <w:sz w:val="24"/>
                <w:szCs w:val="24"/>
                <w:lang w:eastAsia="es-MX"/>
              </w:rPr>
              <w:t xml:space="preserve"> </w:t>
            </w:r>
            <w:r w:rsidRPr="00D9691E">
              <w:rPr>
                <w:rFonts w:ascii="Calibri" w:eastAsia="Arial" w:hAnsi="Calibri" w:cs="Calibri"/>
                <w:color w:val="262626" w:themeColor="text1" w:themeTint="D9"/>
                <w:sz w:val="24"/>
                <w:szCs w:val="24"/>
                <w:lang w:eastAsia="es-MX"/>
              </w:rPr>
              <w:t xml:space="preserve">el porcentaje de </w:t>
            </w:r>
            <w:r w:rsidRPr="00D9691E">
              <w:rPr>
                <w:rFonts w:ascii="Calibri" w:eastAsia="Arial" w:hAnsi="Calibri" w:cs="Calibri"/>
                <w:color w:val="262626" w:themeColor="text1" w:themeTint="D9"/>
                <w:sz w:val="24"/>
                <w:szCs w:val="24"/>
                <w:lang w:eastAsia="es-MX"/>
              </w:rPr>
              <w:lastRenderedPageBreak/>
              <w:t>participación del diez por ciento (10%) establecido</w:t>
            </w:r>
            <w:r w:rsidRPr="00D9691E">
              <w:rPr>
                <w:rFonts w:ascii="Calibri" w:eastAsia="Arial" w:hAnsi="Calibri" w:cs="Calibri"/>
                <w:strike/>
                <w:color w:val="262626" w:themeColor="text1" w:themeTint="D9"/>
                <w:sz w:val="24"/>
                <w:szCs w:val="24"/>
                <w:lang w:eastAsia="es-MX"/>
              </w:rPr>
              <w:t>s</w:t>
            </w:r>
            <w:r w:rsidRPr="00D9691E">
              <w:rPr>
                <w:rFonts w:ascii="Calibri" w:eastAsia="Arial" w:hAnsi="Calibri" w:cs="Calibri"/>
                <w:color w:val="262626" w:themeColor="text1" w:themeTint="D9"/>
                <w:sz w:val="24"/>
                <w:szCs w:val="24"/>
                <w:lang w:eastAsia="es-MX"/>
              </w:rPr>
              <w:t xml:space="preserve"> en esta Ley.</w:t>
            </w:r>
          </w:p>
          <w:p w14:paraId="065F02B1" w14:textId="77777777" w:rsidR="009B26C9" w:rsidRDefault="009B26C9" w:rsidP="00D9691E">
            <w:pPr>
              <w:widowControl w:val="0"/>
              <w:spacing w:after="240" w:line="276" w:lineRule="auto"/>
              <w:jc w:val="both"/>
              <w:rPr>
                <w:rFonts w:ascii="Calibri" w:eastAsia="Arial" w:hAnsi="Calibri" w:cs="Calibri"/>
                <w:bCs/>
                <w:color w:val="262626" w:themeColor="text1" w:themeTint="D9"/>
                <w:sz w:val="24"/>
                <w:szCs w:val="24"/>
                <w:lang w:eastAsia="es-MX"/>
              </w:rPr>
            </w:pPr>
            <w:r>
              <w:rPr>
                <w:rFonts w:ascii="Calibri" w:eastAsia="Arial" w:hAnsi="Calibri" w:cs="Calibri"/>
                <w:b/>
                <w:color w:val="262626" w:themeColor="text1" w:themeTint="D9"/>
                <w:sz w:val="24"/>
                <w:szCs w:val="24"/>
                <w:lang w:eastAsia="es-MX"/>
              </w:rPr>
              <w:t xml:space="preserve">PARÁGRAFO 1. </w:t>
            </w:r>
            <w:r>
              <w:rPr>
                <w:rFonts w:ascii="Calibri" w:eastAsia="Arial" w:hAnsi="Calibri" w:cs="Calibri"/>
                <w:bCs/>
                <w:color w:val="262626" w:themeColor="text1" w:themeTint="D9"/>
                <w:sz w:val="24"/>
                <w:szCs w:val="24"/>
                <w:lang w:eastAsia="es-MX"/>
              </w:rPr>
              <w:t xml:space="preserve">El avance mínimo anual será de </w:t>
            </w:r>
            <w:proofErr w:type="gramStart"/>
            <w:r>
              <w:rPr>
                <w:rFonts w:ascii="Calibri" w:eastAsia="Arial" w:hAnsi="Calibri" w:cs="Calibri"/>
                <w:bCs/>
                <w:color w:val="262626" w:themeColor="text1" w:themeTint="D9"/>
                <w:sz w:val="24"/>
                <w:szCs w:val="24"/>
                <w:lang w:eastAsia="es-MX"/>
              </w:rPr>
              <w:t>dos punto</w:t>
            </w:r>
            <w:proofErr w:type="gramEnd"/>
            <w:r>
              <w:rPr>
                <w:rFonts w:ascii="Calibri" w:eastAsia="Arial" w:hAnsi="Calibri" w:cs="Calibri"/>
                <w:bCs/>
                <w:color w:val="262626" w:themeColor="text1" w:themeTint="D9"/>
                <w:sz w:val="24"/>
                <w:szCs w:val="24"/>
                <w:lang w:eastAsia="es-MX"/>
              </w:rPr>
              <w:t xml:space="preserve"> cinco por ciento (2.5%)</w:t>
            </w:r>
            <w:r w:rsidR="00C935CC">
              <w:rPr>
                <w:rFonts w:ascii="Calibri" w:eastAsia="Arial" w:hAnsi="Calibri" w:cs="Calibri"/>
                <w:bCs/>
                <w:color w:val="262626" w:themeColor="text1" w:themeTint="D9"/>
                <w:sz w:val="24"/>
                <w:szCs w:val="24"/>
                <w:lang w:eastAsia="es-MX"/>
              </w:rPr>
              <w:t xml:space="preserve"> del total de los cargos sujetos a la cuota. Al final del primer año, el porcentaje mínimo será del 2.5%; al final del segundo año, del 5%; al final del tercer año, del 7.5%; y al final del cuarto año, del 10%.</w:t>
            </w:r>
          </w:p>
          <w:p w14:paraId="6F358AB3" w14:textId="5E71D065" w:rsidR="00C935CC" w:rsidRPr="00D9691E" w:rsidRDefault="00C935CC" w:rsidP="00D9691E">
            <w:pPr>
              <w:widowControl w:val="0"/>
              <w:spacing w:after="240" w:line="276" w:lineRule="auto"/>
              <w:jc w:val="both"/>
              <w:rPr>
                <w:rFonts w:ascii="Calibri" w:eastAsia="Arial" w:hAnsi="Calibri" w:cs="Calibri"/>
                <w:bCs/>
                <w:color w:val="262626" w:themeColor="text1" w:themeTint="D9"/>
                <w:sz w:val="24"/>
                <w:szCs w:val="24"/>
                <w:lang w:eastAsia="es-MX"/>
              </w:rPr>
            </w:pPr>
            <w:r>
              <w:rPr>
                <w:rFonts w:ascii="Calibri" w:eastAsia="Arial" w:hAnsi="Calibri" w:cs="Calibri"/>
                <w:b/>
                <w:color w:val="262626" w:themeColor="text1" w:themeTint="D9"/>
                <w:sz w:val="24"/>
                <w:szCs w:val="24"/>
                <w:lang w:eastAsia="es-MX"/>
              </w:rPr>
              <w:t xml:space="preserve">PARÁGRAFO 2. </w:t>
            </w:r>
            <w:r>
              <w:rPr>
                <w:rFonts w:ascii="Calibri" w:eastAsia="Arial" w:hAnsi="Calibri" w:cs="Calibri"/>
                <w:bCs/>
                <w:color w:val="262626" w:themeColor="text1" w:themeTint="D9"/>
                <w:sz w:val="24"/>
                <w:szCs w:val="24"/>
                <w:lang w:eastAsia="es-MX"/>
              </w:rPr>
              <w:t xml:space="preserve">Para efectos de la aplicación de la progresividad prevista en </w:t>
            </w:r>
            <w:proofErr w:type="gramStart"/>
            <w:r>
              <w:rPr>
                <w:rFonts w:ascii="Calibri" w:eastAsia="Arial" w:hAnsi="Calibri" w:cs="Calibri"/>
                <w:bCs/>
                <w:color w:val="262626" w:themeColor="text1" w:themeTint="D9"/>
                <w:sz w:val="24"/>
                <w:szCs w:val="24"/>
                <w:lang w:eastAsia="es-MX"/>
              </w:rPr>
              <w:t>éste</w:t>
            </w:r>
            <w:proofErr w:type="gramEnd"/>
            <w:r>
              <w:rPr>
                <w:rFonts w:ascii="Calibri" w:eastAsia="Arial" w:hAnsi="Calibri" w:cs="Calibri"/>
                <w:bCs/>
                <w:color w:val="262626" w:themeColor="text1" w:themeTint="D9"/>
                <w:sz w:val="24"/>
                <w:szCs w:val="24"/>
                <w:lang w:eastAsia="es-MX"/>
              </w:rPr>
              <w:t xml:space="preserve"> artículo, las entidades deberán determinar previamente el universo de cargos sobre el cual se calcula la respectiva cuota, de conformidad con la naturaleza de los empleos y el régimen constitucional y legal aplicable.</w:t>
            </w:r>
          </w:p>
        </w:tc>
      </w:tr>
      <w:tr w:rsidR="00D9691E" w:rsidRPr="00D9691E" w14:paraId="4685A322" w14:textId="77777777" w:rsidTr="00E60508">
        <w:tc>
          <w:tcPr>
            <w:tcW w:w="8926" w:type="dxa"/>
          </w:tcPr>
          <w:p w14:paraId="5300E9EC" w14:textId="2E584E53" w:rsidR="00D9691E" w:rsidRDefault="00D9691E" w:rsidP="00D9691E">
            <w:pPr>
              <w:widowControl w:val="0"/>
              <w:spacing w:before="13"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262626" w:themeColor="text1" w:themeTint="D9"/>
                <w:sz w:val="24"/>
                <w:szCs w:val="24"/>
                <w:lang w:eastAsia="es-MX"/>
              </w:rPr>
              <w:lastRenderedPageBreak/>
              <w:t>Artículo</w:t>
            </w:r>
            <w:r w:rsidRPr="00D9691E">
              <w:rPr>
                <w:rFonts w:ascii="Calibri" w:eastAsia="Arial" w:hAnsi="Calibri" w:cs="Calibri"/>
                <w:b/>
                <w:color w:val="262626" w:themeColor="text1" w:themeTint="D9"/>
                <w:spacing w:val="-18"/>
                <w:sz w:val="24"/>
                <w:szCs w:val="24"/>
                <w:lang w:eastAsia="es-MX"/>
              </w:rPr>
              <w:t xml:space="preserve"> </w:t>
            </w:r>
            <w:r w:rsidRPr="00D9691E">
              <w:rPr>
                <w:rFonts w:ascii="Calibri" w:eastAsia="Arial" w:hAnsi="Calibri" w:cs="Calibri"/>
                <w:b/>
                <w:color w:val="262626" w:themeColor="text1" w:themeTint="D9"/>
                <w:sz w:val="24"/>
                <w:szCs w:val="24"/>
                <w:lang w:eastAsia="es-MX"/>
              </w:rPr>
              <w:t>8.</w:t>
            </w:r>
            <w:r w:rsidRPr="00D9691E">
              <w:rPr>
                <w:rFonts w:ascii="Calibri" w:eastAsia="Arial" w:hAnsi="Calibri" w:cs="Calibri"/>
                <w:b/>
                <w:color w:val="262626" w:themeColor="text1" w:themeTint="D9"/>
                <w:spacing w:val="-13"/>
                <w:sz w:val="24"/>
                <w:szCs w:val="24"/>
                <w:lang w:eastAsia="es-MX"/>
              </w:rPr>
              <w:t xml:space="preserve"> </w:t>
            </w:r>
            <w:r w:rsidRPr="00D9691E">
              <w:rPr>
                <w:rFonts w:ascii="Calibri" w:eastAsia="Arial" w:hAnsi="Calibri" w:cs="Calibri"/>
                <w:b/>
                <w:color w:val="262626" w:themeColor="text1" w:themeTint="D9"/>
                <w:spacing w:val="-10"/>
                <w:sz w:val="24"/>
                <w:szCs w:val="24"/>
                <w:lang w:eastAsia="es-MX"/>
              </w:rPr>
              <w:t>Principio de preferencia</w:t>
            </w:r>
            <w:r w:rsidRPr="00D9691E">
              <w:rPr>
                <w:rFonts w:ascii="Calibri" w:eastAsia="Arial" w:hAnsi="Calibri" w:cs="Calibri"/>
                <w:bCs/>
                <w:color w:val="262626" w:themeColor="text1" w:themeTint="D9"/>
                <w:spacing w:val="-10"/>
                <w:sz w:val="24"/>
                <w:szCs w:val="24"/>
                <w:lang w:eastAsia="es-MX"/>
              </w:rPr>
              <w:t xml:space="preserve"> </w:t>
            </w:r>
            <w:r w:rsidRPr="00D9691E">
              <w:rPr>
                <w:rFonts w:ascii="Calibri" w:eastAsia="Arial" w:hAnsi="Calibri" w:cs="Calibri"/>
                <w:b/>
                <w:color w:val="262626" w:themeColor="text1" w:themeTint="D9"/>
                <w:sz w:val="24"/>
                <w:szCs w:val="24"/>
                <w:lang w:eastAsia="es-MX"/>
              </w:rPr>
              <w:t>en</w:t>
            </w:r>
            <w:r w:rsidRPr="00D9691E">
              <w:rPr>
                <w:rFonts w:ascii="Calibri" w:eastAsia="Arial" w:hAnsi="Calibri" w:cs="Calibri"/>
                <w:b/>
                <w:color w:val="262626" w:themeColor="text1" w:themeTint="D9"/>
                <w:spacing w:val="-10"/>
                <w:sz w:val="24"/>
                <w:szCs w:val="24"/>
                <w:lang w:eastAsia="es-MX"/>
              </w:rPr>
              <w:t xml:space="preserve"> </w:t>
            </w:r>
            <w:r w:rsidRPr="00D9691E">
              <w:rPr>
                <w:rFonts w:ascii="Calibri" w:eastAsia="Arial" w:hAnsi="Calibri" w:cs="Calibri"/>
                <w:b/>
                <w:color w:val="262626" w:themeColor="text1" w:themeTint="D9"/>
                <w:sz w:val="24"/>
                <w:szCs w:val="24"/>
                <w:lang w:eastAsia="es-MX"/>
              </w:rPr>
              <w:t>concursos</w:t>
            </w:r>
            <w:r w:rsidRPr="00D9691E">
              <w:rPr>
                <w:rFonts w:ascii="Calibri" w:eastAsia="Arial" w:hAnsi="Calibri" w:cs="Calibri"/>
                <w:b/>
                <w:color w:val="262626" w:themeColor="text1" w:themeTint="D9"/>
                <w:spacing w:val="-10"/>
                <w:sz w:val="24"/>
                <w:szCs w:val="24"/>
                <w:lang w:eastAsia="es-MX"/>
              </w:rPr>
              <w:t xml:space="preserve"> </w:t>
            </w:r>
            <w:r w:rsidRPr="00D9691E">
              <w:rPr>
                <w:rFonts w:ascii="Calibri" w:eastAsia="Arial" w:hAnsi="Calibri" w:cs="Calibri"/>
                <w:b/>
                <w:color w:val="262626" w:themeColor="text1" w:themeTint="D9"/>
                <w:sz w:val="24"/>
                <w:szCs w:val="24"/>
                <w:lang w:eastAsia="es-MX"/>
              </w:rPr>
              <w:t>de</w:t>
            </w:r>
            <w:r w:rsidRPr="00D9691E">
              <w:rPr>
                <w:rFonts w:ascii="Calibri" w:eastAsia="Arial" w:hAnsi="Calibri" w:cs="Calibri"/>
                <w:b/>
                <w:color w:val="262626" w:themeColor="text1" w:themeTint="D9"/>
                <w:spacing w:val="-10"/>
                <w:sz w:val="24"/>
                <w:szCs w:val="24"/>
                <w:lang w:eastAsia="es-MX"/>
              </w:rPr>
              <w:t xml:space="preserve"> </w:t>
            </w:r>
            <w:r w:rsidRPr="00D9691E">
              <w:rPr>
                <w:rFonts w:ascii="Calibri" w:eastAsia="Arial" w:hAnsi="Calibri" w:cs="Calibri"/>
                <w:b/>
                <w:color w:val="262626" w:themeColor="text1" w:themeTint="D9"/>
                <w:sz w:val="24"/>
                <w:szCs w:val="24"/>
                <w:lang w:eastAsia="es-MX"/>
              </w:rPr>
              <w:t>méritos</w:t>
            </w:r>
            <w:r w:rsidRPr="00D9691E">
              <w:rPr>
                <w:rFonts w:ascii="Calibri" w:eastAsia="Arial" w:hAnsi="Calibri" w:cs="Calibri"/>
                <w:color w:val="262626" w:themeColor="text1" w:themeTint="D9"/>
                <w:sz w:val="24"/>
                <w:szCs w:val="24"/>
                <w:lang w:eastAsia="es-MX"/>
              </w:rPr>
              <w:t>.</w:t>
            </w:r>
            <w:r w:rsidRPr="00D9691E">
              <w:rPr>
                <w:rFonts w:ascii="Calibri" w:eastAsia="Arial" w:hAnsi="Calibri" w:cs="Calibri"/>
                <w:color w:val="262626" w:themeColor="text1" w:themeTint="D9"/>
                <w:spacing w:val="-22"/>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estricta</w:t>
            </w:r>
            <w:r w:rsidRPr="00D9691E">
              <w:rPr>
                <w:rFonts w:ascii="Calibri" w:eastAsia="Arial" w:hAnsi="Calibri" w:cs="Calibri"/>
                <w:color w:val="262626" w:themeColor="text1" w:themeTint="D9"/>
                <w:spacing w:val="-21"/>
                <w:sz w:val="24"/>
                <w:szCs w:val="24"/>
                <w:lang w:eastAsia="es-MX"/>
              </w:rPr>
              <w:t xml:space="preserve"> </w:t>
            </w:r>
            <w:r w:rsidRPr="00D9691E">
              <w:rPr>
                <w:rFonts w:ascii="Calibri" w:eastAsia="Arial" w:hAnsi="Calibri" w:cs="Calibri"/>
                <w:color w:val="262626" w:themeColor="text1" w:themeTint="D9"/>
                <w:sz w:val="24"/>
                <w:szCs w:val="24"/>
                <w:lang w:eastAsia="es-MX"/>
              </w:rPr>
              <w:t>garantía del principio constitucional del mérito, en todos los concursos públicos adelantados por la Comisión Nacional del Servicio Civil (CNSC), la Rama Judicial y demás entidades con régimen especial, cuando se presente un empate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en</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puntaje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total</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consolidado</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durante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conformación</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la</w:t>
            </w:r>
            <w:r w:rsidRPr="00D9691E">
              <w:rPr>
                <w:rFonts w:ascii="Calibri" w:eastAsia="Arial" w:hAnsi="Calibri" w:cs="Calibri"/>
                <w:color w:val="262626" w:themeColor="text1" w:themeTint="D9"/>
                <w:spacing w:val="-17"/>
                <w:sz w:val="24"/>
                <w:szCs w:val="24"/>
                <w:lang w:eastAsia="es-MX"/>
              </w:rPr>
              <w:t xml:space="preserve"> </w:t>
            </w:r>
            <w:r w:rsidRPr="00D9691E">
              <w:rPr>
                <w:rFonts w:ascii="Calibri" w:eastAsia="Arial" w:hAnsi="Calibri" w:cs="Calibri"/>
                <w:color w:val="262626" w:themeColor="text1" w:themeTint="D9"/>
                <w:sz w:val="24"/>
                <w:szCs w:val="24"/>
                <w:lang w:eastAsia="es-MX"/>
              </w:rPr>
              <w:t>lista de elegibles, el respectivo nominador o entidad administradora del concurso</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deberá</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resolver</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el</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empate</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manera</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obligatoria</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y</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preferente</w:t>
            </w:r>
            <w:r w:rsidRPr="00D9691E">
              <w:rPr>
                <w:rFonts w:ascii="Calibri" w:eastAsia="Arial" w:hAnsi="Calibri" w:cs="Calibri"/>
                <w:color w:val="262626" w:themeColor="text1" w:themeTint="D9"/>
                <w:spacing w:val="-7"/>
                <w:sz w:val="24"/>
                <w:szCs w:val="24"/>
                <w:lang w:eastAsia="es-MX"/>
              </w:rPr>
              <w:t xml:space="preserve"> </w:t>
            </w:r>
            <w:r w:rsidRPr="00D9691E">
              <w:rPr>
                <w:rFonts w:ascii="Calibri" w:eastAsia="Arial" w:hAnsi="Calibri" w:cs="Calibri"/>
                <w:color w:val="262626" w:themeColor="text1" w:themeTint="D9"/>
                <w:sz w:val="24"/>
                <w:szCs w:val="24"/>
                <w:lang w:eastAsia="es-MX"/>
              </w:rPr>
              <w:t>a favor</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del</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aspirante</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que</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acredite</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su</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calidad</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víctima</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del</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conflicto</w:t>
            </w:r>
            <w:r w:rsidRPr="00D9691E">
              <w:rPr>
                <w:rFonts w:ascii="Calibri" w:eastAsia="Arial" w:hAnsi="Calibri" w:cs="Calibri"/>
                <w:color w:val="262626" w:themeColor="text1" w:themeTint="D9"/>
                <w:spacing w:val="-19"/>
                <w:sz w:val="24"/>
                <w:szCs w:val="24"/>
                <w:lang w:eastAsia="es-MX"/>
              </w:rPr>
              <w:t xml:space="preserve"> </w:t>
            </w:r>
            <w:r w:rsidRPr="00D9691E">
              <w:rPr>
                <w:rFonts w:ascii="Calibri" w:eastAsia="Arial" w:hAnsi="Calibri" w:cs="Calibri"/>
                <w:color w:val="262626" w:themeColor="text1" w:themeTint="D9"/>
                <w:sz w:val="24"/>
                <w:szCs w:val="24"/>
                <w:lang w:eastAsia="es-MX"/>
              </w:rPr>
              <w:t>armado interno mediante certificación del RUV.</w:t>
            </w:r>
          </w:p>
          <w:p w14:paraId="0CC18432" w14:textId="76F934EC" w:rsidR="007A26F4" w:rsidRDefault="007A26F4" w:rsidP="00D9691E">
            <w:pPr>
              <w:widowControl w:val="0"/>
              <w:spacing w:before="13" w:after="240" w:line="276" w:lineRule="auto"/>
              <w:jc w:val="both"/>
              <w:rPr>
                <w:rFonts w:ascii="Calibri" w:eastAsia="Arial" w:hAnsi="Calibri" w:cs="Calibri"/>
                <w:color w:val="262626" w:themeColor="text1" w:themeTint="D9"/>
                <w:sz w:val="24"/>
                <w:szCs w:val="24"/>
                <w:lang w:eastAsia="es-MX"/>
              </w:rPr>
            </w:pPr>
            <w:r w:rsidRPr="00D9691E">
              <w:rPr>
                <w:rFonts w:ascii="Calibri" w:eastAsia="Arial" w:hAnsi="Calibri" w:cs="Calibri"/>
                <w:b/>
                <w:color w:val="000000" w:themeColor="text1"/>
                <w:spacing w:val="-4"/>
                <w:sz w:val="24"/>
                <w:szCs w:val="24"/>
                <w:lang w:eastAsia="es-MX"/>
              </w:rPr>
              <w:t>Artículo</w:t>
            </w:r>
            <w:r w:rsidRPr="00D9691E">
              <w:rPr>
                <w:rFonts w:ascii="Calibri" w:eastAsia="Arial" w:hAnsi="Calibri" w:cs="Calibri"/>
                <w:b/>
                <w:color w:val="000000" w:themeColor="text1"/>
                <w:spacing w:val="-14"/>
                <w:sz w:val="24"/>
                <w:szCs w:val="24"/>
                <w:lang w:eastAsia="es-MX"/>
              </w:rPr>
              <w:t xml:space="preserve"> </w:t>
            </w:r>
            <w:r w:rsidRPr="00D9691E">
              <w:rPr>
                <w:rFonts w:ascii="Calibri" w:eastAsia="Arial" w:hAnsi="Calibri" w:cs="Calibri"/>
                <w:b/>
                <w:color w:val="000000" w:themeColor="text1"/>
                <w:spacing w:val="-4"/>
                <w:sz w:val="24"/>
                <w:szCs w:val="24"/>
                <w:lang w:eastAsia="es-MX"/>
              </w:rPr>
              <w:t>9.</w:t>
            </w:r>
            <w:r w:rsidRPr="00D9691E">
              <w:rPr>
                <w:rFonts w:ascii="Calibri" w:eastAsia="Arial" w:hAnsi="Calibri" w:cs="Calibri"/>
                <w:b/>
                <w:color w:val="000000" w:themeColor="text1"/>
                <w:spacing w:val="-14"/>
                <w:sz w:val="24"/>
                <w:szCs w:val="24"/>
                <w:lang w:eastAsia="es-MX"/>
              </w:rPr>
              <w:t xml:space="preserve"> </w:t>
            </w:r>
            <w:r w:rsidRPr="00D9691E">
              <w:rPr>
                <w:rFonts w:ascii="Calibri" w:eastAsia="Arial" w:hAnsi="Calibri" w:cs="Calibri"/>
                <w:b/>
                <w:color w:val="000000" w:themeColor="text1"/>
                <w:spacing w:val="-4"/>
                <w:sz w:val="24"/>
                <w:szCs w:val="24"/>
                <w:lang w:eastAsia="es-MX"/>
              </w:rPr>
              <w:t>Nombramientos</w:t>
            </w:r>
            <w:r w:rsidRPr="00D9691E">
              <w:rPr>
                <w:rFonts w:ascii="Calibri" w:eastAsia="Arial" w:hAnsi="Calibri" w:cs="Calibri"/>
                <w:b/>
                <w:color w:val="000000" w:themeColor="text1"/>
                <w:spacing w:val="-13"/>
                <w:sz w:val="24"/>
                <w:szCs w:val="24"/>
                <w:lang w:eastAsia="es-MX"/>
              </w:rPr>
              <w:t xml:space="preserve"> </w:t>
            </w:r>
            <w:r w:rsidRPr="00D9691E">
              <w:rPr>
                <w:rFonts w:ascii="Calibri" w:eastAsia="Arial" w:hAnsi="Calibri" w:cs="Calibri"/>
                <w:b/>
                <w:color w:val="000000" w:themeColor="text1"/>
                <w:spacing w:val="-4"/>
                <w:sz w:val="24"/>
                <w:szCs w:val="24"/>
                <w:lang w:eastAsia="es-MX"/>
              </w:rPr>
              <w:t>en</w:t>
            </w:r>
            <w:r w:rsidRPr="00D9691E">
              <w:rPr>
                <w:rFonts w:ascii="Calibri" w:eastAsia="Arial" w:hAnsi="Calibri" w:cs="Calibri"/>
                <w:b/>
                <w:color w:val="000000" w:themeColor="text1"/>
                <w:spacing w:val="-14"/>
                <w:sz w:val="24"/>
                <w:szCs w:val="24"/>
                <w:lang w:eastAsia="es-MX"/>
              </w:rPr>
              <w:t xml:space="preserve"> </w:t>
            </w:r>
            <w:r w:rsidRPr="00D9691E">
              <w:rPr>
                <w:rFonts w:ascii="Calibri" w:eastAsia="Arial" w:hAnsi="Calibri" w:cs="Calibri"/>
                <w:b/>
                <w:color w:val="000000" w:themeColor="text1"/>
                <w:spacing w:val="-4"/>
                <w:sz w:val="24"/>
                <w:szCs w:val="24"/>
                <w:lang w:eastAsia="es-MX"/>
              </w:rPr>
              <w:t>provisionalidad</w:t>
            </w:r>
            <w:r w:rsidRPr="00D9691E">
              <w:rPr>
                <w:rFonts w:ascii="Calibri" w:eastAsia="Arial" w:hAnsi="Calibri" w:cs="Calibri"/>
                <w:color w:val="000000" w:themeColor="text1"/>
                <w:spacing w:val="-4"/>
                <w:sz w:val="24"/>
                <w:szCs w:val="24"/>
                <w:lang w:eastAsia="es-MX"/>
              </w:rPr>
              <w:t>.</w:t>
            </w:r>
            <w:r w:rsidRPr="00D9691E">
              <w:rPr>
                <w:rFonts w:ascii="Calibri" w:eastAsia="Arial" w:hAnsi="Calibri" w:cs="Calibri"/>
                <w:color w:val="000000" w:themeColor="text1"/>
                <w:spacing w:val="-17"/>
                <w:sz w:val="24"/>
                <w:szCs w:val="24"/>
                <w:lang w:eastAsia="es-MX"/>
              </w:rPr>
              <w:t xml:space="preserve"> </w:t>
            </w:r>
            <w:r w:rsidRPr="00D9691E">
              <w:rPr>
                <w:rFonts w:ascii="Calibri" w:eastAsia="Arial" w:hAnsi="Calibri" w:cs="Calibri"/>
                <w:color w:val="000000" w:themeColor="text1"/>
                <w:spacing w:val="-4"/>
                <w:sz w:val="24"/>
                <w:szCs w:val="24"/>
                <w:lang w:eastAsia="es-MX"/>
              </w:rPr>
              <w:t>Las</w:t>
            </w:r>
            <w:r w:rsidRPr="00D9691E">
              <w:rPr>
                <w:rFonts w:ascii="Calibri" w:eastAsia="Arial" w:hAnsi="Calibri" w:cs="Calibri"/>
                <w:color w:val="000000" w:themeColor="text1"/>
                <w:spacing w:val="-17"/>
                <w:sz w:val="24"/>
                <w:szCs w:val="24"/>
                <w:lang w:eastAsia="es-MX"/>
              </w:rPr>
              <w:t xml:space="preserve"> </w:t>
            </w:r>
            <w:r w:rsidRPr="00D9691E">
              <w:rPr>
                <w:rFonts w:ascii="Calibri" w:eastAsia="Arial" w:hAnsi="Calibri" w:cs="Calibri"/>
                <w:color w:val="000000" w:themeColor="text1"/>
                <w:spacing w:val="-4"/>
                <w:sz w:val="24"/>
                <w:szCs w:val="24"/>
                <w:lang w:eastAsia="es-MX"/>
              </w:rPr>
              <w:t>entidades</w:t>
            </w:r>
            <w:r w:rsidRPr="00D9691E">
              <w:rPr>
                <w:rFonts w:ascii="Calibri" w:eastAsia="Arial" w:hAnsi="Calibri" w:cs="Calibri"/>
                <w:color w:val="000000" w:themeColor="text1"/>
                <w:spacing w:val="-17"/>
                <w:sz w:val="24"/>
                <w:szCs w:val="24"/>
                <w:lang w:eastAsia="es-MX"/>
              </w:rPr>
              <w:t xml:space="preserve"> </w:t>
            </w:r>
            <w:r w:rsidRPr="00D9691E">
              <w:rPr>
                <w:rFonts w:ascii="Calibri" w:eastAsia="Arial" w:hAnsi="Calibri" w:cs="Calibri"/>
                <w:color w:val="000000" w:themeColor="text1"/>
                <w:spacing w:val="-4"/>
                <w:sz w:val="24"/>
                <w:szCs w:val="24"/>
                <w:lang w:eastAsia="es-MX"/>
              </w:rPr>
              <w:t>del</w:t>
            </w:r>
            <w:r w:rsidRPr="00D9691E">
              <w:rPr>
                <w:rFonts w:ascii="Calibri" w:eastAsia="Arial" w:hAnsi="Calibri" w:cs="Calibri"/>
                <w:color w:val="000000" w:themeColor="text1"/>
                <w:spacing w:val="-17"/>
                <w:sz w:val="24"/>
                <w:szCs w:val="24"/>
                <w:lang w:eastAsia="es-MX"/>
              </w:rPr>
              <w:t xml:space="preserve"> </w:t>
            </w:r>
            <w:r w:rsidRPr="00D9691E">
              <w:rPr>
                <w:rFonts w:ascii="Calibri" w:eastAsia="Arial" w:hAnsi="Calibri" w:cs="Calibri"/>
                <w:color w:val="000000" w:themeColor="text1"/>
                <w:spacing w:val="-4"/>
                <w:sz w:val="24"/>
                <w:szCs w:val="24"/>
                <w:lang w:eastAsia="es-MX"/>
              </w:rPr>
              <w:t>Estado,</w:t>
            </w:r>
            <w:r w:rsidRPr="00D9691E">
              <w:rPr>
                <w:rFonts w:ascii="Calibri" w:eastAsia="Arial" w:hAnsi="Calibri" w:cs="Calibri"/>
                <w:color w:val="000000" w:themeColor="text1"/>
                <w:spacing w:val="-17"/>
                <w:sz w:val="24"/>
                <w:szCs w:val="24"/>
                <w:lang w:eastAsia="es-MX"/>
              </w:rPr>
              <w:t xml:space="preserve"> </w:t>
            </w:r>
            <w:r w:rsidRPr="00D9691E">
              <w:rPr>
                <w:rFonts w:ascii="Calibri" w:eastAsia="Arial" w:hAnsi="Calibri" w:cs="Calibri"/>
                <w:color w:val="000000" w:themeColor="text1"/>
                <w:spacing w:val="-4"/>
                <w:sz w:val="24"/>
                <w:szCs w:val="24"/>
                <w:lang w:eastAsia="es-MX"/>
              </w:rPr>
              <w:t xml:space="preserve">al </w:t>
            </w:r>
            <w:r w:rsidRPr="00D9691E">
              <w:rPr>
                <w:rFonts w:ascii="Calibri" w:eastAsia="Arial" w:hAnsi="Calibri" w:cs="Calibri"/>
                <w:color w:val="000000" w:themeColor="text1"/>
                <w:sz w:val="24"/>
                <w:szCs w:val="24"/>
                <w:lang w:eastAsia="es-MX"/>
              </w:rPr>
              <w:t>momento de proveer vacancias temporales o definitivas mediante nombramientos en provisionalidad, deberán priorizar en igualdad de condiciones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técnicas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y</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profesionales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a</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las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personas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acreditadas</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en</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el</w:t>
            </w:r>
            <w:r w:rsidRPr="00D9691E">
              <w:rPr>
                <w:rFonts w:ascii="Calibri" w:eastAsia="Arial" w:hAnsi="Calibri" w:cs="Calibri"/>
                <w:color w:val="000000" w:themeColor="text1"/>
                <w:spacing w:val="-20"/>
                <w:sz w:val="24"/>
                <w:szCs w:val="24"/>
                <w:lang w:eastAsia="es-MX"/>
              </w:rPr>
              <w:t xml:space="preserve"> </w:t>
            </w:r>
            <w:r w:rsidRPr="00D9691E">
              <w:rPr>
                <w:rFonts w:ascii="Calibri" w:eastAsia="Arial" w:hAnsi="Calibri" w:cs="Calibri"/>
                <w:color w:val="000000" w:themeColor="text1"/>
                <w:sz w:val="24"/>
                <w:szCs w:val="24"/>
                <w:lang w:eastAsia="es-MX"/>
              </w:rPr>
              <w:t>RUV.</w:t>
            </w:r>
          </w:p>
          <w:p w14:paraId="73BE55E8" w14:textId="5D58F9BE" w:rsidR="00A5556B" w:rsidRDefault="00A5556B" w:rsidP="00D9691E">
            <w:pPr>
              <w:widowControl w:val="0"/>
              <w:spacing w:before="13" w:after="240" w:line="276" w:lineRule="auto"/>
              <w:jc w:val="both"/>
              <w:rPr>
                <w:rFonts w:ascii="Calibri" w:eastAsia="Arial" w:hAnsi="Calibri" w:cs="Calibri"/>
                <w:color w:val="262626" w:themeColor="text1" w:themeTint="D9"/>
                <w:sz w:val="24"/>
                <w:szCs w:val="24"/>
                <w:lang w:eastAsia="es-MX"/>
              </w:rPr>
            </w:pPr>
            <w:r w:rsidRPr="00A5556B">
              <w:rPr>
                <w:rFonts w:ascii="Calibri" w:eastAsia="Arial" w:hAnsi="Calibri" w:cs="Calibri"/>
                <w:b/>
                <w:bCs/>
                <w:color w:val="262626" w:themeColor="text1" w:themeTint="D9"/>
                <w:sz w:val="24"/>
                <w:szCs w:val="24"/>
                <w:lang w:eastAsia="es-MX"/>
              </w:rPr>
              <w:t xml:space="preserve">Artículo </w:t>
            </w:r>
            <w:r w:rsidR="007A26F4">
              <w:rPr>
                <w:rFonts w:ascii="Calibri" w:eastAsia="Arial" w:hAnsi="Calibri" w:cs="Calibri"/>
                <w:b/>
                <w:bCs/>
                <w:color w:val="262626" w:themeColor="text1" w:themeTint="D9"/>
                <w:sz w:val="24"/>
                <w:szCs w:val="24"/>
                <w:lang w:eastAsia="es-MX"/>
              </w:rPr>
              <w:t>10</w:t>
            </w:r>
            <w:r w:rsidRPr="00A5556B">
              <w:rPr>
                <w:rFonts w:ascii="Calibri" w:eastAsia="Arial" w:hAnsi="Calibri" w:cs="Calibri"/>
                <w:b/>
                <w:bCs/>
                <w:color w:val="262626" w:themeColor="text1" w:themeTint="D9"/>
                <w:sz w:val="24"/>
                <w:szCs w:val="24"/>
                <w:lang w:eastAsia="es-MX"/>
              </w:rPr>
              <w:t>. Sistema de Registro</w:t>
            </w:r>
            <w:r>
              <w:rPr>
                <w:rFonts w:ascii="Calibri" w:eastAsia="Arial" w:hAnsi="Calibri" w:cs="Calibri"/>
                <w:b/>
                <w:bCs/>
                <w:color w:val="262626" w:themeColor="text1" w:themeTint="D9"/>
                <w:sz w:val="24"/>
                <w:szCs w:val="24"/>
                <w:lang w:eastAsia="es-MX"/>
              </w:rPr>
              <w:t xml:space="preserve">. </w:t>
            </w:r>
            <w:r>
              <w:rPr>
                <w:rFonts w:ascii="Calibri" w:eastAsia="Arial" w:hAnsi="Calibri" w:cs="Calibri"/>
                <w:color w:val="262626" w:themeColor="text1" w:themeTint="D9"/>
                <w:sz w:val="24"/>
                <w:szCs w:val="24"/>
                <w:lang w:eastAsia="es-MX"/>
              </w:rPr>
              <w:t>El Departamento Administrativo de la Función Pública (DAFP), en coordinación con la Unidad para la Atención y Reparación Integral a las Víctimas (UARIV), creará y administrará un módulo especial dentro del Sistema de Información y Gestión del Empleo Público (SIGEP), donde se registrará el banco de hojas de vida de víctimas de conflicto armado, clasificada</w:t>
            </w:r>
            <w:r w:rsidR="006A660B">
              <w:rPr>
                <w:rFonts w:ascii="Calibri" w:eastAsia="Arial" w:hAnsi="Calibri" w:cs="Calibri"/>
                <w:color w:val="262626" w:themeColor="text1" w:themeTint="D9"/>
                <w:sz w:val="24"/>
                <w:szCs w:val="24"/>
                <w:lang w:eastAsia="es-MX"/>
              </w:rPr>
              <w:t>s</w:t>
            </w:r>
            <w:r>
              <w:rPr>
                <w:rFonts w:ascii="Calibri" w:eastAsia="Arial" w:hAnsi="Calibri" w:cs="Calibri"/>
                <w:color w:val="262626" w:themeColor="text1" w:themeTint="D9"/>
                <w:sz w:val="24"/>
                <w:szCs w:val="24"/>
                <w:lang w:eastAsia="es-MX"/>
              </w:rPr>
              <w:t xml:space="preserve"> por perfil profesional, experiencia y ubicación geográfica. </w:t>
            </w:r>
          </w:p>
          <w:p w14:paraId="2CEACB4A" w14:textId="54CE3C3F" w:rsidR="00B42903" w:rsidRPr="00D9691E" w:rsidRDefault="00B42903" w:rsidP="00D9691E">
            <w:pPr>
              <w:widowControl w:val="0"/>
              <w:spacing w:before="13" w:after="240" w:line="276" w:lineRule="auto"/>
              <w:jc w:val="both"/>
              <w:rPr>
                <w:rFonts w:ascii="Calibri" w:eastAsia="Arial" w:hAnsi="Calibri" w:cs="Calibri"/>
                <w:color w:val="262626" w:themeColor="text1" w:themeTint="D9"/>
                <w:sz w:val="24"/>
                <w:szCs w:val="24"/>
                <w:lang w:eastAsia="es-MX"/>
              </w:rPr>
            </w:pPr>
            <w:r>
              <w:rPr>
                <w:rFonts w:ascii="Calibri" w:eastAsia="Arial" w:hAnsi="Calibri" w:cs="Calibri"/>
                <w:b/>
                <w:bCs/>
                <w:color w:val="262626" w:themeColor="text1" w:themeTint="D9"/>
                <w:sz w:val="24"/>
                <w:szCs w:val="24"/>
                <w:lang w:eastAsia="es-MX"/>
              </w:rPr>
              <w:t xml:space="preserve">Artículo </w:t>
            </w:r>
            <w:r w:rsidR="007A26F4">
              <w:rPr>
                <w:rFonts w:ascii="Calibri" w:eastAsia="Arial" w:hAnsi="Calibri" w:cs="Calibri"/>
                <w:b/>
                <w:bCs/>
                <w:color w:val="262626" w:themeColor="text1" w:themeTint="D9"/>
                <w:sz w:val="24"/>
                <w:szCs w:val="24"/>
                <w:lang w:eastAsia="es-MX"/>
              </w:rPr>
              <w:t>11</w:t>
            </w:r>
            <w:r>
              <w:rPr>
                <w:rFonts w:ascii="Calibri" w:eastAsia="Arial" w:hAnsi="Calibri" w:cs="Calibri"/>
                <w:b/>
                <w:bCs/>
                <w:color w:val="262626" w:themeColor="text1" w:themeTint="D9"/>
                <w:sz w:val="24"/>
                <w:szCs w:val="24"/>
                <w:lang w:eastAsia="es-MX"/>
              </w:rPr>
              <w:t xml:space="preserve">. </w:t>
            </w:r>
            <w:r>
              <w:rPr>
                <w:rFonts w:ascii="Calibri" w:eastAsia="Arial" w:hAnsi="Calibri" w:cs="Calibri"/>
                <w:color w:val="262626" w:themeColor="text1" w:themeTint="D9"/>
                <w:sz w:val="24"/>
                <w:szCs w:val="24"/>
                <w:lang w:eastAsia="es-MX"/>
              </w:rPr>
              <w:t xml:space="preserve">Autorizar al Departamento de la Función Pública </w:t>
            </w:r>
            <w:proofErr w:type="gramStart"/>
            <w:r>
              <w:rPr>
                <w:rFonts w:ascii="Calibri" w:eastAsia="Arial" w:hAnsi="Calibri" w:cs="Calibri"/>
                <w:color w:val="262626" w:themeColor="text1" w:themeTint="D9"/>
                <w:sz w:val="24"/>
                <w:szCs w:val="24"/>
                <w:lang w:eastAsia="es-MX"/>
              </w:rPr>
              <w:t>que</w:t>
            </w:r>
            <w:proofErr w:type="gramEnd"/>
            <w:r>
              <w:rPr>
                <w:rFonts w:ascii="Calibri" w:eastAsia="Arial" w:hAnsi="Calibri" w:cs="Calibri"/>
                <w:color w:val="262626" w:themeColor="text1" w:themeTint="D9"/>
                <w:sz w:val="24"/>
                <w:szCs w:val="24"/>
                <w:lang w:eastAsia="es-MX"/>
              </w:rPr>
              <w:t xml:space="preserve"> dentro de su banco de hojas de vida, se cree un ítem para víctimas del conflicto armado que aspiren a cargos. </w:t>
            </w:r>
          </w:p>
        </w:tc>
      </w:tr>
      <w:tr w:rsidR="00D9691E" w:rsidRPr="00D9691E" w14:paraId="4F3EDDBE" w14:textId="77777777" w:rsidTr="00E60508">
        <w:tc>
          <w:tcPr>
            <w:tcW w:w="8926" w:type="dxa"/>
          </w:tcPr>
          <w:p w14:paraId="579F0585" w14:textId="3841800C" w:rsidR="000B4433" w:rsidRDefault="000B4433" w:rsidP="00D9691E">
            <w:pPr>
              <w:widowControl w:val="0"/>
              <w:spacing w:before="13" w:after="240" w:line="276" w:lineRule="auto"/>
              <w:jc w:val="both"/>
              <w:rPr>
                <w:rFonts w:ascii="Calibri" w:eastAsia="Arial" w:hAnsi="Calibri" w:cs="Calibri"/>
                <w:color w:val="262626" w:themeColor="text1" w:themeTint="D9"/>
                <w:spacing w:val="-4"/>
                <w:sz w:val="24"/>
                <w:szCs w:val="24"/>
                <w:lang w:eastAsia="es-MX"/>
              </w:rPr>
            </w:pPr>
            <w:r w:rsidRPr="000B4433">
              <w:rPr>
                <w:rFonts w:ascii="Calibri" w:eastAsia="Arial" w:hAnsi="Calibri" w:cs="Calibri"/>
                <w:b/>
                <w:bCs/>
                <w:color w:val="262626" w:themeColor="text1" w:themeTint="D9"/>
                <w:spacing w:val="-4"/>
                <w:sz w:val="24"/>
                <w:szCs w:val="24"/>
                <w:lang w:eastAsia="es-MX"/>
              </w:rPr>
              <w:t>Artículo 1</w:t>
            </w:r>
            <w:r w:rsidR="00A66790">
              <w:rPr>
                <w:rFonts w:ascii="Calibri" w:eastAsia="Arial" w:hAnsi="Calibri" w:cs="Calibri"/>
                <w:b/>
                <w:bCs/>
                <w:color w:val="262626" w:themeColor="text1" w:themeTint="D9"/>
                <w:spacing w:val="-4"/>
                <w:sz w:val="24"/>
                <w:szCs w:val="24"/>
                <w:lang w:eastAsia="es-MX"/>
              </w:rPr>
              <w:t>2</w:t>
            </w:r>
            <w:r w:rsidRPr="000B4433">
              <w:rPr>
                <w:rFonts w:ascii="Calibri" w:eastAsia="Arial" w:hAnsi="Calibri" w:cs="Calibri"/>
                <w:b/>
                <w:bCs/>
                <w:color w:val="262626" w:themeColor="text1" w:themeTint="D9"/>
                <w:spacing w:val="-4"/>
                <w:sz w:val="24"/>
                <w:szCs w:val="24"/>
                <w:lang w:eastAsia="es-MX"/>
              </w:rPr>
              <w:t xml:space="preserve">. </w:t>
            </w:r>
            <w:r>
              <w:rPr>
                <w:rFonts w:ascii="Calibri" w:eastAsia="Arial" w:hAnsi="Calibri" w:cs="Calibri"/>
                <w:b/>
                <w:bCs/>
                <w:color w:val="262626" w:themeColor="text1" w:themeTint="D9"/>
                <w:spacing w:val="-4"/>
                <w:sz w:val="24"/>
                <w:szCs w:val="24"/>
                <w:lang w:eastAsia="es-MX"/>
              </w:rPr>
              <w:t xml:space="preserve">Imposibilidad objetiva de cumplimiento. </w:t>
            </w:r>
            <w:r>
              <w:rPr>
                <w:rFonts w:ascii="Calibri" w:eastAsia="Arial" w:hAnsi="Calibri" w:cs="Calibri"/>
                <w:color w:val="262626" w:themeColor="text1" w:themeTint="D9"/>
                <w:spacing w:val="-4"/>
                <w:sz w:val="24"/>
                <w:szCs w:val="24"/>
                <w:lang w:eastAsia="es-MX"/>
              </w:rPr>
              <w:t xml:space="preserve">En aquellos casos en los que, previa verificación, no existan personas acreditadas en el Registro Único de Víctimas que cumplan simultáneamente con el perfil y los requisitos constitucionales, legales, técnicos y profesionales exigidos para la provisión de los cargos sujetos a las cuotas establecidas en la </w:t>
            </w:r>
            <w:r>
              <w:rPr>
                <w:rFonts w:ascii="Calibri" w:eastAsia="Arial" w:hAnsi="Calibri" w:cs="Calibri"/>
                <w:color w:val="262626" w:themeColor="text1" w:themeTint="D9"/>
                <w:spacing w:val="-4"/>
                <w:sz w:val="24"/>
                <w:szCs w:val="24"/>
                <w:lang w:eastAsia="es-MX"/>
              </w:rPr>
              <w:lastRenderedPageBreak/>
              <w:t xml:space="preserve">presente ley, o cuando por razones jurídicas o de la naturaleza del empleo no resulte materialmente procedente su aplicación, la entidad obligada deberá dejar constancia expresa y motivada de dicha circunstancia en el respectivo proceso de provisión y reportarla en el informe de seguimiento correspondiente. </w:t>
            </w:r>
          </w:p>
          <w:p w14:paraId="0BDE5F52" w14:textId="77777777" w:rsidR="000B4433" w:rsidRDefault="000B4433" w:rsidP="00D9691E">
            <w:pPr>
              <w:widowControl w:val="0"/>
              <w:spacing w:before="13" w:after="240" w:line="276" w:lineRule="auto"/>
              <w:jc w:val="both"/>
              <w:rPr>
                <w:rFonts w:ascii="Calibri" w:eastAsia="Arial" w:hAnsi="Calibri" w:cs="Calibri"/>
                <w:color w:val="262626" w:themeColor="text1" w:themeTint="D9"/>
                <w:sz w:val="24"/>
                <w:szCs w:val="24"/>
                <w:lang w:eastAsia="es-MX"/>
              </w:rPr>
            </w:pPr>
            <w:r>
              <w:rPr>
                <w:rFonts w:ascii="Calibri" w:eastAsia="Arial" w:hAnsi="Calibri" w:cs="Calibri"/>
                <w:color w:val="262626" w:themeColor="text1" w:themeTint="D9"/>
                <w:sz w:val="24"/>
                <w:szCs w:val="24"/>
                <w:lang w:eastAsia="es-MX"/>
              </w:rPr>
              <w:t xml:space="preserve">La imposibilidad objetiva debidamente acreditada no constituirá, por sí misma, incumplimiento de las cuotas previstas en la presente ley ni dará lugar a responsabilidad administrativa o disciplinaria, sin perjuicio de los deberes de planeación, seguimiento y adopción de medidas que permitan avanzar progresivamente en el cumplimiento de las mismas. </w:t>
            </w:r>
          </w:p>
          <w:p w14:paraId="2093FE81" w14:textId="77777777" w:rsidR="0004034A" w:rsidRDefault="0004034A" w:rsidP="0004034A">
            <w:pPr>
              <w:widowControl w:val="0"/>
              <w:spacing w:before="13" w:after="240" w:line="276" w:lineRule="auto"/>
              <w:jc w:val="both"/>
              <w:rPr>
                <w:rFonts w:ascii="Calibri" w:eastAsia="Arial" w:hAnsi="Calibri" w:cs="Calibri"/>
                <w:color w:val="262626" w:themeColor="text1" w:themeTint="D9"/>
                <w:sz w:val="24"/>
                <w:szCs w:val="24"/>
                <w:lang w:eastAsia="es-MX"/>
              </w:rPr>
            </w:pPr>
            <w:r w:rsidRPr="0004034A">
              <w:rPr>
                <w:rFonts w:ascii="Calibri" w:eastAsia="Arial" w:hAnsi="Calibri" w:cs="Calibri"/>
                <w:b/>
                <w:bCs/>
                <w:color w:val="262626" w:themeColor="text1" w:themeTint="D9"/>
                <w:sz w:val="24"/>
                <w:szCs w:val="24"/>
                <w:lang w:eastAsia="es-MX"/>
              </w:rPr>
              <w:t>Artículo</w:t>
            </w:r>
            <w:r w:rsidR="007A26F4">
              <w:rPr>
                <w:rFonts w:ascii="Calibri" w:eastAsia="Arial" w:hAnsi="Calibri" w:cs="Calibri"/>
                <w:b/>
                <w:bCs/>
                <w:color w:val="262626" w:themeColor="text1" w:themeTint="D9"/>
                <w:sz w:val="24"/>
                <w:szCs w:val="24"/>
                <w:lang w:eastAsia="es-MX"/>
              </w:rPr>
              <w:t xml:space="preserve"> 1</w:t>
            </w:r>
            <w:r w:rsidR="00A66790">
              <w:rPr>
                <w:rFonts w:ascii="Calibri" w:eastAsia="Arial" w:hAnsi="Calibri" w:cs="Calibri"/>
                <w:b/>
                <w:bCs/>
                <w:color w:val="262626" w:themeColor="text1" w:themeTint="D9"/>
                <w:sz w:val="24"/>
                <w:szCs w:val="24"/>
                <w:lang w:eastAsia="es-MX"/>
              </w:rPr>
              <w:t>3</w:t>
            </w:r>
            <w:r w:rsidR="007A26F4">
              <w:rPr>
                <w:rFonts w:ascii="Calibri" w:eastAsia="Arial" w:hAnsi="Calibri" w:cs="Calibri"/>
                <w:b/>
                <w:bCs/>
                <w:color w:val="262626" w:themeColor="text1" w:themeTint="D9"/>
                <w:sz w:val="24"/>
                <w:szCs w:val="24"/>
                <w:lang w:eastAsia="es-MX"/>
              </w:rPr>
              <w:t>.</w:t>
            </w:r>
            <w:r>
              <w:rPr>
                <w:rFonts w:ascii="Calibri" w:eastAsia="Arial" w:hAnsi="Calibri" w:cs="Calibri"/>
                <w:b/>
                <w:bCs/>
                <w:color w:val="262626" w:themeColor="text1" w:themeTint="D9"/>
                <w:sz w:val="24"/>
                <w:szCs w:val="24"/>
                <w:lang w:eastAsia="es-MX"/>
              </w:rPr>
              <w:t xml:space="preserve"> Capacitación y formación especializada para el Liderazgo Público.</w:t>
            </w:r>
            <w:r>
              <w:rPr>
                <w:rFonts w:ascii="Calibri" w:eastAsia="Arial" w:hAnsi="Calibri" w:cs="Calibri"/>
                <w:color w:val="262626" w:themeColor="text1" w:themeTint="D9"/>
                <w:sz w:val="24"/>
                <w:szCs w:val="24"/>
                <w:lang w:eastAsia="es-MX"/>
              </w:rPr>
              <w:t xml:space="preserve"> La Escuela Superior de Administración Pública (ESAP) diseñará, financiará y ejecutará de forma permanente y gratuita programas especiales de capacitación, diplomados y posgrados en alta gerencia y gestión pública, orientados exclusivamente a las personas acreditadas en el RUV.</w:t>
            </w:r>
          </w:p>
          <w:p w14:paraId="7F789025" w14:textId="11B6197C" w:rsidR="00A66790" w:rsidRPr="00A66790" w:rsidRDefault="00A66790" w:rsidP="0004034A">
            <w:pPr>
              <w:widowControl w:val="0"/>
              <w:spacing w:before="13" w:after="240" w:line="276" w:lineRule="auto"/>
              <w:jc w:val="both"/>
              <w:rPr>
                <w:rFonts w:ascii="Calibri" w:eastAsia="Arial" w:hAnsi="Calibri" w:cs="Calibri"/>
                <w:color w:val="262626" w:themeColor="text1" w:themeTint="D9"/>
                <w:spacing w:val="-4"/>
                <w:sz w:val="24"/>
                <w:szCs w:val="24"/>
                <w:lang w:eastAsia="es-MX"/>
              </w:rPr>
            </w:pPr>
            <w:r w:rsidRPr="00D9691E">
              <w:rPr>
                <w:rFonts w:ascii="Calibri" w:eastAsia="Arial" w:hAnsi="Calibri" w:cs="Calibri"/>
                <w:b/>
                <w:color w:val="262626" w:themeColor="text1" w:themeTint="D9"/>
                <w:sz w:val="24"/>
                <w:szCs w:val="24"/>
                <w:lang w:eastAsia="es-MX"/>
              </w:rPr>
              <w:t xml:space="preserve">Artículo </w:t>
            </w:r>
            <w:r w:rsidRPr="00D9691E">
              <w:rPr>
                <w:rFonts w:ascii="Calibri" w:eastAsia="Arial" w:hAnsi="Calibri" w:cs="Calibri"/>
                <w:b/>
                <w:bCs/>
                <w:color w:val="262626" w:themeColor="text1" w:themeTint="D9"/>
                <w:sz w:val="24"/>
                <w:szCs w:val="24"/>
                <w:lang w:eastAsia="es-MX"/>
              </w:rPr>
              <w:t>1</w:t>
            </w:r>
            <w:r>
              <w:rPr>
                <w:rFonts w:ascii="Calibri" w:eastAsia="Arial" w:hAnsi="Calibri" w:cs="Calibri"/>
                <w:b/>
                <w:bCs/>
                <w:color w:val="262626" w:themeColor="text1" w:themeTint="D9"/>
                <w:sz w:val="24"/>
                <w:szCs w:val="24"/>
                <w:lang w:eastAsia="es-MX"/>
              </w:rPr>
              <w:t>4</w:t>
            </w:r>
            <w:r w:rsidRPr="00D9691E">
              <w:rPr>
                <w:rFonts w:ascii="Calibri" w:eastAsia="Arial" w:hAnsi="Calibri" w:cs="Calibri"/>
                <w:color w:val="262626" w:themeColor="text1" w:themeTint="D9"/>
                <w:sz w:val="24"/>
                <w:szCs w:val="24"/>
                <w:lang w:eastAsia="es-MX"/>
              </w:rPr>
              <w:t xml:space="preserve">. </w:t>
            </w:r>
            <w:r w:rsidRPr="00D9691E">
              <w:rPr>
                <w:rFonts w:ascii="Calibri" w:eastAsia="Arial" w:hAnsi="Calibri" w:cs="Calibri"/>
                <w:b/>
                <w:color w:val="262626" w:themeColor="text1" w:themeTint="D9"/>
                <w:sz w:val="24"/>
                <w:szCs w:val="24"/>
                <w:lang w:eastAsia="es-MX"/>
              </w:rPr>
              <w:t>Vigilancia, control y régimen disciplinario</w:t>
            </w:r>
            <w:r w:rsidRPr="00D9691E">
              <w:rPr>
                <w:rFonts w:ascii="Calibri" w:eastAsia="Arial" w:hAnsi="Calibri" w:cs="Calibri"/>
                <w:color w:val="262626" w:themeColor="text1" w:themeTint="D9"/>
                <w:sz w:val="24"/>
                <w:szCs w:val="24"/>
                <w:lang w:eastAsia="es-MX"/>
              </w:rPr>
              <w:t xml:space="preserve">. La Procuraduría General de la Nación, será la entidad encargada de vigilar el estricto cumplimiento de las disposiciones aquí establecidas. El nominador que omita o incumpla de manera injustificada la provisión de vacantes </w:t>
            </w:r>
            <w:r w:rsidRPr="00D9691E">
              <w:rPr>
                <w:rFonts w:ascii="Calibri" w:eastAsia="Arial" w:hAnsi="Calibri" w:cs="Calibri"/>
                <w:color w:val="262626" w:themeColor="text1" w:themeTint="D9"/>
                <w:spacing w:val="-2"/>
                <w:sz w:val="24"/>
                <w:szCs w:val="24"/>
                <w:lang w:eastAsia="es-MX"/>
              </w:rPr>
              <w:t>respetando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las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cuotas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de</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participación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representativa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exigidas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por</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esta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2"/>
                <w:sz w:val="24"/>
                <w:szCs w:val="24"/>
                <w:lang w:eastAsia="es-MX"/>
              </w:rPr>
              <w:t xml:space="preserve">ley </w:t>
            </w:r>
            <w:r w:rsidRPr="00D9691E">
              <w:rPr>
                <w:rFonts w:ascii="Calibri" w:eastAsia="Arial" w:hAnsi="Calibri" w:cs="Calibri"/>
                <w:color w:val="262626" w:themeColor="text1" w:themeTint="D9"/>
                <w:spacing w:val="-4"/>
                <w:sz w:val="24"/>
                <w:szCs w:val="24"/>
                <w:lang w:eastAsia="es-MX"/>
              </w:rPr>
              <w:t>para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las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víctimas</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del</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conflicto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armado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interno,</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incurrirá</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en</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falta</w:t>
            </w:r>
            <w:r w:rsidRPr="00D9691E">
              <w:rPr>
                <w:rFonts w:ascii="Calibri" w:eastAsia="Arial" w:hAnsi="Calibri" w:cs="Calibri"/>
                <w:color w:val="262626" w:themeColor="text1" w:themeTint="D9"/>
                <w:spacing w:val="-12"/>
                <w:sz w:val="24"/>
                <w:szCs w:val="24"/>
                <w:lang w:eastAsia="es-MX"/>
              </w:rPr>
              <w:t xml:space="preserve"> </w:t>
            </w:r>
            <w:r w:rsidRPr="00D9691E">
              <w:rPr>
                <w:rFonts w:ascii="Calibri" w:eastAsia="Arial" w:hAnsi="Calibri" w:cs="Calibri"/>
                <w:color w:val="262626" w:themeColor="text1" w:themeTint="D9"/>
                <w:spacing w:val="-4"/>
                <w:sz w:val="24"/>
                <w:szCs w:val="24"/>
                <w:lang w:eastAsia="es-MX"/>
              </w:rPr>
              <w:t>disciplinaria</w:t>
            </w:r>
            <w:r>
              <w:rPr>
                <w:rFonts w:ascii="Calibri" w:eastAsia="Arial" w:hAnsi="Calibri" w:cs="Calibri"/>
                <w:color w:val="262626" w:themeColor="text1" w:themeTint="D9"/>
                <w:spacing w:val="-4"/>
                <w:sz w:val="24"/>
                <w:szCs w:val="24"/>
                <w:lang w:eastAsia="es-MX"/>
              </w:rPr>
              <w:t>, cuya gravedad se determinará conforme a los criterios del artículo 47 de la ley 1952 del 2019.</w:t>
            </w:r>
          </w:p>
        </w:tc>
      </w:tr>
      <w:tr w:rsidR="00D9691E" w:rsidRPr="00D9691E" w14:paraId="302BC6F2" w14:textId="77777777" w:rsidTr="00E60508">
        <w:tc>
          <w:tcPr>
            <w:tcW w:w="8926" w:type="dxa"/>
          </w:tcPr>
          <w:p w14:paraId="52D0D297" w14:textId="7CFD3E6A" w:rsidR="00D9691E" w:rsidRPr="00D9691E" w:rsidRDefault="00D9691E" w:rsidP="00D9691E">
            <w:pPr>
              <w:widowControl w:val="0"/>
              <w:spacing w:before="1" w:after="240" w:line="276" w:lineRule="auto"/>
              <w:jc w:val="both"/>
              <w:rPr>
                <w:rFonts w:ascii="Calibri" w:eastAsia="Arial" w:hAnsi="Calibri" w:cs="Calibri"/>
                <w:b/>
                <w:color w:val="262626" w:themeColor="text1" w:themeTint="D9"/>
                <w:sz w:val="24"/>
                <w:szCs w:val="24"/>
                <w:lang w:val="es-ES_tradnl" w:eastAsia="es-CO"/>
              </w:rPr>
            </w:pPr>
            <w:r w:rsidRPr="00D9691E">
              <w:rPr>
                <w:rFonts w:ascii="Calibri" w:eastAsia="Arial" w:hAnsi="Calibri" w:cs="Calibri"/>
                <w:b/>
                <w:color w:val="262626" w:themeColor="text1" w:themeTint="D9"/>
                <w:sz w:val="24"/>
                <w:szCs w:val="24"/>
                <w:lang w:eastAsia="es-MX"/>
              </w:rPr>
              <w:lastRenderedPageBreak/>
              <w:t>Artículo 1</w:t>
            </w:r>
            <w:r w:rsidR="007A26F4">
              <w:rPr>
                <w:rFonts w:ascii="Calibri" w:eastAsia="Arial" w:hAnsi="Calibri" w:cs="Calibri"/>
                <w:b/>
                <w:color w:val="262626" w:themeColor="text1" w:themeTint="D9"/>
                <w:sz w:val="24"/>
                <w:szCs w:val="24"/>
                <w:lang w:eastAsia="es-MX"/>
              </w:rPr>
              <w:t>5</w:t>
            </w:r>
            <w:r w:rsidRPr="00D9691E">
              <w:rPr>
                <w:rFonts w:ascii="Calibri" w:eastAsia="Arial" w:hAnsi="Calibri" w:cs="Calibri"/>
                <w:b/>
                <w:color w:val="262626" w:themeColor="text1" w:themeTint="D9"/>
                <w:sz w:val="24"/>
                <w:szCs w:val="24"/>
                <w:lang w:eastAsia="es-MX"/>
              </w:rPr>
              <w:t>. Rendición de cuentas</w:t>
            </w:r>
            <w:r w:rsidRPr="00D9691E">
              <w:rPr>
                <w:rFonts w:ascii="Calibri" w:eastAsia="Arial" w:hAnsi="Calibri" w:cs="Calibri"/>
                <w:color w:val="262626" w:themeColor="text1" w:themeTint="D9"/>
                <w:sz w:val="24"/>
                <w:szCs w:val="24"/>
                <w:lang w:eastAsia="es-MX"/>
              </w:rPr>
              <w:t>. El Departamento Administrativo de la Función Pública presentará un informe anual a las Comisiones Primeras Constitucionales del Congreso de la República, detallando el nivel de cumplimiento de las cuotas de empleabilidad y participación en el sector público</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de</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las</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víctimas</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del</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conflicto</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armado</w:t>
            </w:r>
            <w:r w:rsidRPr="00D9691E">
              <w:rPr>
                <w:rFonts w:ascii="Calibri" w:eastAsia="Arial" w:hAnsi="Calibri" w:cs="Calibri"/>
                <w:color w:val="262626" w:themeColor="text1" w:themeTint="D9"/>
                <w:spacing w:val="-1"/>
                <w:sz w:val="24"/>
                <w:szCs w:val="24"/>
                <w:lang w:eastAsia="es-MX"/>
              </w:rPr>
              <w:t xml:space="preserve"> </w:t>
            </w:r>
            <w:r w:rsidRPr="00D9691E">
              <w:rPr>
                <w:rFonts w:ascii="Calibri" w:eastAsia="Arial" w:hAnsi="Calibri" w:cs="Calibri"/>
                <w:color w:val="262626" w:themeColor="text1" w:themeTint="D9"/>
                <w:sz w:val="24"/>
                <w:szCs w:val="24"/>
                <w:lang w:eastAsia="es-MX"/>
              </w:rPr>
              <w:t>interno y recomendaciones para mejorar la aplicación y efectividad de la Ley en todos los niveles del Estado.</w:t>
            </w:r>
          </w:p>
        </w:tc>
      </w:tr>
      <w:tr w:rsidR="00D9691E" w:rsidRPr="00D9691E" w14:paraId="1F77CF5B" w14:textId="77777777" w:rsidTr="00E60508">
        <w:tc>
          <w:tcPr>
            <w:tcW w:w="8926" w:type="dxa"/>
          </w:tcPr>
          <w:p w14:paraId="1A7BEE75" w14:textId="19E4DED5" w:rsidR="00D9691E" w:rsidRPr="00D9691E" w:rsidRDefault="00D9691E" w:rsidP="00D9691E">
            <w:pPr>
              <w:spacing w:after="240" w:line="276" w:lineRule="auto"/>
              <w:jc w:val="both"/>
              <w:rPr>
                <w:rFonts w:ascii="Calibri" w:eastAsia="Times New Roman" w:hAnsi="Calibri" w:cs="Calibri"/>
                <w:b/>
                <w:color w:val="262626" w:themeColor="text1" w:themeTint="D9"/>
                <w:sz w:val="24"/>
                <w:szCs w:val="24"/>
                <w:lang w:val="es-ES_tradnl" w:eastAsia="es-CO"/>
              </w:rPr>
            </w:pPr>
            <w:r w:rsidRPr="00D9691E">
              <w:rPr>
                <w:rFonts w:ascii="Calibri" w:eastAsia="Times New Roman" w:hAnsi="Calibri" w:cs="Calibri"/>
                <w:b/>
                <w:color w:val="262626" w:themeColor="text1" w:themeTint="D9"/>
                <w:sz w:val="24"/>
                <w:szCs w:val="24"/>
                <w:lang w:eastAsia="es-MX"/>
              </w:rPr>
              <w:t>Artículo</w:t>
            </w:r>
            <w:r w:rsidRPr="00D9691E">
              <w:rPr>
                <w:rFonts w:ascii="Calibri" w:eastAsia="Times New Roman" w:hAnsi="Calibri" w:cs="Calibri"/>
                <w:b/>
                <w:color w:val="262626" w:themeColor="text1" w:themeTint="D9"/>
                <w:spacing w:val="23"/>
                <w:sz w:val="24"/>
                <w:szCs w:val="24"/>
                <w:lang w:eastAsia="es-MX"/>
              </w:rPr>
              <w:t xml:space="preserve"> </w:t>
            </w:r>
            <w:r w:rsidRPr="00D9691E">
              <w:rPr>
                <w:rFonts w:ascii="Calibri" w:eastAsia="Times New Roman" w:hAnsi="Calibri" w:cs="Calibri"/>
                <w:b/>
                <w:color w:val="262626" w:themeColor="text1" w:themeTint="D9"/>
                <w:sz w:val="24"/>
                <w:szCs w:val="24"/>
                <w:lang w:eastAsia="es-MX"/>
              </w:rPr>
              <w:t>1</w:t>
            </w:r>
            <w:r w:rsidR="007A26F4">
              <w:rPr>
                <w:rFonts w:ascii="Calibri" w:eastAsia="Times New Roman" w:hAnsi="Calibri" w:cs="Calibri"/>
                <w:b/>
                <w:color w:val="262626" w:themeColor="text1" w:themeTint="D9"/>
                <w:sz w:val="24"/>
                <w:szCs w:val="24"/>
                <w:lang w:eastAsia="es-MX"/>
              </w:rPr>
              <w:t>6</w:t>
            </w:r>
            <w:r w:rsidRPr="00D9691E">
              <w:rPr>
                <w:rFonts w:ascii="Calibri" w:eastAsia="Times New Roman" w:hAnsi="Calibri" w:cs="Calibri"/>
                <w:b/>
                <w:color w:val="262626" w:themeColor="text1" w:themeTint="D9"/>
                <w:sz w:val="24"/>
                <w:szCs w:val="24"/>
                <w:lang w:eastAsia="es-MX"/>
              </w:rPr>
              <w:t>.</w:t>
            </w:r>
            <w:r w:rsidRPr="00D9691E">
              <w:rPr>
                <w:rFonts w:ascii="Calibri" w:eastAsia="Times New Roman" w:hAnsi="Calibri" w:cs="Calibri"/>
                <w:b/>
                <w:color w:val="262626" w:themeColor="text1" w:themeTint="D9"/>
                <w:spacing w:val="23"/>
                <w:sz w:val="24"/>
                <w:szCs w:val="24"/>
                <w:lang w:eastAsia="es-MX"/>
              </w:rPr>
              <w:t xml:space="preserve"> </w:t>
            </w:r>
            <w:r w:rsidRPr="00D9691E">
              <w:rPr>
                <w:rFonts w:ascii="Calibri" w:eastAsia="Times New Roman" w:hAnsi="Calibri" w:cs="Calibri"/>
                <w:b/>
                <w:color w:val="262626" w:themeColor="text1" w:themeTint="D9"/>
                <w:sz w:val="24"/>
                <w:szCs w:val="24"/>
                <w:lang w:eastAsia="es-MX"/>
              </w:rPr>
              <w:t>Vigencia</w:t>
            </w:r>
            <w:r w:rsidRPr="00D9691E">
              <w:rPr>
                <w:rFonts w:ascii="Calibri" w:eastAsia="Times New Roman" w:hAnsi="Calibri" w:cs="Calibri"/>
                <w:b/>
                <w:color w:val="262626" w:themeColor="text1" w:themeTint="D9"/>
                <w:spacing w:val="23"/>
                <w:sz w:val="24"/>
                <w:szCs w:val="24"/>
                <w:lang w:eastAsia="es-MX"/>
              </w:rPr>
              <w:t xml:space="preserve"> </w:t>
            </w:r>
            <w:r w:rsidRPr="00D9691E">
              <w:rPr>
                <w:rFonts w:ascii="Calibri" w:eastAsia="Times New Roman" w:hAnsi="Calibri" w:cs="Calibri"/>
                <w:b/>
                <w:color w:val="262626" w:themeColor="text1" w:themeTint="D9"/>
                <w:sz w:val="24"/>
                <w:szCs w:val="24"/>
                <w:lang w:eastAsia="es-MX"/>
              </w:rPr>
              <w:t>y</w:t>
            </w:r>
            <w:r w:rsidRPr="00D9691E">
              <w:rPr>
                <w:rFonts w:ascii="Calibri" w:eastAsia="Times New Roman" w:hAnsi="Calibri" w:cs="Calibri"/>
                <w:b/>
                <w:color w:val="262626" w:themeColor="text1" w:themeTint="D9"/>
                <w:spacing w:val="23"/>
                <w:sz w:val="24"/>
                <w:szCs w:val="24"/>
                <w:lang w:eastAsia="es-MX"/>
              </w:rPr>
              <w:t xml:space="preserve"> </w:t>
            </w:r>
            <w:r w:rsidRPr="00D9691E">
              <w:rPr>
                <w:rFonts w:ascii="Calibri" w:eastAsia="Times New Roman" w:hAnsi="Calibri" w:cs="Calibri"/>
                <w:b/>
                <w:color w:val="262626" w:themeColor="text1" w:themeTint="D9"/>
                <w:sz w:val="24"/>
                <w:szCs w:val="24"/>
                <w:lang w:eastAsia="es-MX"/>
              </w:rPr>
              <w:t>derogatorias</w:t>
            </w:r>
            <w:r w:rsidRPr="00D9691E">
              <w:rPr>
                <w:rFonts w:ascii="Calibri" w:eastAsia="Times New Roman" w:hAnsi="Calibri" w:cs="Calibri"/>
                <w:color w:val="262626" w:themeColor="text1" w:themeTint="D9"/>
                <w:sz w:val="24"/>
                <w:szCs w:val="24"/>
                <w:lang w:eastAsia="es-MX"/>
              </w:rPr>
              <w:t>. La presente Ley rige a partir de su promulgación</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y</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deroga</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todas</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las</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disposiciones</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que</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le</w:t>
            </w:r>
            <w:r w:rsidRPr="00D9691E">
              <w:rPr>
                <w:rFonts w:ascii="Calibri" w:eastAsia="Times New Roman" w:hAnsi="Calibri" w:cs="Calibri"/>
                <w:color w:val="262626" w:themeColor="text1" w:themeTint="D9"/>
                <w:spacing w:val="-12"/>
                <w:sz w:val="24"/>
                <w:szCs w:val="24"/>
                <w:lang w:eastAsia="es-MX"/>
              </w:rPr>
              <w:t xml:space="preserve"> </w:t>
            </w:r>
            <w:r w:rsidRPr="00D9691E">
              <w:rPr>
                <w:rFonts w:ascii="Calibri" w:eastAsia="Times New Roman" w:hAnsi="Calibri" w:cs="Calibri"/>
                <w:color w:val="262626" w:themeColor="text1" w:themeTint="D9"/>
                <w:sz w:val="24"/>
                <w:szCs w:val="24"/>
                <w:lang w:eastAsia="es-MX"/>
              </w:rPr>
              <w:t>sean</w:t>
            </w:r>
            <w:r w:rsidRPr="00D9691E">
              <w:rPr>
                <w:rFonts w:ascii="Calibri" w:eastAsia="Times New Roman" w:hAnsi="Calibri" w:cs="Calibri"/>
                <w:color w:val="262626" w:themeColor="text1" w:themeTint="D9"/>
                <w:spacing w:val="-14"/>
                <w:sz w:val="24"/>
                <w:szCs w:val="24"/>
                <w:lang w:eastAsia="es-MX"/>
              </w:rPr>
              <w:t xml:space="preserve"> </w:t>
            </w:r>
            <w:r w:rsidRPr="00D9691E">
              <w:rPr>
                <w:rFonts w:ascii="Calibri" w:eastAsia="Times New Roman" w:hAnsi="Calibri" w:cs="Calibri"/>
                <w:color w:val="262626" w:themeColor="text1" w:themeTint="D9"/>
                <w:sz w:val="24"/>
                <w:szCs w:val="24"/>
                <w:lang w:eastAsia="es-MX"/>
              </w:rPr>
              <w:t>contrarias.</w:t>
            </w:r>
          </w:p>
        </w:tc>
      </w:tr>
    </w:tbl>
    <w:p w14:paraId="2C4298C4" w14:textId="55E2841C" w:rsidR="007A26F4" w:rsidRDefault="007A26F4"/>
    <w:p w14:paraId="1EAA80E2" w14:textId="535DC606" w:rsidR="006A660B" w:rsidRDefault="006A660B" w:rsidP="00A66790">
      <w:pPr>
        <w:spacing w:after="0" w:line="240" w:lineRule="auto"/>
        <w:jc w:val="both"/>
        <w:rPr>
          <w:rFonts w:ascii="Arial" w:eastAsia="Times New Roman" w:hAnsi="Arial" w:cs="Times New Roman"/>
          <w:iCs/>
          <w:sz w:val="21"/>
          <w:szCs w:val="24"/>
          <w:lang w:eastAsia="es-CO"/>
        </w:rPr>
      </w:pPr>
      <w:r>
        <w:rPr>
          <w:rFonts w:ascii="Arial" w:eastAsia="Times New Roman" w:hAnsi="Arial" w:cs="Times New Roman"/>
          <w:bCs/>
          <w:sz w:val="21"/>
          <w:szCs w:val="24"/>
          <w:lang w:eastAsia="es-CO"/>
        </w:rPr>
        <w:t xml:space="preserve">En los anteriores términos fue aprobado con modificaciones el Proyecto de Ley </w:t>
      </w:r>
      <w:r w:rsidR="00A66790">
        <w:rPr>
          <w:rFonts w:ascii="Arial" w:eastAsia="Times New Roman" w:hAnsi="Arial" w:cs="Times New Roman"/>
          <w:bCs/>
          <w:sz w:val="21"/>
          <w:szCs w:val="24"/>
          <w:lang w:eastAsia="es-CO"/>
        </w:rPr>
        <w:t xml:space="preserve">Estatutaria No. </w:t>
      </w:r>
      <w:r w:rsidR="00A66790" w:rsidRPr="00A66790">
        <w:rPr>
          <w:rFonts w:ascii="Arial" w:eastAsia="Times New Roman" w:hAnsi="Arial" w:cs="Times New Roman"/>
          <w:b/>
          <w:sz w:val="21"/>
          <w:szCs w:val="24"/>
          <w:lang w:eastAsia="es-CO"/>
        </w:rPr>
        <w:t>037 DE 2026 CÁMARA</w:t>
      </w:r>
      <w:r w:rsidR="00A66790" w:rsidRPr="00A66790">
        <w:rPr>
          <w:rFonts w:ascii="Arial" w:eastAsia="Times New Roman" w:hAnsi="Arial" w:cs="Times New Roman"/>
          <w:b/>
          <w:sz w:val="21"/>
          <w:szCs w:val="24"/>
          <w:lang w:eastAsia="es-CO"/>
        </w:rPr>
        <w:t xml:space="preserve"> </w:t>
      </w:r>
      <w:r w:rsidR="00A66790" w:rsidRPr="00A66790">
        <w:rPr>
          <w:rFonts w:ascii="Arial" w:eastAsia="Times New Roman" w:hAnsi="Arial" w:cs="Times New Roman"/>
          <w:b/>
          <w:sz w:val="21"/>
          <w:szCs w:val="24"/>
          <w:lang w:eastAsia="es-CO"/>
        </w:rPr>
        <w:t>“POR MEDIO DEL CUAL SE ADOPTAN MEDIDAS DE ACCIÓN AFIRMATIVA PARA GARANTIZAR LA PARTICIPACIÓN REPRESENTATIVA DE LAS VÍCTIMAS DEL CONFLICTO ARMADO INTERNO EN LAS DIFERENTES RAMAS Y ÓRGANOS DEL PODER PÚBLICO Y SE DICTAN OTRAS DISPOSICIONES”</w:t>
      </w:r>
      <w:r>
        <w:rPr>
          <w:rFonts w:ascii="Arial" w:eastAsia="Times New Roman" w:hAnsi="Arial" w:cs="Times New Roman"/>
          <w:iCs/>
          <w:sz w:val="21"/>
          <w:szCs w:val="24"/>
          <w:lang w:eastAsia="es-CO"/>
        </w:rPr>
        <w:t xml:space="preserve"> según consta en las Actas No. </w:t>
      </w:r>
      <w:r w:rsidR="00A66790">
        <w:rPr>
          <w:rFonts w:ascii="Arial" w:eastAsia="Times New Roman" w:hAnsi="Arial" w:cs="Times New Roman"/>
          <w:iCs/>
          <w:sz w:val="21"/>
          <w:szCs w:val="24"/>
          <w:lang w:eastAsia="es-CO"/>
        </w:rPr>
        <w:t xml:space="preserve">10 </w:t>
      </w:r>
      <w:r>
        <w:rPr>
          <w:rFonts w:ascii="Arial" w:eastAsia="Times New Roman" w:hAnsi="Arial" w:cs="Times New Roman"/>
          <w:iCs/>
          <w:sz w:val="21"/>
          <w:szCs w:val="24"/>
          <w:lang w:eastAsia="es-CO"/>
        </w:rPr>
        <w:t xml:space="preserve">de </w:t>
      </w:r>
      <w:proofErr w:type="gramStart"/>
      <w:r>
        <w:rPr>
          <w:rFonts w:ascii="Arial" w:eastAsia="Times New Roman" w:hAnsi="Arial" w:cs="Times New Roman"/>
          <w:iCs/>
          <w:sz w:val="21"/>
          <w:szCs w:val="24"/>
          <w:lang w:eastAsia="es-CO"/>
        </w:rPr>
        <w:t>Septiembre</w:t>
      </w:r>
      <w:proofErr w:type="gramEnd"/>
      <w:r>
        <w:rPr>
          <w:rFonts w:ascii="Arial" w:eastAsia="Times New Roman" w:hAnsi="Arial" w:cs="Times New Roman"/>
          <w:iCs/>
          <w:sz w:val="21"/>
          <w:szCs w:val="24"/>
          <w:lang w:eastAsia="es-CO"/>
        </w:rPr>
        <w:t xml:space="preserve"> </w:t>
      </w:r>
      <w:r w:rsidR="00A66790">
        <w:rPr>
          <w:rFonts w:ascii="Arial" w:eastAsia="Times New Roman" w:hAnsi="Arial" w:cs="Times New Roman"/>
          <w:iCs/>
          <w:sz w:val="21"/>
          <w:szCs w:val="24"/>
          <w:lang w:eastAsia="es-CO"/>
        </w:rPr>
        <w:t>2</w:t>
      </w:r>
      <w:r>
        <w:rPr>
          <w:rFonts w:ascii="Arial" w:eastAsia="Times New Roman" w:hAnsi="Arial" w:cs="Times New Roman"/>
          <w:iCs/>
          <w:sz w:val="21"/>
          <w:szCs w:val="24"/>
          <w:lang w:eastAsia="es-CO"/>
        </w:rPr>
        <w:t xml:space="preserve">2 del 2026 y Acta No, </w:t>
      </w:r>
      <w:r w:rsidR="00A66790">
        <w:rPr>
          <w:rFonts w:ascii="Arial" w:eastAsia="Times New Roman" w:hAnsi="Arial" w:cs="Times New Roman"/>
          <w:iCs/>
          <w:sz w:val="21"/>
          <w:szCs w:val="24"/>
          <w:lang w:eastAsia="es-CO"/>
        </w:rPr>
        <w:t>11</w:t>
      </w:r>
      <w:r>
        <w:rPr>
          <w:rFonts w:ascii="Arial" w:eastAsia="Times New Roman" w:hAnsi="Arial" w:cs="Times New Roman"/>
          <w:iCs/>
          <w:sz w:val="21"/>
          <w:szCs w:val="24"/>
          <w:lang w:eastAsia="es-CO"/>
        </w:rPr>
        <w:t xml:space="preserve"> de</w:t>
      </w:r>
      <w:r w:rsidR="00A66790">
        <w:rPr>
          <w:rFonts w:ascii="Arial" w:eastAsia="Times New Roman" w:hAnsi="Arial" w:cs="Times New Roman"/>
          <w:iCs/>
          <w:sz w:val="21"/>
          <w:szCs w:val="24"/>
          <w:lang w:eastAsia="es-CO"/>
        </w:rPr>
        <w:t xml:space="preserve"> </w:t>
      </w:r>
      <w:r>
        <w:rPr>
          <w:rFonts w:ascii="Arial" w:eastAsia="Times New Roman" w:hAnsi="Arial" w:cs="Times New Roman"/>
          <w:iCs/>
          <w:sz w:val="21"/>
          <w:szCs w:val="24"/>
          <w:lang w:eastAsia="es-CO"/>
        </w:rPr>
        <w:t>Septiembre</w:t>
      </w:r>
      <w:r w:rsidR="00A66790">
        <w:rPr>
          <w:rFonts w:ascii="Arial" w:eastAsia="Times New Roman" w:hAnsi="Arial" w:cs="Times New Roman"/>
          <w:iCs/>
          <w:sz w:val="21"/>
          <w:szCs w:val="24"/>
          <w:lang w:eastAsia="es-CO"/>
        </w:rPr>
        <w:t xml:space="preserve"> 23 </w:t>
      </w:r>
      <w:r>
        <w:rPr>
          <w:rFonts w:ascii="Arial" w:eastAsia="Times New Roman" w:hAnsi="Arial" w:cs="Times New Roman"/>
          <w:iCs/>
          <w:sz w:val="21"/>
          <w:szCs w:val="24"/>
          <w:lang w:eastAsia="es-CO"/>
        </w:rPr>
        <w:t>de 2026.</w:t>
      </w:r>
    </w:p>
    <w:p w14:paraId="0E1F2EF4" w14:textId="45FD3B27" w:rsidR="006A660B" w:rsidRPr="00551776" w:rsidRDefault="006A660B" w:rsidP="006A660B">
      <w:pPr>
        <w:spacing w:after="80" w:line="276" w:lineRule="auto"/>
        <w:jc w:val="both"/>
        <w:rPr>
          <w:rFonts w:ascii="Arial" w:eastAsia="Times New Roman" w:hAnsi="Arial" w:cs="Times New Roman"/>
          <w:iCs/>
          <w:sz w:val="21"/>
          <w:szCs w:val="24"/>
          <w:lang w:eastAsia="es-CO"/>
        </w:rPr>
      </w:pPr>
      <w:r>
        <w:rPr>
          <w:rFonts w:ascii="Arial" w:eastAsia="Times New Roman" w:hAnsi="Arial" w:cs="Times New Roman"/>
          <w:iCs/>
          <w:sz w:val="21"/>
          <w:szCs w:val="24"/>
          <w:lang w:eastAsia="es-CO"/>
        </w:rPr>
        <w:lastRenderedPageBreak/>
        <w:t xml:space="preserve">Así mismo, el Proyecto fue anunciado en la sesión de </w:t>
      </w:r>
      <w:proofErr w:type="gramStart"/>
      <w:r>
        <w:rPr>
          <w:rFonts w:ascii="Arial" w:eastAsia="Times New Roman" w:hAnsi="Arial" w:cs="Times New Roman"/>
          <w:iCs/>
          <w:sz w:val="21"/>
          <w:szCs w:val="24"/>
          <w:lang w:eastAsia="es-CO"/>
        </w:rPr>
        <w:t>Septiembre</w:t>
      </w:r>
      <w:proofErr w:type="gramEnd"/>
      <w:r>
        <w:rPr>
          <w:rFonts w:ascii="Arial" w:eastAsia="Times New Roman" w:hAnsi="Arial" w:cs="Times New Roman"/>
          <w:iCs/>
          <w:sz w:val="21"/>
          <w:szCs w:val="24"/>
          <w:lang w:eastAsia="es-CO"/>
        </w:rPr>
        <w:t xml:space="preserve"> 1</w:t>
      </w:r>
      <w:r w:rsidR="00A66790">
        <w:rPr>
          <w:rFonts w:ascii="Arial" w:eastAsia="Times New Roman" w:hAnsi="Arial" w:cs="Times New Roman"/>
          <w:iCs/>
          <w:sz w:val="21"/>
          <w:szCs w:val="24"/>
          <w:lang w:eastAsia="es-CO"/>
        </w:rPr>
        <w:t>6</w:t>
      </w:r>
      <w:r>
        <w:rPr>
          <w:rFonts w:ascii="Arial" w:eastAsia="Times New Roman" w:hAnsi="Arial" w:cs="Times New Roman"/>
          <w:iCs/>
          <w:sz w:val="21"/>
          <w:szCs w:val="24"/>
          <w:lang w:eastAsia="es-CO"/>
        </w:rPr>
        <w:t xml:space="preserve"> del 2026, según consta en el Acta No 0</w:t>
      </w:r>
      <w:r w:rsidR="00A66790">
        <w:rPr>
          <w:rFonts w:ascii="Arial" w:eastAsia="Times New Roman" w:hAnsi="Arial" w:cs="Times New Roman"/>
          <w:iCs/>
          <w:sz w:val="21"/>
          <w:szCs w:val="24"/>
          <w:lang w:eastAsia="es-CO"/>
        </w:rPr>
        <w:t>9</w:t>
      </w:r>
      <w:r>
        <w:rPr>
          <w:rFonts w:ascii="Arial" w:eastAsia="Times New Roman" w:hAnsi="Arial" w:cs="Times New Roman"/>
          <w:iCs/>
          <w:sz w:val="21"/>
          <w:szCs w:val="24"/>
          <w:lang w:eastAsia="es-CO"/>
        </w:rPr>
        <w:t xml:space="preserve"> de la misma fecha.</w:t>
      </w:r>
    </w:p>
    <w:p w14:paraId="6DF30242" w14:textId="1ED333AB" w:rsidR="006A660B" w:rsidRDefault="006A660B"/>
    <w:p w14:paraId="2771DB33" w14:textId="77777777" w:rsidR="00A66790" w:rsidRPr="00A66790" w:rsidRDefault="00A66790" w:rsidP="00A66790">
      <w:pPr>
        <w:spacing w:after="80" w:line="276" w:lineRule="auto"/>
        <w:jc w:val="both"/>
        <w:rPr>
          <w:rFonts w:ascii="Arial" w:eastAsia="Times New Roman" w:hAnsi="Arial" w:cs="Times New Roman"/>
          <w:b/>
          <w:bCs/>
          <w:iCs/>
          <w:sz w:val="21"/>
          <w:szCs w:val="24"/>
          <w:lang w:eastAsia="es-CO"/>
        </w:rPr>
      </w:pPr>
    </w:p>
    <w:p w14:paraId="786E152E" w14:textId="55F2F038" w:rsidR="007A26F4" w:rsidRPr="00A66790" w:rsidRDefault="007A26F4" w:rsidP="00A66790">
      <w:pPr>
        <w:spacing w:after="80" w:line="276" w:lineRule="auto"/>
        <w:jc w:val="both"/>
        <w:rPr>
          <w:rFonts w:ascii="Arial" w:eastAsia="Times New Roman" w:hAnsi="Arial" w:cs="Times New Roman"/>
          <w:b/>
          <w:bCs/>
          <w:iCs/>
          <w:sz w:val="21"/>
          <w:szCs w:val="24"/>
          <w:lang w:eastAsia="es-CO"/>
        </w:rPr>
      </w:pPr>
      <w:r w:rsidRPr="00A66790">
        <w:rPr>
          <w:rFonts w:ascii="Arial" w:eastAsia="Times New Roman" w:hAnsi="Arial" w:cs="Times New Roman"/>
          <w:b/>
          <w:bCs/>
          <w:iCs/>
          <w:sz w:val="21"/>
          <w:szCs w:val="24"/>
          <w:lang w:eastAsia="es-CO"/>
        </w:rPr>
        <w:t xml:space="preserve">NIXON PERDOMO JURAGARO                                </w:t>
      </w:r>
      <w:r w:rsidR="00A66790" w:rsidRPr="00A66790">
        <w:rPr>
          <w:rFonts w:ascii="Arial" w:eastAsia="Times New Roman" w:hAnsi="Arial" w:cs="Times New Roman"/>
          <w:b/>
          <w:bCs/>
          <w:iCs/>
          <w:sz w:val="21"/>
          <w:szCs w:val="24"/>
          <w:lang w:eastAsia="es-CO"/>
        </w:rPr>
        <w:tab/>
      </w:r>
      <w:r w:rsidRPr="00A66790">
        <w:rPr>
          <w:rFonts w:ascii="Arial" w:eastAsia="Times New Roman" w:hAnsi="Arial" w:cs="Times New Roman"/>
          <w:b/>
          <w:bCs/>
          <w:iCs/>
          <w:sz w:val="21"/>
          <w:szCs w:val="24"/>
          <w:lang w:eastAsia="es-CO"/>
        </w:rPr>
        <w:t xml:space="preserve">   JOSE JAIME USCÁTEGUI</w:t>
      </w:r>
    </w:p>
    <w:p w14:paraId="0B773D0F" w14:textId="6071868E" w:rsidR="007A26F4" w:rsidRPr="00A66790" w:rsidRDefault="007A26F4" w:rsidP="00A66790">
      <w:pPr>
        <w:spacing w:after="80" w:line="276" w:lineRule="auto"/>
        <w:jc w:val="both"/>
        <w:rPr>
          <w:rFonts w:ascii="Arial" w:eastAsia="Times New Roman" w:hAnsi="Arial" w:cs="Times New Roman"/>
          <w:b/>
          <w:bCs/>
          <w:iCs/>
          <w:sz w:val="21"/>
          <w:szCs w:val="24"/>
          <w:lang w:eastAsia="es-CO"/>
        </w:rPr>
      </w:pPr>
      <w:r w:rsidRPr="00A66790">
        <w:rPr>
          <w:rFonts w:ascii="Arial" w:eastAsia="Times New Roman" w:hAnsi="Arial" w:cs="Times New Roman"/>
          <w:b/>
          <w:bCs/>
          <w:iCs/>
          <w:sz w:val="21"/>
          <w:szCs w:val="24"/>
          <w:lang w:eastAsia="es-CO"/>
        </w:rPr>
        <w:t>Ponente</w:t>
      </w:r>
      <w:r w:rsidRPr="00A66790">
        <w:rPr>
          <w:rFonts w:ascii="Arial" w:eastAsia="Times New Roman" w:hAnsi="Arial" w:cs="Times New Roman"/>
          <w:b/>
          <w:bCs/>
          <w:iCs/>
          <w:sz w:val="21"/>
          <w:szCs w:val="24"/>
          <w:lang w:eastAsia="es-CO"/>
        </w:rPr>
        <w:tab/>
      </w:r>
      <w:r w:rsidRPr="00A66790">
        <w:rPr>
          <w:rFonts w:ascii="Arial" w:eastAsia="Times New Roman" w:hAnsi="Arial" w:cs="Times New Roman"/>
          <w:b/>
          <w:bCs/>
          <w:iCs/>
          <w:sz w:val="21"/>
          <w:szCs w:val="24"/>
          <w:lang w:eastAsia="es-CO"/>
        </w:rPr>
        <w:tab/>
      </w:r>
      <w:r w:rsidRPr="00A66790">
        <w:rPr>
          <w:rFonts w:ascii="Arial" w:eastAsia="Times New Roman" w:hAnsi="Arial" w:cs="Times New Roman"/>
          <w:b/>
          <w:bCs/>
          <w:iCs/>
          <w:sz w:val="21"/>
          <w:szCs w:val="24"/>
          <w:lang w:eastAsia="es-CO"/>
        </w:rPr>
        <w:tab/>
      </w:r>
      <w:r w:rsidRPr="00A66790">
        <w:rPr>
          <w:rFonts w:ascii="Arial" w:eastAsia="Times New Roman" w:hAnsi="Arial" w:cs="Times New Roman"/>
          <w:b/>
          <w:bCs/>
          <w:iCs/>
          <w:sz w:val="21"/>
          <w:szCs w:val="24"/>
          <w:lang w:eastAsia="es-CO"/>
        </w:rPr>
        <w:tab/>
      </w:r>
      <w:r w:rsidRPr="00A66790">
        <w:rPr>
          <w:rFonts w:ascii="Arial" w:eastAsia="Times New Roman" w:hAnsi="Arial" w:cs="Times New Roman"/>
          <w:b/>
          <w:bCs/>
          <w:iCs/>
          <w:sz w:val="21"/>
          <w:szCs w:val="24"/>
          <w:lang w:eastAsia="es-CO"/>
        </w:rPr>
        <w:tab/>
        <w:t xml:space="preserve">          </w:t>
      </w:r>
      <w:r w:rsidR="00A66790" w:rsidRPr="00A66790">
        <w:rPr>
          <w:rFonts w:ascii="Arial" w:eastAsia="Times New Roman" w:hAnsi="Arial" w:cs="Times New Roman"/>
          <w:b/>
          <w:bCs/>
          <w:iCs/>
          <w:sz w:val="21"/>
          <w:szCs w:val="24"/>
          <w:lang w:eastAsia="es-CO"/>
        </w:rPr>
        <w:tab/>
      </w:r>
      <w:r w:rsidR="00A66790">
        <w:rPr>
          <w:rFonts w:ascii="Arial" w:eastAsia="Times New Roman" w:hAnsi="Arial" w:cs="Times New Roman"/>
          <w:b/>
          <w:bCs/>
          <w:iCs/>
          <w:sz w:val="21"/>
          <w:szCs w:val="24"/>
          <w:lang w:eastAsia="es-CO"/>
        </w:rPr>
        <w:t xml:space="preserve">   </w:t>
      </w:r>
      <w:r w:rsidRPr="00A66790">
        <w:rPr>
          <w:rFonts w:ascii="Arial" w:eastAsia="Times New Roman" w:hAnsi="Arial" w:cs="Times New Roman"/>
          <w:b/>
          <w:bCs/>
          <w:iCs/>
          <w:sz w:val="21"/>
          <w:szCs w:val="24"/>
          <w:lang w:eastAsia="es-CO"/>
        </w:rPr>
        <w:t xml:space="preserve"> </w:t>
      </w:r>
      <w:proofErr w:type="gramStart"/>
      <w:r w:rsidRPr="00A66790">
        <w:rPr>
          <w:rFonts w:ascii="Arial" w:eastAsia="Times New Roman" w:hAnsi="Arial" w:cs="Times New Roman"/>
          <w:b/>
          <w:bCs/>
          <w:iCs/>
          <w:sz w:val="21"/>
          <w:szCs w:val="24"/>
          <w:lang w:eastAsia="es-CO"/>
        </w:rPr>
        <w:t>Presidente</w:t>
      </w:r>
      <w:proofErr w:type="gramEnd"/>
      <w:r w:rsidRPr="00A66790">
        <w:rPr>
          <w:rFonts w:ascii="Arial" w:eastAsia="Times New Roman" w:hAnsi="Arial" w:cs="Times New Roman"/>
          <w:b/>
          <w:bCs/>
          <w:iCs/>
          <w:sz w:val="21"/>
          <w:szCs w:val="24"/>
          <w:lang w:eastAsia="es-CO"/>
        </w:rPr>
        <w:t xml:space="preserve"> Comisión Primera</w:t>
      </w:r>
      <w:r w:rsidRPr="00A66790">
        <w:rPr>
          <w:rFonts w:ascii="Arial" w:eastAsia="Times New Roman" w:hAnsi="Arial" w:cs="Times New Roman"/>
          <w:b/>
          <w:bCs/>
          <w:iCs/>
          <w:sz w:val="21"/>
          <w:szCs w:val="24"/>
          <w:lang w:eastAsia="es-CO"/>
        </w:rPr>
        <w:tab/>
      </w:r>
    </w:p>
    <w:p w14:paraId="6A862E08" w14:textId="38A0C645" w:rsidR="007A26F4" w:rsidRPr="00A66790" w:rsidRDefault="007A26F4" w:rsidP="00A66790">
      <w:pPr>
        <w:spacing w:after="80" w:line="276" w:lineRule="auto"/>
        <w:jc w:val="both"/>
        <w:rPr>
          <w:rFonts w:ascii="Arial" w:eastAsia="Times New Roman" w:hAnsi="Arial" w:cs="Times New Roman"/>
          <w:b/>
          <w:bCs/>
          <w:iCs/>
          <w:sz w:val="21"/>
          <w:szCs w:val="24"/>
          <w:lang w:eastAsia="es-CO"/>
        </w:rPr>
      </w:pPr>
    </w:p>
    <w:p w14:paraId="0AE304FC" w14:textId="7E43CE4C" w:rsidR="007A26F4" w:rsidRDefault="007A26F4" w:rsidP="00A66790">
      <w:pPr>
        <w:spacing w:after="80" w:line="276" w:lineRule="auto"/>
        <w:jc w:val="both"/>
        <w:rPr>
          <w:rFonts w:ascii="Arial" w:eastAsia="Times New Roman" w:hAnsi="Arial" w:cs="Times New Roman"/>
          <w:b/>
          <w:bCs/>
          <w:iCs/>
          <w:sz w:val="21"/>
          <w:szCs w:val="24"/>
          <w:lang w:eastAsia="es-CO"/>
        </w:rPr>
      </w:pPr>
    </w:p>
    <w:p w14:paraId="0A4E3C37" w14:textId="77777777" w:rsidR="00A66790" w:rsidRPr="00A66790" w:rsidRDefault="00A66790" w:rsidP="00A66790">
      <w:pPr>
        <w:spacing w:after="80" w:line="276" w:lineRule="auto"/>
        <w:jc w:val="both"/>
        <w:rPr>
          <w:rFonts w:ascii="Arial" w:eastAsia="Times New Roman" w:hAnsi="Arial" w:cs="Times New Roman"/>
          <w:b/>
          <w:bCs/>
          <w:iCs/>
          <w:sz w:val="21"/>
          <w:szCs w:val="24"/>
          <w:lang w:eastAsia="es-CO"/>
        </w:rPr>
      </w:pPr>
    </w:p>
    <w:p w14:paraId="1BE5FADD" w14:textId="49AF6438" w:rsidR="007A26F4" w:rsidRPr="00A66790" w:rsidRDefault="007A26F4" w:rsidP="00A66790">
      <w:pPr>
        <w:spacing w:after="80" w:line="276" w:lineRule="auto"/>
        <w:jc w:val="center"/>
        <w:rPr>
          <w:rFonts w:ascii="Arial" w:eastAsia="Times New Roman" w:hAnsi="Arial" w:cs="Times New Roman"/>
          <w:b/>
          <w:bCs/>
          <w:iCs/>
          <w:sz w:val="21"/>
          <w:szCs w:val="24"/>
          <w:lang w:eastAsia="es-CO"/>
        </w:rPr>
      </w:pPr>
      <w:r w:rsidRPr="00A66790">
        <w:rPr>
          <w:rFonts w:ascii="Arial" w:eastAsia="Times New Roman" w:hAnsi="Arial" w:cs="Times New Roman"/>
          <w:b/>
          <w:bCs/>
          <w:iCs/>
          <w:sz w:val="21"/>
          <w:szCs w:val="24"/>
          <w:lang w:eastAsia="es-CO"/>
        </w:rPr>
        <w:t>AMPARO YANETH CALDERÓN PERDOMO</w:t>
      </w:r>
    </w:p>
    <w:p w14:paraId="68A497BA" w14:textId="4BD66D80" w:rsidR="007A26F4" w:rsidRPr="00A66790" w:rsidRDefault="007A26F4" w:rsidP="00A66790">
      <w:pPr>
        <w:spacing w:after="80" w:line="276" w:lineRule="auto"/>
        <w:jc w:val="center"/>
        <w:rPr>
          <w:rFonts w:ascii="Arial" w:eastAsia="Times New Roman" w:hAnsi="Arial" w:cs="Times New Roman"/>
          <w:b/>
          <w:bCs/>
          <w:iCs/>
          <w:sz w:val="21"/>
          <w:szCs w:val="24"/>
          <w:lang w:eastAsia="es-CO"/>
        </w:rPr>
      </w:pPr>
      <w:r w:rsidRPr="00A66790">
        <w:rPr>
          <w:rFonts w:ascii="Arial" w:eastAsia="Times New Roman" w:hAnsi="Arial" w:cs="Times New Roman"/>
          <w:b/>
          <w:bCs/>
          <w:iCs/>
          <w:sz w:val="21"/>
          <w:szCs w:val="24"/>
          <w:lang w:eastAsia="es-CO"/>
        </w:rPr>
        <w:t>Secretaria General</w:t>
      </w:r>
    </w:p>
    <w:sectPr w:rsidR="007A26F4" w:rsidRPr="00A667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1E"/>
    <w:rsid w:val="0004034A"/>
    <w:rsid w:val="000B4433"/>
    <w:rsid w:val="00217934"/>
    <w:rsid w:val="00322347"/>
    <w:rsid w:val="0038766F"/>
    <w:rsid w:val="00477855"/>
    <w:rsid w:val="005E0177"/>
    <w:rsid w:val="00601F4F"/>
    <w:rsid w:val="00676203"/>
    <w:rsid w:val="006A660B"/>
    <w:rsid w:val="007A26F4"/>
    <w:rsid w:val="0083624F"/>
    <w:rsid w:val="00931FD2"/>
    <w:rsid w:val="009B26C9"/>
    <w:rsid w:val="00A5556B"/>
    <w:rsid w:val="00A66790"/>
    <w:rsid w:val="00B42903"/>
    <w:rsid w:val="00C07D45"/>
    <w:rsid w:val="00C935CC"/>
    <w:rsid w:val="00D969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EB27"/>
  <w15:chartTrackingRefBased/>
  <w15:docId w15:val="{0D0127C9-9B7D-4D33-9D95-EE22D681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96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084AE-911C-43C0-8233-8DC92DCA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1611</Words>
  <Characters>8864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MARLENE garcia chalarca</dc:creator>
  <cp:keywords/>
  <dc:description/>
  <cp:lastModifiedBy>CLAUDIA MARLENE garcia chalarca</cp:lastModifiedBy>
  <cp:revision>10</cp:revision>
  <dcterms:created xsi:type="dcterms:W3CDTF">2026-09-23T19:50:00Z</dcterms:created>
  <dcterms:modified xsi:type="dcterms:W3CDTF">2026-10-02T21:38:00Z</dcterms:modified>
</cp:coreProperties>
</file>