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61CE2" w14:textId="77777777" w:rsidR="004A4930" w:rsidRDefault="006E06B4">
      <w:pPr>
        <w:spacing w:line="240" w:lineRule="auto"/>
        <w:jc w:val="right"/>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Bogotá, 28 de octubre de 2026. </w:t>
      </w:r>
    </w:p>
    <w:p w14:paraId="6D7ED75A"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6187BF3"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Presidente </w:t>
      </w:r>
    </w:p>
    <w:p w14:paraId="6457F49D" w14:textId="77777777" w:rsidR="004A4930" w:rsidRDefault="006E06B4">
      <w:p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JOSÉ JAIME USCÁTEGUI</w:t>
      </w:r>
    </w:p>
    <w:p w14:paraId="1D5014F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Comisión Primera Constitucional Permanente </w:t>
      </w:r>
    </w:p>
    <w:p w14:paraId="2441DB3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Honorable Cámara de Representantes</w:t>
      </w:r>
    </w:p>
    <w:p w14:paraId="0D84AF3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Ciudad. </w:t>
      </w:r>
    </w:p>
    <w:p w14:paraId="3643AF9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bl>
      <w:tblPr>
        <w:tblStyle w:val="a2"/>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30"/>
        <w:gridCol w:w="7665"/>
      </w:tblGrid>
      <w:tr w:rsidR="004A4930" w14:paraId="4D2BEE3F" w14:textId="77777777">
        <w:trPr>
          <w:trHeight w:val="1125"/>
        </w:trPr>
        <w:tc>
          <w:tcPr>
            <w:tcW w:w="1230" w:type="dxa"/>
            <w:tcMar>
              <w:top w:w="0" w:type="dxa"/>
              <w:left w:w="100" w:type="dxa"/>
              <w:bottom w:w="0" w:type="dxa"/>
              <w:right w:w="100" w:type="dxa"/>
            </w:tcMar>
          </w:tcPr>
          <w:p w14:paraId="5DB349E8" w14:textId="77777777" w:rsidR="004A4930" w:rsidRDefault="006E06B4">
            <w:p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Asunto:</w:t>
            </w:r>
          </w:p>
        </w:tc>
        <w:tc>
          <w:tcPr>
            <w:tcW w:w="7665" w:type="dxa"/>
            <w:tcMar>
              <w:top w:w="0" w:type="dxa"/>
              <w:left w:w="100" w:type="dxa"/>
              <w:bottom w:w="0" w:type="dxa"/>
              <w:right w:w="100" w:type="dxa"/>
            </w:tcMar>
          </w:tcPr>
          <w:p w14:paraId="42272944" w14:textId="77777777" w:rsidR="004A4930" w:rsidRDefault="006E06B4">
            <w:pPr>
              <w:spacing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sz w:val="20"/>
                <w:szCs w:val="20"/>
                <w:highlight w:val="white"/>
              </w:rPr>
              <w:t>Informe de Ponencia Negativa para Primer Debate del Proyecto de Ley No. 029 de 2026</w:t>
            </w:r>
            <w:r>
              <w:rPr>
                <w:rFonts w:ascii="Plus Jakarta Sans" w:eastAsia="Plus Jakarta Sans" w:hAnsi="Plus Jakarta Sans" w:cs="Plus Jakarta Sans"/>
                <w:i/>
                <w:iCs/>
                <w:sz w:val="20"/>
                <w:szCs w:val="20"/>
                <w:highlight w:val="white"/>
              </w:rPr>
              <w:t xml:space="preserve"> “Por medio de la cual se reforma el Código de Infancia y Adolescencia, para menores de edad entre los (14) y diecisiete (17) años que cometan delitos graves, y se dictan otras disposiciones”. </w:t>
            </w:r>
          </w:p>
          <w:p w14:paraId="7366E353"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r>
    </w:tbl>
    <w:p w14:paraId="295FD3E9"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5C51502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Honorable Representante; </w:t>
      </w:r>
    </w:p>
    <w:p w14:paraId="367C14E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513B8324" w14:textId="77777777" w:rsidR="004A4930" w:rsidRDefault="006E06B4">
      <w:pPr>
        <w:spacing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sz w:val="20"/>
          <w:szCs w:val="20"/>
          <w:highlight w:val="white"/>
        </w:rPr>
        <w:t>En cumplimiento de la designación realizada por la Honorable Mesa Directiva de la Comisión Primera Constitucional Permanente de la Cámara de Representantes, y de conformidad con lo establecido en el artículo 156 de la Ley 5 de 1992, nos permitimos rendir informe de ponencia negativa para primer debate del Proyecto de Ley No. 029 de 2026</w:t>
      </w:r>
      <w:r>
        <w:rPr>
          <w:rFonts w:ascii="Plus Jakarta Sans" w:eastAsia="Plus Jakarta Sans" w:hAnsi="Plus Jakarta Sans" w:cs="Plus Jakarta Sans"/>
          <w:i/>
          <w:iCs/>
          <w:sz w:val="20"/>
          <w:szCs w:val="20"/>
          <w:highlight w:val="white"/>
        </w:rPr>
        <w:t xml:space="preserve"> “Por medio de la cual se reforma el Código de Infancia y Adolescencia, para menores de edad entre los (14) y diecisiete (17) años que cometan delitos graves, y se dictan otras disposiciones”. </w:t>
      </w:r>
    </w:p>
    <w:p w14:paraId="7322DB02" w14:textId="77777777" w:rsidR="004A4930" w:rsidRDefault="006E06B4">
      <w:pPr>
        <w:spacing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i/>
          <w:iCs/>
          <w:sz w:val="20"/>
          <w:szCs w:val="20"/>
          <w:highlight w:val="white"/>
        </w:rPr>
        <w:t xml:space="preserve"> </w:t>
      </w:r>
    </w:p>
    <w:p w14:paraId="1B38E140"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70262219"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Cordialmente;</w:t>
      </w:r>
    </w:p>
    <w:p w14:paraId="01F70EB9"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7DFC8993"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5C36B959"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3A71804C" w14:textId="77777777" w:rsidR="004A4930" w:rsidRDefault="004A4930">
      <w:pPr>
        <w:spacing w:line="240" w:lineRule="auto"/>
        <w:jc w:val="both"/>
        <w:rPr>
          <w:rFonts w:ascii="Plus Jakarta Sans" w:eastAsia="Plus Jakarta Sans" w:hAnsi="Plus Jakarta Sans" w:cs="Plus Jakarta Sans"/>
          <w:i/>
          <w:iCs/>
          <w:sz w:val="20"/>
          <w:szCs w:val="20"/>
          <w:highlight w:val="white"/>
        </w:rPr>
      </w:pPr>
    </w:p>
    <w:tbl>
      <w:tblPr>
        <w:tblStyle w:val="a3"/>
        <w:tblW w:w="882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455"/>
        <w:gridCol w:w="4365"/>
      </w:tblGrid>
      <w:tr w:rsidR="004A4930" w14:paraId="718FBD32" w14:textId="77777777">
        <w:trPr>
          <w:trHeight w:val="915"/>
        </w:trPr>
        <w:tc>
          <w:tcPr>
            <w:tcW w:w="44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F53ABD7" w14:textId="5462C168"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6BA2A1BF" w14:textId="6B538BE2" w:rsidR="00544234" w:rsidRDefault="00544234">
            <w:pPr>
              <w:spacing w:line="240" w:lineRule="auto"/>
              <w:ind w:right="40"/>
              <w:jc w:val="center"/>
              <w:rPr>
                <w:rFonts w:ascii="Plus Jakarta Sans" w:eastAsia="Plus Jakarta Sans" w:hAnsi="Plus Jakarta Sans" w:cs="Plus Jakarta Sans"/>
                <w:b/>
                <w:bCs/>
                <w:sz w:val="20"/>
                <w:szCs w:val="20"/>
                <w:highlight w:val="white"/>
              </w:rPr>
            </w:pPr>
          </w:p>
          <w:p w14:paraId="7F2A538F" w14:textId="77777777" w:rsidR="00544234" w:rsidRDefault="00544234">
            <w:pPr>
              <w:spacing w:line="240" w:lineRule="auto"/>
              <w:ind w:right="40"/>
              <w:jc w:val="center"/>
              <w:rPr>
                <w:rFonts w:ascii="Plus Jakarta Sans" w:eastAsia="Plus Jakarta Sans" w:hAnsi="Plus Jakarta Sans" w:cs="Plus Jakarta Sans"/>
                <w:b/>
                <w:bCs/>
                <w:sz w:val="20"/>
                <w:szCs w:val="20"/>
                <w:highlight w:val="white"/>
              </w:rPr>
            </w:pPr>
          </w:p>
          <w:p w14:paraId="37F434D7"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2E9BFEDD"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318D2733"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0F258AE0" w14:textId="77777777" w:rsidR="004A4930" w:rsidRDefault="006E06B4">
            <w:pPr>
              <w:spacing w:line="240" w:lineRule="auto"/>
              <w:ind w:right="40"/>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DANIEL MAURICIO MONROY HERNÁNDEZ</w:t>
            </w:r>
          </w:p>
          <w:p w14:paraId="2E4D6175"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Representante a la Cámara por Bogotá</w:t>
            </w:r>
          </w:p>
          <w:p w14:paraId="69A0942D"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Pacto Histórico</w:t>
            </w:r>
          </w:p>
          <w:p w14:paraId="506177E9"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4365" w:type="dxa"/>
            <w:tcBorders>
              <w:top w:val="single" w:sz="8" w:space="0" w:color="000000"/>
              <w:bottom w:val="single" w:sz="8" w:space="0" w:color="000000"/>
              <w:right w:val="single" w:sz="8" w:space="0" w:color="000000"/>
            </w:tcBorders>
            <w:tcMar>
              <w:top w:w="0" w:type="dxa"/>
              <w:left w:w="100" w:type="dxa"/>
              <w:bottom w:w="0" w:type="dxa"/>
              <w:right w:w="100" w:type="dxa"/>
            </w:tcMar>
          </w:tcPr>
          <w:p w14:paraId="4641FF42" w14:textId="77777777" w:rsidR="004A4930" w:rsidRDefault="006E06B4">
            <w:pPr>
              <w:shd w:val="clear" w:color="auto" w:fill="FFFFFF"/>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 xml:space="preserve"> </w:t>
            </w:r>
          </w:p>
          <w:p w14:paraId="6CEA6A1B"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77F5738F"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1E5F2891" w14:textId="15D49BE6"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186D7F47" w14:textId="77777777" w:rsidR="00544234" w:rsidRDefault="00544234">
            <w:pPr>
              <w:spacing w:line="240" w:lineRule="auto"/>
              <w:ind w:right="40"/>
              <w:jc w:val="center"/>
              <w:rPr>
                <w:rFonts w:ascii="Plus Jakarta Sans" w:eastAsia="Plus Jakarta Sans" w:hAnsi="Plus Jakarta Sans" w:cs="Plus Jakarta Sans"/>
                <w:b/>
                <w:bCs/>
                <w:sz w:val="20"/>
                <w:szCs w:val="20"/>
                <w:highlight w:val="white"/>
              </w:rPr>
            </w:pPr>
          </w:p>
          <w:p w14:paraId="43A400A4"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05B975BD" w14:textId="77777777" w:rsidR="004A4930" w:rsidRDefault="006E06B4">
            <w:pPr>
              <w:spacing w:line="240" w:lineRule="auto"/>
              <w:ind w:right="40"/>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NIXON PERDOMO JURAGARO</w:t>
            </w:r>
          </w:p>
          <w:p w14:paraId="36E68530"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Representante a la Cámara </w:t>
            </w:r>
          </w:p>
          <w:p w14:paraId="44905EC0"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CITREP 5 Caquetá - Huila</w:t>
            </w:r>
          </w:p>
        </w:tc>
      </w:tr>
      <w:tr w:rsidR="004A4930" w14:paraId="32565C02" w14:textId="77777777">
        <w:trPr>
          <w:trHeight w:val="915"/>
        </w:trPr>
        <w:tc>
          <w:tcPr>
            <w:tcW w:w="44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25A1203"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4471D7D4" w14:textId="77777777"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p w14:paraId="5E71B894" w14:textId="3BB88D87"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p w14:paraId="321A3981" w14:textId="331CCBF3" w:rsidR="00544234" w:rsidRDefault="00544234">
            <w:pPr>
              <w:shd w:val="clear" w:color="auto" w:fill="FFFFFF"/>
              <w:spacing w:line="240" w:lineRule="auto"/>
              <w:jc w:val="both"/>
              <w:rPr>
                <w:rFonts w:ascii="Plus Jakarta Sans" w:eastAsia="Plus Jakarta Sans" w:hAnsi="Plus Jakarta Sans" w:cs="Plus Jakarta Sans"/>
                <w:sz w:val="20"/>
                <w:szCs w:val="20"/>
                <w:highlight w:val="white"/>
              </w:rPr>
            </w:pPr>
          </w:p>
          <w:p w14:paraId="72C90B0E" w14:textId="77777777" w:rsidR="00544234" w:rsidRDefault="00544234">
            <w:pPr>
              <w:shd w:val="clear" w:color="auto" w:fill="FFFFFF"/>
              <w:spacing w:line="240" w:lineRule="auto"/>
              <w:jc w:val="both"/>
              <w:rPr>
                <w:rFonts w:ascii="Plus Jakarta Sans" w:eastAsia="Plus Jakarta Sans" w:hAnsi="Plus Jakarta Sans" w:cs="Plus Jakarta Sans"/>
                <w:sz w:val="20"/>
                <w:szCs w:val="20"/>
                <w:highlight w:val="white"/>
              </w:rPr>
            </w:pPr>
          </w:p>
          <w:p w14:paraId="4BC2FA6E" w14:textId="77777777"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p w14:paraId="120E20AF" w14:textId="77777777" w:rsidR="004A4930" w:rsidRDefault="006E06B4">
            <w:pPr>
              <w:spacing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ALEJANDRA GABRIELA ABÁSOLO GÓMEZ</w:t>
            </w:r>
          </w:p>
          <w:p w14:paraId="4308A16E"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Representante a la Cámara por Nariño</w:t>
            </w:r>
          </w:p>
          <w:p w14:paraId="3D25DA38"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Alianza Verde</w:t>
            </w:r>
          </w:p>
        </w:tc>
        <w:tc>
          <w:tcPr>
            <w:tcW w:w="4365" w:type="dxa"/>
            <w:tcBorders>
              <w:top w:val="single" w:sz="8" w:space="0" w:color="000000"/>
              <w:bottom w:val="single" w:sz="8" w:space="0" w:color="000000"/>
              <w:right w:val="single" w:sz="8" w:space="0" w:color="000000"/>
            </w:tcBorders>
            <w:tcMar>
              <w:top w:w="0" w:type="dxa"/>
              <w:left w:w="100" w:type="dxa"/>
              <w:bottom w:w="0" w:type="dxa"/>
              <w:right w:w="100" w:type="dxa"/>
            </w:tcMar>
          </w:tcPr>
          <w:p w14:paraId="70316757" w14:textId="1964AF1E"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tc>
      </w:tr>
    </w:tbl>
    <w:p w14:paraId="361485A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i/>
          <w:iCs/>
          <w:sz w:val="20"/>
          <w:szCs w:val="20"/>
          <w:highlight w:val="white"/>
        </w:rPr>
        <w:t xml:space="preserve"> </w:t>
      </w:r>
      <w:r>
        <w:rPr>
          <w:rFonts w:ascii="Plus Jakarta Sans" w:eastAsia="Plus Jakarta Sans" w:hAnsi="Plus Jakarta Sans" w:cs="Plus Jakarta Sans"/>
          <w:sz w:val="20"/>
          <w:szCs w:val="20"/>
          <w:highlight w:val="white"/>
        </w:rPr>
        <w:t xml:space="preserve"> </w:t>
      </w:r>
    </w:p>
    <w:p w14:paraId="4C592C9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1410888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59527D8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4CA79A9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1A3E463" w14:textId="75DCF0AD" w:rsidR="004A4930" w:rsidRDefault="006E06B4" w:rsidP="00544234">
      <w:p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lastRenderedPageBreak/>
        <w:t xml:space="preserve"> </w:t>
      </w:r>
      <w:r>
        <w:rPr>
          <w:rFonts w:ascii="Plus Jakarta Sans" w:eastAsia="Plus Jakarta Sans" w:hAnsi="Plus Jakarta Sans" w:cs="Plus Jakarta Sans"/>
          <w:b/>
          <w:bCs/>
          <w:sz w:val="20"/>
          <w:szCs w:val="20"/>
          <w:highlight w:val="white"/>
        </w:rPr>
        <w:t xml:space="preserve">INFORME DE PONENCIA NEGATIVA PARA PRIMER DEBATE DEL PROYECTO DE LEY No. 029 DE 2026 </w:t>
      </w:r>
      <w:r>
        <w:rPr>
          <w:rFonts w:ascii="Plus Jakarta Sans" w:eastAsia="Plus Jakarta Sans" w:hAnsi="Plus Jakarta Sans" w:cs="Plus Jakarta Sans"/>
          <w:b/>
          <w:bCs/>
          <w:i/>
          <w:iCs/>
          <w:sz w:val="20"/>
          <w:szCs w:val="20"/>
          <w:highlight w:val="white"/>
        </w:rPr>
        <w:t>“POR MEDIO DE LA CUAL SE REFORMA EL CÓDIGO DE INFANCIA Y ADOLESCENCIA, PARA MENORES DE EDAD ENTRE LOS (14) Y DIECISIETE (17) AÑOS QUE COMETAN DELITOS GRAVES, Y SE DICTAN OTRAS DISPOSICIONES”</w:t>
      </w:r>
      <w:r>
        <w:rPr>
          <w:rFonts w:ascii="Plus Jakarta Sans" w:eastAsia="Plus Jakarta Sans" w:hAnsi="Plus Jakarta Sans" w:cs="Plus Jakarta Sans"/>
          <w:b/>
          <w:bCs/>
          <w:sz w:val="20"/>
          <w:szCs w:val="20"/>
          <w:highlight w:val="white"/>
        </w:rPr>
        <w:t>.</w:t>
      </w:r>
    </w:p>
    <w:p w14:paraId="377D9BB5"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68CB3E6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En atención a la designación realizada por la Honorable Cámara de Representantes presentamos informe de ponencia negativa para primer debate del Proyecto de Ley No. 029 de 2026 “</w:t>
      </w:r>
      <w:r>
        <w:rPr>
          <w:rFonts w:ascii="Plus Jakarta Sans" w:eastAsia="Plus Jakarta Sans" w:hAnsi="Plus Jakarta Sans" w:cs="Plus Jakarta Sans"/>
          <w:i/>
          <w:iCs/>
          <w:sz w:val="20"/>
          <w:szCs w:val="20"/>
          <w:highlight w:val="white"/>
        </w:rPr>
        <w:t>Por medio de la cual se reforma el Código de Infancia y Adolescencia, para menores de edad entre los (14) y diecisiete (17) años que cometan delitos graves, y se dictan otras disposiciones”</w:t>
      </w:r>
      <w:r>
        <w:rPr>
          <w:rFonts w:ascii="Plus Jakarta Sans" w:eastAsia="Plus Jakarta Sans" w:hAnsi="Plus Jakarta Sans" w:cs="Plus Jakarta Sans"/>
          <w:sz w:val="20"/>
          <w:szCs w:val="20"/>
          <w:highlight w:val="white"/>
        </w:rPr>
        <w:t xml:space="preserve">. </w:t>
      </w:r>
    </w:p>
    <w:p w14:paraId="5825D27A"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3E088316"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Para ello, desarrollaremos la ponencia de la siguiente manera: </w:t>
      </w:r>
    </w:p>
    <w:p w14:paraId="6799CAF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120D509C" w14:textId="77777777" w:rsidR="004A4930" w:rsidRDefault="006E06B4">
      <w:pPr>
        <w:numPr>
          <w:ilvl w:val="0"/>
          <w:numId w:val="3"/>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 xml:space="preserve">Antecedentes de la iniciativa </w:t>
      </w:r>
    </w:p>
    <w:p w14:paraId="23DA3E73" w14:textId="77777777" w:rsidR="004A4930" w:rsidRDefault="006E06B4">
      <w:pPr>
        <w:numPr>
          <w:ilvl w:val="0"/>
          <w:numId w:val="3"/>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 xml:space="preserve">Objeto del proyecto </w:t>
      </w:r>
    </w:p>
    <w:p w14:paraId="069A8A16" w14:textId="77777777" w:rsidR="004A4930" w:rsidRDefault="006E06B4">
      <w:pPr>
        <w:numPr>
          <w:ilvl w:val="0"/>
          <w:numId w:val="3"/>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 xml:space="preserve">Consideraciones </w:t>
      </w:r>
    </w:p>
    <w:p w14:paraId="71B02C54" w14:textId="77777777" w:rsidR="004A4930" w:rsidRDefault="006E06B4">
      <w:pPr>
        <w:numPr>
          <w:ilvl w:val="0"/>
          <w:numId w:val="3"/>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Conflicto de Intereses</w:t>
      </w:r>
    </w:p>
    <w:p w14:paraId="0EA19784" w14:textId="77777777" w:rsidR="004A4930" w:rsidRDefault="006E06B4">
      <w:pPr>
        <w:numPr>
          <w:ilvl w:val="0"/>
          <w:numId w:val="3"/>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Proposición</w:t>
      </w:r>
    </w:p>
    <w:p w14:paraId="683E6650"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CE7F03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28F75010" w14:textId="77777777" w:rsidR="004A4930" w:rsidRDefault="006E06B4">
      <w:pPr>
        <w:numPr>
          <w:ilvl w:val="0"/>
          <w:numId w:val="4"/>
        </w:numPr>
        <w:spacing w:line="240" w:lineRule="auto"/>
        <w:ind w:left="425" w:hanging="290"/>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 ANTECEDENTES DE LA INICIATIVA</w:t>
      </w:r>
    </w:p>
    <w:p w14:paraId="32C746BC" w14:textId="77777777" w:rsidR="004A4930" w:rsidRDefault="006E06B4">
      <w:pPr>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El Proyecto de Ley No. 029 de 2026 Cámara, fue radicado por el  Representante Jaime Arizabaleta, el 21 de julio de 2026, en la Secretaría General de la Cámara de Representantes, el cual fue publicado en la Gaceta No. 880 de 2026, el 29 de julio de 2026. </w:t>
      </w:r>
    </w:p>
    <w:p w14:paraId="21F17ABB" w14:textId="77777777" w:rsidR="004A4930" w:rsidRDefault="006E06B4">
      <w:pPr>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La iniciativa fue trasladada a la Comisión Primera de la Cámara de Representantes, el 10 de agosto de 2026, y de conformidad con lo previsto en el artículo 150 de la Ley 5 de 1992, la Mesa Directiva de la Cámara de Representantes, comunicó a través del oficio No. 3.1 - 0045 - 2026, la designación de ponentes para primer debate a los Honorables Representantes: Jaime Ignacio Arizabaleta Fajardo - C, Juan Pablo Duque González - C, Carol </w:t>
      </w:r>
      <w:proofErr w:type="spellStart"/>
      <w:r>
        <w:rPr>
          <w:rFonts w:ascii="Plus Jakarta Sans" w:eastAsia="Plus Jakarta Sans" w:hAnsi="Plus Jakarta Sans" w:cs="Plus Jakarta Sans"/>
          <w:sz w:val="20"/>
          <w:szCs w:val="20"/>
          <w:highlight w:val="white"/>
        </w:rPr>
        <w:t>Stefanny</w:t>
      </w:r>
      <w:proofErr w:type="spellEnd"/>
      <w:r>
        <w:rPr>
          <w:rFonts w:ascii="Plus Jakarta Sans" w:eastAsia="Plus Jakarta Sans" w:hAnsi="Plus Jakarta Sans" w:cs="Plus Jakarta Sans"/>
          <w:sz w:val="20"/>
          <w:szCs w:val="20"/>
          <w:highlight w:val="white"/>
        </w:rPr>
        <w:t xml:space="preserve"> Borda Acevedo, Manuel Orlando Correa Bedoya, Milton Virgilio Carreño Sánchez, Nixon Perdomo </w:t>
      </w:r>
      <w:proofErr w:type="spellStart"/>
      <w:r>
        <w:rPr>
          <w:rFonts w:ascii="Plus Jakarta Sans" w:eastAsia="Plus Jakarta Sans" w:hAnsi="Plus Jakarta Sans" w:cs="Plus Jakarta Sans"/>
          <w:sz w:val="20"/>
          <w:szCs w:val="20"/>
          <w:highlight w:val="white"/>
        </w:rPr>
        <w:t>Juragaro</w:t>
      </w:r>
      <w:proofErr w:type="spellEnd"/>
      <w:r>
        <w:rPr>
          <w:rFonts w:ascii="Plus Jakarta Sans" w:eastAsia="Plus Jakarta Sans" w:hAnsi="Plus Jakarta Sans" w:cs="Plus Jakarta Sans"/>
          <w:sz w:val="20"/>
          <w:szCs w:val="20"/>
          <w:highlight w:val="white"/>
        </w:rPr>
        <w:t xml:space="preserve">, Alejandra Gabriela Abasolo Gómez y Daniel Mauricio Monroy Hernández.  </w:t>
      </w:r>
    </w:p>
    <w:p w14:paraId="47FE2901" w14:textId="688DBAB6"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En sesión del martes primero (1) de septiembre del 2026, la Comisión Primera de la Cámara de Representantes, aprobó proposición suscrita por los H.R</w:t>
      </w:r>
      <w:r>
        <w:rPr>
          <w:rFonts w:ascii="Plus Jakarta Sans" w:eastAsia="Plus Jakarta Sans" w:hAnsi="Plus Jakarta Sans" w:cs="Plus Jakarta Sans"/>
          <w:b/>
          <w:bCs/>
          <w:sz w:val="20"/>
          <w:szCs w:val="20"/>
          <w:highlight w:val="white"/>
        </w:rPr>
        <w:t xml:space="preserve"> JAIME IGNACIO ARIZABALETA</w:t>
      </w:r>
      <w:r>
        <w:rPr>
          <w:rFonts w:ascii="Plus Jakarta Sans" w:eastAsia="Plus Jakarta Sans" w:hAnsi="Plus Jakarta Sans" w:cs="Plus Jakarta Sans"/>
          <w:sz w:val="20"/>
          <w:szCs w:val="20"/>
          <w:highlight w:val="white"/>
        </w:rPr>
        <w:t xml:space="preserve"> </w:t>
      </w:r>
      <w:r>
        <w:rPr>
          <w:rFonts w:ascii="Plus Jakarta Sans" w:eastAsia="Plus Jakarta Sans" w:hAnsi="Plus Jakarta Sans" w:cs="Plus Jakarta Sans"/>
          <w:b/>
          <w:bCs/>
          <w:sz w:val="20"/>
          <w:szCs w:val="20"/>
          <w:highlight w:val="white"/>
        </w:rPr>
        <w:t>FAJARDO</w:t>
      </w:r>
      <w:r>
        <w:rPr>
          <w:rFonts w:ascii="Plus Jakarta Sans" w:eastAsia="Plus Jakarta Sans" w:hAnsi="Plus Jakarta Sans" w:cs="Plus Jakarta Sans"/>
          <w:sz w:val="20"/>
          <w:szCs w:val="20"/>
          <w:highlight w:val="white"/>
        </w:rPr>
        <w:t xml:space="preserve"> y</w:t>
      </w:r>
      <w:r>
        <w:rPr>
          <w:rFonts w:ascii="Plus Jakarta Sans" w:eastAsia="Plus Jakarta Sans" w:hAnsi="Plus Jakarta Sans" w:cs="Plus Jakarta Sans"/>
          <w:b/>
          <w:bCs/>
          <w:sz w:val="20"/>
          <w:szCs w:val="20"/>
          <w:highlight w:val="white"/>
        </w:rPr>
        <w:t xml:space="preserve"> JUAN PABLO DUQUE GONZÁLEZ</w:t>
      </w:r>
      <w:r>
        <w:rPr>
          <w:rFonts w:ascii="Plus Jakarta Sans" w:eastAsia="Plus Jakarta Sans" w:hAnsi="Plus Jakarta Sans" w:cs="Plus Jakarta Sans"/>
          <w:sz w:val="20"/>
          <w:szCs w:val="20"/>
          <w:highlight w:val="white"/>
        </w:rPr>
        <w:t xml:space="preserve">, como ponentes coordinadores, y </w:t>
      </w:r>
      <w:r>
        <w:rPr>
          <w:rFonts w:ascii="Plus Jakarta Sans" w:eastAsia="Plus Jakarta Sans" w:hAnsi="Plus Jakarta Sans" w:cs="Plus Jakarta Sans"/>
          <w:b/>
          <w:bCs/>
          <w:sz w:val="20"/>
          <w:szCs w:val="20"/>
          <w:highlight w:val="white"/>
        </w:rPr>
        <w:t xml:space="preserve">CAROL ESTÉFANI BORDA, CEDRILLO MALVERN ORLANDO CORREA BEDOYA, MILTON VIRGILIO CARREÑO SUÁREZ, DANIEL MAURICIO MONROY HERNÁNDEZ, NIXON PERDOMO JURAGARO </w:t>
      </w:r>
      <w:r>
        <w:rPr>
          <w:rFonts w:ascii="Plus Jakarta Sans" w:eastAsia="Plus Jakarta Sans" w:hAnsi="Plus Jakarta Sans" w:cs="Plus Jakarta Sans"/>
          <w:sz w:val="20"/>
          <w:szCs w:val="20"/>
          <w:highlight w:val="white"/>
        </w:rPr>
        <w:t>y</w:t>
      </w:r>
      <w:r>
        <w:rPr>
          <w:rFonts w:ascii="Plus Jakarta Sans" w:eastAsia="Plus Jakarta Sans" w:hAnsi="Plus Jakarta Sans" w:cs="Plus Jakarta Sans"/>
          <w:b/>
          <w:bCs/>
          <w:sz w:val="20"/>
          <w:szCs w:val="20"/>
          <w:highlight w:val="white"/>
        </w:rPr>
        <w:t xml:space="preserve"> ALEJANDRA GABRIELA BASOLO</w:t>
      </w:r>
      <w:r>
        <w:rPr>
          <w:rFonts w:ascii="Plus Jakarta Sans" w:eastAsia="Plus Jakarta Sans" w:hAnsi="Plus Jakarta Sans" w:cs="Plus Jakarta Sans"/>
          <w:sz w:val="20"/>
          <w:szCs w:val="20"/>
          <w:highlight w:val="white"/>
        </w:rPr>
        <w:t xml:space="preserve">, ponentes del proyecto de Ley 029 del 2026 Cámara, </w:t>
      </w:r>
      <w:r>
        <w:rPr>
          <w:rFonts w:ascii="Plus Jakarta Sans" w:eastAsia="Plus Jakarta Sans" w:hAnsi="Plus Jakarta Sans" w:cs="Plus Jakarta Sans"/>
          <w:i/>
          <w:iCs/>
          <w:sz w:val="20"/>
          <w:szCs w:val="20"/>
          <w:highlight w:val="white"/>
        </w:rPr>
        <w:t>“Por medio de la cual se reforma el Código de Infancia y Adolescencia para menores de edad entre los 14 y 17 años que cometan delitos graves y se dictan otras disposiciones. Ley Miguel Uribe Turbay”,</w:t>
      </w:r>
      <w:r>
        <w:rPr>
          <w:rFonts w:ascii="Plus Jakarta Sans" w:eastAsia="Plus Jakarta Sans" w:hAnsi="Plus Jakarta Sans" w:cs="Plus Jakarta Sans"/>
          <w:sz w:val="20"/>
          <w:szCs w:val="20"/>
          <w:highlight w:val="white"/>
        </w:rPr>
        <w:t xml:space="preserve"> para la realización de una audiencia pública.</w:t>
      </w:r>
    </w:p>
    <w:p w14:paraId="7C77F9BB"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21B46A21" w14:textId="0DB9FA34"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La audiencia pública se realizó 24 de septiembre de 2029, a las 8:30 a.m., en el Salón de sesiones de la Comisión Primera Constitucional Permanente </w:t>
      </w:r>
      <w:r>
        <w:rPr>
          <w:rFonts w:ascii="Plus Jakarta Sans" w:eastAsia="Plus Jakarta Sans" w:hAnsi="Plus Jakarta Sans" w:cs="Plus Jakarta Sans"/>
          <w:i/>
          <w:iCs/>
          <w:sz w:val="20"/>
          <w:szCs w:val="20"/>
          <w:highlight w:val="white"/>
        </w:rPr>
        <w:t xml:space="preserve">“Roberto Camacho </w:t>
      </w:r>
      <w:proofErr w:type="spellStart"/>
      <w:r>
        <w:rPr>
          <w:rFonts w:ascii="Plus Jakarta Sans" w:eastAsia="Plus Jakarta Sans" w:hAnsi="Plus Jakarta Sans" w:cs="Plus Jakarta Sans"/>
          <w:i/>
          <w:iCs/>
          <w:sz w:val="20"/>
          <w:szCs w:val="20"/>
          <w:highlight w:val="white"/>
        </w:rPr>
        <w:t>Weverberg</w:t>
      </w:r>
      <w:proofErr w:type="spellEnd"/>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xml:space="preserve"> de la Cámara de Representantes, conforme a la Resolución No. 1 de fecha 24 de septiembre de 2026, en donde se contó con la participación de 33 inscritos (19 manifestaron intención de intervenir) y 18 invitaciones a entidades y academia. La Secretaría certificó </w:t>
      </w:r>
      <w:r>
        <w:rPr>
          <w:rFonts w:ascii="Plus Jakarta Sans" w:eastAsia="Plus Jakarta Sans" w:hAnsi="Plus Jakarta Sans" w:cs="Plus Jakarta Sans"/>
          <w:b/>
          <w:bCs/>
          <w:sz w:val="20"/>
          <w:szCs w:val="20"/>
          <w:highlight w:val="white"/>
        </w:rPr>
        <w:t>28 intervenciones</w:t>
      </w:r>
      <w:r>
        <w:rPr>
          <w:rFonts w:ascii="Plus Jakarta Sans" w:eastAsia="Plus Jakarta Sans" w:hAnsi="Plus Jakarta Sans" w:cs="Plus Jakarta Sans"/>
          <w:sz w:val="20"/>
          <w:szCs w:val="20"/>
          <w:highlight w:val="white"/>
        </w:rPr>
        <w:t xml:space="preserve"> conforme al artículo 230 de la Ley 5 de 1992 y la sesión se levantó a las 11:41 a. m., la cual será publicada en la Gaceta del Congreso.</w:t>
      </w:r>
    </w:p>
    <w:p w14:paraId="32C0552A" w14:textId="77777777" w:rsidR="00544234" w:rsidRDefault="00544234">
      <w:pPr>
        <w:spacing w:line="240" w:lineRule="auto"/>
        <w:jc w:val="both"/>
        <w:rPr>
          <w:rFonts w:ascii="Plus Jakarta Sans" w:eastAsia="Plus Jakarta Sans" w:hAnsi="Plus Jakarta Sans" w:cs="Plus Jakarta Sans"/>
          <w:sz w:val="20"/>
          <w:szCs w:val="20"/>
          <w:highlight w:val="white"/>
        </w:rPr>
      </w:pPr>
    </w:p>
    <w:p w14:paraId="21583CBF" w14:textId="4E52482A"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Para el efecto, nos permitimos poner a consideración las intervenciones de los congresistas, entidades, ciudadanía, sociedad civil y </w:t>
      </w:r>
      <w:r w:rsidR="00544234">
        <w:rPr>
          <w:rFonts w:ascii="Plus Jakarta Sans" w:eastAsia="Plus Jakarta Sans" w:hAnsi="Plus Jakarta Sans" w:cs="Plus Jakarta Sans"/>
          <w:sz w:val="20"/>
          <w:szCs w:val="20"/>
          <w:highlight w:val="white"/>
        </w:rPr>
        <w:t>academia</w:t>
      </w:r>
      <w:r>
        <w:rPr>
          <w:rFonts w:ascii="Plus Jakarta Sans" w:eastAsia="Plus Jakarta Sans" w:hAnsi="Plus Jakarta Sans" w:cs="Plus Jakarta Sans"/>
          <w:sz w:val="20"/>
          <w:szCs w:val="20"/>
          <w:highlight w:val="white"/>
        </w:rPr>
        <w:t>:</w:t>
      </w:r>
    </w:p>
    <w:p w14:paraId="0C6EFA38" w14:textId="77777777" w:rsidR="00544234" w:rsidRDefault="00544234">
      <w:pPr>
        <w:spacing w:line="240" w:lineRule="auto"/>
        <w:jc w:val="both"/>
        <w:rPr>
          <w:rFonts w:ascii="Plus Jakarta Sans" w:eastAsia="Plus Jakarta Sans" w:hAnsi="Plus Jakarta Sans" w:cs="Plus Jakarta Sans"/>
          <w:sz w:val="20"/>
          <w:szCs w:val="20"/>
          <w:highlight w:val="white"/>
        </w:rPr>
      </w:pPr>
    </w:p>
    <w:tbl>
      <w:tblPr>
        <w:tblStyle w:val="a4"/>
        <w:tblW w:w="91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50"/>
        <w:gridCol w:w="6285"/>
      </w:tblGrid>
      <w:tr w:rsidR="004A4930" w14:paraId="1F78F283" w14:textId="77777777">
        <w:trPr>
          <w:trHeight w:val="300"/>
        </w:trPr>
        <w:tc>
          <w:tcPr>
            <w:tcW w:w="285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11F2D2C"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Interviniente / Calidad</w:t>
            </w:r>
          </w:p>
        </w:tc>
        <w:tc>
          <w:tcPr>
            <w:tcW w:w="62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414DD42"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Síntesis de la intervención</w:t>
            </w:r>
          </w:p>
        </w:tc>
      </w:tr>
      <w:tr w:rsidR="004A4930" w14:paraId="4CC2C0C7" w14:textId="77777777">
        <w:trPr>
          <w:trHeight w:val="186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DFC54A4"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Daniel Briceño</w:t>
            </w:r>
          </w:p>
          <w:p w14:paraId="54481B9A"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6D57BEE1"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Presenta el proyecto como iniciativa "del corazón" de su partido tras el asesinato de Miguel Uribe Turbay. Califica al autor del atentado como sicario y cuestiona que hubiera estado vinculado a Jóvenes en Paz.</w:t>
            </w:r>
          </w:p>
          <w:p w14:paraId="5A42B91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Pide endurecer el SRPA para adolescentes de 14 a 17 años que cometan delitos graves: "penas como mayores" para quienes actúan como mayores.</w:t>
            </w:r>
          </w:p>
        </w:tc>
      </w:tr>
      <w:tr w:rsidR="004A4930" w14:paraId="4168208E" w14:textId="77777777">
        <w:trPr>
          <w:trHeight w:val="300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66A78F1"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Daniel Mauricio Monroy Hernández</w:t>
            </w:r>
          </w:p>
          <w:p w14:paraId="1DAEAFE9"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519F48D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Plantea que el proyecto equipara el tratamiento penal de adolescentes al de adultos y que la pregunta central es si ataca el problema real. Lamenta el crimen, pero advierte que la instrumentalización ocurre en múltiples delitos.</w:t>
            </w:r>
          </w:p>
          <w:p w14:paraId="66BB7AE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Dudas de constitucionalidad (CDN, Ley 12 de 1991, bloque de constitucionalidad). Desproporción: penas mayores a las de adultos en hurto o porte de armas. Ley 2590 de 2026 ya elevó penas a quienes instrumentalizan menores. Los adolescentes son víctimas de las estructuras criminales; el endurecimiento podría desplazar el reclutamiento a menores de 14, por lo que considera al autor acoger las observaciones de expertos y jóvenes.</w:t>
            </w:r>
          </w:p>
        </w:tc>
      </w:tr>
      <w:tr w:rsidR="004A4930" w14:paraId="2510E693" w14:textId="77777777">
        <w:trPr>
          <w:trHeight w:val="190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B5B97B"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Guillermo León Blanco Valencia</w:t>
            </w:r>
          </w:p>
          <w:p w14:paraId="209991FB"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3E820C0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Sostiene que un mayor de 14 años es consciente de sus actos; descarta comparar a Colombia con Uruguay o Argentina. Cita el caso de Barrancabermeja (homicidio de una acompañante psicosocial por menores en hogar de paso).</w:t>
            </w:r>
          </w:p>
          <w:p w14:paraId="1E14F53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Apoya el proyecto como medida para "proteger" a los jóvenes del reclutamiento; reconoce que también se requiere educación y endurecer penas a reclutadores.</w:t>
            </w:r>
          </w:p>
        </w:tc>
      </w:tr>
      <w:tr w:rsidR="004A4930" w14:paraId="4922D481" w14:textId="77777777">
        <w:trPr>
          <w:trHeight w:val="213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6A5ED6"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Juan Pablo Duque</w:t>
            </w:r>
          </w:p>
          <w:p w14:paraId="4FC4EB84"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508C147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Reconoce la gravedad del problema y, a la vez, la especial protección constitucional de los adolescentes y la naturaleza diferenciada del SRPA.</w:t>
            </w:r>
          </w:p>
          <w:p w14:paraId="28FB3B6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Formula interrogantes: ¿hay evidencia de que más privación de libertad reduce la reincidencia?; efectos de la privación prolongada en educación y reintegración; cómo diferenciar al adolescente instrumentalizado; eficacia del Estado frente a los adultos reclutadores.</w:t>
            </w:r>
          </w:p>
        </w:tc>
      </w:tr>
      <w:tr w:rsidR="004A4930" w14:paraId="2F4589D6" w14:textId="77777777">
        <w:trPr>
          <w:trHeight w:val="211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3F3CE4"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Eimy Suárez</w:t>
            </w:r>
          </w:p>
          <w:p w14:paraId="0D0FE37A"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35968155"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Respalda el objetivo de evitar la instrumentalización, pero centra su intervención en problemas de técnica legislativa para "blindar" el proyecto.</w:t>
            </w:r>
          </w:p>
          <w:p w14:paraId="69EC74B1"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Señala: reproducción innecesaria de tipos de la Ley 599 de 2000 en el art. 2; falta precisar si se modifican tipos penales o solo las consecuencias en el SRPA (Ley 1098); remisión errada en el art. 187 propuesto al "artículo segundo"; revisar art. 33 de la Ley 599.</w:t>
            </w:r>
          </w:p>
        </w:tc>
      </w:tr>
      <w:tr w:rsidR="004A4930" w14:paraId="20959739" w14:textId="77777777">
        <w:trPr>
          <w:trHeight w:val="289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C5A0ED"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lastRenderedPageBreak/>
              <w:t>Laura Beltrán</w:t>
            </w:r>
          </w:p>
          <w:p w14:paraId="4DBB50D4"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2618BFB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Reconoce una preocupación legítima, pero califica el proyecto como política </w:t>
            </w:r>
            <w:proofErr w:type="spellStart"/>
            <w:r>
              <w:rPr>
                <w:rFonts w:ascii="Plus Jakarta Sans" w:eastAsia="Plus Jakarta Sans" w:hAnsi="Plus Jakarta Sans" w:cs="Plus Jakarta Sans"/>
                <w:sz w:val="20"/>
                <w:szCs w:val="20"/>
                <w:highlight w:val="white"/>
              </w:rPr>
              <w:t>punitivista</w:t>
            </w:r>
            <w:proofErr w:type="spellEnd"/>
            <w:r>
              <w:rPr>
                <w:rFonts w:ascii="Plus Jakarta Sans" w:eastAsia="Plus Jakarta Sans" w:hAnsi="Plus Jakarta Sans" w:cs="Plus Jakarta Sans"/>
                <w:sz w:val="20"/>
                <w:szCs w:val="20"/>
                <w:highlight w:val="white"/>
              </w:rPr>
              <w:t xml:space="preserve"> que no resuelve el problema estructural (reclutamiento en Bosa, Kennedy, Soacha; pobreza, deserción escolar).</w:t>
            </w:r>
          </w:p>
          <w:p w14:paraId="1E7F9C2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Revictimización e inversión de la carga al exigir al menor probar su reclutamiento. Contradice el Plan Nacional de Política Criminal (prevención y justicia restaurativa) y la Ley 1098. Exposición de motivos sustentada en 25 recortes de prensa (2018–2026), sin rigor estadístico. La propia reincidencia citada (~20 %) muestra que el sistema funciona. "El problema no son los niños".</w:t>
            </w:r>
          </w:p>
        </w:tc>
      </w:tr>
      <w:tr w:rsidR="004A4930" w14:paraId="11331612" w14:textId="77777777">
        <w:trPr>
          <w:trHeight w:val="195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5D73B80"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Daniel Bernal</w:t>
            </w:r>
          </w:p>
          <w:p w14:paraId="4D127684"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585977B3"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Plantea la tensión entre la prevalencia de los derechos del menor y el derecho a la vida de las víctimas (C-203 de 2005). Distingue el menor que actúa por autodeterminación del determinado por un adulto.</w:t>
            </w:r>
          </w:p>
          <w:p w14:paraId="7B51EE6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Sostiene que aumentar la pena no elimina la resocialización. Pide revisar la proporcionalidad para que no sean juzgados como mayores y endurecer las penas a los determinadores. </w:t>
            </w:r>
          </w:p>
        </w:tc>
      </w:tr>
      <w:tr w:rsidR="004A4930" w14:paraId="7C3B31BB" w14:textId="77777777">
        <w:trPr>
          <w:trHeight w:val="247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FE27CBD"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Manuel Correa</w:t>
            </w:r>
          </w:p>
          <w:p w14:paraId="5ED85472"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2C2C87E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Pone en conocimiento la preocupación del proyecto sobre si debe archivarse o, más bien, reflexionarse a fondo, pues toca el núcleo de la política criminal.</w:t>
            </w:r>
          </w:p>
          <w:p w14:paraId="4367B29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 SRPA se funda en justicia restaurativa y criminología del desarrollo, no en justicia retributiva. La criminología muestra que el aumento de penas no disuade: lo que disuade es la certeza de la sanción; el problema es la impunidad y el presupuesto de la justicia. Cualquier cambio debe hacerse desde la política criminal, no desde una norma aislada.</w:t>
            </w:r>
          </w:p>
        </w:tc>
      </w:tr>
      <w:tr w:rsidR="004A4930" w14:paraId="278D1F84" w14:textId="77777777">
        <w:trPr>
          <w:trHeight w:val="172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EFBBD6"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Jaime Arizabaleta</w:t>
            </w:r>
          </w:p>
          <w:p w14:paraId="5905BF9B" w14:textId="77777777" w:rsidR="004A4930" w:rsidRDefault="004A4930">
            <w:pPr>
              <w:spacing w:line="240" w:lineRule="auto"/>
              <w:jc w:val="center"/>
              <w:rPr>
                <w:rFonts w:ascii="Plus Jakarta Sans" w:eastAsia="Plus Jakarta Sans" w:hAnsi="Plus Jakarta Sans" w:cs="Plus Jakarta Sans"/>
                <w:sz w:val="20"/>
                <w:szCs w:val="20"/>
                <w:highlight w:val="white"/>
              </w:rPr>
            </w:pP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4C94865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Agradece el rigor de las intervenciones y reconoce que hay muchos temas que hay que corregir para la ponencia.</w:t>
            </w:r>
          </w:p>
          <w:p w14:paraId="78F3443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Defiende el objetivo de quitar el "incentivo perverso" a las bandas; sostiene que el adolescente actual discierne mejor que el de hace décadas, que el CIA no prevé sanciones serias para homicidios y que la ley es "supremamente constitucional".</w:t>
            </w:r>
          </w:p>
        </w:tc>
      </w:tr>
      <w:tr w:rsidR="004A4930" w14:paraId="7DDDA0B1" w14:textId="77777777">
        <w:trPr>
          <w:trHeight w:val="192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BFED880"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Omar Germán Mejía Olmos</w:t>
            </w:r>
          </w:p>
          <w:p w14:paraId="2AC4A6A1"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Jefe Oficina Jurídica – ICBF</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5539395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Posición institucional neutral; considera necesario el debate y reconoce a niños y familias como víctimas.</w:t>
            </w:r>
          </w:p>
          <w:p w14:paraId="0F59AA0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Condiciones: preservar la finalidad pedagógica; dimensionar el impacto sobre el ICBF (infraestructura y personal no previstos); financiación e implementación gradual; contar con concepto del Consejo Superior de Política Criminal y del Ministerio de Hacienda.</w:t>
            </w:r>
          </w:p>
        </w:tc>
      </w:tr>
      <w:tr w:rsidR="004A4930" w14:paraId="7EB5EFAC" w14:textId="77777777">
        <w:trPr>
          <w:trHeight w:val="262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6A9CB0"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lastRenderedPageBreak/>
              <w:t>Cnel. Sandra Lancheros</w:t>
            </w:r>
          </w:p>
          <w:p w14:paraId="2709E57B"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Policía Nacional</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41B5557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Revisó los 25 delitos del proyecto. En 6 de ellos hay modalidades con pena inferior a 5 años en el Código Penal, que el art. 3 sanciona con 5 a 15 años.</w:t>
            </w:r>
          </w:p>
          <w:p w14:paraId="649D398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Sanciones más severas para adolescentes que para adultos por la misma conducta. Errores de forma (art. 208 C.P.; art. 245 </w:t>
            </w:r>
            <w:proofErr w:type="spellStart"/>
            <w:r>
              <w:rPr>
                <w:rFonts w:ascii="Plus Jakarta Sans" w:eastAsia="Plus Jakarta Sans" w:hAnsi="Plus Jakarta Sans" w:cs="Plus Jakarta Sans"/>
                <w:sz w:val="20"/>
                <w:szCs w:val="20"/>
                <w:highlight w:val="white"/>
              </w:rPr>
              <w:t>num</w:t>
            </w:r>
            <w:proofErr w:type="spellEnd"/>
            <w:r>
              <w:rPr>
                <w:rFonts w:ascii="Plus Jakarta Sans" w:eastAsia="Plus Jakarta Sans" w:hAnsi="Plus Jakarta Sans" w:cs="Plus Jakarta Sans"/>
                <w:sz w:val="20"/>
                <w:szCs w:val="20"/>
                <w:highlight w:val="white"/>
              </w:rPr>
              <w:t>. 2 sobre cargos públicos). Estudios de EE. UU., Argentina y Uruguay: agravar penas no reduce el delito. Ingresos al SRPA bajaron de 41.000 (2006) a 7.000 (2025). Recomienda prevención temprana, Policía de Infancia, justicia restaurativa.</w:t>
            </w:r>
          </w:p>
        </w:tc>
      </w:tr>
      <w:tr w:rsidR="004A4930" w14:paraId="722BE796" w14:textId="77777777">
        <w:trPr>
          <w:trHeight w:val="292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4B899B0"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Mario Suescún</w:t>
            </w:r>
          </w:p>
          <w:p w14:paraId="58ECC6AF"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Asesor – Defensoría del Pueblo (Defensora Iris Marín)</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0E8F07E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 SRPA no es réplica del sistema de adultos; sus sanciones son protectoras, educativas y restaurativas.</w:t>
            </w:r>
          </w:p>
          <w:p w14:paraId="203025E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 proyecto casi duplica la sanción (máx. 8 → 5 a 15 años), baja el umbral de 6 a 5 años y elimina sustitución y redención: trato más gravoso que a adultos. Retroceso frente a CDN, Reglas de Beijing y Observación General 24. No hay evidencia empírica; reincidencia ~20 %; populismo punitivo por casos mediáticos. Recomienda reconsiderar la ampliación y perseguir a los adultos reclutadores. Valora positivamente la exclusión por instrumentalización (art. 3).</w:t>
            </w:r>
          </w:p>
        </w:tc>
      </w:tr>
      <w:tr w:rsidR="004A4930" w14:paraId="61BB159D" w14:textId="77777777">
        <w:trPr>
          <w:trHeight w:val="186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605450"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Iván Quintero</w:t>
            </w:r>
          </w:p>
          <w:p w14:paraId="1F8F4D6B"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Abogado penalista y disciplinario</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5799B8D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Señala la deuda del Estado por no tener un código penal especializado para adolescentes y que la madurez no es un criterio objetivo.</w:t>
            </w:r>
          </w:p>
          <w:p w14:paraId="3F5602E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Considera necesario ampliar el espectro de responsabilidad y privación de libertad hacia los 14 años, pero con enfoque de restablecimiento de derechos y protección del menor (Reglas de Beijing).</w:t>
            </w:r>
          </w:p>
        </w:tc>
      </w:tr>
      <w:tr w:rsidR="004A4930" w14:paraId="2DE34418" w14:textId="77777777">
        <w:trPr>
          <w:trHeight w:val="168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13907DE"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Andrés Felipe Caballero</w:t>
            </w:r>
          </w:p>
          <w:p w14:paraId="63EFB5B3"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Director, Caballero Sierra Asociados</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7E1A7D00"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Se declara opositor del populismo punitivo, pero sostiene que este proyecto no lo es: solo modifica el quantum de sanciones y amplía el catálogo.</w:t>
            </w:r>
          </w:p>
          <w:p w14:paraId="593A553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culpabilidad depende del nivel de comprensión y no solo de la edad; de ~3.600 ingresos (2022–2025), ~3.100 son por homicidio o violencia sexual comprensibles a temprana edad.</w:t>
            </w:r>
          </w:p>
        </w:tc>
      </w:tr>
      <w:tr w:rsidR="004A4930" w14:paraId="428BA08F" w14:textId="77777777">
        <w:trPr>
          <w:trHeight w:val="292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2B819E6"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Alejandra Mora</w:t>
            </w:r>
          </w:p>
          <w:p w14:paraId="6BC6437A"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Comisión Colombiana de Juristas</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30177EA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Analizó los arts. 2 y 3 frente a la Constitución y el bloque. Plantea cinco problemas.</w:t>
            </w:r>
          </w:p>
          <w:p w14:paraId="1061D935"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(1) Ausencia de justificación pedagógica: no explica qué se logra en 15 años que no se logre en 8; justificación puramente punitiva. (2) Desproporción: lesiones con incapacidad &lt; 30 días, adulto 16–36 meses vs. adolescente mínimo 5 años. </w:t>
            </w:r>
          </w:p>
          <w:p w14:paraId="14D67D41"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(3) Sanción mínima que impide sustitución y revisión (Corte IDH, *Mendoza y otros vs. Argentina*). </w:t>
            </w:r>
          </w:p>
          <w:p w14:paraId="038FE68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(4) Ruptura de la excepcionalidad (Reglas de la ONU). (5) Inversión de la carga al adolescente reclutado; contraría Estatuto de Roma y art. 64 de la Ley 1957 de 2019 (JEP).</w:t>
            </w:r>
          </w:p>
        </w:tc>
      </w:tr>
      <w:tr w:rsidR="004A4930" w14:paraId="59316A58" w14:textId="77777777">
        <w:trPr>
          <w:trHeight w:val="264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9B6DC9"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lastRenderedPageBreak/>
              <w:t>Juan José Salazar</w:t>
            </w:r>
          </w:p>
          <w:p w14:paraId="42CF77B5"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Estudiante – Universidad Nacional</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2C3043B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Endurecer penas sin atacar la causa es un sinsentido; una tragedia puede abrir un debate legislativo pero no cerrar uno jurídico.</w:t>
            </w:r>
          </w:p>
          <w:p w14:paraId="52A32E3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 dónde salen los 15 años? Estudio de EE. UU. con 12.325 jóvenes trasladados al sistema adulto sin mejora; el NIJ lo calificó ineficaz. Penas superiores a adultos (art. 112: adulto hasta 54 meses vs. mínimo 60; art. 365). Ley 2590 de 2026 ya endureció penas a quienes usan menores. Nota en la exposición de motivos, p. 22: "Aquí ver si le pongo 15 o lo dejo así": la cifra parece aleatoria.</w:t>
            </w:r>
          </w:p>
        </w:tc>
      </w:tr>
      <w:tr w:rsidR="004A4930" w14:paraId="47E78FD8" w14:textId="77777777">
        <w:trPr>
          <w:trHeight w:val="166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7C994CC"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César Munir Cárdenas</w:t>
            </w:r>
          </w:p>
          <w:p w14:paraId="6B5E465A"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Ciudadano activista</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1ABDC849"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Una persona armada y dispuesta a matar lo hace sin importar la edad. Cita 5.230 aprehensiones (2022–2025) y los homicidios anuales; recuerda la sanción de 84 meses al autor del atentado.</w:t>
            </w:r>
          </w:p>
          <w:p w14:paraId="7DB9470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Pide al Congreso tramitar de forma prioritaria el proyecto: los criminales aprovechan el sistema actual; el reclutador es el mayor responsable, pero "el crimen sí paga".</w:t>
            </w:r>
          </w:p>
        </w:tc>
      </w:tr>
      <w:tr w:rsidR="004A4930" w14:paraId="74CC19F3" w14:textId="77777777">
        <w:trPr>
          <w:trHeight w:val="159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862E4F"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Johan Tobías Andrés</w:t>
            </w:r>
          </w:p>
          <w:p w14:paraId="4BAB4233"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Estudiante – Universidad Nacional</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04176C8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Desde el derecho natural tomista, un joven de 14 años comprende que matar es malo. Relata el caso de un compañero apuñalado por cinco menores en La Castellana.</w:t>
            </w:r>
          </w:p>
          <w:p w14:paraId="11AB544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Pide endurecer las penas y seguir adelante con el proyecto; critica la "irrisoria" condena del caso Uribe Turbay y la impunidad.</w:t>
            </w:r>
          </w:p>
        </w:tc>
      </w:tr>
      <w:tr w:rsidR="004A4930" w14:paraId="5DEDF5AC" w14:textId="77777777">
        <w:trPr>
          <w:trHeight w:val="297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0C8566"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Hilda Molano</w:t>
            </w:r>
          </w:p>
          <w:p w14:paraId="5C66794A"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COALICO (Coalición contra la vinculación de NNAJ al conflicto armado)</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6247E08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Comparte que el Estado debe responder con toda su capacidad frente a quienes reclutan; la diferencia es hacia dónde apunta el proyecto (JEP, caso 07: 18.677 NNA reclutados).</w:t>
            </w:r>
          </w:p>
          <w:p w14:paraId="7A7E64C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Solicita a la Comisión Primera archivar el proyecto; subsidiariamente, pedir antes del primer debate los conceptos pendientes (Consejo de Política Criminal) e impacto fiscal, eliminar el mínimo obligatorio de 5 años y trasladar a la Fiscalía la carga de probar la instrumentalización. El proyecto castiga al ejecutor-víctima y no trae datos de adultos condenados por reclutamiento. Una ley con el nombre del senador debería ocuparse de los determinadores.</w:t>
            </w:r>
          </w:p>
        </w:tc>
      </w:tr>
      <w:tr w:rsidR="004A4930" w14:paraId="5C0360C2" w14:textId="77777777">
        <w:trPr>
          <w:trHeight w:val="223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CF6A23A"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Fernando Sabogal</w:t>
            </w:r>
          </w:p>
          <w:p w14:paraId="6CBA3D45"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Defensa de Niños Internacional (DNI)</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3FCD74B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 espejismo de la punición": desde 1933 la prensa anuncia crímenes juveniles cada vez más atroces; es populismo jurídico.</w:t>
            </w:r>
          </w:p>
          <w:p w14:paraId="4803FCB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Concluye que el proyecto debe archivarse. La prisión prolongada no resocializa y se vuelve escuela del delito; un joven que entra a los 14 y sale a los 30 pierde vínculos y oportunidades. Según ICBF (2024), la delincuencia juvenil es 2,3 % del total y los delitos graves 0,1 %. "La mejor política criminal es la inversión social".</w:t>
            </w:r>
          </w:p>
        </w:tc>
      </w:tr>
      <w:tr w:rsidR="004A4930" w14:paraId="08AD17E1" w14:textId="77777777">
        <w:trPr>
          <w:trHeight w:val="318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A3CF9E"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lastRenderedPageBreak/>
              <w:t>Ángela Marcela Olarte</w:t>
            </w:r>
          </w:p>
          <w:p w14:paraId="0F608B69"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Centro de Investigación en Política Criminal – U. Externado</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05D0F8AA"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Plantea tres tensiones con base en jurisprudencia constitucional y de la Sala Penal de la Corte Suprema.</w:t>
            </w:r>
          </w:p>
          <w:p w14:paraId="3CE04A1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(1) Desconoce el carácter específico, diferenciado y pedagógico de la sanción; Reglas de Beijing (Regla 17) y de La Habana como parámetro de control; la Corte Suprema indica sustituir la privación incluso en homicidio, extorsión y secuestro. (2) Efectos negativos del encierro: informes de Defensoría (2015, 2023) sobre celdas de castigo, falta de infraestructura educativa, ruptura familiar y ausencia de centros en al menos 10 departamentos. </w:t>
            </w:r>
          </w:p>
          <w:p w14:paraId="0387B811"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(3) Regreso al paradigma de la situación irregular y enfoque </w:t>
            </w:r>
            <w:proofErr w:type="spellStart"/>
            <w:r>
              <w:rPr>
                <w:rFonts w:ascii="Plus Jakarta Sans" w:eastAsia="Plus Jakarta Sans" w:hAnsi="Plus Jakarta Sans" w:cs="Plus Jakarta Sans"/>
                <w:sz w:val="20"/>
                <w:szCs w:val="20"/>
                <w:highlight w:val="white"/>
              </w:rPr>
              <w:t>peligrosista</w:t>
            </w:r>
            <w:proofErr w:type="spellEnd"/>
            <w:r>
              <w:rPr>
                <w:rFonts w:ascii="Plus Jakarta Sans" w:eastAsia="Plus Jakarta Sans" w:hAnsi="Plus Jakarta Sans" w:cs="Plus Jakarta Sans"/>
                <w:sz w:val="20"/>
                <w:szCs w:val="20"/>
                <w:highlight w:val="white"/>
              </w:rPr>
              <w:t>.</w:t>
            </w:r>
          </w:p>
        </w:tc>
      </w:tr>
      <w:tr w:rsidR="004A4930" w14:paraId="56AE4754" w14:textId="77777777">
        <w:trPr>
          <w:trHeight w:val="213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79D2F3"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Santiago García Castiblanco</w:t>
            </w:r>
          </w:p>
          <w:p w14:paraId="239EA7AB"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Ciudadano</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18931A79"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Honra el dolor detrás de la ley, pero advierte desproporción y contradicciones internas.</w:t>
            </w:r>
          </w:p>
          <w:p w14:paraId="5E6B5525"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Lesiones: máx. adulto 36 meses &lt; piso de 5 años del proyecto. Según la propia tabla del proyecto, 61 % es porte de armas; terrorismo ~4 casos (2022–2024); aprehensiones estables (1.400–1.600) y en descenso en 2025: no hay explosión criminal juvenil que justifique el proyecto. Los jóvenes no conocen el tope de las sanciones, por lo que el efecto disuasivo es nulo.</w:t>
            </w:r>
          </w:p>
        </w:tc>
      </w:tr>
      <w:tr w:rsidR="004A4930" w14:paraId="0920D81E" w14:textId="77777777">
        <w:trPr>
          <w:trHeight w:val="223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F34804"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Juan Felipe Piñero</w:t>
            </w:r>
          </w:p>
          <w:p w14:paraId="6E1EADDF"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Ciudadano</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2A013DE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Echa de menos un análisis de constitucionalidad (arts. 2, 4, 29 y 44 C.P.).</w:t>
            </w:r>
          </w:p>
          <w:p w14:paraId="0CB14E9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prohibición de sustitución (art. 3, que modifica el art. 187 CIA) y la carga probatoria vulneran el debido proceso y la prevalencia de los derechos del niño. CDN art. 37 (b) y (d): último recurso y periodo más breve posible — "¿es 15 años el periodo más breve posible?". Regla de Beijing 5.1; Sentencia C-839 de 2001. Limita la valoración subjetiva del juez.</w:t>
            </w:r>
          </w:p>
        </w:tc>
      </w:tr>
      <w:tr w:rsidR="004A4930" w14:paraId="7487C187" w14:textId="77777777">
        <w:trPr>
          <w:trHeight w:val="2130"/>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0FA188"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Marisol Palacio Cepeda</w:t>
            </w:r>
          </w:p>
          <w:p w14:paraId="0EB4C5D0"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Fundación Alianza por la Niñez / Centro de pensamiento FIBES</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4815632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 problema no se reduce a infraestructura ni a incrementar sanciones; plantea si el paradigma de protección integral se ha alcanzado.</w:t>
            </w:r>
          </w:p>
          <w:p w14:paraId="7789978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Propone aumentar sanciones a los determinadores (</w:t>
            </w:r>
            <w:proofErr w:type="spellStart"/>
            <w:r>
              <w:rPr>
                <w:rFonts w:ascii="Plus Jakarta Sans" w:eastAsia="Plus Jakarta Sans" w:hAnsi="Plus Jakarta Sans" w:cs="Plus Jakarta Sans"/>
                <w:sz w:val="20"/>
                <w:szCs w:val="20"/>
                <w:highlight w:val="white"/>
              </w:rPr>
              <w:t>sobredeterminación</w:t>
            </w:r>
            <w:proofErr w:type="spellEnd"/>
            <w:r>
              <w:rPr>
                <w:rFonts w:ascii="Plus Jakarta Sans" w:eastAsia="Plus Jakarta Sans" w:hAnsi="Plus Jakarta Sans" w:cs="Plus Jakarta Sans"/>
                <w:sz w:val="20"/>
                <w:szCs w:val="20"/>
                <w:highlight w:val="white"/>
              </w:rPr>
              <w:t xml:space="preserve"> del determinador). Si el proyecto persiste: presunción de victimización del adolescente, reformar el art. 187 frente a la instrumentalización y fijar coordenadas del interés superior.</w:t>
            </w:r>
          </w:p>
        </w:tc>
      </w:tr>
      <w:tr w:rsidR="004A4930" w14:paraId="1BAA6D07" w14:textId="77777777">
        <w:trPr>
          <w:trHeight w:val="220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1858FF"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Karen Lorena Martínez</w:t>
            </w:r>
          </w:p>
          <w:p w14:paraId="1C1AF958"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Fundación Tiempo de Juego</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51DC5C1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efectividad de una sanción no se mide por su severidad sino por su capacidad de prevenir y reparar; la adolescencia es etapa de desarrollo.</w:t>
            </w:r>
          </w:p>
          <w:p w14:paraId="0DC6B8C1"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Expone preocupaciones técnicas frente al endurecimiento y a la restricción de la sustitución: la sustitución no es ausencia de responsabilidad, es mecanismo judicial individualizado (C-281 de 2023). Pide fortalecer los CAE, la justicia restaurativa y el acompañamiento al egreso.</w:t>
            </w:r>
          </w:p>
        </w:tc>
      </w:tr>
      <w:tr w:rsidR="004A4930" w14:paraId="694EB5FD" w14:textId="77777777">
        <w:trPr>
          <w:trHeight w:val="2655"/>
        </w:trPr>
        <w:tc>
          <w:tcPr>
            <w:tcW w:w="28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255FC2"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lastRenderedPageBreak/>
              <w:t>Juan Alejandro Ordóñez</w:t>
            </w:r>
          </w:p>
          <w:p w14:paraId="58D79AD9"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Fundación Mi Historia</w:t>
            </w:r>
          </w:p>
        </w:tc>
        <w:tc>
          <w:tcPr>
            <w:tcW w:w="6285" w:type="dxa"/>
            <w:tcBorders>
              <w:top w:val="nil"/>
              <w:left w:val="nil"/>
              <w:bottom w:val="single" w:sz="5" w:space="0" w:color="000000"/>
              <w:right w:val="single" w:sz="5" w:space="0" w:color="000000"/>
            </w:tcBorders>
            <w:tcMar>
              <w:top w:w="0" w:type="dxa"/>
              <w:left w:w="100" w:type="dxa"/>
              <w:bottom w:w="0" w:type="dxa"/>
              <w:right w:w="100" w:type="dxa"/>
            </w:tcMar>
          </w:tcPr>
          <w:p w14:paraId="625C5CF5"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Trabaja en prevención del reclutamiento y con egresados del SRPA.</w:t>
            </w:r>
          </w:p>
          <w:p w14:paraId="0C6712F3"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Proyecto inconstitucional e </w:t>
            </w:r>
            <w:proofErr w:type="spellStart"/>
            <w:r>
              <w:rPr>
                <w:rFonts w:ascii="Plus Jakarta Sans" w:eastAsia="Plus Jakarta Sans" w:hAnsi="Plus Jakarta Sans" w:cs="Plus Jakarta Sans"/>
                <w:sz w:val="20"/>
                <w:szCs w:val="20"/>
                <w:highlight w:val="white"/>
              </w:rPr>
              <w:t>inconvencional</w:t>
            </w:r>
            <w:proofErr w:type="spellEnd"/>
            <w:r>
              <w:rPr>
                <w:rFonts w:ascii="Plus Jakarta Sans" w:eastAsia="Plus Jakarta Sans" w:hAnsi="Plus Jakarta Sans" w:cs="Plus Jakarta Sans"/>
                <w:sz w:val="20"/>
                <w:szCs w:val="20"/>
                <w:highlight w:val="white"/>
              </w:rPr>
              <w:t xml:space="preserve"> (CDN, PIDCP, CADH, OG 24, OC-17 Corte IDH, Beijing, La Habana). La privación pasaría de excepción a regla general. No supera el test de proporcionalidad. Invierte la carga de la prueba sin valoración psicosocial del ICBF o Defensoría. Vicio de trámite: debió ser ley estatutaria, pues toca el núcleo de libertad, igualdad y debido proceso. Que la laxitud atraiga reclutadores es un falso imaginario.</w:t>
            </w:r>
          </w:p>
        </w:tc>
      </w:tr>
      <w:tr w:rsidR="004A4930" w14:paraId="6072A6E7" w14:textId="77777777">
        <w:trPr>
          <w:trHeight w:val="2715"/>
        </w:trPr>
        <w:tc>
          <w:tcPr>
            <w:tcW w:w="2850"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BA89037"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Alejandro Ruiz Caicedo</w:t>
            </w:r>
          </w:p>
          <w:p w14:paraId="5CB157A2"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Profesor U. Nacional (inscrito por Aldeas Infantiles)</w:t>
            </w:r>
          </w:p>
        </w:tc>
        <w:tc>
          <w:tcPr>
            <w:tcW w:w="628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1A7BD0E6"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Cifras del Observatorio SRPA/ICBF: &gt;65 % tienen 16–17 años; &gt;70 % sin educación básica; &gt;87 % hijos de madres adolescentes; ~90 % estratos 1 y 2; 75–80 % consumo de SPA; 100 % víctimas de violencia intrafamiliar.</w:t>
            </w:r>
          </w:p>
          <w:p w14:paraId="1B09C260"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Viola la CDN (art. 37), las Directrices de Riad y la OG 24 (revisión periódica). Falta 48 % de equipos psicosociales (Procuraduría): ¿quién hará las evaluaciones? Cumplimiento en establecimientos del INPEC, que no resocializa. Contraría el Plan Decenal del Ministerio de Justicia. 94 % de impunidad. Recuerda la Ley 2498 de 2025 y el Decreto 1434 de 2018.</w:t>
            </w:r>
          </w:p>
        </w:tc>
      </w:tr>
      <w:tr w:rsidR="004A4930" w14:paraId="60D65B29" w14:textId="77777777">
        <w:trPr>
          <w:trHeight w:val="2640"/>
        </w:trPr>
        <w:tc>
          <w:tcPr>
            <w:tcW w:w="2850"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979D771"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Jeffrey Joel Torrado</w:t>
            </w:r>
          </w:p>
          <w:p w14:paraId="424AD6A1"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Centro de Estudios Socio-Jurídicos (Latinoamericanos)</w:t>
            </w:r>
          </w:p>
        </w:tc>
        <w:tc>
          <w:tcPr>
            <w:tcW w:w="628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4C18AA64"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Aplica el juicio integrado de igualdad en intensidad estricta (sujetos de especial protección y derecho a la libertad).</w:t>
            </w:r>
          </w:p>
          <w:p w14:paraId="694D983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Sostiene que el proyecto no tiene vocación constitucional y debe archivarse. Fines declarados legítimos (vida, evitar instrumentalización), pero las medidas persiguen fines proscritos: retribución, prevención general e inocuización. No es necesario: la Ley 2590 de 2026 ya apunta a los instrumentalizadores. No es proporcional: beneficios inciertos, costos ciertos; podría desplazar el reclutamiento a menores de 14.</w:t>
            </w:r>
          </w:p>
        </w:tc>
      </w:tr>
      <w:tr w:rsidR="004A4930" w14:paraId="4D7594AC" w14:textId="77777777">
        <w:trPr>
          <w:trHeight w:val="2655"/>
        </w:trPr>
        <w:tc>
          <w:tcPr>
            <w:tcW w:w="2850"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A742F87" w14:textId="77777777" w:rsidR="004A4930" w:rsidRDefault="006E06B4">
            <w:pPr>
              <w:spacing w:after="40"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Luz Alcira Granada</w:t>
            </w:r>
          </w:p>
          <w:p w14:paraId="76501CA4"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Alianza por la Niñez Colombiana (más de 25 organizaciones)</w:t>
            </w:r>
          </w:p>
        </w:tc>
        <w:tc>
          <w:tcPr>
            <w:tcW w:w="6285" w:type="dxa"/>
            <w:tcBorders>
              <w:top w:val="nil"/>
              <w:left w:val="nil"/>
              <w:bottom w:val="single" w:sz="5" w:space="0" w:color="000000"/>
              <w:right w:val="single" w:sz="5" w:space="0" w:color="000000"/>
            </w:tcBorders>
            <w:shd w:val="clear" w:color="auto" w:fill="FFFFFF"/>
            <w:tcMar>
              <w:top w:w="0" w:type="dxa"/>
              <w:left w:w="100" w:type="dxa"/>
              <w:bottom w:w="0" w:type="dxa"/>
              <w:right w:w="100" w:type="dxa"/>
            </w:tcMar>
          </w:tcPr>
          <w:p w14:paraId="7A67AE2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Iniciativa recurrente en cada legislatura; su organización participó en la construcción del CIA en 2006.</w:t>
            </w:r>
          </w:p>
          <w:p w14:paraId="7691ABB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Tensiones con los arts. 44, 45 y 93 C.P., la CDN, la OG 24 y las sentencias C-203 de 2005 y C-281 de 2023. Las fallas del SRPA obedecen a falta de financiación e implementación (equipos pedagógicos limitados, nulo acompañamiento a familias y al egreso), no a sanciones bajas. Pide seguimiento a la Ley de Seguridad Ciudadana: la persecución llega solo a la "cadena media", no a los determinadores.</w:t>
            </w:r>
          </w:p>
        </w:tc>
      </w:tr>
    </w:tbl>
    <w:p w14:paraId="32D57ACE" w14:textId="77777777" w:rsidR="004A4930" w:rsidRDefault="004A4930">
      <w:pPr>
        <w:spacing w:line="240" w:lineRule="auto"/>
        <w:ind w:left="1440"/>
        <w:jc w:val="both"/>
        <w:rPr>
          <w:rFonts w:ascii="Plus Jakarta Sans" w:eastAsia="Plus Jakarta Sans" w:hAnsi="Plus Jakarta Sans" w:cs="Plus Jakarta Sans"/>
          <w:sz w:val="20"/>
          <w:szCs w:val="20"/>
          <w:highlight w:val="yellow"/>
        </w:rPr>
      </w:pPr>
    </w:p>
    <w:p w14:paraId="42D4EF07" w14:textId="77777777" w:rsidR="004A4930" w:rsidRDefault="004A4930">
      <w:pPr>
        <w:spacing w:line="240" w:lineRule="auto"/>
        <w:ind w:left="1440"/>
        <w:jc w:val="both"/>
        <w:rPr>
          <w:rFonts w:ascii="Plus Jakarta Sans" w:eastAsia="Plus Jakarta Sans" w:hAnsi="Plus Jakarta Sans" w:cs="Plus Jakarta Sans"/>
          <w:sz w:val="20"/>
          <w:szCs w:val="20"/>
          <w:highlight w:val="yellow"/>
        </w:rPr>
      </w:pPr>
    </w:p>
    <w:p w14:paraId="7DE2B03D" w14:textId="77777777" w:rsidR="004A4930" w:rsidRDefault="006E06B4">
      <w:pPr>
        <w:numPr>
          <w:ilvl w:val="0"/>
          <w:numId w:val="4"/>
        </w:numPr>
        <w:spacing w:line="240" w:lineRule="auto"/>
        <w:ind w:left="566" w:hanging="425"/>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OBJETO DEL PROYECTO </w:t>
      </w:r>
    </w:p>
    <w:p w14:paraId="7C90060C" w14:textId="77777777" w:rsidR="004A4930" w:rsidRDefault="004A4930">
      <w:pPr>
        <w:spacing w:line="240" w:lineRule="auto"/>
        <w:ind w:left="1440"/>
        <w:jc w:val="both"/>
        <w:rPr>
          <w:rFonts w:ascii="Plus Jakarta Sans" w:eastAsia="Plus Jakarta Sans" w:hAnsi="Plus Jakarta Sans" w:cs="Plus Jakarta Sans"/>
          <w:b/>
          <w:bCs/>
          <w:sz w:val="20"/>
          <w:szCs w:val="20"/>
          <w:highlight w:val="white"/>
        </w:rPr>
      </w:pPr>
    </w:p>
    <w:p w14:paraId="3C44FE29" w14:textId="77777777" w:rsidR="004A4930" w:rsidRDefault="006E06B4">
      <w:pPr>
        <w:spacing w:line="240" w:lineRule="auto"/>
        <w:ind w:left="36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DD731DA"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El objeto de la presente ley es modificar parcialmente el régimen de responsabilidad penal de los menores de edad, entre 14 y 17 años, que cometan algunos delitos establecidos en las Leyes 599 de 2000 y 906 de 2004. </w:t>
      </w:r>
    </w:p>
    <w:p w14:paraId="03A05290"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388C1409"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Para ello, el artículo 2 del Proyecto de Ley amplía el ámbito de aplicación de responsabilidad penal para adolescentes entre 14 y 17 años que sean responsables de los siguientes tipos penales: </w:t>
      </w:r>
      <w:r>
        <w:rPr>
          <w:rFonts w:ascii="Plus Jakarta Sans" w:eastAsia="Plus Jakarta Sans" w:hAnsi="Plus Jakarta Sans" w:cs="Plus Jakarta Sans"/>
          <w:sz w:val="20"/>
          <w:szCs w:val="20"/>
          <w:highlight w:val="white"/>
        </w:rPr>
        <w:lastRenderedPageBreak/>
        <w:t>genocidio, homicidio, lesiones personales en sus distintas modalidades, desaparición forzada, secuestro simple, secuestro extorsivo, tortura, acceso carnal violento, acto sexual violento, acceso carnal o acto sexual en persona puesta en incapacidad de resistir, acceso carnal abusivo con menor de catorce años, actos sexuales con menor de catorce años, acceso carnal o acto sexual abusivos con incapaz de resistir, hurto calificado, extorsión con sus circunstancias de agravación, terrorismo, financiación del terrorismo y de grupos de delincuencia organizada, empleo o lanzamiento de sustancias u objetos peligrosos, fabricación, tráfico y porte de armas de fuego o municiones, y fabricación, tráfico y porte de armas, municiones de uso restringido o de uso privativo de las Fuerzas Armadas o explosivos.</w:t>
      </w:r>
    </w:p>
    <w:p w14:paraId="70E9802C"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48E70F3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 artículo 3 del proyecto modifica el artículo 187 de la Ley 1098 de 2006 "</w:t>
      </w:r>
      <w:r>
        <w:rPr>
          <w:rFonts w:ascii="Plus Jakarta Sans" w:eastAsia="Plus Jakarta Sans" w:hAnsi="Plus Jakarta Sans" w:cs="Plus Jakarta Sans"/>
          <w:i/>
          <w:iCs/>
          <w:sz w:val="20"/>
          <w:szCs w:val="20"/>
          <w:highlight w:val="white"/>
        </w:rPr>
        <w:t>Código de infancia y adolescencia</w:t>
      </w:r>
      <w:r>
        <w:rPr>
          <w:rFonts w:ascii="Plus Jakarta Sans" w:eastAsia="Plus Jakarta Sans" w:hAnsi="Plus Jakarta Sans" w:cs="Plus Jakarta Sans"/>
          <w:sz w:val="20"/>
          <w:szCs w:val="20"/>
          <w:highlight w:val="white"/>
        </w:rPr>
        <w:t xml:space="preserve">”, disponiendo que la privación de la libertad en centro especializado aplicará a adolescentes entre 14 y 18 años que sean responsables de conductas punibles cuya pena mínima en el Código Penal sea o exceda de cinco años. En estos casos la sanción tendrá una duración de 1 año hasta 5 años. En este sentido, el cambio propuesto consiste en disminuir la edad mínima de privación de la libertad de 16 a 14 años, y la pena mínima para considerar la privación, ya que pasa de seis años a cinco años. La privación se sostiene igual de 1 hasta 5 años. </w:t>
      </w:r>
    </w:p>
    <w:p w14:paraId="633ECAB4"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7AF3378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De igual manera, el artículo 3 propone que la privación de la libertad en centro especializado aplicará a adolescentes entre 14 y 17 años con una pena de 5 a 15 años sin lugar a beneficios para redimir el tiempo de sanción, cuando sean responsables de la comisión de los delitos graves previstos en el artículo 2 del proyecto de ley. En este sentido, se presenta un cambio importante ya que el texto vigente del artículo 187 de la Ley 1098 de 2006 no remite a una lista extensa y taxativa, sino a cuatro categorías: homicidio doloso, secuestro, extorsión en todas sus formas, y delitos agravados contra la libertad, integridad y formación sexual. Ahora se pasa de esas 4 categorías genéricas a 20 tipos penales específicos, con una pena que puede llegar hasta los 15 años sin posibilidad de redimir tiempo. </w:t>
      </w:r>
    </w:p>
    <w:p w14:paraId="5FA7061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25A1B9E3" w14:textId="77777777" w:rsidR="004A4930" w:rsidRDefault="006E06B4">
      <w:pPr>
        <w:numPr>
          <w:ilvl w:val="0"/>
          <w:numId w:val="4"/>
        </w:numPr>
        <w:spacing w:line="240" w:lineRule="auto"/>
        <w:ind w:left="708" w:hanging="425"/>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CONSIDERACIONES QUE JUSTIFICAN EL ARCHIVO DEL PROYECTO </w:t>
      </w:r>
    </w:p>
    <w:p w14:paraId="4864F3E9"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63EDFF32" w14:textId="77777777" w:rsidR="004A4930" w:rsidRDefault="006E06B4">
      <w:pPr>
        <w:numPr>
          <w:ilvl w:val="0"/>
          <w:numId w:val="1"/>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Inconstitucionalidad del proyecto: </w:t>
      </w:r>
    </w:p>
    <w:p w14:paraId="3C63FAEE" w14:textId="77777777" w:rsidR="004A4930" w:rsidRDefault="004A4930">
      <w:pPr>
        <w:spacing w:line="240" w:lineRule="auto"/>
        <w:jc w:val="both"/>
        <w:rPr>
          <w:rFonts w:ascii="Plus Jakarta Sans" w:eastAsia="Plus Jakarta Sans" w:hAnsi="Plus Jakarta Sans" w:cs="Plus Jakarta Sans"/>
          <w:b/>
          <w:bCs/>
          <w:sz w:val="20"/>
          <w:szCs w:val="20"/>
          <w:highlight w:val="white"/>
        </w:rPr>
      </w:pPr>
    </w:p>
    <w:p w14:paraId="629E472A"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Este Proyecto de Ley es contrario al bloque de constitucionalidad, en particular, lo relativo a la protección reforzada de los derechos de los niños, niñas y adolescentes y al tratamiento diferenciado que está previsto en la Constitución Política e instrumentos internacionales ratificados por Colombia.</w:t>
      </w:r>
    </w:p>
    <w:p w14:paraId="6D1CF3C4"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0AC09A6C"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Al respecto, la Convención sobre los Derechos del Niño hace parte del bloque de constitucionalidad. Este tratado internacional fue adoptado por la Asamblea General de las Naciones Unidas el 20 de noviembre de 1989, aprobado por el Congreso de la República mediante la Ley 12 de 1991 y por lo tanto, ratificado por el Estado Colombiano. Este instrumento internacional, es un criterio de interpretación constitucional en sentido estricto ya que de conformidad con el artículo 93 de la Constitución Política, ya que reconoce derechos humanos que no pueden ser limitados y prevalecen en el orden interno. </w:t>
      </w:r>
    </w:p>
    <w:p w14:paraId="19F0CA39"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458AADE5"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La Convención sobre los Derechos del Niño establece que los países deben tener un sistema de responsabilidad penal especial diferenciado del de adultos y enfocado en la justicia restaurativa y la protección integral de los menores que infrinjan la ley. El artículo 37 señala que el encarcelamiento es una medida que procede como último recurso y durante el periodo más breve que proceda. El artículo 39 dispone que se deberá promover la recuperación física, psicológica y reintegración social de todo niño víctima de explotación o abuso, entre lo cual se puede presumir la instrumentalización de menores para la comisión de delitos. Y finalmente, el artículo 40 establece que el tratamiento de los niños que infrinjan las leyes penales debe tener en </w:t>
      </w:r>
      <w:r>
        <w:rPr>
          <w:rFonts w:ascii="Plus Jakarta Sans" w:eastAsia="Plus Jakarta Sans" w:hAnsi="Plus Jakarta Sans" w:cs="Plus Jakarta Sans"/>
          <w:sz w:val="20"/>
          <w:szCs w:val="20"/>
          <w:highlight w:val="white"/>
        </w:rPr>
        <w:lastRenderedPageBreak/>
        <w:t xml:space="preserve">cuenta su edad y la importancia de promover su reintegración y que asuma una función constructiva en la sociedad, y posibilidades diferentes a la internación en instituciones para asegurar que los niños sean tratados de manera apropiada para su bienestar. </w:t>
      </w:r>
    </w:p>
    <w:p w14:paraId="743E0514"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0A55B6C5" w14:textId="77777777" w:rsidR="004A4930" w:rsidRDefault="006E06B4">
      <w:pPr>
        <w:tabs>
          <w:tab w:val="left" w:pos="284"/>
        </w:tabs>
        <w:spacing w:line="240" w:lineRule="auto"/>
        <w:ind w:left="283"/>
        <w:jc w:val="both"/>
        <w:rPr>
          <w:rFonts w:ascii="Plus Jakarta Sans" w:eastAsia="Plus Jakarta Sans" w:hAnsi="Plus Jakarta Sans" w:cs="Plus Jakarta Sans"/>
          <w:b/>
          <w:bCs/>
          <w:i/>
          <w:iCs/>
          <w:sz w:val="20"/>
          <w:szCs w:val="20"/>
          <w:highlight w:val="white"/>
        </w:rPr>
      </w:pPr>
      <w:r>
        <w:rPr>
          <w:rFonts w:ascii="Plus Jakarta Sans" w:eastAsia="Plus Jakarta Sans" w:hAnsi="Plus Jakarta Sans" w:cs="Plus Jakarta Sans"/>
          <w:b/>
          <w:bCs/>
          <w:i/>
          <w:iCs/>
          <w:sz w:val="20"/>
          <w:szCs w:val="20"/>
          <w:highlight w:val="white"/>
        </w:rPr>
        <w:t xml:space="preserve">Artículo 40 </w:t>
      </w:r>
    </w:p>
    <w:p w14:paraId="155169A1" w14:textId="77777777" w:rsidR="004A4930" w:rsidRDefault="004A4930">
      <w:pPr>
        <w:tabs>
          <w:tab w:val="left" w:pos="284"/>
        </w:tabs>
        <w:spacing w:line="240" w:lineRule="auto"/>
        <w:ind w:left="283"/>
        <w:jc w:val="both"/>
        <w:rPr>
          <w:rFonts w:ascii="Plus Jakarta Sans" w:eastAsia="Plus Jakarta Sans" w:hAnsi="Plus Jakarta Sans" w:cs="Plus Jakarta Sans"/>
          <w:b/>
          <w:bCs/>
          <w:i/>
          <w:iCs/>
          <w:sz w:val="20"/>
          <w:szCs w:val="20"/>
          <w:highlight w:val="white"/>
        </w:rPr>
      </w:pPr>
    </w:p>
    <w:p w14:paraId="6F4DF298" w14:textId="77777777" w:rsidR="004A4930" w:rsidRDefault="006E06B4">
      <w:pPr>
        <w:tabs>
          <w:tab w:val="left" w:pos="284"/>
        </w:tabs>
        <w:spacing w:line="240" w:lineRule="auto"/>
        <w:ind w:left="283"/>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i/>
          <w:iCs/>
          <w:sz w:val="20"/>
          <w:szCs w:val="20"/>
          <w:highlight w:val="white"/>
        </w:rPr>
        <w:t>(...) 1. Los Estados Partes reconocen el derecho de todo niño de quien se alegue que ha infringido las leyes penales o a quien se acuse o declare culpable de haber infringido esas leyes a ser tratado de manera acorde con el fomento de su sentido de la dignidad y el valor, que fortalezca el respeto del niño por los derechos humanos y las libertades fundamentales de terceros y en la que se tengan en cuenta la edad del niño y la importancia de promover la reintegración del niño y de que éste asuma una función constructiva en la sociedad. (...)</w:t>
      </w:r>
    </w:p>
    <w:p w14:paraId="1C609866"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 igual manera, la Convención Americana sobre Derechos Humanos —Pacto de San José— también hace parte del bloque de constitucionalidad. Este tratado internacional fue suscrito en San José, Costa Rica, el 22 de noviembre de 1969, aprobado por el Congreso de la República mediante la Ley 16 de 1972 y, por lo tanto, ratificado por el Estado colombiano. Este instrumento internacional es un criterio de interpretación constitucional en sentido estricto, ya que de conformidad con el artículo 93 de la Constitución Política reconoce derechos humanos que no pueden ser limitados y prevalecen en el orden interno.</w:t>
      </w:r>
    </w:p>
    <w:p w14:paraId="40C3392D"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La Convención Americana también establece garantías específicas para los menores de edad sometidos a proceso penal. El artículo 5.5 dispone que cuando los menores puedan ser procesados, deben ser separados de los adultos y llevados ante tribunales especializados, con la mayor celeridad posible, para su tratamiento. El artículo 7 garantiza el derecho a la libertad personal, y dispone que nadie puede ser privado de ella sino por las causas y en las condiciones fijadas de antemano por las leyes, con las debidas garantías. Finalmente, el artículo 19 dispone que todo niño tiene derecho a medidas de protección que su condición de menor requiere por parte de la familia, sociedad y Estado. </w:t>
      </w:r>
    </w:p>
    <w:p w14:paraId="1C754F10"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Estas disposiciones, han sido analizadas por la Corte Interamericana de Derechos Humanos a través de la Opinión Consultiva OC-17/2002, precisando que se deben interpretar en función del </w:t>
      </w:r>
      <w:r>
        <w:rPr>
          <w:rFonts w:ascii="Plus Jakarta Sans" w:eastAsia="Plus Jakarta Sans" w:hAnsi="Plus Jakarta Sans" w:cs="Plus Jakarta Sans"/>
          <w:i/>
          <w:iCs/>
          <w:sz w:val="20"/>
          <w:szCs w:val="20"/>
          <w:highlight w:val="white"/>
        </w:rPr>
        <w:t>corpus iuris</w:t>
      </w:r>
      <w:r>
        <w:rPr>
          <w:rFonts w:ascii="Plus Jakarta Sans" w:eastAsia="Plus Jakarta Sans" w:hAnsi="Plus Jakarta Sans" w:cs="Plus Jakarta Sans"/>
          <w:sz w:val="20"/>
          <w:szCs w:val="20"/>
          <w:highlight w:val="white"/>
        </w:rPr>
        <w:t xml:space="preserve"> internacional de protección de la niñez que incluye a la Convención sobre los Derechos del Niño y que exige la existencia de un sistema especializado, diferenciado y garantista para el juzgamiento de los adolescentes en conflicto con la ley penal. </w:t>
      </w:r>
    </w:p>
    <w:p w14:paraId="5B66D8E0"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Bajo dicha interpretación, la Corte aborda que las condiciones en las que participa un menor en un proceso no pueden ser las mismas en las que lo realiza un adulto, “</w:t>
      </w:r>
      <w:r>
        <w:rPr>
          <w:rFonts w:ascii="Plus Jakarta Sans" w:eastAsia="Plus Jakarta Sans" w:hAnsi="Plus Jakarta Sans" w:cs="Plus Jakarta Sans"/>
          <w:i/>
          <w:iCs/>
          <w:sz w:val="20"/>
          <w:szCs w:val="20"/>
          <w:highlight w:val="white"/>
        </w:rPr>
        <w:t>si se sostuviera otra cosa se desconocen la realidad y se omitiría la adopción de medidas especiales para la protección de los niños, con grave perjuicio para estos mismos. Por lo tanto, es indispensable reconocer y respetar las diferencias de trato que corresponden a diferencias de situación, entre quienes participan en un procedimiento</w:t>
      </w:r>
      <w:r>
        <w:rPr>
          <w:rFonts w:ascii="Plus Jakarta Sans" w:eastAsia="Plus Jakarta Sans" w:hAnsi="Plus Jakarta Sans" w:cs="Plus Jakarta Sans"/>
          <w:sz w:val="20"/>
          <w:szCs w:val="20"/>
          <w:highlight w:val="white"/>
        </w:rPr>
        <w:t xml:space="preserve">”. Es por esta razón, que los derechos procesales y sus garantías en el caso de los menores supone la adopción de medidas específicas diferenciales con el propósito de que gocen sus derechos y garantías. </w:t>
      </w:r>
    </w:p>
    <w:p w14:paraId="139AEED5"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En consonancia con lo anterior, el artículo 3 de la Convención sobre los derechos del Niño, establece que en todas las medidas del Estado debe prevalecer el interés superior del niño, lo cual implica que en desarrollo de éste y ejercicio de sus derechos, se debe considerar criterios rectores para la elaboración de normas y aplicación de éstas en todos los órdenes relativos a la vida del niño. </w:t>
      </w:r>
    </w:p>
    <w:p w14:paraId="39C9129C"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Siendo así, para la estructuración del Sistema de Responsabilidad Penal para adolescentes, es fundamental tener en cuenta este estándar interamericano, que si bien no integra el bloque de </w:t>
      </w:r>
      <w:r>
        <w:rPr>
          <w:rFonts w:ascii="Plus Jakarta Sans" w:eastAsia="Plus Jakarta Sans" w:hAnsi="Plus Jakarta Sans" w:cs="Plus Jakarta Sans"/>
          <w:sz w:val="20"/>
          <w:szCs w:val="20"/>
          <w:highlight w:val="white"/>
        </w:rPr>
        <w:lastRenderedPageBreak/>
        <w:t xml:space="preserve">constitucionalidad, sí son criterios interpretativos obligatorios de dichos tratados de derechos humanos. Cualquier modificación, como lo propuesto en el artículo 3 del proyecto de ley, debe desarrollarse a partir de un juicio de proporcionalidad reforzado, en función del interés superior del niño y carácter excepcional que reviste la privación de la libertad para menores. </w:t>
      </w:r>
    </w:p>
    <w:p w14:paraId="71DBAB1C"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1340331B"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Sin perjuicio de todo lo anterior, también es importante tener en consideración criterios de </w:t>
      </w:r>
      <w:proofErr w:type="spellStart"/>
      <w:r>
        <w:rPr>
          <w:rFonts w:ascii="Plus Jakarta Sans" w:eastAsia="Plus Jakarta Sans" w:hAnsi="Plus Jakarta Sans" w:cs="Plus Jakarta Sans"/>
          <w:sz w:val="20"/>
          <w:szCs w:val="20"/>
          <w:highlight w:val="white"/>
        </w:rPr>
        <w:t>soft</w:t>
      </w:r>
      <w:proofErr w:type="spellEnd"/>
      <w:r>
        <w:rPr>
          <w:rFonts w:ascii="Plus Jakarta Sans" w:eastAsia="Plus Jakarta Sans" w:hAnsi="Plus Jakarta Sans" w:cs="Plus Jakarta Sans"/>
          <w:sz w:val="20"/>
          <w:szCs w:val="20"/>
          <w:highlight w:val="white"/>
        </w:rPr>
        <w:t xml:space="preserve"> </w:t>
      </w:r>
      <w:proofErr w:type="spellStart"/>
      <w:r>
        <w:rPr>
          <w:rFonts w:ascii="Plus Jakarta Sans" w:eastAsia="Plus Jakarta Sans" w:hAnsi="Plus Jakarta Sans" w:cs="Plus Jakarta Sans"/>
          <w:sz w:val="20"/>
          <w:szCs w:val="20"/>
          <w:highlight w:val="white"/>
        </w:rPr>
        <w:t>law</w:t>
      </w:r>
      <w:proofErr w:type="spellEnd"/>
      <w:r>
        <w:rPr>
          <w:rFonts w:ascii="Plus Jakarta Sans" w:eastAsia="Plus Jakarta Sans" w:hAnsi="Plus Jakarta Sans" w:cs="Plus Jakarta Sans"/>
          <w:sz w:val="20"/>
          <w:szCs w:val="20"/>
          <w:highlight w:val="white"/>
        </w:rPr>
        <w:t xml:space="preserve">, los cuales han sido usados por la Corte Constitucional, tales como las reglas de Beijing para la administración de justicia de menores, las directrices de Riad para la prevención de la delincuencia juvenil, las reglas de la Habana para menores privados de libertad y la Observación General No. 24 del Comité de los Derechos del Niño sobre el sistema de justicia juvenil, que es la interpretación autorizada frente a la Convención sobre los Derechos del Niño. </w:t>
      </w:r>
    </w:p>
    <w:p w14:paraId="20F555DF"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7EEC154A" w14:textId="77777777" w:rsidR="004A4930" w:rsidRDefault="006E06B4">
      <w:pPr>
        <w:numPr>
          <w:ilvl w:val="0"/>
          <w:numId w:val="1"/>
        </w:numPr>
        <w:tabs>
          <w:tab w:val="left" w:pos="284"/>
        </w:tabs>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El proyecto no supera un juicio de proporcionalidad: </w:t>
      </w:r>
    </w:p>
    <w:p w14:paraId="41F9AA73"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220CCD47"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Cualquier modificación al régimen de privación de la libertad de los adolescentes debe someterse a un juicio de proporcionalidad reforzado. Es función del Congreso de la República, garantizar que todos los proyectos de ley que se aprueben se ajusten a la Constitución y el bloque de constitucionalidad, sin perjuicio del posterior análisis que la Corte Constitucional pueda realizar mediante una acción pública de inconstitucionalidad. </w:t>
      </w:r>
    </w:p>
    <w:p w14:paraId="602BEBEA"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10066905"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highlight w:val="white"/>
        </w:rPr>
        <w:t xml:space="preserve">Si bien </w:t>
      </w:r>
      <w:r>
        <w:rPr>
          <w:rFonts w:ascii="Plus Jakarta Sans" w:eastAsia="Plus Jakarta Sans" w:hAnsi="Plus Jakarta Sans" w:cs="Plus Jakarta Sans"/>
          <w:sz w:val="20"/>
          <w:szCs w:val="20"/>
        </w:rPr>
        <w:t xml:space="preserve">el Congreso de la República goza de un amplio margen de configuración en materia de política criminal, sin embargo, tratándose de personas menores de dieciocho años, esos límites han sido trazados por una línea jurisprudencial consistente. En la Sentencia C-839 de 2001, la Corte avaló la justicia penal juvenil bajo una condición expresa: que la ley se ajuste a los principios constitucionales que guían el juzgamiento de los menores y conserve los objetivos de resocialización, tutela y rehabilitación que la justifican. </w:t>
      </w:r>
    </w:p>
    <w:p w14:paraId="60F7A5B4"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179CCFC5"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highlight w:val="white"/>
        </w:rPr>
        <w:t xml:space="preserve">Al respecto, </w:t>
      </w:r>
      <w:r>
        <w:rPr>
          <w:rFonts w:ascii="Plus Jakarta Sans" w:eastAsia="Plus Jakarta Sans" w:hAnsi="Plus Jakarta Sans" w:cs="Plus Jakarta Sans"/>
          <w:sz w:val="20"/>
          <w:szCs w:val="20"/>
        </w:rPr>
        <w:t>en la Sentencia C-203 de 2005, la Corte sintetizó esos principios y advirtió que la responsabilidad penal del menor está sujeta a su cumplimiento estricto:</w:t>
      </w:r>
    </w:p>
    <w:p w14:paraId="75DB8930"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022AE15D" w14:textId="77777777" w:rsidR="004A4930" w:rsidRDefault="006E06B4">
      <w:pPr>
        <w:spacing w:line="240" w:lineRule="auto"/>
        <w:ind w:left="283"/>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i/>
          <w:iCs/>
          <w:sz w:val="20"/>
          <w:szCs w:val="20"/>
        </w:rPr>
        <w:t>“(i) los principios de diferenciación y especificidad de las leyes, órganos, objetivos, sanciones y modo de actuación, orientados hacia la promoción del bienestar del menor, su tutela y la garantía de proporcionalidad entre el hecho y la respuesta institucional; (</w:t>
      </w:r>
      <w:proofErr w:type="spellStart"/>
      <w:r>
        <w:rPr>
          <w:rFonts w:ascii="Plus Jakarta Sans" w:eastAsia="Plus Jakarta Sans" w:hAnsi="Plus Jakarta Sans" w:cs="Plus Jakarta Sans"/>
          <w:i/>
          <w:iCs/>
          <w:sz w:val="20"/>
          <w:szCs w:val="20"/>
        </w:rPr>
        <w:t>ii</w:t>
      </w:r>
      <w:proofErr w:type="spellEnd"/>
      <w:r>
        <w:rPr>
          <w:rFonts w:ascii="Plus Jakarta Sans" w:eastAsia="Plus Jakarta Sans" w:hAnsi="Plus Jakarta Sans" w:cs="Plus Jakarta Sans"/>
          <w:i/>
          <w:iCs/>
          <w:sz w:val="20"/>
          <w:szCs w:val="20"/>
        </w:rPr>
        <w:t>) el principio de la finalidad tutelar y resocializadora de las medidas, principio que conlleva la proscripción de un enfoque represivo en su tratamiento jurídico-penal; y (</w:t>
      </w:r>
      <w:proofErr w:type="spellStart"/>
      <w:r>
        <w:rPr>
          <w:rFonts w:ascii="Plus Jakarta Sans" w:eastAsia="Plus Jakarta Sans" w:hAnsi="Plus Jakarta Sans" w:cs="Plus Jakarta Sans"/>
          <w:i/>
          <w:iCs/>
          <w:sz w:val="20"/>
          <w:szCs w:val="20"/>
        </w:rPr>
        <w:t>iii</w:t>
      </w:r>
      <w:proofErr w:type="spellEnd"/>
      <w:r>
        <w:rPr>
          <w:rFonts w:ascii="Plus Jakarta Sans" w:eastAsia="Plus Jakarta Sans" w:hAnsi="Plus Jakarta Sans" w:cs="Plus Jakarta Sans"/>
          <w:i/>
          <w:iCs/>
          <w:sz w:val="20"/>
          <w:szCs w:val="20"/>
        </w:rPr>
        <w:t>) la promoción del interés superior de cada menor.”</w:t>
      </w:r>
      <w:r>
        <w:rPr>
          <w:rFonts w:ascii="Plus Jakarta Sans" w:eastAsia="Plus Jakarta Sans" w:hAnsi="Plus Jakarta Sans" w:cs="Plus Jakarta Sans"/>
          <w:sz w:val="20"/>
          <w:szCs w:val="20"/>
        </w:rPr>
        <w:t xml:space="preserve"> </w:t>
      </w:r>
    </w:p>
    <w:p w14:paraId="4214680E"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23E8AE91"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La expresión “proscripción de un enfoque represivo” no es un recurso retórico. Es una prohibición, y opera como límite material a la configuración legislativa. La Sentencia C-684 de 2009 lo reiteró al exigir que las medidas del sistema sean apropiadas a la condición del adolescente y “no obedezcan a un enfoque punitivo sino a una aproximación protectora, educativa y resocializadora”, y al precisar que estos principios vinculan al Legislador no sólo en sentido positivo, sino también en sentido negativo, como límite de su libertad de configuración.</w:t>
      </w:r>
    </w:p>
    <w:p w14:paraId="307DB41D"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6173824B"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Siendo así, la jurisprudencia constitucional ha sido armoniosa en emplear el juicio de proporcionalidad para establecer si una medida legislativa que restringe derechos fundamentales es compatible con la Constitución. Los pasos previstos para ello también han sido abordados por la Corte: en el primero se establece si la medida persigue una finalidad constitucionalmente admisible y, según la intensidad del escrutinio, si esa finalidad es además importante o imperiosa. En el segundo se examina la idoneidad, es decir, si el medio escogido es adecuado para alcanzar la finalidad, en el sentido de que contribuya efectivamente a ella. En el tercero se examina la necesidad: si no existe un medio alternativo igualmente eficaz y menos lesivo de los derechos afectados. En el cuarto se examina la proporcionalidad en sentido estricto, </w:t>
      </w:r>
      <w:r>
        <w:rPr>
          <w:rFonts w:ascii="Plus Jakarta Sans" w:eastAsia="Plus Jakarta Sans" w:hAnsi="Plus Jakarta Sans" w:cs="Plus Jakarta Sans"/>
          <w:sz w:val="20"/>
          <w:szCs w:val="20"/>
        </w:rPr>
        <w:lastRenderedPageBreak/>
        <w:t xml:space="preserve">esto es, si los beneficios que la medida reporta para la finalidad perseguida compensan el sacrificio que impone a los derechos que restringe. </w:t>
      </w:r>
    </w:p>
    <w:p w14:paraId="275A5535"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Para aplicar este juicio es necesario precisar primero qué restringe el proyecto. El artículo 3 reescribe el artículo 187 de la Ley 1098 de 2006 y, en concordancia con el catálogo de veintisiete disposiciones del Código Penal que transcribe el artículo 2, introduce cinco cambios. Extiende la privación de la libertad a los adolescentes de catorce y quince años para cualquier conducta que alcance el umbral general, cuando hoy solo procede a esa edad para el homicidio doloso, el secuestro, la extorsión y los delitos agravados contra la libertad, integridad y formación sexuales. Reduce ese umbral de seis a cinco años de pena mínima. Reemplaza las cuatro categorías del texto vigente por un catálogo que va desde el homicidio hasta el hurto calificado y el porte de armas. Eleva la franja sancionatoria de dos a ocho años a una de cinco a quince. Y prohíbe sustituir la sanción para los delitos del catálogo. A ello se suma que condiciona la exclusión por instrumentalización a que esta se encuentre “debidamente probada dentro del proceso”. En conjunto, el proyecto mueve simultáneamente todas las variables que determinan la severidad del régimen: más adolescentes, más conductas, más tiempo de privación de la libertad y menos flexibilidad judicial para ajustarlo.</w:t>
      </w:r>
    </w:p>
    <w:p w14:paraId="4F83A38D"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Por esa razón, la intensidad del juicio debe ser estricta. La Corte Constitucional ha reservado esta intensidad para las medidas que recaen sobre sujetos de especial protección constitucional o que afectan gravemente un derecho fundamental y en este caso concurren tres razones para aplicarla. Los destinatarios son adolescentes. La medida amplía y prolonga la sanción más severa que el sistema contempla. Y es regresiva, porque reduce un nivel de protección ya alcanzado en materia de derechos de la niñez, lo que conlleva una presunción de inconstitucionalidad. </w:t>
      </w:r>
    </w:p>
    <w:p w14:paraId="08263523" w14:textId="77777777" w:rsidR="004A4930" w:rsidRDefault="006E06B4">
      <w:pPr>
        <w:tabs>
          <w:tab w:val="left" w:pos="284"/>
        </w:tabs>
        <w:spacing w:line="240" w:lineRule="auto"/>
        <w:jc w:val="both"/>
        <w:rPr>
          <w:rFonts w:ascii="Plus Jakarta Sans" w:eastAsia="Plus Jakarta Sans" w:hAnsi="Plus Jakarta Sans" w:cs="Plus Jakarta Sans"/>
          <w:b/>
          <w:bCs/>
          <w:sz w:val="20"/>
          <w:szCs w:val="20"/>
        </w:rPr>
      </w:pPr>
      <w:r>
        <w:rPr>
          <w:rFonts w:ascii="Plus Jakarta Sans" w:eastAsia="Plus Jakarta Sans" w:hAnsi="Plus Jakarta Sans" w:cs="Plus Jakarta Sans"/>
          <w:b/>
          <w:bCs/>
          <w:sz w:val="20"/>
          <w:szCs w:val="20"/>
        </w:rPr>
        <w:t xml:space="preserve">2.1. Primero paso: la finalidad del proyecto </w:t>
      </w:r>
    </w:p>
    <w:p w14:paraId="3CD13C2F"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41FEA0F4"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Los fines declarados son dos: proteger la vida, la integridad y la seguridad de las víctimas frente a delitos graves cometidos por adolescentes, y desincentivar la instrumentalización por estructuras criminales. Ambos superan el estándar de fin no prohibido e imperioso, porque protegen derechos de terceros, muchos de ellos también menores de edad. El problema no está en las finalidades que el proyecto declara, sino en las que efectivamente persigue. La exposición de motivos sostiene que la sanción del adolescente “debe estar a la altura de la gravedad del hecho” y reprocha que sea “desproporcionadamente inferior” a la del adulto, cuya pena convierte en la medida de suficiencia de la sanción juvenil. Afirma, además, que la baja consecuencia sancionatoria opera como un “incentivo perverso” para las organizaciones criminales, lo que supone que una amenaza mayor alterará el cálculo de quienes reclutan y de quienes son reclutados. De manera que, ninguna de las finalidades del proyecto corresponde a la función protectora, educativa y restaurativa que busca el sistema de responsabilidad penal adolescente. </w:t>
      </w:r>
    </w:p>
    <w:p w14:paraId="60718E39"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7F6A1BE3"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24BCC4FC" w14:textId="77777777" w:rsidR="004A4930" w:rsidRDefault="006E06B4">
      <w:pPr>
        <w:tabs>
          <w:tab w:val="left" w:pos="284"/>
        </w:tabs>
        <w:spacing w:line="240" w:lineRule="auto"/>
        <w:jc w:val="both"/>
        <w:rPr>
          <w:rFonts w:ascii="Plus Jakarta Sans" w:eastAsia="Plus Jakarta Sans" w:hAnsi="Plus Jakarta Sans" w:cs="Plus Jakarta Sans"/>
          <w:b/>
          <w:bCs/>
          <w:sz w:val="20"/>
          <w:szCs w:val="20"/>
        </w:rPr>
      </w:pPr>
      <w:r>
        <w:rPr>
          <w:rFonts w:ascii="Plus Jakarta Sans" w:eastAsia="Plus Jakarta Sans" w:hAnsi="Plus Jakarta Sans" w:cs="Plus Jakarta Sans"/>
          <w:b/>
          <w:bCs/>
          <w:sz w:val="20"/>
          <w:szCs w:val="20"/>
        </w:rPr>
        <w:t xml:space="preserve">2.2. Segundo paso: idoneidad. </w:t>
      </w:r>
    </w:p>
    <w:p w14:paraId="78DDB236"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6C0ACA6F"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Es aquí donde el proyecto no pasa el examen. La siguiente matriz confronta cada medida con los fines declarados. </w:t>
      </w:r>
    </w:p>
    <w:p w14:paraId="7504F83C"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5AB415FF"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49BCCFBF"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6B7AB2BE"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5D28137D"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658094F9"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tbl>
      <w:tblPr>
        <w:tblStyle w:val="a5"/>
        <w:tblW w:w="904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23"/>
        <w:gridCol w:w="3083"/>
        <w:gridCol w:w="3142"/>
      </w:tblGrid>
      <w:tr w:rsidR="004A4930" w14:paraId="638D1EDD" w14:textId="77777777">
        <w:trPr>
          <w:trHeight w:val="645"/>
        </w:trPr>
        <w:tc>
          <w:tcPr>
            <w:tcW w:w="2822" w:type="dxa"/>
            <w:tcBorders>
              <w:top w:val="single" w:sz="5" w:space="0" w:color="8EAADB"/>
              <w:left w:val="single" w:sz="5" w:space="0" w:color="8EAADB"/>
              <w:bottom w:val="single" w:sz="5" w:space="0" w:color="8EAADB"/>
              <w:right w:val="single" w:sz="5" w:space="0" w:color="8EAADB"/>
            </w:tcBorders>
            <w:shd w:val="clear" w:color="auto" w:fill="1F3864"/>
            <w:tcMar>
              <w:top w:w="80" w:type="dxa"/>
              <w:left w:w="100" w:type="dxa"/>
              <w:bottom w:w="80" w:type="dxa"/>
              <w:right w:w="100" w:type="dxa"/>
            </w:tcMar>
          </w:tcPr>
          <w:p w14:paraId="10E00A3F" w14:textId="77777777" w:rsidR="004A4930" w:rsidRDefault="006E06B4">
            <w:pPr>
              <w:tabs>
                <w:tab w:val="left" w:pos="284"/>
              </w:tabs>
              <w:spacing w:line="240" w:lineRule="auto"/>
              <w:jc w:val="center"/>
              <w:rPr>
                <w:rFonts w:ascii="Plus Jakarta Sans" w:eastAsia="Plus Jakarta Sans" w:hAnsi="Plus Jakarta Sans" w:cs="Plus Jakarta Sans"/>
                <w:b/>
                <w:bCs/>
                <w:color w:val="FFFFFF"/>
                <w:sz w:val="20"/>
                <w:szCs w:val="20"/>
              </w:rPr>
            </w:pPr>
            <w:r>
              <w:rPr>
                <w:rFonts w:ascii="Plus Jakarta Sans" w:eastAsia="Plus Jakarta Sans" w:hAnsi="Plus Jakarta Sans" w:cs="Plus Jakarta Sans"/>
                <w:b/>
                <w:bCs/>
                <w:color w:val="FFFFFF"/>
                <w:sz w:val="20"/>
                <w:szCs w:val="20"/>
              </w:rPr>
              <w:lastRenderedPageBreak/>
              <w:t>Medida</w:t>
            </w:r>
          </w:p>
        </w:tc>
        <w:tc>
          <w:tcPr>
            <w:tcW w:w="3083" w:type="dxa"/>
            <w:tcBorders>
              <w:top w:val="single" w:sz="5" w:space="0" w:color="8EAADB"/>
              <w:left w:val="nil"/>
              <w:bottom w:val="single" w:sz="5" w:space="0" w:color="8EAADB"/>
              <w:right w:val="single" w:sz="5" w:space="0" w:color="8EAADB"/>
            </w:tcBorders>
            <w:shd w:val="clear" w:color="auto" w:fill="1F3864"/>
            <w:tcMar>
              <w:top w:w="80" w:type="dxa"/>
              <w:left w:w="100" w:type="dxa"/>
              <w:bottom w:w="80" w:type="dxa"/>
              <w:right w:w="100" w:type="dxa"/>
            </w:tcMar>
          </w:tcPr>
          <w:p w14:paraId="7DF5DB0A" w14:textId="77777777" w:rsidR="004A4930" w:rsidRDefault="006E06B4">
            <w:pPr>
              <w:tabs>
                <w:tab w:val="left" w:pos="284"/>
              </w:tabs>
              <w:spacing w:line="240" w:lineRule="auto"/>
              <w:jc w:val="center"/>
              <w:rPr>
                <w:rFonts w:ascii="Plus Jakarta Sans" w:eastAsia="Plus Jakarta Sans" w:hAnsi="Plus Jakarta Sans" w:cs="Plus Jakarta Sans"/>
                <w:b/>
                <w:bCs/>
                <w:color w:val="FFFFFF"/>
                <w:sz w:val="20"/>
                <w:szCs w:val="20"/>
              </w:rPr>
            </w:pPr>
            <w:r>
              <w:rPr>
                <w:rFonts w:ascii="Plus Jakarta Sans" w:eastAsia="Plus Jakarta Sans" w:hAnsi="Plus Jakarta Sans" w:cs="Plus Jakarta Sans"/>
                <w:b/>
                <w:bCs/>
                <w:color w:val="FFFFFF"/>
                <w:sz w:val="20"/>
                <w:szCs w:val="20"/>
              </w:rPr>
              <w:t>Frente a la protección de las víctimas</w:t>
            </w:r>
          </w:p>
        </w:tc>
        <w:tc>
          <w:tcPr>
            <w:tcW w:w="3142" w:type="dxa"/>
            <w:tcBorders>
              <w:top w:val="single" w:sz="5" w:space="0" w:color="8EAADB"/>
              <w:left w:val="nil"/>
              <w:bottom w:val="single" w:sz="5" w:space="0" w:color="8EAADB"/>
              <w:right w:val="single" w:sz="5" w:space="0" w:color="8EAADB"/>
            </w:tcBorders>
            <w:shd w:val="clear" w:color="auto" w:fill="1F3864"/>
            <w:tcMar>
              <w:top w:w="80" w:type="dxa"/>
              <w:left w:w="100" w:type="dxa"/>
              <w:bottom w:w="80" w:type="dxa"/>
              <w:right w:w="100" w:type="dxa"/>
            </w:tcMar>
          </w:tcPr>
          <w:p w14:paraId="5BE10BC3" w14:textId="77777777" w:rsidR="004A4930" w:rsidRDefault="006E06B4">
            <w:pPr>
              <w:tabs>
                <w:tab w:val="left" w:pos="284"/>
              </w:tabs>
              <w:spacing w:line="240" w:lineRule="auto"/>
              <w:jc w:val="center"/>
              <w:rPr>
                <w:rFonts w:ascii="Plus Jakarta Sans" w:eastAsia="Plus Jakarta Sans" w:hAnsi="Plus Jakarta Sans" w:cs="Plus Jakarta Sans"/>
                <w:b/>
                <w:bCs/>
                <w:color w:val="FFFFFF"/>
                <w:sz w:val="20"/>
                <w:szCs w:val="20"/>
              </w:rPr>
            </w:pPr>
            <w:r>
              <w:rPr>
                <w:rFonts w:ascii="Plus Jakarta Sans" w:eastAsia="Plus Jakarta Sans" w:hAnsi="Plus Jakarta Sans" w:cs="Plus Jakarta Sans"/>
                <w:b/>
                <w:bCs/>
                <w:color w:val="FFFFFF"/>
                <w:sz w:val="20"/>
                <w:szCs w:val="20"/>
              </w:rPr>
              <w:t>Frente al desincentivo de la instrumentalización</w:t>
            </w:r>
          </w:p>
        </w:tc>
      </w:tr>
      <w:tr w:rsidR="004A4930" w14:paraId="13F0D0B3" w14:textId="77777777">
        <w:trPr>
          <w:trHeight w:val="1605"/>
        </w:trPr>
        <w:tc>
          <w:tcPr>
            <w:tcW w:w="2822" w:type="dxa"/>
            <w:tcBorders>
              <w:top w:val="nil"/>
              <w:left w:val="single" w:sz="5" w:space="0" w:color="8EAADB"/>
              <w:bottom w:val="single" w:sz="5" w:space="0" w:color="8EAADB"/>
              <w:right w:val="single" w:sz="5" w:space="0" w:color="8EAADB"/>
            </w:tcBorders>
            <w:tcMar>
              <w:top w:w="80" w:type="dxa"/>
              <w:left w:w="100" w:type="dxa"/>
              <w:bottom w:w="80" w:type="dxa"/>
              <w:right w:w="100" w:type="dxa"/>
            </w:tcMar>
          </w:tcPr>
          <w:p w14:paraId="37E5FB1F"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M1. Extensión de la privación de libertad a los adolescentes de 14 y 15 años, hoy reservada a los de 16 y 17 (art. 3, inc. 1)</w:t>
            </w:r>
          </w:p>
        </w:tc>
        <w:tc>
          <w:tcPr>
            <w:tcW w:w="3083" w:type="dxa"/>
            <w:tcBorders>
              <w:top w:val="nil"/>
              <w:left w:val="nil"/>
              <w:bottom w:val="single" w:sz="5" w:space="0" w:color="8EAADB"/>
              <w:right w:val="single" w:sz="5" w:space="0" w:color="8EAADB"/>
            </w:tcBorders>
            <w:tcMar>
              <w:top w:w="80" w:type="dxa"/>
              <w:left w:w="100" w:type="dxa"/>
              <w:bottom w:w="80" w:type="dxa"/>
              <w:right w:w="100" w:type="dxa"/>
            </w:tcMar>
          </w:tcPr>
          <w:p w14:paraId="0CDFB140"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Puede aumentar la victimización, porque el desplazamiento del reclutamiento hacia menores de catorce produce más niños explotados, que son ellos mismos víctimas.</w:t>
            </w:r>
          </w:p>
        </w:tc>
        <w:tc>
          <w:tcPr>
            <w:tcW w:w="3142" w:type="dxa"/>
            <w:tcBorders>
              <w:top w:val="nil"/>
              <w:left w:val="nil"/>
              <w:bottom w:val="single" w:sz="5" w:space="0" w:color="8EAADB"/>
              <w:right w:val="single" w:sz="5" w:space="0" w:color="8EAADB"/>
            </w:tcBorders>
            <w:tcMar>
              <w:top w:w="80" w:type="dxa"/>
              <w:left w:w="100" w:type="dxa"/>
              <w:bottom w:w="80" w:type="dxa"/>
              <w:right w:w="100" w:type="dxa"/>
            </w:tcMar>
          </w:tcPr>
          <w:p w14:paraId="7C9FA7AF"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Afecta al ejecutor sin tocar al reclutador.</w:t>
            </w:r>
          </w:p>
        </w:tc>
      </w:tr>
      <w:tr w:rsidR="004A4930" w14:paraId="0B55FF8E" w14:textId="77777777">
        <w:trPr>
          <w:trHeight w:val="1365"/>
        </w:trPr>
        <w:tc>
          <w:tcPr>
            <w:tcW w:w="2822" w:type="dxa"/>
            <w:tcBorders>
              <w:top w:val="nil"/>
              <w:left w:val="single" w:sz="5" w:space="0" w:color="8EAADB"/>
              <w:bottom w:val="single" w:sz="5" w:space="0" w:color="8EAADB"/>
              <w:right w:val="single" w:sz="5" w:space="0" w:color="8EAADB"/>
            </w:tcBorders>
            <w:shd w:val="clear" w:color="auto" w:fill="EAF0F8"/>
            <w:tcMar>
              <w:top w:w="80" w:type="dxa"/>
              <w:left w:w="100" w:type="dxa"/>
              <w:bottom w:w="80" w:type="dxa"/>
              <w:right w:w="100" w:type="dxa"/>
            </w:tcMar>
          </w:tcPr>
          <w:p w14:paraId="18831AB4"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M2. Reducción del umbral de procedencia de seis a cinco años de pena mínima (art. 3, inc. 1)</w:t>
            </w:r>
          </w:p>
        </w:tc>
        <w:tc>
          <w:tcPr>
            <w:tcW w:w="3083" w:type="dxa"/>
            <w:tcBorders>
              <w:top w:val="nil"/>
              <w:left w:val="nil"/>
              <w:bottom w:val="single" w:sz="5" w:space="0" w:color="8EAADB"/>
              <w:right w:val="single" w:sz="5" w:space="0" w:color="8EAADB"/>
            </w:tcBorders>
            <w:shd w:val="clear" w:color="auto" w:fill="EAF0F8"/>
            <w:tcMar>
              <w:top w:w="80" w:type="dxa"/>
              <w:left w:w="100" w:type="dxa"/>
              <w:bottom w:w="80" w:type="dxa"/>
              <w:right w:w="100" w:type="dxa"/>
            </w:tcMar>
          </w:tcPr>
          <w:p w14:paraId="78A41D4A"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Obedece a fines proscritos de retribución y prevención general negativa; no conduce a la protección de bienes jurídicos.</w:t>
            </w:r>
          </w:p>
        </w:tc>
        <w:tc>
          <w:tcPr>
            <w:tcW w:w="3142" w:type="dxa"/>
            <w:tcBorders>
              <w:top w:val="nil"/>
              <w:left w:val="nil"/>
              <w:bottom w:val="single" w:sz="5" w:space="0" w:color="8EAADB"/>
              <w:right w:val="single" w:sz="5" w:space="0" w:color="8EAADB"/>
            </w:tcBorders>
            <w:shd w:val="clear" w:color="auto" w:fill="EAF0F8"/>
            <w:tcMar>
              <w:top w:w="80" w:type="dxa"/>
              <w:left w:w="100" w:type="dxa"/>
              <w:bottom w:w="80" w:type="dxa"/>
              <w:right w:w="100" w:type="dxa"/>
            </w:tcMar>
          </w:tcPr>
          <w:p w14:paraId="4B049F09"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No incide sobre la decisión de instrumentalizar.</w:t>
            </w:r>
          </w:p>
        </w:tc>
      </w:tr>
      <w:tr w:rsidR="004A4930" w14:paraId="2C345FEC" w14:textId="77777777">
        <w:trPr>
          <w:trHeight w:val="1605"/>
        </w:trPr>
        <w:tc>
          <w:tcPr>
            <w:tcW w:w="2822" w:type="dxa"/>
            <w:tcBorders>
              <w:top w:val="nil"/>
              <w:left w:val="single" w:sz="5" w:space="0" w:color="8EAADB"/>
              <w:bottom w:val="single" w:sz="5" w:space="0" w:color="8EAADB"/>
              <w:right w:val="single" w:sz="5" w:space="0" w:color="8EAADB"/>
            </w:tcBorders>
            <w:tcMar>
              <w:top w:w="80" w:type="dxa"/>
              <w:left w:w="100" w:type="dxa"/>
              <w:bottom w:w="80" w:type="dxa"/>
              <w:right w:w="100" w:type="dxa"/>
            </w:tcMar>
          </w:tcPr>
          <w:p w14:paraId="7D39918C"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M3. Definición del ámbito material mediante la transcripción de veintisiete disposiciones del Código Penal rotuladas como delitos graves (art. 2)</w:t>
            </w:r>
          </w:p>
        </w:tc>
        <w:tc>
          <w:tcPr>
            <w:tcW w:w="3083" w:type="dxa"/>
            <w:tcBorders>
              <w:top w:val="nil"/>
              <w:left w:val="nil"/>
              <w:bottom w:val="single" w:sz="5" w:space="0" w:color="8EAADB"/>
              <w:right w:val="single" w:sz="5" w:space="0" w:color="8EAADB"/>
            </w:tcBorders>
            <w:tcMar>
              <w:top w:w="80" w:type="dxa"/>
              <w:left w:w="100" w:type="dxa"/>
              <w:bottom w:w="80" w:type="dxa"/>
              <w:right w:w="100" w:type="dxa"/>
            </w:tcMar>
          </w:tcPr>
          <w:p w14:paraId="24919315"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El catálogo incluye lesiones de incapacidad mínima y hurto calificado, cuyo bien jurídico es patrimonial, y omite el feminicidio, que protege la vida y la integridad de la mujer.</w:t>
            </w:r>
          </w:p>
        </w:tc>
        <w:tc>
          <w:tcPr>
            <w:tcW w:w="3142" w:type="dxa"/>
            <w:tcBorders>
              <w:top w:val="nil"/>
              <w:left w:val="nil"/>
              <w:bottom w:val="single" w:sz="5" w:space="0" w:color="8EAADB"/>
              <w:right w:val="single" w:sz="5" w:space="0" w:color="8EAADB"/>
            </w:tcBorders>
            <w:tcMar>
              <w:top w:w="80" w:type="dxa"/>
              <w:left w:w="100" w:type="dxa"/>
              <w:bottom w:w="80" w:type="dxa"/>
              <w:right w:w="100" w:type="dxa"/>
            </w:tcMar>
          </w:tcPr>
          <w:p w14:paraId="7FC463C4"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Omite el concierto para delinquir, el tipo más directamente conectado con la instrumentalización.</w:t>
            </w:r>
          </w:p>
        </w:tc>
      </w:tr>
      <w:tr w:rsidR="004A4930" w14:paraId="573BE99D" w14:textId="77777777">
        <w:trPr>
          <w:trHeight w:val="885"/>
        </w:trPr>
        <w:tc>
          <w:tcPr>
            <w:tcW w:w="2822" w:type="dxa"/>
            <w:tcBorders>
              <w:top w:val="nil"/>
              <w:left w:val="single" w:sz="5" w:space="0" w:color="8EAADB"/>
              <w:bottom w:val="single" w:sz="5" w:space="0" w:color="8EAADB"/>
              <w:right w:val="single" w:sz="5" w:space="0" w:color="8EAADB"/>
            </w:tcBorders>
            <w:shd w:val="clear" w:color="auto" w:fill="EAF0F8"/>
            <w:tcMar>
              <w:top w:w="80" w:type="dxa"/>
              <w:left w:w="100" w:type="dxa"/>
              <w:bottom w:w="80" w:type="dxa"/>
              <w:right w:w="100" w:type="dxa"/>
            </w:tcMar>
          </w:tcPr>
          <w:p w14:paraId="7050B52D"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M4. Elevación de la franja de dos a ocho años hasta cinco a quince (art. 3, inc. 4)</w:t>
            </w:r>
          </w:p>
        </w:tc>
        <w:tc>
          <w:tcPr>
            <w:tcW w:w="3083" w:type="dxa"/>
            <w:tcBorders>
              <w:top w:val="nil"/>
              <w:left w:val="nil"/>
              <w:bottom w:val="single" w:sz="5" w:space="0" w:color="8EAADB"/>
              <w:right w:val="single" w:sz="5" w:space="0" w:color="8EAADB"/>
            </w:tcBorders>
            <w:shd w:val="clear" w:color="auto" w:fill="EAF0F8"/>
            <w:tcMar>
              <w:top w:w="80" w:type="dxa"/>
              <w:left w:w="100" w:type="dxa"/>
              <w:bottom w:w="80" w:type="dxa"/>
              <w:right w:w="100" w:type="dxa"/>
            </w:tcMar>
          </w:tcPr>
          <w:p w14:paraId="63437462"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Responde a prevención general negativa e inocuización.</w:t>
            </w:r>
          </w:p>
        </w:tc>
        <w:tc>
          <w:tcPr>
            <w:tcW w:w="3142" w:type="dxa"/>
            <w:tcBorders>
              <w:top w:val="nil"/>
              <w:left w:val="nil"/>
              <w:bottom w:val="single" w:sz="5" w:space="0" w:color="8EAADB"/>
              <w:right w:val="single" w:sz="5" w:space="0" w:color="8EAADB"/>
            </w:tcBorders>
            <w:shd w:val="clear" w:color="auto" w:fill="EAF0F8"/>
            <w:tcMar>
              <w:top w:w="80" w:type="dxa"/>
              <w:left w:w="100" w:type="dxa"/>
              <w:bottom w:w="80" w:type="dxa"/>
              <w:right w:w="100" w:type="dxa"/>
            </w:tcMar>
          </w:tcPr>
          <w:p w14:paraId="2DD4C951"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No desincentiva; solo modifica el cálculo del reclutador respecto de un costo que no soporta.</w:t>
            </w:r>
          </w:p>
        </w:tc>
      </w:tr>
      <w:tr w:rsidR="004A4930" w14:paraId="4306BBE4" w14:textId="77777777">
        <w:trPr>
          <w:trHeight w:val="1125"/>
        </w:trPr>
        <w:tc>
          <w:tcPr>
            <w:tcW w:w="2822" w:type="dxa"/>
            <w:tcBorders>
              <w:top w:val="nil"/>
              <w:left w:val="single" w:sz="5" w:space="0" w:color="8EAADB"/>
              <w:bottom w:val="single" w:sz="5" w:space="0" w:color="8EAADB"/>
              <w:right w:val="single" w:sz="5" w:space="0" w:color="8EAADB"/>
            </w:tcBorders>
            <w:tcMar>
              <w:top w:w="80" w:type="dxa"/>
              <w:left w:w="100" w:type="dxa"/>
              <w:bottom w:w="80" w:type="dxa"/>
              <w:right w:w="100" w:type="dxa"/>
            </w:tcMar>
          </w:tcPr>
          <w:p w14:paraId="307E06ED"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M5. Exclusión de la sustitución por las sanciones del artículo 177, única novedad restrictiva del bloque (art. 3, inc. 6)</w:t>
            </w:r>
          </w:p>
        </w:tc>
        <w:tc>
          <w:tcPr>
            <w:tcW w:w="3083" w:type="dxa"/>
            <w:tcBorders>
              <w:top w:val="nil"/>
              <w:left w:val="nil"/>
              <w:bottom w:val="single" w:sz="5" w:space="0" w:color="8EAADB"/>
              <w:right w:val="single" w:sz="5" w:space="0" w:color="8EAADB"/>
            </w:tcBorders>
            <w:tcMar>
              <w:top w:w="80" w:type="dxa"/>
              <w:left w:w="100" w:type="dxa"/>
              <w:bottom w:w="80" w:type="dxa"/>
              <w:right w:w="100" w:type="dxa"/>
            </w:tcMar>
          </w:tcPr>
          <w:p w14:paraId="6DDC723C"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Impide alcanzar los fines educativo y restaurativo sin aportar protección adicional a la víctima.</w:t>
            </w:r>
          </w:p>
        </w:tc>
        <w:tc>
          <w:tcPr>
            <w:tcW w:w="3142" w:type="dxa"/>
            <w:tcBorders>
              <w:top w:val="nil"/>
              <w:left w:val="nil"/>
              <w:bottom w:val="single" w:sz="5" w:space="0" w:color="8EAADB"/>
              <w:right w:val="single" w:sz="5" w:space="0" w:color="8EAADB"/>
            </w:tcBorders>
            <w:tcMar>
              <w:top w:w="80" w:type="dxa"/>
              <w:left w:w="100" w:type="dxa"/>
              <w:bottom w:w="80" w:type="dxa"/>
              <w:right w:w="100" w:type="dxa"/>
            </w:tcMar>
          </w:tcPr>
          <w:p w14:paraId="3D175438"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Eleva el riesgo de instrumentalización de menores de catorce años.</w:t>
            </w:r>
          </w:p>
        </w:tc>
      </w:tr>
      <w:tr w:rsidR="004A4930" w14:paraId="2995F4F2" w14:textId="77777777">
        <w:trPr>
          <w:trHeight w:val="2085"/>
        </w:trPr>
        <w:tc>
          <w:tcPr>
            <w:tcW w:w="2822" w:type="dxa"/>
            <w:tcBorders>
              <w:top w:val="nil"/>
              <w:left w:val="single" w:sz="5" w:space="0" w:color="8EAADB"/>
              <w:bottom w:val="single" w:sz="5" w:space="0" w:color="8EAADB"/>
              <w:right w:val="single" w:sz="5" w:space="0" w:color="8EAADB"/>
            </w:tcBorders>
            <w:shd w:val="clear" w:color="auto" w:fill="EAF0F8"/>
            <w:tcMar>
              <w:top w:w="80" w:type="dxa"/>
              <w:left w:w="100" w:type="dxa"/>
              <w:bottom w:w="80" w:type="dxa"/>
              <w:right w:w="100" w:type="dxa"/>
            </w:tcMar>
          </w:tcPr>
          <w:p w14:paraId="7462E19B"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M6. Ampliación de la cláusula de exclusión condicionada a instrumentalización debidamente probada dentro del proceso (art. 3, inc. 5)</w:t>
            </w:r>
          </w:p>
        </w:tc>
        <w:tc>
          <w:tcPr>
            <w:tcW w:w="3083" w:type="dxa"/>
            <w:tcBorders>
              <w:top w:val="nil"/>
              <w:left w:val="nil"/>
              <w:bottom w:val="single" w:sz="5" w:space="0" w:color="8EAADB"/>
              <w:right w:val="single" w:sz="5" w:space="0" w:color="8EAADB"/>
            </w:tcBorders>
            <w:shd w:val="clear" w:color="auto" w:fill="EAF0F8"/>
            <w:tcMar>
              <w:top w:w="80" w:type="dxa"/>
              <w:left w:w="100" w:type="dxa"/>
              <w:bottom w:w="80" w:type="dxa"/>
              <w:right w:w="100" w:type="dxa"/>
            </w:tcMar>
          </w:tcPr>
          <w:p w14:paraId="1075F7F7"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Aunque amplía los supuestos, el estándar probatorio traslada la carga a la defensa y aumenta la probabilidad de privación de libertad cuando no se logra acreditar, sin que ello responda a la necesidad de proteger a la víctima.</w:t>
            </w:r>
          </w:p>
        </w:tc>
        <w:tc>
          <w:tcPr>
            <w:tcW w:w="3142" w:type="dxa"/>
            <w:tcBorders>
              <w:top w:val="nil"/>
              <w:left w:val="nil"/>
              <w:bottom w:val="single" w:sz="5" w:space="0" w:color="8EAADB"/>
              <w:right w:val="single" w:sz="5" w:space="0" w:color="8EAADB"/>
            </w:tcBorders>
            <w:shd w:val="clear" w:color="auto" w:fill="EAF0F8"/>
            <w:tcMar>
              <w:top w:w="80" w:type="dxa"/>
              <w:left w:w="100" w:type="dxa"/>
              <w:bottom w:w="80" w:type="dxa"/>
              <w:right w:w="100" w:type="dxa"/>
            </w:tcMar>
          </w:tcPr>
          <w:p w14:paraId="18B66D90"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Convierte la instrumentalización en un obstáculo procesal que recae sobre el adolescente y no produce efecto alguno sobre el reclutador.</w:t>
            </w:r>
          </w:p>
        </w:tc>
      </w:tr>
      <w:tr w:rsidR="004A4930" w14:paraId="466A279D" w14:textId="77777777">
        <w:trPr>
          <w:trHeight w:val="885"/>
        </w:trPr>
        <w:tc>
          <w:tcPr>
            <w:tcW w:w="2822" w:type="dxa"/>
            <w:tcBorders>
              <w:top w:val="nil"/>
              <w:left w:val="single" w:sz="5" w:space="0" w:color="8EAADB"/>
              <w:bottom w:val="single" w:sz="5" w:space="0" w:color="8EAADB"/>
              <w:right w:val="single" w:sz="5" w:space="0" w:color="8EAADB"/>
            </w:tcBorders>
            <w:tcMar>
              <w:top w:w="80" w:type="dxa"/>
              <w:left w:w="100" w:type="dxa"/>
              <w:bottom w:w="80" w:type="dxa"/>
              <w:right w:w="100" w:type="dxa"/>
            </w:tcMar>
          </w:tcPr>
          <w:p w14:paraId="78E2B443"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M7. Permanencia en el centro del sancionado que cumple dieciocho años (parágrafo 1)</w:t>
            </w:r>
          </w:p>
        </w:tc>
        <w:tc>
          <w:tcPr>
            <w:tcW w:w="3083" w:type="dxa"/>
            <w:tcBorders>
              <w:top w:val="nil"/>
              <w:left w:val="nil"/>
              <w:bottom w:val="single" w:sz="5" w:space="0" w:color="8EAADB"/>
              <w:right w:val="single" w:sz="5" w:space="0" w:color="8EAADB"/>
            </w:tcBorders>
            <w:tcMar>
              <w:top w:w="80" w:type="dxa"/>
              <w:left w:w="100" w:type="dxa"/>
              <w:bottom w:w="80" w:type="dxa"/>
              <w:right w:w="100" w:type="dxa"/>
            </w:tcMar>
          </w:tcPr>
          <w:p w14:paraId="2C2A7211"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Obedece a inocuización e impide los fines educativo y restaurativo.</w:t>
            </w:r>
          </w:p>
        </w:tc>
        <w:tc>
          <w:tcPr>
            <w:tcW w:w="3142" w:type="dxa"/>
            <w:tcBorders>
              <w:top w:val="nil"/>
              <w:left w:val="nil"/>
              <w:bottom w:val="single" w:sz="5" w:space="0" w:color="8EAADB"/>
              <w:right w:val="single" w:sz="5" w:space="0" w:color="8EAADB"/>
            </w:tcBorders>
            <w:tcMar>
              <w:top w:w="80" w:type="dxa"/>
              <w:left w:w="100" w:type="dxa"/>
              <w:bottom w:w="80" w:type="dxa"/>
              <w:right w:w="100" w:type="dxa"/>
            </w:tcMar>
          </w:tcPr>
          <w:p w14:paraId="7366B63D"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idónea. No incide sobre la estructura que instrumentaliza.</w:t>
            </w:r>
          </w:p>
        </w:tc>
      </w:tr>
    </w:tbl>
    <w:p w14:paraId="717E89C6"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1E7865AC" w14:textId="77777777" w:rsidR="004A4930" w:rsidRDefault="006E06B4">
      <w:pPr>
        <w:tabs>
          <w:tab w:val="left" w:pos="284"/>
        </w:tabs>
        <w:spacing w:after="20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Siendo así, el proyecto no es idóneo para desincentivar la instrumentalización, la decisión de utilizar a un adolescente la toma un adulto, que busca trasladar el riesgo penal a un tercero y no soporta la sanción que se le imponga al menor, de manera que endurecer esa sanción castiga al </w:t>
      </w:r>
      <w:r>
        <w:rPr>
          <w:rFonts w:ascii="Plus Jakarta Sans" w:eastAsia="Plus Jakarta Sans" w:hAnsi="Plus Jakarta Sans" w:cs="Plus Jakarta Sans"/>
          <w:sz w:val="20"/>
          <w:szCs w:val="20"/>
        </w:rPr>
        <w:lastRenderedPageBreak/>
        <w:t>instrumento y deja intacto a quien lo utiliza. De hecho, los efectos del proyecto de ley  pueden ser contraproducentes, ya que si se reduce la diferencia de trato entre los adolescentes y los adultos, el reclutamiento se desplazará hacia los menores de catorce años, a quienes el artículo 142 de la Ley 1098 de 2006 excluye de responsabilidad penal. A ello se suma que la exigencia de que la instrumentalización esté “debidamente probada dentro del proceso” traslada al adolescente reclutado la carga de demostrar su condición de víctima, cuando la prueba suele estar en manos de quienes lo utilizaron.</w:t>
      </w:r>
    </w:p>
    <w:p w14:paraId="0BE12AF7" w14:textId="77777777" w:rsidR="004A4930" w:rsidRDefault="006E06B4">
      <w:pPr>
        <w:tabs>
          <w:tab w:val="left" w:pos="284"/>
        </w:tabs>
        <w:spacing w:after="20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De igual manera,  no está demostrado que una sanción más severa tenga efecto disuasorio. La literatura criminológica coincide en que lo que disuade es la certeza de ser sancionado y no la duración de la sanción. Los estudios que cita el propio proyecto reconocen, además, que los adolescentes infractores presentan déficits de control inhibitorio y que su capacidad de decisión se merma en situaciones de alta carga emocional o presión de pares, que es precisamente donde la amenaza de una pena mayor no opera.</w:t>
      </w:r>
    </w:p>
    <w:p w14:paraId="5839F10A" w14:textId="77777777" w:rsidR="004A4930" w:rsidRDefault="006E06B4">
      <w:pPr>
        <w:tabs>
          <w:tab w:val="left" w:pos="284"/>
        </w:tabs>
        <w:spacing w:line="240" w:lineRule="auto"/>
        <w:jc w:val="both"/>
        <w:rPr>
          <w:rFonts w:ascii="Plus Jakarta Sans" w:eastAsia="Plus Jakarta Sans" w:hAnsi="Plus Jakarta Sans" w:cs="Plus Jakarta Sans"/>
          <w:b/>
          <w:bCs/>
          <w:sz w:val="20"/>
          <w:szCs w:val="20"/>
        </w:rPr>
      </w:pPr>
      <w:r>
        <w:rPr>
          <w:rFonts w:ascii="Plus Jakarta Sans" w:eastAsia="Plus Jakarta Sans" w:hAnsi="Plus Jakarta Sans" w:cs="Plus Jakarta Sans"/>
          <w:b/>
          <w:bCs/>
          <w:sz w:val="20"/>
          <w:szCs w:val="20"/>
        </w:rPr>
        <w:t xml:space="preserve">2.3. Tercer paso: necesidad. </w:t>
      </w:r>
    </w:p>
    <w:p w14:paraId="41E0E606"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6BE54267"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Aun si se aceptara la idoneidad de alguna medida, existen medios menos lesivos para alcanzar ambas finalidades. Frente a la instrumentalización, el Congreso ya adoptó uno. La Ley 2590 de 2026, vigente desde el 9 de julio, elevó a dieciocho a treinta años de prisión la pena por el uso de menores en la comisión de delitos, con agravantes cuando la víctima es menor de catorce años o cuando el uso la vincula con estructuras criminales. Creó, además, un Observatorio Nacional con informes semestrales al Congreso y medidas de atención y reparación para los menores instrumentalizados. Esa ley actúa sobre el determinador adulto y trata como víctima al adolescente utilizado. Existe, entonces, un medio menos gravoso, ya vigente, que persigue exactamente el fin declarado del proyecto de ley y lo hace donde corresponde: sobre el determinador adulto. El proyecto no explica por qué ese instrumento resultaría insuficiente, ni menciona su existencia. </w:t>
      </w:r>
    </w:p>
    <w:p w14:paraId="55315B88"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619162D2" w14:textId="77777777" w:rsidR="004A4930" w:rsidRDefault="006E06B4">
      <w:pPr>
        <w:tabs>
          <w:tab w:val="left" w:pos="284"/>
        </w:tabs>
        <w:spacing w:line="240" w:lineRule="auto"/>
        <w:jc w:val="both"/>
        <w:rPr>
          <w:rFonts w:ascii="Plus Jakarta Sans" w:eastAsia="Plus Jakarta Sans" w:hAnsi="Plus Jakarta Sans" w:cs="Plus Jakarta Sans"/>
          <w:b/>
          <w:bCs/>
          <w:sz w:val="20"/>
          <w:szCs w:val="20"/>
        </w:rPr>
      </w:pPr>
      <w:r>
        <w:rPr>
          <w:rFonts w:ascii="Plus Jakarta Sans" w:eastAsia="Plus Jakarta Sans" w:hAnsi="Plus Jakarta Sans" w:cs="Plus Jakarta Sans"/>
          <w:b/>
          <w:bCs/>
          <w:sz w:val="20"/>
          <w:szCs w:val="20"/>
        </w:rPr>
        <w:t xml:space="preserve">2.4. Cuarto paso: la proporcionalidad en sentido estricto </w:t>
      </w:r>
    </w:p>
    <w:p w14:paraId="2188FA24"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1EF1077B"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La afectación de los derechos es intensa y cierta. El techo de quince años sin sustitución permitiría mantener privado de la libertad hasta cerca de los veintinueve años a quien cometió el hecho a los catorce, de modo que la mayor parte de una sanción “juvenil” se cumpliría en la edad adulta. De manera que, se soporta en la idea de que ampliar la edad y prolongar el encierro reduce la criminalidad adolescente, sin soportarlo de ninguna manera.</w:t>
      </w:r>
    </w:p>
    <w:p w14:paraId="1FB8A957" w14:textId="77777777" w:rsidR="004A4930" w:rsidRDefault="004A4930">
      <w:pPr>
        <w:tabs>
          <w:tab w:val="left" w:pos="284"/>
        </w:tabs>
        <w:spacing w:line="240" w:lineRule="auto"/>
        <w:jc w:val="both"/>
        <w:rPr>
          <w:rFonts w:ascii="Plus Jakarta Sans" w:eastAsia="Plus Jakarta Sans" w:hAnsi="Plus Jakarta Sans" w:cs="Plus Jakarta Sans"/>
          <w:sz w:val="20"/>
          <w:szCs w:val="20"/>
        </w:rPr>
      </w:pPr>
    </w:p>
    <w:p w14:paraId="0A45362A"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En su lugar, se sacrifica la prevalencia de los derechos de los niños en los términos de la Convención sobre los derechos del niño y los demás instrumentos del bloque de constitucionalidad. El artículo 37 de la Convención establece como último recurso la pena y el balance en general es adverso ya que implica la permanencia institucional hasta los veintinueve o los treinta y dos años según la edad de imposición, con anulación de cualquier proyecto de vida; supresión del fin educativo y restaurativo; y multiplicación de la población adolescente privada de libertad sin una sola línea de análisis de impacto fiscal. </w:t>
      </w:r>
    </w:p>
    <w:p w14:paraId="1C3BAEA5" w14:textId="77777777" w:rsidR="004A4930" w:rsidRDefault="006E06B4">
      <w:pPr>
        <w:numPr>
          <w:ilvl w:val="0"/>
          <w:numId w:val="1"/>
        </w:numPr>
        <w:tabs>
          <w:tab w:val="left" w:pos="284"/>
        </w:tabs>
        <w:spacing w:before="160" w:after="100"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Interés superior del menor y carácter diferenciado, pedagógico y resocializador del SRPA: </w:t>
      </w:r>
    </w:p>
    <w:p w14:paraId="38A7AB10"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La Corte Constitucional ha precisado que, en materia de responsabilidad penal para adolescentes, </w:t>
      </w:r>
      <w:r>
        <w:rPr>
          <w:rFonts w:ascii="Plus Jakarta Sans" w:eastAsia="Plus Jakarta Sans" w:hAnsi="Plus Jakarta Sans" w:cs="Plus Jakarta Sans"/>
          <w:i/>
          <w:iCs/>
          <w:sz w:val="20"/>
          <w:szCs w:val="20"/>
          <w:highlight w:val="white"/>
        </w:rPr>
        <w:t>“tanto el proceso como las medidas que se tomen son de carácter pedagógico, específico y diferenciado respecto del sistema de adultos, conforme a la protección integral”</w:t>
      </w:r>
      <w:r>
        <w:rPr>
          <w:rFonts w:ascii="Plus Jakarta Sans" w:eastAsia="Plus Jakarta Sans" w:hAnsi="Plus Jakarta Sans" w:cs="Plus Jakarta Sans"/>
          <w:sz w:val="20"/>
          <w:szCs w:val="20"/>
          <w:highlight w:val="white"/>
        </w:rPr>
        <w:t>, lo cual guarda concordancia con la protección especial de los niños consagrada en los artículos 44 y 45 de la Constitución Política</w:t>
      </w:r>
      <w:r>
        <w:rPr>
          <w:sz w:val="20"/>
          <w:szCs w:val="20"/>
          <w:highlight w:val="white"/>
          <w:vertAlign w:val="superscript"/>
        </w:rPr>
        <w:footnoteReference w:id="1"/>
      </w:r>
      <w:r>
        <w:rPr>
          <w:rFonts w:ascii="Plus Jakarta Sans" w:eastAsia="Plus Jakarta Sans" w:hAnsi="Plus Jakarta Sans" w:cs="Plus Jakarta Sans"/>
          <w:sz w:val="20"/>
          <w:szCs w:val="20"/>
          <w:highlight w:val="white"/>
        </w:rPr>
        <w:t xml:space="preserve">. Desde la Sentencia C-839 de 2001, la Corte avaló la existencia </w:t>
      </w:r>
      <w:r>
        <w:rPr>
          <w:rFonts w:ascii="Plus Jakarta Sans" w:eastAsia="Plus Jakarta Sans" w:hAnsi="Plus Jakarta Sans" w:cs="Plus Jakarta Sans"/>
          <w:sz w:val="20"/>
          <w:szCs w:val="20"/>
          <w:highlight w:val="white"/>
        </w:rPr>
        <w:lastRenderedPageBreak/>
        <w:t xml:space="preserve">de una justicia penal juvenil, pero sujeta a una condición expresa: </w:t>
      </w:r>
      <w:r>
        <w:rPr>
          <w:rFonts w:ascii="Plus Jakarta Sans" w:eastAsia="Plus Jakarta Sans" w:hAnsi="Plus Jakarta Sans" w:cs="Plus Jakarta Sans"/>
          <w:i/>
          <w:iCs/>
          <w:sz w:val="20"/>
          <w:szCs w:val="20"/>
          <w:highlight w:val="white"/>
        </w:rPr>
        <w:t>“Mientras la ley se ajuste a los principios constitucionales que guían el juzgamiento de los menores y conserve los objetivos que marcan su derrotero, la existencia misma de esta jurisdicción no merece reproche de constitucionalidad alguno”</w:t>
      </w:r>
      <w:r>
        <w:rPr>
          <w:rFonts w:ascii="Plus Jakarta Sans" w:eastAsia="Plus Jakarta Sans" w:hAnsi="Plus Jakarta Sans" w:cs="Plus Jakarta Sans"/>
          <w:sz w:val="20"/>
          <w:szCs w:val="20"/>
          <w:highlight w:val="white"/>
        </w:rPr>
        <w:t>.</w:t>
      </w:r>
    </w:p>
    <w:p w14:paraId="135A445B" w14:textId="77777777" w:rsidR="004A4930" w:rsidRDefault="006E06B4">
      <w:pPr>
        <w:tabs>
          <w:tab w:val="left" w:pos="284"/>
        </w:tabs>
        <w:spacing w:after="160"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sz w:val="20"/>
          <w:szCs w:val="20"/>
          <w:highlight w:val="white"/>
        </w:rPr>
        <w:t xml:space="preserve">Esos objetivos fueron definidos en la misma providencia como la resolución de la delincuencia juvenil </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u w:val="single"/>
        </w:rPr>
        <w:t>desde la perspectiva de la resocialización, la tutela y la rehabilitación</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xml:space="preserve">, buscando, </w:t>
      </w:r>
      <w:r>
        <w:rPr>
          <w:rFonts w:ascii="Plus Jakarta Sans" w:eastAsia="Plus Jakarta Sans" w:hAnsi="Plus Jakarta Sans" w:cs="Plus Jakarta Sans"/>
          <w:i/>
          <w:iCs/>
          <w:sz w:val="20"/>
          <w:szCs w:val="20"/>
          <w:highlight w:val="white"/>
        </w:rPr>
        <w:t>“antes que la imposición de sanciones represivas, la aplicación de medidas de índole educativa y resocializadora para alcanzar la integración social del menor”</w:t>
      </w:r>
      <w:r>
        <w:rPr>
          <w:sz w:val="20"/>
          <w:szCs w:val="20"/>
          <w:highlight w:val="white"/>
          <w:vertAlign w:val="superscript"/>
        </w:rPr>
        <w:footnoteReference w:id="2"/>
      </w:r>
      <w:r>
        <w:rPr>
          <w:rFonts w:ascii="Plus Jakarta Sans" w:eastAsia="Plus Jakarta Sans" w:hAnsi="Plus Jakarta Sans" w:cs="Plus Jakarta Sans"/>
          <w:i/>
          <w:iCs/>
          <w:sz w:val="20"/>
          <w:szCs w:val="20"/>
          <w:highlight w:val="white"/>
        </w:rPr>
        <w:t>.</w:t>
      </w:r>
    </w:p>
    <w:p w14:paraId="08FD0BBD"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La Sentencia C-684 de 2009 reiteró que las medidas del sistema deben ser apropiadas a la condición del adolescente como sujeto de especial protección, y en particular medidas </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u w:val="single"/>
        </w:rPr>
        <w:t>que no obedezcan a un enfoque punitivo sino a una aproximación protectora, educativa y resocializadora</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y dejó claro que estos principios vinculan al Legislador no sólo en sentido positivo, sino también en sentido negativo, al constituirse en un límite a su libertad de configuración normativa</w:t>
      </w:r>
      <w:r>
        <w:rPr>
          <w:sz w:val="20"/>
          <w:szCs w:val="20"/>
          <w:highlight w:val="white"/>
          <w:vertAlign w:val="superscript"/>
        </w:rPr>
        <w:footnoteReference w:id="3"/>
      </w:r>
      <w:r>
        <w:rPr>
          <w:rFonts w:ascii="Plus Jakarta Sans" w:eastAsia="Plus Jakarta Sans" w:hAnsi="Plus Jakarta Sans" w:cs="Plus Jakarta Sans"/>
          <w:sz w:val="20"/>
          <w:szCs w:val="20"/>
          <w:highlight w:val="white"/>
        </w:rPr>
        <w:t>.</w:t>
      </w:r>
    </w:p>
    <w:p w14:paraId="6EB7F95F" w14:textId="77777777" w:rsidR="004A4930" w:rsidRDefault="006E06B4">
      <w:pPr>
        <w:tabs>
          <w:tab w:val="left" w:pos="284"/>
        </w:tabs>
        <w:spacing w:after="160"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sz w:val="20"/>
          <w:szCs w:val="20"/>
          <w:highlight w:val="white"/>
        </w:rPr>
        <w:t xml:space="preserve">Este parámetro constitucional se encuentra desarrollado en normas legales que el Proyecto de Ley 029 de 2026 Cámara no modifica y que, por tanto, seguirán vigentes en abierta tensión con la reforma. El artículo 161 de la Ley 1098 de 2006 dispone que </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u w:val="single"/>
        </w:rPr>
        <w:t>La privación de la libertad sólo procederá como medida pedagógica</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vertAlign w:val="superscript"/>
        </w:rPr>
        <w:footnoteReference w:id="4"/>
      </w:r>
      <w:r>
        <w:rPr>
          <w:rFonts w:ascii="Plus Jakarta Sans" w:eastAsia="Plus Jakarta Sans" w:hAnsi="Plus Jakarta Sans" w:cs="Plus Jakarta Sans"/>
          <w:sz w:val="20"/>
          <w:szCs w:val="20"/>
          <w:highlight w:val="white"/>
        </w:rPr>
        <w:t xml:space="preserve">; el artículo 178 establece que las sanciones </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u w:val="single"/>
        </w:rPr>
        <w:t>tienen una finalidad protectora, educativa y restaurativa, y se aplicarán con el apoyo de la familia y de especialistas</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y faculta al juez para modificar las medidas impuestas en función de las circunstancias individuales del adolescente y sus necesidades especiales</w:t>
      </w:r>
      <w:r>
        <w:rPr>
          <w:sz w:val="20"/>
          <w:szCs w:val="20"/>
          <w:highlight w:val="white"/>
          <w:vertAlign w:val="superscript"/>
        </w:rPr>
        <w:footnoteReference w:id="5"/>
      </w:r>
      <w:r>
        <w:rPr>
          <w:rFonts w:ascii="Plus Jakarta Sans" w:eastAsia="Plus Jakarta Sans" w:hAnsi="Plus Jakarta Sans" w:cs="Plus Jakarta Sans"/>
          <w:sz w:val="20"/>
          <w:szCs w:val="20"/>
          <w:highlight w:val="white"/>
        </w:rPr>
        <w:t xml:space="preserve">; el artículo 179 obliga a considerar, al definir la sanción, </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u w:val="single"/>
        </w:rPr>
        <w:t>La proporcionalidad e idoneidad de la sanción atendidas las circunstancias y gravedad de los hechos; las circunstancias y necesidades del adolescente y las necesidades de la sociedad</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así como la edad del adolescente</w:t>
      </w:r>
      <w:r>
        <w:rPr>
          <w:sz w:val="20"/>
          <w:szCs w:val="20"/>
          <w:highlight w:val="white"/>
          <w:vertAlign w:val="superscript"/>
        </w:rPr>
        <w:footnoteReference w:id="6"/>
      </w:r>
      <w:r>
        <w:rPr>
          <w:rFonts w:ascii="Plus Jakarta Sans" w:eastAsia="Plus Jakarta Sans" w:hAnsi="Plus Jakarta Sans" w:cs="Plus Jakarta Sans"/>
          <w:sz w:val="20"/>
          <w:szCs w:val="20"/>
          <w:highlight w:val="white"/>
        </w:rPr>
        <w:t xml:space="preserve">; y el artículo 140, según lo reseña la Corte Constitucional, ordena que en caso de conflicto normativo o para efectos de interpretación </w:t>
      </w:r>
      <w:r>
        <w:rPr>
          <w:rFonts w:ascii="Plus Jakarta Sans" w:eastAsia="Plus Jakarta Sans" w:hAnsi="Plus Jakarta Sans" w:cs="Plus Jakarta Sans"/>
          <w:i/>
          <w:iCs/>
          <w:sz w:val="20"/>
          <w:szCs w:val="20"/>
          <w:highlight w:val="white"/>
        </w:rPr>
        <w:t>“las autoridades judiciales deberán siempre privilegiar el interés superior del niño y orientarse por los principios de la protección integral, así como los pedagógicos, específicos y diferenciados que rigen este sistema”</w:t>
      </w:r>
      <w:r>
        <w:rPr>
          <w:sz w:val="20"/>
          <w:szCs w:val="20"/>
          <w:highlight w:val="white"/>
          <w:vertAlign w:val="superscript"/>
        </w:rPr>
        <w:footnoteReference w:id="7"/>
      </w:r>
      <w:r>
        <w:rPr>
          <w:rFonts w:ascii="Plus Jakarta Sans" w:eastAsia="Plus Jakarta Sans" w:hAnsi="Plus Jakarta Sans" w:cs="Plus Jakarta Sans"/>
          <w:i/>
          <w:iCs/>
          <w:sz w:val="20"/>
          <w:szCs w:val="20"/>
          <w:highlight w:val="white"/>
        </w:rPr>
        <w:t>.</w:t>
      </w:r>
    </w:p>
    <w:p w14:paraId="22E695B1"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Hoy, el régimen de privación de la libertad de dos (2) a ocho (8) años, con cumplimiento total de la sanción y sin beneficios para redimirla, es excepcional: el artículo 187 de la Ley 1098 de 2006, modificado por el artículo 90 de la Ley 1453 de 2011, lo reserva para el homicidio doloso, el secuestro, la extorsión en todas sus formas y los delitos agravados contra la libertad, integridad y formación sexual</w:t>
      </w:r>
      <w:r>
        <w:rPr>
          <w:sz w:val="20"/>
          <w:szCs w:val="20"/>
          <w:highlight w:val="white"/>
          <w:vertAlign w:val="superscript"/>
        </w:rPr>
        <w:footnoteReference w:id="8"/>
      </w:r>
      <w:r>
        <w:rPr>
          <w:rFonts w:ascii="Plus Jakarta Sans" w:eastAsia="Plus Jakarta Sans" w:hAnsi="Plus Jakarta Sans" w:cs="Plus Jakarta Sans"/>
          <w:sz w:val="20"/>
          <w:szCs w:val="20"/>
          <w:highlight w:val="white"/>
        </w:rPr>
        <w:t>.</w:t>
      </w:r>
    </w:p>
    <w:p w14:paraId="03097B99"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El proyecto convierte ese régimen en la regla para cerca de veinte delitos, eleva el piso a cinco (5) años y el techo a quince (15) años, y mantiene la exclusión de beneficios. Con ello neutraliza la individualización que exige el artículo 179, pues un piso obligatorio de cinco años impide que el juez atienda la edad, las circunstancias y las necesidades del adolescente cuando estas aconsejen una sanción menor. Vacía, además, la facultad judicial de ajuste del artículo 178, que la Corte ha vinculado al estándar internacional según el cual los funcionarios deben estar </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u w:val="single"/>
        </w:rPr>
        <w:t xml:space="preserve">en capacidad de modificar el tipo de medidas que se han de imponer al menor, en función de sus </w:t>
      </w:r>
      <w:r>
        <w:rPr>
          <w:rFonts w:ascii="Plus Jakarta Sans" w:eastAsia="Plus Jakarta Sans" w:hAnsi="Plus Jakarta Sans" w:cs="Plus Jakarta Sans"/>
          <w:i/>
          <w:iCs/>
          <w:sz w:val="20"/>
          <w:szCs w:val="20"/>
          <w:highlight w:val="white"/>
          <w:u w:val="single"/>
        </w:rPr>
        <w:lastRenderedPageBreak/>
        <w:t>condiciones individuales y de su proceso específico de protección y resocialización</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i/>
          <w:iCs/>
          <w:sz w:val="20"/>
          <w:szCs w:val="20"/>
          <w:highlight w:val="white"/>
          <w:vertAlign w:val="superscript"/>
        </w:rPr>
        <w:footnoteReference w:id="9"/>
      </w:r>
      <w:r>
        <w:rPr>
          <w:rFonts w:ascii="Plus Jakarta Sans" w:eastAsia="Plus Jakarta Sans" w:hAnsi="Plus Jakarta Sans" w:cs="Plus Jakarta Sans"/>
          <w:sz w:val="20"/>
          <w:szCs w:val="20"/>
          <w:highlight w:val="white"/>
        </w:rPr>
        <w:t xml:space="preserve"> una sanción de hasta quince años de cumplimiento total, sin posibilidad de redención, es la negación de esa flexibilidad, y acerca la sanción juvenil, en duración y en lógica, a la pena de adultos: un adolescente sancionado por un hecho cometido a los catorce años podría permanecer privado de la libertad hasta cerca de los veintinueve (29) años, sin contar el tiempo del proceso, y conforme al parágrafo del artículo 187 vigente continuaría cumpliendo la sanción en el Centro de Atención Especializada después de cumplir dieciocho años, de modo que buena parte de una sanción “juvenil” se cumpliría en la adultez, lo que difícilmente conserva el carácter pedagógico que exige el artículo 161.</w:t>
      </w:r>
    </w:p>
    <w:p w14:paraId="1DD75D53"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Precisamente porque el interés superior del adolescente opera como límite negativo a la libertad de configuración legislativa, </w:t>
      </w:r>
      <w:r>
        <w:rPr>
          <w:rFonts w:ascii="Plus Jakarta Sans" w:eastAsia="Plus Jakarta Sans" w:hAnsi="Plus Jakarta Sans" w:cs="Plus Jakarta Sans"/>
          <w:b/>
          <w:bCs/>
          <w:sz w:val="20"/>
          <w:szCs w:val="20"/>
          <w:highlight w:val="white"/>
        </w:rPr>
        <w:t>una reforma que endurece de este modo la sanción debería demostrar que el régimen vigente de hasta ocho años es insuficiente para cumplir los fines del sistema</w:t>
      </w:r>
      <w:r>
        <w:rPr>
          <w:rFonts w:ascii="Plus Jakarta Sans" w:eastAsia="Plus Jakarta Sans" w:hAnsi="Plus Jakarta Sans" w:cs="Plus Jakarta Sans"/>
          <w:sz w:val="20"/>
          <w:szCs w:val="20"/>
          <w:highlight w:val="white"/>
        </w:rPr>
        <w:t>, y el proyecto, que se apoya en cifras de incidencia delictiva, no acredita esa insuficiencia.</w:t>
      </w:r>
    </w:p>
    <w:p w14:paraId="6A23EA3B" w14:textId="77777777" w:rsidR="004A4930" w:rsidRDefault="006E06B4">
      <w:pPr>
        <w:numPr>
          <w:ilvl w:val="0"/>
          <w:numId w:val="1"/>
        </w:numPr>
        <w:tabs>
          <w:tab w:val="left" w:pos="284"/>
        </w:tabs>
        <w:spacing w:after="160"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 Estándar internacional de último recurso y período más breve que proceda: </w:t>
      </w:r>
    </w:p>
    <w:p w14:paraId="7EDDC94C"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A este desplazamiento de la finalidad de la sanción se suma la incompatibilidad del proyecto con el estándar internacional de último recurso y período más breve que proceda. La Convención sobre los Derechos del Niño, incorporada al ordenamiento colombiano mediante la Ley 12 de 1991, dispone en su artículo 37, literal b), que la detención, el encarcelamiento o la prisión de un niño </w:t>
      </w:r>
      <w:r>
        <w:rPr>
          <w:rFonts w:ascii="Plus Jakarta Sans" w:eastAsia="Plus Jakarta Sans" w:hAnsi="Plus Jakarta Sans" w:cs="Plus Jakarta Sans"/>
          <w:i/>
          <w:iCs/>
          <w:sz w:val="20"/>
          <w:szCs w:val="20"/>
          <w:highlight w:val="white"/>
        </w:rPr>
        <w:t>“se utilizará tan sólo como medida de último recurso y durante el período más breve que proceda”</w:t>
      </w:r>
      <w:r>
        <w:rPr>
          <w:rFonts w:ascii="Plus Jakarta Sans" w:eastAsia="Plus Jakarta Sans" w:hAnsi="Plus Jakarta Sans" w:cs="Plus Jakarta Sans"/>
          <w:sz w:val="20"/>
          <w:szCs w:val="20"/>
          <w:highlight w:val="white"/>
        </w:rPr>
        <w:t xml:space="preserve">, y en su artículo 40.4 ordena disponer de alternativas a la internación en instituciones </w:t>
      </w:r>
      <w:r>
        <w:rPr>
          <w:rFonts w:ascii="Plus Jakarta Sans" w:eastAsia="Plus Jakarta Sans" w:hAnsi="Plus Jakarta Sans" w:cs="Plus Jakarta Sans"/>
          <w:i/>
          <w:iCs/>
          <w:sz w:val="20"/>
          <w:szCs w:val="20"/>
          <w:highlight w:val="white"/>
        </w:rPr>
        <w:t>“para asegurar que los niños sean tratados de manera apropiada para su bienestar y que guarde proporción tanto con sus circunstancias como con la infracción”</w:t>
      </w:r>
      <w:r>
        <w:rPr>
          <w:sz w:val="20"/>
          <w:szCs w:val="20"/>
          <w:highlight w:val="white"/>
          <w:vertAlign w:val="superscript"/>
        </w:rPr>
        <w:footnoteReference w:id="10"/>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xml:space="preserve"> La Corte Constitucional en Sentencia C-839 de 2001 ha recordado que, por disposición expresa del artículo 93 de la Carta, los tratados y convenios internacionales ratificados por Colombia que reconocen derechos humanos y prohíben su limitación en los estados de excepción prevalecen en el orden interno</w:t>
      </w:r>
      <w:r>
        <w:rPr>
          <w:sz w:val="20"/>
          <w:szCs w:val="20"/>
          <w:highlight w:val="white"/>
          <w:vertAlign w:val="superscript"/>
        </w:rPr>
        <w:footnoteReference w:id="11"/>
      </w:r>
      <w:r>
        <w:rPr>
          <w:rFonts w:ascii="Plus Jakarta Sans" w:eastAsia="Plus Jakarta Sans" w:hAnsi="Plus Jakarta Sans" w:cs="Plus Jakarta Sans"/>
          <w:sz w:val="20"/>
          <w:szCs w:val="20"/>
          <w:highlight w:val="white"/>
        </w:rPr>
        <w:t>.</w:t>
      </w:r>
    </w:p>
    <w:p w14:paraId="1D807015" w14:textId="77777777" w:rsidR="004A4930" w:rsidRDefault="006E06B4">
      <w:pPr>
        <w:tabs>
          <w:tab w:val="left" w:pos="284"/>
        </w:tabs>
        <w:spacing w:after="160"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sz w:val="20"/>
          <w:szCs w:val="20"/>
          <w:highlight w:val="white"/>
        </w:rPr>
        <w:t xml:space="preserve">Asimismo, la Corte ha señalado que las Reglas de Beijing y las Reglas de las Naciones Unidas para la protección de los menores privados de libertad constituyen la </w:t>
      </w:r>
      <w:r>
        <w:rPr>
          <w:rFonts w:ascii="Plus Jakarta Sans" w:eastAsia="Plus Jakarta Sans" w:hAnsi="Plus Jakarta Sans" w:cs="Plus Jakarta Sans"/>
          <w:i/>
          <w:iCs/>
          <w:sz w:val="20"/>
          <w:szCs w:val="20"/>
          <w:highlight w:val="white"/>
          <w:u w:val="single"/>
        </w:rPr>
        <w:t>“codificación de las principales obligaciones internacionales de Colombia en la materia</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xml:space="preserve"> y las ha utilizado como parámetros de control de las leyes que regulan el juzgamiento de adolescentes. Según la Sentencia C-839 de 2001, la Regla de Beijing 17 exige que las medidas restrictivas de la libertad se reduzcan al mínimo y que la privación de la libertad personal </w:t>
      </w:r>
      <w:r>
        <w:rPr>
          <w:rFonts w:ascii="Plus Jakarta Sans" w:eastAsia="Plus Jakarta Sans" w:hAnsi="Plus Jakarta Sans" w:cs="Plus Jakarta Sans"/>
          <w:i/>
          <w:iCs/>
          <w:sz w:val="20"/>
          <w:szCs w:val="20"/>
          <w:highlight w:val="white"/>
        </w:rPr>
        <w:t>“únicamente podrá imponerse cuando el menor haya cometido un acto grave y violento contra otra persona, o por reincidencia en otros delitos graves, y cuando no exista otra respuesta institucional apropiada”</w:t>
      </w:r>
      <w:r>
        <w:rPr>
          <w:rFonts w:ascii="Plus Jakarta Sans" w:eastAsia="Plus Jakarta Sans" w:hAnsi="Plus Jakarta Sans" w:cs="Plus Jakarta Sans"/>
          <w:sz w:val="20"/>
          <w:szCs w:val="20"/>
          <w:highlight w:val="white"/>
        </w:rPr>
        <w:t xml:space="preserve">; la Regla de Beijing 19 establece que el confinamiento de menores </w:t>
      </w:r>
      <w:r>
        <w:rPr>
          <w:rFonts w:ascii="Plus Jakarta Sans" w:eastAsia="Plus Jakarta Sans" w:hAnsi="Plus Jakarta Sans" w:cs="Plus Jakarta Sans"/>
          <w:i/>
          <w:iCs/>
          <w:sz w:val="20"/>
          <w:szCs w:val="20"/>
          <w:highlight w:val="white"/>
        </w:rPr>
        <w:t>“se utilizará en todo momento como último recurso y por el más breve plazo posible”</w:t>
      </w:r>
      <w:r>
        <w:rPr>
          <w:rFonts w:ascii="Plus Jakarta Sans" w:eastAsia="Plus Jakarta Sans" w:hAnsi="Plus Jakarta Sans" w:cs="Plus Jakarta Sans"/>
          <w:sz w:val="20"/>
          <w:szCs w:val="20"/>
          <w:highlight w:val="white"/>
        </w:rPr>
        <w:t xml:space="preserve">; y la Regla 2 de las Reglas para la protección de los menores privados de libertad prevé que </w:t>
      </w:r>
      <w:r>
        <w:rPr>
          <w:rFonts w:ascii="Plus Jakarta Sans" w:eastAsia="Plus Jakarta Sans" w:hAnsi="Plus Jakarta Sans" w:cs="Plus Jakarta Sans"/>
          <w:i/>
          <w:iCs/>
          <w:sz w:val="20"/>
          <w:szCs w:val="20"/>
          <w:highlight w:val="white"/>
        </w:rPr>
        <w:t>“la duración de la sanción debe ser determinada por la autoridad judicial sin excluir la posibilidad de que el menor sea puesto en libertad antes de ese tiempo”</w:t>
      </w:r>
      <w:r>
        <w:rPr>
          <w:sz w:val="20"/>
          <w:szCs w:val="20"/>
          <w:highlight w:val="white"/>
          <w:vertAlign w:val="superscript"/>
        </w:rPr>
        <w:footnoteReference w:id="12"/>
      </w:r>
      <w:r>
        <w:rPr>
          <w:rFonts w:ascii="Plus Jakarta Sans" w:eastAsia="Plus Jakarta Sans" w:hAnsi="Plus Jakarta Sans" w:cs="Plus Jakarta Sans"/>
          <w:i/>
          <w:iCs/>
          <w:sz w:val="20"/>
          <w:szCs w:val="20"/>
          <w:highlight w:val="white"/>
        </w:rPr>
        <w:t>.</w:t>
      </w:r>
    </w:p>
    <w:p w14:paraId="635898B0" w14:textId="77777777" w:rsidR="004A4930" w:rsidRDefault="006E06B4">
      <w:pPr>
        <w:tabs>
          <w:tab w:val="left" w:pos="284"/>
        </w:tabs>
        <w:spacing w:after="160" w:line="240" w:lineRule="auto"/>
        <w:jc w:val="both"/>
        <w:rPr>
          <w:sz w:val="20"/>
          <w:szCs w:val="20"/>
          <w:highlight w:val="white"/>
        </w:rPr>
      </w:pPr>
      <w:r>
        <w:rPr>
          <w:rFonts w:ascii="Plus Jakarta Sans" w:eastAsia="Plus Jakarta Sans" w:hAnsi="Plus Jakarta Sans" w:cs="Plus Jakarta Sans"/>
          <w:sz w:val="20"/>
          <w:szCs w:val="20"/>
          <w:highlight w:val="white"/>
        </w:rPr>
        <w:t xml:space="preserve">El Comité de los Derechos del Niño, órgano de supervisión de la Convención, precisó el alcance del artículo 37 b) en la Observación General No. 24 de 2019, que sustituyó la Observación General No. 10 de 2007. En ella recomienda a los Estados partes </w:t>
      </w:r>
      <w:r>
        <w:rPr>
          <w:rFonts w:ascii="Plus Jakarta Sans" w:eastAsia="Plus Jakarta Sans" w:hAnsi="Plus Jakarta Sans" w:cs="Plus Jakarta Sans"/>
          <w:i/>
          <w:iCs/>
          <w:sz w:val="20"/>
          <w:szCs w:val="20"/>
          <w:highlight w:val="white"/>
        </w:rPr>
        <w:t xml:space="preserve">“que establezcan una pena máxima para </w:t>
      </w:r>
      <w:r>
        <w:rPr>
          <w:rFonts w:ascii="Plus Jakarta Sans" w:eastAsia="Plus Jakarta Sans" w:hAnsi="Plus Jakarta Sans" w:cs="Plus Jakarta Sans"/>
          <w:i/>
          <w:iCs/>
          <w:sz w:val="20"/>
          <w:szCs w:val="20"/>
          <w:highlight w:val="white"/>
        </w:rPr>
        <w:lastRenderedPageBreak/>
        <w:t>los niños acusados de delitos que refleje el principio del “período más breve que proceda”</w:t>
      </w:r>
      <w:r>
        <w:rPr>
          <w:rFonts w:ascii="Plus Jakarta Sans" w:eastAsia="Plus Jakarta Sans" w:hAnsi="Plus Jakarta Sans" w:cs="Plus Jakarta Sans"/>
          <w:i/>
          <w:iCs/>
          <w:sz w:val="20"/>
          <w:szCs w:val="20"/>
          <w:highlight w:val="white"/>
          <w:vertAlign w:val="superscript"/>
        </w:rPr>
        <w:footnoteReference w:id="13"/>
      </w:r>
      <w:r>
        <w:rPr>
          <w:rFonts w:ascii="Plus Jakarta Sans" w:eastAsia="Plus Jakarta Sans" w:hAnsi="Plus Jakarta Sans" w:cs="Plus Jakarta Sans"/>
          <w:sz w:val="20"/>
          <w:szCs w:val="20"/>
          <w:highlight w:val="white"/>
        </w:rPr>
        <w:t xml:space="preserve">; advierte que </w:t>
      </w:r>
      <w:r>
        <w:rPr>
          <w:rFonts w:ascii="Plus Jakarta Sans" w:eastAsia="Plus Jakarta Sans" w:hAnsi="Plus Jakarta Sans" w:cs="Plus Jakarta Sans"/>
          <w:i/>
          <w:iCs/>
          <w:sz w:val="20"/>
          <w:szCs w:val="20"/>
          <w:highlight w:val="white"/>
        </w:rPr>
        <w:t>“Las sentencias mínimas obligatorias son incompatibles con el principio de proporcionalidad de la justicia juvenil y con el requisito de que la reclusión sea una medida de último recurso y por el período de tiempo más breve posible”</w:t>
      </w:r>
      <w:r>
        <w:rPr>
          <w:sz w:val="20"/>
          <w:szCs w:val="20"/>
          <w:highlight w:val="white"/>
          <w:vertAlign w:val="superscript"/>
        </w:rPr>
        <w:footnoteReference w:id="14"/>
      </w:r>
      <w:r>
        <w:rPr>
          <w:rFonts w:ascii="Plus Jakarta Sans" w:eastAsia="Plus Jakarta Sans" w:hAnsi="Plus Jakarta Sans" w:cs="Plus Jakarta Sans"/>
          <w:sz w:val="20"/>
          <w:szCs w:val="20"/>
          <w:highlight w:val="white"/>
        </w:rPr>
        <w:t xml:space="preserve"> señala que los Estados partes </w:t>
      </w:r>
      <w:r>
        <w:rPr>
          <w:rFonts w:ascii="Plus Jakarta Sans" w:eastAsia="Plus Jakarta Sans" w:hAnsi="Plus Jakarta Sans" w:cs="Plus Jakarta Sans"/>
          <w:i/>
          <w:iCs/>
          <w:sz w:val="20"/>
          <w:szCs w:val="20"/>
          <w:highlight w:val="white"/>
        </w:rPr>
        <w:t>“deben ofrecer periódicamente oportunidades para permitir la puesta en libertad anticipada”</w:t>
      </w:r>
      <w:r>
        <w:rPr>
          <w:sz w:val="20"/>
          <w:szCs w:val="20"/>
          <w:highlight w:val="white"/>
          <w:vertAlign w:val="superscript"/>
        </w:rPr>
        <w:footnoteReference w:id="15"/>
      </w:r>
      <w:r>
        <w:rPr>
          <w:rFonts w:ascii="Plus Jakarta Sans" w:eastAsia="Plus Jakarta Sans" w:hAnsi="Plus Jakarta Sans" w:cs="Plus Jakarta Sans"/>
          <w:sz w:val="20"/>
          <w:szCs w:val="20"/>
          <w:highlight w:val="white"/>
        </w:rPr>
        <w:t xml:space="preserve"> fija como objetivo que, en las pocas situaciones en que la privación de libertad se justifique como último recurso, se aplique </w:t>
      </w:r>
      <w:r>
        <w:rPr>
          <w:rFonts w:ascii="Plus Jakarta Sans" w:eastAsia="Plus Jakarta Sans" w:hAnsi="Plus Jakarta Sans" w:cs="Plus Jakarta Sans"/>
          <w:i/>
          <w:iCs/>
          <w:sz w:val="20"/>
          <w:szCs w:val="20"/>
          <w:highlight w:val="white"/>
        </w:rPr>
        <w:t>“únicamente a niños de mayor edad y esté estrictamente limitada en el tiempo y sujeta a revisión periódica”</w:t>
      </w:r>
      <w:r>
        <w:rPr>
          <w:sz w:val="20"/>
          <w:szCs w:val="20"/>
          <w:highlight w:val="white"/>
          <w:vertAlign w:val="superscript"/>
        </w:rPr>
        <w:footnoteReference w:id="16"/>
      </w:r>
      <w:r>
        <w:rPr>
          <w:rFonts w:ascii="Plus Jakarta Sans" w:eastAsia="Plus Jakarta Sans" w:hAnsi="Plus Jakarta Sans" w:cs="Plus Jakarta Sans"/>
          <w:sz w:val="20"/>
          <w:szCs w:val="20"/>
          <w:highlight w:val="white"/>
        </w:rPr>
        <w:t xml:space="preserve"> alienta a fijar un límite de edad por debajo del cual los niños no puedan ser legalmente privados de su libertad, </w:t>
      </w:r>
      <w:r>
        <w:rPr>
          <w:rFonts w:ascii="Plus Jakarta Sans" w:eastAsia="Plus Jakarta Sans" w:hAnsi="Plus Jakarta Sans" w:cs="Plus Jakarta Sans"/>
          <w:i/>
          <w:iCs/>
          <w:sz w:val="20"/>
          <w:szCs w:val="20"/>
          <w:highlight w:val="white"/>
        </w:rPr>
        <w:t>“como los 16 años de edad”</w:t>
      </w:r>
      <w:r>
        <w:rPr>
          <w:rFonts w:ascii="Plus Jakarta Sans" w:eastAsia="Plus Jakarta Sans" w:hAnsi="Plus Jakarta Sans" w:cs="Plus Jakarta Sans"/>
          <w:sz w:val="20"/>
          <w:szCs w:val="20"/>
          <w:highlight w:val="white"/>
          <w:vertAlign w:val="superscript"/>
        </w:rPr>
        <w:footnoteReference w:id="17"/>
      </w:r>
      <w:r>
        <w:rPr>
          <w:rFonts w:ascii="Plus Jakarta Sans" w:eastAsia="Plus Jakarta Sans" w:hAnsi="Plus Jakarta Sans" w:cs="Plus Jakarta Sans"/>
          <w:sz w:val="20"/>
          <w:szCs w:val="20"/>
          <w:highlight w:val="white"/>
        </w:rPr>
        <w:t xml:space="preserve"> y recuerda a los Estados que tienen disposiciones más favorables a los derechos del niño que, de conformidad con el artículo 41 de la Convención, </w:t>
      </w:r>
      <w:r>
        <w:rPr>
          <w:rFonts w:ascii="Plus Jakarta Sans" w:eastAsia="Plus Jakarta Sans" w:hAnsi="Plus Jakarta Sans" w:cs="Plus Jakarta Sans"/>
          <w:i/>
          <w:iCs/>
          <w:sz w:val="20"/>
          <w:szCs w:val="20"/>
          <w:highlight w:val="white"/>
        </w:rPr>
        <w:t>“no deben adoptar ninguna medida regresiva”</w:t>
      </w:r>
      <w:r>
        <w:rPr>
          <w:rFonts w:ascii="Plus Jakarta Sans" w:eastAsia="Plus Jakarta Sans" w:hAnsi="Plus Jakarta Sans" w:cs="Plus Jakarta Sans"/>
          <w:sz w:val="20"/>
          <w:szCs w:val="20"/>
          <w:highlight w:val="white"/>
          <w:vertAlign w:val="superscript"/>
        </w:rPr>
        <w:footnoteReference w:id="18"/>
      </w:r>
      <w:r>
        <w:rPr>
          <w:rFonts w:ascii="Plus Jakarta Sans" w:eastAsia="Plus Jakarta Sans" w:hAnsi="Plus Jakarta Sans" w:cs="Plus Jakarta Sans"/>
          <w:sz w:val="20"/>
          <w:szCs w:val="20"/>
          <w:highlight w:val="white"/>
        </w:rPr>
        <w:t>.</w:t>
      </w:r>
    </w:p>
    <w:p w14:paraId="58E68794"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Contrastado con estos estándares, el proyecto amplía la privación de libertad a conductas que no constituyen actos violentos contra personas, como el hurto calificado del artículo 240 del Código Penal, algunas de cuyas modalidades, como la prevista en su numeral 4, no exigen violencia contra la víctima, lo que se aparta del criterio de la Regla de Beijing 17.</w:t>
      </w:r>
    </w:p>
    <w:p w14:paraId="1EEC2B55"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Eleva el piso de dos a cinco años, y dado que el artículo 187 dispone que la privación de la libertad “se aplicará” a los adolescentes hallados responsables de los delitos listados, ese piso opera como mínimo obligatorio, en tensión directa con lo advertido por el Comité sobre las sentencias mínimas obligatorias.</w:t>
      </w:r>
    </w:p>
    <w:p w14:paraId="65472B4D"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Casi duplica el techo, de ocho a quince años, y lo hace aplicable desde los catorce años, en sentido opuesto a la recomendación de fijar una pena máxima coherente con el período más breve que proceda y a la sugerencia de no privar de la libertad a menores de dieciséis años. Extiende a todo el nuevo catálogo el régimen de cumplimiento total sin beneficios para redimir la sanción, contrariando la Regla 2 de las Reglas para la protección de los menores privados de libertad, que no excluye la liberación antes del término, y la exigencia de oportunidades periódicas de libertad anticipada. Y constituye, en conjunto, una medida regresiva frente al régimen vigente.</w:t>
      </w:r>
    </w:p>
    <w:p w14:paraId="7655177D" w14:textId="77777777" w:rsidR="004A4930" w:rsidRDefault="006E06B4">
      <w:pPr>
        <w:tabs>
          <w:tab w:val="left" w:pos="284"/>
        </w:tabs>
        <w:spacing w:after="160" w:line="240" w:lineRule="auto"/>
        <w:jc w:val="both"/>
        <w:rPr>
          <w:sz w:val="20"/>
          <w:szCs w:val="20"/>
          <w:highlight w:val="white"/>
        </w:rPr>
      </w:pPr>
      <w:r>
        <w:rPr>
          <w:rFonts w:ascii="Plus Jakarta Sans" w:eastAsia="Plus Jakarta Sans" w:hAnsi="Plus Jakarta Sans" w:cs="Plus Jakarta Sans"/>
          <w:sz w:val="20"/>
          <w:szCs w:val="20"/>
          <w:highlight w:val="white"/>
        </w:rPr>
        <w:t xml:space="preserve">Podría objetarse que las observaciones generales no son tratados internacionales, o que el propio Comité admite que, </w:t>
      </w:r>
      <w:r>
        <w:rPr>
          <w:rFonts w:ascii="Plus Jakarta Sans" w:eastAsia="Plus Jakarta Sans" w:hAnsi="Plus Jakarta Sans" w:cs="Plus Jakarta Sans"/>
          <w:i/>
          <w:iCs/>
          <w:sz w:val="20"/>
          <w:szCs w:val="20"/>
          <w:highlight w:val="white"/>
        </w:rPr>
        <w:t>“Cuando un niño cometa un delito grave, se podrá considerar la aplicación de medidas proporcionales a las circunstancias del infractor y a la gravedad del hecho, y se tomará en consideración la necesidad de seguridad pública y de sanciones”</w:t>
      </w:r>
      <w:r>
        <w:rPr>
          <w:rFonts w:ascii="Plus Jakarta Sans" w:eastAsia="Plus Jakarta Sans" w:hAnsi="Plus Jakarta Sans" w:cs="Plus Jakarta Sans"/>
          <w:sz w:val="20"/>
          <w:szCs w:val="20"/>
          <w:highlight w:val="white"/>
          <w:vertAlign w:val="superscript"/>
        </w:rPr>
        <w:footnoteReference w:id="19"/>
      </w:r>
      <w:r>
        <w:rPr>
          <w:rFonts w:ascii="Plus Jakarta Sans" w:eastAsia="Plus Jakarta Sans" w:hAnsi="Plus Jakarta Sans" w:cs="Plus Jakarta Sans"/>
          <w:sz w:val="20"/>
          <w:szCs w:val="20"/>
          <w:highlight w:val="white"/>
        </w:rPr>
        <w:t>.</w:t>
      </w:r>
    </w:p>
    <w:p w14:paraId="3973138B" w14:textId="77777777" w:rsidR="004A4930" w:rsidRDefault="006E06B4">
      <w:pPr>
        <w:tabs>
          <w:tab w:val="left" w:pos="284"/>
        </w:tabs>
        <w:spacing w:after="16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Ambas afirmaciones son ciertas, pero no salvan el proyecto: el Comité exige que esa ponderación sea individual y proporcional, y en el mismo párrafo advierte que </w:t>
      </w:r>
      <w:r>
        <w:rPr>
          <w:rFonts w:ascii="Plus Jakarta Sans" w:eastAsia="Plus Jakarta Sans" w:hAnsi="Plus Jakarta Sans" w:cs="Plus Jakarta Sans"/>
          <w:b/>
          <w:bCs/>
          <w:sz w:val="20"/>
          <w:szCs w:val="20"/>
          <w:highlight w:val="white"/>
        </w:rPr>
        <w:t>la aplicación de un método estrictamente punitivo no se ajusta a los principios básicos de la justicia juvenil enunciados en el artículo 40.1 de la Convención</w:t>
      </w:r>
      <w:r>
        <w:rPr>
          <w:rFonts w:ascii="Plus Jakarta Sans" w:eastAsia="Plus Jakarta Sans" w:hAnsi="Plus Jakarta Sans" w:cs="Plus Jakarta Sans"/>
          <w:sz w:val="20"/>
          <w:szCs w:val="20"/>
          <w:highlight w:val="white"/>
        </w:rPr>
        <w:t xml:space="preserve">; el proyecto no amplía el margen de ponderación judicial, sino que lo reduce mediante un piso más alto, un techo más alto y la </w:t>
      </w:r>
      <w:r>
        <w:rPr>
          <w:rFonts w:ascii="Plus Jakarta Sans" w:eastAsia="Plus Jakarta Sans" w:hAnsi="Plus Jakarta Sans" w:cs="Plus Jakarta Sans"/>
          <w:sz w:val="20"/>
          <w:szCs w:val="20"/>
          <w:highlight w:val="white"/>
        </w:rPr>
        <w:lastRenderedPageBreak/>
        <w:t>exclusión de beneficios; y el estándar de último recurso y período más breve que proceda está consagrado en el texto mismo del artículo 37 b) de la Convención, que es derecho vinculante para Colombia, de modo que la Observación General No. 24 se limita a precisar su alcance.</w:t>
      </w:r>
    </w:p>
    <w:p w14:paraId="0EC17C2A" w14:textId="77777777" w:rsidR="004A4930" w:rsidRDefault="006E06B4">
      <w:pPr>
        <w:tabs>
          <w:tab w:val="left" w:pos="284"/>
        </w:tabs>
        <w:spacing w:after="160"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En suma, ni la jurisprudencia constitucional ni el principio del “período más breve que proceda” fijan un número exacto de años que el Legislador no pueda superar. Sin embargo, el proyecto mueve simultáneamente las tres variables que ese principio exige mantener bajo control —cuántas conductas dan lugar a privación de la libertad, cuánto dura como mínimo y cuánto puede durar como máximo—, suprime la posibilidad de liberación anticipada para todo el catálogo ampliado y desplaza la finalidad de la sanción de lo protector, educativo y restaurativo hacia lo retributivo, que es justamente el rasgo que el sistema de adolescentes debe evitar. Por estas razones, el proyecto de ley 029 de 2026 Cámara compromete la condición bajo la cual la Corte Constitucional ha declarado ajustado a la Carta el sistema especial de responsabilidad penal juvenil y se aparta del artículo 37 b) de la Convención sobre los Derechos del Niño y de los estándares que la propia Corte ha empleado para evaluar la legislación en esta materia</w:t>
      </w:r>
    </w:p>
    <w:p w14:paraId="2FC5015E" w14:textId="77777777" w:rsidR="004A4930" w:rsidRDefault="006E06B4">
      <w:pPr>
        <w:numPr>
          <w:ilvl w:val="0"/>
          <w:numId w:val="1"/>
        </w:numPr>
        <w:tabs>
          <w:tab w:val="left" w:pos="284"/>
        </w:tabs>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La reincidencia en Colombia es baja, el SRPA como está diseñado funciona: </w:t>
      </w:r>
    </w:p>
    <w:p w14:paraId="33D25023" w14:textId="77777777" w:rsidR="004A4930" w:rsidRDefault="004A4930">
      <w:pPr>
        <w:tabs>
          <w:tab w:val="left" w:pos="284"/>
        </w:tabs>
        <w:spacing w:line="240" w:lineRule="auto"/>
        <w:ind w:left="720"/>
        <w:jc w:val="both"/>
        <w:rPr>
          <w:rFonts w:ascii="Plus Jakarta Sans" w:eastAsia="Plus Jakarta Sans" w:hAnsi="Plus Jakarta Sans" w:cs="Plus Jakarta Sans"/>
          <w:sz w:val="20"/>
          <w:szCs w:val="20"/>
          <w:highlight w:val="white"/>
        </w:rPr>
      </w:pPr>
    </w:p>
    <w:p w14:paraId="26591227"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exposición de motivos del Proyecto de Ley 029 de 2026 Cámara invoca, como uno de sus fundamentos para aumentar las sanciones del Sistema de Responsabilidad Penal para Adolescentes (SRPA), la reincidencia de los adolescentes que ingresan a él. Según el propio proyecto, la “reincidencia en este sistema se encuentra alrededor del 20 %, lo que significa que aproximadamente uno de cada cinco adolescentes vuelve a ingresar por una nueva conducta delictiva, mientras que cerca del 80 % no presenta nuevos ingresos registrados”. La cifra coincide con la reportada oficialmente por el Instituto Colombiano de Bienestar Familiar, según la cual la reincidencia en el SRPA es del 19,9 %</w:t>
      </w:r>
      <w:r>
        <w:rPr>
          <w:rFonts w:ascii="Plus Jakarta Sans" w:eastAsia="Plus Jakarta Sans" w:hAnsi="Plus Jakarta Sans" w:cs="Plus Jakarta Sans"/>
          <w:sz w:val="20"/>
          <w:szCs w:val="20"/>
          <w:highlight w:val="white"/>
          <w:vertAlign w:val="superscript"/>
        </w:rPr>
        <w:footnoteReference w:id="20"/>
      </w:r>
      <w:r>
        <w:rPr>
          <w:rFonts w:ascii="Plus Jakarta Sans" w:eastAsia="Plus Jakarta Sans" w:hAnsi="Plus Jakarta Sans" w:cs="Plus Jakarta Sans"/>
          <w:sz w:val="20"/>
          <w:szCs w:val="20"/>
          <w:highlight w:val="white"/>
        </w:rPr>
        <w:t xml:space="preserve"> .</w:t>
      </w:r>
    </w:p>
    <w:p w14:paraId="421A27ED"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007A8D10"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Leída en sus propios términos, esta cifra no respalda la conclusión que de ella extrae el proyecto; por el contrario, la contradice. Si ocho de cada diez adolescentes que pasan por el SRPA no vuelven a ingresar al sistema por una nueva conducta delictiva, el dato disponible indica que el modelo vigente, de naturaleza pedagógica, específica y diferenciada, cumple en la gran mayoría de los casos su finalidad de evitar la repetición del delito. Un sistema que logra que el 80 % de sus destinatarios no reincida no puede presentarse como un sistema fallido cuya única respuesta posible sea el endurecimiento de las sanciones.</w:t>
      </w:r>
    </w:p>
    <w:p w14:paraId="788249BE"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3954014D"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conclusión se refuerza cuando la cifra colombiana se observa junto a los datos oficiales de otros sistemas de justicia juvenil que publican de manera periódica sus mediciones de reincidencia:</w:t>
      </w:r>
    </w:p>
    <w:p w14:paraId="66C2AEFA"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sdt>
      <w:sdtPr>
        <w:tag w:val="goog_rdk_1"/>
        <w:id w:val="-357757217"/>
        <w:lock w:val="contentLocked"/>
      </w:sdtPr>
      <w:sdtEndPr/>
      <w:sdtContent>
        <w:tbl>
          <w:tblPr>
            <w:tblStyle w:val="a6"/>
            <w:tblpPr w:leftFromText="180" w:rightFromText="180" w:topFromText="180" w:bottomFromText="180" w:vertAnchor="text" w:tblpX="15"/>
            <w:tblW w:w="900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2085"/>
            <w:gridCol w:w="3630"/>
            <w:gridCol w:w="3285"/>
          </w:tblGrid>
          <w:tr w:rsidR="004A4930" w14:paraId="395F2EB1" w14:textId="77777777">
            <w:trPr>
              <w:cantSplit/>
            </w:trPr>
            <w:tc>
              <w:tcPr>
                <w:tcW w:w="2085" w:type="dxa"/>
                <w:tcBorders>
                  <w:left w:val="single" w:sz="12" w:space="0" w:color="000000"/>
                  <w:bottom w:val="single" w:sz="12" w:space="0" w:color="000000"/>
                  <w:right w:val="single" w:sz="12" w:space="0" w:color="000000"/>
                </w:tcBorders>
                <w:tcMar>
                  <w:top w:w="60" w:type="dxa"/>
                  <w:bottom w:w="60" w:type="dxa"/>
                </w:tcMar>
              </w:tcPr>
              <w:p w14:paraId="55BF9C03" w14:textId="77777777" w:rsidR="004A4930" w:rsidRDefault="006E06B4">
                <w:pPr>
                  <w:tabs>
                    <w:tab w:val="left" w:pos="284"/>
                  </w:tabs>
                  <w:spacing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PAÍS </w:t>
                </w:r>
              </w:p>
            </w:tc>
            <w:tc>
              <w:tcPr>
                <w:tcW w:w="3630" w:type="dxa"/>
                <w:tcBorders>
                  <w:left w:val="single" w:sz="12" w:space="0" w:color="000000"/>
                  <w:bottom w:val="single" w:sz="12" w:space="0" w:color="000000"/>
                  <w:right w:val="single" w:sz="12" w:space="0" w:color="000000"/>
                </w:tcBorders>
                <w:tcMar>
                  <w:top w:w="60" w:type="dxa"/>
                  <w:bottom w:w="60" w:type="dxa"/>
                </w:tcMar>
              </w:tcPr>
              <w:p w14:paraId="32D10E36" w14:textId="77777777" w:rsidR="004A4930" w:rsidRDefault="006E06B4">
                <w:pPr>
                  <w:tabs>
                    <w:tab w:val="left" w:pos="284"/>
                  </w:tabs>
                  <w:spacing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MEDICIÓN </w:t>
                </w:r>
              </w:p>
            </w:tc>
            <w:tc>
              <w:tcPr>
                <w:tcW w:w="3285" w:type="dxa"/>
                <w:tcBorders>
                  <w:left w:val="single" w:sz="12" w:space="0" w:color="000000"/>
                  <w:bottom w:val="single" w:sz="12" w:space="0" w:color="000000"/>
                  <w:right w:val="single" w:sz="12" w:space="0" w:color="000000"/>
                </w:tcBorders>
                <w:tcMar>
                  <w:top w:w="60" w:type="dxa"/>
                  <w:bottom w:w="60" w:type="dxa"/>
                </w:tcMar>
              </w:tcPr>
              <w:p w14:paraId="191AEF68" w14:textId="77777777" w:rsidR="004A4930" w:rsidRDefault="006E06B4">
                <w:pPr>
                  <w:tabs>
                    <w:tab w:val="left" w:pos="284"/>
                  </w:tabs>
                  <w:spacing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RESULTADO </w:t>
                </w:r>
              </w:p>
            </w:tc>
          </w:tr>
          <w:tr w:rsidR="004A4930" w14:paraId="7327E380" w14:textId="77777777">
            <w:trPr>
              <w:trHeight w:val="600"/>
            </w:trPr>
            <w:tc>
              <w:tcPr>
                <w:tcW w:w="20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138F01D6"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Colombia </w:t>
                </w:r>
              </w:p>
            </w:tc>
            <w:tc>
              <w:tcPr>
                <w:tcW w:w="3630"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704637CB"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Reincidencia en el SRPA (dato del ICBF)</w:t>
                </w:r>
              </w:p>
            </w:tc>
            <w:tc>
              <w:tcPr>
                <w:tcW w:w="32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50D76AC5"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19,9 %</w:t>
                </w:r>
              </w:p>
            </w:tc>
          </w:tr>
          <w:tr w:rsidR="004A4930" w14:paraId="66B88EDD" w14:textId="77777777">
            <w:trPr>
              <w:trHeight w:val="840"/>
            </w:trPr>
            <w:tc>
              <w:tcPr>
                <w:tcW w:w="20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5C4FA0D5"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Inglaterra y Gales</w:t>
                </w:r>
              </w:p>
            </w:tc>
            <w:tc>
              <w:tcPr>
                <w:tcW w:w="3630"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75D9E49E"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Nueva infracción comprobada, niños de 10 a 17 años (cohorte a marzo de 2024)</w:t>
                </w:r>
              </w:p>
            </w:tc>
            <w:tc>
              <w:tcPr>
                <w:tcW w:w="32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4324680D"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31,8 % general; 61,7 % entre quienes salieron de custodia</w:t>
                </w:r>
              </w:p>
            </w:tc>
          </w:tr>
          <w:tr w:rsidR="004A4930" w14:paraId="230B9838" w14:textId="77777777">
            <w:trPr>
              <w:trHeight w:val="840"/>
            </w:trPr>
            <w:tc>
              <w:tcPr>
                <w:tcW w:w="20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514DB3D0"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Chile</w:t>
                </w:r>
              </w:p>
            </w:tc>
            <w:tc>
              <w:tcPr>
                <w:tcW w:w="3630"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2CF8123F"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Nueva condena tras el egreso, incluida la justicia de adultos (cohortes 2009-2013)</w:t>
                </w:r>
              </w:p>
            </w:tc>
            <w:tc>
              <w:tcPr>
                <w:tcW w:w="32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43E0D301"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38 % a 12 meses; 52 % a 24 meses</w:t>
                </w:r>
              </w:p>
            </w:tc>
          </w:tr>
          <w:tr w:rsidR="004A4930" w14:paraId="1FF57A5B" w14:textId="77777777">
            <w:trPr>
              <w:trHeight w:val="600"/>
            </w:trPr>
            <w:tc>
              <w:tcPr>
                <w:tcW w:w="20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0EDB616E"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Australia</w:t>
                </w:r>
              </w:p>
            </w:tc>
            <w:tc>
              <w:tcPr>
                <w:tcW w:w="3630"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11357E93"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Nueva sanción supervisada dentro de 12 meses (liberados en 2022-23)</w:t>
                </w:r>
              </w:p>
            </w:tc>
            <w:tc>
              <w:tcPr>
                <w:tcW w:w="3285" w:type="dxa"/>
                <w:tcBorders>
                  <w:top w:val="single" w:sz="12" w:space="0" w:color="000000"/>
                  <w:left w:val="single" w:sz="12" w:space="0" w:color="000000"/>
                  <w:bottom w:val="single" w:sz="12" w:space="0" w:color="000000"/>
                  <w:right w:val="single" w:sz="12" w:space="0" w:color="000000"/>
                </w:tcBorders>
                <w:tcMar>
                  <w:top w:w="60" w:type="dxa"/>
                  <w:bottom w:w="60" w:type="dxa"/>
                </w:tcMar>
              </w:tcPr>
              <w:p w14:paraId="4C457710"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56 % tras medio comunitario; 84 % tras detención</w:t>
                </w:r>
              </w:p>
            </w:tc>
          </w:tr>
        </w:tbl>
      </w:sdtContent>
    </w:sdt>
    <w:p w14:paraId="2763AADC"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Fuentes: ICBF (Colombia); </w:t>
      </w:r>
      <w:proofErr w:type="spellStart"/>
      <w:r>
        <w:rPr>
          <w:rFonts w:ascii="Plus Jakarta Sans" w:eastAsia="Plus Jakarta Sans" w:hAnsi="Plus Jakarta Sans" w:cs="Plus Jakarta Sans"/>
          <w:sz w:val="20"/>
          <w:szCs w:val="20"/>
          <w:highlight w:val="white"/>
        </w:rPr>
        <w:t>Ministry</w:t>
      </w:r>
      <w:proofErr w:type="spellEnd"/>
      <w:r>
        <w:rPr>
          <w:rFonts w:ascii="Plus Jakarta Sans" w:eastAsia="Plus Jakarta Sans" w:hAnsi="Plus Jakarta Sans" w:cs="Plus Jakarta Sans"/>
          <w:sz w:val="20"/>
          <w:szCs w:val="20"/>
          <w:highlight w:val="white"/>
        </w:rPr>
        <w:t xml:space="preserve"> </w:t>
      </w:r>
      <w:proofErr w:type="spellStart"/>
      <w:r>
        <w:rPr>
          <w:rFonts w:ascii="Plus Jakarta Sans" w:eastAsia="Plus Jakarta Sans" w:hAnsi="Plus Jakarta Sans" w:cs="Plus Jakarta Sans"/>
          <w:sz w:val="20"/>
          <w:szCs w:val="20"/>
          <w:highlight w:val="white"/>
        </w:rPr>
        <w:t>of</w:t>
      </w:r>
      <w:proofErr w:type="spellEnd"/>
      <w:r>
        <w:rPr>
          <w:rFonts w:ascii="Plus Jakarta Sans" w:eastAsia="Plus Jakarta Sans" w:hAnsi="Plus Jakarta Sans" w:cs="Plus Jakarta Sans"/>
          <w:sz w:val="20"/>
          <w:szCs w:val="20"/>
          <w:highlight w:val="white"/>
        </w:rPr>
        <w:t xml:space="preserve"> </w:t>
      </w:r>
      <w:proofErr w:type="spellStart"/>
      <w:r>
        <w:rPr>
          <w:rFonts w:ascii="Plus Jakarta Sans" w:eastAsia="Plus Jakarta Sans" w:hAnsi="Plus Jakarta Sans" w:cs="Plus Jakarta Sans"/>
          <w:sz w:val="20"/>
          <w:szCs w:val="20"/>
          <w:highlight w:val="white"/>
        </w:rPr>
        <w:t>Justice</w:t>
      </w:r>
      <w:proofErr w:type="spellEnd"/>
      <w:r>
        <w:rPr>
          <w:rFonts w:ascii="Plus Jakarta Sans" w:eastAsia="Plus Jakarta Sans" w:hAnsi="Plus Jakarta Sans" w:cs="Plus Jakarta Sans"/>
          <w:sz w:val="20"/>
          <w:szCs w:val="20"/>
          <w:highlight w:val="white"/>
        </w:rPr>
        <w:t xml:space="preserve"> (Reino Unido); SENAME (Chile); AIHW (Australia). Véanse las notas al pie 1 a 4.</w:t>
      </w:r>
    </w:p>
    <w:p w14:paraId="359E7D6F"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1C3ED80E"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En Inglaterra y Gales, la tasa de reincidencia comprobada de los niños fue del 31,8 % para la cohorte del año terminado en marzo de 2024, y alcanzó el 61,7 % entre quienes salieron de custodia</w:t>
      </w:r>
      <w:r>
        <w:rPr>
          <w:rFonts w:ascii="Plus Jakarta Sans" w:eastAsia="Plus Jakarta Sans" w:hAnsi="Plus Jakarta Sans" w:cs="Plus Jakarta Sans"/>
          <w:sz w:val="20"/>
          <w:szCs w:val="20"/>
          <w:highlight w:val="white"/>
          <w:vertAlign w:val="superscript"/>
        </w:rPr>
        <w:footnoteReference w:id="21"/>
      </w:r>
      <w:r>
        <w:rPr>
          <w:rFonts w:ascii="Plus Jakarta Sans" w:eastAsia="Plus Jakarta Sans" w:hAnsi="Plus Jakarta Sans" w:cs="Plus Jakarta Sans"/>
          <w:sz w:val="20"/>
          <w:szCs w:val="20"/>
          <w:highlight w:val="white"/>
        </w:rPr>
        <w:t>.  En Chile, el estudio oficial del Servicio Nacional de Menores registró una reincidencia cercana al 38 % a los doce meses del egreso y del 52 % a los veinticuatro meses; las sanciones privativas de libertad presentaron las tasas más altas, con promedios de 43,11 % a los doce meses y 61,38 % a los veinticuatro meses en el régimen cerrado, y de 49 % y 66,1 % en el régimen semicerrado</w:t>
      </w:r>
      <w:r>
        <w:rPr>
          <w:rFonts w:ascii="Plus Jakarta Sans" w:eastAsia="Plus Jakarta Sans" w:hAnsi="Plus Jakarta Sans" w:cs="Plus Jakarta Sans"/>
          <w:sz w:val="20"/>
          <w:szCs w:val="20"/>
          <w:highlight w:val="white"/>
          <w:vertAlign w:val="superscript"/>
        </w:rPr>
        <w:footnoteReference w:id="22"/>
      </w:r>
      <w:r>
        <w:rPr>
          <w:rFonts w:ascii="Plus Jakarta Sans" w:eastAsia="Plus Jakarta Sans" w:hAnsi="Plus Jakarta Sans" w:cs="Plus Jakarta Sans"/>
          <w:sz w:val="20"/>
          <w:szCs w:val="20"/>
          <w:highlight w:val="white"/>
        </w:rPr>
        <w:t>.  En Australia, el 56 % de los jóvenes que salieron de supervisión en medio comunitario recibió una nueva sanción supervisada dentro de los doce meses siguientes, cifra que llegó al 84 % entre quienes salieron de detención</w:t>
      </w:r>
      <w:r>
        <w:rPr>
          <w:rFonts w:ascii="Plus Jakarta Sans" w:eastAsia="Plus Jakarta Sans" w:hAnsi="Plus Jakarta Sans" w:cs="Plus Jakarta Sans"/>
          <w:sz w:val="20"/>
          <w:szCs w:val="20"/>
          <w:highlight w:val="white"/>
          <w:vertAlign w:val="superscript"/>
        </w:rPr>
        <w:footnoteReference w:id="23"/>
      </w:r>
      <w:r>
        <w:rPr>
          <w:rFonts w:ascii="Plus Jakarta Sans" w:eastAsia="Plus Jakarta Sans" w:hAnsi="Plus Jakarta Sans" w:cs="Plus Jakarta Sans"/>
          <w:sz w:val="20"/>
          <w:szCs w:val="20"/>
          <w:highlight w:val="white"/>
        </w:rPr>
        <w:t xml:space="preserve"> .</w:t>
      </w:r>
    </w:p>
    <w:p w14:paraId="31F34490"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5C9A19FC"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Frente a estas referencias, el 19,9 % reportado para Colombia se ubica en un nivel bajo. Es cierto que las metodologías de medición no son idénticas —cada sistema define la reincidencia de manera distinta y utiliza períodos de seguimiento diferentes—, por lo que la comparación no permite establecer una clasificación exacta entre países. Pero esa misma circunstancia juega en contra del proyecto y no a su favor: si la cifra colombiana no sirve para afirmar con precisión que el país tiene menos reincidencia que otros, tampoco sirve para afirmar que el SRPA ha fracasado y que la reincidencia exige como respuesta sanciones más largas. La carga de demostrar la insuficiencia del régimen vigente recae en quien propone endurecerlo, y el dato que el proyecto aporta, lejos de satisfacer esa carga, muestra que la gran mayoría de los adolescentes no vuelve a delinquir.</w:t>
      </w:r>
    </w:p>
    <w:p w14:paraId="1EE3B1F0"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202E126A"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Los datos comparados aportan un elemento adicional. En los tres sistemas extranjeros reseñados, las tasas más altas de reincidencia se registran entre los adolescentes que egresan de medidas privativas de la libertad. Las propias autoridades estadísticas advierten que estas diferencias no deben leerse por sí solas como prueba de la eficacia o ineficacia de cada tipo de sanción, pues quienes reciben privación de libertad suelen presentar perfiles de mayor riesgo </w:t>
      </w:r>
      <w:r>
        <w:rPr>
          <w:rFonts w:ascii="Plus Jakarta Sans" w:eastAsia="Plus Jakarta Sans" w:hAnsi="Plus Jakarta Sans" w:cs="Plus Jakarta Sans"/>
          <w:sz w:val="20"/>
          <w:szCs w:val="20"/>
          <w:highlight w:val="white"/>
        </w:rPr>
        <w:lastRenderedPageBreak/>
        <w:t>desde el inicio. Aun así, lo que los datos sí permiten afirmar es que en ninguno de esos sistemas la privación de la libertad aparece asociada a una menor reincidencia. El proyecto, que precisamente busca ampliar y prolongar la privación de la libertad, no aporta evidencia en sentido contrario.</w:t>
      </w:r>
    </w:p>
    <w:p w14:paraId="22853843"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6BCC2E51"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Finalmente, la respuesta institucional que el propio Estado colombiano ha dado a la reincidencia confirma que el camino no es el aumento de las sanciones. El ICBF, en alianza con la Oficina de las Naciones Unidas contra la Droga y el Delito, lanzó la herramienta de Gestión para la Identificación de Riesgos y Oportunidades en Adolescentes y Jóvenes Sancionados (GIRA), orientada a disminuir la reincidencia a partir del perfil de riesgo de cada adolescente y del diseño de planes de intervención individualizados, con una lógica protectora, educativa y restaurativa.  Es decir, la estrategia de la entidad rectora del sistema frente a la quinta parte de adolescentes que reincide consiste en fortalecer la intervención especializada e individualizada, no en alargar el tiempo de encierro. En consecuencia, el argumento de la reincidencia no justifica la reforma propuesta y, correctamente leído, respalda la conservación del modelo vigente.</w:t>
      </w:r>
    </w:p>
    <w:p w14:paraId="1319BA50"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5D0D3D4B" w14:textId="77777777" w:rsidR="004A4930" w:rsidRDefault="006E06B4">
      <w:pPr>
        <w:numPr>
          <w:ilvl w:val="0"/>
          <w:numId w:val="1"/>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Derecho penal como </w:t>
      </w:r>
      <w:r>
        <w:rPr>
          <w:rFonts w:ascii="Plus Jakarta Sans" w:eastAsia="Plus Jakarta Sans" w:hAnsi="Plus Jakarta Sans" w:cs="Plus Jakarta Sans"/>
          <w:b/>
          <w:bCs/>
          <w:i/>
          <w:iCs/>
          <w:sz w:val="20"/>
          <w:szCs w:val="20"/>
          <w:highlight w:val="white"/>
        </w:rPr>
        <w:t xml:space="preserve">ultima ratio: </w:t>
      </w:r>
    </w:p>
    <w:p w14:paraId="5FF542DB" w14:textId="77777777" w:rsidR="004A4930" w:rsidRDefault="004A4930">
      <w:pPr>
        <w:spacing w:line="240" w:lineRule="auto"/>
        <w:jc w:val="both"/>
        <w:rPr>
          <w:sz w:val="20"/>
          <w:szCs w:val="20"/>
          <w:highlight w:val="white"/>
        </w:rPr>
      </w:pPr>
    </w:p>
    <w:p w14:paraId="5F12B8E1"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Corte Constitucional ha señalado que, aunque el Legislador tiene un amplio margen para diseñar la política criminal, la Constitución es un límite invariable y una fuente de inspiración y dirección en materias penales. El primero de esos límites es el principio de necesidad de la intervención penal, ligado al carácter subsidiario, fragmentario y de última ratio del derecho penal.</w:t>
      </w:r>
    </w:p>
    <w:p w14:paraId="6C4B6A19"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24324389"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Corte explica cada uno así:</w:t>
      </w:r>
    </w:p>
    <w:p w14:paraId="37559B63"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6A36FCC7" w14:textId="77777777" w:rsidR="004A4930" w:rsidRDefault="006E06B4">
      <w:pPr>
        <w:numPr>
          <w:ilvl w:val="0"/>
          <w:numId w:val="2"/>
        </w:numPr>
        <w:spacing w:line="240" w:lineRule="auto"/>
        <w:ind w:left="425" w:hanging="283"/>
        <w:jc w:val="both"/>
        <w:rPr>
          <w:sz w:val="20"/>
          <w:szCs w:val="20"/>
          <w:highlight w:val="white"/>
        </w:rPr>
      </w:pPr>
      <w:r>
        <w:rPr>
          <w:rFonts w:ascii="Plus Jakarta Sans" w:eastAsia="Plus Jakarta Sans" w:hAnsi="Plus Jakarta Sans" w:cs="Plus Jakarta Sans"/>
          <w:b/>
          <w:bCs/>
          <w:sz w:val="20"/>
          <w:szCs w:val="20"/>
          <w:highlight w:val="white"/>
        </w:rPr>
        <w:t xml:space="preserve">Subsidiariedad: </w:t>
      </w:r>
      <w:r>
        <w:rPr>
          <w:rFonts w:ascii="Plus Jakarta Sans" w:eastAsia="Plus Jakarta Sans" w:hAnsi="Plus Jakarta Sans" w:cs="Plus Jakarta Sans"/>
          <w:sz w:val="20"/>
          <w:szCs w:val="20"/>
          <w:highlight w:val="white"/>
        </w:rPr>
        <w:t>primero deben agotarse los controles menos gravosos existentes dentro del sistema estatal.</w:t>
      </w:r>
    </w:p>
    <w:p w14:paraId="5A8C5A00" w14:textId="77777777" w:rsidR="004A4930" w:rsidRDefault="004A4930">
      <w:pPr>
        <w:spacing w:line="240" w:lineRule="auto"/>
        <w:ind w:left="425" w:hanging="283"/>
        <w:jc w:val="both"/>
        <w:rPr>
          <w:rFonts w:ascii="Plus Jakarta Sans" w:eastAsia="Plus Jakarta Sans" w:hAnsi="Plus Jakarta Sans" w:cs="Plus Jakarta Sans"/>
          <w:sz w:val="20"/>
          <w:szCs w:val="20"/>
          <w:highlight w:val="white"/>
        </w:rPr>
      </w:pPr>
    </w:p>
    <w:p w14:paraId="55658791" w14:textId="77777777" w:rsidR="004A4930" w:rsidRDefault="006E06B4">
      <w:pPr>
        <w:numPr>
          <w:ilvl w:val="0"/>
          <w:numId w:val="2"/>
        </w:numPr>
        <w:spacing w:line="240" w:lineRule="auto"/>
        <w:ind w:left="425" w:hanging="283"/>
        <w:jc w:val="both"/>
        <w:rPr>
          <w:sz w:val="20"/>
          <w:szCs w:val="20"/>
          <w:highlight w:val="white"/>
        </w:rPr>
      </w:pPr>
      <w:r>
        <w:rPr>
          <w:rFonts w:ascii="Plus Jakarta Sans" w:eastAsia="Plus Jakarta Sans" w:hAnsi="Plus Jakarta Sans" w:cs="Plus Jakarta Sans"/>
          <w:b/>
          <w:bCs/>
          <w:sz w:val="20"/>
          <w:szCs w:val="20"/>
          <w:highlight w:val="white"/>
        </w:rPr>
        <w:t xml:space="preserve">Última ratio: </w:t>
      </w:r>
      <w:r>
        <w:rPr>
          <w:rFonts w:ascii="Plus Jakarta Sans" w:eastAsia="Plus Jakarta Sans" w:hAnsi="Plus Jakarta Sans" w:cs="Plus Jakarta Sans"/>
          <w:sz w:val="20"/>
          <w:szCs w:val="20"/>
          <w:highlight w:val="white"/>
        </w:rPr>
        <w:t>el Estado sólo puede acudir al derecho penal cuando hayan fallado todos los demás controles.</w:t>
      </w:r>
    </w:p>
    <w:p w14:paraId="330EB026" w14:textId="77777777" w:rsidR="004A4930" w:rsidRDefault="004A4930">
      <w:pPr>
        <w:spacing w:line="240" w:lineRule="auto"/>
        <w:ind w:left="425" w:hanging="283"/>
        <w:jc w:val="both"/>
        <w:rPr>
          <w:rFonts w:ascii="Plus Jakarta Sans" w:eastAsia="Plus Jakarta Sans" w:hAnsi="Plus Jakarta Sans" w:cs="Plus Jakarta Sans"/>
          <w:sz w:val="20"/>
          <w:szCs w:val="20"/>
          <w:highlight w:val="white"/>
        </w:rPr>
      </w:pPr>
    </w:p>
    <w:p w14:paraId="55887FEA" w14:textId="77777777" w:rsidR="004A4930" w:rsidRDefault="006E06B4">
      <w:pPr>
        <w:numPr>
          <w:ilvl w:val="0"/>
          <w:numId w:val="2"/>
        </w:numPr>
        <w:spacing w:line="240" w:lineRule="auto"/>
        <w:ind w:left="425" w:hanging="283"/>
        <w:jc w:val="both"/>
        <w:rPr>
          <w:sz w:val="20"/>
          <w:szCs w:val="20"/>
          <w:highlight w:val="white"/>
        </w:rPr>
      </w:pPr>
      <w:r>
        <w:rPr>
          <w:rFonts w:ascii="Plus Jakarta Sans" w:eastAsia="Plus Jakarta Sans" w:hAnsi="Plus Jakarta Sans" w:cs="Plus Jakarta Sans"/>
          <w:b/>
          <w:bCs/>
          <w:sz w:val="20"/>
          <w:szCs w:val="20"/>
          <w:highlight w:val="white"/>
        </w:rPr>
        <w:t xml:space="preserve">Fragmentariedad: </w:t>
      </w:r>
      <w:r>
        <w:rPr>
          <w:rFonts w:ascii="Plus Jakarta Sans" w:eastAsia="Plus Jakarta Sans" w:hAnsi="Plus Jakarta Sans" w:cs="Plus Jakarta Sans"/>
          <w:sz w:val="20"/>
          <w:szCs w:val="20"/>
          <w:highlight w:val="white"/>
        </w:rPr>
        <w:t>el derecho penal sólo puede aplicarse a los ataques más graves contra los bienes jurídicos.</w:t>
      </w:r>
    </w:p>
    <w:p w14:paraId="70A0133D"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480F0631"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Por ello, la jurisprudencia ha sostenido que la decisión de sancionar con una pena, que en su máxima drasticidad implica la pérdida de la libertad, es el recurso extremo al que puede acudir el Estado para reprimir un comportamiento que afecta los intereses sociales (C-636 de 2009, reiterada en C-365 de 2012). La misma providencia advirtió que el Estado no debe utilizar el derecho penal como una herramienta simbólica frente a comportamientos que ya puede reprimir. También señaló que, si existe un tipo penal para reprimir una forma de criminalidad, debe preferirse su aplicación estricta antes que crear nuevas normas punitivas.</w:t>
      </w:r>
    </w:p>
    <w:p w14:paraId="036D6989"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1776572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Si este principio rige para toda persona, su exigencia es aún mayor cuando los destinatarios de la norma son adolescentes, sujetos de especial protección constitucional cuyos derechos prevalecen sobre los de los demás (artículo 44 de la Constitución). En su caso, la última ratio opera en dos niveles.</w:t>
      </w:r>
    </w:p>
    <w:p w14:paraId="31FB5235"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118D949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b/>
          <w:bCs/>
          <w:sz w:val="20"/>
          <w:szCs w:val="20"/>
          <w:highlight w:val="white"/>
        </w:rPr>
        <w:t xml:space="preserve">Primer nivel: </w:t>
      </w:r>
      <w:r>
        <w:rPr>
          <w:rFonts w:ascii="Plus Jakarta Sans" w:eastAsia="Plus Jakarta Sans" w:hAnsi="Plus Jakarta Sans" w:cs="Plus Jakarta Sans"/>
          <w:sz w:val="20"/>
          <w:szCs w:val="20"/>
          <w:highlight w:val="white"/>
        </w:rPr>
        <w:t>la intervención penal misma. La Corte ha exigido que la justicia juvenil busque, antes que sanciones represivas, medidas de índole educativa y resocializadora (C-839 de 2001). Ha exigido también que sus medidas respondan a una aproximación protectora, educativa y resocializadora, no a un enfoque punitivo (C-684 de 2009).</w:t>
      </w:r>
    </w:p>
    <w:p w14:paraId="7F896C4B"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560C6F7B"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b/>
          <w:bCs/>
          <w:sz w:val="20"/>
          <w:szCs w:val="20"/>
          <w:highlight w:val="white"/>
        </w:rPr>
        <w:lastRenderedPageBreak/>
        <w:t xml:space="preserve">Segundo nivel: </w:t>
      </w:r>
      <w:r>
        <w:rPr>
          <w:rFonts w:ascii="Plus Jakarta Sans" w:eastAsia="Plus Jakarta Sans" w:hAnsi="Plus Jakarta Sans" w:cs="Plus Jakarta Sans"/>
          <w:sz w:val="20"/>
          <w:szCs w:val="20"/>
          <w:highlight w:val="white"/>
        </w:rPr>
        <w:t>dentro del propio sistema de responsabilidad penal para adolescentes, la privación de la libertad. El artículo 37 b) de la Convención sobre los Derechos del Niño la reserva como medida de último recurso y por el período más breve que proceda. El artículo 161 de la Ley 1098 de 2006 dispone que sólo procede como medida pedagógica.</w:t>
      </w:r>
    </w:p>
    <w:p w14:paraId="361DB3CD"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2C878B74"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u w:val="single"/>
        </w:rPr>
        <w:t>La privación de la libertad de un adolescente es, así, la última ratio dentro de la última ratio.</w:t>
      </w:r>
      <w:r>
        <w:rPr>
          <w:rFonts w:ascii="Plus Jakarta Sans" w:eastAsia="Plus Jakarta Sans" w:hAnsi="Plus Jakarta Sans" w:cs="Plus Jakarta Sans"/>
          <w:sz w:val="20"/>
          <w:szCs w:val="20"/>
          <w:highlight w:val="white"/>
        </w:rPr>
        <w:t xml:space="preserve"> Por eso, toda medida que la amplíe o la prolongue soporta la carga de justificación más exigente de todo el ordenamiento penal y el Proyecto de Ley 029 de 2026 no supera esa carga, por tres razones:</w:t>
      </w:r>
    </w:p>
    <w:p w14:paraId="66FD9BA8" w14:textId="77777777" w:rsidR="004A4930" w:rsidRDefault="004A4930">
      <w:pPr>
        <w:spacing w:line="240" w:lineRule="auto"/>
        <w:ind w:left="283" w:hanging="283"/>
        <w:jc w:val="both"/>
        <w:rPr>
          <w:rFonts w:ascii="Plus Jakarta Sans" w:eastAsia="Plus Jakarta Sans" w:hAnsi="Plus Jakarta Sans" w:cs="Plus Jakarta Sans"/>
          <w:sz w:val="20"/>
          <w:szCs w:val="20"/>
          <w:highlight w:val="white"/>
        </w:rPr>
      </w:pPr>
    </w:p>
    <w:p w14:paraId="2A4976EA" w14:textId="77777777" w:rsidR="004A4930" w:rsidRDefault="006E06B4">
      <w:pPr>
        <w:numPr>
          <w:ilvl w:val="0"/>
          <w:numId w:val="6"/>
        </w:numPr>
        <w:spacing w:line="240" w:lineRule="auto"/>
        <w:ind w:left="283" w:hanging="283"/>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No demuestra que los controles menos gravosos hayan fallado. El propio dato de reincidencia que invoca indica que cerca del 80 % de los adolescentes no vuelve a ingresar al sistema.</w:t>
      </w:r>
    </w:p>
    <w:p w14:paraId="5F63C4A6" w14:textId="77777777" w:rsidR="004A4930" w:rsidRDefault="004A4930">
      <w:pPr>
        <w:spacing w:line="240" w:lineRule="auto"/>
        <w:ind w:left="283" w:hanging="283"/>
        <w:jc w:val="both"/>
        <w:rPr>
          <w:rFonts w:ascii="Plus Jakarta Sans" w:eastAsia="Plus Jakarta Sans" w:hAnsi="Plus Jakarta Sans" w:cs="Plus Jakarta Sans"/>
          <w:sz w:val="20"/>
          <w:szCs w:val="20"/>
          <w:highlight w:val="white"/>
        </w:rPr>
      </w:pPr>
    </w:p>
    <w:p w14:paraId="117C05C0" w14:textId="77777777" w:rsidR="004A4930" w:rsidRDefault="006E06B4">
      <w:pPr>
        <w:numPr>
          <w:ilvl w:val="0"/>
          <w:numId w:val="6"/>
        </w:numPr>
        <w:spacing w:line="240" w:lineRule="auto"/>
        <w:ind w:left="283" w:hanging="283"/>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Ya existe un régimen de privación de la libertad de hasta ocho años sin beneficios de redención para los delitos más graves. Conforme a la C-365 de 2012, debe preferirse su aplicación estricta antes que el endurecimiento generalizado.</w:t>
      </w:r>
    </w:p>
    <w:p w14:paraId="5DF54A60" w14:textId="77777777" w:rsidR="004A4930" w:rsidRDefault="004A4930">
      <w:pPr>
        <w:spacing w:line="240" w:lineRule="auto"/>
        <w:ind w:left="283" w:hanging="283"/>
        <w:jc w:val="both"/>
        <w:rPr>
          <w:rFonts w:ascii="Plus Jakarta Sans" w:eastAsia="Plus Jakarta Sans" w:hAnsi="Plus Jakarta Sans" w:cs="Plus Jakarta Sans"/>
          <w:sz w:val="20"/>
          <w:szCs w:val="20"/>
          <w:highlight w:val="white"/>
        </w:rPr>
      </w:pPr>
    </w:p>
    <w:p w14:paraId="2633247C" w14:textId="77777777" w:rsidR="004A4930" w:rsidRDefault="006E06B4">
      <w:pPr>
        <w:numPr>
          <w:ilvl w:val="0"/>
          <w:numId w:val="6"/>
        </w:numPr>
        <w:spacing w:line="240" w:lineRule="auto"/>
        <w:ind w:left="283" w:hanging="283"/>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propia institucionalidad colombiana ya dispone de una alternativa menos gravosa. El ICBF, con UNODC, adoptó la herramienta GIRA, basada en la gestión individualizada del riesgo de reincidencia. Existiendo esa vía, extender y prolongar el encierro de adolescentes convierte el derecho penal en la primera respuesta, cuando la Constitución exige que sea la última.</w:t>
      </w:r>
    </w:p>
    <w:p w14:paraId="130B7A33" w14:textId="77777777" w:rsidR="004A4930" w:rsidRDefault="004A4930">
      <w:pPr>
        <w:spacing w:line="240" w:lineRule="auto"/>
        <w:jc w:val="both"/>
        <w:rPr>
          <w:sz w:val="20"/>
          <w:szCs w:val="20"/>
          <w:highlight w:val="white"/>
        </w:rPr>
      </w:pPr>
    </w:p>
    <w:p w14:paraId="3A5B9F24" w14:textId="77777777" w:rsidR="004A4930" w:rsidRDefault="006E06B4">
      <w:pPr>
        <w:numPr>
          <w:ilvl w:val="0"/>
          <w:numId w:val="1"/>
        </w:numPr>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Análisis jurisprudencial que soportan el archivo: </w:t>
      </w:r>
    </w:p>
    <w:p w14:paraId="67F4ECC9" w14:textId="77777777" w:rsidR="004A4930" w:rsidRDefault="004A4930">
      <w:pPr>
        <w:spacing w:line="240" w:lineRule="auto"/>
        <w:jc w:val="both"/>
        <w:rPr>
          <w:rFonts w:ascii="Plus Jakarta Sans" w:eastAsia="Plus Jakarta Sans" w:hAnsi="Plus Jakarta Sans" w:cs="Plus Jakarta Sans"/>
          <w:b/>
          <w:bCs/>
          <w:sz w:val="20"/>
          <w:szCs w:val="20"/>
          <w:highlight w:val="white"/>
        </w:rPr>
      </w:pPr>
    </w:p>
    <w:p w14:paraId="3A2CCA83"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En este punto es importante traer a colación el análisis que ha realizado la Corte Constitucional, en ese sentido: </w:t>
      </w:r>
    </w:p>
    <w:p w14:paraId="6361E837"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3E168403"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Sentencia C - 281 de 2023, proferida por la Corte Constitucional,  ha señalado que para los menores de edad bajo arresto, se consagran unas garantías mínimas de obligatorio cumplimiento, tales como: (i) la presunción de inocencia; (</w:t>
      </w:r>
      <w:proofErr w:type="spellStart"/>
      <w:r>
        <w:rPr>
          <w:rFonts w:ascii="Plus Jakarta Sans" w:eastAsia="Plus Jakarta Sans" w:hAnsi="Plus Jakarta Sans" w:cs="Plus Jakarta Sans"/>
          <w:sz w:val="20"/>
          <w:szCs w:val="20"/>
          <w:highlight w:val="white"/>
        </w:rPr>
        <w:t>ii</w:t>
      </w:r>
      <w:proofErr w:type="spellEnd"/>
      <w:r>
        <w:rPr>
          <w:rFonts w:ascii="Plus Jakarta Sans" w:eastAsia="Plus Jakarta Sans" w:hAnsi="Plus Jakarta Sans" w:cs="Plus Jakarta Sans"/>
          <w:sz w:val="20"/>
          <w:szCs w:val="20"/>
          <w:highlight w:val="white"/>
        </w:rPr>
        <w:t>)</w:t>
      </w:r>
      <w:r>
        <w:rPr>
          <w:rFonts w:ascii="Plus Jakarta Sans" w:eastAsia="Plus Jakarta Sans" w:hAnsi="Plus Jakarta Sans" w:cs="Plus Jakarta Sans"/>
          <w:sz w:val="20"/>
          <w:szCs w:val="20"/>
          <w:highlight w:val="white"/>
          <w:u w:val="single"/>
        </w:rPr>
        <w:t xml:space="preserve"> el carácter residual y excepcional de la detención preventiva, de manera que se prefiera siempre una medida sustitutiva;</w:t>
      </w:r>
      <w:r>
        <w:rPr>
          <w:rFonts w:ascii="Plus Jakarta Sans" w:eastAsia="Plus Jakarta Sans" w:hAnsi="Plus Jakarta Sans" w:cs="Plus Jakarta Sans"/>
          <w:sz w:val="20"/>
          <w:szCs w:val="20"/>
          <w:highlight w:val="white"/>
        </w:rPr>
        <w:t xml:space="preserve"> (</w:t>
      </w:r>
      <w:proofErr w:type="spellStart"/>
      <w:r>
        <w:rPr>
          <w:rFonts w:ascii="Plus Jakarta Sans" w:eastAsia="Plus Jakarta Sans" w:hAnsi="Plus Jakarta Sans" w:cs="Plus Jakarta Sans"/>
          <w:sz w:val="20"/>
          <w:szCs w:val="20"/>
          <w:highlight w:val="white"/>
        </w:rPr>
        <w:t>iii</w:t>
      </w:r>
      <w:proofErr w:type="spellEnd"/>
      <w:r>
        <w:rPr>
          <w:rFonts w:ascii="Plus Jakarta Sans" w:eastAsia="Plus Jakarta Sans" w:hAnsi="Plus Jakarta Sans" w:cs="Plus Jakarta Sans"/>
          <w:sz w:val="20"/>
          <w:szCs w:val="20"/>
          <w:highlight w:val="white"/>
        </w:rPr>
        <w:t>) la celeridad en la tramitación de su caso a efectos que la detención sea por el tiempo más corto posible; (</w:t>
      </w:r>
      <w:proofErr w:type="spellStart"/>
      <w:r>
        <w:rPr>
          <w:rFonts w:ascii="Plus Jakarta Sans" w:eastAsia="Plus Jakarta Sans" w:hAnsi="Plus Jakarta Sans" w:cs="Plus Jakarta Sans"/>
          <w:sz w:val="20"/>
          <w:szCs w:val="20"/>
          <w:highlight w:val="white"/>
        </w:rPr>
        <w:t>iv</w:t>
      </w:r>
      <w:proofErr w:type="spellEnd"/>
      <w:r>
        <w:rPr>
          <w:rFonts w:ascii="Plus Jakarta Sans" w:eastAsia="Plus Jakarta Sans" w:hAnsi="Plus Jakarta Sans" w:cs="Plus Jakarta Sans"/>
          <w:sz w:val="20"/>
          <w:szCs w:val="20"/>
          <w:highlight w:val="white"/>
        </w:rPr>
        <w:t>) el derecho a estar separados de aquellos menores que ya hayan sido declarados culpables; (v) el derecho a tener asesoramiento y asistencia jurídica ya sea privada o gratuita, de ser ello posible, y a tener comunicación continua y confidencial con su apoderado; (vi) cuando sea posible, se les debe dar la oportunidad de estudiar o realizar trabajos remunerados, pero en ningún caso serán obligados a hacerlo; y (</w:t>
      </w:r>
      <w:proofErr w:type="spellStart"/>
      <w:r>
        <w:rPr>
          <w:rFonts w:ascii="Plus Jakarta Sans" w:eastAsia="Plus Jakarta Sans" w:hAnsi="Plus Jakarta Sans" w:cs="Plus Jakarta Sans"/>
          <w:sz w:val="20"/>
          <w:szCs w:val="20"/>
          <w:highlight w:val="white"/>
        </w:rPr>
        <w:t>vii</w:t>
      </w:r>
      <w:proofErr w:type="spellEnd"/>
      <w:r>
        <w:rPr>
          <w:rFonts w:ascii="Plus Jakarta Sans" w:eastAsia="Plus Jakarta Sans" w:hAnsi="Plus Jakarta Sans" w:cs="Plus Jakarta Sans"/>
          <w:sz w:val="20"/>
          <w:szCs w:val="20"/>
          <w:highlight w:val="white"/>
        </w:rPr>
        <w:t>) el derecho a recibir y conservar material de entretenimiento y recreo apropiado para su condición.</w:t>
      </w:r>
    </w:p>
    <w:p w14:paraId="00D32E80"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40AB9BF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Lo anterior también obedece a que el principio transversal al Sistema de Responsabilidad Penal para Adolescentes es el interés superior del menor, se establece que el Sistema de Responsabilidad Penal para Adolescentes no tiene la finalidad de castigar a los menores infractores, sino que, por el contrario, tiene un carácter pedagógico, correctivo y restaurativo.</w:t>
      </w:r>
    </w:p>
    <w:p w14:paraId="128A7CA4"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65DC69D5"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La Sentencia C- 839 de 2001, </w:t>
      </w:r>
      <w:proofErr w:type="spellStart"/>
      <w:r>
        <w:rPr>
          <w:rFonts w:ascii="Plus Jakarta Sans" w:eastAsia="Plus Jakarta Sans" w:hAnsi="Plus Jakarta Sans" w:cs="Plus Jakarta Sans"/>
          <w:sz w:val="20"/>
          <w:szCs w:val="20"/>
          <w:highlight w:val="white"/>
        </w:rPr>
        <w:t>proferidad</w:t>
      </w:r>
      <w:proofErr w:type="spellEnd"/>
      <w:r>
        <w:rPr>
          <w:rFonts w:ascii="Plus Jakarta Sans" w:eastAsia="Plus Jakarta Sans" w:hAnsi="Plus Jakarta Sans" w:cs="Plus Jakarta Sans"/>
          <w:sz w:val="20"/>
          <w:szCs w:val="20"/>
          <w:highlight w:val="white"/>
        </w:rPr>
        <w:t xml:space="preserve"> por la Corte Constitucional, ha señalado que es manifestación clara del Estado Social de Derecho y se desarrolla a lo largo de la Carta Política, pretende </w:t>
      </w:r>
      <w:r>
        <w:rPr>
          <w:rFonts w:ascii="Plus Jakarta Sans" w:eastAsia="Plus Jakarta Sans" w:hAnsi="Plus Jakarta Sans" w:cs="Plus Jakarta Sans"/>
          <w:i/>
          <w:iCs/>
          <w:sz w:val="20"/>
          <w:szCs w:val="20"/>
          <w:highlight w:val="white"/>
        </w:rPr>
        <w:t>“garantizar el desarrollo armónico e integral y el ejercicio pleno los derechos de los menores, y de protegerlos contra cualquier forma de abandono, violencia física o moral, secuestro, venta, abuso sexual, explotación laboral o económica y trabajos riesgosos</w:t>
      </w:r>
      <w:r>
        <w:rPr>
          <w:rFonts w:ascii="Plus Jakarta Sans" w:eastAsia="Plus Jakarta Sans" w:hAnsi="Plus Jakarta Sans" w:cs="Plus Jakarta Sans"/>
          <w:sz w:val="20"/>
          <w:szCs w:val="20"/>
          <w:highlight w:val="white"/>
        </w:rPr>
        <w:t xml:space="preserve">”, </w:t>
      </w:r>
      <w:r>
        <w:rPr>
          <w:rFonts w:ascii="Plus Jakarta Sans" w:eastAsia="Plus Jakarta Sans" w:hAnsi="Plus Jakarta Sans" w:cs="Plus Jakarta Sans"/>
          <w:sz w:val="20"/>
          <w:szCs w:val="20"/>
          <w:highlight w:val="white"/>
          <w:u w:val="single"/>
        </w:rPr>
        <w:t>son derechos fundamentales de los niños que deben ser protegidos por el Estado mediante la expedición de leyes internas y la ratificación de instrumentos internacionales que persigan ese fin</w:t>
      </w:r>
      <w:r>
        <w:rPr>
          <w:rFonts w:ascii="Plus Jakarta Sans" w:eastAsia="Plus Jakarta Sans" w:hAnsi="Plus Jakarta Sans" w:cs="Plus Jakarta Sans"/>
          <w:sz w:val="20"/>
          <w:szCs w:val="20"/>
          <w:highlight w:val="white"/>
        </w:rPr>
        <w:t xml:space="preserve">. </w:t>
      </w:r>
      <w:r>
        <w:rPr>
          <w:rFonts w:ascii="Plus Jakarta Sans" w:eastAsia="Plus Jakarta Sans" w:hAnsi="Plus Jakarta Sans" w:cs="Plus Jakarta Sans"/>
          <w:i/>
          <w:iCs/>
          <w:sz w:val="20"/>
          <w:szCs w:val="20"/>
          <w:highlight w:val="white"/>
        </w:rPr>
        <w:t xml:space="preserve">Los menores que se encuentran en situación irregular y quebrantan el ordenamiento jurídico, son responsables frente al Estado por las consecuencias de su conducta. Adicionalmente, son </w:t>
      </w:r>
      <w:r>
        <w:rPr>
          <w:rFonts w:ascii="Plus Jakarta Sans" w:eastAsia="Plus Jakarta Sans" w:hAnsi="Plus Jakarta Sans" w:cs="Plus Jakarta Sans"/>
          <w:i/>
          <w:iCs/>
          <w:sz w:val="20"/>
          <w:szCs w:val="20"/>
          <w:highlight w:val="white"/>
        </w:rPr>
        <w:lastRenderedPageBreak/>
        <w:t xml:space="preserve">los propios instrumentos internacionales los que reconocen la legitimidad de los procesos de índole penal adelantados por el Estado contra los menores infractores, estableciendo, eso sí, como fin primordial, </w:t>
      </w:r>
      <w:r>
        <w:rPr>
          <w:rFonts w:ascii="Plus Jakarta Sans" w:eastAsia="Plus Jakarta Sans" w:hAnsi="Plus Jakarta Sans" w:cs="Plus Jakarta Sans"/>
          <w:i/>
          <w:iCs/>
          <w:sz w:val="20"/>
          <w:szCs w:val="20"/>
          <w:highlight w:val="white"/>
          <w:u w:val="single"/>
        </w:rPr>
        <w:t>la rehabilitación y educación del individuo que ha infringido la Ley</w:t>
      </w:r>
      <w:r>
        <w:rPr>
          <w:rFonts w:ascii="Plus Jakarta Sans" w:eastAsia="Plus Jakarta Sans" w:hAnsi="Plus Jakarta Sans" w:cs="Plus Jakarta Sans"/>
          <w:i/>
          <w:iCs/>
          <w:sz w:val="20"/>
          <w:szCs w:val="20"/>
          <w:highlight w:val="white"/>
        </w:rPr>
        <w:t xml:space="preserve">. El reconocimiento de que los menores pueden ser sometidos a la jurisdicción de un tribunal (o de un juez) para que se resuelva su responsabilidad jurídica como consecuencia de la realización de una conducta penalmente reprochable, es entonces una realidad del derecho que no puede ser desconocida con el argumento de que los menores gozan de una protección especial por el Estado y la comunidad mundial. Ello más bien contribuye a que los Estados refuercen las medidas legislativas y administrativas para obtener que, en el desarrollo del proceso penal, se respeten con especial cuidado los derechos sustantivos y procesales del menor incriminado y se busque, </w:t>
      </w:r>
      <w:r>
        <w:rPr>
          <w:rFonts w:ascii="Plus Jakarta Sans" w:eastAsia="Plus Jakarta Sans" w:hAnsi="Plus Jakarta Sans" w:cs="Plus Jakarta Sans"/>
          <w:i/>
          <w:iCs/>
          <w:sz w:val="20"/>
          <w:szCs w:val="20"/>
          <w:highlight w:val="white"/>
          <w:u w:val="single"/>
        </w:rPr>
        <w:t>antes que la imposición de sanciones represivas, la aplicación de medidas de índole educativa y resocializadora para alcanzar la integración social del menor. Estos objetivos, el de garantizar un proceso justo y respetuoso de los derechos del menor infractor y el de propender hacia su resocialización, se encuentran ampliamente modelados en los instrumentos internacionales</w:t>
      </w: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sz w:val="20"/>
          <w:szCs w:val="20"/>
          <w:highlight w:val="white"/>
        </w:rPr>
        <w:t xml:space="preserve"> </w:t>
      </w:r>
    </w:p>
    <w:p w14:paraId="53D4EA71"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p w14:paraId="2A32D7A1" w14:textId="77777777" w:rsidR="004A4930" w:rsidRDefault="004A4930">
      <w:pPr>
        <w:tabs>
          <w:tab w:val="left" w:pos="284"/>
        </w:tabs>
        <w:spacing w:line="240" w:lineRule="auto"/>
        <w:jc w:val="both"/>
        <w:rPr>
          <w:rFonts w:ascii="Plus Jakarta Sans" w:eastAsia="Plus Jakarta Sans" w:hAnsi="Plus Jakarta Sans" w:cs="Plus Jakarta Sans"/>
          <w:sz w:val="20"/>
          <w:szCs w:val="20"/>
          <w:highlight w:val="white"/>
        </w:rPr>
      </w:pPr>
    </w:p>
    <w:sdt>
      <w:sdtPr>
        <w:tag w:val="goog_rdk_2"/>
        <w:id w:val="133828872"/>
        <w:lock w:val="contentLocked"/>
      </w:sdtPr>
      <w:sdtEndPr/>
      <w:sdtContent>
        <w:tbl>
          <w:tblPr>
            <w:tblStyle w:val="a7"/>
            <w:tblW w:w="9060" w:type="dxa"/>
            <w:tblInd w:w="0"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600" w:firstRow="0" w:lastRow="0" w:firstColumn="0" w:lastColumn="0" w:noHBand="1" w:noVBand="1"/>
          </w:tblPr>
          <w:tblGrid>
            <w:gridCol w:w="1545"/>
            <w:gridCol w:w="3990"/>
            <w:gridCol w:w="1620"/>
            <w:gridCol w:w="1905"/>
          </w:tblGrid>
          <w:tr w:rsidR="004A4930" w14:paraId="08881239" w14:textId="77777777">
            <w:trPr>
              <w:trHeight w:val="600"/>
            </w:trPr>
            <w:tc>
              <w:tcPr>
                <w:tcW w:w="15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B870883" w14:textId="77777777" w:rsidR="004A4930" w:rsidRDefault="006E06B4">
                <w:pPr>
                  <w:tabs>
                    <w:tab w:val="left" w:pos="284"/>
                  </w:tabs>
                  <w:spacing w:line="240" w:lineRule="auto"/>
                  <w:jc w:val="center"/>
                  <w:rPr>
                    <w:rFonts w:ascii="Plus Jakarta Sans" w:eastAsia="Plus Jakarta Sans" w:hAnsi="Plus Jakarta Sans" w:cs="Plus Jakarta Sans"/>
                    <w:b/>
                    <w:bCs/>
                    <w:sz w:val="18"/>
                    <w:szCs w:val="18"/>
                    <w:highlight w:val="white"/>
                  </w:rPr>
                </w:pPr>
                <w:r>
                  <w:rPr>
                    <w:rFonts w:ascii="Plus Jakarta Sans" w:eastAsia="Plus Jakarta Sans" w:hAnsi="Plus Jakarta Sans" w:cs="Plus Jakarta Sans"/>
                    <w:b/>
                    <w:bCs/>
                    <w:sz w:val="18"/>
                    <w:szCs w:val="18"/>
                    <w:highlight w:val="white"/>
                  </w:rPr>
                  <w:t xml:space="preserve">PROVIDENCIA </w:t>
                </w:r>
              </w:p>
            </w:tc>
            <w:tc>
              <w:tcPr>
                <w:tcW w:w="3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65E7F4E" w14:textId="77777777" w:rsidR="004A4930" w:rsidRDefault="006E06B4">
                <w:pPr>
                  <w:tabs>
                    <w:tab w:val="left" w:pos="284"/>
                  </w:tabs>
                  <w:spacing w:line="240" w:lineRule="auto"/>
                  <w:jc w:val="center"/>
                  <w:rPr>
                    <w:rFonts w:ascii="Plus Jakarta Sans" w:eastAsia="Plus Jakarta Sans" w:hAnsi="Plus Jakarta Sans" w:cs="Plus Jakarta Sans"/>
                    <w:b/>
                    <w:bCs/>
                    <w:sz w:val="18"/>
                    <w:szCs w:val="18"/>
                    <w:highlight w:val="white"/>
                  </w:rPr>
                </w:pPr>
                <w:r>
                  <w:rPr>
                    <w:rFonts w:ascii="Plus Jakarta Sans" w:eastAsia="Plus Jakarta Sans" w:hAnsi="Plus Jakarta Sans" w:cs="Plus Jakarta Sans"/>
                    <w:b/>
                    <w:bCs/>
                    <w:sz w:val="18"/>
                    <w:szCs w:val="18"/>
                    <w:highlight w:val="white"/>
                  </w:rPr>
                  <w:t>REGLA</w:t>
                </w:r>
              </w:p>
            </w:tc>
            <w:tc>
              <w:tcPr>
                <w:tcW w:w="16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469499" w14:textId="77777777" w:rsidR="004A4930" w:rsidRDefault="006E06B4">
                <w:pPr>
                  <w:tabs>
                    <w:tab w:val="left" w:pos="284"/>
                  </w:tabs>
                  <w:spacing w:line="240" w:lineRule="auto"/>
                  <w:jc w:val="center"/>
                  <w:rPr>
                    <w:rFonts w:ascii="Plus Jakarta Sans" w:eastAsia="Plus Jakarta Sans" w:hAnsi="Plus Jakarta Sans" w:cs="Plus Jakarta Sans"/>
                    <w:b/>
                    <w:bCs/>
                    <w:sz w:val="18"/>
                    <w:szCs w:val="18"/>
                    <w:highlight w:val="white"/>
                  </w:rPr>
                </w:pPr>
                <w:r>
                  <w:rPr>
                    <w:rFonts w:ascii="Plus Jakarta Sans" w:eastAsia="Plus Jakarta Sans" w:hAnsi="Plus Jakarta Sans" w:cs="Plus Jakarta Sans"/>
                    <w:b/>
                    <w:bCs/>
                    <w:sz w:val="18"/>
                    <w:szCs w:val="18"/>
                    <w:highlight w:val="white"/>
                  </w:rPr>
                  <w:t>DISPOSICIÓN IMPACTADA</w:t>
                </w:r>
              </w:p>
            </w:tc>
            <w:tc>
              <w:tcPr>
                <w:tcW w:w="19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BF9371" w14:textId="77777777" w:rsidR="004A4930" w:rsidRDefault="006E06B4">
                <w:pPr>
                  <w:tabs>
                    <w:tab w:val="left" w:pos="284"/>
                  </w:tabs>
                  <w:spacing w:line="240" w:lineRule="auto"/>
                  <w:jc w:val="center"/>
                  <w:rPr>
                    <w:rFonts w:ascii="Plus Jakarta Sans" w:eastAsia="Plus Jakarta Sans" w:hAnsi="Plus Jakarta Sans" w:cs="Plus Jakarta Sans"/>
                    <w:b/>
                    <w:bCs/>
                    <w:sz w:val="18"/>
                    <w:szCs w:val="18"/>
                    <w:highlight w:val="white"/>
                  </w:rPr>
                </w:pPr>
                <w:r>
                  <w:rPr>
                    <w:rFonts w:ascii="Plus Jakarta Sans" w:eastAsia="Plus Jakarta Sans" w:hAnsi="Plus Jakarta Sans" w:cs="Plus Jakarta Sans"/>
                    <w:b/>
                    <w:bCs/>
                    <w:sz w:val="18"/>
                    <w:szCs w:val="18"/>
                    <w:highlight w:val="white"/>
                  </w:rPr>
                  <w:t>CARGO</w:t>
                </w:r>
              </w:p>
            </w:tc>
          </w:tr>
          <w:tr w:rsidR="004A4930" w14:paraId="5BED4352" w14:textId="77777777">
            <w:tc>
              <w:tcPr>
                <w:tcW w:w="1545" w:type="dxa"/>
                <w:tcBorders>
                  <w:top w:val="single" w:sz="12" w:space="0" w:color="000000"/>
                  <w:left w:val="single" w:sz="12" w:space="0" w:color="000000"/>
                  <w:bottom w:val="single" w:sz="12" w:space="0" w:color="000000"/>
                  <w:right w:val="single" w:sz="12" w:space="0" w:color="000000"/>
                </w:tcBorders>
                <w:shd w:val="clear" w:color="auto" w:fill="FFFFFF"/>
                <w:tcMar>
                  <w:top w:w="100" w:type="dxa"/>
                  <w:left w:w="100" w:type="dxa"/>
                  <w:bottom w:w="100" w:type="dxa"/>
                  <w:right w:w="100" w:type="dxa"/>
                </w:tcMar>
              </w:tcPr>
              <w:p w14:paraId="672FC2B6"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C-839 de 2001</w:t>
                </w:r>
              </w:p>
            </w:tc>
            <w:tc>
              <w:tcPr>
                <w:tcW w:w="3990" w:type="dxa"/>
                <w:tcBorders>
                  <w:top w:val="single" w:sz="12" w:space="0" w:color="000000"/>
                  <w:left w:val="single" w:sz="12" w:space="0" w:color="000000"/>
                  <w:bottom w:val="single" w:sz="12" w:space="0" w:color="000000"/>
                  <w:right w:val="single" w:sz="12" w:space="0" w:color="000000"/>
                </w:tcBorders>
                <w:shd w:val="clear" w:color="auto" w:fill="FFFFFF"/>
                <w:tcMar>
                  <w:top w:w="100" w:type="dxa"/>
                  <w:left w:w="100" w:type="dxa"/>
                  <w:bottom w:w="100" w:type="dxa"/>
                  <w:right w:w="100" w:type="dxa"/>
                </w:tcMar>
              </w:tcPr>
              <w:p w14:paraId="2E4DAE30"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La justicia especializada de menores es</w:t>
                </w:r>
              </w:p>
              <w:p w14:paraId="75203AC1"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constitucional en tanto la ley se ajuste a los principios que guían el juzgamiento de menores y conserve los objetivos de</w:t>
                </w:r>
              </w:p>
              <w:p w14:paraId="707AFDB7"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resocialización, tutela y rehabilitación.</w:t>
                </w:r>
              </w:p>
            </w:tc>
            <w:tc>
              <w:tcPr>
                <w:tcW w:w="1620" w:type="dxa"/>
                <w:tcBorders>
                  <w:top w:val="single" w:sz="12" w:space="0" w:color="000000"/>
                  <w:left w:val="single" w:sz="12" w:space="0" w:color="000000"/>
                  <w:bottom w:val="single" w:sz="12" w:space="0" w:color="000000"/>
                  <w:right w:val="single" w:sz="12" w:space="0" w:color="000000"/>
                </w:tcBorders>
                <w:shd w:val="clear" w:color="auto" w:fill="FFFFFF"/>
                <w:tcMar>
                  <w:top w:w="100" w:type="dxa"/>
                  <w:left w:w="100" w:type="dxa"/>
                  <w:bottom w:w="100" w:type="dxa"/>
                  <w:right w:w="100" w:type="dxa"/>
                </w:tcMar>
              </w:tcPr>
              <w:p w14:paraId="39643C35" w14:textId="77777777" w:rsidR="004A4930" w:rsidRDefault="006E06B4">
                <w:pPr>
                  <w:tabs>
                    <w:tab w:val="left" w:pos="284"/>
                  </w:tabs>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Artículos 1 y 3</w:t>
                </w:r>
              </w:p>
            </w:tc>
            <w:tc>
              <w:tcPr>
                <w:tcW w:w="1905" w:type="dxa"/>
                <w:tcBorders>
                  <w:top w:val="single" w:sz="12" w:space="0" w:color="000000"/>
                  <w:left w:val="single" w:sz="12" w:space="0" w:color="000000"/>
                  <w:bottom w:val="single" w:sz="12" w:space="0" w:color="000000"/>
                  <w:right w:val="single" w:sz="12" w:space="0" w:color="000000"/>
                </w:tcBorders>
                <w:shd w:val="clear" w:color="auto" w:fill="FFFFFF"/>
                <w:tcMar>
                  <w:top w:w="100" w:type="dxa"/>
                  <w:left w:w="100" w:type="dxa"/>
                  <w:bottom w:w="100" w:type="dxa"/>
                  <w:right w:w="100" w:type="dxa"/>
                </w:tcMar>
              </w:tcPr>
              <w:p w14:paraId="5566984A" w14:textId="77777777" w:rsidR="004A4930" w:rsidRDefault="006E06B4">
                <w:pPr>
                  <w:tabs>
                    <w:tab w:val="left" w:pos="284"/>
                  </w:tabs>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Desnaturalización de la finalidad que sirve de fundamento al sistema.</w:t>
                </w:r>
              </w:p>
            </w:tc>
          </w:tr>
          <w:tr w:rsidR="004A4930" w14:paraId="14B28248" w14:textId="77777777">
            <w:trPr>
              <w:trHeight w:val="2535"/>
            </w:trPr>
            <w:tc>
              <w:tcPr>
                <w:tcW w:w="154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383C84F8" w14:textId="77777777" w:rsidR="004A4930" w:rsidRDefault="004A4930">
                <w:pPr>
                  <w:spacing w:line="240" w:lineRule="auto"/>
                  <w:rPr>
                    <w:rFonts w:ascii="Plus Jakarta Sans" w:eastAsia="Plus Jakarta Sans" w:hAnsi="Plus Jakarta Sans" w:cs="Plus Jakarta Sans"/>
                    <w:sz w:val="20"/>
                    <w:szCs w:val="20"/>
                    <w:highlight w:val="white"/>
                  </w:rPr>
                </w:pPr>
              </w:p>
              <w:p w14:paraId="04C5F251" w14:textId="77777777" w:rsidR="004A4930" w:rsidRDefault="004A4930">
                <w:pPr>
                  <w:spacing w:line="240" w:lineRule="auto"/>
                  <w:rPr>
                    <w:rFonts w:ascii="Plus Jakarta Sans" w:eastAsia="Plus Jakarta Sans" w:hAnsi="Plus Jakarta Sans" w:cs="Plus Jakarta Sans"/>
                    <w:sz w:val="20"/>
                    <w:szCs w:val="20"/>
                    <w:highlight w:val="white"/>
                  </w:rPr>
                </w:pPr>
              </w:p>
              <w:p w14:paraId="38EDC732"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C-203 </w:t>
                </w:r>
              </w:p>
              <w:p w14:paraId="14FFA4BB"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 2005</w:t>
                </w:r>
              </w:p>
            </w:tc>
            <w:tc>
              <w:tcPr>
                <w:tcW w:w="399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2E5F4C10" w14:textId="77777777" w:rsidR="004A4930" w:rsidRDefault="006E06B4">
                <w:pPr>
                  <w:spacing w:before="140" w:line="240" w:lineRule="auto"/>
                  <w:ind w:left="141" w:right="12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Tres principios de cumplimiento irrestricto: diferenciación y especificidad con garantía de proporcionalidad entre el hecho y la respuesta institucional; finalidad tutelar y resocializadora, que conlleva la proscripción de un enfoque represivo; y promoción del interés superior. Los instrumentos internacionales son parámetro obligatorio por el artículo 44 C.P.</w:t>
                </w:r>
              </w:p>
            </w:tc>
            <w:tc>
              <w:tcPr>
                <w:tcW w:w="162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18F5C926"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28326749"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0B12301"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16989BC8"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79D06E5" w14:textId="77777777" w:rsidR="004A4930" w:rsidRDefault="006E06B4">
                <w:pPr>
                  <w:spacing w:before="40"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5E1E64B8"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Artículos 2 y 3</w:t>
                </w:r>
              </w:p>
            </w:tc>
            <w:tc>
              <w:tcPr>
                <w:tcW w:w="190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4F0AC57A" w14:textId="77777777" w:rsidR="004A4930" w:rsidRDefault="006E06B4">
                <w:pPr>
                  <w:spacing w:line="240" w:lineRule="auto"/>
                  <w:ind w:left="38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6B46C2F8"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Desproporción y adopción de un enfoque represivo proscrito.</w:t>
                </w:r>
              </w:p>
            </w:tc>
          </w:tr>
          <w:tr w:rsidR="004A4930" w14:paraId="741F3496" w14:textId="77777777">
            <w:tc>
              <w:tcPr>
                <w:tcW w:w="154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1F3CC413"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93ABE0D"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C-684 </w:t>
                </w:r>
              </w:p>
              <w:p w14:paraId="5D99FEEB"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 2009</w:t>
                </w:r>
              </w:p>
            </w:tc>
            <w:tc>
              <w:tcPr>
                <w:tcW w:w="399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77D5637F" w14:textId="77777777" w:rsidR="004A4930" w:rsidRDefault="006E06B4">
                <w:pPr>
                  <w:spacing w:before="140" w:line="240" w:lineRule="auto"/>
                  <w:ind w:left="141" w:right="12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Inexequibilidad parcial del artículo 191 de la Ley 1098 por indeterminación normativa que obstaculizaba la defensa y desnaturaliza la presunción de inocencia. Los funcionarios deben poder modificar el tipo de medida según las condiciones individuales del adolescente.</w:t>
                </w:r>
              </w:p>
            </w:tc>
            <w:tc>
              <w:tcPr>
                <w:tcW w:w="162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5056EF14"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21EBA7E"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5FE540A6" w14:textId="77777777" w:rsidR="004A4930" w:rsidRDefault="006E06B4">
                <w:pPr>
                  <w:spacing w:before="140"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Artículo 2</w:t>
                </w:r>
              </w:p>
            </w:tc>
            <w:tc>
              <w:tcPr>
                <w:tcW w:w="190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78EE0814"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5EB8D70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Indeterminación normativa; infracción de la legalidad estricta.</w:t>
                </w:r>
              </w:p>
            </w:tc>
          </w:tr>
          <w:tr w:rsidR="004A4930" w14:paraId="79BAF894" w14:textId="77777777">
            <w:tc>
              <w:tcPr>
                <w:tcW w:w="154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6C314C09"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C-281 </w:t>
                </w:r>
              </w:p>
              <w:p w14:paraId="3A3EE4B0"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 2023</w:t>
                </w:r>
              </w:p>
            </w:tc>
            <w:tc>
              <w:tcPr>
                <w:tcW w:w="399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19D811AD" w14:textId="77777777" w:rsidR="004A4930" w:rsidRDefault="006E06B4">
                <w:pPr>
                  <w:spacing w:before="140" w:line="240" w:lineRule="auto"/>
                  <w:ind w:left="141" w:right="12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El traslado automático de figuras de la Ley 906 al SRPA no es factible ni conveniente frente a los fines del sistema. Las sanciones pueden ser modificadas por el juez que las dictó.</w:t>
                </w:r>
              </w:p>
            </w:tc>
            <w:tc>
              <w:tcPr>
                <w:tcW w:w="162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112AD63E"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369CB6F" w14:textId="77777777" w:rsidR="004A4930" w:rsidRDefault="006E06B4">
                <w:pPr>
                  <w:spacing w:before="40"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CAE4307"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Artículo 3, incisos 4 y 6</w:t>
                </w:r>
              </w:p>
            </w:tc>
            <w:tc>
              <w:tcPr>
                <w:tcW w:w="190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444E5E5A"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0D867173"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Supresión de la modificabilidad judicial.</w:t>
                </w:r>
              </w:p>
            </w:tc>
          </w:tr>
          <w:tr w:rsidR="004A4930" w14:paraId="60401604" w14:textId="77777777">
            <w:tc>
              <w:tcPr>
                <w:tcW w:w="154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14DF41A0"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lastRenderedPageBreak/>
                  <w:t xml:space="preserve"> </w:t>
                </w:r>
              </w:p>
              <w:p w14:paraId="53E55457"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1FE176CF" w14:textId="77777777" w:rsidR="004A4930" w:rsidRDefault="006E06B4">
                <w:pPr>
                  <w:spacing w:before="40"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T-388 de 2013 </w:t>
                </w:r>
              </w:p>
              <w:p w14:paraId="27979793" w14:textId="77777777" w:rsidR="004A4930" w:rsidRDefault="006E06B4">
                <w:pPr>
                  <w:spacing w:before="40"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y</w:t>
                </w:r>
              </w:p>
              <w:p w14:paraId="7D9EBAF7" w14:textId="77777777" w:rsidR="004A4930" w:rsidRDefault="006E06B4">
                <w:pPr>
                  <w:spacing w:before="40"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T-762 de 2015</w:t>
                </w:r>
              </w:p>
            </w:tc>
            <w:tc>
              <w:tcPr>
                <w:tcW w:w="399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4D778A65" w14:textId="77777777" w:rsidR="004A4930" w:rsidRDefault="006E06B4">
                <w:pPr>
                  <w:spacing w:before="140" w:line="240" w:lineRule="auto"/>
                  <w:ind w:left="141" w:right="18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Estado de cosas inconstitucional atribuido a una política criminal reactiva, populista, poco reflexiva, volátil, incoherente y subordinada a la política de seguridad.</w:t>
                </w:r>
              </w:p>
              <w:p w14:paraId="7E05177C" w14:textId="77777777" w:rsidR="004A4930" w:rsidRDefault="004A4930">
                <w:pPr>
                  <w:spacing w:before="140" w:line="240" w:lineRule="auto"/>
                  <w:ind w:left="141" w:right="180"/>
                  <w:jc w:val="both"/>
                  <w:rPr>
                    <w:rFonts w:ascii="Plus Jakarta Sans" w:eastAsia="Plus Jakarta Sans" w:hAnsi="Plus Jakarta Sans" w:cs="Plus Jakarta Sans"/>
                    <w:sz w:val="20"/>
                    <w:szCs w:val="20"/>
                    <w:highlight w:val="white"/>
                  </w:rPr>
                </w:pPr>
              </w:p>
              <w:p w14:paraId="2462E53D" w14:textId="77777777" w:rsidR="004A4930" w:rsidRDefault="006E06B4">
                <w:pPr>
                  <w:spacing w:line="240" w:lineRule="auto"/>
                  <w:ind w:left="141" w:right="18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Orden al Congreso de aplicar el estándar constitucional mínimo al tramitar proyectos de ley.</w:t>
                </w:r>
              </w:p>
            </w:tc>
            <w:tc>
              <w:tcPr>
                <w:tcW w:w="162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01010BF0"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2033A133"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7BBDF0B" w14:textId="77777777" w:rsidR="004A4930" w:rsidRDefault="006E06B4">
                <w:pPr>
                  <w:spacing w:before="40"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Integralidad del proyecto</w:t>
                </w:r>
              </w:p>
            </w:tc>
            <w:tc>
              <w:tcPr>
                <w:tcW w:w="190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7D689334"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2FE4313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Inobservancia de orden judicial dirigida al Legislador.</w:t>
                </w:r>
              </w:p>
            </w:tc>
          </w:tr>
          <w:tr w:rsidR="004A4930" w14:paraId="09633A5D" w14:textId="77777777">
            <w:tc>
              <w:tcPr>
                <w:tcW w:w="154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159982E7" w14:textId="77777777" w:rsidR="004A4930" w:rsidRDefault="006E06B4">
                <w:pPr>
                  <w:spacing w:before="140"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D3F9D87"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SU-122 </w:t>
                </w:r>
              </w:p>
              <w:p w14:paraId="4C8B1411"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de 2022</w:t>
                </w:r>
              </w:p>
            </w:tc>
            <w:tc>
              <w:tcPr>
                <w:tcW w:w="399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0E8DA9B8" w14:textId="77777777" w:rsidR="004A4930" w:rsidRDefault="006E06B4">
                <w:pPr>
                  <w:spacing w:before="140" w:line="240" w:lineRule="auto"/>
                  <w:ind w:left="141" w:right="12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Extiende el estado de cosas inconstitucional a los centros de detención transitoria.</w:t>
                </w:r>
              </w:p>
            </w:tc>
            <w:tc>
              <w:tcPr>
                <w:tcW w:w="162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6BB4ADA4" w14:textId="77777777" w:rsidR="004A4930" w:rsidRDefault="006E06B4">
                <w:pPr>
                  <w:spacing w:before="140"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0D765675"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Artículo 3</w:t>
                </w:r>
              </w:p>
            </w:tc>
            <w:tc>
              <w:tcPr>
                <w:tcW w:w="190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0FDF6CF2" w14:textId="77777777" w:rsidR="004A4930" w:rsidRDefault="006E06B4">
                <w:pPr>
                  <w:spacing w:before="140" w:line="240" w:lineRule="auto"/>
                  <w:ind w:right="62"/>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Agravamiento de una situación ya declarada inconstitucional.</w:t>
                </w:r>
              </w:p>
            </w:tc>
          </w:tr>
          <w:tr w:rsidR="004A4930" w14:paraId="1D22A06D" w14:textId="77777777">
            <w:tc>
              <w:tcPr>
                <w:tcW w:w="154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3EC2A8F9"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4CD93238" w14:textId="77777777" w:rsidR="004A4930" w:rsidRDefault="006E06B4">
                <w:pPr>
                  <w:spacing w:before="40"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Reglas de Beijing, regla 17 (en C-281 de 2023)</w:t>
                </w:r>
              </w:p>
            </w:tc>
            <w:tc>
              <w:tcPr>
                <w:tcW w:w="399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43687F69" w14:textId="77777777" w:rsidR="004A4930" w:rsidRDefault="006E06B4">
                <w:pPr>
                  <w:spacing w:before="140" w:line="240" w:lineRule="auto"/>
                  <w:ind w:left="141" w:right="18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Proporcionalidad respecto de las circunstancias individuales y no solo del delito. Privación de libertad únicamente por acto grave con violencia o reincidencia, y si no existe otra respuesta adecuada.</w:t>
                </w:r>
              </w:p>
            </w:tc>
            <w:tc>
              <w:tcPr>
                <w:tcW w:w="1620"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1AECBCA8"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070E46E3" w14:textId="77777777" w:rsidR="004A4930" w:rsidRDefault="006E06B4">
                <w:pPr>
                  <w:spacing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49C21B60" w14:textId="77777777" w:rsidR="004A4930" w:rsidRDefault="006E06B4">
                <w:pPr>
                  <w:spacing w:before="40" w:line="240" w:lineRule="auto"/>
                  <w:ind w:left="38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6A11275"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Artículos 2 y 3</w:t>
                </w:r>
              </w:p>
            </w:tc>
            <w:tc>
              <w:tcPr>
                <w:tcW w:w="1905"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0" w:type="dxa"/>
                  <w:bottom w:w="0" w:type="dxa"/>
                  <w:right w:w="0" w:type="dxa"/>
                </w:tcMar>
              </w:tcPr>
              <w:p w14:paraId="5C4DF183" w14:textId="77777777" w:rsidR="004A4930" w:rsidRDefault="006E06B4">
                <w:pPr>
                  <w:spacing w:line="240" w:lineRule="auto"/>
                  <w:ind w:left="38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353714B8" w14:textId="77777777" w:rsidR="004A4930" w:rsidRDefault="006E06B4">
                <w:pPr>
                  <w:spacing w:before="1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Catálogo sobre incluyente y sanción tasada.</w:t>
                </w:r>
              </w:p>
            </w:tc>
          </w:tr>
        </w:tbl>
      </w:sdtContent>
    </w:sdt>
    <w:p w14:paraId="5471374F" w14:textId="77777777" w:rsidR="004A4930" w:rsidRDefault="004A4930">
      <w:pPr>
        <w:tabs>
          <w:tab w:val="left" w:pos="284"/>
        </w:tabs>
        <w:spacing w:line="240" w:lineRule="auto"/>
        <w:jc w:val="center"/>
        <w:rPr>
          <w:rFonts w:ascii="Plus Jakarta Sans" w:eastAsia="Plus Jakarta Sans" w:hAnsi="Plus Jakarta Sans" w:cs="Plus Jakarta Sans"/>
          <w:sz w:val="20"/>
          <w:szCs w:val="20"/>
          <w:highlight w:val="white"/>
        </w:rPr>
      </w:pPr>
    </w:p>
    <w:p w14:paraId="1663B701" w14:textId="77777777" w:rsidR="004A4930" w:rsidRDefault="006E06B4">
      <w:pPr>
        <w:tabs>
          <w:tab w:val="left" w:pos="284"/>
        </w:tabs>
        <w:spacing w:line="240" w:lineRule="auto"/>
        <w:jc w:val="both"/>
        <w:rPr>
          <w:rFonts w:ascii="Plus Jakarta Sans" w:eastAsia="Plus Jakarta Sans" w:hAnsi="Plus Jakarta Sans" w:cs="Plus Jakarta Sans"/>
          <w:b/>
          <w:bCs/>
          <w:sz w:val="20"/>
          <w:szCs w:val="20"/>
        </w:rPr>
      </w:pPr>
      <w:r>
        <w:rPr>
          <w:rFonts w:ascii="Plus Jakarta Sans" w:eastAsia="Plus Jakarta Sans" w:hAnsi="Plus Jakarta Sans" w:cs="Plus Jakarta Sans"/>
          <w:sz w:val="20"/>
          <w:szCs w:val="20"/>
          <w:highlight w:val="white"/>
        </w:rPr>
        <w:t xml:space="preserve">En vista de estas consideraciones de carácter constitucional, se prevé que aumentar las penas para los adolescentes y el criterio tan amplio de delitos van en contravía del objetivo mismo del Sistema de Responsabilidad Penal para Adolescentes, el cual propende por la restauración y criterio residual de la pena privativa de la libertad. Que un menor entre 14 y 18 años​ sea susceptible de una privación de la libertad hasta de 15 años, abandona la concepción reparadora y proteccionista e implica que no haya ninguna posibilidad de sustitución ni de redención del tiempo de la sanción, lo cual se acerca a una lógica de derecho penal de adultos que está expresamente prohibido en la Convención sobre los Derechos del Niño y en la jurisprudencia constitucional. </w:t>
      </w:r>
    </w:p>
    <w:p w14:paraId="0A706B05" w14:textId="77777777" w:rsidR="004A4930" w:rsidRDefault="006E06B4">
      <w:pPr>
        <w:tabs>
          <w:tab w:val="left" w:pos="284"/>
        </w:tabs>
        <w:spacing w:before="240" w:after="240" w:line="240" w:lineRule="auto"/>
        <w:jc w:val="both"/>
        <w:rPr>
          <w:rFonts w:ascii="Plus Jakarta Sans" w:eastAsia="Plus Jakarta Sans" w:hAnsi="Plus Jakarta Sans" w:cs="Plus Jakarta Sans"/>
          <w:b/>
          <w:bCs/>
          <w:sz w:val="20"/>
          <w:szCs w:val="20"/>
        </w:rPr>
      </w:pPr>
      <w:r>
        <w:rPr>
          <w:rFonts w:ascii="Plus Jakarta Sans" w:eastAsia="Plus Jakarta Sans" w:hAnsi="Plus Jakarta Sans" w:cs="Plus Jakarta Sans"/>
          <w:b/>
          <w:bCs/>
          <w:sz w:val="20"/>
          <w:szCs w:val="20"/>
        </w:rPr>
        <w:t xml:space="preserve">8. El verdadero problema es la instrumentalización de adolescentes: </w:t>
      </w:r>
    </w:p>
    <w:p w14:paraId="15C66780"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El argumento central de la iniciativa merece un análisis serio, porque el fenómeno que describe es real. Su tesis es que la baja consecuencia sancionatoria que enfrenta el adolescente funciona como un incentivo perverso para utilizarlo, y que elevarla desincentivaría esta práctica.</w:t>
      </w:r>
    </w:p>
    <w:p w14:paraId="777D5451"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El razonamiento falla en un punto: quién toma la decisión. Quien instrumentaliza a un adolescente es un adulto que busca trasladar el riesgo penal a un tercero cuya consecuencia jurídica es menor que la suya. Ese cálculo no cambia por lo que le ocurra al menor, porque el determinador no soporta esa consecuencia. Endurecer la sanción del adolescente castiga al instrumento, no a quien lo utiliza.</w:t>
      </w:r>
    </w:p>
    <w:p w14:paraId="1E1897D2"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El efecto previsible es de sustitución. Si se elimina el diferencial punitivo entre los catorce y los diecisiete años, la demanda criminal se desplazará hacia los menores de catorce, a quienes el artículo 142 de la Ley 1098 de 2006 excluye de responsabilidad penal. La reforma no eliminaría la instrumentalización: la trasladaría a niños y niñas aún más vulnerables, a quienes el sistema penal no puede alcanzar.</w:t>
      </w:r>
    </w:p>
    <w:p w14:paraId="30851873"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La respuesta adecuada al problema que el proyecto identifica correctamente no está en el artículo 187 del Código de la Infancia y la Adolescencia. Está en la persecución del adulto que instrumentaliza, y el Congreso ya tomó esa decisión. La Ley 2590 de 2026, "</w:t>
      </w:r>
      <w:r>
        <w:rPr>
          <w:rFonts w:ascii="Plus Jakarta Sans" w:eastAsia="Plus Jakarta Sans" w:hAnsi="Plus Jakarta Sans" w:cs="Plus Jakarta Sans"/>
          <w:i/>
          <w:iCs/>
          <w:sz w:val="20"/>
          <w:szCs w:val="20"/>
        </w:rPr>
        <w:t xml:space="preserve">Por la niñez y </w:t>
      </w:r>
      <w:r>
        <w:rPr>
          <w:rFonts w:ascii="Plus Jakarta Sans" w:eastAsia="Plus Jakarta Sans" w:hAnsi="Plus Jakarta Sans" w:cs="Plus Jakarta Sans"/>
          <w:i/>
          <w:iCs/>
          <w:sz w:val="20"/>
          <w:szCs w:val="20"/>
        </w:rPr>
        <w:lastRenderedPageBreak/>
        <w:t xml:space="preserve">adolescencia libre", </w:t>
      </w:r>
      <w:r>
        <w:rPr>
          <w:rFonts w:ascii="Plus Jakarta Sans" w:eastAsia="Plus Jakarta Sans" w:hAnsi="Plus Jakarta Sans" w:cs="Plus Jakarta Sans"/>
          <w:sz w:val="20"/>
          <w:szCs w:val="20"/>
        </w:rPr>
        <w:t>vigente desde el 9 de julio de 2026, modificó el artículo 188D del Código Penal para sancionar con prisión de dieciocho a treinta años a quien induzca, facilite, utilice, constriña, promueva o instrumentalice a un menor de dieciocho años para cometer delitos. La misma norma aumenta la pena de una tercera parte a la mitad cuando la víctima es menor de catorce años o cuando la utilización la vincula con grupos armados o estructuras criminales.</w:t>
      </w:r>
    </w:p>
    <w:p w14:paraId="7D07C05A"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Dos consecuencias se derivan de ello. La primera es que el ordenamiento ya contiene una respuesta penal severa dirigida a quien toma la decisión de instrumentalizar, y que esa respuesta prevé expresamente el escenario de sustitución hacia los menores de catorce años. La segunda es que la Ley 2590 trata a los niños, niñas y adolescentes utilizados en la comisión de delitos como víctimas: dispone que su consentimiento no exonera de responsabilidad al determinador y ordena medidas de atención, reparación y restablecimiento de derechos a su favor. El Proyecto de Ley 029 de 2026 propone, semanas después, tratar a esos mismos adolescentes con el régimen penal de los adultos. Dos decisiones legislativas sobre el mismo fenómeno, con apenas días de diferencia, apuntarían en direcciones opuestas.</w:t>
      </w:r>
    </w:p>
    <w:p w14:paraId="2D6B2EF6" w14:textId="77777777" w:rsidR="004A4930" w:rsidRDefault="006E06B4">
      <w:pPr>
        <w:tabs>
          <w:tab w:val="left" w:pos="284"/>
        </w:tabs>
        <w:spacing w:before="240" w:after="240" w:line="240" w:lineRule="auto"/>
        <w:jc w:val="both"/>
        <w:rPr>
          <w:rFonts w:ascii="Times New Roman" w:eastAsia="Times New Roman" w:hAnsi="Times New Roman" w:cs="Times New Roman"/>
          <w:sz w:val="17"/>
          <w:szCs w:val="17"/>
        </w:rPr>
      </w:pPr>
      <w:r>
        <w:rPr>
          <w:rFonts w:ascii="Plus Jakarta Sans" w:eastAsia="Plus Jakarta Sans" w:hAnsi="Plus Jakarta Sans" w:cs="Plus Jakarta Sans"/>
          <w:sz w:val="20"/>
          <w:szCs w:val="20"/>
        </w:rPr>
        <w:t>Lo que corresponde es dejar que la reforma recién aprobada produzca efectos y evaluar sus resultados, para lo cual la propia ley creó el Observatorio Nacional de Reclutamiento y Uso de Menores, con informes semestrales al Congreso. Legislar en sentido contrario antes de conocer esos resultados carece de sustento técnico.</w:t>
      </w:r>
    </w:p>
    <w:p w14:paraId="03F56D5C" w14:textId="77777777" w:rsidR="004A4930" w:rsidRDefault="006E06B4">
      <w:pPr>
        <w:tabs>
          <w:tab w:val="left" w:pos="284"/>
        </w:tabs>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9. Procedimiento legislativo: </w:t>
      </w:r>
    </w:p>
    <w:p w14:paraId="79711BAA" w14:textId="77777777" w:rsidR="004A4930" w:rsidRDefault="004A4930">
      <w:pPr>
        <w:tabs>
          <w:tab w:val="left" w:pos="284"/>
        </w:tabs>
        <w:spacing w:line="240" w:lineRule="auto"/>
        <w:jc w:val="both"/>
        <w:rPr>
          <w:rFonts w:ascii="Plus Jakarta Sans" w:eastAsia="Plus Jakarta Sans" w:hAnsi="Plus Jakarta Sans" w:cs="Plus Jakarta Sans"/>
          <w:b/>
          <w:bCs/>
          <w:sz w:val="20"/>
          <w:szCs w:val="20"/>
          <w:highlight w:val="white"/>
        </w:rPr>
      </w:pPr>
    </w:p>
    <w:p w14:paraId="033F4046"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b/>
          <w:bCs/>
          <w:sz w:val="20"/>
          <w:szCs w:val="20"/>
        </w:rPr>
        <w:t>Ausencia del concepto del Consejo Superior de Política Criminal:</w:t>
      </w:r>
      <w:r>
        <w:rPr>
          <w:rFonts w:ascii="Plus Jakarta Sans" w:eastAsia="Plus Jakarta Sans" w:hAnsi="Plus Jakarta Sans" w:cs="Plus Jakarta Sans"/>
          <w:sz w:val="20"/>
          <w:szCs w:val="20"/>
        </w:rPr>
        <w:t xml:space="preserve"> El artículo 167 de la Ley 65 de 1993, modificado por el artículo 91 de la Ley 1709 de 2014, dispone que el Consejo Superior de Política Criminal emitirá concepto previo, de carácter no vinculante, sobre los proyectos de ley y de acto legislativo que en materia penal cursen en el Congreso de la República. Esta función se desarrolla en el Decreto 2055 de 2014, compilado en el Decreto 1069 de 2015.</w:t>
      </w:r>
    </w:p>
    <w:p w14:paraId="2C91661E"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No obra en el expediente legislativo constancia de que el texto radicado en julio de 2026 haya sido sometido a dicho concepto. La omisión resulta especialmente relevante si se considera que, en septiembre de 2025, el Consejo se pronunció de manera desfavorable frente a una iniciativa de contenido sustancialmente similar. Aunque el concepto no es vinculante, su finalidad es garantizar que el Legislador delibere con información técnica sobre el impacto de la medida en la política criminal del Estado. Prescindir de él, precisamente cuando existe un antecedente adverso, priva al debate de un insumo que la ley consideró necesario y debilita la racionalidad de la decisión legislativa.</w:t>
      </w:r>
    </w:p>
    <w:p w14:paraId="61075894" w14:textId="77777777" w:rsidR="004A4930" w:rsidRDefault="006E06B4">
      <w:pPr>
        <w:tabs>
          <w:tab w:val="left" w:pos="284"/>
        </w:tabs>
        <w:spacing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b/>
          <w:bCs/>
          <w:sz w:val="20"/>
          <w:szCs w:val="20"/>
        </w:rPr>
        <w:t xml:space="preserve">Ausencia del análisis de impacto fiscal: </w:t>
      </w:r>
      <w:r>
        <w:rPr>
          <w:rFonts w:ascii="Plus Jakarta Sans" w:eastAsia="Plus Jakarta Sans" w:hAnsi="Plus Jakarta Sans" w:cs="Plus Jakarta Sans"/>
          <w:sz w:val="20"/>
          <w:szCs w:val="20"/>
        </w:rPr>
        <w:t>El artículo 7 de la Ley 819 de 2003 exige que el impacto fiscal de todo proyecto de ley que ordene gasto u otorgue beneficios tributarios se haga explícito y sea compatible con el Marco Fiscal de Mediano Plazo. Para ello, la exposición de motivos y las ponencias deben incluir expresamente los costos fiscales de la iniciativa y la fuente de ingreso adicional con la que se financiarán.</w:t>
      </w:r>
    </w:p>
    <w:p w14:paraId="71DE01C6"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rPr>
      </w:pPr>
      <w:r>
        <w:rPr>
          <w:rFonts w:ascii="Plus Jakarta Sans" w:eastAsia="Plus Jakarta Sans" w:hAnsi="Plus Jakarta Sans" w:cs="Plus Jakarta Sans"/>
          <w:sz w:val="20"/>
          <w:szCs w:val="20"/>
        </w:rPr>
        <w:t xml:space="preserve">El proyecto no cumple con esta exigencia, debería estimar cuántos adolescentes ingresan hoy al SRPA por los delitos que pasarían a ser graves, qué proporción recibe hoy privación de la libertad y por cuánto tiempo, y cuántos cupos adicionales se necesitarán bajo las nuevas reglas, proyectado a diez años. Un mínimo de 5 años que reemplaza sanciones que hoy son más cortas o no privativas multiplica el número de cupos necesarios, aunque no aumenten los delitos. No contiene una sola cifra, con el costo de operación por cupo, los centros de atención especializada funcionan con recursos del ICBF, en su mayoría a través de operadores contratados; además cuanta infraestructura se requiere para el mismo. Por otra parte no menciona los costos del aparato judicial, trasladar casos al procedimiento de adultos y </w:t>
      </w:r>
      <w:r>
        <w:rPr>
          <w:rFonts w:ascii="Plus Jakarta Sans" w:eastAsia="Plus Jakarta Sans" w:hAnsi="Plus Jakarta Sans" w:cs="Plus Jakarta Sans"/>
          <w:sz w:val="20"/>
          <w:szCs w:val="20"/>
        </w:rPr>
        <w:lastRenderedPageBreak/>
        <w:t>endurecer las sanciones suele producir juicios más largos y más litigiosos, porque disminuyen los incentivos para acuerdos. Esto afecta a la Fiscalía, a la Rama Judicial, a la Defensoría del Pueblo, que provee la defensa pública, y a la Policía de Infancia y Adolescencia. También hay que considerar los costos de transición: capacitación, reorganización de competencias y el régimen aplicable a procesos en curso.</w:t>
      </w:r>
    </w:p>
    <w:p w14:paraId="6CF70B3A" w14:textId="77777777" w:rsidR="004A4930" w:rsidRDefault="006E06B4">
      <w:pPr>
        <w:tabs>
          <w:tab w:val="left" w:pos="284"/>
        </w:tabs>
        <w:spacing w:before="240" w:after="240"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rPr>
        <w:t xml:space="preserve">Reconocemos que la jurisprudencia constitucional ha sido flexible en el control de este requisito cuando la iniciativa es de origen parlamentario. A partir de la sentencia C-502 de 2007, la Corte ha entendido que la carga principal de la evaluación fiscal recae en el Ministerio de Hacienda y Crédito Público. </w:t>
      </w:r>
    </w:p>
    <w:p w14:paraId="5C76AB7A" w14:textId="77777777" w:rsidR="004A4930" w:rsidRDefault="006E06B4">
      <w:pPr>
        <w:numPr>
          <w:ilvl w:val="0"/>
          <w:numId w:val="4"/>
        </w:numPr>
        <w:spacing w:line="240" w:lineRule="auto"/>
        <w:ind w:left="708" w:hanging="425"/>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CONFLICTO DE INTERÉS</w:t>
      </w:r>
    </w:p>
    <w:p w14:paraId="4F9D4774" w14:textId="77777777" w:rsidR="004A4930" w:rsidRDefault="006E06B4">
      <w:pPr>
        <w:spacing w:line="240" w:lineRule="auto"/>
        <w:ind w:left="720"/>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5FCB08B4"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Con base en el artículo 3 de la Ley 2003 de 2019, según el cual el autor del proyecto y los ponentes presentan en el cuerpo de la exposición de motivos un acápite que describe las circunstancias o eventos que podrían generar un conflicto de interés para la discusión y votación del proyecto, de acuerdo con el artículo 286. Estos serán criterios guías para que los otros congresistas tomen una decisión en torno a si se encuentran en una causal de impedimento, no obstante, otras causales que el Congresista pueda encontrar.</w:t>
      </w:r>
    </w:p>
    <w:p w14:paraId="0B19B9E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4FCDA6E" w14:textId="77777777" w:rsidR="004A4930" w:rsidRDefault="006E06B4">
      <w:pPr>
        <w:spacing w:line="240" w:lineRule="auto"/>
        <w:ind w:left="283"/>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i/>
          <w:iCs/>
          <w:sz w:val="20"/>
          <w:szCs w:val="20"/>
          <w:highlight w:val="white"/>
        </w:rPr>
        <w:t>“</w:t>
      </w:r>
      <w:r>
        <w:rPr>
          <w:rFonts w:ascii="Plus Jakarta Sans" w:eastAsia="Plus Jakarta Sans" w:hAnsi="Plus Jakarta Sans" w:cs="Plus Jakarta Sans"/>
          <w:b/>
          <w:bCs/>
          <w:i/>
          <w:iCs/>
          <w:sz w:val="20"/>
          <w:szCs w:val="20"/>
          <w:highlight w:val="white"/>
        </w:rPr>
        <w:t>ARTÍCULO 286</w:t>
      </w:r>
      <w:r>
        <w:rPr>
          <w:rFonts w:ascii="Plus Jakarta Sans" w:eastAsia="Plus Jakarta Sans" w:hAnsi="Plus Jakarta Sans" w:cs="Plus Jakarta Sans"/>
          <w:i/>
          <w:iCs/>
          <w:sz w:val="20"/>
          <w:szCs w:val="20"/>
          <w:highlight w:val="white"/>
        </w:rPr>
        <w:t xml:space="preserve">. Régimen de conflicto de interés de los congresistas. Todos los congresistas deberán declarar los conflictos de intereses que pudieran surgir en el ejercicio de sus funciones. Se entiende como conflicto de interés una situación donde la discusión o votación de un proyecto de ley o acto legislativo o artículo, pueda resultar en un beneficio particular, actual y directo a favor del congresista. </w:t>
      </w:r>
    </w:p>
    <w:p w14:paraId="2354AB2B" w14:textId="77777777" w:rsidR="004A4930" w:rsidRDefault="006E06B4">
      <w:pPr>
        <w:spacing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i/>
          <w:iCs/>
          <w:sz w:val="20"/>
          <w:szCs w:val="20"/>
          <w:highlight w:val="white"/>
        </w:rPr>
        <w:t xml:space="preserve"> </w:t>
      </w:r>
    </w:p>
    <w:p w14:paraId="0237582F" w14:textId="77777777" w:rsidR="004A4930" w:rsidRDefault="006E06B4">
      <w:pPr>
        <w:numPr>
          <w:ilvl w:val="0"/>
          <w:numId w:val="5"/>
        </w:numPr>
        <w:spacing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i/>
          <w:iCs/>
          <w:sz w:val="20"/>
          <w:szCs w:val="20"/>
          <w:highlight w:val="white"/>
        </w:rPr>
        <w:t>Beneficio particular: aquel que otorga un privilegio o genera ganancias o crea indemnizaciones económicas o elimina obligaciones a favor del congresista de las que no gozan el resto de los ciudadanos. Modifique normas que afecten investigaciones penales, disciplinarias, fiscales o administrativas a las que se encuentre formalmente vinculado.</w:t>
      </w:r>
    </w:p>
    <w:p w14:paraId="203EA219" w14:textId="77777777" w:rsidR="004A4930" w:rsidRDefault="006E06B4">
      <w:pPr>
        <w:spacing w:line="240" w:lineRule="auto"/>
        <w:ind w:left="708" w:hanging="283"/>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b/>
          <w:bCs/>
          <w:i/>
          <w:iCs/>
          <w:sz w:val="20"/>
          <w:szCs w:val="20"/>
          <w:highlight w:val="white"/>
        </w:rPr>
        <w:t>b)</w:t>
      </w:r>
      <w:r>
        <w:rPr>
          <w:rFonts w:ascii="Plus Jakarta Sans" w:eastAsia="Plus Jakarta Sans" w:hAnsi="Plus Jakarta Sans" w:cs="Plus Jakarta Sans"/>
          <w:b/>
          <w:bCs/>
          <w:sz w:val="20"/>
          <w:szCs w:val="20"/>
          <w:highlight w:val="white"/>
        </w:rPr>
        <w:t xml:space="preserve">  </w:t>
      </w:r>
      <w:r>
        <w:rPr>
          <w:rFonts w:ascii="Plus Jakarta Sans" w:eastAsia="Plus Jakarta Sans" w:hAnsi="Plus Jakarta Sans" w:cs="Plus Jakarta Sans"/>
          <w:i/>
          <w:iCs/>
          <w:sz w:val="20"/>
          <w:szCs w:val="20"/>
          <w:highlight w:val="white"/>
        </w:rPr>
        <w:t xml:space="preserve">Beneficio actual: aquel que efectivamente se configura en las circunstancias presentes y existentes al momento en el que el congresista participa de la decisión </w:t>
      </w:r>
    </w:p>
    <w:p w14:paraId="1DDD5435" w14:textId="77777777" w:rsidR="004A4930" w:rsidRDefault="006E06B4">
      <w:pPr>
        <w:spacing w:line="240" w:lineRule="auto"/>
        <w:ind w:left="708" w:hanging="283"/>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b/>
          <w:bCs/>
          <w:i/>
          <w:iCs/>
          <w:sz w:val="20"/>
          <w:szCs w:val="20"/>
          <w:highlight w:val="white"/>
        </w:rPr>
        <w:t>c)</w:t>
      </w:r>
      <w:r>
        <w:rPr>
          <w:rFonts w:ascii="Plus Jakarta Sans" w:eastAsia="Plus Jakarta Sans" w:hAnsi="Plus Jakarta Sans" w:cs="Plus Jakarta Sans"/>
          <w:sz w:val="20"/>
          <w:szCs w:val="20"/>
          <w:highlight w:val="white"/>
        </w:rPr>
        <w:t xml:space="preserve">  </w:t>
      </w:r>
      <w:r>
        <w:rPr>
          <w:rFonts w:ascii="Plus Jakarta Sans" w:eastAsia="Plus Jakarta Sans" w:hAnsi="Plus Jakarta Sans" w:cs="Plus Jakarta Sans"/>
          <w:i/>
          <w:iCs/>
          <w:sz w:val="20"/>
          <w:szCs w:val="20"/>
          <w:highlight w:val="white"/>
        </w:rPr>
        <w:t>Beneficio directo: aquel que se produzca de forma específica respecto del congresista, de su cónyuge, compañero o compañera permanente, o parientes dentro del segundo grado de consanguinidad, segundo de afinidad o primero civil.” Atendiendo el anterior apartado legal, se considera que en el caso de este Proyecto de Acto Legislativo podría configurarse un eventual conflicto de interés en el caso de los congresistas que estén en curso de un proceso disciplinario actualmente. Sin embargo, esto no exime al congresista a hacer una valoración sobre su condición particular y eventuales conflictos de interés.</w:t>
      </w:r>
    </w:p>
    <w:p w14:paraId="4EF4256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074CE54D"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Los ponentes consideran que esta iniciativa no conlleva beneficios de tipo particular, actual y/o directo, en los términos de los literales a) y c) del artículo 286 de la Ley 5 de 1992. Sin perjuicio de lo anterior, en todo caso, los congresistas podrán manifestar por escrito otras razones que consideren como causales de impedimento. </w:t>
      </w:r>
    </w:p>
    <w:p w14:paraId="2C056383"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65C75654" w14:textId="77777777" w:rsidR="004A4930" w:rsidRDefault="006E06B4">
      <w:pPr>
        <w:numPr>
          <w:ilvl w:val="0"/>
          <w:numId w:val="4"/>
        </w:numPr>
        <w:spacing w:line="240" w:lineRule="auto"/>
        <w:ind w:left="566" w:hanging="283"/>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 xml:space="preserve"> PROPOSICIÓN</w:t>
      </w:r>
    </w:p>
    <w:p w14:paraId="2B47C822"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BD57E3D" w14:textId="77777777" w:rsidR="004A4930" w:rsidRDefault="006E06B4">
      <w:pPr>
        <w:spacing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sz w:val="20"/>
          <w:szCs w:val="20"/>
          <w:highlight w:val="white"/>
        </w:rPr>
        <w:t xml:space="preserve">Por las anteriores consideraciones presentamos a la Honorable Comisión Primera Constitucional de la Cámara de Representantes la presente ponencia NEGATIVA para Primer Debate del Proyecto de Ley No. 029 de 2026 </w:t>
      </w:r>
      <w:r>
        <w:rPr>
          <w:rFonts w:ascii="Plus Jakarta Sans" w:eastAsia="Plus Jakarta Sans" w:hAnsi="Plus Jakarta Sans" w:cs="Plus Jakarta Sans"/>
          <w:i/>
          <w:iCs/>
          <w:sz w:val="20"/>
          <w:szCs w:val="20"/>
          <w:highlight w:val="white"/>
        </w:rPr>
        <w:t xml:space="preserve">“Por medio de la cual se reforma el Código de Infancia y Adolescencia, para menores de edad entre los (14) y diecisiete (17) años que cometan delitos graves, y se dictan otras disposiciones”. </w:t>
      </w:r>
    </w:p>
    <w:p w14:paraId="4858EBB6" w14:textId="77777777" w:rsidR="004A4930" w:rsidRDefault="004A4930">
      <w:pPr>
        <w:spacing w:line="240" w:lineRule="auto"/>
        <w:jc w:val="both"/>
        <w:rPr>
          <w:rFonts w:ascii="Plus Jakarta Sans" w:eastAsia="Plus Jakarta Sans" w:hAnsi="Plus Jakarta Sans" w:cs="Plus Jakarta Sans"/>
          <w:sz w:val="20"/>
          <w:szCs w:val="20"/>
          <w:highlight w:val="white"/>
        </w:rPr>
      </w:pPr>
    </w:p>
    <w:p w14:paraId="16578135"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Cordialmente;</w:t>
      </w:r>
    </w:p>
    <w:p w14:paraId="36048ACC" w14:textId="77777777" w:rsidR="004A4930" w:rsidRDefault="004A4930">
      <w:pPr>
        <w:spacing w:line="240" w:lineRule="auto"/>
        <w:jc w:val="both"/>
        <w:rPr>
          <w:rFonts w:ascii="Plus Jakarta Sans" w:eastAsia="Plus Jakarta Sans" w:hAnsi="Plus Jakarta Sans" w:cs="Plus Jakarta Sans"/>
          <w:i/>
          <w:iCs/>
          <w:sz w:val="20"/>
          <w:szCs w:val="20"/>
          <w:highlight w:val="white"/>
        </w:rPr>
      </w:pPr>
    </w:p>
    <w:tbl>
      <w:tblPr>
        <w:tblStyle w:val="a8"/>
        <w:tblW w:w="882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455"/>
        <w:gridCol w:w="4365"/>
      </w:tblGrid>
      <w:tr w:rsidR="004A4930" w14:paraId="4F2CC2F6" w14:textId="77777777">
        <w:trPr>
          <w:trHeight w:val="915"/>
        </w:trPr>
        <w:tc>
          <w:tcPr>
            <w:tcW w:w="44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74D84F4" w14:textId="7EF37621"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23F28478" w14:textId="77777777" w:rsidR="004A4930" w:rsidRDefault="004A4930">
            <w:pPr>
              <w:spacing w:line="240" w:lineRule="auto"/>
              <w:ind w:right="40"/>
              <w:rPr>
                <w:rFonts w:ascii="Plus Jakarta Sans" w:eastAsia="Plus Jakarta Sans" w:hAnsi="Plus Jakarta Sans" w:cs="Plus Jakarta Sans"/>
                <w:b/>
                <w:bCs/>
                <w:sz w:val="20"/>
                <w:szCs w:val="20"/>
                <w:highlight w:val="white"/>
              </w:rPr>
            </w:pPr>
          </w:p>
          <w:p w14:paraId="29D0C4CA" w14:textId="5D07DB94"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117FA5E5" w14:textId="61E52DFD" w:rsidR="00544234" w:rsidRDefault="00544234">
            <w:pPr>
              <w:spacing w:line="240" w:lineRule="auto"/>
              <w:ind w:right="40"/>
              <w:jc w:val="center"/>
              <w:rPr>
                <w:rFonts w:ascii="Plus Jakarta Sans" w:eastAsia="Plus Jakarta Sans" w:hAnsi="Plus Jakarta Sans" w:cs="Plus Jakarta Sans"/>
                <w:b/>
                <w:bCs/>
                <w:sz w:val="20"/>
                <w:szCs w:val="20"/>
                <w:highlight w:val="white"/>
              </w:rPr>
            </w:pPr>
          </w:p>
          <w:p w14:paraId="30223F84" w14:textId="77777777" w:rsidR="00544234" w:rsidRDefault="00544234">
            <w:pPr>
              <w:spacing w:line="240" w:lineRule="auto"/>
              <w:ind w:right="40"/>
              <w:jc w:val="center"/>
              <w:rPr>
                <w:rFonts w:ascii="Plus Jakarta Sans" w:eastAsia="Plus Jakarta Sans" w:hAnsi="Plus Jakarta Sans" w:cs="Plus Jakarta Sans"/>
                <w:b/>
                <w:bCs/>
                <w:sz w:val="20"/>
                <w:szCs w:val="20"/>
                <w:highlight w:val="white"/>
              </w:rPr>
            </w:pPr>
          </w:p>
          <w:p w14:paraId="491A4104" w14:textId="77777777" w:rsidR="004A4930" w:rsidRDefault="006E06B4">
            <w:pPr>
              <w:spacing w:line="240" w:lineRule="auto"/>
              <w:ind w:right="40"/>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DANIEL MAURICIO MONROY HERNÁNDEZ</w:t>
            </w:r>
          </w:p>
          <w:p w14:paraId="0F3D02CF"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Representante a la Cámara por Bogotá</w:t>
            </w:r>
          </w:p>
          <w:p w14:paraId="32A17633"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Pacto Histórico</w:t>
            </w:r>
          </w:p>
          <w:p w14:paraId="77404270"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tc>
        <w:tc>
          <w:tcPr>
            <w:tcW w:w="4365" w:type="dxa"/>
            <w:tcBorders>
              <w:top w:val="single" w:sz="8" w:space="0" w:color="000000"/>
              <w:bottom w:val="single" w:sz="8" w:space="0" w:color="000000"/>
              <w:right w:val="single" w:sz="8" w:space="0" w:color="000000"/>
            </w:tcBorders>
            <w:tcMar>
              <w:top w:w="0" w:type="dxa"/>
              <w:left w:w="100" w:type="dxa"/>
              <w:bottom w:w="0" w:type="dxa"/>
              <w:right w:w="100" w:type="dxa"/>
            </w:tcMar>
          </w:tcPr>
          <w:p w14:paraId="7741C090" w14:textId="77777777" w:rsidR="004A4930" w:rsidRDefault="006E06B4">
            <w:pPr>
              <w:shd w:val="clear" w:color="auto" w:fill="FFFFFF"/>
              <w:spacing w:line="240" w:lineRule="auto"/>
              <w:jc w:val="both"/>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sz w:val="20"/>
                <w:szCs w:val="20"/>
                <w:highlight w:val="white"/>
              </w:rPr>
              <w:t xml:space="preserve"> </w:t>
            </w:r>
          </w:p>
          <w:p w14:paraId="30855A83" w14:textId="2CEB876B"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62B6CCE4" w14:textId="19DF2970" w:rsidR="00544234" w:rsidRDefault="00544234">
            <w:pPr>
              <w:spacing w:line="240" w:lineRule="auto"/>
              <w:ind w:right="40"/>
              <w:jc w:val="center"/>
              <w:rPr>
                <w:rFonts w:ascii="Plus Jakarta Sans" w:eastAsia="Plus Jakarta Sans" w:hAnsi="Plus Jakarta Sans" w:cs="Plus Jakarta Sans"/>
                <w:b/>
                <w:bCs/>
                <w:sz w:val="20"/>
                <w:szCs w:val="20"/>
                <w:highlight w:val="white"/>
              </w:rPr>
            </w:pPr>
          </w:p>
          <w:p w14:paraId="214562AA" w14:textId="77777777" w:rsidR="00544234" w:rsidRDefault="00544234">
            <w:pPr>
              <w:spacing w:line="240" w:lineRule="auto"/>
              <w:ind w:right="40"/>
              <w:jc w:val="center"/>
              <w:rPr>
                <w:rFonts w:ascii="Plus Jakarta Sans" w:eastAsia="Plus Jakarta Sans" w:hAnsi="Plus Jakarta Sans" w:cs="Plus Jakarta Sans"/>
                <w:b/>
                <w:bCs/>
                <w:sz w:val="20"/>
                <w:szCs w:val="20"/>
                <w:highlight w:val="white"/>
              </w:rPr>
            </w:pPr>
          </w:p>
          <w:p w14:paraId="06EE135C"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766953A3" w14:textId="77777777" w:rsidR="004A4930" w:rsidRDefault="006E06B4">
            <w:pPr>
              <w:spacing w:line="240" w:lineRule="auto"/>
              <w:ind w:right="40"/>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NIXON PERDOMO JURAGARO</w:t>
            </w:r>
          </w:p>
          <w:p w14:paraId="41BA7C4A"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Representante a la Cámara </w:t>
            </w:r>
          </w:p>
          <w:p w14:paraId="2A3F0843" w14:textId="77777777" w:rsidR="004A4930" w:rsidRDefault="006E06B4">
            <w:pPr>
              <w:spacing w:line="240" w:lineRule="auto"/>
              <w:ind w:right="40"/>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CITREP 5 Caquetá - Huila</w:t>
            </w:r>
          </w:p>
        </w:tc>
      </w:tr>
      <w:tr w:rsidR="004A4930" w14:paraId="2EBA54F1" w14:textId="77777777">
        <w:trPr>
          <w:trHeight w:val="915"/>
        </w:trPr>
        <w:tc>
          <w:tcPr>
            <w:tcW w:w="44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340424B" w14:textId="77777777" w:rsidR="004A4930" w:rsidRDefault="004A4930">
            <w:pPr>
              <w:spacing w:line="240" w:lineRule="auto"/>
              <w:ind w:right="40"/>
              <w:jc w:val="center"/>
              <w:rPr>
                <w:rFonts w:ascii="Plus Jakarta Sans" w:eastAsia="Plus Jakarta Sans" w:hAnsi="Plus Jakarta Sans" w:cs="Plus Jakarta Sans"/>
                <w:b/>
                <w:bCs/>
                <w:sz w:val="20"/>
                <w:szCs w:val="20"/>
                <w:highlight w:val="white"/>
              </w:rPr>
            </w:pPr>
          </w:p>
          <w:p w14:paraId="533BF270" w14:textId="77777777"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p w14:paraId="3DD09F90" w14:textId="7DE6D757"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p w14:paraId="1BE01EAB" w14:textId="0005358E" w:rsidR="00544234" w:rsidRDefault="00544234">
            <w:pPr>
              <w:shd w:val="clear" w:color="auto" w:fill="FFFFFF"/>
              <w:spacing w:line="240" w:lineRule="auto"/>
              <w:jc w:val="both"/>
              <w:rPr>
                <w:rFonts w:ascii="Plus Jakarta Sans" w:eastAsia="Plus Jakarta Sans" w:hAnsi="Plus Jakarta Sans" w:cs="Plus Jakarta Sans"/>
                <w:sz w:val="20"/>
                <w:szCs w:val="20"/>
                <w:highlight w:val="white"/>
              </w:rPr>
            </w:pPr>
          </w:p>
          <w:p w14:paraId="62E43B3C" w14:textId="77777777" w:rsidR="00544234" w:rsidRDefault="00544234">
            <w:pPr>
              <w:shd w:val="clear" w:color="auto" w:fill="FFFFFF"/>
              <w:spacing w:line="240" w:lineRule="auto"/>
              <w:jc w:val="both"/>
              <w:rPr>
                <w:rFonts w:ascii="Plus Jakarta Sans" w:eastAsia="Plus Jakarta Sans" w:hAnsi="Plus Jakarta Sans" w:cs="Plus Jakarta Sans"/>
                <w:sz w:val="20"/>
                <w:szCs w:val="20"/>
                <w:highlight w:val="white"/>
              </w:rPr>
            </w:pPr>
          </w:p>
          <w:p w14:paraId="07861EDF" w14:textId="77777777"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p w14:paraId="3F5B1665" w14:textId="77777777" w:rsidR="004A4930" w:rsidRDefault="006E06B4">
            <w:pPr>
              <w:spacing w:line="240" w:lineRule="auto"/>
              <w:jc w:val="center"/>
              <w:rPr>
                <w:rFonts w:ascii="Plus Jakarta Sans" w:eastAsia="Plus Jakarta Sans" w:hAnsi="Plus Jakarta Sans" w:cs="Plus Jakarta Sans"/>
                <w:b/>
                <w:bCs/>
                <w:sz w:val="20"/>
                <w:szCs w:val="20"/>
                <w:highlight w:val="white"/>
              </w:rPr>
            </w:pPr>
            <w:r>
              <w:rPr>
                <w:rFonts w:ascii="Plus Jakarta Sans" w:eastAsia="Plus Jakarta Sans" w:hAnsi="Plus Jakarta Sans" w:cs="Plus Jakarta Sans"/>
                <w:b/>
                <w:bCs/>
                <w:sz w:val="20"/>
                <w:szCs w:val="20"/>
                <w:highlight w:val="white"/>
              </w:rPr>
              <w:t>ALEJANDRA GABRIELA ABÁSOLO GÓMEZ</w:t>
            </w:r>
          </w:p>
          <w:p w14:paraId="2477022D"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Representante a la Cámara por Nariño</w:t>
            </w:r>
          </w:p>
          <w:p w14:paraId="049B37E4" w14:textId="77777777" w:rsidR="004A4930" w:rsidRDefault="006E06B4">
            <w:pPr>
              <w:spacing w:line="240" w:lineRule="auto"/>
              <w:jc w:val="center"/>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Alianza Verde</w:t>
            </w:r>
          </w:p>
        </w:tc>
        <w:tc>
          <w:tcPr>
            <w:tcW w:w="4365" w:type="dxa"/>
            <w:tcBorders>
              <w:top w:val="single" w:sz="8" w:space="0" w:color="000000"/>
              <w:bottom w:val="single" w:sz="8" w:space="0" w:color="000000"/>
              <w:right w:val="single" w:sz="8" w:space="0" w:color="000000"/>
            </w:tcBorders>
            <w:tcMar>
              <w:top w:w="0" w:type="dxa"/>
              <w:left w:w="100" w:type="dxa"/>
              <w:bottom w:w="0" w:type="dxa"/>
              <w:right w:w="100" w:type="dxa"/>
            </w:tcMar>
          </w:tcPr>
          <w:p w14:paraId="51BBDA81" w14:textId="394DF66D" w:rsidR="004A4930" w:rsidRDefault="004A4930">
            <w:pPr>
              <w:shd w:val="clear" w:color="auto" w:fill="FFFFFF"/>
              <w:spacing w:line="240" w:lineRule="auto"/>
              <w:jc w:val="both"/>
              <w:rPr>
                <w:rFonts w:ascii="Plus Jakarta Sans" w:eastAsia="Plus Jakarta Sans" w:hAnsi="Plus Jakarta Sans" w:cs="Plus Jakarta Sans"/>
                <w:sz w:val="20"/>
                <w:szCs w:val="20"/>
                <w:highlight w:val="white"/>
              </w:rPr>
            </w:pPr>
          </w:p>
        </w:tc>
      </w:tr>
    </w:tbl>
    <w:p w14:paraId="3D595F5E"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i/>
          <w:iCs/>
          <w:sz w:val="20"/>
          <w:szCs w:val="20"/>
          <w:highlight w:val="white"/>
        </w:rPr>
        <w:t xml:space="preserve"> </w:t>
      </w:r>
      <w:r>
        <w:rPr>
          <w:rFonts w:ascii="Plus Jakarta Sans" w:eastAsia="Plus Jakarta Sans" w:hAnsi="Plus Jakarta Sans" w:cs="Plus Jakarta Sans"/>
          <w:sz w:val="20"/>
          <w:szCs w:val="20"/>
          <w:highlight w:val="white"/>
        </w:rPr>
        <w:t xml:space="preserve"> </w:t>
      </w:r>
    </w:p>
    <w:p w14:paraId="28AC6D5F"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79EC8F47"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034198B9" w14:textId="77777777" w:rsidR="004A4930" w:rsidRDefault="006E06B4">
      <w:pPr>
        <w:spacing w:line="240" w:lineRule="auto"/>
        <w:jc w:val="both"/>
        <w:rPr>
          <w:rFonts w:ascii="Plus Jakarta Sans" w:eastAsia="Plus Jakarta Sans" w:hAnsi="Plus Jakarta Sans" w:cs="Plus Jakarta Sans"/>
          <w:sz w:val="20"/>
          <w:szCs w:val="20"/>
          <w:highlight w:val="white"/>
        </w:rPr>
      </w:pPr>
      <w:r>
        <w:rPr>
          <w:rFonts w:ascii="Plus Jakarta Sans" w:eastAsia="Plus Jakarta Sans" w:hAnsi="Plus Jakarta Sans" w:cs="Plus Jakarta Sans"/>
          <w:sz w:val="20"/>
          <w:szCs w:val="20"/>
          <w:highlight w:val="white"/>
        </w:rPr>
        <w:t xml:space="preserve"> </w:t>
      </w:r>
    </w:p>
    <w:p w14:paraId="068CA37D" w14:textId="77777777" w:rsidR="004A4930" w:rsidRDefault="006E06B4">
      <w:pPr>
        <w:spacing w:line="240" w:lineRule="auto"/>
        <w:jc w:val="both"/>
        <w:rPr>
          <w:rFonts w:ascii="Plus Jakarta Sans" w:eastAsia="Plus Jakarta Sans" w:hAnsi="Plus Jakarta Sans" w:cs="Plus Jakarta Sans"/>
          <w:i/>
          <w:iCs/>
          <w:sz w:val="20"/>
          <w:szCs w:val="20"/>
          <w:highlight w:val="white"/>
        </w:rPr>
      </w:pPr>
      <w:r>
        <w:rPr>
          <w:rFonts w:ascii="Plus Jakarta Sans" w:eastAsia="Plus Jakarta Sans" w:hAnsi="Plus Jakarta Sans" w:cs="Plus Jakarta Sans"/>
          <w:sz w:val="20"/>
          <w:szCs w:val="20"/>
          <w:highlight w:val="white"/>
        </w:rPr>
        <w:t xml:space="preserve"> </w:t>
      </w:r>
      <w:r>
        <w:rPr>
          <w:rFonts w:ascii="Plus Jakarta Sans" w:eastAsia="Plus Jakarta Sans" w:hAnsi="Plus Jakarta Sans" w:cs="Plus Jakarta Sans"/>
          <w:i/>
          <w:iCs/>
          <w:sz w:val="20"/>
          <w:szCs w:val="20"/>
          <w:highlight w:val="white"/>
        </w:rPr>
        <w:t xml:space="preserve"> </w:t>
      </w:r>
    </w:p>
    <w:p w14:paraId="5C68A151" w14:textId="77777777" w:rsidR="004A4930" w:rsidRDefault="004A4930">
      <w:pPr>
        <w:spacing w:line="240" w:lineRule="auto"/>
        <w:jc w:val="both"/>
        <w:rPr>
          <w:rFonts w:ascii="Plus Jakarta Sans" w:eastAsia="Plus Jakarta Sans" w:hAnsi="Plus Jakarta Sans" w:cs="Plus Jakarta Sans"/>
          <w:i/>
          <w:iCs/>
          <w:sz w:val="20"/>
          <w:szCs w:val="20"/>
          <w:highlight w:val="white"/>
        </w:rPr>
      </w:pPr>
    </w:p>
    <w:sectPr w:rsidR="004A4930">
      <w:headerReference w:type="default" r:id="rId8"/>
      <w:footerReference w:type="default" r:id="rId9"/>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11D56" w14:textId="77777777" w:rsidR="00615077" w:rsidRDefault="00615077">
      <w:pPr>
        <w:spacing w:line="240" w:lineRule="auto"/>
      </w:pPr>
      <w:r>
        <w:separator/>
      </w:r>
    </w:p>
  </w:endnote>
  <w:endnote w:type="continuationSeparator" w:id="0">
    <w:p w14:paraId="326205F3" w14:textId="77777777" w:rsidR="00615077" w:rsidRDefault="006150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us Jakarta Sans">
    <w:charset w:val="00"/>
    <w:family w:val="auto"/>
    <w:pitch w:val="default"/>
    <w:embedRegular r:id="rId1" w:fontKey="{62684F14-DF3E-4410-8709-D9DC37CCDC12}"/>
    <w:embedBold r:id="rId2" w:fontKey="{F4816F25-006B-4075-8BCF-7184470378A9}"/>
    <w:embedItalic r:id="rId3" w:fontKey="{3F175AB8-F195-4145-A055-54302ABBC7CB}"/>
    <w:embedBoldItalic r:id="rId4" w:fontKey="{165E23B2-0D48-4658-B79F-3E1493641ABF}"/>
  </w:font>
  <w:font w:name="Plus Jakarta Sans ExtraBold">
    <w:charset w:val="00"/>
    <w:family w:val="auto"/>
    <w:pitch w:val="default"/>
    <w:embedRegular r:id="rId5" w:fontKey="{BCC2BA2B-8772-4B27-8AD5-6B921093939F}"/>
  </w:font>
  <w:font w:name="Calibri">
    <w:panose1 w:val="020F0502020204030204"/>
    <w:charset w:val="00"/>
    <w:family w:val="swiss"/>
    <w:pitch w:val="variable"/>
    <w:sig w:usb0="E4002EFF" w:usb1="C200247B" w:usb2="00000009" w:usb3="00000000" w:csb0="000001FF" w:csb1="00000000"/>
    <w:embedRegular r:id="rId6" w:fontKey="{6CB70A82-FDC8-4727-8202-9F9FC167A5EB}"/>
  </w:font>
  <w:font w:name="Cambria">
    <w:panose1 w:val="02040503050406030204"/>
    <w:charset w:val="00"/>
    <w:family w:val="roman"/>
    <w:pitch w:val="variable"/>
    <w:sig w:usb0="E00006FF" w:usb1="420024FF" w:usb2="02000000" w:usb3="00000000" w:csb0="0000019F" w:csb1="00000000"/>
    <w:embedRegular r:id="rId7" w:fontKey="{8B22CBA9-615B-495B-9330-A50811EC7E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8FE5E" w14:textId="77777777" w:rsidR="004A4930" w:rsidRDefault="006E06B4">
    <w:pPr>
      <w:tabs>
        <w:tab w:val="center" w:pos="4419"/>
        <w:tab w:val="right" w:pos="8838"/>
      </w:tabs>
      <w:spacing w:line="240" w:lineRule="auto"/>
      <w:jc w:val="center"/>
      <w:rPr>
        <w:rFonts w:ascii="Plus Jakarta Sans" w:eastAsia="Plus Jakarta Sans" w:hAnsi="Plus Jakarta Sans" w:cs="Plus Jakarta Sans"/>
        <w:sz w:val="20"/>
        <w:szCs w:val="20"/>
        <w:highlight w:val="white"/>
      </w:rPr>
    </w:pPr>
    <w:r>
      <w:rPr>
        <w:rFonts w:ascii="Plus Jakarta Sans ExtraBold" w:eastAsia="Plus Jakarta Sans ExtraBold" w:hAnsi="Plus Jakarta Sans ExtraBold" w:cs="Plus Jakarta Sans ExtraBold"/>
        <w:noProof/>
        <w:sz w:val="24"/>
        <w:szCs w:val="24"/>
      </w:rPr>
      <w:drawing>
        <wp:inline distT="0" distB="0" distL="0" distR="0" wp14:anchorId="6BD0D3BE" wp14:editId="45581463">
          <wp:extent cx="3511388" cy="19698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511388" cy="196980"/>
                  </a:xfrm>
                  <a:prstGeom prst="rect">
                    <a:avLst/>
                  </a:prstGeom>
                  <a:ln/>
                </pic:spPr>
              </pic:pic>
            </a:graphicData>
          </a:graphic>
        </wp:inline>
      </w:drawing>
    </w:r>
  </w:p>
  <w:p w14:paraId="17C327C1" w14:textId="77777777" w:rsidR="004A4930" w:rsidRDefault="006E06B4">
    <w:pPr>
      <w:tabs>
        <w:tab w:val="center" w:pos="4419"/>
        <w:tab w:val="right" w:pos="8838"/>
      </w:tabs>
      <w:spacing w:line="240" w:lineRule="auto"/>
      <w:jc w:val="right"/>
      <w:rPr>
        <w:rFonts w:ascii="Plus Jakarta Sans" w:eastAsia="Plus Jakarta Sans" w:hAnsi="Plus Jakarta Sans" w:cs="Plus Jakarta Sans"/>
        <w:sz w:val="16"/>
        <w:szCs w:val="16"/>
        <w:highlight w:val="white"/>
      </w:rPr>
    </w:pPr>
    <w:r>
      <w:rPr>
        <w:rFonts w:ascii="Plus Jakarta Sans" w:eastAsia="Plus Jakarta Sans" w:hAnsi="Plus Jakarta Sans" w:cs="Plus Jakarta Sans"/>
        <w:sz w:val="16"/>
        <w:szCs w:val="16"/>
        <w:highlight w:val="white"/>
      </w:rPr>
      <w:fldChar w:fldCharType="begin"/>
    </w:r>
    <w:r>
      <w:rPr>
        <w:rFonts w:ascii="Plus Jakarta Sans" w:eastAsia="Plus Jakarta Sans" w:hAnsi="Plus Jakarta Sans" w:cs="Plus Jakarta Sans"/>
        <w:sz w:val="16"/>
        <w:szCs w:val="16"/>
        <w:highlight w:val="white"/>
      </w:rPr>
      <w:instrText>PAGE</w:instrText>
    </w:r>
    <w:r>
      <w:rPr>
        <w:rFonts w:ascii="Plus Jakarta Sans" w:eastAsia="Plus Jakarta Sans" w:hAnsi="Plus Jakarta Sans" w:cs="Plus Jakarta Sans"/>
        <w:sz w:val="16"/>
        <w:szCs w:val="16"/>
        <w:highlight w:val="white"/>
      </w:rPr>
      <w:fldChar w:fldCharType="separate"/>
    </w:r>
    <w:r w:rsidR="00544234">
      <w:rPr>
        <w:rFonts w:ascii="Plus Jakarta Sans" w:eastAsia="Plus Jakarta Sans" w:hAnsi="Plus Jakarta Sans" w:cs="Plus Jakarta Sans"/>
        <w:noProof/>
        <w:sz w:val="16"/>
        <w:szCs w:val="16"/>
        <w:highlight w:val="white"/>
      </w:rPr>
      <w:t>1</w:t>
    </w:r>
    <w:r>
      <w:rPr>
        <w:rFonts w:ascii="Plus Jakarta Sans" w:eastAsia="Plus Jakarta Sans" w:hAnsi="Plus Jakarta Sans" w:cs="Plus Jakarta Sans"/>
        <w:sz w:val="16"/>
        <w:szCs w:val="16"/>
        <w:highlight w:val="whit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94ABF" w14:textId="77777777" w:rsidR="00615077" w:rsidRDefault="00615077">
      <w:pPr>
        <w:spacing w:line="240" w:lineRule="auto"/>
      </w:pPr>
      <w:r>
        <w:separator/>
      </w:r>
    </w:p>
  </w:footnote>
  <w:footnote w:type="continuationSeparator" w:id="0">
    <w:p w14:paraId="1C3DF30E" w14:textId="77777777" w:rsidR="00615077" w:rsidRDefault="00615077">
      <w:pPr>
        <w:spacing w:line="240" w:lineRule="auto"/>
      </w:pPr>
      <w:r>
        <w:continuationSeparator/>
      </w:r>
    </w:p>
  </w:footnote>
  <w:footnote w:id="1">
    <w:p w14:paraId="5F12F740"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Corte Constitucional, Sentencia C-740 de 2008</w:t>
      </w:r>
    </w:p>
  </w:footnote>
  <w:footnote w:id="2">
    <w:p w14:paraId="75A4318E"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Corte Constitucional, Sentencia C-839 de 2001 (9 de agosto de 2001), expediente D-3387, M.P. Marco Gerardo Monroy Cabra.</w:t>
      </w:r>
    </w:p>
  </w:footnote>
  <w:footnote w:id="3">
    <w:p w14:paraId="370E1696"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Corte Constitucional, Sentencia C-684 de 2009 (30 de septiembre de 2009), expediente D-7681, M.P. Humberto Antonio Sierra Porto.</w:t>
      </w:r>
    </w:p>
  </w:footnote>
  <w:footnote w:id="4">
    <w:p w14:paraId="32855807"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Ley 1098 de 2006, artículo 161.</w:t>
      </w:r>
    </w:p>
  </w:footnote>
  <w:footnote w:id="5">
    <w:p w14:paraId="408ECEB9" w14:textId="77777777" w:rsidR="004A4930" w:rsidRDefault="006E06B4">
      <w:pPr>
        <w:spacing w:line="240" w:lineRule="auto"/>
        <w:jc w:val="both"/>
        <w:rPr>
          <w:sz w:val="18"/>
          <w:szCs w:val="18"/>
        </w:rPr>
      </w:pPr>
      <w:r>
        <w:rPr>
          <w:vertAlign w:val="superscript"/>
        </w:rPr>
        <w:footnoteRef/>
      </w:r>
      <w:r>
        <w:rPr>
          <w:sz w:val="20"/>
          <w:szCs w:val="20"/>
        </w:rPr>
        <w:t xml:space="preserve"> </w:t>
      </w:r>
      <w:r>
        <w:rPr>
          <w:rFonts w:ascii="Plus Jakarta Sans" w:eastAsia="Plus Jakarta Sans" w:hAnsi="Plus Jakarta Sans" w:cs="Plus Jakarta Sans"/>
          <w:sz w:val="16"/>
          <w:szCs w:val="16"/>
        </w:rPr>
        <w:t>Ley 1098 de 2006, artículo 178.</w:t>
      </w:r>
    </w:p>
  </w:footnote>
  <w:footnote w:id="6">
    <w:p w14:paraId="419D624E"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Ley 1098 de 2006, artículo 179, numerales 2 y 3.</w:t>
      </w:r>
    </w:p>
  </w:footnote>
  <w:footnote w:id="7">
    <w:p w14:paraId="4DD10EAC"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rFonts w:ascii="Plus Jakarta Sans" w:eastAsia="Plus Jakarta Sans" w:hAnsi="Plus Jakarta Sans" w:cs="Plus Jakarta Sans"/>
          <w:sz w:val="16"/>
          <w:szCs w:val="16"/>
        </w:rPr>
        <w:t xml:space="preserve"> Corte Constitucional, Sentencia C-684 de 2009 (30 de septiembre de 2009), expediente D-7681, M.P. Humberto Antonio Sierra Porto. Reseña del artículo 140 de la Ley 1098 de 2006.</w:t>
      </w:r>
    </w:p>
  </w:footnote>
  <w:footnote w:id="8">
    <w:p w14:paraId="682CA922"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rFonts w:ascii="Plus Jakarta Sans" w:eastAsia="Plus Jakarta Sans" w:hAnsi="Plus Jakarta Sans" w:cs="Plus Jakarta Sans"/>
          <w:sz w:val="16"/>
          <w:szCs w:val="16"/>
        </w:rPr>
        <w:t xml:space="preserve"> Ley 1098 de 2006, artículo 187, modificado por el artículo 90 de la Ley 1453 de 2011.</w:t>
      </w:r>
    </w:p>
  </w:footnote>
  <w:footnote w:id="9">
    <w:p w14:paraId="14617697"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rFonts w:ascii="Plus Jakarta Sans" w:eastAsia="Plus Jakarta Sans" w:hAnsi="Plus Jakarta Sans" w:cs="Plus Jakarta Sans"/>
          <w:sz w:val="16"/>
          <w:szCs w:val="16"/>
        </w:rPr>
        <w:t xml:space="preserve"> Corte Constitucional, Sentencia C-684 de 2009 (30 de septiembre de 2009), expediente D-7681, M.P. Humberto Antonio Sierra Porto. Referencia a la Regla 6.1 de las Reglas Mínimas de las Naciones Unidas para la administración de la justicia de menores (Reglas de Beijing).</w:t>
      </w:r>
    </w:p>
  </w:footnote>
  <w:footnote w:id="10">
    <w:p w14:paraId="7A0F2E48"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Convención sobre los Derechos del Niño, artículos 37 b) y 40.4, aprobada mediante la Ley 12 de 1991.</w:t>
      </w:r>
    </w:p>
  </w:footnote>
  <w:footnote w:id="11">
    <w:p w14:paraId="336F7F89"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Corte Constitucional, Sentencia C-839 de 2001 (9 de agosto de 2001), expediente D-3387, M.P. Marco Gerardo Monroy Cabra.</w:t>
      </w:r>
    </w:p>
  </w:footnote>
  <w:footnote w:id="12">
    <w:p w14:paraId="577C7C84"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Corte Constitucional, Sentencia C-684 de 2009 (30 de septiembre de 2009), expediente D-7681, M.P. Humberto Antonio Sierra Porto. Reseña de las Reglas de Beijing (Resolución 40/33 de la Asamblea General de las Naciones Unidas) y de las Reglas para la protección de los menores privados de libertad (Resolución 45/113).</w:t>
      </w:r>
    </w:p>
  </w:footnote>
  <w:footnote w:id="13">
    <w:p w14:paraId="5DC1B44F" w14:textId="77777777" w:rsidR="004A4930" w:rsidRDefault="006E06B4">
      <w:pPr>
        <w:spacing w:line="240" w:lineRule="auto"/>
        <w:jc w:val="both"/>
        <w:rPr>
          <w:sz w:val="20"/>
          <w:szCs w:val="20"/>
        </w:rPr>
      </w:pPr>
      <w:r>
        <w:rPr>
          <w:vertAlign w:val="superscript"/>
        </w:rPr>
        <w:footnoteRef/>
      </w:r>
      <w:r>
        <w:rPr>
          <w:sz w:val="20"/>
          <w:szCs w:val="20"/>
        </w:rPr>
        <w:t xml:space="preserve"> </w:t>
      </w:r>
      <w:r>
        <w:rPr>
          <w:rFonts w:ascii="Plus Jakarta Sans" w:eastAsia="Plus Jakarta Sans" w:hAnsi="Plus Jakarta Sans" w:cs="Plus Jakarta Sans"/>
          <w:sz w:val="16"/>
          <w:szCs w:val="16"/>
        </w:rPr>
        <w:t>Comité de los Derechos del Niño, Observación General No. 24 (2019) relativa a los derechos del niño en el sistema de justicia juvenil, CRC/C/GC/24, 18 de septiembre de 2019, párr. 77</w:t>
      </w:r>
      <w:r>
        <w:rPr>
          <w:rFonts w:ascii="Plus Jakarta Sans" w:eastAsia="Plus Jakarta Sans" w:hAnsi="Plus Jakarta Sans" w:cs="Plus Jakarta Sans"/>
          <w:sz w:val="18"/>
          <w:szCs w:val="18"/>
        </w:rPr>
        <w:t>.</w:t>
      </w:r>
    </w:p>
  </w:footnote>
  <w:footnote w:id="14">
    <w:p w14:paraId="6B2F2B2A" w14:textId="77777777" w:rsidR="004A4930" w:rsidRDefault="006E06B4">
      <w:pPr>
        <w:spacing w:line="240" w:lineRule="auto"/>
        <w:jc w:val="both"/>
        <w:rPr>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Comité de los Derechos del Niño, Observación General No.  24 (2019) relativa a los derechos del niño en el sistema de justicia juvenil, CRC/C/GC/24, 18 de septiembre de 2019, párr. 78.</w:t>
      </w:r>
    </w:p>
  </w:footnote>
  <w:footnote w:id="15">
    <w:p w14:paraId="0B97DCC0"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Comité de los Derechos del Niño, Observación General No.  24 (2019) relativa a los derechos del niño en el sistema de justicia juvenil, CRC/C/GC/24, 18 de septiembre de 2019, párr. 88.</w:t>
      </w:r>
    </w:p>
  </w:footnote>
  <w:footnote w:id="16">
    <w:p w14:paraId="5BFC7A34" w14:textId="77777777" w:rsidR="004A4930" w:rsidRDefault="006E06B4">
      <w:pPr>
        <w:spacing w:line="240" w:lineRule="auto"/>
        <w:jc w:val="both"/>
        <w:rPr>
          <w:sz w:val="18"/>
          <w:szCs w:val="18"/>
        </w:rPr>
      </w:pPr>
      <w:r>
        <w:rPr>
          <w:vertAlign w:val="superscript"/>
        </w:rPr>
        <w:footnoteRef/>
      </w:r>
      <w:r>
        <w:rPr>
          <w:sz w:val="20"/>
          <w:szCs w:val="20"/>
        </w:rPr>
        <w:t xml:space="preserve"> </w:t>
      </w:r>
      <w:r>
        <w:rPr>
          <w:rFonts w:ascii="Plus Jakarta Sans" w:eastAsia="Plus Jakarta Sans" w:hAnsi="Plus Jakarta Sans" w:cs="Plus Jakarta Sans"/>
          <w:sz w:val="18"/>
          <w:szCs w:val="18"/>
        </w:rPr>
        <w:t>C</w:t>
      </w:r>
      <w:r>
        <w:rPr>
          <w:rFonts w:ascii="Plus Jakarta Sans" w:eastAsia="Plus Jakarta Sans" w:hAnsi="Plus Jakarta Sans" w:cs="Plus Jakarta Sans"/>
          <w:sz w:val="16"/>
          <w:szCs w:val="16"/>
        </w:rPr>
        <w:t>omité de los Derechos del Niño, Observación General No. 24 (2019) relativa a los derechos del niño en el sistema de justicia juvenil, CRC/C/GC/24, 18 de septiembre de 2019, párr. 6, literal c), inciso v).</w:t>
      </w:r>
    </w:p>
  </w:footnote>
  <w:footnote w:id="17">
    <w:p w14:paraId="7FE90F87" w14:textId="77777777" w:rsidR="004A4930" w:rsidRDefault="006E06B4">
      <w:pPr>
        <w:spacing w:line="240" w:lineRule="auto"/>
        <w:jc w:val="both"/>
        <w:rPr>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Comité de los Derechos del Niño, Observación General No. 24 (2019) relativa a los derechos del niño en el sistema de justicia juvenil, CRC/C/GC/24, 18 de septiembre de 2019, párr. 89.</w:t>
      </w:r>
    </w:p>
  </w:footnote>
  <w:footnote w:id="18">
    <w:p w14:paraId="2B05AACD"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rFonts w:ascii="Plus Jakarta Sans" w:eastAsia="Plus Jakarta Sans" w:hAnsi="Plus Jakarta Sans" w:cs="Plus Jakarta Sans"/>
          <w:sz w:val="16"/>
          <w:szCs w:val="16"/>
        </w:rPr>
        <w:t xml:space="preserve"> Comité de los Derechos del Niño, Observación General No. 24 (2019) relativa a los derechos del niño en el sistema de justicia juvenil, CRC/C/GC/24, 18 de septiembre de 2019, párr. 4.</w:t>
      </w:r>
    </w:p>
  </w:footnote>
  <w:footnote w:id="19">
    <w:p w14:paraId="13763E96"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rFonts w:ascii="Plus Jakarta Sans" w:eastAsia="Plus Jakarta Sans" w:hAnsi="Plus Jakarta Sans" w:cs="Plus Jakarta Sans"/>
          <w:sz w:val="16"/>
          <w:szCs w:val="16"/>
        </w:rPr>
        <w:t xml:space="preserve"> Comité de los Derechos del Niño, Observación General N.º 24 (2019) relativa a los derechos del niño en el sistema de justicia juvenil, CRC/C/GC/24, 18 de septiembre de 2019, párr. 76.</w:t>
      </w:r>
    </w:p>
  </w:footnote>
  <w:footnote w:id="20">
    <w:p w14:paraId="3A4BB83D"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rFonts w:ascii="Plus Jakarta Sans" w:eastAsia="Plus Jakarta Sans" w:hAnsi="Plus Jakarta Sans" w:cs="Plus Jakarta Sans"/>
          <w:sz w:val="16"/>
          <w:szCs w:val="16"/>
        </w:rPr>
        <w:t xml:space="preserve"> Instituto Colombiano de Bienestar Familiar (ICBF), “ICBF le apuesta a disminuir la reincidencia de los delitos de adolescentes a través de su perfil de riesgo”, comunicado de 20 de abril de 2022. Disponible en: https://www.icbf.gov.co/noticias/icbf-le-apuesta-disminuir-la-reincidencia-de-los-delitos-de-adolescentes-traves-de-su</w:t>
      </w:r>
    </w:p>
  </w:footnote>
  <w:footnote w:id="21">
    <w:p w14:paraId="05E7DB66"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Ministry of Justice (Reino Unido), Youth Justice Statistics: 2024 to 2025, capítulo 8 (Reoffending), cohorte agregada del año terminado en marzo de 2024. Disponible en: https://www.gov.uk/government/statistics/youth-justice-statistics-2024-to-2025/youth-justice-statistics-2024-to-2025</w:t>
      </w:r>
    </w:p>
  </w:footnote>
  <w:footnote w:id="22">
    <w:p w14:paraId="2AD8865D"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Pr>
          <w:sz w:val="20"/>
          <w:szCs w:val="20"/>
        </w:rPr>
        <w:t xml:space="preserve"> </w:t>
      </w:r>
      <w:r>
        <w:rPr>
          <w:rFonts w:ascii="Plus Jakarta Sans" w:eastAsia="Plus Jakarta Sans" w:hAnsi="Plus Jakarta Sans" w:cs="Plus Jakarta Sans"/>
          <w:sz w:val="16"/>
          <w:szCs w:val="16"/>
        </w:rPr>
        <w:t>Servicio Nacional de Menores (SENAME), Estudio 2015. Reincidencia de jóvenes infractores de ley RPA, cohortes de egreso 2009-2013. Disponible en:  https://www.sename.cl/wsename/images/IFR_2015v2.pdf</w:t>
      </w:r>
    </w:p>
  </w:footnote>
  <w:footnote w:id="23">
    <w:p w14:paraId="4FA75B00" w14:textId="77777777" w:rsidR="004A4930" w:rsidRDefault="006E06B4">
      <w:pPr>
        <w:spacing w:line="240" w:lineRule="auto"/>
        <w:jc w:val="both"/>
        <w:rPr>
          <w:rFonts w:ascii="Plus Jakarta Sans" w:eastAsia="Plus Jakarta Sans" w:hAnsi="Plus Jakarta Sans" w:cs="Plus Jakarta Sans"/>
          <w:sz w:val="16"/>
          <w:szCs w:val="16"/>
        </w:rPr>
      </w:pPr>
      <w:r>
        <w:rPr>
          <w:vertAlign w:val="superscript"/>
        </w:rPr>
        <w:footnoteRef/>
      </w:r>
      <w:r w:rsidRPr="00544234">
        <w:rPr>
          <w:rFonts w:ascii="Plus Jakarta Sans" w:eastAsia="Plus Jakarta Sans" w:hAnsi="Plus Jakarta Sans" w:cs="Plus Jakarta Sans"/>
          <w:sz w:val="16"/>
          <w:szCs w:val="16"/>
          <w:lang w:val="en-US"/>
        </w:rPr>
        <w:t xml:space="preserve"> Australian Institute of Health and Welfare (AIHW), Young people returning to sentenced youth justice supervision 2023–24 (2025), jóvenes de 10 a 16 años liberados en 2022-23. </w:t>
      </w:r>
      <w:r>
        <w:rPr>
          <w:rFonts w:ascii="Plus Jakarta Sans" w:eastAsia="Plus Jakarta Sans" w:hAnsi="Plus Jakarta Sans" w:cs="Plus Jakarta Sans"/>
          <w:sz w:val="16"/>
          <w:szCs w:val="16"/>
        </w:rPr>
        <w:t>Disponible en: https://www.aihw.gov.au/reports/youth-justice/young-people-returning-to-youth-justice-2023-24/contents/summary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39B2" w14:textId="77777777" w:rsidR="004A4930" w:rsidRDefault="006E06B4">
    <w:r>
      <w:rPr>
        <w:noProof/>
      </w:rPr>
      <w:drawing>
        <wp:anchor distT="114300" distB="114300" distL="114300" distR="114300" simplePos="0" relativeHeight="251658240" behindDoc="1" locked="0" layoutInCell="1" hidden="0" allowOverlap="1" wp14:anchorId="380E6B04" wp14:editId="1C2C554B">
          <wp:simplePos x="0" y="0"/>
          <wp:positionH relativeFrom="column">
            <wp:posOffset>1981200</wp:posOffset>
          </wp:positionH>
          <wp:positionV relativeFrom="paragraph">
            <wp:posOffset>-176212</wp:posOffset>
          </wp:positionV>
          <wp:extent cx="1862138" cy="538732"/>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62138" cy="538732"/>
                  </a:xfrm>
                  <a:prstGeom prst="rect">
                    <a:avLst/>
                  </a:prstGeom>
                  <a:ln/>
                </pic:spPr>
              </pic:pic>
            </a:graphicData>
          </a:graphic>
        </wp:anchor>
      </w:drawing>
    </w:r>
  </w:p>
  <w:p w14:paraId="05193271" w14:textId="77777777" w:rsidR="004A4930" w:rsidRDefault="004A4930"/>
  <w:p w14:paraId="32B0C52F" w14:textId="77777777" w:rsidR="004A4930" w:rsidRDefault="004A4930"/>
  <w:p w14:paraId="42897564" w14:textId="77777777" w:rsidR="004A4930" w:rsidRDefault="004A49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72335"/>
    <w:multiLevelType w:val="multilevel"/>
    <w:tmpl w:val="AA0644A4"/>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87905A4"/>
    <w:multiLevelType w:val="multilevel"/>
    <w:tmpl w:val="18641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9F67C5"/>
    <w:multiLevelType w:val="multilevel"/>
    <w:tmpl w:val="7D0A65DC"/>
    <w:lvl w:ilvl="0">
      <w:start w:val="1"/>
      <w:numFmt w:val="decimal"/>
      <w:lvlText w:val="%1."/>
      <w:lvlJc w:val="left"/>
      <w:pPr>
        <w:ind w:left="283" w:hanging="283"/>
      </w:pPr>
      <w:rPr>
        <w:i w:val="0"/>
        <w:i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8C13A3C"/>
    <w:multiLevelType w:val="multilevel"/>
    <w:tmpl w:val="AF4C7196"/>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B8C44C5"/>
    <w:multiLevelType w:val="multilevel"/>
    <w:tmpl w:val="F3405F88"/>
    <w:lvl w:ilvl="0">
      <w:start w:val="1"/>
      <w:numFmt w:val="lowerLetter"/>
      <w:lvlText w:val="%1)"/>
      <w:lvlJc w:val="left"/>
      <w:pPr>
        <w:ind w:left="720" w:hanging="294"/>
      </w:pPr>
      <w:rPr>
        <w:rFonts w:ascii="Arial" w:eastAsia="Arial" w:hAnsi="Arial" w:cs="Arial"/>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74ED751C"/>
    <w:multiLevelType w:val="multilevel"/>
    <w:tmpl w:val="210E746E"/>
    <w:lvl w:ilvl="0">
      <w:start w:val="1"/>
      <w:numFmt w:val="upperRoman"/>
      <w:lvlText w:val="%1."/>
      <w:lvlJc w:val="right"/>
      <w:pPr>
        <w:ind w:left="566" w:hanging="283"/>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930"/>
    <w:rsid w:val="001B1B60"/>
    <w:rsid w:val="004A4930"/>
    <w:rsid w:val="00544234"/>
    <w:rsid w:val="00615077"/>
    <w:rsid w:val="006E06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7E444"/>
  <w15:docId w15:val="{3FEF6B50-8B71-4095-8585-057909A74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0aJ9h7NfsHNVYKnXltGFCX7eSw==">CgMxLjAaHwoBMBIaChgICVIUChJ0YWJsZS5sNnQ4cnM4ZHNndjEaHwoBMRIaChgICVIUChJ0YWJsZS5uZmpuc2ZlOGNxZGwaHwoBMhIaChgICVIUChJ0YWJsZS5jaTdydnY1OWRoeDgaHwoBMxIaChgICVIUChJ0YWJsZS5vNWs2MjJhc2duZHQ4AHIhMXlsMGFMUGMtUlY3TjlMOC1VcFliMXZSQzNNcUJuQUhX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12062</Words>
  <Characters>66346</Characters>
  <Application>Microsoft Office Word</Application>
  <DocSecurity>0</DocSecurity>
  <Lines>552</Lines>
  <Paragraphs>156</Paragraphs>
  <ScaleCrop>false</ScaleCrop>
  <Company/>
  <LinksUpToDate>false</LinksUpToDate>
  <CharactersWithSpaces>78252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Simón Santiago Navarro Miller</cp:lastModifiedBy>
  <cp:revision>3</cp:revision>
  <cp:lastPrinted>2026-10-28T18:35:00Z</cp:lastPrinted>
  <dcterms:created xsi:type="dcterms:W3CDTF">2026-10-28T18:28:00Z</dcterms:created>
  <dcterms:modified xsi:type="dcterms:W3CDTF">2026-10-28T20:39:00Z</dcterms:modified>
</cp:coreProperties>
</file>