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B5F40" w14:textId="77777777" w:rsidR="009745E1" w:rsidRPr="009745E1" w:rsidRDefault="009745E1" w:rsidP="009745E1">
      <w:pPr>
        <w:jc w:val="both"/>
        <w:rPr>
          <w:rFonts w:ascii="Century Gothic" w:hAnsi="Century Gothic"/>
        </w:rPr>
      </w:pPr>
    </w:p>
    <w:p w14:paraId="2D01EB53" w14:textId="3927B9AB" w:rsidR="009745E1" w:rsidRPr="009745E1" w:rsidRDefault="009745E1" w:rsidP="009745E1">
      <w:pPr>
        <w:jc w:val="both"/>
        <w:rPr>
          <w:rFonts w:ascii="Century Gothic" w:hAnsi="Century Gothic"/>
        </w:rPr>
      </w:pPr>
      <w:r w:rsidRPr="009745E1">
        <w:rPr>
          <w:rFonts w:ascii="Century Gothic" w:hAnsi="Century Gothic"/>
        </w:rPr>
        <w:t xml:space="preserve">Bogotá D.C, </w:t>
      </w:r>
      <w:r w:rsidR="00742B4B">
        <w:rPr>
          <w:rFonts w:ascii="Century Gothic" w:hAnsi="Century Gothic"/>
        </w:rPr>
        <w:t xml:space="preserve">13 de </w:t>
      </w:r>
      <w:r w:rsidR="00B21250">
        <w:rPr>
          <w:rFonts w:ascii="Century Gothic" w:hAnsi="Century Gothic"/>
        </w:rPr>
        <w:t>octubre</w:t>
      </w:r>
      <w:r w:rsidRPr="009745E1">
        <w:rPr>
          <w:rFonts w:ascii="Century Gothic" w:hAnsi="Century Gothic"/>
        </w:rPr>
        <w:t xml:space="preserve"> de 202</w:t>
      </w:r>
      <w:r>
        <w:rPr>
          <w:rFonts w:ascii="Century Gothic" w:hAnsi="Century Gothic"/>
        </w:rPr>
        <w:t>6</w:t>
      </w:r>
    </w:p>
    <w:p w14:paraId="3DAD9729" w14:textId="77777777" w:rsidR="009745E1" w:rsidRDefault="009745E1" w:rsidP="009745E1">
      <w:pPr>
        <w:spacing w:after="0"/>
        <w:jc w:val="both"/>
        <w:rPr>
          <w:rFonts w:ascii="Century Gothic" w:hAnsi="Century Gothic"/>
        </w:rPr>
      </w:pPr>
      <w:r w:rsidRPr="009745E1">
        <w:rPr>
          <w:rFonts w:ascii="Century Gothic" w:hAnsi="Century Gothic"/>
        </w:rPr>
        <w:t> </w:t>
      </w:r>
    </w:p>
    <w:p w14:paraId="148EDCBB" w14:textId="77777777" w:rsidR="00EA2479" w:rsidRPr="009745E1" w:rsidRDefault="00EA2479" w:rsidP="009745E1">
      <w:pPr>
        <w:spacing w:after="0"/>
        <w:jc w:val="both"/>
        <w:rPr>
          <w:rFonts w:ascii="Century Gothic" w:hAnsi="Century Gothic"/>
        </w:rPr>
      </w:pPr>
    </w:p>
    <w:p w14:paraId="063F67D5" w14:textId="22721578" w:rsidR="009745E1" w:rsidRDefault="009745E1" w:rsidP="009745E1">
      <w:pPr>
        <w:tabs>
          <w:tab w:val="left" w:pos="4253"/>
        </w:tabs>
        <w:spacing w:after="0"/>
        <w:rPr>
          <w:rFonts w:ascii="Century Gothic" w:hAnsi="Century Gothic"/>
        </w:rPr>
      </w:pPr>
      <w:r>
        <w:rPr>
          <w:rFonts w:ascii="Century Gothic" w:hAnsi="Century Gothic"/>
        </w:rPr>
        <w:t>Re</w:t>
      </w:r>
      <w:r w:rsidRPr="009745E1">
        <w:rPr>
          <w:rFonts w:ascii="Century Gothic" w:hAnsi="Century Gothic"/>
        </w:rPr>
        <w:t>presentante</w:t>
      </w:r>
      <w:r w:rsidR="00EA2479">
        <w:rPr>
          <w:rFonts w:ascii="Century Gothic" w:hAnsi="Century Gothic"/>
        </w:rPr>
        <w:tab/>
      </w:r>
      <w:r w:rsidR="00EA2479">
        <w:rPr>
          <w:rFonts w:ascii="Century Gothic" w:hAnsi="Century Gothic"/>
        </w:rPr>
        <w:tab/>
      </w:r>
      <w:r w:rsidR="00EA2479">
        <w:rPr>
          <w:rFonts w:ascii="Century Gothic" w:hAnsi="Century Gothic"/>
        </w:rPr>
        <w:tab/>
        <w:t>Doctora</w:t>
      </w:r>
    </w:p>
    <w:p w14:paraId="55877362" w14:textId="47E402B7" w:rsidR="009745E1" w:rsidRPr="00EA2479" w:rsidRDefault="008069CE" w:rsidP="009745E1">
      <w:pPr>
        <w:tabs>
          <w:tab w:val="left" w:pos="4253"/>
        </w:tabs>
        <w:spacing w:after="0"/>
        <w:rPr>
          <w:rFonts w:ascii="Century Gothic" w:hAnsi="Century Gothic"/>
          <w:b/>
          <w:bCs/>
        </w:rPr>
      </w:pPr>
      <w:r w:rsidRPr="00EA2479">
        <w:rPr>
          <w:rFonts w:ascii="Century Gothic" w:hAnsi="Century Gothic"/>
          <w:b/>
          <w:bCs/>
        </w:rPr>
        <w:t>Jos</w:t>
      </w:r>
      <w:r>
        <w:rPr>
          <w:rFonts w:ascii="Century Gothic" w:hAnsi="Century Gothic"/>
          <w:b/>
          <w:bCs/>
        </w:rPr>
        <w:t>é</w:t>
      </w:r>
      <w:r w:rsidR="00EA2479" w:rsidRPr="00EA2479">
        <w:rPr>
          <w:rFonts w:ascii="Century Gothic" w:hAnsi="Century Gothic"/>
          <w:b/>
          <w:bCs/>
        </w:rPr>
        <w:t xml:space="preserve"> Jaime </w:t>
      </w:r>
      <w:proofErr w:type="spellStart"/>
      <w:r w:rsidR="00EA2479" w:rsidRPr="00EA2479">
        <w:rPr>
          <w:rFonts w:ascii="Century Gothic" w:hAnsi="Century Gothic"/>
          <w:b/>
          <w:bCs/>
        </w:rPr>
        <w:t>Uscategui</w:t>
      </w:r>
      <w:proofErr w:type="spellEnd"/>
      <w:r w:rsidR="00EA2479" w:rsidRPr="00EA2479">
        <w:rPr>
          <w:rFonts w:ascii="Century Gothic" w:hAnsi="Century Gothic"/>
          <w:b/>
          <w:bCs/>
        </w:rPr>
        <w:t xml:space="preserve"> Pastrana</w:t>
      </w:r>
      <w:r w:rsidR="00EA2479">
        <w:rPr>
          <w:rFonts w:ascii="Century Gothic" w:hAnsi="Century Gothic"/>
          <w:b/>
          <w:bCs/>
        </w:rPr>
        <w:tab/>
      </w:r>
      <w:r w:rsidR="00EA2479">
        <w:rPr>
          <w:rFonts w:ascii="Century Gothic" w:hAnsi="Century Gothic"/>
          <w:b/>
          <w:bCs/>
        </w:rPr>
        <w:tab/>
      </w:r>
      <w:r w:rsidR="00EA2479">
        <w:rPr>
          <w:rFonts w:ascii="Century Gothic" w:hAnsi="Century Gothic"/>
          <w:b/>
          <w:bCs/>
        </w:rPr>
        <w:tab/>
      </w:r>
      <w:r w:rsidR="00EA2479" w:rsidRPr="00EA2479">
        <w:rPr>
          <w:rFonts w:ascii="Century Gothic" w:hAnsi="Century Gothic"/>
          <w:b/>
          <w:bCs/>
        </w:rPr>
        <w:t>Amparo Yaneth Calderón</w:t>
      </w:r>
    </w:p>
    <w:p w14:paraId="023DA245" w14:textId="4EC517E5" w:rsidR="009745E1" w:rsidRDefault="009745E1" w:rsidP="009745E1">
      <w:pPr>
        <w:tabs>
          <w:tab w:val="left" w:pos="4253"/>
        </w:tabs>
        <w:spacing w:after="0"/>
        <w:rPr>
          <w:rFonts w:ascii="Century Gothic" w:hAnsi="Century Gothic"/>
          <w:b/>
          <w:bCs/>
        </w:rPr>
      </w:pPr>
      <w:r w:rsidRPr="009745E1">
        <w:rPr>
          <w:rFonts w:ascii="Century Gothic" w:hAnsi="Century Gothic"/>
          <w:b/>
          <w:bCs/>
        </w:rPr>
        <w:t>Presidente Comisión Primera Constitucional </w:t>
      </w:r>
      <w:r w:rsidR="00EA2479">
        <w:rPr>
          <w:rFonts w:ascii="Century Gothic" w:hAnsi="Century Gothic"/>
          <w:b/>
          <w:bCs/>
        </w:rPr>
        <w:tab/>
      </w:r>
      <w:r w:rsidR="00EA2479">
        <w:rPr>
          <w:rFonts w:ascii="Century Gothic" w:hAnsi="Century Gothic"/>
          <w:b/>
          <w:bCs/>
        </w:rPr>
        <w:tab/>
      </w:r>
      <w:r w:rsidR="00EA2479" w:rsidRPr="00EA2479">
        <w:rPr>
          <w:rFonts w:ascii="Century Gothic" w:hAnsi="Century Gothic"/>
          <w:b/>
          <w:bCs/>
        </w:rPr>
        <w:t>Secretaria Comisión Primera</w:t>
      </w:r>
    </w:p>
    <w:p w14:paraId="478CC8BA" w14:textId="714F174C" w:rsidR="009745E1" w:rsidRPr="009745E1" w:rsidRDefault="009745E1" w:rsidP="009745E1">
      <w:pPr>
        <w:tabs>
          <w:tab w:val="left" w:pos="4253"/>
        </w:tabs>
        <w:spacing w:after="0"/>
        <w:rPr>
          <w:rFonts w:ascii="Century Gothic" w:hAnsi="Century Gothic"/>
          <w:b/>
          <w:bCs/>
        </w:rPr>
      </w:pPr>
      <w:r w:rsidRPr="009745E1">
        <w:rPr>
          <w:rFonts w:ascii="Century Gothic" w:hAnsi="Century Gothic"/>
        </w:rPr>
        <w:t>Cámara de Representantes</w:t>
      </w:r>
    </w:p>
    <w:p w14:paraId="7EFD5052" w14:textId="77777777" w:rsidR="009745E1" w:rsidRPr="009745E1" w:rsidRDefault="009745E1" w:rsidP="009745E1">
      <w:pPr>
        <w:jc w:val="both"/>
        <w:rPr>
          <w:rFonts w:ascii="Century Gothic" w:hAnsi="Century Gothic"/>
        </w:rPr>
      </w:pPr>
      <w:r w:rsidRPr="009745E1">
        <w:rPr>
          <w:rFonts w:ascii="Century Gothic" w:hAnsi="Century Gothic"/>
        </w:rPr>
        <w:t> </w:t>
      </w:r>
    </w:p>
    <w:p w14:paraId="56FF684D" w14:textId="77777777" w:rsidR="009745E1" w:rsidRPr="009745E1" w:rsidRDefault="009745E1" w:rsidP="009745E1">
      <w:pPr>
        <w:jc w:val="both"/>
        <w:rPr>
          <w:rFonts w:ascii="Century Gothic" w:hAnsi="Century Gothic"/>
        </w:rPr>
      </w:pPr>
    </w:p>
    <w:p w14:paraId="1F513E65" w14:textId="77777777" w:rsidR="009745E1" w:rsidRPr="009745E1" w:rsidRDefault="009745E1" w:rsidP="00EA2479">
      <w:pPr>
        <w:ind w:left="3686"/>
        <w:jc w:val="both"/>
        <w:rPr>
          <w:rFonts w:ascii="Century Gothic" w:hAnsi="Century Gothic"/>
        </w:rPr>
      </w:pPr>
      <w:r w:rsidRPr="009745E1">
        <w:rPr>
          <w:rFonts w:ascii="Century Gothic" w:hAnsi="Century Gothic"/>
          <w:b/>
          <w:bCs/>
        </w:rPr>
        <w:t xml:space="preserve">Referencia: </w:t>
      </w:r>
      <w:r w:rsidRPr="009745E1">
        <w:rPr>
          <w:rFonts w:ascii="Century Gothic" w:hAnsi="Century Gothic"/>
        </w:rPr>
        <w:t>Informe de Ponencia para Segundo Debate al Proyecto de Ley número 084 de 2025 Cámara</w:t>
      </w:r>
    </w:p>
    <w:p w14:paraId="0AD37C2A" w14:textId="77777777" w:rsidR="009745E1" w:rsidRPr="009745E1" w:rsidRDefault="009745E1" w:rsidP="009745E1">
      <w:pPr>
        <w:jc w:val="both"/>
        <w:rPr>
          <w:rFonts w:ascii="Century Gothic" w:hAnsi="Century Gothic"/>
        </w:rPr>
      </w:pPr>
      <w:r w:rsidRPr="009745E1">
        <w:rPr>
          <w:rFonts w:ascii="Century Gothic" w:hAnsi="Century Gothic"/>
        </w:rPr>
        <w:t> </w:t>
      </w:r>
    </w:p>
    <w:p w14:paraId="6E4F1811" w14:textId="2CC8345B" w:rsidR="009745E1" w:rsidRDefault="00EA2479" w:rsidP="009745E1">
      <w:pPr>
        <w:jc w:val="both"/>
        <w:rPr>
          <w:rFonts w:ascii="Century Gothic" w:hAnsi="Century Gothic"/>
        </w:rPr>
      </w:pPr>
      <w:r>
        <w:rPr>
          <w:rFonts w:ascii="Century Gothic" w:hAnsi="Century Gothic"/>
        </w:rPr>
        <w:t>Cordial saludo</w:t>
      </w:r>
      <w:r w:rsidR="009745E1" w:rsidRPr="009745E1">
        <w:rPr>
          <w:rFonts w:ascii="Century Gothic" w:hAnsi="Century Gothic"/>
        </w:rPr>
        <w:t>,</w:t>
      </w:r>
    </w:p>
    <w:p w14:paraId="2283CEFE" w14:textId="77777777" w:rsidR="00EA2479" w:rsidRPr="009745E1" w:rsidRDefault="00EA2479" w:rsidP="009745E1">
      <w:pPr>
        <w:jc w:val="both"/>
        <w:rPr>
          <w:rFonts w:ascii="Century Gothic" w:hAnsi="Century Gothic"/>
        </w:rPr>
      </w:pPr>
    </w:p>
    <w:p w14:paraId="6B5B48F2" w14:textId="1E3526E6" w:rsidR="009745E1" w:rsidRPr="009745E1" w:rsidRDefault="009745E1" w:rsidP="009745E1">
      <w:pPr>
        <w:jc w:val="both"/>
        <w:rPr>
          <w:rFonts w:ascii="Century Gothic" w:hAnsi="Century Gothic"/>
        </w:rPr>
      </w:pPr>
      <w:r w:rsidRPr="009745E1">
        <w:rPr>
          <w:rFonts w:ascii="Century Gothic" w:hAnsi="Century Gothic"/>
        </w:rPr>
        <w:t>De conformidad con la</w:t>
      </w:r>
      <w:r w:rsidR="00EA2479">
        <w:rPr>
          <w:rFonts w:ascii="Century Gothic" w:hAnsi="Century Gothic"/>
        </w:rPr>
        <w:t xml:space="preserve"> </w:t>
      </w:r>
      <w:r w:rsidR="00EA2479" w:rsidRPr="00EA2479">
        <w:rPr>
          <w:rFonts w:ascii="Century Gothic" w:hAnsi="Century Gothic"/>
        </w:rPr>
        <w:t xml:space="preserve">designación realizada por la Mesa Directiva y en cumplimiento del mandato constitucional y de lo dispuesto por la Ley 5 de 1992, por medio del presente escrito y dentro del término establecido, me permito rendir informe de ponencia positiva para </w:t>
      </w:r>
      <w:r w:rsidR="00EA2479" w:rsidRPr="009745E1">
        <w:rPr>
          <w:rFonts w:ascii="Century Gothic" w:hAnsi="Century Gothic"/>
        </w:rPr>
        <w:t xml:space="preserve">segundo debate </w:t>
      </w:r>
      <w:r w:rsidRPr="009745E1">
        <w:rPr>
          <w:rFonts w:ascii="Century Gothic" w:hAnsi="Century Gothic"/>
        </w:rPr>
        <w:t xml:space="preserve">del Proyecto de Ley No. 084 de 2025 Cámara </w:t>
      </w:r>
      <w:r w:rsidRPr="009745E1">
        <w:rPr>
          <w:rFonts w:ascii="Century Gothic" w:hAnsi="Century Gothic"/>
          <w:i/>
          <w:iCs/>
        </w:rPr>
        <w:t>“Por medio de la cual se modifica la Ley 906 de 2004, se reglamenta la garantía procesal de doble conformidad judicial, se regula el recurso de impugnación especial y se dictan otras disposiciones.”</w:t>
      </w:r>
    </w:p>
    <w:p w14:paraId="280A6706" w14:textId="77777777" w:rsidR="009745E1" w:rsidRPr="009745E1" w:rsidRDefault="009745E1" w:rsidP="009745E1">
      <w:pPr>
        <w:jc w:val="both"/>
        <w:rPr>
          <w:rFonts w:ascii="Century Gothic" w:hAnsi="Century Gothic"/>
        </w:rPr>
      </w:pPr>
    </w:p>
    <w:p w14:paraId="321F1571" w14:textId="77777777" w:rsidR="009745E1" w:rsidRPr="009745E1" w:rsidRDefault="009745E1" w:rsidP="009745E1">
      <w:pPr>
        <w:jc w:val="both"/>
        <w:rPr>
          <w:rFonts w:ascii="Century Gothic" w:hAnsi="Century Gothic"/>
        </w:rPr>
      </w:pPr>
      <w:r w:rsidRPr="009745E1">
        <w:rPr>
          <w:rFonts w:ascii="Century Gothic" w:hAnsi="Century Gothic"/>
        </w:rPr>
        <w:t>Atentamente,</w:t>
      </w:r>
    </w:p>
    <w:p w14:paraId="6D8655BB" w14:textId="77777777" w:rsidR="009745E1" w:rsidRPr="009745E1" w:rsidRDefault="009745E1" w:rsidP="009745E1">
      <w:pPr>
        <w:jc w:val="both"/>
        <w:rPr>
          <w:rFonts w:ascii="Century Gothic" w:hAnsi="Century Gothic"/>
        </w:rPr>
      </w:pPr>
    </w:p>
    <w:p w14:paraId="5593E44A" w14:textId="77777777" w:rsidR="009745E1" w:rsidRDefault="009745E1" w:rsidP="009745E1">
      <w:pPr>
        <w:jc w:val="both"/>
        <w:rPr>
          <w:rFonts w:ascii="Century Gothic" w:hAnsi="Century Gothic"/>
        </w:rPr>
      </w:pPr>
    </w:p>
    <w:p w14:paraId="6831CD2F" w14:textId="77777777" w:rsidR="00742B4B" w:rsidRPr="009745E1" w:rsidRDefault="00742B4B" w:rsidP="009745E1">
      <w:pPr>
        <w:jc w:val="both"/>
        <w:rPr>
          <w:rFonts w:ascii="Century Gothic" w:hAnsi="Century Gothic"/>
        </w:rPr>
      </w:pPr>
    </w:p>
    <w:p w14:paraId="1D3A8730" w14:textId="77777777" w:rsidR="00EA2479" w:rsidRDefault="00EA2479" w:rsidP="00EA2479">
      <w:pPr>
        <w:spacing w:after="0" w:line="276" w:lineRule="auto"/>
        <w:rPr>
          <w:rFonts w:ascii="Century Gothic" w:hAnsi="Century Gothic"/>
          <w:b/>
          <w:bCs/>
        </w:rPr>
      </w:pPr>
      <w:r>
        <w:rPr>
          <w:rFonts w:ascii="Century Gothic" w:hAnsi="Century Gothic"/>
          <w:b/>
          <w:bCs/>
        </w:rPr>
        <w:t>Jorge Augusto Palacio Garzón</w:t>
      </w:r>
    </w:p>
    <w:p w14:paraId="3B4A2E17" w14:textId="380E720F" w:rsidR="00EA2479" w:rsidRDefault="00EA2479" w:rsidP="00EA2479">
      <w:pPr>
        <w:spacing w:after="0" w:line="276" w:lineRule="auto"/>
        <w:rPr>
          <w:rFonts w:ascii="Century Gothic" w:hAnsi="Century Gothic"/>
          <w:b/>
          <w:bCs/>
        </w:rPr>
      </w:pPr>
      <w:r w:rsidRPr="00CF15A7">
        <w:rPr>
          <w:rFonts w:ascii="Century Gothic" w:hAnsi="Century Gothic"/>
          <w:b/>
          <w:bCs/>
        </w:rPr>
        <w:t>Representante a la Cámara</w:t>
      </w:r>
    </w:p>
    <w:p w14:paraId="46BC248A" w14:textId="312FBB48" w:rsidR="00EA2479" w:rsidRPr="00CF15A7" w:rsidRDefault="00EA2479" w:rsidP="00EA2479">
      <w:pPr>
        <w:spacing w:after="0" w:line="276" w:lineRule="auto"/>
        <w:rPr>
          <w:rFonts w:ascii="Century Gothic" w:hAnsi="Century Gothic"/>
        </w:rPr>
      </w:pPr>
      <w:r>
        <w:rPr>
          <w:rFonts w:ascii="Century Gothic" w:hAnsi="Century Gothic"/>
          <w:b/>
          <w:bCs/>
        </w:rPr>
        <w:t>Ponente Único</w:t>
      </w:r>
    </w:p>
    <w:p w14:paraId="256F9979" w14:textId="77777777" w:rsidR="009745E1" w:rsidRDefault="009745E1" w:rsidP="009745E1">
      <w:pPr>
        <w:jc w:val="both"/>
        <w:rPr>
          <w:rFonts w:ascii="Century Gothic" w:hAnsi="Century Gothic"/>
        </w:rPr>
      </w:pPr>
    </w:p>
    <w:p w14:paraId="455F6F87" w14:textId="77777777" w:rsidR="009745E1" w:rsidRPr="009745E1" w:rsidRDefault="009745E1" w:rsidP="00EA2479">
      <w:pPr>
        <w:spacing w:after="0"/>
        <w:jc w:val="center"/>
        <w:rPr>
          <w:rFonts w:ascii="Century Gothic" w:hAnsi="Century Gothic"/>
        </w:rPr>
      </w:pPr>
      <w:r w:rsidRPr="009745E1">
        <w:rPr>
          <w:rFonts w:ascii="Century Gothic" w:hAnsi="Century Gothic"/>
          <w:b/>
          <w:bCs/>
        </w:rPr>
        <w:lastRenderedPageBreak/>
        <w:t>INFORME DE PONENCIA PARA SEGUNDO DEBATE AL</w:t>
      </w:r>
    </w:p>
    <w:p w14:paraId="79466D33" w14:textId="77777777" w:rsidR="009745E1" w:rsidRPr="009745E1" w:rsidRDefault="009745E1" w:rsidP="00EA2479">
      <w:pPr>
        <w:spacing w:after="0"/>
        <w:jc w:val="center"/>
        <w:rPr>
          <w:rFonts w:ascii="Century Gothic" w:hAnsi="Century Gothic"/>
        </w:rPr>
      </w:pPr>
      <w:r w:rsidRPr="009745E1">
        <w:rPr>
          <w:rFonts w:ascii="Century Gothic" w:hAnsi="Century Gothic"/>
          <w:b/>
          <w:bCs/>
        </w:rPr>
        <w:t>PROYECTO DE LEY 084 DE 2025 CÁMARA</w:t>
      </w:r>
    </w:p>
    <w:p w14:paraId="1DD83198" w14:textId="77777777" w:rsidR="009745E1" w:rsidRPr="009745E1" w:rsidRDefault="009745E1" w:rsidP="00EA2479">
      <w:pPr>
        <w:spacing w:after="0"/>
        <w:jc w:val="center"/>
        <w:rPr>
          <w:rFonts w:ascii="Century Gothic" w:hAnsi="Century Gothic"/>
        </w:rPr>
      </w:pPr>
    </w:p>
    <w:p w14:paraId="09F355A3" w14:textId="77777777" w:rsidR="009745E1" w:rsidRPr="009745E1" w:rsidRDefault="009745E1" w:rsidP="00EA2479">
      <w:pPr>
        <w:spacing w:after="0"/>
        <w:jc w:val="center"/>
        <w:rPr>
          <w:rFonts w:ascii="Century Gothic" w:hAnsi="Century Gothic"/>
        </w:rPr>
      </w:pPr>
      <w:r w:rsidRPr="009745E1">
        <w:rPr>
          <w:rFonts w:ascii="Century Gothic" w:hAnsi="Century Gothic"/>
          <w:b/>
          <w:bCs/>
        </w:rPr>
        <w:t>“</w:t>
      </w:r>
      <w:r w:rsidRPr="009745E1">
        <w:rPr>
          <w:rFonts w:ascii="Century Gothic" w:hAnsi="Century Gothic"/>
          <w:b/>
          <w:bCs/>
          <w:i/>
          <w:iCs/>
        </w:rPr>
        <w:t>Por medio de la cual se modifica la Ley 906 de 2004, se reglamenta la garantía procesal de doble conformidad judicial, se regula el recurso de impugnación especial y se dictan otras disposiciones.</w:t>
      </w:r>
    </w:p>
    <w:p w14:paraId="7F8BA8EF" w14:textId="77777777" w:rsidR="00EA2479" w:rsidRDefault="009745E1" w:rsidP="00EA2479">
      <w:pPr>
        <w:jc w:val="both"/>
        <w:rPr>
          <w:rFonts w:ascii="Century Gothic" w:hAnsi="Century Gothic"/>
        </w:rPr>
      </w:pPr>
      <w:r w:rsidRPr="009745E1">
        <w:rPr>
          <w:rFonts w:ascii="Century Gothic" w:hAnsi="Century Gothic"/>
        </w:rPr>
        <w:br/>
      </w:r>
    </w:p>
    <w:p w14:paraId="58BD314B" w14:textId="6901A7B5" w:rsidR="009745E1" w:rsidRPr="009745E1" w:rsidRDefault="009745E1" w:rsidP="00EA2479">
      <w:pPr>
        <w:spacing w:after="0"/>
        <w:jc w:val="both"/>
        <w:rPr>
          <w:rFonts w:ascii="Century Gothic" w:hAnsi="Century Gothic"/>
        </w:rPr>
      </w:pPr>
      <w:r w:rsidRPr="009745E1">
        <w:rPr>
          <w:rFonts w:ascii="Century Gothic" w:hAnsi="Century Gothic"/>
          <w:b/>
          <w:bCs/>
        </w:rPr>
        <w:t>OBJETO DEL PROYECTO</w:t>
      </w:r>
    </w:p>
    <w:p w14:paraId="6D18F7CA" w14:textId="77777777" w:rsidR="009745E1" w:rsidRPr="009745E1" w:rsidRDefault="009745E1" w:rsidP="00EA2479">
      <w:pPr>
        <w:spacing w:after="0"/>
        <w:jc w:val="both"/>
        <w:rPr>
          <w:rFonts w:ascii="Century Gothic" w:hAnsi="Century Gothic"/>
        </w:rPr>
      </w:pPr>
    </w:p>
    <w:p w14:paraId="71E6EFA6" w14:textId="0D66AD55" w:rsidR="009745E1" w:rsidRPr="009745E1" w:rsidRDefault="009745E1" w:rsidP="00EA2479">
      <w:pPr>
        <w:spacing w:after="0"/>
        <w:jc w:val="both"/>
        <w:rPr>
          <w:rFonts w:ascii="Century Gothic" w:hAnsi="Century Gothic"/>
        </w:rPr>
      </w:pPr>
      <w:r w:rsidRPr="009745E1">
        <w:rPr>
          <w:rFonts w:ascii="Century Gothic" w:hAnsi="Century Gothic"/>
        </w:rPr>
        <w:t>La presente iniciativa tiene por objeto positivizar y reglamentar el recurso de impugnación especial para salvaguardar la garantía de acceso a la doble conformidad judicial propia del derecho al debido proceso en materia penal, en obediencia a los mandatos establecidos por la Corte Interamericana de Derechos Humanos</w:t>
      </w:r>
      <w:r w:rsidR="00EA2479">
        <w:rPr>
          <w:rFonts w:ascii="Century Gothic" w:hAnsi="Century Gothic"/>
        </w:rPr>
        <w:t xml:space="preserve">, </w:t>
      </w:r>
      <w:r w:rsidRPr="009745E1">
        <w:rPr>
          <w:rFonts w:ascii="Century Gothic" w:hAnsi="Century Gothic"/>
        </w:rPr>
        <w:t xml:space="preserve">la Corte Constitucional </w:t>
      </w:r>
      <w:r w:rsidR="00EA2479">
        <w:rPr>
          <w:rFonts w:ascii="Century Gothic" w:hAnsi="Century Gothic"/>
        </w:rPr>
        <w:t>y la</w:t>
      </w:r>
      <w:r w:rsidRPr="009745E1">
        <w:rPr>
          <w:rFonts w:ascii="Century Gothic" w:hAnsi="Century Gothic"/>
        </w:rPr>
        <w:t xml:space="preserve"> Sala Penal de la Corte Suprema de Justicia</w:t>
      </w:r>
      <w:r w:rsidR="00EA2479">
        <w:rPr>
          <w:rFonts w:ascii="Century Gothic" w:hAnsi="Century Gothic"/>
        </w:rPr>
        <w:t>.</w:t>
      </w:r>
    </w:p>
    <w:p w14:paraId="3AD9877F" w14:textId="77777777" w:rsidR="00EA2479" w:rsidRDefault="00EA2479" w:rsidP="00EA2479">
      <w:pPr>
        <w:jc w:val="both"/>
        <w:rPr>
          <w:rFonts w:ascii="Century Gothic" w:hAnsi="Century Gothic"/>
        </w:rPr>
      </w:pPr>
    </w:p>
    <w:p w14:paraId="5366254D" w14:textId="79FEB102" w:rsidR="009745E1" w:rsidRPr="009745E1" w:rsidRDefault="009745E1" w:rsidP="00EA2479">
      <w:pPr>
        <w:spacing w:after="0"/>
        <w:jc w:val="both"/>
        <w:rPr>
          <w:rFonts w:ascii="Century Gothic" w:hAnsi="Century Gothic"/>
        </w:rPr>
      </w:pPr>
      <w:r w:rsidRPr="009745E1">
        <w:rPr>
          <w:rFonts w:ascii="Century Gothic" w:hAnsi="Century Gothic"/>
          <w:b/>
          <w:bCs/>
        </w:rPr>
        <w:t>ANTECEDENTES</w:t>
      </w:r>
    </w:p>
    <w:p w14:paraId="761F181E" w14:textId="77777777" w:rsidR="00EA2479" w:rsidRDefault="00EA2479" w:rsidP="00EA2479">
      <w:pPr>
        <w:spacing w:after="0"/>
        <w:jc w:val="both"/>
        <w:rPr>
          <w:rFonts w:ascii="Century Gothic" w:hAnsi="Century Gothic"/>
        </w:rPr>
      </w:pPr>
    </w:p>
    <w:p w14:paraId="1B674236" w14:textId="13D984B7" w:rsidR="00EA2479" w:rsidRDefault="00EA2479" w:rsidP="00EA2479">
      <w:pPr>
        <w:spacing w:after="0"/>
        <w:jc w:val="both"/>
        <w:rPr>
          <w:rFonts w:ascii="Century Gothic" w:hAnsi="Century Gothic"/>
        </w:rPr>
      </w:pPr>
      <w:r w:rsidRPr="00EA2479">
        <w:rPr>
          <w:rFonts w:ascii="Century Gothic" w:hAnsi="Century Gothic"/>
        </w:rPr>
        <w:t xml:space="preserve">El Proyecto de Ley </w:t>
      </w:r>
      <w:r>
        <w:rPr>
          <w:rFonts w:ascii="Century Gothic" w:hAnsi="Century Gothic"/>
        </w:rPr>
        <w:t xml:space="preserve">084 </w:t>
      </w:r>
      <w:r w:rsidRPr="00EA2479">
        <w:rPr>
          <w:rFonts w:ascii="Century Gothic" w:hAnsi="Century Gothic"/>
        </w:rPr>
        <w:t xml:space="preserve">fue radicado el </w:t>
      </w:r>
      <w:r w:rsidR="001C338D">
        <w:rPr>
          <w:rFonts w:ascii="Century Gothic" w:hAnsi="Century Gothic"/>
        </w:rPr>
        <w:t>29</w:t>
      </w:r>
      <w:r w:rsidRPr="00EA2479">
        <w:rPr>
          <w:rFonts w:ascii="Century Gothic" w:hAnsi="Century Gothic"/>
        </w:rPr>
        <w:t xml:space="preserve"> de julio</w:t>
      </w:r>
      <w:r w:rsidR="001C338D">
        <w:rPr>
          <w:rFonts w:ascii="Century Gothic" w:hAnsi="Century Gothic"/>
        </w:rPr>
        <w:t xml:space="preserve"> de 2025</w:t>
      </w:r>
      <w:r w:rsidRPr="00EA2479">
        <w:rPr>
          <w:rFonts w:ascii="Century Gothic" w:hAnsi="Century Gothic"/>
        </w:rPr>
        <w:t xml:space="preserve"> en la Cámara de Representantes por </w:t>
      </w:r>
      <w:r>
        <w:rPr>
          <w:rFonts w:ascii="Century Gothic" w:hAnsi="Century Gothic"/>
        </w:rPr>
        <w:t xml:space="preserve">el </w:t>
      </w:r>
      <w:r w:rsidRPr="00EA2479">
        <w:rPr>
          <w:rFonts w:ascii="Century Gothic" w:hAnsi="Century Gothic"/>
        </w:rPr>
        <w:t>Honorable Representante Alirio Uribe Muñoz</w:t>
      </w:r>
      <w:r w:rsidR="001C338D">
        <w:rPr>
          <w:rFonts w:ascii="Century Gothic" w:hAnsi="Century Gothic"/>
        </w:rPr>
        <w:t>, siendo aprobado por la Comisión Primera el 04 de novi</w:t>
      </w:r>
      <w:r w:rsidR="00B21250">
        <w:rPr>
          <w:rFonts w:ascii="Century Gothic" w:hAnsi="Century Gothic"/>
        </w:rPr>
        <w:t>embre de 2025, como consta en el</w:t>
      </w:r>
      <w:r w:rsidR="001C338D">
        <w:rPr>
          <w:rFonts w:ascii="Century Gothic" w:hAnsi="Century Gothic"/>
        </w:rPr>
        <w:t xml:space="preserve"> Acta </w:t>
      </w:r>
      <w:r w:rsidR="00B21250">
        <w:rPr>
          <w:rFonts w:ascii="Century Gothic" w:hAnsi="Century Gothic"/>
        </w:rPr>
        <w:t xml:space="preserve">No. </w:t>
      </w:r>
      <w:r w:rsidR="001C338D">
        <w:rPr>
          <w:rFonts w:ascii="Century Gothic" w:hAnsi="Century Gothic"/>
        </w:rPr>
        <w:t>20.</w:t>
      </w:r>
    </w:p>
    <w:p w14:paraId="1E345050" w14:textId="77777777" w:rsidR="001C338D" w:rsidRDefault="001C338D" w:rsidP="00EA2479">
      <w:pPr>
        <w:spacing w:after="0"/>
        <w:jc w:val="both"/>
        <w:rPr>
          <w:rFonts w:ascii="Century Gothic" w:hAnsi="Century Gothic"/>
        </w:rPr>
      </w:pPr>
    </w:p>
    <w:p w14:paraId="383E3D82" w14:textId="79BB8B7A" w:rsidR="00EA2479" w:rsidRDefault="00EA2479" w:rsidP="00281C74">
      <w:pPr>
        <w:spacing w:after="0"/>
        <w:jc w:val="both"/>
        <w:rPr>
          <w:rFonts w:ascii="Century Gothic" w:hAnsi="Century Gothic"/>
        </w:rPr>
      </w:pPr>
      <w:r w:rsidRPr="00EA2479">
        <w:rPr>
          <w:rFonts w:ascii="Century Gothic" w:hAnsi="Century Gothic"/>
        </w:rPr>
        <w:t>El 0</w:t>
      </w:r>
      <w:r w:rsidR="001C338D">
        <w:rPr>
          <w:rFonts w:ascii="Century Gothic" w:hAnsi="Century Gothic"/>
        </w:rPr>
        <w:t>4</w:t>
      </w:r>
      <w:r w:rsidRPr="00EA2479">
        <w:rPr>
          <w:rFonts w:ascii="Century Gothic" w:hAnsi="Century Gothic"/>
        </w:rPr>
        <w:t xml:space="preserve"> de </w:t>
      </w:r>
      <w:r w:rsidR="001C338D">
        <w:rPr>
          <w:rFonts w:ascii="Century Gothic" w:hAnsi="Century Gothic"/>
        </w:rPr>
        <w:t>agosto</w:t>
      </w:r>
      <w:r w:rsidRPr="00EA2479">
        <w:rPr>
          <w:rFonts w:ascii="Century Gothic" w:hAnsi="Century Gothic"/>
        </w:rPr>
        <w:t xml:space="preserve"> de 202</w:t>
      </w:r>
      <w:r w:rsidR="001C338D">
        <w:rPr>
          <w:rFonts w:ascii="Century Gothic" w:hAnsi="Century Gothic"/>
        </w:rPr>
        <w:t>6</w:t>
      </w:r>
      <w:r w:rsidRPr="00EA2479">
        <w:rPr>
          <w:rFonts w:ascii="Century Gothic" w:hAnsi="Century Gothic"/>
        </w:rPr>
        <w:t xml:space="preserve"> la Mesa Directiva de la Comisión Primera de la Cámara de Representantes mediante oficio C.P.C.P 3.1-</w:t>
      </w:r>
      <w:r w:rsidR="001C338D">
        <w:rPr>
          <w:rFonts w:ascii="Century Gothic" w:hAnsi="Century Gothic"/>
        </w:rPr>
        <w:t>0016-2026</w:t>
      </w:r>
      <w:r w:rsidRPr="00EA2479">
        <w:rPr>
          <w:rFonts w:ascii="Century Gothic" w:hAnsi="Century Gothic"/>
        </w:rPr>
        <w:t xml:space="preserve"> designó al Honorable Representante </w:t>
      </w:r>
      <w:r w:rsidR="001C338D">
        <w:rPr>
          <w:rFonts w:ascii="Century Gothic" w:hAnsi="Century Gothic"/>
        </w:rPr>
        <w:t>Jorge Augusto Palacio Garzón</w:t>
      </w:r>
      <w:r w:rsidR="001C338D" w:rsidRPr="001C338D">
        <w:t xml:space="preserve"> </w:t>
      </w:r>
      <w:r w:rsidR="001C338D" w:rsidRPr="001C338D">
        <w:rPr>
          <w:rFonts w:ascii="Century Gothic" w:hAnsi="Century Gothic"/>
        </w:rPr>
        <w:t xml:space="preserve">como ponente </w:t>
      </w:r>
      <w:r w:rsidR="001C338D">
        <w:rPr>
          <w:rFonts w:ascii="Century Gothic" w:hAnsi="Century Gothic"/>
        </w:rPr>
        <w:t xml:space="preserve">único </w:t>
      </w:r>
      <w:r w:rsidR="00B21250">
        <w:rPr>
          <w:rFonts w:ascii="Century Gothic" w:hAnsi="Century Gothic"/>
        </w:rPr>
        <w:t>del proyecto de ley. T</w:t>
      </w:r>
      <w:r w:rsidR="001C338D" w:rsidRPr="001C338D">
        <w:rPr>
          <w:rFonts w:ascii="Century Gothic" w:hAnsi="Century Gothic"/>
        </w:rPr>
        <w:t>eniendo en cuenta que el Secretario General de la Cámara de Representantes, mediante Oficio SG2.1243/2026, devolvió el proyecto, el cual, si bien ya contaba con ponencia para segundo debate, se encontraba sin ponente, toda vez que el representante anteriormente designado ya no ejerce como Representante a la Cámara.</w:t>
      </w:r>
    </w:p>
    <w:p w14:paraId="036A673B" w14:textId="77777777" w:rsidR="00281C74" w:rsidRDefault="00281C74" w:rsidP="00281C74">
      <w:pPr>
        <w:spacing w:after="0"/>
        <w:jc w:val="both"/>
        <w:rPr>
          <w:rFonts w:ascii="Century Gothic" w:hAnsi="Century Gothic"/>
        </w:rPr>
      </w:pPr>
    </w:p>
    <w:p w14:paraId="55C5949A" w14:textId="4A9696B9" w:rsidR="00281C74" w:rsidRDefault="00281C74" w:rsidP="00281C74">
      <w:pPr>
        <w:spacing w:after="0"/>
        <w:jc w:val="both"/>
        <w:rPr>
          <w:rFonts w:ascii="Century Gothic" w:hAnsi="Century Gothic"/>
        </w:rPr>
      </w:pPr>
      <w:r>
        <w:rPr>
          <w:rFonts w:ascii="Century Gothic" w:hAnsi="Century Gothic"/>
        </w:rPr>
        <w:t xml:space="preserve">Esta iniciativa, </w:t>
      </w:r>
      <w:r w:rsidR="00B21250">
        <w:rPr>
          <w:rFonts w:ascii="Century Gothic" w:hAnsi="Century Gothic"/>
        </w:rPr>
        <w:t xml:space="preserve">ya </w:t>
      </w:r>
      <w:r>
        <w:rPr>
          <w:rFonts w:ascii="Century Gothic" w:hAnsi="Century Gothic"/>
        </w:rPr>
        <w:t xml:space="preserve">había sido radicada en la legislatura 2024 -2025, por el </w:t>
      </w:r>
      <w:r w:rsidRPr="00EA2479">
        <w:rPr>
          <w:rFonts w:ascii="Century Gothic" w:hAnsi="Century Gothic"/>
        </w:rPr>
        <w:t>Honorable Representante Alirio Uribe Muñoz</w:t>
      </w:r>
      <w:r>
        <w:rPr>
          <w:rFonts w:ascii="Century Gothic" w:hAnsi="Century Gothic"/>
        </w:rPr>
        <w:t>, la cual quedó bajo el núme</w:t>
      </w:r>
      <w:r w:rsidR="00B21250">
        <w:rPr>
          <w:rFonts w:ascii="Century Gothic" w:hAnsi="Century Gothic"/>
        </w:rPr>
        <w:t xml:space="preserve">ro 409 de 2024, siendo archivada </w:t>
      </w:r>
      <w:r w:rsidRPr="00281C74">
        <w:rPr>
          <w:rFonts w:ascii="Century Gothic" w:hAnsi="Century Gothic"/>
        </w:rPr>
        <w:t xml:space="preserve">de conformidad con el artículo 162 </w:t>
      </w:r>
      <w:r>
        <w:rPr>
          <w:rFonts w:ascii="Century Gothic" w:hAnsi="Century Gothic"/>
        </w:rPr>
        <w:t xml:space="preserve">de la Constitución Política </w:t>
      </w:r>
      <w:r w:rsidRPr="00281C74">
        <w:rPr>
          <w:rFonts w:ascii="Century Gothic" w:hAnsi="Century Gothic"/>
        </w:rPr>
        <w:t>en concordancia con el artículo 190</w:t>
      </w:r>
      <w:r>
        <w:rPr>
          <w:rFonts w:ascii="Century Gothic" w:hAnsi="Century Gothic"/>
        </w:rPr>
        <w:t xml:space="preserve"> de la</w:t>
      </w:r>
      <w:r w:rsidRPr="00281C74">
        <w:rPr>
          <w:rFonts w:ascii="Century Gothic" w:hAnsi="Century Gothic"/>
        </w:rPr>
        <w:t xml:space="preserve"> Ley 5ª de 1992</w:t>
      </w:r>
      <w:r>
        <w:rPr>
          <w:rFonts w:ascii="Century Gothic" w:hAnsi="Century Gothic"/>
        </w:rPr>
        <w:t>.</w:t>
      </w:r>
    </w:p>
    <w:p w14:paraId="2BF2D9F3" w14:textId="77777777" w:rsidR="00281C74" w:rsidRDefault="00281C74" w:rsidP="00281C74">
      <w:pPr>
        <w:spacing w:after="0"/>
        <w:jc w:val="both"/>
        <w:rPr>
          <w:rFonts w:ascii="Century Gothic" w:hAnsi="Century Gothic"/>
        </w:rPr>
      </w:pPr>
    </w:p>
    <w:p w14:paraId="79211FDF" w14:textId="0704B89C" w:rsidR="00281C74" w:rsidRDefault="00281C74" w:rsidP="00281C74">
      <w:pPr>
        <w:spacing w:after="0"/>
        <w:jc w:val="both"/>
        <w:rPr>
          <w:rFonts w:ascii="Century Gothic" w:hAnsi="Century Gothic"/>
        </w:rPr>
      </w:pPr>
      <w:r>
        <w:rPr>
          <w:rFonts w:ascii="Century Gothic" w:hAnsi="Century Gothic"/>
        </w:rPr>
        <w:lastRenderedPageBreak/>
        <w:t>El 17 de febrero de 2025, se realizó A</w:t>
      </w:r>
      <w:r w:rsidRPr="009745E1">
        <w:rPr>
          <w:rFonts w:ascii="Century Gothic" w:hAnsi="Century Gothic"/>
        </w:rPr>
        <w:t xml:space="preserve">udiencia </w:t>
      </w:r>
      <w:r>
        <w:rPr>
          <w:rFonts w:ascii="Century Gothic" w:hAnsi="Century Gothic"/>
        </w:rPr>
        <w:t>P</w:t>
      </w:r>
      <w:r w:rsidRPr="009745E1">
        <w:rPr>
          <w:rFonts w:ascii="Century Gothic" w:hAnsi="Century Gothic"/>
        </w:rPr>
        <w:t xml:space="preserve">ública </w:t>
      </w:r>
      <w:r>
        <w:rPr>
          <w:rFonts w:ascii="Century Gothic" w:hAnsi="Century Gothic"/>
        </w:rPr>
        <w:t xml:space="preserve">en el marco del trámite de este proyecto de ley, </w:t>
      </w:r>
      <w:r w:rsidRPr="009745E1">
        <w:rPr>
          <w:rFonts w:ascii="Century Gothic" w:hAnsi="Century Gothic"/>
        </w:rPr>
        <w:t>en la que participaron abogados litigantes, profesores de</w:t>
      </w:r>
      <w:r>
        <w:rPr>
          <w:rFonts w:ascii="Century Gothic" w:hAnsi="Century Gothic"/>
        </w:rPr>
        <w:t xml:space="preserve"> d</w:t>
      </w:r>
      <w:r w:rsidRPr="009745E1">
        <w:rPr>
          <w:rFonts w:ascii="Century Gothic" w:hAnsi="Century Gothic"/>
        </w:rPr>
        <w:t>erecho penal de distintas universidades y organizaciones de la sociedad civil</w:t>
      </w:r>
      <w:r>
        <w:rPr>
          <w:rFonts w:ascii="Century Gothic" w:hAnsi="Century Gothic"/>
        </w:rPr>
        <w:t>.</w:t>
      </w:r>
      <w:r w:rsidRPr="009745E1">
        <w:rPr>
          <w:rFonts w:ascii="Century Gothic" w:hAnsi="Century Gothic"/>
        </w:rPr>
        <w:t> </w:t>
      </w:r>
    </w:p>
    <w:p w14:paraId="06D09B90" w14:textId="77777777" w:rsidR="00281C74" w:rsidRDefault="00281C74" w:rsidP="00281C74">
      <w:pPr>
        <w:spacing w:after="0"/>
        <w:jc w:val="both"/>
        <w:rPr>
          <w:rFonts w:ascii="Century Gothic" w:hAnsi="Century Gothic"/>
        </w:rPr>
      </w:pPr>
    </w:p>
    <w:p w14:paraId="465FAE9D" w14:textId="77777777" w:rsidR="00281C74" w:rsidRPr="009745E1" w:rsidRDefault="00281C74" w:rsidP="00281C74">
      <w:pPr>
        <w:spacing w:after="0"/>
        <w:jc w:val="both"/>
        <w:rPr>
          <w:rFonts w:ascii="Century Gothic" w:hAnsi="Century Gothic"/>
        </w:rPr>
      </w:pPr>
    </w:p>
    <w:p w14:paraId="35E8838B" w14:textId="77777777" w:rsidR="001C338D" w:rsidRDefault="001C338D" w:rsidP="001C338D">
      <w:pPr>
        <w:spacing w:after="0"/>
        <w:jc w:val="both"/>
        <w:rPr>
          <w:rFonts w:ascii="Century Gothic" w:hAnsi="Century Gothic"/>
        </w:rPr>
      </w:pPr>
      <w:r w:rsidRPr="009745E1">
        <w:rPr>
          <w:rFonts w:ascii="Century Gothic" w:hAnsi="Century Gothic"/>
          <w:b/>
          <w:bCs/>
        </w:rPr>
        <w:t>JUSTIFICACIÓN DEL PROYECTO</w:t>
      </w:r>
    </w:p>
    <w:p w14:paraId="2D0B8176" w14:textId="77777777" w:rsidR="001C338D" w:rsidRDefault="001C338D" w:rsidP="001C338D">
      <w:pPr>
        <w:spacing w:after="0"/>
        <w:jc w:val="both"/>
        <w:rPr>
          <w:rFonts w:ascii="Century Gothic" w:hAnsi="Century Gothic"/>
        </w:rPr>
      </w:pPr>
    </w:p>
    <w:p w14:paraId="00CEC20B" w14:textId="59BAF2AF" w:rsidR="001C338D" w:rsidRDefault="009745E1" w:rsidP="001C338D">
      <w:pPr>
        <w:spacing w:after="0"/>
        <w:jc w:val="both"/>
        <w:rPr>
          <w:rFonts w:ascii="Century Gothic" w:hAnsi="Century Gothic"/>
        </w:rPr>
      </w:pPr>
      <w:r w:rsidRPr="009745E1">
        <w:rPr>
          <w:rFonts w:ascii="Century Gothic" w:hAnsi="Century Gothic"/>
        </w:rPr>
        <w:t>Este proyecto obedece a los múltiples exhortos que ha hecho la Corte Constitucional al Congreso de la República a efectos de que regule, límite, desarrolle y determine las vías y mecanismos para que los ciudadanos puedan ejercer su derecho a la doble conformidad en materia penal, que implica la posibilidad de que la primera sentencia condenatoria sea revisada cuando es proferida en segunda instancia o por primera vez al estudiar el recurso de casación. </w:t>
      </w:r>
    </w:p>
    <w:p w14:paraId="796BDB7E" w14:textId="77777777" w:rsidR="001C338D" w:rsidRPr="009745E1" w:rsidRDefault="001C338D" w:rsidP="001C338D">
      <w:pPr>
        <w:spacing w:after="0"/>
        <w:jc w:val="both"/>
        <w:rPr>
          <w:rFonts w:ascii="Century Gothic" w:hAnsi="Century Gothic"/>
        </w:rPr>
      </w:pPr>
    </w:p>
    <w:p w14:paraId="344A882D" w14:textId="0E212475" w:rsidR="001C338D" w:rsidRDefault="009745E1" w:rsidP="001C338D">
      <w:pPr>
        <w:spacing w:after="0"/>
        <w:jc w:val="both"/>
        <w:rPr>
          <w:rFonts w:ascii="Century Gothic" w:hAnsi="Century Gothic"/>
        </w:rPr>
      </w:pPr>
      <w:r w:rsidRPr="009745E1">
        <w:rPr>
          <w:rFonts w:ascii="Century Gothic" w:hAnsi="Century Gothic"/>
        </w:rPr>
        <w:t>El articulado atiende a los pronunciamientos judiciales en la materia que han proferido la Corte Interamericana de Derechos Humanos y la Corte Constitucional para desarrollar esta garantía propia del derecho fundamental al debido proceso. También se armoniza la metodología para la presentación y trámite del recurso de impugnación especial que ha sido establecido por la Sala Penal de la Corte Suprema de Justicia.</w:t>
      </w:r>
    </w:p>
    <w:p w14:paraId="62EEEE4D" w14:textId="77777777" w:rsidR="001C338D" w:rsidRDefault="001C338D" w:rsidP="001C338D">
      <w:pPr>
        <w:spacing w:after="0"/>
        <w:jc w:val="both"/>
        <w:rPr>
          <w:rFonts w:ascii="Century Gothic" w:hAnsi="Century Gothic"/>
        </w:rPr>
      </w:pPr>
    </w:p>
    <w:p w14:paraId="7EF222E3" w14:textId="77777777" w:rsidR="00A0326F" w:rsidRDefault="009745E1" w:rsidP="00A0326F">
      <w:pPr>
        <w:spacing w:after="0"/>
        <w:jc w:val="both"/>
        <w:rPr>
          <w:rFonts w:ascii="Century Gothic" w:hAnsi="Century Gothic"/>
        </w:rPr>
      </w:pPr>
      <w:r w:rsidRPr="009745E1">
        <w:rPr>
          <w:rFonts w:ascii="Century Gothic" w:hAnsi="Century Gothic"/>
        </w:rPr>
        <w:t>El mecanismo procesal para garantizar la doble conformidad judicial no se ha integrado aún al ordenamiento jurídico colombiano y representa un rezago normativo que no ha sido atendido por el Congreso de la República a pesar de que desde 2018 con el Acto legislativo 01</w:t>
      </w:r>
      <w:r w:rsidR="00281C74">
        <w:rPr>
          <w:rFonts w:ascii="Century Gothic" w:hAnsi="Century Gothic"/>
        </w:rPr>
        <w:t xml:space="preserve"> de </w:t>
      </w:r>
      <w:r w:rsidRPr="009745E1">
        <w:rPr>
          <w:rFonts w:ascii="Century Gothic" w:hAnsi="Century Gothic"/>
        </w:rPr>
        <w:t xml:space="preserve">2018 se implementó la garantía a nivel constitucional. </w:t>
      </w:r>
    </w:p>
    <w:p w14:paraId="40E77071" w14:textId="77777777" w:rsidR="00A0326F" w:rsidRDefault="00A0326F" w:rsidP="00A0326F">
      <w:pPr>
        <w:spacing w:after="0"/>
        <w:jc w:val="both"/>
        <w:rPr>
          <w:rFonts w:ascii="Century Gothic" w:hAnsi="Century Gothic"/>
        </w:rPr>
      </w:pPr>
    </w:p>
    <w:p w14:paraId="69298744" w14:textId="7E09CE24" w:rsidR="00A0326F" w:rsidRDefault="009745E1" w:rsidP="00A0326F">
      <w:pPr>
        <w:spacing w:after="0"/>
        <w:jc w:val="both"/>
        <w:rPr>
          <w:rFonts w:ascii="Century Gothic" w:hAnsi="Century Gothic"/>
        </w:rPr>
      </w:pPr>
      <w:r w:rsidRPr="009745E1">
        <w:rPr>
          <w:rFonts w:ascii="Century Gothic" w:hAnsi="Century Gothic"/>
        </w:rPr>
        <w:t>Por cuenta del sinnúmero de casos que se presentaron ante juez constitucional para salvaguardar la garantía de doble conformidad</w:t>
      </w:r>
      <w:r w:rsidR="00A0326F">
        <w:rPr>
          <w:rFonts w:ascii="Century Gothic" w:hAnsi="Century Gothic"/>
        </w:rPr>
        <w:t>,</w:t>
      </w:r>
      <w:r w:rsidRPr="009745E1">
        <w:rPr>
          <w:rFonts w:ascii="Century Gothic" w:hAnsi="Century Gothic"/>
        </w:rPr>
        <w:t xml:space="preserve"> la Corte Constitucional debió unificar su jurisprudencia en la materia y ha exhortado al Congreso a regular para que coexista correctamente con los recursos extraordinarios, a través de las </w:t>
      </w:r>
      <w:r w:rsidR="00A0326F">
        <w:rPr>
          <w:rFonts w:ascii="Century Gothic" w:hAnsi="Century Gothic"/>
        </w:rPr>
        <w:t xml:space="preserve">sentencias </w:t>
      </w:r>
      <w:r w:rsidRPr="009745E1">
        <w:rPr>
          <w:rFonts w:ascii="Century Gothic" w:hAnsi="Century Gothic"/>
        </w:rPr>
        <w:t xml:space="preserve">SU-792 de 2014, SU-217 de 2019 y SU-006 y </w:t>
      </w:r>
      <w:r w:rsidR="00A0326F">
        <w:rPr>
          <w:rFonts w:ascii="Century Gothic" w:hAnsi="Century Gothic"/>
        </w:rPr>
        <w:t>SU-0</w:t>
      </w:r>
      <w:r w:rsidRPr="009745E1">
        <w:rPr>
          <w:rFonts w:ascii="Century Gothic" w:hAnsi="Century Gothic"/>
        </w:rPr>
        <w:t>07 de 2023.</w:t>
      </w:r>
    </w:p>
    <w:p w14:paraId="381340BA" w14:textId="77777777" w:rsidR="00A0326F" w:rsidRDefault="00A0326F" w:rsidP="00A0326F">
      <w:pPr>
        <w:spacing w:after="0"/>
        <w:jc w:val="both"/>
        <w:rPr>
          <w:rFonts w:ascii="Century Gothic" w:hAnsi="Century Gothic"/>
        </w:rPr>
      </w:pPr>
    </w:p>
    <w:p w14:paraId="07F539E0" w14:textId="77777777" w:rsidR="00A0326F" w:rsidRDefault="009745E1" w:rsidP="00A0326F">
      <w:pPr>
        <w:spacing w:after="0"/>
        <w:jc w:val="both"/>
        <w:rPr>
          <w:rFonts w:ascii="Century Gothic" w:hAnsi="Century Gothic"/>
        </w:rPr>
      </w:pPr>
      <w:r w:rsidRPr="009745E1">
        <w:rPr>
          <w:rFonts w:ascii="Century Gothic" w:hAnsi="Century Gothic"/>
        </w:rPr>
        <w:t>A raíz de los vacíos normativos</w:t>
      </w:r>
      <w:r w:rsidR="00A0326F">
        <w:rPr>
          <w:rFonts w:ascii="Century Gothic" w:hAnsi="Century Gothic"/>
        </w:rPr>
        <w:t>,</w:t>
      </w:r>
      <w:r w:rsidRPr="009745E1">
        <w:rPr>
          <w:rFonts w:ascii="Century Gothic" w:hAnsi="Century Gothic"/>
        </w:rPr>
        <w:t xml:space="preserve"> la Sala Penal de la Corte Suprema de Justicia al encontrarse con casos que ameritan la procedencia de un recurso para garantizar la doble conformidad resolvió a través de su propia jurisprudencia establecer la forma, el tiempo y la oportunidad en que esta procedería. </w:t>
      </w:r>
    </w:p>
    <w:p w14:paraId="276D2644" w14:textId="0AFA3F08" w:rsidR="00A0326F" w:rsidRDefault="00A0326F" w:rsidP="00A0326F">
      <w:pPr>
        <w:jc w:val="both"/>
        <w:rPr>
          <w:rFonts w:ascii="Century Gothic" w:hAnsi="Century Gothic"/>
        </w:rPr>
      </w:pPr>
    </w:p>
    <w:p w14:paraId="27492437" w14:textId="3C502BB9" w:rsidR="00564AD8" w:rsidRPr="00564AD8" w:rsidRDefault="00564AD8" w:rsidP="00303C09">
      <w:pPr>
        <w:spacing w:after="0"/>
        <w:jc w:val="both"/>
        <w:rPr>
          <w:rFonts w:ascii="Century Gothic" w:hAnsi="Century Gothic"/>
          <w:b/>
        </w:rPr>
      </w:pPr>
      <w:r w:rsidRPr="00564AD8">
        <w:rPr>
          <w:rFonts w:ascii="Century Gothic" w:hAnsi="Century Gothic"/>
          <w:b/>
        </w:rPr>
        <w:lastRenderedPageBreak/>
        <w:t>MARCO CONSTITUCIONAL Y JURISPRUDENCIAL</w:t>
      </w:r>
    </w:p>
    <w:p w14:paraId="44F3A379" w14:textId="77777777" w:rsidR="00564AD8" w:rsidRDefault="00564AD8" w:rsidP="00303C09">
      <w:pPr>
        <w:spacing w:after="0"/>
        <w:jc w:val="both"/>
        <w:rPr>
          <w:rFonts w:ascii="Century Gothic" w:hAnsi="Century Gothic"/>
        </w:rPr>
      </w:pPr>
    </w:p>
    <w:p w14:paraId="54CD4326" w14:textId="2A558D70" w:rsidR="00303C09" w:rsidRDefault="00D71AD9" w:rsidP="00303C09">
      <w:pPr>
        <w:spacing w:after="0"/>
        <w:jc w:val="both"/>
        <w:rPr>
          <w:rFonts w:ascii="Century Gothic" w:hAnsi="Century Gothic"/>
        </w:rPr>
      </w:pPr>
      <w:r>
        <w:rPr>
          <w:rFonts w:ascii="Century Gothic" w:hAnsi="Century Gothic"/>
        </w:rPr>
        <w:t>El artículo</w:t>
      </w:r>
      <w:r w:rsidRPr="009745E1">
        <w:rPr>
          <w:rFonts w:ascii="Century Gothic" w:hAnsi="Century Gothic"/>
        </w:rPr>
        <w:t xml:space="preserve"> 29 de la Constitución</w:t>
      </w:r>
      <w:r>
        <w:rPr>
          <w:rFonts w:ascii="Century Gothic" w:hAnsi="Century Gothic"/>
        </w:rPr>
        <w:t xml:space="preserve"> Política</w:t>
      </w:r>
      <w:r w:rsidRPr="009745E1">
        <w:rPr>
          <w:rFonts w:ascii="Century Gothic" w:hAnsi="Century Gothic"/>
        </w:rPr>
        <w:t xml:space="preserve"> preceptúa que nadie puede ser juzgado sino conforme a leyes preexistentes al acto que se le imputa y con observancia de las formas propias de cada juicio. </w:t>
      </w:r>
    </w:p>
    <w:p w14:paraId="2F1FD862" w14:textId="73BCE125" w:rsidR="000F0C11" w:rsidRDefault="000F0C11" w:rsidP="00303C09">
      <w:pPr>
        <w:spacing w:after="0"/>
        <w:jc w:val="both"/>
        <w:rPr>
          <w:rFonts w:ascii="Century Gothic" w:hAnsi="Century Gothic"/>
        </w:rPr>
      </w:pPr>
    </w:p>
    <w:p w14:paraId="54FB9292" w14:textId="77777777" w:rsidR="000F0C11" w:rsidRDefault="000F0C11" w:rsidP="000F0C11">
      <w:pPr>
        <w:spacing w:after="0"/>
        <w:jc w:val="both"/>
        <w:rPr>
          <w:rFonts w:ascii="Century Gothic" w:hAnsi="Century Gothic"/>
          <w:i/>
          <w:iCs/>
        </w:rPr>
      </w:pPr>
      <w:r w:rsidRPr="009745E1">
        <w:rPr>
          <w:rFonts w:ascii="Century Gothic" w:hAnsi="Century Gothic"/>
        </w:rPr>
        <w:t>El artículo 2</w:t>
      </w:r>
      <w:r>
        <w:rPr>
          <w:rFonts w:ascii="Century Gothic" w:hAnsi="Century Gothic"/>
        </w:rPr>
        <w:t>.2 literal h) de la Convención A</w:t>
      </w:r>
      <w:r w:rsidRPr="009745E1">
        <w:rPr>
          <w:rFonts w:ascii="Century Gothic" w:hAnsi="Century Gothic"/>
        </w:rPr>
        <w:t>mericana sobre Derechos Humanos establece que toda persona inculpada de un delito durante el proceso tiene derecho, en plena igualdad a las siguientes garantías mínimas: “</w:t>
      </w:r>
      <w:r w:rsidRPr="009745E1">
        <w:rPr>
          <w:rFonts w:ascii="Century Gothic" w:hAnsi="Century Gothic"/>
          <w:i/>
          <w:iCs/>
        </w:rPr>
        <w:t>(...) derecho de recurrir el fallo ante juez o tribunal superior”</w:t>
      </w:r>
      <w:r>
        <w:rPr>
          <w:rFonts w:ascii="Century Gothic" w:hAnsi="Century Gothic"/>
          <w:i/>
          <w:iCs/>
        </w:rPr>
        <w:t>.</w:t>
      </w:r>
      <w:r w:rsidRPr="009745E1">
        <w:rPr>
          <w:rFonts w:ascii="Century Gothic" w:hAnsi="Century Gothic"/>
          <w:i/>
          <w:iCs/>
        </w:rPr>
        <w:t xml:space="preserve"> </w:t>
      </w:r>
      <w:r>
        <w:rPr>
          <w:rFonts w:ascii="Century Gothic" w:hAnsi="Century Gothic"/>
        </w:rPr>
        <w:t>De igual manera, el artículo 1</w:t>
      </w:r>
      <w:r w:rsidRPr="009745E1">
        <w:rPr>
          <w:rFonts w:ascii="Century Gothic" w:hAnsi="Century Gothic"/>
        </w:rPr>
        <w:t>4 inc</w:t>
      </w:r>
      <w:r>
        <w:rPr>
          <w:rFonts w:ascii="Century Gothic" w:hAnsi="Century Gothic"/>
        </w:rPr>
        <w:t>iso</w:t>
      </w:r>
      <w:r w:rsidRPr="009745E1">
        <w:rPr>
          <w:rFonts w:ascii="Century Gothic" w:hAnsi="Century Gothic"/>
        </w:rPr>
        <w:t xml:space="preserve"> 5 del Pacto Internacional de Derechos Civiles y Políticos dispone que “</w:t>
      </w:r>
      <w:r w:rsidRPr="009745E1">
        <w:rPr>
          <w:rFonts w:ascii="Century Gothic" w:hAnsi="Century Gothic"/>
          <w:i/>
          <w:iCs/>
        </w:rPr>
        <w:t>5. Toda persona declarada culpable de un delito tendrá derecho a que el fallo condenatorio y la pena que se le haya impuesto sean sometidos a un tribunal superior, conforme a lo prescrito por la ley.”</w:t>
      </w:r>
    </w:p>
    <w:p w14:paraId="5232DBE1" w14:textId="77777777" w:rsidR="000F0C11" w:rsidRPr="009745E1" w:rsidRDefault="000F0C11" w:rsidP="000F0C11">
      <w:pPr>
        <w:spacing w:after="0"/>
        <w:jc w:val="both"/>
        <w:rPr>
          <w:rFonts w:ascii="Century Gothic" w:hAnsi="Century Gothic"/>
        </w:rPr>
      </w:pPr>
    </w:p>
    <w:p w14:paraId="042A35B6" w14:textId="77777777" w:rsidR="000F0C11" w:rsidRDefault="000F0C11" w:rsidP="000F0C11">
      <w:pPr>
        <w:spacing w:after="0"/>
        <w:jc w:val="both"/>
        <w:rPr>
          <w:rFonts w:ascii="Century Gothic" w:hAnsi="Century Gothic"/>
        </w:rPr>
      </w:pPr>
      <w:r w:rsidRPr="009745E1">
        <w:rPr>
          <w:rFonts w:ascii="Century Gothic" w:hAnsi="Century Gothic"/>
        </w:rPr>
        <w:t>Al respecto, la Corte Interamericana de Derechos Humanos ha desarrollado la garantía de doble conforme o doble conformidad judicial a lo largo de su jurisprudencia, señalando por ejemplo que no solo es una garantía fundamental que hace parte integral del debido proceso, sino que es un deber del Estado que a la vez determina la legitimidad de sus decisiones:</w:t>
      </w:r>
    </w:p>
    <w:p w14:paraId="625B3AF7" w14:textId="77777777" w:rsidR="000F0C11" w:rsidRDefault="000F0C11" w:rsidP="000F0C11">
      <w:pPr>
        <w:spacing w:after="0"/>
        <w:jc w:val="both"/>
        <w:rPr>
          <w:rFonts w:ascii="Century Gothic" w:hAnsi="Century Gothic"/>
        </w:rPr>
      </w:pPr>
    </w:p>
    <w:p w14:paraId="60F20A3E" w14:textId="77777777" w:rsidR="000F0C11" w:rsidRDefault="000F0C11" w:rsidP="000F0C11">
      <w:pPr>
        <w:spacing w:after="0"/>
        <w:ind w:left="567" w:right="333"/>
        <w:jc w:val="both"/>
        <w:rPr>
          <w:rFonts w:ascii="Century Gothic" w:hAnsi="Century Gothic"/>
          <w:i/>
          <w:iCs/>
        </w:rPr>
      </w:pPr>
      <w:r w:rsidRPr="009745E1">
        <w:rPr>
          <w:rFonts w:ascii="Century Gothic" w:hAnsi="Century Gothic"/>
          <w:i/>
          <w:iCs/>
        </w:rPr>
        <w:t>89. La doble conformidad judicial, expresada mediante la íntegra revisión del fallo condenatorio, confirma el fundamento y otorga mayor credibilidad al acto jurisdiccional del Estado, y al mismo tiempo brinda mayor seguridad y tutela a los derechos del condenado.</w:t>
      </w:r>
    </w:p>
    <w:p w14:paraId="407FD7AC" w14:textId="77777777" w:rsidR="000F0C11" w:rsidRPr="009745E1" w:rsidRDefault="000F0C11" w:rsidP="000F0C11">
      <w:pPr>
        <w:spacing w:after="0"/>
        <w:ind w:left="567" w:right="333"/>
        <w:jc w:val="both"/>
        <w:rPr>
          <w:rFonts w:ascii="Century Gothic" w:hAnsi="Century Gothic"/>
        </w:rPr>
      </w:pPr>
    </w:p>
    <w:p w14:paraId="0381B196" w14:textId="77777777" w:rsidR="000F0C11" w:rsidRPr="00BC438F" w:rsidRDefault="000F0C11" w:rsidP="000F0C11">
      <w:pPr>
        <w:spacing w:after="0"/>
        <w:ind w:left="567" w:right="333"/>
        <w:jc w:val="both"/>
        <w:rPr>
          <w:rFonts w:ascii="Century Gothic" w:hAnsi="Century Gothic"/>
          <w:iCs/>
        </w:rPr>
      </w:pPr>
      <w:r w:rsidRPr="009745E1">
        <w:rPr>
          <w:rFonts w:ascii="Century Gothic" w:hAnsi="Century Gothic"/>
          <w:i/>
          <w:iCs/>
        </w:rPr>
        <w:t>90. Si bien los Estados tienen un margen de apreciación para regular el ejercicio de ese recurso, no pueden establecer restricciones o requisitos que infrinjan la esencia misma del derecho de recurrir del fallo. El</w:t>
      </w:r>
      <w:r w:rsidRPr="009745E1">
        <w:rPr>
          <w:rFonts w:ascii="Century Gothic" w:hAnsi="Century Gothic"/>
          <w:i/>
          <w:iCs/>
          <w:u w:val="single"/>
        </w:rPr>
        <w:t xml:space="preserve"> Estado puede establecer fueros especiales para el enjuiciamiento de altos funcionarios públicos, y esos fueros son compatibles, en principio, con la Convención Americana (supra párr. 74). Sin embargo, aun en estos supuestos el Estado debe permitir que el justiciable cuente con la posibilidad de recurrir del fallo condenatorio. </w:t>
      </w:r>
      <w:r w:rsidRPr="009745E1">
        <w:rPr>
          <w:rFonts w:ascii="Century Gothic" w:hAnsi="Century Gothic"/>
          <w:i/>
          <w:iCs/>
        </w:rPr>
        <w:t>Así sucedería, por ejemplo, si se dispusiera que el juzgamiento en primera instancia estará a cargo del presidente o de una sala del órgano colegiado superior y el conocimiento de la impugnación corresponderá al pleno de dicho órgano, con exclusión de quienes ya se pronunciaron sobre el caso.</w:t>
      </w:r>
      <w:r>
        <w:rPr>
          <w:rStyle w:val="Refdenotaalpie"/>
          <w:rFonts w:ascii="Century Gothic" w:hAnsi="Century Gothic"/>
          <w:i/>
          <w:iCs/>
        </w:rPr>
        <w:footnoteReference w:id="1"/>
      </w:r>
      <w:r w:rsidRPr="009745E1">
        <w:rPr>
          <w:rFonts w:ascii="Century Gothic" w:hAnsi="Century Gothic"/>
          <w:i/>
          <w:iCs/>
        </w:rPr>
        <w:t xml:space="preserve"> </w:t>
      </w:r>
      <w:r w:rsidRPr="00BC438F">
        <w:rPr>
          <w:rFonts w:ascii="Century Gothic" w:hAnsi="Century Gothic"/>
          <w:iCs/>
        </w:rPr>
        <w:t>(subrayado fuera de texto)</w:t>
      </w:r>
    </w:p>
    <w:p w14:paraId="40282242" w14:textId="77777777" w:rsidR="000F0C11" w:rsidRDefault="000F0C11" w:rsidP="000F0C11">
      <w:pPr>
        <w:spacing w:after="0"/>
        <w:jc w:val="both"/>
        <w:rPr>
          <w:rFonts w:ascii="Century Gothic" w:hAnsi="Century Gothic"/>
        </w:rPr>
      </w:pPr>
      <w:r>
        <w:rPr>
          <w:rFonts w:ascii="Century Gothic" w:hAnsi="Century Gothic"/>
        </w:rPr>
        <w:lastRenderedPageBreak/>
        <w:t>L</w:t>
      </w:r>
      <w:r w:rsidRPr="009745E1">
        <w:rPr>
          <w:rFonts w:ascii="Century Gothic" w:hAnsi="Century Gothic"/>
        </w:rPr>
        <w:t>a garantía a que el primer fallo condenatorio sea revisado le sea otorgada a todos los ciudadanos</w:t>
      </w:r>
      <w:r>
        <w:rPr>
          <w:rFonts w:ascii="Century Gothic" w:hAnsi="Century Gothic"/>
        </w:rPr>
        <w:t>,</w:t>
      </w:r>
      <w:r w:rsidRPr="009745E1">
        <w:rPr>
          <w:rFonts w:ascii="Century Gothic" w:hAnsi="Century Gothic"/>
        </w:rPr>
        <w:t xml:space="preserve"> incluso sin </w:t>
      </w:r>
      <w:r>
        <w:rPr>
          <w:rFonts w:ascii="Century Gothic" w:hAnsi="Century Gothic"/>
        </w:rPr>
        <w:t xml:space="preserve">distinción de que tengan fuero, </w:t>
      </w:r>
      <w:r w:rsidRPr="009745E1">
        <w:rPr>
          <w:rFonts w:ascii="Century Gothic" w:hAnsi="Century Gothic"/>
        </w:rPr>
        <w:t xml:space="preserve">ha </w:t>
      </w:r>
      <w:r>
        <w:rPr>
          <w:rFonts w:ascii="Century Gothic" w:hAnsi="Century Gothic"/>
        </w:rPr>
        <w:t xml:space="preserve">sido </w:t>
      </w:r>
      <w:r w:rsidRPr="009745E1">
        <w:rPr>
          <w:rFonts w:ascii="Century Gothic" w:hAnsi="Century Gothic"/>
        </w:rPr>
        <w:t>reiterado en su jurisprudencia vinculante:</w:t>
      </w:r>
    </w:p>
    <w:p w14:paraId="5EB701DC" w14:textId="77777777" w:rsidR="000F0C11" w:rsidRDefault="000F0C11" w:rsidP="000F0C11">
      <w:pPr>
        <w:spacing w:after="0"/>
        <w:jc w:val="both"/>
        <w:rPr>
          <w:rFonts w:ascii="Century Gothic" w:hAnsi="Century Gothic"/>
        </w:rPr>
      </w:pPr>
    </w:p>
    <w:p w14:paraId="2DCF447E" w14:textId="77777777" w:rsidR="000F0C11" w:rsidRPr="00BC438F" w:rsidRDefault="000F0C11" w:rsidP="000F0C11">
      <w:pPr>
        <w:spacing w:after="0"/>
        <w:ind w:left="567" w:right="333"/>
        <w:jc w:val="both"/>
        <w:rPr>
          <w:rFonts w:ascii="Century Gothic" w:hAnsi="Century Gothic"/>
          <w:iCs/>
        </w:rPr>
      </w:pPr>
      <w:r w:rsidRPr="00BC438F">
        <w:rPr>
          <w:rFonts w:ascii="Century Gothic" w:hAnsi="Century Gothic"/>
          <w:i/>
          <w:iCs/>
        </w:rPr>
        <w:t>La jurisprudencia de esta Corte ha sido enfática al señalar que el derecho a impugnar el fallo busca proteger el derecho de defensa, en la medida en que otorga la posibilidad de interponer un recurso para evitar que quede firme una decisión adoptada en un procedimiento viciado y que contiene errores que ocasionarán un perjuicio indebido a los intereses del justiciable</w:t>
      </w:r>
      <w:r w:rsidRPr="00BC438F">
        <w:rPr>
          <w:rFonts w:ascii="Century Gothic" w:hAnsi="Century Gothic"/>
          <w:i/>
          <w:iCs/>
          <w:u w:val="single"/>
        </w:rPr>
        <w:t>. La doble conformidad judicial, expresada mediante la íntegra revisión del fallo condenatorio o sancionatorio, confirma el fundamento y otorga mayor credibilidad al acto jurisdiccional del Estado, y al mismo tiempo brinda mayor seguridad y tutela a los derechos del condenado</w:t>
      </w:r>
      <w:r w:rsidRPr="00BC438F">
        <w:rPr>
          <w:rFonts w:ascii="Century Gothic" w:hAnsi="Century Gothic"/>
          <w:i/>
          <w:iCs/>
        </w:rPr>
        <w:t>. En este sentido, el derecho a recurrir del fallo, reconocido por la Convención, no se satisface con la mera existencia de un órgano de grado superior al que juzgó y emitió el fallo condenatorio o sancionatorio, ante el que la persona afectada tenga o pueda tener acceso. Para que haya una verdadera revisión de la sentencia, en el sentido requerido por la Convención, es preciso que el tribunal superior reúna las características jurisdiccionales que lo legitiman para conocer del caso concreto Sobre este punto, si bien los Estados tienen cierta discrecionalidad para regular el ejercicio de ese recurso, no pueden establecer restricciones o requisitos que infrinjan la esencia misma del derecho a recurrir del fallo. La posibilidad de "recurrir del fallo" debe ser accesible, sin requerir mayores complejidades que tornen ilusorio este derecho</w:t>
      </w:r>
      <w:r>
        <w:rPr>
          <w:rStyle w:val="Refdenotaalpie"/>
          <w:rFonts w:ascii="Century Gothic" w:hAnsi="Century Gothic"/>
          <w:i/>
          <w:iCs/>
        </w:rPr>
        <w:footnoteReference w:id="2"/>
      </w:r>
      <w:r w:rsidRPr="00BC438F">
        <w:rPr>
          <w:rFonts w:ascii="Century Gothic" w:hAnsi="Century Gothic"/>
          <w:i/>
        </w:rPr>
        <w:t>.</w:t>
      </w:r>
      <w:r w:rsidRPr="00BC438F">
        <w:rPr>
          <w:rFonts w:ascii="Century Gothic" w:hAnsi="Century Gothic"/>
          <w:i/>
          <w:iCs/>
        </w:rPr>
        <w:t xml:space="preserve"> </w:t>
      </w:r>
      <w:r w:rsidRPr="00BC438F">
        <w:rPr>
          <w:rFonts w:ascii="Century Gothic" w:hAnsi="Century Gothic"/>
          <w:iCs/>
        </w:rPr>
        <w:t>(subrayado fuera de texto)</w:t>
      </w:r>
    </w:p>
    <w:p w14:paraId="03835B03" w14:textId="77777777" w:rsidR="000F0C11" w:rsidRPr="009745E1" w:rsidRDefault="000F0C11" w:rsidP="000F0C11">
      <w:pPr>
        <w:spacing w:after="0"/>
        <w:jc w:val="both"/>
        <w:rPr>
          <w:rFonts w:ascii="Century Gothic" w:hAnsi="Century Gothic"/>
        </w:rPr>
      </w:pPr>
    </w:p>
    <w:p w14:paraId="61472F45" w14:textId="77777777" w:rsidR="000F0C11" w:rsidRDefault="000F0C11" w:rsidP="000F0C11">
      <w:pPr>
        <w:spacing w:after="0"/>
        <w:jc w:val="both"/>
        <w:rPr>
          <w:rFonts w:ascii="Century Gothic" w:hAnsi="Century Gothic"/>
        </w:rPr>
      </w:pPr>
      <w:r w:rsidRPr="009745E1">
        <w:rPr>
          <w:rFonts w:ascii="Century Gothic" w:hAnsi="Century Gothic"/>
        </w:rPr>
        <w:t>Sobre el mecanismo para procurar la materialización del derecho a impugnar la primera sentencia condenatoria</w:t>
      </w:r>
      <w:r>
        <w:rPr>
          <w:rFonts w:ascii="Century Gothic" w:hAnsi="Century Gothic"/>
        </w:rPr>
        <w:t xml:space="preserve">, la Corte </w:t>
      </w:r>
      <w:r w:rsidRPr="009745E1">
        <w:rPr>
          <w:rFonts w:ascii="Century Gothic" w:hAnsi="Century Gothic"/>
        </w:rPr>
        <w:t xml:space="preserve">Interamericana de Derechos Humanos </w:t>
      </w:r>
      <w:r>
        <w:rPr>
          <w:rFonts w:ascii="Century Gothic" w:hAnsi="Century Gothic"/>
        </w:rPr>
        <w:t>en el caso Mohamed v</w:t>
      </w:r>
      <w:r w:rsidRPr="009745E1">
        <w:rPr>
          <w:rFonts w:ascii="Century Gothic" w:hAnsi="Century Gothic"/>
        </w:rPr>
        <w:t xml:space="preserve">s. Argentina </w:t>
      </w:r>
      <w:r>
        <w:rPr>
          <w:rFonts w:ascii="Century Gothic" w:hAnsi="Century Gothic"/>
        </w:rPr>
        <w:t>ha expresado:</w:t>
      </w:r>
      <w:r w:rsidRPr="009745E1">
        <w:rPr>
          <w:rFonts w:ascii="Century Gothic" w:hAnsi="Century Gothic"/>
        </w:rPr>
        <w:t xml:space="preserve"> </w:t>
      </w:r>
    </w:p>
    <w:p w14:paraId="02ED5837" w14:textId="77777777" w:rsidR="000F0C11" w:rsidRDefault="000F0C11" w:rsidP="000F0C11">
      <w:pPr>
        <w:spacing w:after="0"/>
        <w:ind w:left="426" w:right="333"/>
        <w:jc w:val="both"/>
        <w:rPr>
          <w:rFonts w:ascii="Century Gothic" w:hAnsi="Century Gothic"/>
        </w:rPr>
      </w:pPr>
    </w:p>
    <w:p w14:paraId="665DE9E7" w14:textId="77777777" w:rsidR="000F0C11" w:rsidRPr="00BC438F" w:rsidRDefault="000F0C11" w:rsidP="000F0C11">
      <w:pPr>
        <w:spacing w:after="0"/>
        <w:ind w:left="426" w:right="333"/>
        <w:jc w:val="both"/>
        <w:rPr>
          <w:rFonts w:ascii="Century Gothic" w:hAnsi="Century Gothic"/>
          <w:iCs/>
        </w:rPr>
      </w:pPr>
      <w:r w:rsidRPr="00BC438F">
        <w:rPr>
          <w:rFonts w:ascii="Century Gothic" w:hAnsi="Century Gothic"/>
          <w:i/>
        </w:rPr>
        <w:t xml:space="preserve">Debe entenderse que, independientemente del régimen o sistema recursivo que adopten los Estados Partes y de la denominación que den al medio de impugnación de la sentencia condenatoria, </w:t>
      </w:r>
      <w:r w:rsidRPr="00BC438F">
        <w:rPr>
          <w:rFonts w:ascii="Century Gothic" w:hAnsi="Century Gothic"/>
          <w:i/>
          <w:iCs/>
          <w:u w:val="single"/>
        </w:rPr>
        <w:t xml:space="preserve">para que éste sea eficaz debe constituir un medio adecuado para procurar la corrección de una condena errónea. Ello requiere que pueda analizar cuestiones fácticas, probatorias y jurídicas en que se basa la sentencia impugnada, puesto que en la actividad jurisdiccional existe una interdependencia entre las </w:t>
      </w:r>
      <w:r w:rsidRPr="00BC438F">
        <w:rPr>
          <w:rFonts w:ascii="Century Gothic" w:hAnsi="Century Gothic"/>
          <w:i/>
          <w:iCs/>
          <w:u w:val="single"/>
        </w:rPr>
        <w:lastRenderedPageBreak/>
        <w:t>determinaciones fácticas y la aplicación del derecho, de forma tal que una errónea determinación de los hechos implica una errada o indebida aplicación del derecho.</w:t>
      </w:r>
      <w:r w:rsidRPr="00BC438F">
        <w:rPr>
          <w:rFonts w:ascii="Century Gothic" w:hAnsi="Century Gothic"/>
          <w:i/>
        </w:rPr>
        <w:t xml:space="preserve"> Consecuentemente, las causales de procedencia del recurso deben posibilitar un control amplio de los aspectos impugnados de la sentencia condenatoria. </w:t>
      </w:r>
      <w:r w:rsidRPr="00BC438F">
        <w:rPr>
          <w:rFonts w:ascii="Century Gothic" w:hAnsi="Century Gothic"/>
          <w:i/>
          <w:iCs/>
        </w:rPr>
        <w:t>(</w:t>
      </w:r>
      <w:r w:rsidRPr="00BC438F">
        <w:rPr>
          <w:rFonts w:ascii="Century Gothic" w:hAnsi="Century Gothic"/>
          <w:iCs/>
        </w:rPr>
        <w:t>subrayado fuera de texto)</w:t>
      </w:r>
    </w:p>
    <w:p w14:paraId="30163577" w14:textId="5F0DD4CB" w:rsidR="000F0C11" w:rsidRDefault="000F0C11" w:rsidP="00303C09">
      <w:pPr>
        <w:spacing w:after="0"/>
        <w:jc w:val="both"/>
        <w:rPr>
          <w:rFonts w:ascii="Century Gothic" w:hAnsi="Century Gothic"/>
        </w:rPr>
      </w:pPr>
    </w:p>
    <w:p w14:paraId="73CCC3F5" w14:textId="278B4764" w:rsidR="009745E1" w:rsidRDefault="00303C09" w:rsidP="00303C09">
      <w:pPr>
        <w:spacing w:after="0"/>
        <w:jc w:val="both"/>
        <w:rPr>
          <w:rFonts w:ascii="Century Gothic" w:hAnsi="Century Gothic"/>
        </w:rPr>
      </w:pPr>
      <w:r>
        <w:rPr>
          <w:rFonts w:ascii="Century Gothic" w:hAnsi="Century Gothic"/>
        </w:rPr>
        <w:t>Esta disposición fue reconocida y reiterada por la Corte Constitucional m</w:t>
      </w:r>
      <w:r w:rsidR="009745E1" w:rsidRPr="009745E1">
        <w:rPr>
          <w:rFonts w:ascii="Century Gothic" w:hAnsi="Century Gothic"/>
        </w:rPr>
        <w:t>ediante sentencia C-792 de 2014,</w:t>
      </w:r>
      <w:r>
        <w:rPr>
          <w:rFonts w:ascii="Century Gothic" w:hAnsi="Century Gothic"/>
        </w:rPr>
        <w:t xml:space="preserve"> en donde se señaló que </w:t>
      </w:r>
      <w:r w:rsidR="009745E1" w:rsidRPr="009745E1">
        <w:rPr>
          <w:rFonts w:ascii="Century Gothic" w:hAnsi="Century Gothic"/>
        </w:rPr>
        <w:t xml:space="preserve">toda persona condenada por primera vez tiene derecho a impugnar la sentencia ante el superior funcional del juez que la profirió. Posteriormente, en sentencia de unificación SU-215 de 2016, </w:t>
      </w:r>
      <w:r>
        <w:rPr>
          <w:rFonts w:ascii="Century Gothic" w:hAnsi="Century Gothic"/>
        </w:rPr>
        <w:t xml:space="preserve">la Corte </w:t>
      </w:r>
      <w:r w:rsidR="009745E1" w:rsidRPr="009745E1">
        <w:rPr>
          <w:rFonts w:ascii="Century Gothic" w:hAnsi="Century Gothic"/>
        </w:rPr>
        <w:t>precisó que el derecho a impugnar la primera condena operaba también resp</w:t>
      </w:r>
      <w:r>
        <w:rPr>
          <w:rFonts w:ascii="Century Gothic" w:hAnsi="Century Gothic"/>
        </w:rPr>
        <w:t>ecto de las proferidas por los T</w:t>
      </w:r>
      <w:r w:rsidR="009745E1" w:rsidRPr="009745E1">
        <w:rPr>
          <w:rFonts w:ascii="Century Gothic" w:hAnsi="Century Gothic"/>
        </w:rPr>
        <w:t xml:space="preserve">ribunales </w:t>
      </w:r>
      <w:r>
        <w:rPr>
          <w:rFonts w:ascii="Century Gothic" w:hAnsi="Century Gothic"/>
        </w:rPr>
        <w:t>S</w:t>
      </w:r>
      <w:r w:rsidR="009745E1" w:rsidRPr="009745E1">
        <w:rPr>
          <w:rFonts w:ascii="Century Gothic" w:hAnsi="Century Gothic"/>
        </w:rPr>
        <w:t xml:space="preserve">uperiores, razón por la cual, </w:t>
      </w:r>
      <w:r>
        <w:rPr>
          <w:rFonts w:ascii="Century Gothic" w:hAnsi="Century Gothic"/>
        </w:rPr>
        <w:t xml:space="preserve">se </w:t>
      </w:r>
      <w:r w:rsidR="009745E1" w:rsidRPr="009745E1">
        <w:rPr>
          <w:rFonts w:ascii="Century Gothic" w:hAnsi="Century Gothic"/>
        </w:rPr>
        <w:t xml:space="preserve">expidió el Acto Legislativo 01 de 2018, </w:t>
      </w:r>
      <w:r>
        <w:rPr>
          <w:rFonts w:ascii="Century Gothic" w:hAnsi="Century Gothic"/>
        </w:rPr>
        <w:t>que modificó</w:t>
      </w:r>
      <w:r w:rsidR="009745E1" w:rsidRPr="009745E1">
        <w:rPr>
          <w:rFonts w:ascii="Century Gothic" w:hAnsi="Century Gothic"/>
        </w:rPr>
        <w:t xml:space="preserve"> el artículo 235 de la C</w:t>
      </w:r>
      <w:r>
        <w:rPr>
          <w:rFonts w:ascii="Century Gothic" w:hAnsi="Century Gothic"/>
        </w:rPr>
        <w:t>onstitución Política</w:t>
      </w:r>
      <w:r w:rsidR="009745E1" w:rsidRPr="009745E1">
        <w:rPr>
          <w:rFonts w:ascii="Century Gothic" w:hAnsi="Century Gothic"/>
        </w:rPr>
        <w:t>, atribuyendo a la Corte Suprema de Justicia la competencia para conocer de la impugnación especial de la primera condena dictada por los tribunales.</w:t>
      </w:r>
    </w:p>
    <w:p w14:paraId="45354290" w14:textId="77777777" w:rsidR="00303C09" w:rsidRPr="009745E1" w:rsidRDefault="00303C09" w:rsidP="00303C09">
      <w:pPr>
        <w:spacing w:after="0"/>
        <w:jc w:val="both"/>
        <w:rPr>
          <w:rFonts w:ascii="Century Gothic" w:hAnsi="Century Gothic"/>
        </w:rPr>
      </w:pPr>
    </w:p>
    <w:p w14:paraId="52872461" w14:textId="33118C66" w:rsidR="00303C09" w:rsidRDefault="009745E1" w:rsidP="00303C09">
      <w:pPr>
        <w:spacing w:after="0"/>
        <w:jc w:val="both"/>
        <w:rPr>
          <w:rFonts w:ascii="Century Gothic" w:hAnsi="Century Gothic"/>
        </w:rPr>
      </w:pPr>
      <w:r w:rsidRPr="009745E1">
        <w:rPr>
          <w:rFonts w:ascii="Century Gothic" w:hAnsi="Century Gothic"/>
        </w:rPr>
        <w:t xml:space="preserve">El Acto Legislativo 01 de 2018 desarrolló constitucionalmente la garantía de doble conformidad y le dio a la Corte Suprema de justicia facultades para ocuparse de la primera sentencia condenatoria en casos de aforados, también determinó que toda primera sentencia condenatoria debía ser revisada, </w:t>
      </w:r>
      <w:r w:rsidR="00303C09">
        <w:rPr>
          <w:rFonts w:ascii="Century Gothic" w:hAnsi="Century Gothic"/>
        </w:rPr>
        <w:t>es decir</w:t>
      </w:r>
      <w:r w:rsidRPr="009745E1">
        <w:rPr>
          <w:rFonts w:ascii="Century Gothic" w:hAnsi="Century Gothic"/>
        </w:rPr>
        <w:t>, extendió esa garantía a todos los ciudadanos sin hacer distinción por su fuero. Sin embargo, a má</w:t>
      </w:r>
      <w:r w:rsidR="00303C09">
        <w:rPr>
          <w:rFonts w:ascii="Century Gothic" w:hAnsi="Century Gothic"/>
        </w:rPr>
        <w:t>s de cinco años de expedido el A</w:t>
      </w:r>
      <w:r w:rsidRPr="009745E1">
        <w:rPr>
          <w:rFonts w:ascii="Century Gothic" w:hAnsi="Century Gothic"/>
        </w:rPr>
        <w:t xml:space="preserve">cto </w:t>
      </w:r>
      <w:r w:rsidR="00303C09">
        <w:rPr>
          <w:rFonts w:ascii="Century Gothic" w:hAnsi="Century Gothic"/>
        </w:rPr>
        <w:t>L</w:t>
      </w:r>
      <w:r w:rsidRPr="009745E1">
        <w:rPr>
          <w:rFonts w:ascii="Century Gothic" w:hAnsi="Century Gothic"/>
        </w:rPr>
        <w:t>egislativo y de que las Salas de Instrucción y de Primera Instancia entrarán en funcionamiento, no hay una norma que se ocupe del procedimiento en particular.</w:t>
      </w:r>
    </w:p>
    <w:p w14:paraId="434402DD" w14:textId="5EE5D922" w:rsidR="000F0C11" w:rsidRDefault="000F0C11" w:rsidP="00303C09">
      <w:pPr>
        <w:spacing w:after="0"/>
        <w:jc w:val="both"/>
        <w:rPr>
          <w:rFonts w:ascii="Century Gothic" w:hAnsi="Century Gothic"/>
        </w:rPr>
      </w:pPr>
    </w:p>
    <w:p w14:paraId="3939660C" w14:textId="77777777" w:rsidR="00965B2C" w:rsidRDefault="00965B2C" w:rsidP="00965B2C">
      <w:pPr>
        <w:spacing w:after="0"/>
        <w:jc w:val="both"/>
        <w:rPr>
          <w:rFonts w:ascii="Century Gothic" w:hAnsi="Century Gothic"/>
        </w:rPr>
      </w:pPr>
      <w:r w:rsidRPr="00C83D94">
        <w:rPr>
          <w:rFonts w:ascii="Century Gothic" w:hAnsi="Century Gothic"/>
        </w:rPr>
        <w:t>E</w:t>
      </w:r>
      <w:r>
        <w:rPr>
          <w:rFonts w:ascii="Century Gothic" w:hAnsi="Century Gothic"/>
        </w:rPr>
        <w:t>n e</w:t>
      </w:r>
      <w:r w:rsidRPr="00C83D94">
        <w:rPr>
          <w:rFonts w:ascii="Century Gothic" w:hAnsi="Century Gothic"/>
        </w:rPr>
        <w:t xml:space="preserve">l </w:t>
      </w:r>
      <w:r>
        <w:rPr>
          <w:rFonts w:ascii="Century Gothic" w:hAnsi="Century Gothic"/>
        </w:rPr>
        <w:t>A</w:t>
      </w:r>
      <w:r w:rsidRPr="00C83D94">
        <w:rPr>
          <w:rFonts w:ascii="Century Gothic" w:hAnsi="Century Gothic"/>
        </w:rPr>
        <w:t>uto CSJ AP1263-2019</w:t>
      </w:r>
      <w:r>
        <w:rPr>
          <w:rFonts w:ascii="Century Gothic" w:hAnsi="Century Gothic"/>
        </w:rPr>
        <w:t>,</w:t>
      </w:r>
      <w:r w:rsidRPr="00C83D94">
        <w:rPr>
          <w:rFonts w:ascii="Century Gothic" w:hAnsi="Century Gothic"/>
        </w:rPr>
        <w:t xml:space="preserve"> la Sala de Casación Penal de la Corte Suprema de Justicia adoptó </w:t>
      </w:r>
      <w:r>
        <w:rPr>
          <w:rFonts w:ascii="Century Gothic" w:hAnsi="Century Gothic"/>
        </w:rPr>
        <w:t xml:space="preserve">las siguientes </w:t>
      </w:r>
      <w:r w:rsidRPr="00C83D94">
        <w:rPr>
          <w:rFonts w:ascii="Century Gothic" w:hAnsi="Century Gothic"/>
        </w:rPr>
        <w:t>medidas provisionales y pautas procesales para garantizar el derecho a la doble conformidad judicial</w:t>
      </w:r>
      <w:r w:rsidRPr="009745E1">
        <w:rPr>
          <w:rFonts w:ascii="Century Gothic" w:hAnsi="Century Gothic"/>
        </w:rPr>
        <w:t>:</w:t>
      </w:r>
    </w:p>
    <w:p w14:paraId="6A0C9E18" w14:textId="77777777" w:rsidR="00965B2C" w:rsidRPr="009745E1" w:rsidRDefault="00965B2C" w:rsidP="00965B2C">
      <w:pPr>
        <w:spacing w:after="0"/>
        <w:jc w:val="both"/>
        <w:rPr>
          <w:rFonts w:ascii="Century Gothic" w:hAnsi="Century Gothic"/>
        </w:rPr>
      </w:pPr>
      <w:r w:rsidRPr="009745E1">
        <w:rPr>
          <w:rFonts w:ascii="Century Gothic" w:hAnsi="Century Gothic"/>
        </w:rPr>
        <w:t> </w:t>
      </w:r>
    </w:p>
    <w:p w14:paraId="0119E05B" w14:textId="77777777" w:rsidR="00965B2C" w:rsidRPr="009745E1" w:rsidRDefault="00965B2C" w:rsidP="00965B2C">
      <w:pPr>
        <w:ind w:left="426" w:right="333"/>
        <w:jc w:val="both"/>
        <w:rPr>
          <w:rFonts w:ascii="Century Gothic" w:hAnsi="Century Gothic"/>
        </w:rPr>
      </w:pPr>
      <w:r w:rsidRPr="009745E1">
        <w:rPr>
          <w:rFonts w:ascii="Century Gothic" w:hAnsi="Century Gothic"/>
          <w:i/>
          <w:iCs/>
        </w:rPr>
        <w:t>(i) Se mantiene incólume el derecho de las partes e intervinientes a interponer el recurso extraordinario de casación, en los términos y con los presupuestos establecidos en la ley y desarrollados por la jurisprudencia.</w:t>
      </w:r>
    </w:p>
    <w:p w14:paraId="58C0AA2C" w14:textId="77777777" w:rsidR="00965B2C" w:rsidRPr="009745E1" w:rsidRDefault="00965B2C" w:rsidP="00965B2C">
      <w:pPr>
        <w:ind w:left="426" w:right="333"/>
        <w:jc w:val="both"/>
        <w:rPr>
          <w:rFonts w:ascii="Century Gothic" w:hAnsi="Century Gothic"/>
        </w:rPr>
      </w:pPr>
      <w:r w:rsidRPr="009745E1">
        <w:rPr>
          <w:rFonts w:ascii="Century Gothic" w:hAnsi="Century Gothic"/>
          <w:i/>
          <w:iCs/>
        </w:rPr>
        <w:t>(ii) Sin embargo, el procesado condenado por primera vez en segunda instancia por los tribunales superiores tendrá derecho a impugnar el fallo, ya sea directamente o por conducto de apoderado, cuya resolución corresponde a la Sala de Casación Penal.</w:t>
      </w:r>
    </w:p>
    <w:p w14:paraId="724D2CC7" w14:textId="77777777" w:rsidR="00965B2C" w:rsidRPr="009745E1" w:rsidRDefault="00965B2C" w:rsidP="00965B2C">
      <w:pPr>
        <w:ind w:left="426" w:right="333"/>
        <w:jc w:val="both"/>
        <w:rPr>
          <w:rFonts w:ascii="Century Gothic" w:hAnsi="Century Gothic"/>
        </w:rPr>
      </w:pPr>
      <w:r w:rsidRPr="009745E1">
        <w:rPr>
          <w:rFonts w:ascii="Century Gothic" w:hAnsi="Century Gothic"/>
          <w:i/>
          <w:iCs/>
        </w:rPr>
        <w:t xml:space="preserve">(iii) La sustentación de esa impugnación estará desprovista de la técnica asociada al recurso de casación, aunque seguirá la lógica propia del </w:t>
      </w:r>
      <w:r w:rsidRPr="009745E1">
        <w:rPr>
          <w:rFonts w:ascii="Century Gothic" w:hAnsi="Century Gothic"/>
          <w:i/>
          <w:iCs/>
        </w:rPr>
        <w:lastRenderedPageBreak/>
        <w:t>recurso de apelación. Por ende, las razones del disenso constituyen el límite de la Corte para resolver.</w:t>
      </w:r>
    </w:p>
    <w:p w14:paraId="15BBCEF3" w14:textId="77777777" w:rsidR="00965B2C" w:rsidRPr="009745E1" w:rsidRDefault="00965B2C" w:rsidP="00965B2C">
      <w:pPr>
        <w:ind w:left="426" w:right="333"/>
        <w:jc w:val="both"/>
        <w:rPr>
          <w:rFonts w:ascii="Century Gothic" w:hAnsi="Century Gothic"/>
        </w:rPr>
      </w:pPr>
      <w:r w:rsidRPr="009745E1">
        <w:rPr>
          <w:rFonts w:ascii="Century Gothic" w:hAnsi="Century Gothic"/>
          <w:i/>
          <w:iCs/>
        </w:rPr>
        <w:t>(iv) El tribunal, bajo esos presupuestos, advertirá en el fallo, que, frente a la decisión que contenga la primera condena, cabe la impugnación especial para el procesado y/o su defensor, mientras que las demás partes e intervinientes tienen la posibilidad de interponer recurso de casación.</w:t>
      </w:r>
    </w:p>
    <w:p w14:paraId="60FEEF1B" w14:textId="77777777" w:rsidR="00965B2C" w:rsidRPr="001D12F3" w:rsidRDefault="00965B2C" w:rsidP="00965B2C">
      <w:pPr>
        <w:ind w:left="426" w:right="333"/>
        <w:jc w:val="both"/>
        <w:rPr>
          <w:rFonts w:ascii="Century Gothic" w:hAnsi="Century Gothic"/>
        </w:rPr>
      </w:pPr>
      <w:r w:rsidRPr="009745E1">
        <w:rPr>
          <w:rFonts w:ascii="Century Gothic" w:hAnsi="Century Gothic"/>
          <w:i/>
          <w:iCs/>
        </w:rPr>
        <w:t>(v</w:t>
      </w:r>
      <w:r w:rsidRPr="001D12F3">
        <w:rPr>
          <w:rFonts w:ascii="Century Gothic" w:hAnsi="Century Gothic"/>
          <w:i/>
          <w:iCs/>
        </w:rPr>
        <w:t>) Los términos procesales de la casación rigen los de la impugnación especial. De manera que el plazo para promover y sustentar la impugnación especial será el mismo que prevé el Código de Procedimiento Penal, según la ley que haya regido el proceso -600 de 2000 o 906 de 2004-, para el recurso de casación.</w:t>
      </w:r>
    </w:p>
    <w:p w14:paraId="2F27CCCE" w14:textId="77777777" w:rsidR="00965B2C" w:rsidRPr="001D12F3" w:rsidRDefault="00965B2C" w:rsidP="00965B2C">
      <w:pPr>
        <w:ind w:left="426" w:right="333"/>
        <w:jc w:val="both"/>
        <w:rPr>
          <w:rFonts w:ascii="Century Gothic" w:hAnsi="Century Gothic"/>
        </w:rPr>
      </w:pPr>
      <w:r w:rsidRPr="001D12F3">
        <w:rPr>
          <w:rFonts w:ascii="Century Gothic" w:hAnsi="Century Gothic"/>
          <w:i/>
          <w:iCs/>
        </w:rPr>
        <w:t>(vi) Si el procesado condenado por primera vez, o su defensor, proponen impugnación especial, el tribunal, respecto de ella, correrá el traslado a los no recurrentes para que se pronuncien, conforme ocurre cuando se interpone el recurso de apelación contra sentencias, según los artículos 194 y 179 de las leyes 600 y 906, respectivamente. Luego de lo cual, remitirá el expediente a la Sala de Casación Penal.</w:t>
      </w:r>
    </w:p>
    <w:p w14:paraId="24E8C731" w14:textId="77777777" w:rsidR="00965B2C" w:rsidRDefault="00965B2C" w:rsidP="00965B2C">
      <w:pPr>
        <w:ind w:left="426" w:right="333"/>
        <w:jc w:val="both"/>
        <w:rPr>
          <w:rFonts w:ascii="Century Gothic" w:hAnsi="Century Gothic"/>
          <w:i/>
          <w:iCs/>
        </w:rPr>
      </w:pPr>
      <w:r w:rsidRPr="001D12F3">
        <w:rPr>
          <w:rFonts w:ascii="Century Gothic" w:hAnsi="Century Gothic"/>
          <w:i/>
          <w:iCs/>
        </w:rPr>
        <w:t>(vii) Si además de la impugnación especial promovida por el acusado o su defensor, otro sujeto procesal o interviniente promovió casación, esta Sala procederá, primero, a calificar la demanda de casación.”</w:t>
      </w:r>
    </w:p>
    <w:p w14:paraId="112E59CD" w14:textId="77777777" w:rsidR="00965B2C" w:rsidRPr="00B21250" w:rsidRDefault="00965B2C" w:rsidP="00965B2C">
      <w:pPr>
        <w:spacing w:after="0"/>
        <w:ind w:left="426" w:right="333"/>
        <w:jc w:val="both"/>
        <w:rPr>
          <w:rFonts w:ascii="Century Gothic" w:hAnsi="Century Gothic"/>
          <w:i/>
        </w:rPr>
      </w:pPr>
      <w:r w:rsidRPr="00B21250">
        <w:rPr>
          <w:rFonts w:ascii="Century Gothic" w:hAnsi="Century Gothic"/>
          <w:i/>
        </w:rPr>
        <w:t xml:space="preserve">(viii) Si se inadmite la demanda y -tratándose de procesos seguidos por el estatuto adjetivo penal de 2004- el mecanismo de insistencia no se promovió o no prosperó, la Sala procederá a resolver, en sentencia, la impugnación especial. </w:t>
      </w:r>
    </w:p>
    <w:p w14:paraId="3A37CD63" w14:textId="77777777" w:rsidR="00965B2C" w:rsidRPr="00B21250" w:rsidRDefault="00965B2C" w:rsidP="00965B2C">
      <w:pPr>
        <w:spacing w:after="0"/>
        <w:ind w:left="426" w:right="333"/>
        <w:jc w:val="both"/>
        <w:rPr>
          <w:rFonts w:ascii="Century Gothic" w:hAnsi="Century Gothic"/>
          <w:i/>
        </w:rPr>
      </w:pPr>
    </w:p>
    <w:p w14:paraId="09CF267C" w14:textId="77777777" w:rsidR="00965B2C" w:rsidRPr="00B21250" w:rsidRDefault="00965B2C" w:rsidP="00965B2C">
      <w:pPr>
        <w:spacing w:after="0"/>
        <w:ind w:left="426" w:right="333"/>
        <w:jc w:val="both"/>
        <w:rPr>
          <w:rFonts w:ascii="Century Gothic" w:hAnsi="Century Gothic"/>
          <w:i/>
        </w:rPr>
      </w:pPr>
      <w:r w:rsidRPr="00B21250">
        <w:rPr>
          <w:rFonts w:ascii="Century Gothic" w:hAnsi="Century Gothic"/>
          <w:i/>
        </w:rPr>
        <w:t>ix) Si la demanda se admite, la Sala, luego de realizada la audiencia de sustentación o de recibido el concepto de la Procuraduría –según sea Ley 906 o Ley 600-, procederá a resolver el recurso extraordinario y, en la misma sentencia, la impugnación especial.</w:t>
      </w:r>
    </w:p>
    <w:p w14:paraId="6B041C84" w14:textId="77777777" w:rsidR="00965B2C" w:rsidRPr="00B21250" w:rsidRDefault="00965B2C" w:rsidP="00965B2C">
      <w:pPr>
        <w:spacing w:after="0"/>
        <w:ind w:left="426" w:right="333"/>
        <w:jc w:val="both"/>
        <w:rPr>
          <w:rFonts w:ascii="Century Gothic" w:hAnsi="Century Gothic"/>
          <w:i/>
        </w:rPr>
      </w:pPr>
    </w:p>
    <w:p w14:paraId="17C6DA02" w14:textId="77777777" w:rsidR="00965B2C" w:rsidRPr="00B21250" w:rsidRDefault="00965B2C" w:rsidP="00965B2C">
      <w:pPr>
        <w:spacing w:after="0"/>
        <w:ind w:left="426" w:right="333"/>
        <w:jc w:val="both"/>
        <w:rPr>
          <w:rFonts w:ascii="Century Gothic" w:hAnsi="Century Gothic"/>
          <w:i/>
        </w:rPr>
      </w:pPr>
      <w:r w:rsidRPr="00B21250">
        <w:rPr>
          <w:rFonts w:ascii="Century Gothic" w:hAnsi="Century Gothic"/>
          <w:i/>
        </w:rPr>
        <w:t xml:space="preserve">(x) Puntualmente, contra la decisión que resuelve la impugnación especial no procede casación.” </w:t>
      </w:r>
    </w:p>
    <w:p w14:paraId="42A6417D" w14:textId="77777777" w:rsidR="00965B2C" w:rsidRPr="00B21250" w:rsidRDefault="00965B2C" w:rsidP="00965B2C">
      <w:pPr>
        <w:spacing w:after="0"/>
        <w:jc w:val="both"/>
        <w:rPr>
          <w:rFonts w:ascii="Century Gothic" w:hAnsi="Century Gothic"/>
          <w:i/>
        </w:rPr>
      </w:pPr>
    </w:p>
    <w:p w14:paraId="7F2B2C2D" w14:textId="77777777" w:rsidR="00965B2C" w:rsidRDefault="00965B2C" w:rsidP="00965B2C">
      <w:pPr>
        <w:spacing w:after="0"/>
        <w:jc w:val="both"/>
        <w:rPr>
          <w:rFonts w:ascii="Century Gothic" w:hAnsi="Century Gothic"/>
        </w:rPr>
      </w:pPr>
      <w:r w:rsidRPr="009745E1">
        <w:rPr>
          <w:rFonts w:ascii="Century Gothic" w:hAnsi="Century Gothic"/>
        </w:rPr>
        <w:t>En la sentencia SU-218 de 2019 la Corte Constitucional recogió la fórmula que estaba aplicando la Corte Suprema de Justicia para garantizar la doble conformidad en los casos que lleven a una sentencia penal en sede de casación luego de que en las dos instancias se absolviera:</w:t>
      </w:r>
    </w:p>
    <w:p w14:paraId="6C50C00D" w14:textId="77777777" w:rsidR="00965B2C" w:rsidRPr="000F0C11" w:rsidRDefault="00965B2C" w:rsidP="00965B2C">
      <w:pPr>
        <w:spacing w:after="0"/>
        <w:ind w:left="426" w:right="333"/>
        <w:jc w:val="both"/>
        <w:rPr>
          <w:rFonts w:ascii="Century Gothic" w:hAnsi="Century Gothic"/>
          <w:i/>
        </w:rPr>
      </w:pPr>
      <w:r w:rsidRPr="000F0C11">
        <w:rPr>
          <w:rFonts w:ascii="Century Gothic" w:hAnsi="Century Gothic"/>
          <w:i/>
        </w:rPr>
        <w:lastRenderedPageBreak/>
        <w:t>Allí, la Corte reivindicó el derecho a impugnar el primer fallo de condena como una protección reforzada del derecho a la presunción de inocencia, y consideró que, en la actualidad, el numeral 7º del artículo 235 de la Constitución, con la reforma que introdujo el Acto legislativo 01 de 2018, “en consonancia con las normas propias para la interposición y resolución del recurso de apelación contra sentencias”, ofrecen los presupuestos básicos para la garantía de tal derecho. Sobre la forma en que se debe tomar la decisión, la Corte manifestó lo siguiente:</w:t>
      </w:r>
    </w:p>
    <w:p w14:paraId="70E4B64B" w14:textId="77777777" w:rsidR="00965B2C" w:rsidRPr="000F0C11" w:rsidRDefault="00965B2C" w:rsidP="00965B2C">
      <w:pPr>
        <w:spacing w:after="0"/>
        <w:ind w:left="426" w:right="333"/>
        <w:jc w:val="both"/>
        <w:rPr>
          <w:rFonts w:ascii="Century Gothic" w:hAnsi="Century Gothic"/>
          <w:i/>
        </w:rPr>
      </w:pPr>
    </w:p>
    <w:p w14:paraId="113259F4" w14:textId="77777777" w:rsidR="00965B2C" w:rsidRPr="000F0C11" w:rsidRDefault="00965B2C" w:rsidP="00965B2C">
      <w:pPr>
        <w:spacing w:after="0"/>
        <w:ind w:left="426" w:right="333"/>
        <w:jc w:val="both"/>
        <w:rPr>
          <w:rFonts w:ascii="Century Gothic" w:hAnsi="Century Gothic"/>
          <w:i/>
        </w:rPr>
      </w:pPr>
      <w:r w:rsidRPr="000F0C11">
        <w:rPr>
          <w:rFonts w:ascii="Century Gothic" w:hAnsi="Century Gothic"/>
          <w:i/>
        </w:rPr>
        <w:t>Quiere ello decir, entonces, que cuando la primera condena se dicte en sede de casación, la Sala de Casación Penal ha de integrarse de manera tal que tres de sus magistrados no conozcan del asunto, a fin de que queden habilitados para pronunciarse sobre la doble conformidad, si ésta llegare a solicitarse por la defensa.</w:t>
      </w:r>
    </w:p>
    <w:p w14:paraId="53B19F1C" w14:textId="77777777" w:rsidR="00965B2C" w:rsidRPr="000F0C11" w:rsidRDefault="00965B2C" w:rsidP="00965B2C">
      <w:pPr>
        <w:spacing w:after="0"/>
        <w:ind w:left="426" w:right="333"/>
        <w:jc w:val="both"/>
        <w:rPr>
          <w:rFonts w:ascii="Century Gothic" w:hAnsi="Century Gothic"/>
          <w:i/>
        </w:rPr>
      </w:pPr>
    </w:p>
    <w:p w14:paraId="6031DB39" w14:textId="77777777" w:rsidR="00965B2C" w:rsidRDefault="00965B2C" w:rsidP="00965B2C">
      <w:pPr>
        <w:spacing w:after="0"/>
        <w:ind w:left="426" w:right="333"/>
        <w:jc w:val="both"/>
        <w:rPr>
          <w:rFonts w:ascii="Century Gothic" w:hAnsi="Century Gothic"/>
          <w:i/>
        </w:rPr>
      </w:pPr>
      <w:r w:rsidRPr="000F0C11">
        <w:rPr>
          <w:rFonts w:ascii="Century Gothic" w:hAnsi="Century Gothic"/>
          <w:i/>
        </w:rPr>
        <w:t>De ahí que, en asuntos como el aquí analizado, el magistrado ponente ha de convocar a los cinco magistrados que le siguen en orden alfabético, a fin de conformar sala (de seis integrantes) para discutir la ponencia y dictar la sentencia. Los tres magistrados restantes integrarán sala para revisar, dado el caso, la doble conformidad.</w:t>
      </w:r>
    </w:p>
    <w:p w14:paraId="73B402AE" w14:textId="77777777" w:rsidR="00965B2C" w:rsidRDefault="00965B2C" w:rsidP="00965B2C">
      <w:pPr>
        <w:spacing w:after="0"/>
        <w:ind w:left="426" w:right="333"/>
        <w:jc w:val="both"/>
        <w:rPr>
          <w:rFonts w:ascii="Century Gothic" w:hAnsi="Century Gothic"/>
          <w:i/>
        </w:rPr>
      </w:pPr>
    </w:p>
    <w:p w14:paraId="5BD7B968" w14:textId="77777777" w:rsidR="00965B2C" w:rsidRPr="000F0C11" w:rsidRDefault="00965B2C" w:rsidP="00965B2C">
      <w:pPr>
        <w:spacing w:after="0"/>
        <w:ind w:left="426" w:right="333"/>
        <w:jc w:val="both"/>
        <w:rPr>
          <w:rFonts w:ascii="Century Gothic" w:hAnsi="Century Gothic"/>
          <w:i/>
        </w:rPr>
      </w:pPr>
      <w:r w:rsidRPr="000F0C11">
        <w:rPr>
          <w:rFonts w:ascii="Century Gothic" w:hAnsi="Century Gothic"/>
          <w:i/>
        </w:rPr>
        <w:t>Se trata, desde luego, de un procedimiento implementado de manera transitoria, para que el derecho “no quede en el vacío”, mientras el Legislador reglamenta integralmente el trámite correspondiente; para ello, el Alto Tribunal de la justicia ordinaria, en la misma providencia, dirigió un nuevo exhorto al órgano de representación política.</w:t>
      </w:r>
    </w:p>
    <w:p w14:paraId="7DF0AFB5" w14:textId="77777777" w:rsidR="00965B2C" w:rsidRPr="000F0C11" w:rsidRDefault="00965B2C" w:rsidP="00965B2C">
      <w:pPr>
        <w:spacing w:after="0"/>
        <w:ind w:left="426" w:right="333"/>
        <w:jc w:val="both"/>
        <w:rPr>
          <w:rFonts w:ascii="Century Gothic" w:hAnsi="Century Gothic"/>
          <w:i/>
        </w:rPr>
      </w:pPr>
    </w:p>
    <w:p w14:paraId="1591A64C" w14:textId="77777777" w:rsidR="00965B2C" w:rsidRDefault="00965B2C" w:rsidP="00965B2C">
      <w:pPr>
        <w:spacing w:after="0"/>
        <w:jc w:val="both"/>
        <w:rPr>
          <w:rFonts w:ascii="Century Gothic" w:hAnsi="Century Gothic"/>
        </w:rPr>
      </w:pPr>
      <w:r w:rsidRPr="009745E1">
        <w:rPr>
          <w:rFonts w:ascii="Century Gothic" w:hAnsi="Century Gothic"/>
        </w:rPr>
        <w:t>En la sentencia SU 397 de 2019 la Corte Constitucional sostuvo lo siguiente:</w:t>
      </w:r>
    </w:p>
    <w:p w14:paraId="0FA568AF" w14:textId="77777777" w:rsidR="00965B2C" w:rsidRPr="009745E1" w:rsidRDefault="00965B2C" w:rsidP="00965B2C">
      <w:pPr>
        <w:spacing w:after="0"/>
        <w:jc w:val="both"/>
        <w:rPr>
          <w:rFonts w:ascii="Century Gothic" w:hAnsi="Century Gothic"/>
        </w:rPr>
      </w:pPr>
    </w:p>
    <w:p w14:paraId="57ADC875" w14:textId="77777777" w:rsidR="00965B2C" w:rsidRPr="000F0C11" w:rsidRDefault="00965B2C" w:rsidP="00965B2C">
      <w:pPr>
        <w:spacing w:after="0"/>
        <w:ind w:left="426" w:right="191"/>
        <w:jc w:val="both"/>
        <w:rPr>
          <w:rFonts w:ascii="Century Gothic" w:hAnsi="Century Gothic"/>
          <w:i/>
        </w:rPr>
      </w:pPr>
      <w:r w:rsidRPr="000F0C11">
        <w:rPr>
          <w:rFonts w:ascii="Century Gothic" w:hAnsi="Century Gothic"/>
          <w:i/>
        </w:rPr>
        <w:t xml:space="preserve">Conforme a lo expuesto, se concluye </w:t>
      </w:r>
      <w:proofErr w:type="gramStart"/>
      <w:r w:rsidRPr="000F0C11">
        <w:rPr>
          <w:rFonts w:ascii="Century Gothic" w:hAnsi="Century Gothic"/>
          <w:i/>
        </w:rPr>
        <w:t>que</w:t>
      </w:r>
      <w:proofErr w:type="gramEnd"/>
      <w:r w:rsidRPr="000F0C11">
        <w:rPr>
          <w:rFonts w:ascii="Century Gothic" w:hAnsi="Century Gothic"/>
          <w:i/>
        </w:rPr>
        <w:t xml:space="preserve"> si bien la falta de desarrollo legal del derecho a impugnar la primera sentencia condenatoria persiste, la jurisprudencia de la Sala Penal de la Corte Suprema de Justicia ha avanzado hacia su protección. Para el efecto, y puntualmente en los casos en que el primer fallo incriminatorio es adoptado por los tribunales superiores, dicha Sala ha empleado el recurso extraordinario de casación. Así, en un comienzo, la Sala flexibilizó las barreras que por mandato legal y de ordinario tiene la casación, de suerte </w:t>
      </w:r>
      <w:proofErr w:type="gramStart"/>
      <w:r w:rsidRPr="000F0C11">
        <w:rPr>
          <w:rFonts w:ascii="Century Gothic" w:hAnsi="Century Gothic"/>
          <w:i/>
        </w:rPr>
        <w:t>que</w:t>
      </w:r>
      <w:proofErr w:type="gramEnd"/>
      <w:r w:rsidRPr="000F0C11">
        <w:rPr>
          <w:rFonts w:ascii="Century Gothic" w:hAnsi="Century Gothic"/>
          <w:i/>
        </w:rPr>
        <w:t xml:space="preserve"> en varias oportunidades, no solo decidió la demanda como tal, sino que, además, se pronunció sobre el fondo del asunto y analizó la responsabilidad del condenado; y más recientemente, optó por definir «medidas provisionales» orientadas a habilitar el ejercicio de </w:t>
      </w:r>
      <w:r w:rsidRPr="000F0C11">
        <w:rPr>
          <w:rFonts w:ascii="Century Gothic" w:hAnsi="Century Gothic"/>
          <w:i/>
        </w:rPr>
        <w:lastRenderedPageBreak/>
        <w:t>este derecho, las cuales, en todo caso, son aplicables «dentro del marco procesal de la casación.</w:t>
      </w:r>
    </w:p>
    <w:p w14:paraId="40F003E6" w14:textId="77777777" w:rsidR="00965B2C" w:rsidRPr="009745E1" w:rsidRDefault="00965B2C" w:rsidP="00965B2C">
      <w:pPr>
        <w:spacing w:after="0"/>
        <w:jc w:val="both"/>
        <w:rPr>
          <w:rFonts w:ascii="Century Gothic" w:hAnsi="Century Gothic"/>
        </w:rPr>
      </w:pPr>
    </w:p>
    <w:p w14:paraId="52D26EC3" w14:textId="5C91ECFA" w:rsidR="00965B2C" w:rsidRPr="009745E1" w:rsidRDefault="00965B2C" w:rsidP="00965B2C">
      <w:pPr>
        <w:spacing w:after="0"/>
        <w:jc w:val="both"/>
        <w:rPr>
          <w:rFonts w:ascii="Century Gothic" w:hAnsi="Century Gothic"/>
        </w:rPr>
      </w:pPr>
      <w:r w:rsidRPr="009745E1">
        <w:rPr>
          <w:rFonts w:ascii="Century Gothic" w:hAnsi="Century Gothic"/>
        </w:rPr>
        <w:t>En ese sentido, si bien la Corte Constitucional ha reconocido las reglas que ha desarrollado la Corte Suprema de Justicia y de que el vacío ha sido llenado de contenido de forma transitoria, no ha dejado de mencionar que hay un déficit normativo que s</w:t>
      </w:r>
      <w:r w:rsidR="00B21250">
        <w:rPr>
          <w:rFonts w:ascii="Century Gothic" w:hAnsi="Century Gothic"/>
        </w:rPr>
        <w:t>o</w:t>
      </w:r>
      <w:r w:rsidRPr="009745E1">
        <w:rPr>
          <w:rFonts w:ascii="Century Gothic" w:hAnsi="Century Gothic"/>
        </w:rPr>
        <w:t>lo puede ser cubierto por el legislador. De hecho, el que se sigan fallando tutelas por la Corte Constitucional y la Corte Suprema de Justicia amparando los derechos a la doble instancia y a la doble conformidad, muestran una problemática que no se ha podido atender de la forma en que corresponde. </w:t>
      </w:r>
    </w:p>
    <w:p w14:paraId="32C7E217" w14:textId="77777777" w:rsidR="00965B2C" w:rsidRDefault="00965B2C" w:rsidP="00303C09">
      <w:pPr>
        <w:spacing w:after="0"/>
        <w:jc w:val="both"/>
        <w:rPr>
          <w:rFonts w:ascii="Century Gothic" w:hAnsi="Century Gothic"/>
        </w:rPr>
      </w:pPr>
    </w:p>
    <w:p w14:paraId="2054063B" w14:textId="77777777" w:rsidR="000F0C11" w:rsidRDefault="000F0C11" w:rsidP="000F0C11">
      <w:pPr>
        <w:spacing w:after="0"/>
        <w:jc w:val="both"/>
        <w:rPr>
          <w:rFonts w:ascii="Century Gothic" w:hAnsi="Century Gothic"/>
        </w:rPr>
      </w:pPr>
      <w:r>
        <w:rPr>
          <w:rFonts w:ascii="Century Gothic" w:hAnsi="Century Gothic"/>
        </w:rPr>
        <w:t xml:space="preserve">Como precedente internacional, el </w:t>
      </w:r>
      <w:r w:rsidRPr="009745E1">
        <w:rPr>
          <w:rFonts w:ascii="Century Gothic" w:hAnsi="Century Gothic"/>
        </w:rPr>
        <w:t>3 d</w:t>
      </w:r>
      <w:r>
        <w:rPr>
          <w:rFonts w:ascii="Century Gothic" w:hAnsi="Century Gothic"/>
        </w:rPr>
        <w:t>e junio del 2024 se condenó al E</w:t>
      </w:r>
      <w:r w:rsidRPr="009745E1">
        <w:rPr>
          <w:rFonts w:ascii="Century Gothic" w:hAnsi="Century Gothic"/>
        </w:rPr>
        <w:t>stado colombiano por la vulneración de esta garantía al ciudadano Saulo Arboleda Gómez. Este ciudadano, luego de fungir como Ministro de Comunicaciones de Colombia, fue juzgado y condenado en un proceso de única instancia llevado por la Corte Suprema de Justicia. La Corte Interamericana determinó que, de la lectura del artículo 8.2.h de la Convención Americana de Derechos Humanos no se establece ninguna clase de excepción, pues se dispone claramente que el derecho de recurrir del fallo ante juez o tribunal superior existe, y no hace ninguna distinción sobre el tipo de tribunal que emitiría la decisión a apelarse, ni sobre la persona que pueden ser acreedores de estas garantías. Dice la Corte:</w:t>
      </w:r>
    </w:p>
    <w:p w14:paraId="527FCAAB" w14:textId="77777777" w:rsidR="000F0C11" w:rsidRPr="009745E1" w:rsidRDefault="000F0C11" w:rsidP="000F0C11">
      <w:pPr>
        <w:spacing w:after="0"/>
        <w:jc w:val="both"/>
        <w:rPr>
          <w:rFonts w:ascii="Century Gothic" w:hAnsi="Century Gothic"/>
        </w:rPr>
      </w:pPr>
    </w:p>
    <w:p w14:paraId="0B8ED5AB" w14:textId="77777777" w:rsidR="000F0C11" w:rsidRDefault="000F0C11" w:rsidP="000F0C11">
      <w:pPr>
        <w:spacing w:after="0"/>
        <w:ind w:left="426" w:right="333"/>
        <w:jc w:val="both"/>
        <w:rPr>
          <w:rFonts w:ascii="Century Gothic" w:hAnsi="Century Gothic"/>
          <w:i/>
          <w:iCs/>
          <w:u w:val="single"/>
        </w:rPr>
      </w:pPr>
      <w:r w:rsidRPr="009745E1">
        <w:rPr>
          <w:rFonts w:ascii="Century Gothic" w:hAnsi="Century Gothic"/>
          <w:i/>
          <w:iCs/>
        </w:rPr>
        <w:t xml:space="preserve">Esta Corte se ha referido en su jurisprudencia, de manera constante, al alcance y contenido del artículo 8.2.h) de la Convención, y ha establecido que es el derecho a recurrir el fallo condenatorio es una garantía básica prevista en la Convención Americana y que aplica a todas las personas y procesos. El Tribunal ha entendido que dicho derecho consiste en una garantía mínima y primordial que “se debe respetar en el marco del debido proceso legal, en aras de permitir que una sentencia adversa pueda ser revisada por un juez o tribunal distinto y de superior jerarquía […]”. </w:t>
      </w:r>
      <w:r w:rsidRPr="009745E1">
        <w:rPr>
          <w:rFonts w:ascii="Century Gothic" w:hAnsi="Century Gothic"/>
          <w:i/>
          <w:iCs/>
          <w:u w:val="single"/>
        </w:rPr>
        <w:t>Con el fin evitar que quien esté incurso en un proceso no sea sometido a decisiones arbitrarias, la Corte ha interpretado que el derecho a recurrir el fallo debe garantizarse a todo aquél que es condenado. Por lo mismo, la Corte ha considerado el derecho a recurrir el fallo como una de las garantías mínimas que tiene toda persona que es sometida a una investigación y proceso penal.</w:t>
      </w:r>
    </w:p>
    <w:p w14:paraId="01A7C8E8" w14:textId="77777777" w:rsidR="000F0C11" w:rsidRDefault="000F0C11" w:rsidP="000F0C11">
      <w:pPr>
        <w:spacing w:after="0"/>
        <w:ind w:left="426" w:right="333"/>
        <w:jc w:val="both"/>
        <w:rPr>
          <w:rFonts w:ascii="Century Gothic" w:hAnsi="Century Gothic"/>
          <w:i/>
          <w:iCs/>
        </w:rPr>
      </w:pPr>
    </w:p>
    <w:p w14:paraId="1CD32036" w14:textId="77777777" w:rsidR="000F0C11" w:rsidRDefault="000F0C11" w:rsidP="000F0C11">
      <w:pPr>
        <w:spacing w:after="0"/>
        <w:ind w:left="426" w:right="333"/>
        <w:jc w:val="both"/>
        <w:rPr>
          <w:rFonts w:ascii="Century Gothic" w:hAnsi="Century Gothic"/>
          <w:i/>
          <w:iCs/>
        </w:rPr>
      </w:pPr>
      <w:r w:rsidRPr="009745E1">
        <w:rPr>
          <w:rFonts w:ascii="Century Gothic" w:hAnsi="Century Gothic"/>
          <w:i/>
          <w:iCs/>
        </w:rPr>
        <w:t xml:space="preserve">La Corte también ha determinado, que el artículo 8.2.h) de la Convención se refiere a un recurso ordinario, accesible y eficaz, el cual permita analizar las cuestiones fácticas, probatorias y jurídicas en que se basa la sentencia </w:t>
      </w:r>
      <w:r w:rsidRPr="009745E1">
        <w:rPr>
          <w:rFonts w:ascii="Century Gothic" w:hAnsi="Century Gothic"/>
          <w:i/>
          <w:iCs/>
        </w:rPr>
        <w:lastRenderedPageBreak/>
        <w:t>impugnada, posibilitando un control amplio de los aspectos impugnados de la sentencia condenatoria. (...)</w:t>
      </w:r>
    </w:p>
    <w:p w14:paraId="6A87665F" w14:textId="77777777" w:rsidR="000F0C11" w:rsidRPr="009745E1" w:rsidRDefault="000F0C11" w:rsidP="000F0C11">
      <w:pPr>
        <w:spacing w:after="0"/>
        <w:ind w:left="426" w:right="333"/>
        <w:jc w:val="both"/>
        <w:rPr>
          <w:rFonts w:ascii="Century Gothic" w:hAnsi="Century Gothic"/>
        </w:rPr>
      </w:pPr>
    </w:p>
    <w:p w14:paraId="676F3D0A" w14:textId="77777777" w:rsidR="000F0C11" w:rsidRPr="00955685" w:rsidRDefault="000F0C11" w:rsidP="000F0C11">
      <w:pPr>
        <w:spacing w:after="0"/>
        <w:ind w:left="426" w:right="333"/>
        <w:jc w:val="both"/>
        <w:rPr>
          <w:rFonts w:ascii="Century Gothic" w:hAnsi="Century Gothic"/>
        </w:rPr>
      </w:pPr>
      <w:r w:rsidRPr="009745E1">
        <w:rPr>
          <w:rFonts w:ascii="Century Gothic" w:hAnsi="Century Gothic"/>
          <w:i/>
          <w:iCs/>
        </w:rPr>
        <w:t>Particularmente con el artículo 8.2.h), encuentra esta Corte que la disposición no establece ningún tipo de excepción en su aplicación, el texto de la misma establece de forma clara que existe “el derecho de recurrir del fallo ante juez o tribunal superior” y no hace ninguna distinción con relación al tipo de tribunal que emitiría la decisión a apelarse, ni excluye a persona alguna de dicha garantía. Por lo expuesto, a criterio de la Corte, dicha obligación aplica a todos los procesos e incluso a los de “aforados constitucionales”</w:t>
      </w:r>
      <w:r>
        <w:rPr>
          <w:rStyle w:val="Refdenotaalpie"/>
          <w:rFonts w:ascii="Century Gothic" w:hAnsi="Century Gothic"/>
          <w:i/>
          <w:iCs/>
        </w:rPr>
        <w:footnoteReference w:id="3"/>
      </w:r>
      <w:r w:rsidRPr="009745E1">
        <w:rPr>
          <w:rFonts w:ascii="Century Gothic" w:hAnsi="Century Gothic"/>
          <w:i/>
          <w:iCs/>
        </w:rPr>
        <w:t xml:space="preserve">.  </w:t>
      </w:r>
      <w:r w:rsidRPr="00955685">
        <w:rPr>
          <w:rFonts w:ascii="Century Gothic" w:hAnsi="Century Gothic"/>
          <w:iCs/>
        </w:rPr>
        <w:t>(subrayas fuera de texto)</w:t>
      </w:r>
    </w:p>
    <w:p w14:paraId="318587CB" w14:textId="77777777" w:rsidR="000F0C11" w:rsidRDefault="000F0C11" w:rsidP="000F0C11">
      <w:pPr>
        <w:spacing w:after="0"/>
        <w:jc w:val="both"/>
        <w:rPr>
          <w:rFonts w:ascii="Century Gothic" w:hAnsi="Century Gothic"/>
        </w:rPr>
      </w:pPr>
    </w:p>
    <w:p w14:paraId="6AB74472" w14:textId="142674F8" w:rsidR="000F0C11" w:rsidRDefault="000F0C11" w:rsidP="000F0C11">
      <w:pPr>
        <w:spacing w:after="0"/>
        <w:jc w:val="both"/>
        <w:rPr>
          <w:rFonts w:ascii="Century Gothic" w:hAnsi="Century Gothic"/>
        </w:rPr>
      </w:pPr>
      <w:r>
        <w:rPr>
          <w:rFonts w:ascii="Century Gothic" w:hAnsi="Century Gothic"/>
        </w:rPr>
        <w:t>L</w:t>
      </w:r>
      <w:r w:rsidRPr="009745E1">
        <w:rPr>
          <w:rFonts w:ascii="Century Gothic" w:hAnsi="Century Gothic"/>
        </w:rPr>
        <w:t xml:space="preserve">a Corte </w:t>
      </w:r>
      <w:r w:rsidR="00965B2C">
        <w:rPr>
          <w:rFonts w:ascii="Century Gothic" w:hAnsi="Century Gothic"/>
        </w:rPr>
        <w:t xml:space="preserve">Interamericana </w:t>
      </w:r>
      <w:r w:rsidRPr="009745E1">
        <w:rPr>
          <w:rFonts w:ascii="Century Gothic" w:hAnsi="Century Gothic"/>
        </w:rPr>
        <w:t>concluye que la obligación del Estado de proporcionar un recurso judicial, no se reduce a la mera existencia de los tribunales o procedimientos formales, sino también incluye la obligación de adoptar medidas positivas para garantizar qu</w:t>
      </w:r>
      <w:r>
        <w:rPr>
          <w:rFonts w:ascii="Century Gothic" w:hAnsi="Century Gothic"/>
        </w:rPr>
        <w:t>e los recursos proporcionados sea</w:t>
      </w:r>
      <w:r w:rsidRPr="009745E1">
        <w:rPr>
          <w:rFonts w:ascii="Century Gothic" w:hAnsi="Century Gothic"/>
        </w:rPr>
        <w:t xml:space="preserve">n verdaderamente efectivos. </w:t>
      </w:r>
    </w:p>
    <w:p w14:paraId="13C9B11E" w14:textId="77777777" w:rsidR="000F0C11" w:rsidRDefault="000F0C11" w:rsidP="000F0C11">
      <w:pPr>
        <w:spacing w:after="0"/>
        <w:jc w:val="both"/>
        <w:rPr>
          <w:rFonts w:ascii="Century Gothic" w:hAnsi="Century Gothic"/>
        </w:rPr>
      </w:pPr>
    </w:p>
    <w:p w14:paraId="3B9C8E5C" w14:textId="6FEB6283" w:rsidR="000F0C11" w:rsidRDefault="00965B2C" w:rsidP="000F0C11">
      <w:pPr>
        <w:spacing w:after="0"/>
        <w:jc w:val="both"/>
        <w:rPr>
          <w:rFonts w:ascii="Century Gothic" w:hAnsi="Century Gothic"/>
        </w:rPr>
      </w:pPr>
      <w:r>
        <w:rPr>
          <w:rFonts w:ascii="Century Gothic" w:hAnsi="Century Gothic"/>
        </w:rPr>
        <w:t>E</w:t>
      </w:r>
      <w:r w:rsidR="000F0C11">
        <w:rPr>
          <w:rFonts w:ascii="Century Gothic" w:hAnsi="Century Gothic"/>
        </w:rPr>
        <w:t>n esta sentencia</w:t>
      </w:r>
      <w:r>
        <w:rPr>
          <w:rFonts w:ascii="Century Gothic" w:hAnsi="Century Gothic"/>
        </w:rPr>
        <w:t>,</w:t>
      </w:r>
      <w:r w:rsidR="000F0C11">
        <w:rPr>
          <w:rFonts w:ascii="Century Gothic" w:hAnsi="Century Gothic"/>
        </w:rPr>
        <w:t xml:space="preserve"> reconoce</w:t>
      </w:r>
      <w:r w:rsidR="000F0C11" w:rsidRPr="009745E1">
        <w:rPr>
          <w:rFonts w:ascii="Century Gothic" w:hAnsi="Century Gothic"/>
        </w:rPr>
        <w:t xml:space="preserve"> como positivo la sentencia C-792 de 2014, el Acto Legislativo 01 de 2018 y la sentencia SU-146 de 2020 que ordenó retrotraer los efectos de la garantía de la impugnación especial al 30 de enero de 2014. C</w:t>
      </w:r>
      <w:r w:rsidR="000F0C11">
        <w:rPr>
          <w:rFonts w:ascii="Century Gothic" w:hAnsi="Century Gothic"/>
        </w:rPr>
        <w:t>oncluye la Corte:</w:t>
      </w:r>
    </w:p>
    <w:p w14:paraId="000E3DB0" w14:textId="77777777" w:rsidR="000F0C11" w:rsidRDefault="000F0C11" w:rsidP="000F0C11">
      <w:pPr>
        <w:spacing w:after="0"/>
        <w:jc w:val="both"/>
        <w:rPr>
          <w:rFonts w:ascii="Century Gothic" w:hAnsi="Century Gothic"/>
        </w:rPr>
      </w:pPr>
    </w:p>
    <w:p w14:paraId="3D612962" w14:textId="77777777" w:rsidR="000F0C11" w:rsidRDefault="000F0C11" w:rsidP="000F0C11">
      <w:pPr>
        <w:spacing w:after="0"/>
        <w:ind w:left="426" w:right="333"/>
        <w:jc w:val="both"/>
        <w:rPr>
          <w:rFonts w:ascii="Century Gothic" w:hAnsi="Century Gothic"/>
          <w:i/>
          <w:iCs/>
        </w:rPr>
      </w:pPr>
      <w:r w:rsidRPr="009745E1">
        <w:rPr>
          <w:rFonts w:ascii="Century Gothic" w:hAnsi="Century Gothic"/>
          <w:i/>
          <w:iCs/>
        </w:rPr>
        <w:t xml:space="preserve">La Corte destaca los esfuerzos realizados por el Estado, sin embargo, encuentra que al momento en que ocurrieron los hechos de este caso, Colombia no había adoptado las medidas necesarias para la adecuada implementación de sus obligaciones convencionales en el ordenamiento jurídico interno. En primer lugar, la legislación colombiana no establecía el derecho a recurrir el fallo de los “aforados constitucionales”; </w:t>
      </w:r>
      <w:proofErr w:type="gramStart"/>
      <w:r w:rsidRPr="009745E1">
        <w:rPr>
          <w:rFonts w:ascii="Century Gothic" w:hAnsi="Century Gothic"/>
          <w:i/>
          <w:iCs/>
        </w:rPr>
        <w:t>y</w:t>
      </w:r>
      <w:proofErr w:type="gramEnd"/>
      <w:r w:rsidRPr="009745E1">
        <w:rPr>
          <w:rFonts w:ascii="Century Gothic" w:hAnsi="Century Gothic"/>
          <w:i/>
          <w:iCs/>
        </w:rPr>
        <w:t xml:space="preserve"> en segundo lugar, las autoridades judiciales no garantizaron este derecho por medio de los recursos existentes. Por esa razón, la Corte estima que, al momento que ocurrieron los hechos del presente caso, Colombia no cumplió con su deber de adoptar disposiciones de derecho interno y es responsable por la violación del artículo 2 de la Convención.</w:t>
      </w:r>
    </w:p>
    <w:p w14:paraId="537D6107" w14:textId="77777777" w:rsidR="000F0C11" w:rsidRDefault="000F0C11" w:rsidP="000F0C11">
      <w:pPr>
        <w:spacing w:after="0"/>
        <w:jc w:val="both"/>
        <w:rPr>
          <w:rFonts w:ascii="Century Gothic" w:hAnsi="Century Gothic"/>
        </w:rPr>
      </w:pPr>
    </w:p>
    <w:p w14:paraId="0C003B83" w14:textId="77777777" w:rsidR="000F0C11" w:rsidRDefault="000F0C11" w:rsidP="000F0C11">
      <w:pPr>
        <w:spacing w:after="0"/>
        <w:jc w:val="both"/>
        <w:rPr>
          <w:rFonts w:ascii="Century Gothic" w:hAnsi="Century Gothic"/>
        </w:rPr>
      </w:pPr>
      <w:r w:rsidRPr="00564AD8">
        <w:rPr>
          <w:rFonts w:ascii="Century Gothic" w:hAnsi="Century Gothic"/>
        </w:rPr>
        <w:t xml:space="preserve">En ese sentido, Colombia se encuentra en mora de regular la doble conformidad. Si bien la jurisprudencia de la Corte Constitucional y Suprema de Justicia ha logrado </w:t>
      </w:r>
      <w:r w:rsidRPr="00564AD8">
        <w:rPr>
          <w:rFonts w:ascii="Century Gothic" w:hAnsi="Century Gothic"/>
        </w:rPr>
        <w:lastRenderedPageBreak/>
        <w:t xml:space="preserve">avances significativos bajo el marco interpretativo del Acto Legislativo 01 de 2018, corresponde al Congreso expedir una ley </w:t>
      </w:r>
      <w:r>
        <w:rPr>
          <w:rFonts w:ascii="Century Gothic" w:hAnsi="Century Gothic"/>
        </w:rPr>
        <w:t>q</w:t>
      </w:r>
      <w:r w:rsidRPr="00564AD8">
        <w:rPr>
          <w:rFonts w:ascii="Century Gothic" w:hAnsi="Century Gothic"/>
        </w:rPr>
        <w:t xml:space="preserve">ue </w:t>
      </w:r>
      <w:r>
        <w:rPr>
          <w:rFonts w:ascii="Century Gothic" w:hAnsi="Century Gothic"/>
        </w:rPr>
        <w:t>garantice y regule esta garantía procesal.</w:t>
      </w:r>
    </w:p>
    <w:p w14:paraId="75102D28" w14:textId="77777777" w:rsidR="00303C09" w:rsidRDefault="00303C09" w:rsidP="00303C09">
      <w:pPr>
        <w:spacing w:after="0"/>
        <w:jc w:val="both"/>
        <w:rPr>
          <w:rFonts w:ascii="Century Gothic" w:hAnsi="Century Gothic"/>
        </w:rPr>
      </w:pPr>
    </w:p>
    <w:p w14:paraId="1CCD734D" w14:textId="77777777" w:rsidR="00303C09" w:rsidRDefault="00303C09" w:rsidP="00303C09">
      <w:pPr>
        <w:spacing w:after="0"/>
        <w:jc w:val="both"/>
        <w:rPr>
          <w:rFonts w:ascii="Century Gothic" w:hAnsi="Century Gothic"/>
        </w:rPr>
      </w:pPr>
      <w:r>
        <w:rPr>
          <w:rFonts w:ascii="Century Gothic" w:hAnsi="Century Gothic"/>
        </w:rPr>
        <w:t>L</w:t>
      </w:r>
      <w:r w:rsidR="009745E1" w:rsidRPr="009745E1">
        <w:rPr>
          <w:rFonts w:ascii="Century Gothic" w:hAnsi="Century Gothic"/>
        </w:rPr>
        <w:t>o</w:t>
      </w:r>
      <w:r>
        <w:rPr>
          <w:rFonts w:ascii="Century Gothic" w:hAnsi="Century Gothic"/>
        </w:rPr>
        <w:t xml:space="preserve"> anterior </w:t>
      </w:r>
      <w:r w:rsidR="009745E1" w:rsidRPr="009745E1">
        <w:rPr>
          <w:rFonts w:ascii="Century Gothic" w:hAnsi="Century Gothic"/>
        </w:rPr>
        <w:t xml:space="preserve">ha generado que muchas personas acudan a la acción constitucional de tutela cuando consideran que su derecho a que les revisen la primera sentencia condenatoria ha sido </w:t>
      </w:r>
      <w:r>
        <w:rPr>
          <w:rFonts w:ascii="Century Gothic" w:hAnsi="Century Gothic"/>
        </w:rPr>
        <w:t>omitido</w:t>
      </w:r>
      <w:r w:rsidR="009745E1" w:rsidRPr="009745E1">
        <w:rPr>
          <w:rFonts w:ascii="Century Gothic" w:hAnsi="Century Gothic"/>
        </w:rPr>
        <w:t xml:space="preserve"> o se ha confundido con la oportunidad para presentar los recursos extraordinarios de Casación y Revisión.</w:t>
      </w:r>
    </w:p>
    <w:p w14:paraId="237B6999" w14:textId="77777777" w:rsidR="00303C09" w:rsidRDefault="00303C09" w:rsidP="00303C09">
      <w:pPr>
        <w:spacing w:after="0"/>
        <w:jc w:val="both"/>
        <w:rPr>
          <w:rFonts w:ascii="Century Gothic" w:hAnsi="Century Gothic"/>
        </w:rPr>
      </w:pPr>
    </w:p>
    <w:p w14:paraId="0F985FB2" w14:textId="4B14CA60" w:rsidR="00303C09" w:rsidRDefault="009745E1" w:rsidP="00280C72">
      <w:pPr>
        <w:spacing w:after="0"/>
        <w:jc w:val="both"/>
        <w:rPr>
          <w:rFonts w:ascii="Century Gothic" w:hAnsi="Century Gothic"/>
        </w:rPr>
      </w:pPr>
      <w:r w:rsidRPr="009745E1">
        <w:rPr>
          <w:rFonts w:ascii="Century Gothic" w:hAnsi="Century Gothic"/>
        </w:rPr>
        <w:t>De ese problema dio cuenta la Corte Constitucional en su más reciente providencia al respecto, la SU 007 de 2023 en la que se ocupó de unificar los precedentes que ya venía fijando en sentencias previas y por cuenta de lo que exhortó una vez más al Congreso de la República para que regularan la materia</w:t>
      </w:r>
      <w:r w:rsidR="00303C09">
        <w:rPr>
          <w:rFonts w:ascii="Century Gothic" w:hAnsi="Century Gothic"/>
        </w:rPr>
        <w:t>:</w:t>
      </w:r>
    </w:p>
    <w:p w14:paraId="4B8F93A7" w14:textId="77777777" w:rsidR="00280C72" w:rsidRDefault="00280C72" w:rsidP="00280C72">
      <w:pPr>
        <w:spacing w:after="0"/>
        <w:jc w:val="both"/>
        <w:rPr>
          <w:rFonts w:ascii="Century Gothic" w:hAnsi="Century Gothic"/>
        </w:rPr>
      </w:pPr>
    </w:p>
    <w:p w14:paraId="7E61DB4F" w14:textId="639BEDED" w:rsidR="009745E1" w:rsidRPr="009745E1" w:rsidRDefault="009745E1" w:rsidP="00280C72">
      <w:pPr>
        <w:spacing w:after="0"/>
        <w:ind w:left="567" w:right="333"/>
        <w:jc w:val="both"/>
        <w:rPr>
          <w:rFonts w:ascii="Century Gothic" w:hAnsi="Century Gothic"/>
        </w:rPr>
      </w:pPr>
      <w:r w:rsidRPr="009745E1">
        <w:rPr>
          <w:rFonts w:ascii="Century Gothic" w:hAnsi="Century Gothic"/>
        </w:rPr>
        <w:t>“</w:t>
      </w:r>
      <w:proofErr w:type="gramStart"/>
      <w:r w:rsidRPr="009745E1">
        <w:rPr>
          <w:rFonts w:ascii="Century Gothic" w:hAnsi="Century Gothic"/>
          <w:i/>
          <w:iCs/>
        </w:rPr>
        <w:t>TERCERO.-</w:t>
      </w:r>
      <w:proofErr w:type="gramEnd"/>
      <w:r w:rsidRPr="009745E1">
        <w:rPr>
          <w:rFonts w:ascii="Century Gothic" w:hAnsi="Century Gothic"/>
          <w:i/>
          <w:iCs/>
        </w:rPr>
        <w:t xml:space="preserve"> Reiterar el exhorto al Congreso de la República efectuado por esta Corte en las sentencias SU-792 de 2014, SU-217 de 2019 y SU-006 de 2023, para que, en ejercicio de su potestad de configuración legislativa, regule de manera integral el mecanismo que garantice el ejercicio del derecho a impugnar la sentencia condenatoria en material penal.”</w:t>
      </w:r>
    </w:p>
    <w:p w14:paraId="3436AB0E" w14:textId="77777777" w:rsidR="000F0C11" w:rsidRDefault="000F0C11" w:rsidP="00280C72">
      <w:pPr>
        <w:spacing w:after="0"/>
        <w:jc w:val="both"/>
        <w:rPr>
          <w:rFonts w:ascii="Century Gothic" w:hAnsi="Century Gothic"/>
        </w:rPr>
      </w:pPr>
    </w:p>
    <w:p w14:paraId="7C0A281C" w14:textId="172B88FB" w:rsidR="00280C72" w:rsidRDefault="00280C72" w:rsidP="00280C72">
      <w:pPr>
        <w:spacing w:after="0"/>
        <w:jc w:val="both"/>
        <w:rPr>
          <w:rFonts w:ascii="Century Gothic" w:hAnsi="Century Gothic"/>
        </w:rPr>
      </w:pPr>
      <w:r>
        <w:rPr>
          <w:rFonts w:ascii="Century Gothic" w:hAnsi="Century Gothic"/>
        </w:rPr>
        <w:t>A</w:t>
      </w:r>
      <w:r w:rsidR="009745E1" w:rsidRPr="009745E1">
        <w:rPr>
          <w:rFonts w:ascii="Century Gothic" w:hAnsi="Century Gothic"/>
        </w:rPr>
        <w:t xml:space="preserve"> falta de una ley que reglamente efectivamente</w:t>
      </w:r>
      <w:r>
        <w:rPr>
          <w:rFonts w:ascii="Century Gothic" w:hAnsi="Century Gothic"/>
        </w:rPr>
        <w:t xml:space="preserve"> el derecho a impugnar </w:t>
      </w:r>
      <w:r w:rsidRPr="00280C72">
        <w:rPr>
          <w:rFonts w:ascii="Century Gothic" w:hAnsi="Century Gothic"/>
        </w:rPr>
        <w:t xml:space="preserve">la sentencia condenatoria en </w:t>
      </w:r>
      <w:r w:rsidR="000F0C11" w:rsidRPr="00280C72">
        <w:rPr>
          <w:rFonts w:ascii="Century Gothic" w:hAnsi="Century Gothic"/>
        </w:rPr>
        <w:t>materia</w:t>
      </w:r>
      <w:r w:rsidRPr="00280C72">
        <w:rPr>
          <w:rFonts w:ascii="Century Gothic" w:hAnsi="Century Gothic"/>
        </w:rPr>
        <w:t xml:space="preserve"> penal</w:t>
      </w:r>
      <w:r w:rsidR="009745E1" w:rsidRPr="009745E1">
        <w:rPr>
          <w:rFonts w:ascii="Century Gothic" w:hAnsi="Century Gothic"/>
        </w:rPr>
        <w:t>, el vacío normativo ha sido solventado parcialmente por la Corte Suprema de justicia a través de sus provi</w:t>
      </w:r>
      <w:r w:rsidR="00C83D94">
        <w:rPr>
          <w:rFonts w:ascii="Century Gothic" w:hAnsi="Century Gothic"/>
        </w:rPr>
        <w:t>dencias.</w:t>
      </w:r>
    </w:p>
    <w:p w14:paraId="20BFC3C1" w14:textId="77C5923C" w:rsidR="00C83D94" w:rsidRDefault="00C83D94" w:rsidP="00280C72">
      <w:pPr>
        <w:spacing w:after="0"/>
        <w:jc w:val="both"/>
        <w:rPr>
          <w:rFonts w:ascii="Century Gothic" w:hAnsi="Century Gothic"/>
        </w:rPr>
      </w:pPr>
    </w:p>
    <w:p w14:paraId="06847EBF" w14:textId="77777777" w:rsidR="003E4491" w:rsidRDefault="003E4491" w:rsidP="003E4491">
      <w:pPr>
        <w:spacing w:after="0"/>
        <w:jc w:val="both"/>
        <w:rPr>
          <w:rFonts w:ascii="Century Gothic" w:hAnsi="Century Gothic"/>
          <w:b/>
          <w:bCs/>
        </w:rPr>
      </w:pPr>
    </w:p>
    <w:p w14:paraId="5DB5A915" w14:textId="176E4CAA" w:rsidR="009745E1" w:rsidRDefault="003E4491" w:rsidP="003E4491">
      <w:pPr>
        <w:spacing w:after="0"/>
        <w:jc w:val="both"/>
        <w:rPr>
          <w:rFonts w:ascii="Century Gothic" w:hAnsi="Century Gothic"/>
          <w:b/>
          <w:bCs/>
        </w:rPr>
      </w:pPr>
      <w:r>
        <w:rPr>
          <w:rFonts w:ascii="Century Gothic" w:hAnsi="Century Gothic"/>
          <w:b/>
          <w:bCs/>
        </w:rPr>
        <w:t>CONSIDERACIONES DEL PONENTE</w:t>
      </w:r>
    </w:p>
    <w:p w14:paraId="7D7FE554" w14:textId="77777777" w:rsidR="003E4491" w:rsidRPr="009745E1" w:rsidRDefault="003E4491" w:rsidP="003E4491">
      <w:pPr>
        <w:spacing w:after="0"/>
        <w:jc w:val="both"/>
        <w:rPr>
          <w:rFonts w:ascii="Century Gothic" w:hAnsi="Century Gothic"/>
        </w:rPr>
      </w:pPr>
    </w:p>
    <w:p w14:paraId="14C1EE5B" w14:textId="77777777" w:rsidR="003E4491" w:rsidRDefault="009745E1" w:rsidP="003E4491">
      <w:pPr>
        <w:spacing w:after="0"/>
        <w:jc w:val="both"/>
        <w:rPr>
          <w:rFonts w:ascii="Century Gothic" w:hAnsi="Century Gothic"/>
        </w:rPr>
      </w:pPr>
      <w:r w:rsidRPr="009745E1">
        <w:rPr>
          <w:rFonts w:ascii="Century Gothic" w:hAnsi="Century Gothic"/>
        </w:rPr>
        <w:t>La presente iniciativa tiene por objeto positivizar y reglamentar el recurso de impugnación especial para salvaguardar la garantía de acceso a la doble conformidad judicial propia del derecho al debido proceso, en obediencia a los mandatos establecidos por la Corte Int</w:t>
      </w:r>
      <w:r w:rsidR="003E4491">
        <w:rPr>
          <w:rFonts w:ascii="Century Gothic" w:hAnsi="Century Gothic"/>
        </w:rPr>
        <w:t>eramericana de Derechos Humanos, l</w:t>
      </w:r>
      <w:r w:rsidRPr="009745E1">
        <w:rPr>
          <w:rFonts w:ascii="Century Gothic" w:hAnsi="Century Gothic"/>
        </w:rPr>
        <w:t xml:space="preserve">a Corte Constitucional </w:t>
      </w:r>
      <w:r w:rsidR="003E4491">
        <w:rPr>
          <w:rFonts w:ascii="Century Gothic" w:hAnsi="Century Gothic"/>
        </w:rPr>
        <w:t>y</w:t>
      </w:r>
      <w:r w:rsidRPr="009745E1">
        <w:rPr>
          <w:rFonts w:ascii="Century Gothic" w:hAnsi="Century Gothic"/>
        </w:rPr>
        <w:t xml:space="preserve"> la Sala Penal de la Corte </w:t>
      </w:r>
      <w:r w:rsidR="003E4491">
        <w:rPr>
          <w:rFonts w:ascii="Century Gothic" w:hAnsi="Century Gothic"/>
        </w:rPr>
        <w:t xml:space="preserve">Suprema </w:t>
      </w:r>
      <w:r w:rsidRPr="009745E1">
        <w:rPr>
          <w:rFonts w:ascii="Century Gothic" w:hAnsi="Century Gothic"/>
        </w:rPr>
        <w:t>de Justicia. </w:t>
      </w:r>
    </w:p>
    <w:p w14:paraId="6A36757F" w14:textId="77777777" w:rsidR="003E4491" w:rsidRDefault="003E4491" w:rsidP="003E4491">
      <w:pPr>
        <w:spacing w:after="0"/>
        <w:jc w:val="both"/>
        <w:rPr>
          <w:rFonts w:ascii="Century Gothic" w:hAnsi="Century Gothic"/>
        </w:rPr>
      </w:pPr>
    </w:p>
    <w:p w14:paraId="0722E722" w14:textId="653D1559" w:rsidR="003E4491" w:rsidRDefault="009745E1" w:rsidP="003E4491">
      <w:pPr>
        <w:spacing w:after="0"/>
        <w:jc w:val="both"/>
        <w:rPr>
          <w:rFonts w:ascii="Century Gothic" w:hAnsi="Century Gothic"/>
        </w:rPr>
      </w:pPr>
      <w:r w:rsidRPr="009745E1">
        <w:rPr>
          <w:rFonts w:ascii="Century Gothic" w:hAnsi="Century Gothic"/>
        </w:rPr>
        <w:t xml:space="preserve">El mecanismo procesal para garantizar la doble conformidad judicial no se ha integrado aún al ordenamiento jurídico colombiano y representa un rezago normativo que no ha sido atendido por el Congreso de la República a pesar de que desde </w:t>
      </w:r>
      <w:r w:rsidR="003E4491">
        <w:rPr>
          <w:rFonts w:ascii="Century Gothic" w:hAnsi="Century Gothic"/>
        </w:rPr>
        <w:t>2018 con el Acto legislativo 01</w:t>
      </w:r>
      <w:r w:rsidRPr="009745E1">
        <w:rPr>
          <w:rFonts w:ascii="Century Gothic" w:hAnsi="Century Gothic"/>
        </w:rPr>
        <w:t xml:space="preserve">se implementó la garantía a nivel constitucional. </w:t>
      </w:r>
    </w:p>
    <w:p w14:paraId="7368F210" w14:textId="77777777" w:rsidR="00B21250" w:rsidRDefault="00B21250" w:rsidP="003E4491">
      <w:pPr>
        <w:spacing w:after="0"/>
        <w:jc w:val="both"/>
        <w:rPr>
          <w:rFonts w:ascii="Century Gothic" w:hAnsi="Century Gothic"/>
        </w:rPr>
      </w:pPr>
    </w:p>
    <w:p w14:paraId="43216FE8" w14:textId="77777777" w:rsidR="003E4491" w:rsidRDefault="003E4491" w:rsidP="003E4491">
      <w:pPr>
        <w:spacing w:after="0"/>
        <w:jc w:val="both"/>
        <w:rPr>
          <w:rFonts w:ascii="Century Gothic" w:hAnsi="Century Gothic"/>
        </w:rPr>
      </w:pPr>
      <w:r w:rsidRPr="003E4491">
        <w:rPr>
          <w:rFonts w:ascii="Century Gothic" w:hAnsi="Century Gothic"/>
        </w:rPr>
        <w:lastRenderedPageBreak/>
        <w:t xml:space="preserve">Sin embargo, ante el elevado número de acciones de tutela promovidas con el propósito de garantizar el derecho a la doble conformidad judicial, la Corte Constitucional ha debido unificar su jurisprudencia </w:t>
      </w:r>
      <w:r>
        <w:rPr>
          <w:rFonts w:ascii="Century Gothic" w:hAnsi="Century Gothic"/>
        </w:rPr>
        <w:t xml:space="preserve">en </w:t>
      </w:r>
      <w:r w:rsidRPr="003E4491">
        <w:rPr>
          <w:rFonts w:ascii="Century Gothic" w:hAnsi="Century Gothic"/>
        </w:rPr>
        <w:t>las Sentencias de Unificación SU-792 de 2014, SU-217 de 2019 y SU-006 y SU-007 de 2023</w:t>
      </w:r>
      <w:r>
        <w:rPr>
          <w:rFonts w:ascii="Century Gothic" w:hAnsi="Century Gothic"/>
        </w:rPr>
        <w:t xml:space="preserve"> </w:t>
      </w:r>
      <w:r w:rsidRPr="003E4491">
        <w:rPr>
          <w:rFonts w:ascii="Century Gothic" w:hAnsi="Century Gothic"/>
        </w:rPr>
        <w:t>y ha exhortado al Congreso de la República a adoptar una regulación integral que permita garantizar de manera efectiva este derecho y, a su vez, armonizar su ejercicio con los recursos ordinarios y extraordinarios previsto</w:t>
      </w:r>
      <w:r>
        <w:rPr>
          <w:rFonts w:ascii="Century Gothic" w:hAnsi="Century Gothic"/>
        </w:rPr>
        <w:t>s en el ordenamiento jurídico.</w:t>
      </w:r>
    </w:p>
    <w:p w14:paraId="050EFE16" w14:textId="77777777" w:rsidR="003E4491" w:rsidRDefault="003E4491" w:rsidP="003E4491">
      <w:pPr>
        <w:spacing w:after="0"/>
        <w:jc w:val="both"/>
        <w:rPr>
          <w:rFonts w:ascii="Century Gothic" w:hAnsi="Century Gothic"/>
        </w:rPr>
      </w:pPr>
    </w:p>
    <w:p w14:paraId="67C7E730" w14:textId="7120027F" w:rsidR="003E4491" w:rsidRDefault="003E4491" w:rsidP="003E4491">
      <w:pPr>
        <w:spacing w:after="0"/>
        <w:jc w:val="both"/>
        <w:rPr>
          <w:rFonts w:ascii="Century Gothic" w:hAnsi="Century Gothic"/>
        </w:rPr>
      </w:pPr>
      <w:r w:rsidRPr="003E4491">
        <w:rPr>
          <w:rFonts w:ascii="Century Gothic" w:hAnsi="Century Gothic"/>
        </w:rPr>
        <w:t>A su vez, la Sala de Casación Penal de la Corte Suprema de Justicia, al conocer de casos en los que se ha planteado la necesidad de garantizar el derecho a la doble conformidad judicial, ha desarrollado mediante su jurisprudencia las reglas aplicables para hacer efectiva esta garantía, determinando, ante la ausencia de una regulación específica, la forma, los términos y las oportunidades procesales para el ejercicio de la impugnación especial.</w:t>
      </w:r>
    </w:p>
    <w:p w14:paraId="740CB141" w14:textId="77777777" w:rsidR="00787F3E" w:rsidRDefault="00787F3E" w:rsidP="003E4491">
      <w:pPr>
        <w:spacing w:after="0"/>
        <w:jc w:val="both"/>
        <w:rPr>
          <w:rFonts w:ascii="Century Gothic" w:hAnsi="Century Gothic"/>
        </w:rPr>
      </w:pPr>
    </w:p>
    <w:p w14:paraId="456BC21C" w14:textId="3A7CAC34" w:rsidR="003E4491" w:rsidRDefault="00787F3E" w:rsidP="003E4491">
      <w:pPr>
        <w:spacing w:after="0"/>
        <w:jc w:val="both"/>
        <w:rPr>
          <w:rFonts w:ascii="Century Gothic" w:hAnsi="Century Gothic"/>
        </w:rPr>
      </w:pPr>
      <w:r>
        <w:rPr>
          <w:rFonts w:ascii="Century Gothic" w:hAnsi="Century Gothic"/>
        </w:rPr>
        <w:t xml:space="preserve">Al respecto, según </w:t>
      </w:r>
      <w:r w:rsidRPr="00787F3E">
        <w:rPr>
          <w:rFonts w:ascii="Century Gothic" w:hAnsi="Century Gothic"/>
        </w:rPr>
        <w:t>información suministrada por la Secretaría de la Sala de Casación Penal con corte al 31 de agosto de 2026, desde el año 2016 la Corte Suprema de Justicia ha ingresado 1.797 impugnaciones especiales y ha proferido 1.113 providencias sobre la materia:</w:t>
      </w:r>
    </w:p>
    <w:p w14:paraId="5BB0D867" w14:textId="77777777" w:rsidR="00787F3E" w:rsidRDefault="00787F3E" w:rsidP="003E4491">
      <w:pPr>
        <w:spacing w:after="0"/>
        <w:jc w:val="both"/>
        <w:rPr>
          <w:rFonts w:ascii="Century Gothic" w:hAnsi="Century Gothic"/>
        </w:rPr>
      </w:pPr>
    </w:p>
    <w:p w14:paraId="5A88EF0E" w14:textId="4BD1A812" w:rsidR="00787F3E" w:rsidRDefault="00787F3E" w:rsidP="003E4491">
      <w:pPr>
        <w:spacing w:after="0"/>
        <w:jc w:val="both"/>
        <w:rPr>
          <w:rFonts w:ascii="Century Gothic" w:hAnsi="Century Gothic"/>
        </w:rPr>
      </w:pPr>
      <w:r w:rsidRPr="00787F3E">
        <w:rPr>
          <w:rFonts w:ascii="Century Gothic" w:hAnsi="Century Gothic"/>
          <w:noProof/>
        </w:rPr>
        <w:drawing>
          <wp:inline distT="0" distB="0" distL="0" distR="0" wp14:anchorId="45298A30" wp14:editId="4803E17A">
            <wp:extent cx="5612130" cy="2834640"/>
            <wp:effectExtent l="0" t="0" r="762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41510"/>
                    <a:stretch/>
                  </pic:blipFill>
                  <pic:spPr bwMode="auto">
                    <a:xfrm>
                      <a:off x="0" y="0"/>
                      <a:ext cx="5612130" cy="2834640"/>
                    </a:xfrm>
                    <a:prstGeom prst="rect">
                      <a:avLst/>
                    </a:prstGeom>
                    <a:ln>
                      <a:noFill/>
                    </a:ln>
                    <a:extLst>
                      <a:ext uri="{53640926-AAD7-44D8-BBD7-CCE9431645EC}">
                        <a14:shadowObscured xmlns:a14="http://schemas.microsoft.com/office/drawing/2010/main"/>
                      </a:ext>
                    </a:extLst>
                  </pic:spPr>
                </pic:pic>
              </a:graphicData>
            </a:graphic>
          </wp:inline>
        </w:drawing>
      </w:r>
    </w:p>
    <w:p w14:paraId="5CA47139" w14:textId="77777777" w:rsidR="00787F3E" w:rsidRDefault="00787F3E" w:rsidP="003E4491">
      <w:pPr>
        <w:spacing w:after="0"/>
        <w:jc w:val="both"/>
        <w:rPr>
          <w:rFonts w:ascii="Century Gothic" w:hAnsi="Century Gothic"/>
        </w:rPr>
      </w:pPr>
    </w:p>
    <w:p w14:paraId="16EC041F" w14:textId="77777777" w:rsidR="00787F3E" w:rsidRDefault="00787F3E" w:rsidP="003E4491">
      <w:pPr>
        <w:spacing w:after="0"/>
        <w:jc w:val="both"/>
        <w:rPr>
          <w:rFonts w:ascii="Century Gothic" w:hAnsi="Century Gothic"/>
        </w:rPr>
      </w:pPr>
    </w:p>
    <w:p w14:paraId="415E3714" w14:textId="77777777" w:rsidR="00787F3E" w:rsidRDefault="00787F3E" w:rsidP="003E4491">
      <w:pPr>
        <w:spacing w:after="0"/>
        <w:jc w:val="both"/>
        <w:rPr>
          <w:rFonts w:ascii="Century Gothic" w:hAnsi="Century Gothic"/>
        </w:rPr>
      </w:pPr>
    </w:p>
    <w:p w14:paraId="4CFC4D51" w14:textId="77777777" w:rsidR="00787F3E" w:rsidRDefault="00787F3E" w:rsidP="003E4491">
      <w:pPr>
        <w:spacing w:after="0"/>
        <w:jc w:val="both"/>
        <w:rPr>
          <w:rFonts w:ascii="Century Gothic" w:hAnsi="Century Gothic"/>
        </w:rPr>
      </w:pPr>
      <w:r w:rsidRPr="00787F3E">
        <w:rPr>
          <w:rFonts w:ascii="Century Gothic" w:hAnsi="Century Gothic"/>
          <w:noProof/>
        </w:rPr>
        <w:lastRenderedPageBreak/>
        <w:drawing>
          <wp:inline distT="0" distB="0" distL="0" distR="0" wp14:anchorId="3304B3D9" wp14:editId="6DB2FD8A">
            <wp:extent cx="5612130" cy="194837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59797"/>
                    <a:stretch/>
                  </pic:blipFill>
                  <pic:spPr bwMode="auto">
                    <a:xfrm>
                      <a:off x="0" y="0"/>
                      <a:ext cx="5612130" cy="1948375"/>
                    </a:xfrm>
                    <a:prstGeom prst="rect">
                      <a:avLst/>
                    </a:prstGeom>
                    <a:ln>
                      <a:noFill/>
                    </a:ln>
                    <a:extLst>
                      <a:ext uri="{53640926-AAD7-44D8-BBD7-CCE9431645EC}">
                        <a14:shadowObscured xmlns:a14="http://schemas.microsoft.com/office/drawing/2010/main"/>
                      </a:ext>
                    </a:extLst>
                  </pic:spPr>
                </pic:pic>
              </a:graphicData>
            </a:graphic>
          </wp:inline>
        </w:drawing>
      </w:r>
    </w:p>
    <w:p w14:paraId="50D015B7" w14:textId="77777777" w:rsidR="00787F3E" w:rsidRDefault="00787F3E" w:rsidP="003E4491">
      <w:pPr>
        <w:spacing w:after="0"/>
        <w:jc w:val="both"/>
        <w:rPr>
          <w:rFonts w:ascii="Century Gothic" w:hAnsi="Century Gothic"/>
        </w:rPr>
      </w:pPr>
    </w:p>
    <w:p w14:paraId="45E6B7D0" w14:textId="12A177EB" w:rsidR="003E4491" w:rsidRDefault="003E4491" w:rsidP="003E4491">
      <w:pPr>
        <w:spacing w:after="0"/>
        <w:jc w:val="both"/>
        <w:rPr>
          <w:rFonts w:ascii="Century Gothic" w:hAnsi="Century Gothic"/>
        </w:rPr>
      </w:pPr>
      <w:r w:rsidRPr="003E4491">
        <w:rPr>
          <w:rFonts w:ascii="Century Gothic" w:hAnsi="Century Gothic"/>
        </w:rPr>
        <w:t>Ante estos vacíos normativos</w:t>
      </w:r>
      <w:r w:rsidR="00787F3E">
        <w:rPr>
          <w:rFonts w:ascii="Century Gothic" w:hAnsi="Century Gothic"/>
        </w:rPr>
        <w:t xml:space="preserve"> y teniendo en cuenta que la Corte ya viene desarrollando ese trámite vía jurisprudencial</w:t>
      </w:r>
      <w:r w:rsidRPr="003E4491">
        <w:rPr>
          <w:rFonts w:ascii="Century Gothic" w:hAnsi="Century Gothic"/>
        </w:rPr>
        <w:t>, el presente proyecto de ley busca incorporar al Código de Procedimiento Penal las reglas y condiciones que han sido desarrolladas por la jurisprudencia, con el propósito de brindar certeza jurídica y garantizar la efectiva aplicación del recurso de impugnación especial. De esta manera, se pretende, por un lado, que la Sala de Casación Penal de la Corte Suprema de Justicia pueda continuar tramitando dicho recurso conforme a los criterios que ha establecido, evitando traumatismos institucionales y demoras injustificadas en los procesos penales; y, por otro, que las personas destinatarias de esta garantía conozcan de manera clara y accesible el mecanismo, así como las condiciones, términos y opo</w:t>
      </w:r>
      <w:r>
        <w:rPr>
          <w:rFonts w:ascii="Century Gothic" w:hAnsi="Century Gothic"/>
        </w:rPr>
        <w:t>rtunidades para su procedencia.</w:t>
      </w:r>
    </w:p>
    <w:p w14:paraId="4488B089" w14:textId="77777777" w:rsidR="003E4491" w:rsidRDefault="003E4491" w:rsidP="003E4491">
      <w:pPr>
        <w:spacing w:after="0"/>
        <w:jc w:val="both"/>
        <w:rPr>
          <w:rFonts w:ascii="Century Gothic" w:hAnsi="Century Gothic"/>
        </w:rPr>
      </w:pPr>
    </w:p>
    <w:p w14:paraId="516B9F8D" w14:textId="77777777" w:rsidR="0070273F" w:rsidRDefault="009745E1" w:rsidP="0070273F">
      <w:pPr>
        <w:spacing w:after="0"/>
        <w:jc w:val="both"/>
        <w:rPr>
          <w:rFonts w:ascii="Century Gothic" w:hAnsi="Century Gothic"/>
        </w:rPr>
      </w:pPr>
      <w:r w:rsidRPr="009745E1">
        <w:rPr>
          <w:rFonts w:ascii="Century Gothic" w:hAnsi="Century Gothic"/>
          <w:b/>
          <w:bCs/>
        </w:rPr>
        <w:t>DEBATE EN LA COMISIÓN PRIMERA DE LA CÁMARA DE REPRESENTANTES</w:t>
      </w:r>
    </w:p>
    <w:p w14:paraId="02CEB189" w14:textId="77777777" w:rsidR="0070273F" w:rsidRDefault="0070273F" w:rsidP="0070273F">
      <w:pPr>
        <w:spacing w:after="0"/>
        <w:jc w:val="both"/>
        <w:rPr>
          <w:rFonts w:ascii="Century Gothic" w:hAnsi="Century Gothic"/>
        </w:rPr>
      </w:pPr>
    </w:p>
    <w:p w14:paraId="3598176F" w14:textId="6789F4C6" w:rsidR="009745E1" w:rsidRDefault="009745E1" w:rsidP="0070273F">
      <w:pPr>
        <w:spacing w:after="0"/>
        <w:jc w:val="both"/>
        <w:rPr>
          <w:rFonts w:ascii="Century Gothic" w:hAnsi="Century Gothic"/>
        </w:rPr>
      </w:pPr>
      <w:r w:rsidRPr="009745E1">
        <w:rPr>
          <w:rFonts w:ascii="Century Gothic" w:hAnsi="Century Gothic"/>
        </w:rPr>
        <w:t>El proyecto</w:t>
      </w:r>
      <w:r w:rsidR="0070273F">
        <w:rPr>
          <w:rFonts w:ascii="Century Gothic" w:hAnsi="Century Gothic"/>
        </w:rPr>
        <w:t xml:space="preserve"> de ley</w:t>
      </w:r>
      <w:r w:rsidRPr="009745E1">
        <w:rPr>
          <w:rFonts w:ascii="Century Gothic" w:hAnsi="Century Gothic"/>
        </w:rPr>
        <w:t xml:space="preserve"> </w:t>
      </w:r>
      <w:r w:rsidR="0070273F">
        <w:rPr>
          <w:rFonts w:ascii="Century Gothic" w:hAnsi="Century Gothic"/>
        </w:rPr>
        <w:t>fue aprobado en p</w:t>
      </w:r>
      <w:r w:rsidRPr="009745E1">
        <w:rPr>
          <w:rFonts w:ascii="Century Gothic" w:hAnsi="Century Gothic"/>
        </w:rPr>
        <w:t xml:space="preserve">rimer debate </w:t>
      </w:r>
      <w:r w:rsidR="0070273F">
        <w:rPr>
          <w:rFonts w:ascii="Century Gothic" w:hAnsi="Century Gothic"/>
        </w:rPr>
        <w:t xml:space="preserve">con modificaciones el </w:t>
      </w:r>
      <w:r w:rsidRPr="009745E1">
        <w:rPr>
          <w:rFonts w:ascii="Century Gothic" w:hAnsi="Century Gothic"/>
        </w:rPr>
        <w:t>4 de noviembre de 2025, como consta en el Acta 20 de la Comisión Primera de la Cámara de Represe</w:t>
      </w:r>
      <w:r w:rsidR="0070273F">
        <w:rPr>
          <w:rFonts w:ascii="Century Gothic" w:hAnsi="Century Gothic"/>
        </w:rPr>
        <w:t xml:space="preserve">ntantes. En el marco del debate, </w:t>
      </w:r>
      <w:r w:rsidRPr="009745E1">
        <w:rPr>
          <w:rFonts w:ascii="Century Gothic" w:hAnsi="Century Gothic"/>
        </w:rPr>
        <w:t>se presentaron las siguientes proposiciones:</w:t>
      </w:r>
    </w:p>
    <w:p w14:paraId="32802D37" w14:textId="77777777" w:rsidR="0070273F" w:rsidRPr="009745E1" w:rsidRDefault="0070273F" w:rsidP="0070273F">
      <w:pPr>
        <w:spacing w:after="0"/>
        <w:jc w:val="both"/>
        <w:rPr>
          <w:rFonts w:ascii="Century Gothic" w:hAnsi="Century Gothic"/>
        </w:rPr>
      </w:pPr>
    </w:p>
    <w:tbl>
      <w:tblPr>
        <w:tblW w:w="8784" w:type="dxa"/>
        <w:tblCellMar>
          <w:top w:w="15" w:type="dxa"/>
          <w:left w:w="15" w:type="dxa"/>
          <w:bottom w:w="15" w:type="dxa"/>
          <w:right w:w="15" w:type="dxa"/>
        </w:tblCellMar>
        <w:tblLook w:val="04A0" w:firstRow="1" w:lastRow="0" w:firstColumn="1" w:lastColumn="0" w:noHBand="0" w:noVBand="1"/>
      </w:tblPr>
      <w:tblGrid>
        <w:gridCol w:w="1840"/>
        <w:gridCol w:w="6944"/>
      </w:tblGrid>
      <w:tr w:rsidR="0070273F" w:rsidRPr="009745E1" w14:paraId="3ECDED34"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C7A33" w14:textId="67B1857F" w:rsidR="0070273F" w:rsidRPr="009745E1" w:rsidRDefault="0070273F" w:rsidP="0070273F">
            <w:pPr>
              <w:jc w:val="center"/>
              <w:rPr>
                <w:rFonts w:ascii="Century Gothic" w:hAnsi="Century Gothic"/>
              </w:rPr>
            </w:pPr>
            <w:r w:rsidRPr="009745E1">
              <w:rPr>
                <w:rFonts w:ascii="Century Gothic" w:hAnsi="Century Gothic"/>
                <w:b/>
                <w:bCs/>
              </w:rPr>
              <w:t>REPRESENTANTE</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C39B1" w14:textId="35E2FF28" w:rsidR="0070273F" w:rsidRPr="009745E1" w:rsidRDefault="0070273F" w:rsidP="0070273F">
            <w:pPr>
              <w:jc w:val="center"/>
              <w:rPr>
                <w:rFonts w:ascii="Century Gothic" w:hAnsi="Century Gothic"/>
              </w:rPr>
            </w:pPr>
            <w:r>
              <w:rPr>
                <w:rFonts w:ascii="Century Gothic" w:hAnsi="Century Gothic"/>
                <w:b/>
                <w:bCs/>
              </w:rPr>
              <w:t>PROPOSICIÓN</w:t>
            </w:r>
          </w:p>
        </w:tc>
      </w:tr>
      <w:tr w:rsidR="0070273F" w:rsidRPr="009745E1" w14:paraId="3958B5BC"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7742F" w14:textId="77777777" w:rsidR="0070273F" w:rsidRDefault="0070273F" w:rsidP="009745E1">
            <w:pPr>
              <w:jc w:val="both"/>
              <w:rPr>
                <w:rFonts w:ascii="Century Gothic" w:hAnsi="Century Gothic"/>
                <w:b/>
                <w:bCs/>
                <w:sz w:val="20"/>
                <w:szCs w:val="20"/>
              </w:rPr>
            </w:pPr>
          </w:p>
          <w:p w14:paraId="2D594818" w14:textId="77777777" w:rsidR="0070273F" w:rsidRDefault="0070273F" w:rsidP="009745E1">
            <w:pPr>
              <w:jc w:val="both"/>
              <w:rPr>
                <w:rFonts w:ascii="Century Gothic" w:hAnsi="Century Gothic"/>
                <w:b/>
                <w:bCs/>
                <w:sz w:val="20"/>
                <w:szCs w:val="20"/>
              </w:rPr>
            </w:pPr>
          </w:p>
          <w:p w14:paraId="2C80426B" w14:textId="2DE10A6A" w:rsidR="0070273F" w:rsidRPr="0070273F" w:rsidRDefault="0070273F" w:rsidP="0070273F">
            <w:pPr>
              <w:jc w:val="center"/>
              <w:rPr>
                <w:rFonts w:ascii="Century Gothic" w:hAnsi="Century Gothic"/>
                <w:sz w:val="20"/>
                <w:szCs w:val="20"/>
              </w:rPr>
            </w:pPr>
            <w:r w:rsidRPr="0070273F">
              <w:rPr>
                <w:rFonts w:ascii="Century Gothic" w:hAnsi="Century Gothic"/>
                <w:b/>
                <w:bCs/>
                <w:sz w:val="20"/>
                <w:szCs w:val="20"/>
              </w:rPr>
              <w:t>Karyme Cotes</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AAA34" w14:textId="552F946A" w:rsidR="0070273F" w:rsidRDefault="0070273F" w:rsidP="009745E1">
            <w:pPr>
              <w:jc w:val="both"/>
              <w:rPr>
                <w:rFonts w:ascii="Century Gothic" w:hAnsi="Century Gothic"/>
                <w:sz w:val="20"/>
                <w:szCs w:val="20"/>
              </w:rPr>
            </w:pPr>
            <w:r w:rsidRPr="0070273F">
              <w:rPr>
                <w:rFonts w:ascii="Century Gothic" w:hAnsi="Century Gothic"/>
                <w:b/>
                <w:bCs/>
                <w:sz w:val="20"/>
                <w:szCs w:val="20"/>
              </w:rPr>
              <w:t xml:space="preserve">ARTÍCULO 3°. </w:t>
            </w:r>
            <w:r w:rsidRPr="0070273F">
              <w:rPr>
                <w:rFonts w:ascii="Century Gothic" w:hAnsi="Century Gothic"/>
                <w:sz w:val="20"/>
                <w:szCs w:val="20"/>
              </w:rPr>
              <w:t>Modifíquese el artículo 32 de la Ley 906 de 2004 para que quede así:</w:t>
            </w:r>
          </w:p>
          <w:p w14:paraId="27BAFD59" w14:textId="77777777" w:rsidR="0070273F" w:rsidRPr="0070273F" w:rsidRDefault="0070273F" w:rsidP="009745E1">
            <w:pPr>
              <w:jc w:val="both"/>
              <w:rPr>
                <w:rFonts w:ascii="Century Gothic" w:hAnsi="Century Gothic"/>
                <w:sz w:val="20"/>
                <w:szCs w:val="20"/>
              </w:rPr>
            </w:pPr>
            <w:r w:rsidRPr="0070273F">
              <w:rPr>
                <w:rFonts w:ascii="Century Gothic" w:hAnsi="Century Gothic"/>
                <w:b/>
                <w:bCs/>
                <w:sz w:val="20"/>
                <w:szCs w:val="20"/>
              </w:rPr>
              <w:t>ARTÍCULO 32. DE LA CORTE SUPREMA DE JUSTICIA.</w:t>
            </w:r>
            <w:r w:rsidRPr="0070273F">
              <w:rPr>
                <w:rFonts w:ascii="Century Gothic" w:hAnsi="Century Gothic"/>
                <w:sz w:val="20"/>
                <w:szCs w:val="20"/>
              </w:rPr>
              <w:t xml:space="preserve"> La Sala de Casación Penal de la Corte Suprema de Justicia conoce:</w:t>
            </w:r>
          </w:p>
          <w:p w14:paraId="240BC160" w14:textId="77777777" w:rsidR="0070273F" w:rsidRPr="0070273F" w:rsidRDefault="0070273F" w:rsidP="0070273F">
            <w:pPr>
              <w:jc w:val="both"/>
              <w:rPr>
                <w:rFonts w:ascii="Century Gothic" w:hAnsi="Century Gothic"/>
                <w:sz w:val="20"/>
                <w:szCs w:val="20"/>
              </w:rPr>
            </w:pPr>
            <w:r>
              <w:rPr>
                <w:rFonts w:ascii="Century Gothic" w:hAnsi="Century Gothic"/>
                <w:sz w:val="20"/>
                <w:szCs w:val="20"/>
              </w:rPr>
              <w:t>(…)</w:t>
            </w:r>
          </w:p>
          <w:p w14:paraId="56DC35C9" w14:textId="77777777" w:rsidR="0070273F" w:rsidRPr="0070273F" w:rsidRDefault="0070273F" w:rsidP="009745E1">
            <w:pPr>
              <w:jc w:val="both"/>
              <w:rPr>
                <w:rFonts w:ascii="Century Gothic" w:hAnsi="Century Gothic"/>
                <w:sz w:val="20"/>
                <w:szCs w:val="20"/>
              </w:rPr>
            </w:pPr>
            <w:r w:rsidRPr="0070273F">
              <w:rPr>
                <w:rFonts w:ascii="Century Gothic" w:hAnsi="Century Gothic"/>
                <w:sz w:val="20"/>
                <w:szCs w:val="20"/>
              </w:rPr>
              <w:t xml:space="preserve">9. Del recurso de impugnación especial interpuesto contra la primera sentencia condenatoria proferida en segunda instancia por los </w:t>
            </w:r>
            <w:r w:rsidRPr="0070273F">
              <w:rPr>
                <w:rFonts w:ascii="Century Gothic" w:hAnsi="Century Gothic"/>
                <w:sz w:val="20"/>
                <w:szCs w:val="20"/>
              </w:rPr>
              <w:lastRenderedPageBreak/>
              <w:t xml:space="preserve">Tribunales Superiores de Distrito o por la Corte Suprema de Justicia en sede del recurso de </w:t>
            </w:r>
            <w:r w:rsidRPr="0070273F">
              <w:rPr>
                <w:rFonts w:ascii="Century Gothic" w:hAnsi="Century Gothic"/>
                <w:b/>
                <w:bCs/>
                <w:sz w:val="20"/>
                <w:szCs w:val="20"/>
              </w:rPr>
              <w:t>casación o</w:t>
            </w:r>
            <w:r w:rsidRPr="0070273F">
              <w:rPr>
                <w:rFonts w:ascii="Century Gothic" w:hAnsi="Century Gothic"/>
                <w:sz w:val="20"/>
                <w:szCs w:val="20"/>
              </w:rPr>
              <w:t xml:space="preserve"> apelación.</w:t>
            </w:r>
          </w:p>
          <w:p w14:paraId="2BB77D90" w14:textId="1D29EDD5" w:rsidR="0070273F" w:rsidRPr="0070273F" w:rsidRDefault="0070273F" w:rsidP="009745E1">
            <w:pPr>
              <w:jc w:val="both"/>
              <w:rPr>
                <w:rFonts w:ascii="Century Gothic" w:hAnsi="Century Gothic"/>
                <w:sz w:val="20"/>
                <w:szCs w:val="20"/>
              </w:rPr>
            </w:pPr>
            <w:r w:rsidRPr="0070273F">
              <w:rPr>
                <w:rFonts w:ascii="Century Gothic" w:hAnsi="Century Gothic"/>
                <w:bCs/>
                <w:sz w:val="20"/>
                <w:szCs w:val="20"/>
              </w:rPr>
              <w:t>(…)</w:t>
            </w:r>
          </w:p>
        </w:tc>
      </w:tr>
      <w:tr w:rsidR="00B62E0A" w:rsidRPr="009745E1" w14:paraId="6E3ACAC4"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6EF09" w14:textId="77777777" w:rsidR="00B62E0A" w:rsidRDefault="00B62E0A" w:rsidP="00B62E0A">
            <w:pPr>
              <w:jc w:val="center"/>
              <w:rPr>
                <w:rFonts w:ascii="Century Gothic" w:hAnsi="Century Gothic"/>
                <w:b/>
                <w:bCs/>
                <w:sz w:val="20"/>
                <w:szCs w:val="20"/>
              </w:rPr>
            </w:pPr>
          </w:p>
          <w:p w14:paraId="5FED055C" w14:textId="77777777" w:rsidR="00B62E0A" w:rsidRDefault="00B62E0A" w:rsidP="00B62E0A">
            <w:pPr>
              <w:jc w:val="center"/>
              <w:rPr>
                <w:rFonts w:ascii="Century Gothic" w:hAnsi="Century Gothic"/>
                <w:b/>
                <w:bCs/>
                <w:sz w:val="20"/>
                <w:szCs w:val="20"/>
              </w:rPr>
            </w:pPr>
          </w:p>
          <w:p w14:paraId="22F37324" w14:textId="1C91C69F" w:rsidR="00B62E0A" w:rsidRDefault="00B62E0A" w:rsidP="00B62E0A">
            <w:pPr>
              <w:jc w:val="center"/>
              <w:rPr>
                <w:rFonts w:ascii="Century Gothic" w:hAnsi="Century Gothic"/>
                <w:b/>
                <w:bCs/>
                <w:sz w:val="20"/>
                <w:szCs w:val="20"/>
              </w:rPr>
            </w:pPr>
          </w:p>
          <w:p w14:paraId="1F7D8F51" w14:textId="2EEFC9D4" w:rsidR="00B62E0A" w:rsidRDefault="00B62E0A" w:rsidP="00B62E0A">
            <w:pPr>
              <w:jc w:val="center"/>
              <w:rPr>
                <w:rFonts w:ascii="Century Gothic" w:hAnsi="Century Gothic"/>
                <w:b/>
                <w:bCs/>
                <w:sz w:val="20"/>
                <w:szCs w:val="20"/>
              </w:rPr>
            </w:pPr>
          </w:p>
          <w:p w14:paraId="401E94B8" w14:textId="77777777" w:rsidR="00B62E0A" w:rsidRDefault="00B62E0A" w:rsidP="00B62E0A">
            <w:pPr>
              <w:jc w:val="center"/>
              <w:rPr>
                <w:rFonts w:ascii="Century Gothic" w:hAnsi="Century Gothic"/>
                <w:b/>
                <w:bCs/>
                <w:sz w:val="20"/>
                <w:szCs w:val="20"/>
              </w:rPr>
            </w:pPr>
          </w:p>
          <w:p w14:paraId="73CF41E5" w14:textId="7094E1F3"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t>Piedad Correal</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D181F"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 xml:space="preserve">Artículo 5. </w:t>
            </w:r>
            <w:r w:rsidRPr="0070273F">
              <w:rPr>
                <w:rFonts w:ascii="Century Gothic" w:hAnsi="Century Gothic"/>
                <w:sz w:val="20"/>
                <w:szCs w:val="20"/>
              </w:rPr>
              <w:t>Créase el artículo 178A en la Ley 906 de 2004, el cuál quedará así:</w:t>
            </w:r>
          </w:p>
          <w:p w14:paraId="7D832603"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ARTÍCULO 178A.</w:t>
            </w:r>
            <w:r w:rsidRPr="0070273F">
              <w:rPr>
                <w:rFonts w:ascii="Century Gothic" w:hAnsi="Century Gothic"/>
                <w:sz w:val="20"/>
                <w:szCs w:val="20"/>
              </w:rPr>
              <w:t xml:space="preserve"> </w:t>
            </w:r>
            <w:r w:rsidRPr="0070273F">
              <w:rPr>
                <w:rFonts w:ascii="Century Gothic" w:hAnsi="Century Gothic"/>
                <w:b/>
                <w:bCs/>
                <w:sz w:val="20"/>
                <w:szCs w:val="20"/>
              </w:rPr>
              <w:t xml:space="preserve"> TRÁMITE DEL RECURSO DE IMPUGNACIÓN ESPECIAL. </w:t>
            </w:r>
            <w:r w:rsidRPr="0070273F">
              <w:rPr>
                <w:rFonts w:ascii="Century Gothic" w:hAnsi="Century Gothic"/>
                <w:sz w:val="20"/>
                <w:szCs w:val="20"/>
              </w:rPr>
              <w:t>El recurso de impugnación especial se interpondrá en la audiencia de lectura de fallo, se sustentará dentro de los diez (1o) días siguientes, se correrá traslado a los no recurrentes en los tres (3) días siguientes, para que en un término de cinco (5) diez (10) días se pronuncien. </w:t>
            </w:r>
          </w:p>
          <w:p w14:paraId="2B564F9B" w14:textId="77777777" w:rsidR="00B62E0A" w:rsidRPr="0070273F" w:rsidRDefault="00B62E0A" w:rsidP="00B62E0A">
            <w:pPr>
              <w:jc w:val="both"/>
              <w:rPr>
                <w:rFonts w:ascii="Century Gothic" w:hAnsi="Century Gothic"/>
                <w:sz w:val="20"/>
                <w:szCs w:val="20"/>
              </w:rPr>
            </w:pPr>
            <w:r w:rsidRPr="0070273F">
              <w:rPr>
                <w:rFonts w:ascii="Century Gothic" w:hAnsi="Century Gothic"/>
                <w:sz w:val="20"/>
                <w:szCs w:val="20"/>
              </w:rPr>
              <w:t>El recurso de impugnación especial estará desprovisto de causales o técnica especial alguna, en el mismo deberán señalarse las razones del disenso contra el fallo condenatorio y estas constituirán el límite del juez superior para resolver.</w:t>
            </w:r>
          </w:p>
          <w:p w14:paraId="711FDBA9" w14:textId="2938B35E" w:rsidR="00B62E0A" w:rsidRPr="0070273F" w:rsidRDefault="00B62E0A" w:rsidP="00B62E0A">
            <w:pPr>
              <w:jc w:val="both"/>
              <w:rPr>
                <w:rFonts w:ascii="Century Gothic" w:hAnsi="Century Gothic"/>
                <w:b/>
                <w:bCs/>
                <w:sz w:val="20"/>
                <w:szCs w:val="20"/>
              </w:rPr>
            </w:pPr>
            <w:r w:rsidRPr="0070273F">
              <w:rPr>
                <w:rFonts w:ascii="Century Gothic" w:hAnsi="Century Gothic"/>
                <w:sz w:val="20"/>
                <w:szCs w:val="20"/>
              </w:rPr>
              <w:t>Realizado el reparto en la Corte Suprema de Justicia, el Magistrado Ponente cuenta con treinta días para registrar proyecto y veinte la Sala para su estudio y decisión. El fallo será leído en audiencia dentro de los diez días siguientes a su aceptación por la sala. </w:t>
            </w:r>
          </w:p>
        </w:tc>
      </w:tr>
      <w:tr w:rsidR="00B62E0A" w:rsidRPr="009745E1" w14:paraId="01DDBE75"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6E946" w14:textId="77777777" w:rsidR="00B62E0A" w:rsidRDefault="00B62E0A" w:rsidP="00B62E0A">
            <w:pPr>
              <w:jc w:val="center"/>
              <w:rPr>
                <w:rFonts w:ascii="Century Gothic" w:hAnsi="Century Gothic"/>
                <w:b/>
                <w:bCs/>
                <w:sz w:val="20"/>
                <w:szCs w:val="20"/>
              </w:rPr>
            </w:pPr>
          </w:p>
          <w:p w14:paraId="6A8FF91F" w14:textId="77777777" w:rsidR="00B62E0A" w:rsidRDefault="00B62E0A" w:rsidP="00B62E0A">
            <w:pPr>
              <w:jc w:val="center"/>
              <w:rPr>
                <w:rFonts w:ascii="Century Gothic" w:hAnsi="Century Gothic"/>
                <w:b/>
                <w:bCs/>
                <w:sz w:val="20"/>
                <w:szCs w:val="20"/>
              </w:rPr>
            </w:pPr>
          </w:p>
          <w:p w14:paraId="3054FA2C" w14:textId="77777777" w:rsidR="00B62E0A" w:rsidRDefault="00B62E0A" w:rsidP="00B62E0A">
            <w:pPr>
              <w:jc w:val="center"/>
              <w:rPr>
                <w:rFonts w:ascii="Century Gothic" w:hAnsi="Century Gothic"/>
                <w:b/>
                <w:bCs/>
                <w:sz w:val="20"/>
                <w:szCs w:val="20"/>
              </w:rPr>
            </w:pPr>
          </w:p>
          <w:p w14:paraId="470E30A4" w14:textId="77777777" w:rsidR="00B62E0A" w:rsidRDefault="00B62E0A" w:rsidP="00B62E0A">
            <w:pPr>
              <w:jc w:val="center"/>
              <w:rPr>
                <w:rFonts w:ascii="Century Gothic" w:hAnsi="Century Gothic"/>
                <w:b/>
                <w:bCs/>
                <w:sz w:val="20"/>
                <w:szCs w:val="20"/>
              </w:rPr>
            </w:pPr>
          </w:p>
          <w:p w14:paraId="066CE86F" w14:textId="77777777" w:rsidR="00B62E0A" w:rsidRDefault="00B62E0A" w:rsidP="00B62E0A">
            <w:pPr>
              <w:jc w:val="center"/>
              <w:rPr>
                <w:rFonts w:ascii="Century Gothic" w:hAnsi="Century Gothic"/>
                <w:b/>
                <w:bCs/>
                <w:sz w:val="20"/>
                <w:szCs w:val="20"/>
              </w:rPr>
            </w:pPr>
          </w:p>
          <w:p w14:paraId="2A3EC7BA" w14:textId="1B1DB089"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t>Carlos Felipe Quintero</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32D0"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 xml:space="preserve">Artículo 5. </w:t>
            </w:r>
            <w:r w:rsidRPr="0070273F">
              <w:rPr>
                <w:rFonts w:ascii="Century Gothic" w:hAnsi="Century Gothic"/>
                <w:sz w:val="20"/>
                <w:szCs w:val="20"/>
              </w:rPr>
              <w:t>Créase el artículo 178A en la Ley 906 de 2004, el cual quedará así:</w:t>
            </w:r>
          </w:p>
          <w:p w14:paraId="6B4C347F"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ARTÍCULO 178A.</w:t>
            </w:r>
            <w:r w:rsidRPr="0070273F">
              <w:rPr>
                <w:rFonts w:ascii="Century Gothic" w:hAnsi="Century Gothic"/>
                <w:sz w:val="20"/>
                <w:szCs w:val="20"/>
              </w:rPr>
              <w:t xml:space="preserve"> </w:t>
            </w:r>
            <w:r w:rsidRPr="0070273F">
              <w:rPr>
                <w:rFonts w:ascii="Century Gothic" w:hAnsi="Century Gothic"/>
                <w:b/>
                <w:bCs/>
                <w:sz w:val="20"/>
                <w:szCs w:val="20"/>
              </w:rPr>
              <w:t xml:space="preserve"> TRÁMITE DEL RECURSO DE IMPUGNACIÓN ESPECIAL. </w:t>
            </w:r>
            <w:r w:rsidRPr="0070273F">
              <w:rPr>
                <w:rFonts w:ascii="Century Gothic" w:hAnsi="Century Gothic"/>
                <w:sz w:val="20"/>
                <w:szCs w:val="20"/>
              </w:rPr>
              <w:t>El recurso de impugnación especial se interpondrá en la audiencia de lectura de fallo, se sustentará dentro de los diez (1o) días siguientes, se correrá traslado a los no recurrentes en los tres (3) días siguientes, para que en un término de cinco (5) días se pronuncien. </w:t>
            </w:r>
          </w:p>
          <w:p w14:paraId="4581065C" w14:textId="6586CB4B" w:rsidR="00B62E0A" w:rsidRPr="0070273F" w:rsidRDefault="00B62E0A" w:rsidP="00B62E0A">
            <w:pPr>
              <w:jc w:val="both"/>
              <w:rPr>
                <w:rFonts w:ascii="Century Gothic" w:hAnsi="Century Gothic"/>
                <w:b/>
                <w:bCs/>
                <w:sz w:val="20"/>
                <w:szCs w:val="20"/>
              </w:rPr>
            </w:pPr>
            <w:r w:rsidRPr="0070273F">
              <w:rPr>
                <w:rFonts w:ascii="Century Gothic" w:hAnsi="Century Gothic"/>
                <w:sz w:val="20"/>
                <w:szCs w:val="20"/>
              </w:rPr>
              <w:t xml:space="preserve">El recurso de impugnación especial </w:t>
            </w:r>
            <w:r w:rsidRPr="0070273F">
              <w:rPr>
                <w:rFonts w:ascii="Century Gothic" w:hAnsi="Century Gothic"/>
                <w:b/>
                <w:bCs/>
                <w:sz w:val="20"/>
                <w:szCs w:val="20"/>
                <w:u w:val="single"/>
              </w:rPr>
              <w:t xml:space="preserve">no estará sujeto a causales taxativas ni requerirá técnica específica. En su interposición deberán exponerse las razones concretas del disenso frente al fallo condenatorio, las cuales delimitarán el ámbito de competencia del juez superior al momento de resolver. </w:t>
            </w:r>
            <w:r w:rsidRPr="0070273F">
              <w:rPr>
                <w:rFonts w:ascii="Century Gothic" w:hAnsi="Century Gothic"/>
                <w:sz w:val="20"/>
                <w:szCs w:val="20"/>
              </w:rPr>
              <w:t>estará desprovisto de causales o técnica especial alguna, en el mismo deberán señalarse las razones del disenso contra el fallo condenatorio y estas constituirán el límite del juez superior para resolver.</w:t>
            </w:r>
          </w:p>
        </w:tc>
      </w:tr>
      <w:tr w:rsidR="00B62E0A" w:rsidRPr="009745E1" w14:paraId="017E198B"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1F075" w14:textId="77777777" w:rsidR="00B62E0A" w:rsidRDefault="00B62E0A" w:rsidP="00B62E0A">
            <w:pPr>
              <w:jc w:val="center"/>
              <w:rPr>
                <w:rFonts w:ascii="Century Gothic" w:hAnsi="Century Gothic"/>
                <w:b/>
                <w:bCs/>
                <w:sz w:val="20"/>
                <w:szCs w:val="20"/>
              </w:rPr>
            </w:pPr>
          </w:p>
          <w:p w14:paraId="39E2AE24" w14:textId="77777777" w:rsidR="00B62E0A" w:rsidRDefault="00B62E0A" w:rsidP="00B62E0A">
            <w:pPr>
              <w:jc w:val="center"/>
              <w:rPr>
                <w:rFonts w:ascii="Century Gothic" w:hAnsi="Century Gothic"/>
                <w:b/>
                <w:bCs/>
                <w:sz w:val="20"/>
                <w:szCs w:val="20"/>
              </w:rPr>
            </w:pPr>
          </w:p>
          <w:p w14:paraId="3E133DFE" w14:textId="483F7BCF"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lastRenderedPageBreak/>
              <w:t>Juan Sebastián Gómez</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DA125"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lastRenderedPageBreak/>
              <w:t xml:space="preserve">Artículo 5. </w:t>
            </w:r>
            <w:r w:rsidRPr="0070273F">
              <w:rPr>
                <w:rFonts w:ascii="Century Gothic" w:hAnsi="Century Gothic"/>
                <w:sz w:val="20"/>
                <w:szCs w:val="20"/>
              </w:rPr>
              <w:t>Créase el artículo 178A en la Ley 906 de 2004, el cuál quedará así:</w:t>
            </w:r>
          </w:p>
          <w:p w14:paraId="5C9BE653" w14:textId="77777777" w:rsidR="00B62E0A" w:rsidRPr="0070273F" w:rsidRDefault="00B62E0A" w:rsidP="00B62E0A">
            <w:pPr>
              <w:jc w:val="both"/>
              <w:rPr>
                <w:rFonts w:ascii="Century Gothic" w:hAnsi="Century Gothic"/>
                <w:sz w:val="20"/>
                <w:szCs w:val="20"/>
              </w:rPr>
            </w:pPr>
            <w:r w:rsidRPr="0070273F">
              <w:rPr>
                <w:rFonts w:ascii="Century Gothic" w:hAnsi="Century Gothic"/>
                <w:bCs/>
                <w:sz w:val="20"/>
                <w:szCs w:val="20"/>
              </w:rPr>
              <w:t>(…)</w:t>
            </w:r>
          </w:p>
          <w:p w14:paraId="033E20D4" w14:textId="63DFEED8" w:rsidR="00B62E0A" w:rsidRPr="0070273F" w:rsidRDefault="00B62E0A" w:rsidP="00B62E0A">
            <w:pPr>
              <w:jc w:val="both"/>
              <w:rPr>
                <w:rFonts w:ascii="Century Gothic" w:hAnsi="Century Gothic"/>
                <w:b/>
                <w:bCs/>
                <w:sz w:val="20"/>
                <w:szCs w:val="20"/>
              </w:rPr>
            </w:pPr>
            <w:r w:rsidRPr="0070273F">
              <w:rPr>
                <w:rFonts w:ascii="Century Gothic" w:hAnsi="Century Gothic"/>
                <w:sz w:val="20"/>
                <w:szCs w:val="20"/>
              </w:rPr>
              <w:lastRenderedPageBreak/>
              <w:t xml:space="preserve">Realizado el reparto en la Corte Suprema de Justicia, el Magistrado ponente cuenta </w:t>
            </w:r>
            <w:r w:rsidRPr="0070273F">
              <w:rPr>
                <w:rFonts w:ascii="Century Gothic" w:hAnsi="Century Gothic"/>
                <w:b/>
                <w:bCs/>
                <w:sz w:val="20"/>
                <w:szCs w:val="20"/>
                <w:u w:val="single"/>
              </w:rPr>
              <w:t xml:space="preserve">contará </w:t>
            </w:r>
            <w:r w:rsidRPr="0070273F">
              <w:rPr>
                <w:rFonts w:ascii="Century Gothic" w:hAnsi="Century Gothic"/>
                <w:sz w:val="20"/>
                <w:szCs w:val="20"/>
              </w:rPr>
              <w:t xml:space="preserve">con </w:t>
            </w:r>
            <w:r w:rsidRPr="0070273F">
              <w:rPr>
                <w:rFonts w:ascii="Century Gothic" w:hAnsi="Century Gothic"/>
                <w:b/>
                <w:bCs/>
                <w:sz w:val="20"/>
                <w:szCs w:val="20"/>
                <w:u w:val="single"/>
              </w:rPr>
              <w:t xml:space="preserve">un término máximo de </w:t>
            </w:r>
            <w:r w:rsidRPr="0070273F">
              <w:rPr>
                <w:rFonts w:ascii="Century Gothic" w:hAnsi="Century Gothic"/>
                <w:sz w:val="20"/>
                <w:szCs w:val="20"/>
              </w:rPr>
              <w:t xml:space="preserve">treinta </w:t>
            </w:r>
            <w:r w:rsidRPr="0070273F">
              <w:rPr>
                <w:rFonts w:ascii="Century Gothic" w:hAnsi="Century Gothic"/>
                <w:b/>
                <w:bCs/>
                <w:sz w:val="20"/>
                <w:szCs w:val="20"/>
                <w:u w:val="single"/>
              </w:rPr>
              <w:t>(30)</w:t>
            </w:r>
            <w:r w:rsidRPr="0070273F">
              <w:rPr>
                <w:rFonts w:ascii="Century Gothic" w:hAnsi="Century Gothic"/>
                <w:sz w:val="20"/>
                <w:szCs w:val="20"/>
              </w:rPr>
              <w:t xml:space="preserve"> días para registrar </w:t>
            </w:r>
            <w:r w:rsidRPr="0070273F">
              <w:rPr>
                <w:rFonts w:ascii="Century Gothic" w:hAnsi="Century Gothic"/>
                <w:b/>
                <w:bCs/>
                <w:sz w:val="20"/>
                <w:szCs w:val="20"/>
                <w:u w:val="single"/>
              </w:rPr>
              <w:t>el</w:t>
            </w:r>
            <w:r w:rsidRPr="0070273F">
              <w:rPr>
                <w:rFonts w:ascii="Century Gothic" w:hAnsi="Century Gothic"/>
                <w:sz w:val="20"/>
                <w:szCs w:val="20"/>
              </w:rPr>
              <w:t xml:space="preserve"> proyecto </w:t>
            </w:r>
            <w:r w:rsidRPr="0070273F">
              <w:rPr>
                <w:rFonts w:ascii="Century Gothic" w:hAnsi="Century Gothic"/>
                <w:b/>
                <w:bCs/>
                <w:sz w:val="20"/>
                <w:szCs w:val="20"/>
                <w:u w:val="single"/>
              </w:rPr>
              <w:t>de fallo</w:t>
            </w:r>
            <w:r w:rsidRPr="0070273F">
              <w:rPr>
                <w:rFonts w:ascii="Century Gothic" w:hAnsi="Century Gothic"/>
                <w:sz w:val="20"/>
                <w:szCs w:val="20"/>
              </w:rPr>
              <w:t xml:space="preserve"> y veinte la Sala </w:t>
            </w:r>
            <w:r w:rsidRPr="0070273F">
              <w:rPr>
                <w:rFonts w:ascii="Century Gothic" w:hAnsi="Century Gothic"/>
                <w:b/>
                <w:bCs/>
                <w:sz w:val="20"/>
                <w:szCs w:val="20"/>
                <w:u w:val="single"/>
              </w:rPr>
              <w:t>con veinte (20) días</w:t>
            </w:r>
            <w:r w:rsidRPr="0070273F">
              <w:rPr>
                <w:rFonts w:ascii="Century Gothic" w:hAnsi="Century Gothic"/>
                <w:sz w:val="20"/>
                <w:szCs w:val="20"/>
              </w:rPr>
              <w:t xml:space="preserve"> para su estudio y decisión. El fallo será leído en audiencia dentro de los diez días siguientes a su aceptación por la sala. </w:t>
            </w:r>
          </w:p>
        </w:tc>
      </w:tr>
      <w:tr w:rsidR="00B62E0A" w:rsidRPr="009745E1" w14:paraId="31314407"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F09D" w14:textId="77777777" w:rsidR="00B62E0A" w:rsidRDefault="00B62E0A" w:rsidP="00B62E0A">
            <w:pPr>
              <w:jc w:val="center"/>
              <w:rPr>
                <w:rFonts w:ascii="Century Gothic" w:hAnsi="Century Gothic"/>
                <w:b/>
                <w:bCs/>
                <w:sz w:val="20"/>
                <w:szCs w:val="20"/>
              </w:rPr>
            </w:pPr>
          </w:p>
          <w:p w14:paraId="392CC493" w14:textId="77777777" w:rsidR="00B62E0A" w:rsidRDefault="00B62E0A" w:rsidP="00B62E0A">
            <w:pPr>
              <w:jc w:val="center"/>
              <w:rPr>
                <w:rFonts w:ascii="Century Gothic" w:hAnsi="Century Gothic"/>
                <w:b/>
                <w:bCs/>
                <w:sz w:val="20"/>
                <w:szCs w:val="20"/>
              </w:rPr>
            </w:pPr>
          </w:p>
          <w:p w14:paraId="057E19E4" w14:textId="77777777" w:rsidR="00B62E0A" w:rsidRDefault="00B62E0A" w:rsidP="00B62E0A">
            <w:pPr>
              <w:jc w:val="center"/>
              <w:rPr>
                <w:rFonts w:ascii="Century Gothic" w:hAnsi="Century Gothic"/>
                <w:b/>
                <w:bCs/>
                <w:sz w:val="20"/>
                <w:szCs w:val="20"/>
              </w:rPr>
            </w:pPr>
          </w:p>
          <w:p w14:paraId="51B3F52D" w14:textId="77777777" w:rsidR="00B62E0A" w:rsidRDefault="00B62E0A" w:rsidP="00B62E0A">
            <w:pPr>
              <w:jc w:val="center"/>
              <w:rPr>
                <w:rFonts w:ascii="Century Gothic" w:hAnsi="Century Gothic"/>
                <w:b/>
                <w:bCs/>
                <w:sz w:val="20"/>
                <w:szCs w:val="20"/>
              </w:rPr>
            </w:pPr>
          </w:p>
          <w:p w14:paraId="0783AC40" w14:textId="7FD1A5C5"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t>Carlos Felipe Quintero</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18262" w14:textId="77777777" w:rsidR="00B62E0A" w:rsidRDefault="00B62E0A" w:rsidP="00B62E0A">
            <w:pPr>
              <w:jc w:val="both"/>
              <w:rPr>
                <w:rFonts w:ascii="Century Gothic" w:hAnsi="Century Gothic"/>
                <w:b/>
                <w:bCs/>
                <w:sz w:val="20"/>
                <w:szCs w:val="20"/>
              </w:rPr>
            </w:pPr>
            <w:r w:rsidRPr="0070273F">
              <w:rPr>
                <w:rFonts w:ascii="Century Gothic" w:hAnsi="Century Gothic"/>
                <w:b/>
                <w:bCs/>
                <w:sz w:val="20"/>
                <w:szCs w:val="20"/>
              </w:rPr>
              <w:t xml:space="preserve">Artículo 6. </w:t>
            </w:r>
            <w:r w:rsidRPr="0070273F">
              <w:rPr>
                <w:rFonts w:ascii="Century Gothic" w:hAnsi="Century Gothic"/>
                <w:bCs/>
                <w:sz w:val="20"/>
                <w:szCs w:val="20"/>
              </w:rPr>
              <w:t>Créase el artículo 178 B en la Ley 906 de 2004, el cual quedará así:</w:t>
            </w:r>
            <w:r w:rsidRPr="0070273F">
              <w:rPr>
                <w:rFonts w:ascii="Century Gothic" w:hAnsi="Century Gothic"/>
                <w:b/>
                <w:bCs/>
                <w:sz w:val="20"/>
                <w:szCs w:val="20"/>
              </w:rPr>
              <w:t xml:space="preserve"> </w:t>
            </w:r>
          </w:p>
          <w:p w14:paraId="0883C159"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ARTÍCULO 178B. CONCURRENCIA DE LOS RECURSOS DE CASACIÓN Y DE IMPUGNACIÓN ESPECIAL CONTRA UNA MISMA SENTENCIA:</w:t>
            </w:r>
            <w:r w:rsidRPr="0070273F">
              <w:rPr>
                <w:rFonts w:ascii="Century Gothic" w:hAnsi="Century Gothic"/>
                <w:sz w:val="20"/>
                <w:szCs w:val="20"/>
              </w:rPr>
              <w:t xml:space="preserve"> Cuando en una sentencia proferida en segunda instancia se condene por primera vez respecto de uno o varios delitos y a la vez se confirme la condena impuesta en primera instancia respecto de otro u otros delitos, se aplicarán las siguientes reglas:</w:t>
            </w:r>
          </w:p>
          <w:p w14:paraId="419D1B58"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w:t>
            </w:r>
          </w:p>
          <w:p w14:paraId="432ED8A8" w14:textId="77777777" w:rsidR="00B62E0A" w:rsidRPr="0070273F" w:rsidRDefault="00B62E0A" w:rsidP="00B62E0A">
            <w:pPr>
              <w:jc w:val="both"/>
              <w:rPr>
                <w:rFonts w:ascii="Century Gothic" w:hAnsi="Century Gothic"/>
                <w:sz w:val="20"/>
                <w:szCs w:val="20"/>
              </w:rPr>
            </w:pPr>
          </w:p>
          <w:p w14:paraId="6173C3F4" w14:textId="773A8F20" w:rsidR="00B62E0A" w:rsidRPr="0070273F" w:rsidRDefault="00B62E0A" w:rsidP="00B62E0A">
            <w:pPr>
              <w:jc w:val="both"/>
              <w:rPr>
                <w:rFonts w:ascii="Century Gothic" w:hAnsi="Century Gothic"/>
                <w:b/>
                <w:bCs/>
                <w:sz w:val="20"/>
                <w:szCs w:val="20"/>
              </w:rPr>
            </w:pPr>
            <w:r w:rsidRPr="0070273F">
              <w:rPr>
                <w:rFonts w:ascii="Century Gothic" w:hAnsi="Century Gothic"/>
                <w:sz w:val="20"/>
                <w:szCs w:val="20"/>
              </w:rPr>
              <w:t>3.    Si además de la impugnación especial promovida por el acusado o su defensor, otro sujeto procesal o interviniente promovió casación, la Corte r</w:t>
            </w:r>
            <w:r w:rsidRPr="0070273F">
              <w:rPr>
                <w:rFonts w:ascii="Century Gothic" w:hAnsi="Century Gothic"/>
                <w:b/>
                <w:bCs/>
                <w:sz w:val="20"/>
                <w:szCs w:val="20"/>
                <w:u w:val="single"/>
              </w:rPr>
              <w:t>esolverá</w:t>
            </w:r>
            <w:r w:rsidRPr="0070273F">
              <w:rPr>
                <w:rFonts w:ascii="Century Gothic" w:hAnsi="Century Gothic"/>
                <w:sz w:val="20"/>
                <w:szCs w:val="20"/>
              </w:rPr>
              <w:t xml:space="preserve"> procederá primero, a resolver la impugnación especial.</w:t>
            </w:r>
          </w:p>
        </w:tc>
      </w:tr>
      <w:tr w:rsidR="00B62E0A" w:rsidRPr="009745E1" w14:paraId="5DD0EDAB"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5B242" w14:textId="77777777" w:rsidR="00B62E0A" w:rsidRDefault="00B62E0A" w:rsidP="00B62E0A">
            <w:pPr>
              <w:jc w:val="center"/>
              <w:rPr>
                <w:rFonts w:ascii="Century Gothic" w:hAnsi="Century Gothic"/>
                <w:b/>
                <w:bCs/>
                <w:sz w:val="20"/>
                <w:szCs w:val="20"/>
              </w:rPr>
            </w:pPr>
          </w:p>
          <w:p w14:paraId="2C545409" w14:textId="77777777" w:rsidR="00B62E0A" w:rsidRDefault="00B62E0A" w:rsidP="00B62E0A">
            <w:pPr>
              <w:jc w:val="center"/>
              <w:rPr>
                <w:rFonts w:ascii="Century Gothic" w:hAnsi="Century Gothic"/>
                <w:b/>
                <w:bCs/>
                <w:sz w:val="20"/>
                <w:szCs w:val="20"/>
              </w:rPr>
            </w:pPr>
          </w:p>
          <w:p w14:paraId="56692ABB" w14:textId="3A28B0BE"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t>Alirio Uribe Muñoz</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129D6" w14:textId="77777777" w:rsidR="00B62E0A" w:rsidRDefault="00B62E0A" w:rsidP="00B62E0A">
            <w:pPr>
              <w:jc w:val="both"/>
              <w:rPr>
                <w:rFonts w:ascii="Century Gothic" w:hAnsi="Century Gothic"/>
                <w:sz w:val="20"/>
                <w:szCs w:val="20"/>
              </w:rPr>
            </w:pPr>
            <w:r w:rsidRPr="0070273F">
              <w:rPr>
                <w:rFonts w:ascii="Century Gothic" w:hAnsi="Century Gothic"/>
                <w:b/>
                <w:bCs/>
                <w:sz w:val="20"/>
                <w:szCs w:val="20"/>
              </w:rPr>
              <w:t>Artículo 6.</w:t>
            </w:r>
            <w:r w:rsidRPr="0070273F">
              <w:rPr>
                <w:rFonts w:ascii="Century Gothic" w:hAnsi="Century Gothic"/>
                <w:sz w:val="20"/>
                <w:szCs w:val="20"/>
              </w:rPr>
              <w:t xml:space="preserve"> Créase el artículo 178 B en la Ley 906 de 2004, el cual quedará así: </w:t>
            </w:r>
          </w:p>
          <w:p w14:paraId="1B7ED528" w14:textId="77777777" w:rsidR="00B62E0A" w:rsidRDefault="00B62E0A" w:rsidP="00B62E0A">
            <w:pPr>
              <w:jc w:val="both"/>
              <w:rPr>
                <w:rFonts w:ascii="Century Gothic" w:hAnsi="Century Gothic"/>
                <w:sz w:val="20"/>
                <w:szCs w:val="20"/>
              </w:rPr>
            </w:pPr>
            <w:r>
              <w:rPr>
                <w:rFonts w:ascii="Century Gothic" w:hAnsi="Century Gothic"/>
                <w:sz w:val="20"/>
                <w:szCs w:val="20"/>
              </w:rPr>
              <w:t>(…)</w:t>
            </w:r>
          </w:p>
          <w:p w14:paraId="1B992945" w14:textId="6BC40DE9" w:rsidR="00B62E0A" w:rsidRPr="0070273F" w:rsidRDefault="00B62E0A" w:rsidP="00B62E0A">
            <w:pPr>
              <w:jc w:val="both"/>
              <w:rPr>
                <w:rFonts w:ascii="Century Gothic" w:hAnsi="Century Gothic"/>
                <w:b/>
                <w:bCs/>
                <w:sz w:val="20"/>
                <w:szCs w:val="20"/>
              </w:rPr>
            </w:pPr>
            <w:r w:rsidRPr="0070273F">
              <w:rPr>
                <w:rFonts w:ascii="Century Gothic" w:hAnsi="Century Gothic"/>
                <w:b/>
                <w:bCs/>
                <w:sz w:val="20"/>
                <w:szCs w:val="20"/>
              </w:rPr>
              <w:t>4.   Resuelta la impugnación especial y notificada en audiencia de lectura de fallo empezará a correr el término para el defensor para presentar el recurso de casación respecto de los delitos para los cuales aún no lo hubiera presentado.</w:t>
            </w:r>
          </w:p>
        </w:tc>
      </w:tr>
      <w:tr w:rsidR="00B62E0A" w:rsidRPr="009745E1" w14:paraId="0B007E19"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D6975" w14:textId="77777777" w:rsidR="00B62E0A" w:rsidRDefault="00B62E0A" w:rsidP="00B62E0A">
            <w:pPr>
              <w:jc w:val="center"/>
              <w:rPr>
                <w:rFonts w:ascii="Century Gothic" w:hAnsi="Century Gothic"/>
                <w:b/>
                <w:bCs/>
                <w:sz w:val="20"/>
                <w:szCs w:val="20"/>
              </w:rPr>
            </w:pPr>
          </w:p>
          <w:p w14:paraId="626218FF" w14:textId="77777777" w:rsidR="00B62E0A" w:rsidRDefault="00B62E0A" w:rsidP="00B62E0A">
            <w:pPr>
              <w:jc w:val="center"/>
              <w:rPr>
                <w:rFonts w:ascii="Century Gothic" w:hAnsi="Century Gothic"/>
                <w:b/>
                <w:bCs/>
                <w:sz w:val="20"/>
                <w:szCs w:val="20"/>
              </w:rPr>
            </w:pPr>
          </w:p>
          <w:p w14:paraId="05CF98E8" w14:textId="76136DA4" w:rsidR="00B62E0A" w:rsidRPr="0070273F" w:rsidRDefault="00B62E0A" w:rsidP="00B62E0A">
            <w:pPr>
              <w:jc w:val="center"/>
              <w:rPr>
                <w:rFonts w:ascii="Century Gothic" w:hAnsi="Century Gothic"/>
                <w:sz w:val="20"/>
                <w:szCs w:val="20"/>
              </w:rPr>
            </w:pPr>
            <w:r w:rsidRPr="0070273F">
              <w:rPr>
                <w:rFonts w:ascii="Century Gothic" w:hAnsi="Century Gothic"/>
                <w:b/>
                <w:bCs/>
                <w:sz w:val="20"/>
                <w:szCs w:val="20"/>
              </w:rPr>
              <w:t>Karyme Cotes</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D4EB0"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t>Artículo 12. Ejercicio de la impugnación especial para aforados:</w:t>
            </w:r>
            <w:r w:rsidRPr="0070273F">
              <w:rPr>
                <w:rFonts w:ascii="Century Gothic" w:hAnsi="Century Gothic"/>
                <w:sz w:val="20"/>
                <w:szCs w:val="20"/>
              </w:rPr>
              <w:t xml:space="preserve"> Los aforados constitucionales de los que tratan los numerales 3, 4 y 5 del artículo 235 de la Constitución Política, así como los aforados legales señalados en el artículo 32 numeral 8 de la Ley 906 de 2004 tendrán derecho a impugnar la primera sentencia condenatoria, para lo cual la Sala de Casación Penal se dividirá en salas de decisión conformadas por tres (03) magistrados con el objetivo de conocer los eventuales recursos de apelación, impugnación </w:t>
            </w:r>
            <w:r w:rsidRPr="0070273F">
              <w:rPr>
                <w:rFonts w:ascii="Century Gothic" w:hAnsi="Century Gothic"/>
                <w:b/>
                <w:bCs/>
                <w:sz w:val="20"/>
                <w:szCs w:val="20"/>
                <w:u w:val="single"/>
              </w:rPr>
              <w:t>especial</w:t>
            </w:r>
            <w:r w:rsidRPr="0070273F">
              <w:rPr>
                <w:rFonts w:ascii="Century Gothic" w:hAnsi="Century Gothic"/>
                <w:sz w:val="20"/>
                <w:szCs w:val="20"/>
              </w:rPr>
              <w:t xml:space="preserve"> y casación garantizando el principio de imparcialidad judicial. </w:t>
            </w:r>
          </w:p>
        </w:tc>
      </w:tr>
      <w:tr w:rsidR="00B62E0A" w:rsidRPr="009745E1" w14:paraId="58A1E0A0"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FD96F" w14:textId="77777777" w:rsidR="00B62E0A" w:rsidRDefault="00B62E0A" w:rsidP="00B62E0A">
            <w:pPr>
              <w:jc w:val="center"/>
              <w:rPr>
                <w:rFonts w:ascii="Century Gothic" w:hAnsi="Century Gothic"/>
                <w:b/>
                <w:bCs/>
                <w:sz w:val="20"/>
                <w:szCs w:val="20"/>
              </w:rPr>
            </w:pPr>
          </w:p>
          <w:p w14:paraId="6445392F" w14:textId="77777777" w:rsidR="00B62E0A" w:rsidRDefault="00B62E0A" w:rsidP="00B62E0A">
            <w:pPr>
              <w:jc w:val="center"/>
              <w:rPr>
                <w:rFonts w:ascii="Century Gothic" w:hAnsi="Century Gothic"/>
                <w:b/>
                <w:bCs/>
                <w:sz w:val="20"/>
                <w:szCs w:val="20"/>
              </w:rPr>
            </w:pPr>
          </w:p>
          <w:p w14:paraId="4EAFB350" w14:textId="77777777" w:rsidR="00B62E0A" w:rsidRDefault="00B62E0A" w:rsidP="00B62E0A">
            <w:pPr>
              <w:jc w:val="center"/>
              <w:rPr>
                <w:rFonts w:ascii="Century Gothic" w:hAnsi="Century Gothic"/>
                <w:b/>
                <w:bCs/>
                <w:sz w:val="20"/>
                <w:szCs w:val="20"/>
              </w:rPr>
            </w:pPr>
          </w:p>
          <w:p w14:paraId="457EEBD7" w14:textId="77777777" w:rsidR="00B62E0A" w:rsidRDefault="00B62E0A" w:rsidP="00B62E0A">
            <w:pPr>
              <w:jc w:val="center"/>
              <w:rPr>
                <w:rFonts w:ascii="Century Gothic" w:hAnsi="Century Gothic"/>
                <w:b/>
                <w:bCs/>
                <w:sz w:val="20"/>
                <w:szCs w:val="20"/>
              </w:rPr>
            </w:pPr>
          </w:p>
          <w:p w14:paraId="312A6089" w14:textId="77777777" w:rsidR="00B62E0A" w:rsidRDefault="00B62E0A" w:rsidP="00B62E0A">
            <w:pPr>
              <w:jc w:val="center"/>
              <w:rPr>
                <w:rFonts w:ascii="Century Gothic" w:hAnsi="Century Gothic"/>
                <w:b/>
                <w:bCs/>
                <w:sz w:val="20"/>
                <w:szCs w:val="20"/>
              </w:rPr>
            </w:pPr>
          </w:p>
          <w:p w14:paraId="02419C99" w14:textId="41C641E9" w:rsidR="00B62E0A" w:rsidRDefault="00B62E0A" w:rsidP="00B62E0A">
            <w:pPr>
              <w:jc w:val="center"/>
              <w:rPr>
                <w:rFonts w:ascii="Century Gothic" w:hAnsi="Century Gothic"/>
                <w:b/>
                <w:bCs/>
                <w:sz w:val="20"/>
                <w:szCs w:val="20"/>
              </w:rPr>
            </w:pPr>
            <w:r w:rsidRPr="0070273F">
              <w:rPr>
                <w:rFonts w:ascii="Century Gothic" w:hAnsi="Century Gothic"/>
                <w:b/>
                <w:bCs/>
                <w:sz w:val="20"/>
                <w:szCs w:val="20"/>
              </w:rPr>
              <w:t>Carlos Felipe Quintero</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B4ED3"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rPr>
              <w:lastRenderedPageBreak/>
              <w:t>Artículo 12. Ejercicio de la impugnación especial para aforados:</w:t>
            </w:r>
            <w:r w:rsidRPr="0070273F">
              <w:rPr>
                <w:rFonts w:ascii="Century Gothic" w:hAnsi="Century Gothic"/>
                <w:sz w:val="20"/>
                <w:szCs w:val="20"/>
              </w:rPr>
              <w:t xml:space="preserve"> Los aforados constitucionales de los que tratan los numerales 3, 4 y 5 del artículo 235 de la Constitución Política, así como los aforados legales </w:t>
            </w:r>
            <w:r w:rsidRPr="0070273F">
              <w:rPr>
                <w:rFonts w:ascii="Century Gothic" w:hAnsi="Century Gothic"/>
                <w:sz w:val="20"/>
                <w:szCs w:val="20"/>
              </w:rPr>
              <w:lastRenderedPageBreak/>
              <w:t>señalados en el artículo 32 numeral 8 de la Ley 906 de 2004 tendrán derecho a impugnar la primera sentencia condenatoria.</w:t>
            </w:r>
          </w:p>
          <w:p w14:paraId="116BE3ED"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u w:val="single"/>
              </w:rPr>
              <w:t>Para garantizar el principio de imparcialidad judicial, la Sala de Casación Penal de la Corte Suprema de Justicia se organizará en salas de decisión integradas por tres (3) magistrados, encargadas de conocer los eventuales recursos de apelación, impugnación especial y casación que se interpongan en estos procesos.</w:t>
            </w:r>
          </w:p>
          <w:p w14:paraId="7313A488" w14:textId="77777777" w:rsidR="00B62E0A" w:rsidRPr="0070273F" w:rsidRDefault="00B62E0A" w:rsidP="00B62E0A">
            <w:pPr>
              <w:jc w:val="both"/>
              <w:rPr>
                <w:rFonts w:ascii="Century Gothic" w:hAnsi="Century Gothic"/>
                <w:sz w:val="20"/>
                <w:szCs w:val="20"/>
              </w:rPr>
            </w:pPr>
            <w:r w:rsidRPr="0070273F">
              <w:rPr>
                <w:rFonts w:ascii="Century Gothic" w:hAnsi="Century Gothic"/>
                <w:sz w:val="20"/>
                <w:szCs w:val="20"/>
              </w:rPr>
              <w:t>para lo cual la Sala de Casación Penal se dividirá en salas de decisión conformadas por tres (03) magistrados con el objetivo de conocer los eventuales recursos de apelación, impugnación y casación garantizando el principio de imparcialidad judicial. </w:t>
            </w:r>
          </w:p>
          <w:p w14:paraId="2A214006" w14:textId="539BE067" w:rsidR="00B62E0A" w:rsidRPr="0070273F" w:rsidRDefault="00B62E0A" w:rsidP="00B62E0A">
            <w:pPr>
              <w:jc w:val="both"/>
              <w:rPr>
                <w:rFonts w:ascii="Century Gothic" w:hAnsi="Century Gothic"/>
                <w:b/>
                <w:sz w:val="20"/>
                <w:szCs w:val="20"/>
              </w:rPr>
            </w:pPr>
            <w:r w:rsidRPr="0070273F">
              <w:rPr>
                <w:rFonts w:ascii="Century Gothic" w:hAnsi="Century Gothic"/>
                <w:b/>
                <w:bCs/>
                <w:sz w:val="20"/>
                <w:szCs w:val="20"/>
              </w:rPr>
              <w:t>Parágrafo:</w:t>
            </w:r>
            <w:r w:rsidRPr="0070273F">
              <w:rPr>
                <w:rFonts w:ascii="Century Gothic" w:hAnsi="Century Gothic"/>
                <w:sz w:val="20"/>
                <w:szCs w:val="20"/>
              </w:rPr>
              <w:t xml:space="preserve"> El recurso </w:t>
            </w:r>
            <w:r w:rsidRPr="0070273F">
              <w:rPr>
                <w:rFonts w:ascii="Century Gothic" w:hAnsi="Century Gothic"/>
                <w:b/>
                <w:bCs/>
                <w:sz w:val="20"/>
                <w:szCs w:val="20"/>
                <w:u w:val="single"/>
              </w:rPr>
              <w:t xml:space="preserve">de impugnación especial </w:t>
            </w:r>
            <w:r w:rsidRPr="0070273F">
              <w:rPr>
                <w:rFonts w:ascii="Century Gothic" w:hAnsi="Century Gothic"/>
                <w:sz w:val="20"/>
                <w:szCs w:val="20"/>
              </w:rPr>
              <w:t>será procedente sin observancia de que el proceso se tramite bajo el régimen procesal de la Ley 600 de 2000 o la Ley 906 de 2004. </w:t>
            </w:r>
          </w:p>
        </w:tc>
      </w:tr>
      <w:tr w:rsidR="00B62E0A" w:rsidRPr="009745E1" w14:paraId="047C0E93" w14:textId="77777777" w:rsidTr="0070273F">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93A55" w14:textId="77777777" w:rsidR="00B62E0A" w:rsidRDefault="00B62E0A" w:rsidP="00B62E0A">
            <w:pPr>
              <w:jc w:val="center"/>
              <w:rPr>
                <w:rFonts w:ascii="Century Gothic" w:hAnsi="Century Gothic"/>
                <w:b/>
                <w:bCs/>
                <w:sz w:val="20"/>
                <w:szCs w:val="20"/>
              </w:rPr>
            </w:pPr>
          </w:p>
          <w:p w14:paraId="05CA3FB4" w14:textId="60E40FA6" w:rsidR="00B62E0A" w:rsidRPr="0070273F" w:rsidRDefault="00B62E0A" w:rsidP="00B62E0A">
            <w:pPr>
              <w:jc w:val="center"/>
              <w:rPr>
                <w:rFonts w:ascii="Century Gothic" w:hAnsi="Century Gothic"/>
                <w:sz w:val="20"/>
                <w:szCs w:val="20"/>
              </w:rPr>
            </w:pPr>
            <w:r w:rsidRPr="0070273F">
              <w:rPr>
                <w:rFonts w:ascii="Century Gothic" w:hAnsi="Century Gothic"/>
                <w:b/>
                <w:bCs/>
                <w:sz w:val="20"/>
                <w:szCs w:val="20"/>
              </w:rPr>
              <w:t>Astrid Sánchez Montes de Oca</w:t>
            </w:r>
          </w:p>
        </w:tc>
        <w:tc>
          <w:tcPr>
            <w:tcW w:w="6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CE50E" w14:textId="77777777" w:rsidR="00B62E0A" w:rsidRPr="0070273F" w:rsidRDefault="00B62E0A" w:rsidP="00B62E0A">
            <w:pPr>
              <w:jc w:val="both"/>
              <w:rPr>
                <w:rFonts w:ascii="Century Gothic" w:hAnsi="Century Gothic"/>
                <w:sz w:val="20"/>
                <w:szCs w:val="20"/>
              </w:rPr>
            </w:pPr>
            <w:r w:rsidRPr="0070273F">
              <w:rPr>
                <w:rFonts w:ascii="Century Gothic" w:hAnsi="Century Gothic"/>
                <w:b/>
                <w:bCs/>
                <w:sz w:val="20"/>
                <w:szCs w:val="20"/>
                <w:u w:val="single"/>
              </w:rPr>
              <w:t xml:space="preserve">Artículo Transitorio. </w:t>
            </w:r>
            <w:r w:rsidRPr="00B62E0A">
              <w:rPr>
                <w:rFonts w:ascii="Century Gothic" w:hAnsi="Century Gothic"/>
                <w:bCs/>
                <w:sz w:val="20"/>
                <w:szCs w:val="20"/>
                <w:u w:val="single"/>
              </w:rPr>
              <w:t xml:space="preserve">El Ministerio de Justicia y del Derecho, en conjunto con la Corte Suprema de Justicia, presentará anualmente al Congreso de la República un informe sobre la implementación y efectividad del recurso de impugnación especial, incluyendo estadísticas de uso, tiempos de resolución </w:t>
            </w:r>
            <w:proofErr w:type="spellStart"/>
            <w:r w:rsidRPr="00B62E0A">
              <w:rPr>
                <w:rFonts w:ascii="Century Gothic" w:hAnsi="Century Gothic"/>
                <w:bCs/>
                <w:sz w:val="20"/>
                <w:szCs w:val="20"/>
                <w:u w:val="single"/>
              </w:rPr>
              <w:t>y</w:t>
            </w:r>
            <w:proofErr w:type="spellEnd"/>
            <w:r w:rsidRPr="00B62E0A">
              <w:rPr>
                <w:rFonts w:ascii="Century Gothic" w:hAnsi="Century Gothic"/>
                <w:bCs/>
                <w:sz w:val="20"/>
                <w:szCs w:val="20"/>
                <w:u w:val="single"/>
              </w:rPr>
              <w:t xml:space="preserve"> impacto en el sistema judicial.</w:t>
            </w:r>
            <w:r w:rsidRPr="0070273F">
              <w:rPr>
                <w:rFonts w:ascii="Century Gothic" w:hAnsi="Century Gothic"/>
                <w:b/>
                <w:bCs/>
                <w:sz w:val="20"/>
                <w:szCs w:val="20"/>
                <w:u w:val="single"/>
              </w:rPr>
              <w:t> </w:t>
            </w:r>
          </w:p>
        </w:tc>
      </w:tr>
    </w:tbl>
    <w:p w14:paraId="5259C020" w14:textId="77777777" w:rsidR="00B62E0A" w:rsidRDefault="00B62E0A" w:rsidP="009745E1">
      <w:pPr>
        <w:jc w:val="both"/>
        <w:rPr>
          <w:rFonts w:ascii="Century Gothic" w:hAnsi="Century Gothic"/>
          <w:b/>
          <w:bCs/>
        </w:rPr>
      </w:pPr>
    </w:p>
    <w:p w14:paraId="196CD4C6" w14:textId="5AC4FE39" w:rsidR="009745E1" w:rsidRPr="009745E1" w:rsidRDefault="009745E1" w:rsidP="009745E1">
      <w:pPr>
        <w:jc w:val="both"/>
        <w:rPr>
          <w:rFonts w:ascii="Century Gothic" w:hAnsi="Century Gothic"/>
        </w:rPr>
      </w:pPr>
      <w:r w:rsidRPr="009745E1">
        <w:rPr>
          <w:rFonts w:ascii="Century Gothic" w:hAnsi="Century Gothic"/>
          <w:b/>
          <w:bCs/>
        </w:rPr>
        <w:t>PLIEGO DE MODIFICACIONES</w:t>
      </w:r>
    </w:p>
    <w:p w14:paraId="7F2B6520" w14:textId="1709103D" w:rsidR="009745E1" w:rsidRDefault="00B62E0A" w:rsidP="009745E1">
      <w:pPr>
        <w:jc w:val="both"/>
        <w:rPr>
          <w:rFonts w:ascii="Century Gothic" w:hAnsi="Century Gothic"/>
        </w:rPr>
      </w:pPr>
      <w:r>
        <w:rPr>
          <w:rFonts w:ascii="Century Gothic" w:hAnsi="Century Gothic"/>
        </w:rPr>
        <w:t>Se presentan las siguientes modificaciones al articulado para Segunde Debate:</w:t>
      </w:r>
    </w:p>
    <w:tbl>
      <w:tblPr>
        <w:tblW w:w="0" w:type="auto"/>
        <w:tblCellMar>
          <w:top w:w="15" w:type="dxa"/>
          <w:left w:w="15" w:type="dxa"/>
          <w:bottom w:w="15" w:type="dxa"/>
          <w:right w:w="15" w:type="dxa"/>
        </w:tblCellMar>
        <w:tblLook w:val="04A0" w:firstRow="1" w:lastRow="0" w:firstColumn="1" w:lastColumn="0" w:noHBand="0" w:noVBand="1"/>
      </w:tblPr>
      <w:tblGrid>
        <w:gridCol w:w="3251"/>
        <w:gridCol w:w="3260"/>
        <w:gridCol w:w="2307"/>
      </w:tblGrid>
      <w:tr w:rsidR="007109D0" w:rsidRPr="009745E1" w14:paraId="4F7911FB"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D37B7B" w14:textId="77777777" w:rsidR="009745E1" w:rsidRPr="009745E1" w:rsidRDefault="009745E1" w:rsidP="00B62E0A">
            <w:pPr>
              <w:jc w:val="center"/>
              <w:rPr>
                <w:rFonts w:ascii="Century Gothic" w:hAnsi="Century Gothic"/>
              </w:rPr>
            </w:pPr>
            <w:r w:rsidRPr="009745E1">
              <w:rPr>
                <w:rFonts w:ascii="Century Gothic" w:hAnsi="Century Gothic"/>
                <w:b/>
                <w:bCs/>
              </w:rPr>
              <w:t>TEXTO APROBADO EN PRIMER DEBATE</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4E517" w14:textId="77777777" w:rsidR="009745E1" w:rsidRPr="009745E1" w:rsidRDefault="009745E1" w:rsidP="00B62E0A">
            <w:pPr>
              <w:jc w:val="center"/>
              <w:rPr>
                <w:rFonts w:ascii="Century Gothic" w:hAnsi="Century Gothic"/>
              </w:rPr>
            </w:pPr>
            <w:r w:rsidRPr="009745E1">
              <w:rPr>
                <w:rFonts w:ascii="Century Gothic" w:hAnsi="Century Gothic"/>
                <w:b/>
                <w:bCs/>
              </w:rPr>
              <w:t>TEXTO PROPUESTO PARA SEGUNDO DEBATE</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5812A" w14:textId="77777777" w:rsidR="009745E1" w:rsidRPr="009745E1" w:rsidRDefault="009745E1" w:rsidP="00B62E0A">
            <w:pPr>
              <w:jc w:val="center"/>
              <w:rPr>
                <w:rFonts w:ascii="Century Gothic" w:hAnsi="Century Gothic"/>
              </w:rPr>
            </w:pPr>
            <w:r w:rsidRPr="009745E1">
              <w:rPr>
                <w:rFonts w:ascii="Century Gothic" w:hAnsi="Century Gothic"/>
                <w:b/>
                <w:bCs/>
              </w:rPr>
              <w:t>DESCRIPCIÓN DE LA MODIFICACIÓN</w:t>
            </w:r>
          </w:p>
        </w:tc>
      </w:tr>
      <w:tr w:rsidR="007109D0" w:rsidRPr="009745E1" w14:paraId="7EEE1B68"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5C1A63" w14:textId="1E997721" w:rsidR="00C1327C" w:rsidRDefault="00C1327C" w:rsidP="00C1327C">
            <w:pPr>
              <w:spacing w:line="240" w:lineRule="auto"/>
              <w:jc w:val="both"/>
              <w:rPr>
                <w:rFonts w:ascii="Century Gothic" w:hAnsi="Century Gothic"/>
                <w:bCs/>
                <w:sz w:val="20"/>
              </w:rPr>
            </w:pPr>
            <w:r w:rsidRPr="00C1327C">
              <w:rPr>
                <w:rFonts w:ascii="Century Gothic" w:hAnsi="Century Gothic"/>
                <w:b/>
                <w:bCs/>
                <w:sz w:val="20"/>
              </w:rPr>
              <w:t xml:space="preserve">Artículo 3. </w:t>
            </w:r>
            <w:r w:rsidRPr="00C1327C">
              <w:rPr>
                <w:rFonts w:ascii="Century Gothic" w:hAnsi="Century Gothic"/>
                <w:bCs/>
                <w:sz w:val="20"/>
              </w:rPr>
              <w:t>Modifíquese el artículo 32 de la Ley 906 de 2004, el cual quedará así:</w:t>
            </w:r>
          </w:p>
          <w:p w14:paraId="1188DE38" w14:textId="77777777" w:rsidR="00C1327C" w:rsidRDefault="00C1327C" w:rsidP="00C1327C">
            <w:pPr>
              <w:spacing w:line="240" w:lineRule="auto"/>
              <w:jc w:val="both"/>
              <w:rPr>
                <w:rFonts w:ascii="Century Gothic" w:hAnsi="Century Gothic"/>
                <w:bCs/>
                <w:sz w:val="20"/>
              </w:rPr>
            </w:pPr>
            <w:r w:rsidRPr="00C1327C">
              <w:rPr>
                <w:rFonts w:ascii="Century Gothic" w:hAnsi="Century Gothic"/>
                <w:b/>
                <w:bCs/>
                <w:sz w:val="20"/>
              </w:rPr>
              <w:t>ARTÍCULO 32. DE LA CORTE SUPREMA DE JUSTICIA.</w:t>
            </w:r>
            <w:r>
              <w:rPr>
                <w:rFonts w:ascii="Century Gothic" w:hAnsi="Century Gothic"/>
                <w:b/>
                <w:bCs/>
                <w:sz w:val="20"/>
              </w:rPr>
              <w:t xml:space="preserve"> </w:t>
            </w:r>
            <w:r w:rsidRPr="00C1327C">
              <w:rPr>
                <w:rFonts w:ascii="Century Gothic" w:hAnsi="Century Gothic"/>
                <w:bCs/>
                <w:sz w:val="20"/>
              </w:rPr>
              <w:t>La Sala de Casación Penal de la Corte Suprema de Justicia conoce:</w:t>
            </w:r>
          </w:p>
          <w:p w14:paraId="6BAE07A4" w14:textId="77777777" w:rsidR="00C1327C" w:rsidRDefault="00C1327C" w:rsidP="00C1327C">
            <w:pPr>
              <w:spacing w:line="240" w:lineRule="auto"/>
              <w:jc w:val="both"/>
              <w:rPr>
                <w:rFonts w:ascii="Century Gothic" w:hAnsi="Century Gothic"/>
                <w:bCs/>
                <w:sz w:val="20"/>
              </w:rPr>
            </w:pPr>
            <w:r>
              <w:rPr>
                <w:rFonts w:ascii="Century Gothic" w:hAnsi="Century Gothic"/>
                <w:bCs/>
                <w:sz w:val="20"/>
              </w:rPr>
              <w:t>(…)</w:t>
            </w:r>
          </w:p>
          <w:p w14:paraId="71719813" w14:textId="4DAB7DFF" w:rsidR="00C1327C" w:rsidRPr="00C1327C" w:rsidRDefault="00C1327C" w:rsidP="00C1327C">
            <w:pPr>
              <w:spacing w:line="240" w:lineRule="auto"/>
              <w:jc w:val="both"/>
              <w:rPr>
                <w:rFonts w:ascii="Century Gothic" w:hAnsi="Century Gothic"/>
                <w:bCs/>
                <w:sz w:val="20"/>
              </w:rPr>
            </w:pPr>
            <w:r w:rsidRPr="00C1327C">
              <w:rPr>
                <w:rFonts w:ascii="Century Gothic" w:hAnsi="Century Gothic"/>
                <w:bCs/>
                <w:sz w:val="20"/>
              </w:rPr>
              <w:t xml:space="preserve">10. Del recurso de impugnación especial interpuesto contra la </w:t>
            </w:r>
            <w:r w:rsidRPr="00C1327C">
              <w:rPr>
                <w:rFonts w:ascii="Century Gothic" w:hAnsi="Century Gothic"/>
                <w:bCs/>
                <w:sz w:val="20"/>
              </w:rPr>
              <w:lastRenderedPageBreak/>
              <w:t>primera</w:t>
            </w:r>
            <w:r>
              <w:rPr>
                <w:rFonts w:ascii="Century Gothic" w:hAnsi="Century Gothic"/>
                <w:bCs/>
                <w:sz w:val="20"/>
              </w:rPr>
              <w:t xml:space="preserve"> </w:t>
            </w:r>
            <w:r w:rsidRPr="00C1327C">
              <w:rPr>
                <w:rFonts w:ascii="Century Gothic" w:hAnsi="Century Gothic"/>
                <w:bCs/>
                <w:sz w:val="20"/>
              </w:rPr>
              <w:t>sentencia condenatoria proferida en segunda instancia por los Tribunales</w:t>
            </w:r>
            <w:r>
              <w:rPr>
                <w:rFonts w:ascii="Century Gothic" w:hAnsi="Century Gothic"/>
                <w:bCs/>
                <w:sz w:val="20"/>
              </w:rPr>
              <w:t xml:space="preserve"> </w:t>
            </w:r>
            <w:r w:rsidRPr="00C1327C">
              <w:rPr>
                <w:rFonts w:ascii="Century Gothic" w:hAnsi="Century Gothic"/>
                <w:bCs/>
                <w:sz w:val="20"/>
              </w:rPr>
              <w:t>Superiores de Distrito o por la Corte Suprema de Justicia en sede del</w:t>
            </w:r>
            <w:r>
              <w:rPr>
                <w:rFonts w:ascii="Century Gothic" w:hAnsi="Century Gothic"/>
                <w:bCs/>
                <w:sz w:val="20"/>
              </w:rPr>
              <w:t xml:space="preserve"> </w:t>
            </w:r>
            <w:r w:rsidRPr="00C1327C">
              <w:rPr>
                <w:rFonts w:ascii="Century Gothic" w:hAnsi="Century Gothic"/>
                <w:bCs/>
                <w:sz w:val="20"/>
              </w:rPr>
              <w:t>recurso de apelación.</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0ECB9" w14:textId="77777777" w:rsidR="00C1327C" w:rsidRDefault="00C1327C" w:rsidP="00C1327C">
            <w:pPr>
              <w:spacing w:line="240" w:lineRule="auto"/>
              <w:jc w:val="both"/>
              <w:rPr>
                <w:rFonts w:ascii="Century Gothic" w:hAnsi="Century Gothic"/>
                <w:bCs/>
                <w:sz w:val="20"/>
              </w:rPr>
            </w:pPr>
            <w:r w:rsidRPr="00C1327C">
              <w:rPr>
                <w:rFonts w:ascii="Century Gothic" w:hAnsi="Century Gothic"/>
                <w:b/>
                <w:bCs/>
                <w:sz w:val="20"/>
              </w:rPr>
              <w:lastRenderedPageBreak/>
              <w:t xml:space="preserve">Artículo 3. </w:t>
            </w:r>
            <w:r w:rsidRPr="00C1327C">
              <w:rPr>
                <w:rFonts w:ascii="Century Gothic" w:hAnsi="Century Gothic"/>
                <w:bCs/>
                <w:sz w:val="20"/>
              </w:rPr>
              <w:t>Modifíquese el artículo 32 de la Ley 906 de 2004, el cual quedará así:</w:t>
            </w:r>
          </w:p>
          <w:p w14:paraId="0E165C29" w14:textId="77777777" w:rsidR="00C1327C" w:rsidRDefault="00C1327C" w:rsidP="00C1327C">
            <w:pPr>
              <w:spacing w:line="240" w:lineRule="auto"/>
              <w:jc w:val="both"/>
              <w:rPr>
                <w:rFonts w:ascii="Century Gothic" w:hAnsi="Century Gothic"/>
                <w:bCs/>
                <w:sz w:val="20"/>
              </w:rPr>
            </w:pPr>
            <w:r w:rsidRPr="00C1327C">
              <w:rPr>
                <w:rFonts w:ascii="Century Gothic" w:hAnsi="Century Gothic"/>
                <w:b/>
                <w:bCs/>
                <w:sz w:val="20"/>
              </w:rPr>
              <w:t>ARTÍCULO 32. DE LA CORTE SUPREMA DE JUSTICIA.</w:t>
            </w:r>
            <w:r>
              <w:rPr>
                <w:rFonts w:ascii="Century Gothic" w:hAnsi="Century Gothic"/>
                <w:b/>
                <w:bCs/>
                <w:sz w:val="20"/>
              </w:rPr>
              <w:t xml:space="preserve"> </w:t>
            </w:r>
            <w:r w:rsidRPr="00C1327C">
              <w:rPr>
                <w:rFonts w:ascii="Century Gothic" w:hAnsi="Century Gothic"/>
                <w:bCs/>
                <w:sz w:val="20"/>
              </w:rPr>
              <w:t>La Sala de Casación Penal de la Corte Suprema de Justicia conoce:</w:t>
            </w:r>
          </w:p>
          <w:p w14:paraId="0ADA5A8D" w14:textId="77777777" w:rsidR="00C1327C" w:rsidRDefault="00C1327C" w:rsidP="00C1327C">
            <w:pPr>
              <w:spacing w:line="240" w:lineRule="auto"/>
              <w:jc w:val="both"/>
              <w:rPr>
                <w:rFonts w:ascii="Century Gothic" w:hAnsi="Century Gothic"/>
                <w:bCs/>
                <w:sz w:val="20"/>
              </w:rPr>
            </w:pPr>
            <w:r>
              <w:rPr>
                <w:rFonts w:ascii="Century Gothic" w:hAnsi="Century Gothic"/>
                <w:bCs/>
                <w:sz w:val="20"/>
              </w:rPr>
              <w:t>(…)</w:t>
            </w:r>
          </w:p>
          <w:p w14:paraId="2DE40D5C" w14:textId="304F5E60" w:rsidR="00C1327C" w:rsidRPr="00B62E0A" w:rsidRDefault="00C1327C" w:rsidP="007C628C">
            <w:pPr>
              <w:jc w:val="both"/>
              <w:rPr>
                <w:rFonts w:ascii="Century Gothic" w:hAnsi="Century Gothic"/>
                <w:b/>
                <w:bCs/>
                <w:sz w:val="20"/>
              </w:rPr>
            </w:pPr>
            <w:r w:rsidRPr="00C1327C">
              <w:rPr>
                <w:rFonts w:ascii="Century Gothic" w:hAnsi="Century Gothic"/>
                <w:bCs/>
                <w:sz w:val="20"/>
              </w:rPr>
              <w:t xml:space="preserve">10. Del recurso de impugnación especial interpuesto contra la </w:t>
            </w:r>
            <w:r w:rsidRPr="00C1327C">
              <w:rPr>
                <w:rFonts w:ascii="Century Gothic" w:hAnsi="Century Gothic"/>
                <w:bCs/>
                <w:sz w:val="20"/>
              </w:rPr>
              <w:lastRenderedPageBreak/>
              <w:t>primera</w:t>
            </w:r>
            <w:r>
              <w:rPr>
                <w:rFonts w:ascii="Century Gothic" w:hAnsi="Century Gothic"/>
                <w:bCs/>
                <w:sz w:val="20"/>
              </w:rPr>
              <w:t xml:space="preserve"> </w:t>
            </w:r>
            <w:r w:rsidRPr="00C1327C">
              <w:rPr>
                <w:rFonts w:ascii="Century Gothic" w:hAnsi="Century Gothic"/>
                <w:bCs/>
                <w:sz w:val="20"/>
              </w:rPr>
              <w:t>sentencia condenatoria proferida en segunda instancia por los Tribunales</w:t>
            </w:r>
            <w:r>
              <w:rPr>
                <w:rFonts w:ascii="Century Gothic" w:hAnsi="Century Gothic"/>
                <w:bCs/>
                <w:sz w:val="20"/>
              </w:rPr>
              <w:t xml:space="preserve"> </w:t>
            </w:r>
            <w:r w:rsidRPr="00C1327C">
              <w:rPr>
                <w:rFonts w:ascii="Century Gothic" w:hAnsi="Century Gothic"/>
                <w:bCs/>
                <w:sz w:val="20"/>
              </w:rPr>
              <w:t>Superiores de Distrito</w:t>
            </w:r>
            <w:r w:rsidR="005C04BC">
              <w:rPr>
                <w:rFonts w:ascii="Century Gothic" w:hAnsi="Century Gothic"/>
                <w:bCs/>
                <w:sz w:val="20"/>
              </w:rPr>
              <w:t>,</w:t>
            </w:r>
            <w:r w:rsidRPr="00C1327C">
              <w:rPr>
                <w:rFonts w:ascii="Century Gothic" w:hAnsi="Century Gothic"/>
                <w:bCs/>
                <w:sz w:val="20"/>
              </w:rPr>
              <w:t xml:space="preserve"> o por la Corte Suprema de Justicia en sede del</w:t>
            </w:r>
            <w:r>
              <w:rPr>
                <w:rFonts w:ascii="Century Gothic" w:hAnsi="Century Gothic"/>
                <w:bCs/>
                <w:sz w:val="20"/>
              </w:rPr>
              <w:t xml:space="preserve"> </w:t>
            </w:r>
            <w:r w:rsidRPr="00C1327C">
              <w:rPr>
                <w:rFonts w:ascii="Century Gothic" w:hAnsi="Century Gothic"/>
                <w:bCs/>
                <w:sz w:val="20"/>
              </w:rPr>
              <w:t>recurso de apelación</w:t>
            </w:r>
            <w:r>
              <w:rPr>
                <w:rFonts w:ascii="Century Gothic" w:hAnsi="Century Gothic"/>
                <w:bCs/>
                <w:sz w:val="20"/>
              </w:rPr>
              <w:t xml:space="preserve"> </w:t>
            </w:r>
            <w:r w:rsidRPr="005C04BC">
              <w:rPr>
                <w:rFonts w:ascii="Century Gothic" w:hAnsi="Century Gothic"/>
                <w:b/>
                <w:bCs/>
                <w:sz w:val="20"/>
              </w:rPr>
              <w:t xml:space="preserve">o </w:t>
            </w:r>
            <w:r w:rsidR="005C04BC">
              <w:rPr>
                <w:rFonts w:ascii="Century Gothic" w:hAnsi="Century Gothic"/>
                <w:b/>
                <w:bCs/>
                <w:sz w:val="20"/>
              </w:rPr>
              <w:t xml:space="preserve">eventualmente </w:t>
            </w:r>
            <w:r w:rsidRPr="005C04BC">
              <w:rPr>
                <w:rFonts w:ascii="Century Gothic" w:hAnsi="Century Gothic"/>
                <w:b/>
                <w:bCs/>
                <w:sz w:val="20"/>
              </w:rPr>
              <w:t>en sede de</w:t>
            </w:r>
            <w:r w:rsidR="007C628C">
              <w:rPr>
                <w:rFonts w:ascii="Century Gothic" w:hAnsi="Century Gothic"/>
                <w:b/>
                <w:bCs/>
                <w:sz w:val="20"/>
              </w:rPr>
              <w:t>l recurso extraordinario de</w:t>
            </w:r>
            <w:r w:rsidRPr="005C04BC">
              <w:rPr>
                <w:rFonts w:ascii="Century Gothic" w:hAnsi="Century Gothic"/>
                <w:b/>
                <w:bCs/>
                <w:sz w:val="20"/>
              </w:rPr>
              <w:t xml:space="preserve"> casación.</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15106" w14:textId="7A108FA9" w:rsidR="00C1327C" w:rsidRPr="00B62E0A" w:rsidRDefault="005C04BC" w:rsidP="009745E1">
            <w:pPr>
              <w:jc w:val="both"/>
              <w:rPr>
                <w:rFonts w:ascii="Century Gothic" w:hAnsi="Century Gothic"/>
                <w:sz w:val="20"/>
              </w:rPr>
            </w:pPr>
            <w:r>
              <w:rPr>
                <w:rFonts w:ascii="Century Gothic" w:hAnsi="Century Gothic"/>
                <w:sz w:val="20"/>
              </w:rPr>
              <w:lastRenderedPageBreak/>
              <w:t xml:space="preserve">La Corte Constitucional </w:t>
            </w:r>
            <w:r w:rsidR="00351298">
              <w:rPr>
                <w:rFonts w:ascii="Century Gothic" w:hAnsi="Century Gothic"/>
                <w:sz w:val="20"/>
              </w:rPr>
              <w:t xml:space="preserve">ha mencionado que el recurso de impugnación especial también procede en la situación eventual en la cual es la Corte quien, por primera vez, en sede de </w:t>
            </w:r>
            <w:r w:rsidR="00351298">
              <w:rPr>
                <w:rFonts w:ascii="Century Gothic" w:hAnsi="Century Gothic"/>
                <w:sz w:val="20"/>
              </w:rPr>
              <w:lastRenderedPageBreak/>
              <w:t>casación, emite la primera condena.</w:t>
            </w:r>
          </w:p>
        </w:tc>
      </w:tr>
      <w:tr w:rsidR="007109D0" w:rsidRPr="009745E1" w14:paraId="3FBA1C79"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BC5BA4" w14:textId="77777777" w:rsidR="00351298" w:rsidRPr="00351298" w:rsidRDefault="00351298" w:rsidP="00351298">
            <w:pPr>
              <w:jc w:val="both"/>
              <w:rPr>
                <w:rFonts w:ascii="Century Gothic" w:hAnsi="Century Gothic"/>
                <w:b/>
                <w:bCs/>
                <w:sz w:val="20"/>
              </w:rPr>
            </w:pPr>
            <w:r w:rsidRPr="00351298">
              <w:rPr>
                <w:rFonts w:ascii="Century Gothic" w:hAnsi="Century Gothic"/>
                <w:b/>
                <w:bCs/>
                <w:sz w:val="20"/>
              </w:rPr>
              <w:lastRenderedPageBreak/>
              <w:t xml:space="preserve">Artículo 4. </w:t>
            </w:r>
            <w:r w:rsidRPr="00351298">
              <w:rPr>
                <w:rFonts w:ascii="Century Gothic" w:hAnsi="Century Gothic"/>
                <w:bCs/>
                <w:sz w:val="20"/>
              </w:rPr>
              <w:t>Créase el artículo 176A de la Ley 906 de 2004, el cual quedará así:</w:t>
            </w:r>
          </w:p>
          <w:p w14:paraId="77BFB0B6" w14:textId="71A1DF9C" w:rsidR="00C1327C" w:rsidRPr="00B62E0A" w:rsidRDefault="00351298" w:rsidP="00351298">
            <w:pPr>
              <w:jc w:val="both"/>
              <w:rPr>
                <w:rFonts w:ascii="Century Gothic" w:hAnsi="Century Gothic"/>
                <w:b/>
                <w:bCs/>
                <w:sz w:val="20"/>
              </w:rPr>
            </w:pPr>
            <w:r w:rsidRPr="00351298">
              <w:rPr>
                <w:rFonts w:ascii="Century Gothic" w:hAnsi="Century Gothic"/>
                <w:b/>
                <w:bCs/>
                <w:sz w:val="20"/>
              </w:rPr>
              <w:t xml:space="preserve">ARTÍCULO 176A: RECURSO DE IMPUGNACIÓN ESPECIAL: </w:t>
            </w:r>
            <w:r w:rsidRPr="00351298">
              <w:rPr>
                <w:rFonts w:ascii="Century Gothic" w:hAnsi="Century Gothic"/>
                <w:bCs/>
                <w:sz w:val="20"/>
              </w:rPr>
              <w:t>El</w:t>
            </w:r>
            <w:r>
              <w:rPr>
                <w:rFonts w:ascii="Century Gothic" w:hAnsi="Century Gothic"/>
                <w:bCs/>
                <w:sz w:val="20"/>
              </w:rPr>
              <w:t xml:space="preserve"> </w:t>
            </w:r>
            <w:r w:rsidRPr="00351298">
              <w:rPr>
                <w:rFonts w:ascii="Century Gothic" w:hAnsi="Century Gothic"/>
                <w:bCs/>
                <w:sz w:val="20"/>
              </w:rPr>
              <w:t>recurso de impugnación especial procede contra la primera sentencia</w:t>
            </w:r>
            <w:r>
              <w:rPr>
                <w:rFonts w:ascii="Century Gothic" w:hAnsi="Century Gothic"/>
                <w:bCs/>
                <w:sz w:val="20"/>
              </w:rPr>
              <w:t xml:space="preserve"> </w:t>
            </w:r>
            <w:r w:rsidRPr="00351298">
              <w:rPr>
                <w:rFonts w:ascii="Century Gothic" w:hAnsi="Century Gothic"/>
                <w:bCs/>
                <w:sz w:val="20"/>
              </w:rPr>
              <w:t>condenatoria, sea esta proferida en segunda instancia por los Tribunales</w:t>
            </w:r>
            <w:r>
              <w:rPr>
                <w:rFonts w:ascii="Century Gothic" w:hAnsi="Century Gothic"/>
                <w:bCs/>
                <w:sz w:val="20"/>
              </w:rPr>
              <w:t xml:space="preserve"> </w:t>
            </w:r>
            <w:r w:rsidRPr="00351298">
              <w:rPr>
                <w:rFonts w:ascii="Century Gothic" w:hAnsi="Century Gothic"/>
                <w:bCs/>
                <w:sz w:val="20"/>
              </w:rPr>
              <w:t>Superiores de Distrito o por la Corte Suprema de Justicia en sede del</w:t>
            </w:r>
            <w:r>
              <w:rPr>
                <w:rFonts w:ascii="Century Gothic" w:hAnsi="Century Gothic"/>
                <w:bCs/>
                <w:sz w:val="20"/>
              </w:rPr>
              <w:t xml:space="preserve"> </w:t>
            </w:r>
            <w:r w:rsidRPr="00351298">
              <w:rPr>
                <w:rFonts w:ascii="Century Gothic" w:hAnsi="Century Gothic"/>
                <w:bCs/>
                <w:sz w:val="20"/>
              </w:rPr>
              <w:t>recurso de apelación.</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83D187" w14:textId="77777777" w:rsidR="00351298" w:rsidRPr="00351298" w:rsidRDefault="00351298" w:rsidP="00351298">
            <w:pPr>
              <w:jc w:val="both"/>
              <w:rPr>
                <w:rFonts w:ascii="Century Gothic" w:hAnsi="Century Gothic"/>
                <w:b/>
                <w:bCs/>
                <w:sz w:val="20"/>
              </w:rPr>
            </w:pPr>
            <w:r w:rsidRPr="00351298">
              <w:rPr>
                <w:rFonts w:ascii="Century Gothic" w:hAnsi="Century Gothic"/>
                <w:b/>
                <w:bCs/>
                <w:sz w:val="20"/>
              </w:rPr>
              <w:t xml:space="preserve">Artículo 4. </w:t>
            </w:r>
            <w:r w:rsidRPr="00351298">
              <w:rPr>
                <w:rFonts w:ascii="Century Gothic" w:hAnsi="Century Gothic"/>
                <w:bCs/>
                <w:sz w:val="20"/>
              </w:rPr>
              <w:t>Créase el artículo 176A de la Ley 906 de 2004, el cual quedará así:</w:t>
            </w:r>
          </w:p>
          <w:p w14:paraId="0FEB24DD" w14:textId="2901B026" w:rsidR="008B3A09" w:rsidRPr="00B62E0A" w:rsidRDefault="00351298" w:rsidP="00065BD7">
            <w:pPr>
              <w:jc w:val="both"/>
              <w:rPr>
                <w:rFonts w:ascii="Century Gothic" w:hAnsi="Century Gothic"/>
                <w:b/>
                <w:bCs/>
                <w:sz w:val="20"/>
              </w:rPr>
            </w:pPr>
            <w:r w:rsidRPr="00351298">
              <w:rPr>
                <w:rFonts w:ascii="Century Gothic" w:hAnsi="Century Gothic"/>
                <w:b/>
                <w:bCs/>
                <w:sz w:val="20"/>
              </w:rPr>
              <w:t xml:space="preserve">ARTÍCULO 176A: RECURSO DE IMPUGNACIÓN ESPECIAL: </w:t>
            </w:r>
            <w:r w:rsidRPr="00351298">
              <w:rPr>
                <w:rFonts w:ascii="Century Gothic" w:hAnsi="Century Gothic"/>
                <w:bCs/>
                <w:sz w:val="20"/>
              </w:rPr>
              <w:t>El</w:t>
            </w:r>
            <w:r>
              <w:rPr>
                <w:rFonts w:ascii="Century Gothic" w:hAnsi="Century Gothic"/>
                <w:bCs/>
                <w:sz w:val="20"/>
              </w:rPr>
              <w:t xml:space="preserve"> </w:t>
            </w:r>
            <w:r w:rsidRPr="00351298">
              <w:rPr>
                <w:rFonts w:ascii="Century Gothic" w:hAnsi="Century Gothic"/>
                <w:bCs/>
                <w:sz w:val="20"/>
              </w:rPr>
              <w:t>recurso de impugnación especial procede contra la primera sentencia</w:t>
            </w:r>
            <w:r>
              <w:rPr>
                <w:rFonts w:ascii="Century Gothic" w:hAnsi="Century Gothic"/>
                <w:bCs/>
                <w:sz w:val="20"/>
              </w:rPr>
              <w:t xml:space="preserve"> </w:t>
            </w:r>
            <w:r w:rsidRPr="00351298">
              <w:rPr>
                <w:rFonts w:ascii="Century Gothic" w:hAnsi="Century Gothic"/>
                <w:bCs/>
                <w:sz w:val="20"/>
              </w:rPr>
              <w:t>condenatoria, sea esta proferida en segunda instancia</w:t>
            </w:r>
            <w:r w:rsidR="00A238DF">
              <w:rPr>
                <w:rFonts w:ascii="Century Gothic" w:hAnsi="Century Gothic"/>
                <w:bCs/>
                <w:sz w:val="20"/>
              </w:rPr>
              <w:t xml:space="preserve"> </w:t>
            </w:r>
            <w:r w:rsidRPr="00351298">
              <w:rPr>
                <w:rFonts w:ascii="Century Gothic" w:hAnsi="Century Gothic"/>
                <w:bCs/>
                <w:sz w:val="20"/>
              </w:rPr>
              <w:t>por los Tribunales</w:t>
            </w:r>
            <w:r>
              <w:rPr>
                <w:rFonts w:ascii="Century Gothic" w:hAnsi="Century Gothic"/>
                <w:bCs/>
                <w:sz w:val="20"/>
              </w:rPr>
              <w:t xml:space="preserve"> </w:t>
            </w:r>
            <w:r w:rsidRPr="00351298">
              <w:rPr>
                <w:rFonts w:ascii="Century Gothic" w:hAnsi="Century Gothic"/>
                <w:bCs/>
                <w:sz w:val="20"/>
              </w:rPr>
              <w:t>Superiores de Distrito o por la Corte Suprema de Justicia en sede del</w:t>
            </w:r>
            <w:r>
              <w:rPr>
                <w:rFonts w:ascii="Century Gothic" w:hAnsi="Century Gothic"/>
                <w:bCs/>
                <w:sz w:val="20"/>
              </w:rPr>
              <w:t xml:space="preserve"> </w:t>
            </w:r>
            <w:r w:rsidRPr="00351298">
              <w:rPr>
                <w:rFonts w:ascii="Century Gothic" w:hAnsi="Century Gothic"/>
                <w:bCs/>
                <w:sz w:val="20"/>
              </w:rPr>
              <w:t>recurso de apelación</w:t>
            </w:r>
            <w:r w:rsidR="007C628C">
              <w:rPr>
                <w:rFonts w:ascii="Century Gothic" w:hAnsi="Century Gothic"/>
                <w:bCs/>
                <w:sz w:val="20"/>
              </w:rPr>
              <w:t xml:space="preserve"> </w:t>
            </w:r>
            <w:r w:rsidRPr="005C04BC">
              <w:rPr>
                <w:rFonts w:ascii="Century Gothic" w:hAnsi="Century Gothic"/>
                <w:b/>
                <w:bCs/>
                <w:sz w:val="20"/>
              </w:rPr>
              <w:t xml:space="preserve">o </w:t>
            </w:r>
            <w:r>
              <w:rPr>
                <w:rFonts w:ascii="Century Gothic" w:hAnsi="Century Gothic"/>
                <w:b/>
                <w:bCs/>
                <w:sz w:val="20"/>
              </w:rPr>
              <w:t xml:space="preserve">eventualmente </w:t>
            </w:r>
            <w:r w:rsidRPr="005C04BC">
              <w:rPr>
                <w:rFonts w:ascii="Century Gothic" w:hAnsi="Century Gothic"/>
                <w:b/>
                <w:bCs/>
                <w:sz w:val="20"/>
              </w:rPr>
              <w:t>en sede de</w:t>
            </w:r>
            <w:r w:rsidR="007C628C">
              <w:rPr>
                <w:rFonts w:ascii="Century Gothic" w:hAnsi="Century Gothic"/>
                <w:b/>
                <w:bCs/>
                <w:sz w:val="20"/>
              </w:rPr>
              <w:t>l recurso extraordinario de</w:t>
            </w:r>
            <w:r w:rsidRPr="005C04BC">
              <w:rPr>
                <w:rFonts w:ascii="Century Gothic" w:hAnsi="Century Gothic"/>
                <w:b/>
                <w:bCs/>
                <w:sz w:val="20"/>
              </w:rPr>
              <w:t xml:space="preserve"> casació</w:t>
            </w:r>
            <w:r w:rsidR="00065BD7">
              <w:rPr>
                <w:rFonts w:ascii="Century Gothic" w:hAnsi="Century Gothic"/>
                <w:b/>
                <w:bCs/>
                <w:sz w:val="20"/>
              </w:rPr>
              <w:t>n.</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1F7BE" w14:textId="06A1490C" w:rsidR="00C1327C" w:rsidRPr="00B62E0A" w:rsidRDefault="00351298" w:rsidP="009745E1">
            <w:pPr>
              <w:jc w:val="both"/>
              <w:rPr>
                <w:rFonts w:ascii="Century Gothic" w:hAnsi="Century Gothic"/>
                <w:sz w:val="20"/>
              </w:rPr>
            </w:pPr>
            <w:r>
              <w:rPr>
                <w:rFonts w:ascii="Century Gothic" w:hAnsi="Century Gothic"/>
                <w:sz w:val="20"/>
              </w:rPr>
              <w:t>La Corte Constitucional ha mencionado que el recurso de impugnación especial también procede en la situación eventual en la cual es la Corte quien, por primera vez, en sede de casación, emite la primera condena.</w:t>
            </w:r>
          </w:p>
        </w:tc>
      </w:tr>
      <w:tr w:rsidR="007109D0" w:rsidRPr="009745E1" w14:paraId="0784B728"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D7F3C0" w14:textId="4E74C17E" w:rsidR="00351298" w:rsidRDefault="00351298" w:rsidP="00351298">
            <w:pPr>
              <w:spacing w:after="0"/>
              <w:jc w:val="both"/>
              <w:rPr>
                <w:rFonts w:ascii="Century Gothic" w:hAnsi="Century Gothic"/>
                <w:bCs/>
                <w:sz w:val="20"/>
              </w:rPr>
            </w:pPr>
            <w:r w:rsidRPr="00351298">
              <w:rPr>
                <w:rFonts w:ascii="Century Gothic" w:hAnsi="Century Gothic"/>
                <w:b/>
                <w:bCs/>
                <w:sz w:val="20"/>
              </w:rPr>
              <w:t xml:space="preserve">Artículo 5. </w:t>
            </w:r>
            <w:r w:rsidRPr="00351298">
              <w:rPr>
                <w:rFonts w:ascii="Century Gothic" w:hAnsi="Century Gothic"/>
                <w:bCs/>
                <w:sz w:val="20"/>
              </w:rPr>
              <w:t>Créase el artículo 178A en la Ley 906 de 2004, el cual quedará así:</w:t>
            </w:r>
          </w:p>
          <w:p w14:paraId="702FE2BA" w14:textId="77777777" w:rsidR="00351298" w:rsidRPr="00351298" w:rsidRDefault="00351298" w:rsidP="00351298">
            <w:pPr>
              <w:spacing w:after="0"/>
              <w:jc w:val="both"/>
              <w:rPr>
                <w:rFonts w:ascii="Century Gothic" w:hAnsi="Century Gothic"/>
                <w:b/>
                <w:bCs/>
                <w:sz w:val="20"/>
              </w:rPr>
            </w:pPr>
          </w:p>
          <w:p w14:paraId="7E9A1BBB" w14:textId="04F2B41C" w:rsidR="00351298" w:rsidRDefault="00351298" w:rsidP="00351298">
            <w:pPr>
              <w:spacing w:after="0"/>
              <w:jc w:val="both"/>
              <w:rPr>
                <w:rFonts w:ascii="Century Gothic" w:hAnsi="Century Gothic"/>
                <w:bCs/>
                <w:sz w:val="20"/>
              </w:rPr>
            </w:pPr>
            <w:r w:rsidRPr="00351298">
              <w:rPr>
                <w:rFonts w:ascii="Century Gothic" w:hAnsi="Century Gothic"/>
                <w:b/>
                <w:bCs/>
                <w:sz w:val="20"/>
              </w:rPr>
              <w:t>ARTÍCULO 178A.  TRÁMITE DEL RECURSO DE IMPUGNACIÓN</w:t>
            </w:r>
            <w:r>
              <w:rPr>
                <w:rFonts w:ascii="Century Gothic" w:hAnsi="Century Gothic"/>
                <w:b/>
                <w:bCs/>
                <w:sz w:val="20"/>
              </w:rPr>
              <w:t xml:space="preserve"> </w:t>
            </w:r>
            <w:r w:rsidRPr="00351298">
              <w:rPr>
                <w:rFonts w:ascii="Century Gothic" w:hAnsi="Century Gothic"/>
                <w:b/>
                <w:bCs/>
                <w:sz w:val="20"/>
              </w:rPr>
              <w:t xml:space="preserve">ESPECIAL. </w:t>
            </w:r>
            <w:r w:rsidRPr="00351298">
              <w:rPr>
                <w:rFonts w:ascii="Century Gothic" w:hAnsi="Century Gothic"/>
                <w:bCs/>
                <w:sz w:val="20"/>
              </w:rPr>
              <w:t>El recurso de impugnación especial se interpondrá en la</w:t>
            </w:r>
            <w:r>
              <w:rPr>
                <w:rFonts w:ascii="Century Gothic" w:hAnsi="Century Gothic"/>
                <w:b/>
                <w:bCs/>
                <w:sz w:val="20"/>
              </w:rPr>
              <w:t xml:space="preserve"> </w:t>
            </w:r>
            <w:r w:rsidRPr="00351298">
              <w:rPr>
                <w:rFonts w:ascii="Century Gothic" w:hAnsi="Century Gothic"/>
                <w:bCs/>
                <w:sz w:val="20"/>
              </w:rPr>
              <w:t>audiencia de lectura de fallo, se sustentará dentro de los diez (1o) días</w:t>
            </w:r>
            <w:r>
              <w:rPr>
                <w:rFonts w:ascii="Century Gothic" w:hAnsi="Century Gothic"/>
                <w:bCs/>
                <w:sz w:val="20"/>
              </w:rPr>
              <w:t xml:space="preserve"> </w:t>
            </w:r>
            <w:r w:rsidRPr="00351298">
              <w:rPr>
                <w:rFonts w:ascii="Century Gothic" w:hAnsi="Century Gothic"/>
                <w:bCs/>
                <w:sz w:val="20"/>
              </w:rPr>
              <w:t>siguientes, se correrá traslado a los no recurrentes en los tres (3) días</w:t>
            </w:r>
            <w:r>
              <w:rPr>
                <w:rFonts w:ascii="Century Gothic" w:hAnsi="Century Gothic"/>
                <w:bCs/>
                <w:sz w:val="20"/>
              </w:rPr>
              <w:t xml:space="preserve"> </w:t>
            </w:r>
            <w:r w:rsidRPr="00351298">
              <w:rPr>
                <w:rFonts w:ascii="Century Gothic" w:hAnsi="Century Gothic"/>
                <w:bCs/>
                <w:sz w:val="20"/>
              </w:rPr>
              <w:t xml:space="preserve">siguientes, para que en un </w:t>
            </w:r>
            <w:r w:rsidRPr="00351298">
              <w:rPr>
                <w:rFonts w:ascii="Century Gothic" w:hAnsi="Century Gothic"/>
                <w:bCs/>
                <w:sz w:val="20"/>
              </w:rPr>
              <w:lastRenderedPageBreak/>
              <w:t>término de diez (10) días se pronuncien. </w:t>
            </w:r>
          </w:p>
          <w:p w14:paraId="6DF447D9" w14:textId="4F753A14" w:rsidR="007C628C" w:rsidRDefault="007C628C" w:rsidP="00351298">
            <w:pPr>
              <w:spacing w:after="0"/>
              <w:jc w:val="both"/>
              <w:rPr>
                <w:rFonts w:ascii="Century Gothic" w:hAnsi="Century Gothic"/>
                <w:bCs/>
                <w:sz w:val="20"/>
              </w:rPr>
            </w:pPr>
          </w:p>
          <w:p w14:paraId="5F4200FB" w14:textId="022C96B9" w:rsidR="007C628C" w:rsidRDefault="007C628C" w:rsidP="00351298">
            <w:pPr>
              <w:spacing w:after="0"/>
              <w:jc w:val="both"/>
              <w:rPr>
                <w:rFonts w:ascii="Century Gothic" w:hAnsi="Century Gothic"/>
                <w:bCs/>
                <w:sz w:val="20"/>
              </w:rPr>
            </w:pPr>
          </w:p>
          <w:p w14:paraId="039EDC27" w14:textId="00706658" w:rsidR="007C628C" w:rsidRDefault="007C628C" w:rsidP="00351298">
            <w:pPr>
              <w:spacing w:after="0"/>
              <w:jc w:val="both"/>
              <w:rPr>
                <w:rFonts w:ascii="Century Gothic" w:hAnsi="Century Gothic"/>
                <w:bCs/>
                <w:sz w:val="20"/>
              </w:rPr>
            </w:pPr>
          </w:p>
          <w:p w14:paraId="7312DB7A" w14:textId="77777777" w:rsidR="007C628C" w:rsidRDefault="007C628C" w:rsidP="00351298">
            <w:pPr>
              <w:spacing w:after="0"/>
              <w:jc w:val="both"/>
              <w:rPr>
                <w:rFonts w:ascii="Century Gothic" w:hAnsi="Century Gothic"/>
                <w:bCs/>
                <w:sz w:val="20"/>
              </w:rPr>
            </w:pPr>
          </w:p>
          <w:p w14:paraId="13966076" w14:textId="77777777" w:rsidR="00351298" w:rsidRPr="00351298" w:rsidRDefault="00351298" w:rsidP="00351298">
            <w:pPr>
              <w:spacing w:after="0"/>
              <w:jc w:val="both"/>
              <w:rPr>
                <w:rFonts w:ascii="Century Gothic" w:hAnsi="Century Gothic"/>
                <w:bCs/>
                <w:sz w:val="20"/>
              </w:rPr>
            </w:pPr>
          </w:p>
          <w:p w14:paraId="57A0CD4A" w14:textId="0AFF49FD" w:rsidR="00351298" w:rsidRDefault="00351298" w:rsidP="00351298">
            <w:pPr>
              <w:spacing w:after="0"/>
              <w:jc w:val="both"/>
              <w:rPr>
                <w:rFonts w:ascii="Century Gothic" w:hAnsi="Century Gothic"/>
                <w:bCs/>
                <w:sz w:val="20"/>
              </w:rPr>
            </w:pPr>
            <w:r w:rsidRPr="00351298">
              <w:rPr>
                <w:rFonts w:ascii="Century Gothic" w:hAnsi="Century Gothic"/>
                <w:bCs/>
                <w:sz w:val="20"/>
              </w:rPr>
              <w:t>El recurso de impugnación especial no estará sujeto a causales</w:t>
            </w:r>
            <w:r>
              <w:rPr>
                <w:rFonts w:ascii="Century Gothic" w:hAnsi="Century Gothic"/>
                <w:bCs/>
                <w:sz w:val="20"/>
              </w:rPr>
              <w:t xml:space="preserve"> </w:t>
            </w:r>
            <w:r w:rsidRPr="00351298">
              <w:rPr>
                <w:rFonts w:ascii="Century Gothic" w:hAnsi="Century Gothic"/>
                <w:bCs/>
                <w:sz w:val="20"/>
              </w:rPr>
              <w:t>taxativas ni requerirá técnica específica. En su interposición deberá</w:t>
            </w:r>
            <w:r>
              <w:rPr>
                <w:rFonts w:ascii="Century Gothic" w:hAnsi="Century Gothic"/>
                <w:bCs/>
                <w:sz w:val="20"/>
              </w:rPr>
              <w:t xml:space="preserve"> </w:t>
            </w:r>
            <w:r w:rsidRPr="00351298">
              <w:rPr>
                <w:rFonts w:ascii="Century Gothic" w:hAnsi="Century Gothic"/>
                <w:bCs/>
                <w:sz w:val="20"/>
              </w:rPr>
              <w:t>exponerse las razones concretas del diseño frente al fallo condenatorio,</w:t>
            </w:r>
            <w:r>
              <w:rPr>
                <w:rFonts w:ascii="Century Gothic" w:hAnsi="Century Gothic"/>
                <w:bCs/>
                <w:sz w:val="20"/>
              </w:rPr>
              <w:t xml:space="preserve"> </w:t>
            </w:r>
            <w:r w:rsidRPr="00351298">
              <w:rPr>
                <w:rFonts w:ascii="Century Gothic" w:hAnsi="Century Gothic"/>
                <w:bCs/>
                <w:sz w:val="20"/>
              </w:rPr>
              <w:t>las cuales delimitarán el ámbito de competencia del juez superior al</w:t>
            </w:r>
            <w:r>
              <w:rPr>
                <w:rFonts w:ascii="Century Gothic" w:hAnsi="Century Gothic"/>
                <w:bCs/>
                <w:sz w:val="20"/>
              </w:rPr>
              <w:t xml:space="preserve"> </w:t>
            </w:r>
            <w:r w:rsidRPr="00351298">
              <w:rPr>
                <w:rFonts w:ascii="Century Gothic" w:hAnsi="Century Gothic"/>
                <w:bCs/>
                <w:sz w:val="20"/>
              </w:rPr>
              <w:t>momento de resolver.</w:t>
            </w:r>
          </w:p>
          <w:p w14:paraId="7EC62E72" w14:textId="6F7E387A" w:rsidR="00351298" w:rsidRDefault="00351298" w:rsidP="00351298">
            <w:pPr>
              <w:spacing w:after="0"/>
              <w:jc w:val="both"/>
              <w:rPr>
                <w:rFonts w:ascii="Century Gothic" w:hAnsi="Century Gothic"/>
                <w:bCs/>
                <w:sz w:val="20"/>
              </w:rPr>
            </w:pPr>
          </w:p>
          <w:p w14:paraId="3669C1BA" w14:textId="577CDD62" w:rsidR="00C1327C" w:rsidRPr="00B62E0A" w:rsidRDefault="00351298" w:rsidP="00351298">
            <w:pPr>
              <w:spacing w:after="0"/>
              <w:jc w:val="both"/>
              <w:rPr>
                <w:rFonts w:ascii="Century Gothic" w:hAnsi="Century Gothic"/>
                <w:b/>
                <w:bCs/>
                <w:sz w:val="20"/>
              </w:rPr>
            </w:pPr>
            <w:r w:rsidRPr="00351298">
              <w:rPr>
                <w:rFonts w:ascii="Century Gothic" w:hAnsi="Century Gothic"/>
                <w:bCs/>
                <w:sz w:val="20"/>
              </w:rPr>
              <w:t>Realizado el reparto en la Corte Suprema de Justicia, el Magistrado</w:t>
            </w:r>
            <w:r>
              <w:rPr>
                <w:rFonts w:ascii="Century Gothic" w:hAnsi="Century Gothic"/>
                <w:bCs/>
                <w:sz w:val="20"/>
              </w:rPr>
              <w:t xml:space="preserve"> </w:t>
            </w:r>
            <w:r w:rsidRPr="00351298">
              <w:rPr>
                <w:rFonts w:ascii="Century Gothic" w:hAnsi="Century Gothic"/>
                <w:bCs/>
                <w:sz w:val="20"/>
              </w:rPr>
              <w:t>Ponente contará con un término máximo de treinta (30) días para</w:t>
            </w:r>
            <w:r>
              <w:rPr>
                <w:rFonts w:ascii="Century Gothic" w:hAnsi="Century Gothic"/>
                <w:bCs/>
                <w:sz w:val="20"/>
              </w:rPr>
              <w:t xml:space="preserve"> </w:t>
            </w:r>
            <w:r w:rsidRPr="00351298">
              <w:rPr>
                <w:rFonts w:ascii="Century Gothic" w:hAnsi="Century Gothic"/>
                <w:bCs/>
                <w:sz w:val="20"/>
              </w:rPr>
              <w:t>registrar el proyecto de fallo y la Sala con veinte (20) días para su</w:t>
            </w:r>
            <w:r>
              <w:rPr>
                <w:rFonts w:ascii="Century Gothic" w:hAnsi="Century Gothic"/>
                <w:bCs/>
                <w:sz w:val="20"/>
              </w:rPr>
              <w:t xml:space="preserve"> </w:t>
            </w:r>
            <w:r w:rsidRPr="00351298">
              <w:rPr>
                <w:rFonts w:ascii="Century Gothic" w:hAnsi="Century Gothic"/>
                <w:bCs/>
                <w:sz w:val="20"/>
              </w:rPr>
              <w:t>estudio y decisión. El fallo será leído en audiencia dentro de los diez</w:t>
            </w:r>
            <w:r>
              <w:rPr>
                <w:rFonts w:ascii="Century Gothic" w:hAnsi="Century Gothic"/>
                <w:bCs/>
                <w:sz w:val="20"/>
              </w:rPr>
              <w:t xml:space="preserve"> </w:t>
            </w:r>
            <w:r w:rsidRPr="00351298">
              <w:rPr>
                <w:rFonts w:ascii="Century Gothic" w:hAnsi="Century Gothic"/>
                <w:bCs/>
                <w:sz w:val="20"/>
              </w:rPr>
              <w:t>días siguientes a su aceptación por la sala.</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142C8E" w14:textId="77777777" w:rsidR="00351298" w:rsidRDefault="00351298" w:rsidP="00351298">
            <w:pPr>
              <w:spacing w:after="0"/>
              <w:jc w:val="both"/>
              <w:rPr>
                <w:rFonts w:ascii="Century Gothic" w:hAnsi="Century Gothic"/>
                <w:bCs/>
                <w:sz w:val="20"/>
              </w:rPr>
            </w:pPr>
            <w:r w:rsidRPr="00351298">
              <w:rPr>
                <w:rFonts w:ascii="Century Gothic" w:hAnsi="Century Gothic"/>
                <w:b/>
                <w:bCs/>
                <w:sz w:val="20"/>
              </w:rPr>
              <w:lastRenderedPageBreak/>
              <w:t xml:space="preserve">Artículo 5. </w:t>
            </w:r>
            <w:r w:rsidRPr="00351298">
              <w:rPr>
                <w:rFonts w:ascii="Century Gothic" w:hAnsi="Century Gothic"/>
                <w:bCs/>
                <w:sz w:val="20"/>
              </w:rPr>
              <w:t>Créase el artículo 178A en la Ley 906 de 2004, el cual quedará así:</w:t>
            </w:r>
          </w:p>
          <w:p w14:paraId="5DFE1E19" w14:textId="77777777" w:rsidR="00351298" w:rsidRPr="00351298" w:rsidRDefault="00351298" w:rsidP="00351298">
            <w:pPr>
              <w:spacing w:after="0"/>
              <w:jc w:val="both"/>
              <w:rPr>
                <w:rFonts w:ascii="Century Gothic" w:hAnsi="Century Gothic"/>
                <w:b/>
                <w:bCs/>
                <w:sz w:val="20"/>
              </w:rPr>
            </w:pPr>
          </w:p>
          <w:p w14:paraId="78D58F1A" w14:textId="5517966D" w:rsidR="00351298" w:rsidRDefault="00351298" w:rsidP="00351298">
            <w:pPr>
              <w:spacing w:after="0"/>
              <w:jc w:val="both"/>
              <w:rPr>
                <w:rFonts w:ascii="Century Gothic" w:hAnsi="Century Gothic"/>
                <w:bCs/>
                <w:sz w:val="20"/>
              </w:rPr>
            </w:pPr>
            <w:r w:rsidRPr="00351298">
              <w:rPr>
                <w:rFonts w:ascii="Century Gothic" w:hAnsi="Century Gothic"/>
                <w:b/>
                <w:bCs/>
                <w:sz w:val="20"/>
              </w:rPr>
              <w:t>ARTÍCULO 178A.  TRÁMITE DEL RECURSO DE IMPUGNACIÓN</w:t>
            </w:r>
            <w:r>
              <w:rPr>
                <w:rFonts w:ascii="Century Gothic" w:hAnsi="Century Gothic"/>
                <w:b/>
                <w:bCs/>
                <w:sz w:val="20"/>
              </w:rPr>
              <w:t xml:space="preserve"> </w:t>
            </w:r>
            <w:r w:rsidRPr="00351298">
              <w:rPr>
                <w:rFonts w:ascii="Century Gothic" w:hAnsi="Century Gothic"/>
                <w:b/>
                <w:bCs/>
                <w:sz w:val="20"/>
              </w:rPr>
              <w:t xml:space="preserve">ESPECIAL. </w:t>
            </w:r>
            <w:r w:rsidRPr="00351298">
              <w:rPr>
                <w:rFonts w:ascii="Century Gothic" w:hAnsi="Century Gothic"/>
                <w:bCs/>
                <w:sz w:val="20"/>
              </w:rPr>
              <w:t xml:space="preserve">El recurso de impugnación especial se interpondrá </w:t>
            </w:r>
            <w:r w:rsidRPr="007C628C">
              <w:rPr>
                <w:rFonts w:ascii="Century Gothic" w:hAnsi="Century Gothic"/>
                <w:b/>
                <w:bCs/>
                <w:strike/>
                <w:sz w:val="20"/>
              </w:rPr>
              <w:t xml:space="preserve">en la audiencia de lectura de fallo, se sustentará </w:t>
            </w:r>
            <w:r w:rsidRPr="00351298">
              <w:rPr>
                <w:rFonts w:ascii="Century Gothic" w:hAnsi="Century Gothic"/>
                <w:bCs/>
                <w:sz w:val="20"/>
              </w:rPr>
              <w:t xml:space="preserve">dentro de los </w:t>
            </w:r>
            <w:r w:rsidRPr="007C628C">
              <w:rPr>
                <w:rFonts w:ascii="Century Gothic" w:hAnsi="Century Gothic"/>
                <w:b/>
                <w:bCs/>
                <w:strike/>
                <w:sz w:val="20"/>
              </w:rPr>
              <w:t>diez (1o)</w:t>
            </w:r>
            <w:r w:rsidRPr="00351298">
              <w:rPr>
                <w:rFonts w:ascii="Century Gothic" w:hAnsi="Century Gothic"/>
                <w:bCs/>
                <w:sz w:val="20"/>
              </w:rPr>
              <w:t xml:space="preserve"> </w:t>
            </w:r>
            <w:r w:rsidR="007C628C">
              <w:rPr>
                <w:rFonts w:ascii="Century Gothic" w:hAnsi="Century Gothic"/>
                <w:b/>
                <w:bCs/>
                <w:sz w:val="20"/>
              </w:rPr>
              <w:t xml:space="preserve">cinco (5) </w:t>
            </w:r>
            <w:r w:rsidRPr="00351298">
              <w:rPr>
                <w:rFonts w:ascii="Century Gothic" w:hAnsi="Century Gothic"/>
                <w:bCs/>
                <w:sz w:val="20"/>
              </w:rPr>
              <w:t>días</w:t>
            </w:r>
            <w:r>
              <w:rPr>
                <w:rFonts w:ascii="Century Gothic" w:hAnsi="Century Gothic"/>
                <w:bCs/>
                <w:sz w:val="20"/>
              </w:rPr>
              <w:t xml:space="preserve"> </w:t>
            </w:r>
            <w:r w:rsidRPr="00351298">
              <w:rPr>
                <w:rFonts w:ascii="Century Gothic" w:hAnsi="Century Gothic"/>
                <w:bCs/>
                <w:sz w:val="20"/>
              </w:rPr>
              <w:t>siguientes</w:t>
            </w:r>
            <w:r w:rsidR="007C628C">
              <w:rPr>
                <w:rFonts w:ascii="Century Gothic" w:hAnsi="Century Gothic"/>
                <w:bCs/>
                <w:sz w:val="20"/>
              </w:rPr>
              <w:t xml:space="preserve"> </w:t>
            </w:r>
            <w:r w:rsidR="007C628C">
              <w:rPr>
                <w:rFonts w:ascii="Century Gothic" w:hAnsi="Century Gothic"/>
                <w:b/>
                <w:bCs/>
                <w:sz w:val="20"/>
              </w:rPr>
              <w:t>a la última notificación</w:t>
            </w:r>
            <w:r w:rsidRPr="007C628C">
              <w:rPr>
                <w:rFonts w:ascii="Century Gothic" w:hAnsi="Century Gothic"/>
                <w:b/>
                <w:bCs/>
                <w:sz w:val="20"/>
              </w:rPr>
              <w:t xml:space="preserve">, </w:t>
            </w:r>
            <w:r w:rsidRPr="007C628C">
              <w:rPr>
                <w:rFonts w:ascii="Century Gothic" w:hAnsi="Century Gothic"/>
                <w:b/>
                <w:bCs/>
                <w:strike/>
                <w:sz w:val="20"/>
              </w:rPr>
              <w:t xml:space="preserve">se correrá traslado a los no recurrentes en los tres </w:t>
            </w:r>
            <w:r w:rsidRPr="007C628C">
              <w:rPr>
                <w:rFonts w:ascii="Century Gothic" w:hAnsi="Century Gothic"/>
                <w:b/>
                <w:bCs/>
                <w:strike/>
                <w:sz w:val="20"/>
              </w:rPr>
              <w:lastRenderedPageBreak/>
              <w:t>(3) días siguientes, para que en</w:t>
            </w:r>
            <w:r w:rsidRPr="00351298">
              <w:rPr>
                <w:rFonts w:ascii="Century Gothic" w:hAnsi="Century Gothic"/>
                <w:bCs/>
                <w:sz w:val="20"/>
              </w:rPr>
              <w:t xml:space="preserve"> </w:t>
            </w:r>
            <w:r w:rsidR="007C628C">
              <w:rPr>
                <w:rFonts w:ascii="Century Gothic" w:hAnsi="Century Gothic"/>
                <w:b/>
                <w:bCs/>
                <w:sz w:val="20"/>
              </w:rPr>
              <w:t xml:space="preserve">y en </w:t>
            </w:r>
            <w:r w:rsidRPr="00351298">
              <w:rPr>
                <w:rFonts w:ascii="Century Gothic" w:hAnsi="Century Gothic"/>
                <w:bCs/>
                <w:sz w:val="20"/>
              </w:rPr>
              <w:t>un término</w:t>
            </w:r>
            <w:r w:rsidR="007C628C">
              <w:rPr>
                <w:rFonts w:ascii="Century Gothic" w:hAnsi="Century Gothic"/>
                <w:bCs/>
                <w:sz w:val="20"/>
              </w:rPr>
              <w:t xml:space="preserve"> </w:t>
            </w:r>
            <w:r w:rsidR="007C628C">
              <w:rPr>
                <w:rFonts w:ascii="Century Gothic" w:hAnsi="Century Gothic"/>
                <w:b/>
                <w:bCs/>
                <w:sz w:val="20"/>
              </w:rPr>
              <w:t xml:space="preserve">posterior común </w:t>
            </w:r>
            <w:r w:rsidRPr="00351298">
              <w:rPr>
                <w:rFonts w:ascii="Century Gothic" w:hAnsi="Century Gothic"/>
                <w:bCs/>
                <w:sz w:val="20"/>
              </w:rPr>
              <w:t xml:space="preserve">de </w:t>
            </w:r>
            <w:r w:rsidRPr="007C628C">
              <w:rPr>
                <w:rFonts w:ascii="Century Gothic" w:hAnsi="Century Gothic"/>
                <w:b/>
                <w:bCs/>
                <w:strike/>
                <w:sz w:val="20"/>
              </w:rPr>
              <w:t>diez (10)</w:t>
            </w:r>
            <w:r w:rsidRPr="00351298">
              <w:rPr>
                <w:rFonts w:ascii="Century Gothic" w:hAnsi="Century Gothic"/>
                <w:bCs/>
                <w:sz w:val="20"/>
              </w:rPr>
              <w:t xml:space="preserve"> </w:t>
            </w:r>
            <w:r w:rsidR="007C628C" w:rsidRPr="007C628C">
              <w:rPr>
                <w:rFonts w:ascii="Century Gothic" w:hAnsi="Century Gothic"/>
                <w:b/>
                <w:bCs/>
                <w:sz w:val="20"/>
              </w:rPr>
              <w:t xml:space="preserve">treinta (30) </w:t>
            </w:r>
            <w:r w:rsidRPr="00351298">
              <w:rPr>
                <w:rFonts w:ascii="Century Gothic" w:hAnsi="Century Gothic"/>
                <w:bCs/>
                <w:sz w:val="20"/>
              </w:rPr>
              <w:t xml:space="preserve">días se </w:t>
            </w:r>
            <w:r w:rsidRPr="007C628C">
              <w:rPr>
                <w:rFonts w:ascii="Century Gothic" w:hAnsi="Century Gothic"/>
                <w:b/>
                <w:bCs/>
                <w:strike/>
                <w:sz w:val="20"/>
              </w:rPr>
              <w:t>pronuncien</w:t>
            </w:r>
            <w:r w:rsidR="007C628C">
              <w:rPr>
                <w:rFonts w:ascii="Century Gothic" w:hAnsi="Century Gothic"/>
                <w:b/>
                <w:bCs/>
                <w:sz w:val="20"/>
              </w:rPr>
              <w:t xml:space="preserve"> presentará la correspondiente sustentación</w:t>
            </w:r>
            <w:r w:rsidRPr="007C628C">
              <w:rPr>
                <w:rFonts w:ascii="Century Gothic" w:hAnsi="Century Gothic"/>
                <w:bCs/>
                <w:sz w:val="20"/>
              </w:rPr>
              <w:t>. </w:t>
            </w:r>
          </w:p>
          <w:p w14:paraId="33DFD979" w14:textId="77777777" w:rsidR="00351298" w:rsidRPr="00351298" w:rsidRDefault="00351298" w:rsidP="00351298">
            <w:pPr>
              <w:spacing w:after="0"/>
              <w:jc w:val="both"/>
              <w:rPr>
                <w:rFonts w:ascii="Century Gothic" w:hAnsi="Century Gothic"/>
                <w:bCs/>
                <w:sz w:val="20"/>
              </w:rPr>
            </w:pPr>
          </w:p>
          <w:p w14:paraId="2DA6C8B5" w14:textId="0BE09AA1" w:rsidR="00351298" w:rsidRDefault="00351298" w:rsidP="00351298">
            <w:pPr>
              <w:spacing w:after="0"/>
              <w:jc w:val="both"/>
              <w:rPr>
                <w:rFonts w:ascii="Century Gothic" w:hAnsi="Century Gothic"/>
                <w:bCs/>
                <w:sz w:val="20"/>
              </w:rPr>
            </w:pPr>
            <w:r w:rsidRPr="00351298">
              <w:rPr>
                <w:rFonts w:ascii="Century Gothic" w:hAnsi="Century Gothic"/>
                <w:bCs/>
                <w:sz w:val="20"/>
              </w:rPr>
              <w:t>El recurso de impugnación especial no estará sujeto a causales</w:t>
            </w:r>
            <w:r>
              <w:rPr>
                <w:rFonts w:ascii="Century Gothic" w:hAnsi="Century Gothic"/>
                <w:bCs/>
                <w:sz w:val="20"/>
              </w:rPr>
              <w:t xml:space="preserve"> </w:t>
            </w:r>
            <w:r w:rsidRPr="00351298">
              <w:rPr>
                <w:rFonts w:ascii="Century Gothic" w:hAnsi="Century Gothic"/>
                <w:bCs/>
                <w:sz w:val="20"/>
              </w:rPr>
              <w:t xml:space="preserve">taxativas ni requerirá técnica específica. En </w:t>
            </w:r>
            <w:r w:rsidRPr="007C628C">
              <w:rPr>
                <w:rFonts w:ascii="Century Gothic" w:hAnsi="Century Gothic"/>
                <w:b/>
                <w:bCs/>
                <w:strike/>
                <w:sz w:val="20"/>
              </w:rPr>
              <w:t>su interposición</w:t>
            </w:r>
            <w:r w:rsidRPr="007C628C">
              <w:rPr>
                <w:rFonts w:ascii="Century Gothic" w:hAnsi="Century Gothic"/>
                <w:b/>
                <w:bCs/>
                <w:sz w:val="20"/>
              </w:rPr>
              <w:t xml:space="preserve"> </w:t>
            </w:r>
            <w:r w:rsidR="007C628C">
              <w:rPr>
                <w:rFonts w:ascii="Century Gothic" w:hAnsi="Century Gothic"/>
                <w:b/>
                <w:bCs/>
                <w:sz w:val="20"/>
              </w:rPr>
              <w:t xml:space="preserve">la sustentación </w:t>
            </w:r>
            <w:r w:rsidRPr="007C628C">
              <w:rPr>
                <w:rFonts w:ascii="Century Gothic" w:hAnsi="Century Gothic"/>
                <w:b/>
                <w:bCs/>
                <w:sz w:val="20"/>
              </w:rPr>
              <w:t xml:space="preserve">deberá exponerse las razones concretas del </w:t>
            </w:r>
            <w:r w:rsidRPr="007C628C">
              <w:rPr>
                <w:rFonts w:ascii="Century Gothic" w:hAnsi="Century Gothic"/>
                <w:b/>
                <w:bCs/>
                <w:strike/>
                <w:sz w:val="20"/>
              </w:rPr>
              <w:t>diseño</w:t>
            </w:r>
            <w:r w:rsidRPr="007C628C">
              <w:rPr>
                <w:rFonts w:ascii="Century Gothic" w:hAnsi="Century Gothic"/>
                <w:b/>
                <w:bCs/>
                <w:sz w:val="20"/>
              </w:rPr>
              <w:t xml:space="preserve"> disenso frente al fallo condenatorio</w:t>
            </w:r>
            <w:r w:rsidRPr="007C628C">
              <w:rPr>
                <w:rFonts w:ascii="Century Gothic" w:hAnsi="Century Gothic"/>
                <w:b/>
                <w:bCs/>
                <w:strike/>
                <w:sz w:val="20"/>
              </w:rPr>
              <w:t>, las cuales delimitarán el ámbito de competencia del juez superior al momento de resolver</w:t>
            </w:r>
            <w:r w:rsidRPr="007C628C">
              <w:rPr>
                <w:rFonts w:ascii="Century Gothic" w:hAnsi="Century Gothic"/>
                <w:b/>
                <w:bCs/>
                <w:sz w:val="20"/>
              </w:rPr>
              <w:t>.</w:t>
            </w:r>
          </w:p>
          <w:p w14:paraId="726E81BF" w14:textId="77777777" w:rsidR="00351298" w:rsidRPr="00351298" w:rsidRDefault="00351298" w:rsidP="00351298">
            <w:pPr>
              <w:spacing w:after="0"/>
              <w:jc w:val="both"/>
              <w:rPr>
                <w:rFonts w:ascii="Century Gothic" w:hAnsi="Century Gothic"/>
                <w:bCs/>
                <w:sz w:val="20"/>
              </w:rPr>
            </w:pPr>
          </w:p>
          <w:p w14:paraId="1239CAE0" w14:textId="46BB78CE" w:rsidR="008B3A09" w:rsidRPr="0067586E" w:rsidRDefault="00351298" w:rsidP="0067586E">
            <w:pPr>
              <w:jc w:val="both"/>
              <w:rPr>
                <w:rFonts w:ascii="Century Gothic" w:hAnsi="Century Gothic"/>
                <w:bCs/>
                <w:sz w:val="20"/>
              </w:rPr>
            </w:pPr>
            <w:r w:rsidRPr="00351298">
              <w:rPr>
                <w:rFonts w:ascii="Century Gothic" w:hAnsi="Century Gothic"/>
                <w:bCs/>
                <w:sz w:val="20"/>
              </w:rPr>
              <w:t>Realizado el reparto en la Corte Suprema de Justicia, el Magistrado</w:t>
            </w:r>
            <w:r>
              <w:rPr>
                <w:rFonts w:ascii="Century Gothic" w:hAnsi="Century Gothic"/>
                <w:bCs/>
                <w:sz w:val="20"/>
              </w:rPr>
              <w:t xml:space="preserve"> </w:t>
            </w:r>
            <w:r w:rsidRPr="00351298">
              <w:rPr>
                <w:rFonts w:ascii="Century Gothic" w:hAnsi="Century Gothic"/>
                <w:bCs/>
                <w:sz w:val="20"/>
              </w:rPr>
              <w:t>Ponente contará con un término máximo de treinta (30) días para</w:t>
            </w:r>
            <w:r>
              <w:rPr>
                <w:rFonts w:ascii="Century Gothic" w:hAnsi="Century Gothic"/>
                <w:bCs/>
                <w:sz w:val="20"/>
              </w:rPr>
              <w:t xml:space="preserve"> </w:t>
            </w:r>
            <w:r w:rsidRPr="00351298">
              <w:rPr>
                <w:rFonts w:ascii="Century Gothic" w:hAnsi="Century Gothic"/>
                <w:bCs/>
                <w:sz w:val="20"/>
              </w:rPr>
              <w:t>registrar el proyecto de fallo y la Sala con veinte (20) días para su</w:t>
            </w:r>
            <w:r>
              <w:rPr>
                <w:rFonts w:ascii="Century Gothic" w:hAnsi="Century Gothic"/>
                <w:bCs/>
                <w:sz w:val="20"/>
              </w:rPr>
              <w:t xml:space="preserve"> </w:t>
            </w:r>
            <w:r w:rsidRPr="00351298">
              <w:rPr>
                <w:rFonts w:ascii="Century Gothic" w:hAnsi="Century Gothic"/>
                <w:bCs/>
                <w:sz w:val="20"/>
              </w:rPr>
              <w:t>estudio y decisión. El fallo será leído en audiencia dentro de los diez</w:t>
            </w:r>
            <w:r>
              <w:rPr>
                <w:rFonts w:ascii="Century Gothic" w:hAnsi="Century Gothic"/>
                <w:bCs/>
                <w:sz w:val="20"/>
              </w:rPr>
              <w:t xml:space="preserve"> </w:t>
            </w:r>
            <w:r w:rsidRPr="00351298">
              <w:rPr>
                <w:rFonts w:ascii="Century Gothic" w:hAnsi="Century Gothic"/>
                <w:bCs/>
                <w:sz w:val="20"/>
              </w:rPr>
              <w:t xml:space="preserve">días siguientes a su </w:t>
            </w:r>
            <w:r w:rsidRPr="00351298">
              <w:rPr>
                <w:rFonts w:ascii="Century Gothic" w:hAnsi="Century Gothic"/>
                <w:b/>
                <w:bCs/>
                <w:strike/>
                <w:sz w:val="20"/>
              </w:rPr>
              <w:t>aceptación</w:t>
            </w:r>
            <w:r w:rsidRPr="00351298">
              <w:rPr>
                <w:rFonts w:ascii="Century Gothic" w:hAnsi="Century Gothic"/>
                <w:b/>
                <w:bCs/>
                <w:sz w:val="20"/>
              </w:rPr>
              <w:t xml:space="preserve"> aprobación </w:t>
            </w:r>
            <w:r w:rsidRPr="00351298">
              <w:rPr>
                <w:rFonts w:ascii="Century Gothic" w:hAnsi="Century Gothic"/>
                <w:bCs/>
                <w:sz w:val="20"/>
              </w:rPr>
              <w:t>por la sala.</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89FBB" w14:textId="0E8CD4CC" w:rsidR="00C1327C" w:rsidRPr="00B62E0A" w:rsidRDefault="00351298" w:rsidP="0067586E">
            <w:pPr>
              <w:jc w:val="both"/>
              <w:rPr>
                <w:rFonts w:ascii="Century Gothic" w:hAnsi="Century Gothic"/>
                <w:sz w:val="20"/>
              </w:rPr>
            </w:pPr>
            <w:r>
              <w:rPr>
                <w:rFonts w:ascii="Century Gothic" w:hAnsi="Century Gothic"/>
                <w:sz w:val="20"/>
              </w:rPr>
              <w:lastRenderedPageBreak/>
              <w:t>Se corrigen</w:t>
            </w:r>
            <w:r w:rsidR="0067586E">
              <w:rPr>
                <w:rFonts w:ascii="Century Gothic" w:hAnsi="Century Gothic"/>
                <w:sz w:val="20"/>
              </w:rPr>
              <w:t xml:space="preserve"> los términos de acuerdo con lo establecido en la Jurisprudencia de la Corte Suprema de Justicia.</w:t>
            </w:r>
          </w:p>
        </w:tc>
      </w:tr>
      <w:tr w:rsidR="007109D0" w:rsidRPr="009745E1" w14:paraId="1AA46D19"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DD4F5" w14:textId="2F6E9E51" w:rsidR="00351298" w:rsidRPr="00351298" w:rsidRDefault="00351298" w:rsidP="00351298">
            <w:pPr>
              <w:jc w:val="both"/>
              <w:rPr>
                <w:rFonts w:ascii="Century Gothic" w:hAnsi="Century Gothic"/>
                <w:b/>
                <w:bCs/>
                <w:sz w:val="20"/>
              </w:rPr>
            </w:pPr>
            <w:r w:rsidRPr="00351298">
              <w:rPr>
                <w:rFonts w:ascii="Century Gothic" w:hAnsi="Century Gothic"/>
                <w:b/>
                <w:bCs/>
                <w:sz w:val="20"/>
              </w:rPr>
              <w:t xml:space="preserve">Artículo 6. </w:t>
            </w:r>
            <w:r w:rsidRPr="00351298">
              <w:rPr>
                <w:rFonts w:ascii="Century Gothic" w:hAnsi="Century Gothic"/>
                <w:bCs/>
                <w:sz w:val="20"/>
              </w:rPr>
              <w:t>Créase el artículo 178 B en la Ley 906 de 2004, el cual quedará así:</w:t>
            </w:r>
            <w:r w:rsidRPr="00351298">
              <w:rPr>
                <w:rFonts w:ascii="Century Gothic" w:hAnsi="Century Gothic"/>
                <w:b/>
                <w:bCs/>
                <w:sz w:val="20"/>
              </w:rPr>
              <w:t> </w:t>
            </w:r>
          </w:p>
          <w:p w14:paraId="09396094" w14:textId="2F7CBABC" w:rsidR="00351298" w:rsidRPr="00351298" w:rsidRDefault="00351298" w:rsidP="00351298">
            <w:pPr>
              <w:jc w:val="both"/>
              <w:rPr>
                <w:rFonts w:ascii="Century Gothic" w:hAnsi="Century Gothic"/>
                <w:b/>
                <w:bCs/>
                <w:sz w:val="20"/>
              </w:rPr>
            </w:pPr>
            <w:r w:rsidRPr="00351298">
              <w:rPr>
                <w:rFonts w:ascii="Century Gothic" w:hAnsi="Century Gothic"/>
                <w:b/>
                <w:bCs/>
                <w:sz w:val="20"/>
              </w:rPr>
              <w:t>ARTÍCULO 178B. CONCURRENCIA DE LOS RECURSOS DE CASACIÓN</w:t>
            </w:r>
            <w:r>
              <w:rPr>
                <w:rFonts w:ascii="Century Gothic" w:hAnsi="Century Gothic"/>
                <w:b/>
                <w:bCs/>
                <w:sz w:val="20"/>
              </w:rPr>
              <w:t xml:space="preserve"> </w:t>
            </w:r>
            <w:r w:rsidRPr="00351298">
              <w:rPr>
                <w:rFonts w:ascii="Century Gothic" w:hAnsi="Century Gothic"/>
                <w:b/>
                <w:bCs/>
                <w:sz w:val="20"/>
              </w:rPr>
              <w:t>Y DE IMPUGNACIÓN ESPECIAL CONTRA UNA MISMA SENTENCIA:</w:t>
            </w:r>
          </w:p>
          <w:p w14:paraId="3E42F142" w14:textId="12CD4926" w:rsidR="00351298" w:rsidRDefault="00351298" w:rsidP="00351298">
            <w:pPr>
              <w:spacing w:after="0" w:line="240" w:lineRule="auto"/>
              <w:jc w:val="both"/>
              <w:rPr>
                <w:rFonts w:ascii="Century Gothic" w:hAnsi="Century Gothic"/>
                <w:bCs/>
                <w:sz w:val="20"/>
              </w:rPr>
            </w:pPr>
            <w:r w:rsidRPr="00351298">
              <w:rPr>
                <w:rFonts w:ascii="Century Gothic" w:hAnsi="Century Gothic"/>
                <w:bCs/>
                <w:sz w:val="20"/>
              </w:rPr>
              <w:lastRenderedPageBreak/>
              <w:t>Cuando en una sentencia proferida en segunda instancia se condene por</w:t>
            </w:r>
            <w:r>
              <w:rPr>
                <w:rFonts w:ascii="Century Gothic" w:hAnsi="Century Gothic"/>
                <w:bCs/>
                <w:sz w:val="20"/>
              </w:rPr>
              <w:t xml:space="preserve"> </w:t>
            </w:r>
            <w:r w:rsidRPr="00351298">
              <w:rPr>
                <w:rFonts w:ascii="Century Gothic" w:hAnsi="Century Gothic"/>
                <w:bCs/>
                <w:sz w:val="20"/>
              </w:rPr>
              <w:t>primera vez respecto de uno o varios delitos y a la vez se confirme la</w:t>
            </w:r>
            <w:r>
              <w:rPr>
                <w:rFonts w:ascii="Century Gothic" w:hAnsi="Century Gothic"/>
                <w:bCs/>
                <w:sz w:val="20"/>
              </w:rPr>
              <w:t xml:space="preserve"> </w:t>
            </w:r>
            <w:r w:rsidRPr="00351298">
              <w:rPr>
                <w:rFonts w:ascii="Century Gothic" w:hAnsi="Century Gothic"/>
                <w:bCs/>
                <w:sz w:val="20"/>
              </w:rPr>
              <w:t>condena impuesta en primera instancia respecto de otro u otros delitos, se</w:t>
            </w:r>
            <w:r>
              <w:rPr>
                <w:rFonts w:ascii="Century Gothic" w:hAnsi="Century Gothic"/>
                <w:bCs/>
                <w:sz w:val="20"/>
              </w:rPr>
              <w:t xml:space="preserve"> </w:t>
            </w:r>
            <w:r w:rsidRPr="00351298">
              <w:rPr>
                <w:rFonts w:ascii="Century Gothic" w:hAnsi="Century Gothic"/>
                <w:bCs/>
                <w:sz w:val="20"/>
              </w:rPr>
              <w:t>aplicarán las siguientes reglas:</w:t>
            </w:r>
          </w:p>
          <w:p w14:paraId="687C0241" w14:textId="77777777" w:rsidR="00351298" w:rsidRPr="00351298" w:rsidRDefault="00351298" w:rsidP="00351298">
            <w:pPr>
              <w:spacing w:after="0" w:line="240" w:lineRule="auto"/>
              <w:jc w:val="both"/>
              <w:rPr>
                <w:rFonts w:ascii="Century Gothic" w:hAnsi="Century Gothic"/>
                <w:bCs/>
                <w:sz w:val="20"/>
              </w:rPr>
            </w:pPr>
          </w:p>
          <w:p w14:paraId="21D85229" w14:textId="0B2AC59E" w:rsidR="00351298" w:rsidRDefault="00351298" w:rsidP="00351298">
            <w:pPr>
              <w:spacing w:after="0" w:line="240" w:lineRule="auto"/>
              <w:jc w:val="both"/>
              <w:rPr>
                <w:rFonts w:ascii="Century Gothic" w:hAnsi="Century Gothic"/>
                <w:bCs/>
                <w:sz w:val="20"/>
              </w:rPr>
            </w:pPr>
            <w:r w:rsidRPr="00351298">
              <w:rPr>
                <w:rFonts w:ascii="Century Gothic" w:hAnsi="Century Gothic"/>
                <w:bCs/>
                <w:sz w:val="20"/>
              </w:rPr>
              <w:t>1.     Frente a la condena impuesta por primera vez en segunda instancia</w:t>
            </w:r>
            <w:r>
              <w:rPr>
                <w:rFonts w:ascii="Century Gothic" w:hAnsi="Century Gothic"/>
                <w:bCs/>
                <w:sz w:val="20"/>
              </w:rPr>
              <w:t xml:space="preserve"> </w:t>
            </w:r>
            <w:r w:rsidRPr="00351298">
              <w:rPr>
                <w:rFonts w:ascii="Century Gothic" w:hAnsi="Century Gothic"/>
                <w:bCs/>
                <w:sz w:val="20"/>
              </w:rPr>
              <w:t>procede para el condenado o su defensor el recurso de impugnación</w:t>
            </w:r>
            <w:r>
              <w:rPr>
                <w:rFonts w:ascii="Century Gothic" w:hAnsi="Century Gothic"/>
                <w:bCs/>
                <w:sz w:val="20"/>
              </w:rPr>
              <w:t xml:space="preserve"> </w:t>
            </w:r>
            <w:r w:rsidRPr="00351298">
              <w:rPr>
                <w:rFonts w:ascii="Century Gothic" w:hAnsi="Century Gothic"/>
                <w:bCs/>
                <w:sz w:val="20"/>
              </w:rPr>
              <w:t>especial.</w:t>
            </w:r>
          </w:p>
          <w:p w14:paraId="02EBEAE9" w14:textId="77777777" w:rsidR="00351298" w:rsidRPr="00351298" w:rsidRDefault="00351298" w:rsidP="00351298">
            <w:pPr>
              <w:spacing w:after="0" w:line="240" w:lineRule="auto"/>
              <w:jc w:val="both"/>
              <w:rPr>
                <w:rFonts w:ascii="Century Gothic" w:hAnsi="Century Gothic"/>
                <w:bCs/>
                <w:sz w:val="20"/>
              </w:rPr>
            </w:pPr>
          </w:p>
          <w:p w14:paraId="1E648AC6" w14:textId="5F506207" w:rsidR="00351298" w:rsidRDefault="00351298" w:rsidP="00351298">
            <w:pPr>
              <w:spacing w:after="0" w:line="240" w:lineRule="auto"/>
              <w:jc w:val="both"/>
              <w:rPr>
                <w:rFonts w:ascii="Century Gothic" w:hAnsi="Century Gothic"/>
                <w:bCs/>
                <w:sz w:val="20"/>
              </w:rPr>
            </w:pPr>
            <w:r w:rsidRPr="00351298">
              <w:rPr>
                <w:rFonts w:ascii="Century Gothic" w:hAnsi="Century Gothic"/>
                <w:bCs/>
                <w:sz w:val="20"/>
              </w:rPr>
              <w:t>2.   Al defensor del condenado solamente le es dable recurrir</w:t>
            </w:r>
            <w:r>
              <w:rPr>
                <w:rFonts w:ascii="Century Gothic" w:hAnsi="Century Gothic"/>
                <w:bCs/>
                <w:sz w:val="20"/>
              </w:rPr>
              <w:t xml:space="preserve"> </w:t>
            </w:r>
            <w:r w:rsidRPr="00351298">
              <w:rPr>
                <w:rFonts w:ascii="Century Gothic" w:hAnsi="Century Gothic"/>
                <w:bCs/>
                <w:sz w:val="20"/>
              </w:rPr>
              <w:t>simultáneamente en casación en hipótesis de delitos juzgados en el mismo</w:t>
            </w:r>
            <w:r>
              <w:rPr>
                <w:rFonts w:ascii="Century Gothic" w:hAnsi="Century Gothic"/>
                <w:bCs/>
                <w:sz w:val="20"/>
              </w:rPr>
              <w:t xml:space="preserve"> </w:t>
            </w:r>
            <w:r w:rsidRPr="00351298">
              <w:rPr>
                <w:rFonts w:ascii="Century Gothic" w:hAnsi="Century Gothic"/>
                <w:bCs/>
                <w:sz w:val="20"/>
              </w:rPr>
              <w:t>proceso respecto de los cuales se ha declarado la responsabilidad penal del</w:t>
            </w:r>
            <w:r>
              <w:rPr>
                <w:rFonts w:ascii="Century Gothic" w:hAnsi="Century Gothic"/>
                <w:bCs/>
                <w:sz w:val="20"/>
              </w:rPr>
              <w:t xml:space="preserve"> </w:t>
            </w:r>
            <w:r w:rsidRPr="00351298">
              <w:rPr>
                <w:rFonts w:ascii="Century Gothic" w:hAnsi="Century Gothic"/>
                <w:bCs/>
                <w:sz w:val="20"/>
              </w:rPr>
              <w:t>procesado en primera y segunda instancia.</w:t>
            </w:r>
          </w:p>
          <w:p w14:paraId="29CDA1E0" w14:textId="77777777" w:rsidR="00351298" w:rsidRPr="00351298" w:rsidRDefault="00351298" w:rsidP="00351298">
            <w:pPr>
              <w:spacing w:after="0" w:line="240" w:lineRule="auto"/>
              <w:jc w:val="both"/>
              <w:rPr>
                <w:rFonts w:ascii="Century Gothic" w:hAnsi="Century Gothic"/>
                <w:bCs/>
                <w:sz w:val="20"/>
              </w:rPr>
            </w:pPr>
          </w:p>
          <w:p w14:paraId="6FD99AA5" w14:textId="58C1CC45" w:rsidR="00C1327C" w:rsidRDefault="00351298" w:rsidP="00351298">
            <w:pPr>
              <w:spacing w:after="0" w:line="240" w:lineRule="auto"/>
              <w:jc w:val="both"/>
              <w:rPr>
                <w:rFonts w:ascii="Century Gothic" w:hAnsi="Century Gothic"/>
                <w:bCs/>
                <w:sz w:val="20"/>
              </w:rPr>
            </w:pPr>
            <w:r w:rsidRPr="00351298">
              <w:rPr>
                <w:rFonts w:ascii="Century Gothic" w:hAnsi="Century Gothic"/>
                <w:bCs/>
                <w:sz w:val="20"/>
              </w:rPr>
              <w:t>3.    Si además de la impugnación especial promovida por el acusado o su</w:t>
            </w:r>
            <w:r>
              <w:rPr>
                <w:rFonts w:ascii="Century Gothic" w:hAnsi="Century Gothic"/>
                <w:bCs/>
                <w:sz w:val="20"/>
              </w:rPr>
              <w:t xml:space="preserve"> </w:t>
            </w:r>
            <w:r w:rsidRPr="00351298">
              <w:rPr>
                <w:rFonts w:ascii="Century Gothic" w:hAnsi="Century Gothic"/>
                <w:bCs/>
                <w:sz w:val="20"/>
              </w:rPr>
              <w:t>defensor, otro sujeto procesal o interviniente promovió casación, la Corte</w:t>
            </w:r>
            <w:r>
              <w:rPr>
                <w:rFonts w:ascii="Century Gothic" w:hAnsi="Century Gothic"/>
                <w:bCs/>
                <w:sz w:val="20"/>
              </w:rPr>
              <w:t xml:space="preserve"> </w:t>
            </w:r>
            <w:r w:rsidRPr="00351298">
              <w:rPr>
                <w:rFonts w:ascii="Century Gothic" w:hAnsi="Century Gothic"/>
                <w:bCs/>
                <w:sz w:val="20"/>
              </w:rPr>
              <w:t>resolverá primero la impugnación especial.</w:t>
            </w:r>
          </w:p>
          <w:p w14:paraId="6D59B6EE" w14:textId="1427B667" w:rsidR="00351298" w:rsidRDefault="00351298" w:rsidP="00351298">
            <w:pPr>
              <w:spacing w:after="0" w:line="240" w:lineRule="auto"/>
              <w:jc w:val="both"/>
              <w:rPr>
                <w:rFonts w:ascii="Century Gothic" w:hAnsi="Century Gothic"/>
                <w:bCs/>
                <w:sz w:val="20"/>
              </w:rPr>
            </w:pPr>
          </w:p>
          <w:p w14:paraId="528D4790" w14:textId="10FF45B9" w:rsidR="009D1922" w:rsidRDefault="009D1922" w:rsidP="00351298">
            <w:pPr>
              <w:spacing w:after="0" w:line="240" w:lineRule="auto"/>
              <w:jc w:val="both"/>
              <w:rPr>
                <w:rFonts w:ascii="Century Gothic" w:hAnsi="Century Gothic"/>
                <w:bCs/>
                <w:sz w:val="20"/>
              </w:rPr>
            </w:pPr>
          </w:p>
          <w:p w14:paraId="2C22912A" w14:textId="77777777" w:rsidR="009D1922" w:rsidRDefault="009D1922" w:rsidP="00351298">
            <w:pPr>
              <w:spacing w:after="0" w:line="240" w:lineRule="auto"/>
              <w:jc w:val="both"/>
              <w:rPr>
                <w:rFonts w:ascii="Century Gothic" w:hAnsi="Century Gothic"/>
                <w:bCs/>
                <w:sz w:val="20"/>
              </w:rPr>
            </w:pPr>
          </w:p>
          <w:p w14:paraId="16BBE87C" w14:textId="77777777" w:rsidR="009D1922" w:rsidRDefault="009D1922" w:rsidP="00C65136">
            <w:pPr>
              <w:spacing w:after="0" w:line="240" w:lineRule="auto"/>
              <w:jc w:val="both"/>
              <w:rPr>
                <w:rFonts w:ascii="Century Gothic" w:hAnsi="Century Gothic"/>
                <w:b/>
                <w:bCs/>
                <w:sz w:val="20"/>
              </w:rPr>
            </w:pPr>
          </w:p>
          <w:p w14:paraId="495D8F8E" w14:textId="77777777" w:rsidR="009D1922" w:rsidRDefault="009D1922" w:rsidP="00C65136">
            <w:pPr>
              <w:spacing w:after="0" w:line="240" w:lineRule="auto"/>
              <w:jc w:val="both"/>
              <w:rPr>
                <w:rFonts w:ascii="Century Gothic" w:hAnsi="Century Gothic"/>
                <w:b/>
                <w:bCs/>
                <w:sz w:val="20"/>
              </w:rPr>
            </w:pPr>
          </w:p>
          <w:p w14:paraId="6412BB0C" w14:textId="77777777" w:rsidR="009D1922" w:rsidRDefault="009D1922" w:rsidP="00C65136">
            <w:pPr>
              <w:spacing w:after="0" w:line="240" w:lineRule="auto"/>
              <w:jc w:val="both"/>
              <w:rPr>
                <w:rFonts w:ascii="Century Gothic" w:hAnsi="Century Gothic"/>
                <w:b/>
                <w:bCs/>
                <w:sz w:val="20"/>
              </w:rPr>
            </w:pPr>
          </w:p>
          <w:p w14:paraId="085890FF" w14:textId="77777777" w:rsidR="009D1922" w:rsidRDefault="009D1922" w:rsidP="00C65136">
            <w:pPr>
              <w:spacing w:after="0" w:line="240" w:lineRule="auto"/>
              <w:jc w:val="both"/>
              <w:rPr>
                <w:rFonts w:ascii="Century Gothic" w:hAnsi="Century Gothic"/>
                <w:b/>
                <w:bCs/>
                <w:sz w:val="20"/>
              </w:rPr>
            </w:pPr>
          </w:p>
          <w:p w14:paraId="6A2E0754" w14:textId="77777777" w:rsidR="009D1922" w:rsidRDefault="009D1922" w:rsidP="00C65136">
            <w:pPr>
              <w:spacing w:after="0" w:line="240" w:lineRule="auto"/>
              <w:jc w:val="both"/>
              <w:rPr>
                <w:rFonts w:ascii="Century Gothic" w:hAnsi="Century Gothic"/>
                <w:b/>
                <w:bCs/>
                <w:sz w:val="20"/>
              </w:rPr>
            </w:pPr>
          </w:p>
          <w:p w14:paraId="4D9414BA" w14:textId="77777777" w:rsidR="009D1922" w:rsidRDefault="009D1922" w:rsidP="00C65136">
            <w:pPr>
              <w:spacing w:after="0" w:line="240" w:lineRule="auto"/>
              <w:jc w:val="both"/>
              <w:rPr>
                <w:rFonts w:ascii="Century Gothic" w:hAnsi="Century Gothic"/>
                <w:b/>
                <w:bCs/>
                <w:sz w:val="20"/>
              </w:rPr>
            </w:pPr>
          </w:p>
          <w:p w14:paraId="2F6DAAE7" w14:textId="77777777" w:rsidR="009D1922" w:rsidRDefault="009D1922" w:rsidP="00C65136">
            <w:pPr>
              <w:spacing w:after="0" w:line="240" w:lineRule="auto"/>
              <w:jc w:val="both"/>
              <w:rPr>
                <w:rFonts w:ascii="Century Gothic" w:hAnsi="Century Gothic"/>
                <w:b/>
                <w:bCs/>
                <w:sz w:val="20"/>
              </w:rPr>
            </w:pPr>
          </w:p>
          <w:p w14:paraId="0F3BC9D6" w14:textId="77777777" w:rsidR="009D1922" w:rsidRDefault="009D1922" w:rsidP="00C65136">
            <w:pPr>
              <w:spacing w:after="0" w:line="240" w:lineRule="auto"/>
              <w:jc w:val="both"/>
              <w:rPr>
                <w:rFonts w:ascii="Century Gothic" w:hAnsi="Century Gothic"/>
                <w:b/>
                <w:bCs/>
                <w:sz w:val="20"/>
              </w:rPr>
            </w:pPr>
          </w:p>
          <w:p w14:paraId="2FAE8A32" w14:textId="1D423018" w:rsidR="00351298" w:rsidRPr="00B62E0A" w:rsidRDefault="00C65136" w:rsidP="00C65136">
            <w:pPr>
              <w:spacing w:after="0" w:line="240" w:lineRule="auto"/>
              <w:jc w:val="both"/>
              <w:rPr>
                <w:rFonts w:ascii="Century Gothic" w:hAnsi="Century Gothic"/>
                <w:b/>
                <w:bCs/>
                <w:sz w:val="20"/>
              </w:rPr>
            </w:pPr>
            <w:r w:rsidRPr="00C65136">
              <w:rPr>
                <w:rFonts w:ascii="Century Gothic" w:hAnsi="Century Gothic"/>
                <w:b/>
                <w:bCs/>
                <w:sz w:val="20"/>
              </w:rPr>
              <w:lastRenderedPageBreak/>
              <w:t xml:space="preserve">Parágrafo. </w:t>
            </w:r>
            <w:r w:rsidRPr="00C65136">
              <w:rPr>
                <w:rFonts w:ascii="Century Gothic" w:hAnsi="Century Gothic"/>
                <w:bCs/>
                <w:sz w:val="20"/>
              </w:rPr>
              <w:t>En caso de que la Corte admita el recurso extraordinario de casación</w:t>
            </w:r>
            <w:r>
              <w:rPr>
                <w:rFonts w:ascii="Century Gothic" w:hAnsi="Century Gothic"/>
                <w:bCs/>
                <w:sz w:val="20"/>
              </w:rPr>
              <w:t xml:space="preserve"> </w:t>
            </w:r>
            <w:r w:rsidRPr="00C65136">
              <w:rPr>
                <w:rFonts w:ascii="Century Gothic" w:hAnsi="Century Gothic"/>
                <w:bCs/>
                <w:sz w:val="20"/>
              </w:rPr>
              <w:t>interpuesto por otro sujeto procesal, la Sala resolverá en una sola providencia</w:t>
            </w:r>
            <w:r>
              <w:rPr>
                <w:rFonts w:ascii="Century Gothic" w:hAnsi="Century Gothic"/>
                <w:bCs/>
                <w:sz w:val="20"/>
              </w:rPr>
              <w:t xml:space="preserve"> </w:t>
            </w:r>
            <w:r w:rsidRPr="00C65136">
              <w:rPr>
                <w:rFonts w:ascii="Century Gothic" w:hAnsi="Century Gothic"/>
                <w:bCs/>
                <w:sz w:val="20"/>
              </w:rPr>
              <w:t>tanto la casación como la impugnación especial, a fin de evitar decisiones</w:t>
            </w:r>
            <w:r>
              <w:rPr>
                <w:rFonts w:ascii="Century Gothic" w:hAnsi="Century Gothic"/>
                <w:bCs/>
                <w:sz w:val="20"/>
              </w:rPr>
              <w:t xml:space="preserve"> </w:t>
            </w:r>
            <w:r w:rsidRPr="00C65136">
              <w:rPr>
                <w:rFonts w:ascii="Century Gothic" w:hAnsi="Century Gothic"/>
                <w:bCs/>
                <w:sz w:val="20"/>
              </w:rPr>
              <w:t>parciales.</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942A1" w14:textId="77777777" w:rsidR="00351298" w:rsidRPr="00DC7EBB" w:rsidRDefault="00351298" w:rsidP="00351298">
            <w:pPr>
              <w:jc w:val="both"/>
              <w:rPr>
                <w:rFonts w:ascii="Century Gothic" w:hAnsi="Century Gothic"/>
                <w:b/>
                <w:bCs/>
                <w:sz w:val="20"/>
              </w:rPr>
            </w:pPr>
            <w:r w:rsidRPr="00DC7EBB">
              <w:rPr>
                <w:rFonts w:ascii="Century Gothic" w:hAnsi="Century Gothic"/>
                <w:b/>
                <w:bCs/>
                <w:sz w:val="20"/>
              </w:rPr>
              <w:lastRenderedPageBreak/>
              <w:t xml:space="preserve">Artículo 6. </w:t>
            </w:r>
            <w:r w:rsidRPr="00DC7EBB">
              <w:rPr>
                <w:rFonts w:ascii="Century Gothic" w:hAnsi="Century Gothic"/>
                <w:bCs/>
                <w:sz w:val="20"/>
              </w:rPr>
              <w:t>Créase el artículo 178 B en la Ley 906 de 2004, el cual quedará así:</w:t>
            </w:r>
            <w:r w:rsidRPr="00DC7EBB">
              <w:rPr>
                <w:rFonts w:ascii="Century Gothic" w:hAnsi="Century Gothic"/>
                <w:b/>
                <w:bCs/>
                <w:sz w:val="20"/>
              </w:rPr>
              <w:t> </w:t>
            </w:r>
          </w:p>
          <w:p w14:paraId="185DF677" w14:textId="77777777" w:rsidR="00351298" w:rsidRPr="00DC7EBB" w:rsidRDefault="00351298" w:rsidP="00351298">
            <w:pPr>
              <w:jc w:val="both"/>
              <w:rPr>
                <w:rFonts w:ascii="Century Gothic" w:hAnsi="Century Gothic"/>
                <w:b/>
                <w:bCs/>
                <w:sz w:val="20"/>
              </w:rPr>
            </w:pPr>
            <w:r w:rsidRPr="00DC7EBB">
              <w:rPr>
                <w:rFonts w:ascii="Century Gothic" w:hAnsi="Century Gothic"/>
                <w:b/>
                <w:bCs/>
                <w:sz w:val="20"/>
              </w:rPr>
              <w:t>ARTÍCULO 178B. CONCURRENCIA DE LOS RECURSOS DE CASACIÓN Y DE IMPUGNACIÓN ESPECIAL CONTRA UNA MISMA SENTENCIA:</w:t>
            </w:r>
          </w:p>
          <w:p w14:paraId="67C4E189" w14:textId="77777777" w:rsidR="00351298" w:rsidRPr="00DC7EBB" w:rsidRDefault="00351298" w:rsidP="00351298">
            <w:pPr>
              <w:spacing w:after="0" w:line="240" w:lineRule="auto"/>
              <w:jc w:val="both"/>
              <w:rPr>
                <w:rFonts w:ascii="Century Gothic" w:hAnsi="Century Gothic"/>
                <w:bCs/>
                <w:sz w:val="20"/>
              </w:rPr>
            </w:pPr>
            <w:r w:rsidRPr="00DC7EBB">
              <w:rPr>
                <w:rFonts w:ascii="Century Gothic" w:hAnsi="Century Gothic"/>
                <w:bCs/>
                <w:sz w:val="20"/>
              </w:rPr>
              <w:lastRenderedPageBreak/>
              <w:t>Cuando en una sentencia proferida en segunda instancia se condene por primera vez respecto de uno o varios delitos y a la vez se confirme la condena impuesta en primera instancia respecto de otro u otros delitos, se aplicarán las siguientes reglas:</w:t>
            </w:r>
          </w:p>
          <w:p w14:paraId="070D285A" w14:textId="77777777" w:rsidR="00351298" w:rsidRPr="00DC7EBB" w:rsidRDefault="00351298" w:rsidP="00351298">
            <w:pPr>
              <w:spacing w:after="0" w:line="240" w:lineRule="auto"/>
              <w:jc w:val="both"/>
              <w:rPr>
                <w:rFonts w:ascii="Century Gothic" w:hAnsi="Century Gothic"/>
                <w:bCs/>
                <w:sz w:val="20"/>
              </w:rPr>
            </w:pPr>
          </w:p>
          <w:p w14:paraId="1ED1C789" w14:textId="77777777" w:rsidR="00351298" w:rsidRPr="00DC7EBB" w:rsidRDefault="00351298" w:rsidP="00351298">
            <w:pPr>
              <w:spacing w:after="0" w:line="240" w:lineRule="auto"/>
              <w:jc w:val="both"/>
              <w:rPr>
                <w:rFonts w:ascii="Century Gothic" w:hAnsi="Century Gothic"/>
                <w:bCs/>
                <w:sz w:val="20"/>
              </w:rPr>
            </w:pPr>
            <w:r w:rsidRPr="00DC7EBB">
              <w:rPr>
                <w:rFonts w:ascii="Century Gothic" w:hAnsi="Century Gothic"/>
                <w:bCs/>
                <w:sz w:val="20"/>
              </w:rPr>
              <w:t>1.     Frente a la condena impuesta por primera vez en segunda instancia procede para el condenado o su defensor el recurso de impugnación especial.</w:t>
            </w:r>
          </w:p>
          <w:p w14:paraId="70E08724" w14:textId="77777777" w:rsidR="00351298" w:rsidRPr="00DC7EBB" w:rsidRDefault="00351298" w:rsidP="00351298">
            <w:pPr>
              <w:spacing w:after="0" w:line="240" w:lineRule="auto"/>
              <w:jc w:val="both"/>
              <w:rPr>
                <w:rFonts w:ascii="Century Gothic" w:hAnsi="Century Gothic"/>
                <w:bCs/>
                <w:sz w:val="20"/>
              </w:rPr>
            </w:pPr>
          </w:p>
          <w:p w14:paraId="70AD6F01" w14:textId="77777777" w:rsidR="00351298" w:rsidRPr="00DC7EBB" w:rsidRDefault="00351298" w:rsidP="00351298">
            <w:pPr>
              <w:spacing w:after="0" w:line="240" w:lineRule="auto"/>
              <w:jc w:val="both"/>
              <w:rPr>
                <w:rFonts w:ascii="Century Gothic" w:hAnsi="Century Gothic"/>
                <w:bCs/>
                <w:sz w:val="20"/>
              </w:rPr>
            </w:pPr>
            <w:r w:rsidRPr="00DC7EBB">
              <w:rPr>
                <w:rFonts w:ascii="Century Gothic" w:hAnsi="Century Gothic"/>
                <w:bCs/>
                <w:sz w:val="20"/>
              </w:rPr>
              <w:t>2.   Al defensor del condenado solamente le es dable recurrir simultáneamente en casación en hipótesis de delitos juzgados en el mismo proceso respecto de los cuales se ha declarado la responsabilidad penal del procesado en primera y segunda instancia.</w:t>
            </w:r>
          </w:p>
          <w:p w14:paraId="48886E2D" w14:textId="77777777" w:rsidR="00351298" w:rsidRPr="00DC7EBB" w:rsidRDefault="00351298" w:rsidP="00351298">
            <w:pPr>
              <w:spacing w:after="0" w:line="240" w:lineRule="auto"/>
              <w:jc w:val="both"/>
              <w:rPr>
                <w:rFonts w:ascii="Century Gothic" w:hAnsi="Century Gothic"/>
                <w:bCs/>
                <w:sz w:val="20"/>
              </w:rPr>
            </w:pPr>
          </w:p>
          <w:p w14:paraId="191F0D37" w14:textId="751AEF2B" w:rsidR="00351298" w:rsidRPr="009D1922" w:rsidRDefault="00351298" w:rsidP="009D1922">
            <w:pPr>
              <w:spacing w:after="0" w:line="240" w:lineRule="auto"/>
              <w:jc w:val="both"/>
              <w:rPr>
                <w:rFonts w:ascii="Century Gothic" w:hAnsi="Century Gothic"/>
                <w:b/>
                <w:bCs/>
                <w:sz w:val="20"/>
              </w:rPr>
            </w:pPr>
            <w:r w:rsidRPr="00DC7EBB">
              <w:rPr>
                <w:rFonts w:ascii="Century Gothic" w:hAnsi="Century Gothic"/>
                <w:bCs/>
                <w:sz w:val="20"/>
              </w:rPr>
              <w:t xml:space="preserve">3.    Si además de la impugnación especial promovida por el acusado o su defensor, otro sujeto procesal o interviniente promovió casación, la Corte </w:t>
            </w:r>
            <w:r w:rsidRPr="009D1922">
              <w:rPr>
                <w:rFonts w:ascii="Century Gothic" w:hAnsi="Century Gothic"/>
                <w:b/>
                <w:bCs/>
                <w:strike/>
                <w:sz w:val="20"/>
              </w:rPr>
              <w:t>resolverá primero la impugnación especial</w:t>
            </w:r>
            <w:r w:rsidRPr="00DC7EBB">
              <w:rPr>
                <w:rFonts w:ascii="Century Gothic" w:hAnsi="Century Gothic"/>
                <w:bCs/>
                <w:sz w:val="20"/>
              </w:rPr>
              <w:t xml:space="preserve"> </w:t>
            </w:r>
            <w:r w:rsidRPr="00DC7EBB">
              <w:rPr>
                <w:rFonts w:ascii="Century Gothic" w:hAnsi="Century Gothic"/>
                <w:b/>
                <w:bCs/>
                <w:sz w:val="20"/>
              </w:rPr>
              <w:t xml:space="preserve">procederá a calificar primero la </w:t>
            </w:r>
            <w:r w:rsidR="009D1922">
              <w:rPr>
                <w:rFonts w:ascii="Century Gothic" w:hAnsi="Century Gothic"/>
                <w:b/>
                <w:bCs/>
                <w:sz w:val="20"/>
              </w:rPr>
              <w:t xml:space="preserve">demanda de </w:t>
            </w:r>
            <w:r w:rsidRPr="00DC7EBB">
              <w:rPr>
                <w:rFonts w:ascii="Century Gothic" w:hAnsi="Century Gothic"/>
                <w:b/>
                <w:bCs/>
                <w:sz w:val="20"/>
              </w:rPr>
              <w:t>casación</w:t>
            </w:r>
            <w:r w:rsidRPr="00DC7EBB">
              <w:rPr>
                <w:rFonts w:ascii="Century Gothic" w:hAnsi="Century Gothic"/>
                <w:bCs/>
                <w:sz w:val="20"/>
              </w:rPr>
              <w:t>.</w:t>
            </w:r>
            <w:r w:rsidR="009D1922">
              <w:rPr>
                <w:rFonts w:ascii="Century Gothic" w:hAnsi="Century Gothic"/>
                <w:bCs/>
                <w:sz w:val="20"/>
              </w:rPr>
              <w:t xml:space="preserve"> </w:t>
            </w:r>
            <w:r w:rsidR="009D1922" w:rsidRPr="009D1922">
              <w:rPr>
                <w:rFonts w:ascii="Century Gothic" w:hAnsi="Century Gothic"/>
                <w:b/>
                <w:bCs/>
                <w:sz w:val="20"/>
              </w:rPr>
              <w:t xml:space="preserve">Si la inadmite, una vez en firme el auto de inadmisión procederá a resolver </w:t>
            </w:r>
            <w:r w:rsidR="009D1922">
              <w:rPr>
                <w:rFonts w:ascii="Century Gothic" w:hAnsi="Century Gothic"/>
                <w:b/>
                <w:bCs/>
                <w:sz w:val="20"/>
              </w:rPr>
              <w:t>el recurso de</w:t>
            </w:r>
            <w:r w:rsidR="009D1922" w:rsidRPr="009D1922">
              <w:rPr>
                <w:rFonts w:ascii="Century Gothic" w:hAnsi="Century Gothic"/>
                <w:b/>
                <w:bCs/>
                <w:sz w:val="20"/>
              </w:rPr>
              <w:t xml:space="preserve"> impugnación</w:t>
            </w:r>
            <w:r w:rsidR="009D1922">
              <w:rPr>
                <w:rFonts w:ascii="Century Gothic" w:hAnsi="Century Gothic"/>
                <w:b/>
                <w:bCs/>
                <w:sz w:val="20"/>
              </w:rPr>
              <w:t xml:space="preserve"> </w:t>
            </w:r>
            <w:r w:rsidR="009D1922" w:rsidRPr="009D1922">
              <w:rPr>
                <w:rFonts w:ascii="Century Gothic" w:hAnsi="Century Gothic"/>
                <w:b/>
                <w:bCs/>
                <w:sz w:val="20"/>
              </w:rPr>
              <w:t>especial. Si admite a trámite la demanda, la resolverá</w:t>
            </w:r>
            <w:r w:rsidR="009D1922">
              <w:rPr>
                <w:rFonts w:ascii="Century Gothic" w:hAnsi="Century Gothic"/>
                <w:b/>
                <w:bCs/>
                <w:sz w:val="20"/>
              </w:rPr>
              <w:t xml:space="preserve"> </w:t>
            </w:r>
            <w:r w:rsidR="009D1922" w:rsidRPr="009D1922">
              <w:rPr>
                <w:rFonts w:ascii="Century Gothic" w:hAnsi="Century Gothic"/>
                <w:b/>
                <w:bCs/>
                <w:sz w:val="20"/>
              </w:rPr>
              <w:t xml:space="preserve">paralelamente con </w:t>
            </w:r>
            <w:r w:rsidR="009D1922">
              <w:rPr>
                <w:rFonts w:ascii="Century Gothic" w:hAnsi="Century Gothic"/>
                <w:b/>
                <w:bCs/>
                <w:sz w:val="20"/>
              </w:rPr>
              <w:t xml:space="preserve">el recurso de </w:t>
            </w:r>
            <w:r w:rsidR="009D1922" w:rsidRPr="009D1922">
              <w:rPr>
                <w:rFonts w:ascii="Century Gothic" w:hAnsi="Century Gothic"/>
                <w:b/>
                <w:bCs/>
                <w:sz w:val="20"/>
              </w:rPr>
              <w:t>impugnación especial.</w:t>
            </w:r>
          </w:p>
          <w:p w14:paraId="574AAE80" w14:textId="77777777" w:rsidR="00351298" w:rsidRPr="009D1922" w:rsidRDefault="00351298" w:rsidP="00351298">
            <w:pPr>
              <w:spacing w:after="0" w:line="240" w:lineRule="auto"/>
              <w:jc w:val="both"/>
              <w:rPr>
                <w:rFonts w:ascii="Century Gothic" w:hAnsi="Century Gothic"/>
                <w:b/>
                <w:bCs/>
                <w:sz w:val="20"/>
              </w:rPr>
            </w:pPr>
          </w:p>
          <w:p w14:paraId="0A0B144B" w14:textId="08EF59C3" w:rsidR="00C1327C" w:rsidRDefault="00516B91" w:rsidP="00351298">
            <w:pPr>
              <w:jc w:val="both"/>
              <w:rPr>
                <w:rFonts w:ascii="Century Gothic" w:hAnsi="Century Gothic"/>
                <w:bCs/>
                <w:sz w:val="20"/>
              </w:rPr>
            </w:pPr>
            <w:r>
              <w:rPr>
                <w:rFonts w:ascii="Century Gothic" w:hAnsi="Century Gothic"/>
                <w:b/>
                <w:bCs/>
                <w:sz w:val="20"/>
              </w:rPr>
              <w:lastRenderedPageBreak/>
              <w:t>Parágrafo</w:t>
            </w:r>
            <w:r w:rsidR="00C65136" w:rsidRPr="00DC7EBB">
              <w:rPr>
                <w:rFonts w:ascii="Century Gothic" w:hAnsi="Century Gothic"/>
                <w:b/>
                <w:bCs/>
                <w:sz w:val="20"/>
              </w:rPr>
              <w:t xml:space="preserve">. </w:t>
            </w:r>
            <w:r w:rsidR="00C65136" w:rsidRPr="00DC7EBB">
              <w:rPr>
                <w:rFonts w:ascii="Century Gothic" w:hAnsi="Century Gothic"/>
                <w:bCs/>
                <w:sz w:val="20"/>
              </w:rPr>
              <w:t>En caso de que la Corte admita el recurso extraordinario de casación interpuesto por otro sujeto procesal, la Sala resolverá en una sola providencia tanto</w:t>
            </w:r>
            <w:r w:rsidR="009D1922">
              <w:rPr>
                <w:rFonts w:ascii="Century Gothic" w:hAnsi="Century Gothic"/>
                <w:bCs/>
                <w:sz w:val="20"/>
              </w:rPr>
              <w:t xml:space="preserve"> </w:t>
            </w:r>
            <w:r w:rsidR="009D1922">
              <w:rPr>
                <w:rFonts w:ascii="Century Gothic" w:hAnsi="Century Gothic"/>
                <w:b/>
                <w:bCs/>
                <w:sz w:val="20"/>
              </w:rPr>
              <w:t xml:space="preserve">el recurso extraordinario de </w:t>
            </w:r>
            <w:r w:rsidR="00C65136" w:rsidRPr="009D1922">
              <w:rPr>
                <w:rFonts w:ascii="Century Gothic" w:hAnsi="Century Gothic"/>
                <w:b/>
                <w:bCs/>
                <w:strike/>
                <w:sz w:val="20"/>
              </w:rPr>
              <w:t>la</w:t>
            </w:r>
            <w:r w:rsidR="00C65136" w:rsidRPr="00DC7EBB">
              <w:rPr>
                <w:rFonts w:ascii="Century Gothic" w:hAnsi="Century Gothic"/>
                <w:bCs/>
                <w:sz w:val="20"/>
              </w:rPr>
              <w:t xml:space="preserve"> casación como </w:t>
            </w:r>
            <w:r w:rsidR="009D1922">
              <w:rPr>
                <w:rFonts w:ascii="Century Gothic" w:hAnsi="Century Gothic"/>
                <w:b/>
                <w:bCs/>
                <w:sz w:val="20"/>
              </w:rPr>
              <w:t xml:space="preserve">el recurso de </w:t>
            </w:r>
            <w:r w:rsidR="00C65136" w:rsidRPr="009D1922">
              <w:rPr>
                <w:rFonts w:ascii="Century Gothic" w:hAnsi="Century Gothic"/>
                <w:b/>
                <w:bCs/>
                <w:strike/>
                <w:sz w:val="20"/>
              </w:rPr>
              <w:t>la</w:t>
            </w:r>
            <w:r w:rsidR="00C65136" w:rsidRPr="00DC7EBB">
              <w:rPr>
                <w:rFonts w:ascii="Century Gothic" w:hAnsi="Century Gothic"/>
                <w:bCs/>
                <w:sz w:val="20"/>
              </w:rPr>
              <w:t xml:space="preserve"> impugnación especial, a fin de evitar decisiones parciales.</w:t>
            </w:r>
          </w:p>
          <w:p w14:paraId="55F879B4" w14:textId="41FF8A8F" w:rsidR="00C65136" w:rsidRPr="00DC7EBB" w:rsidRDefault="009D1922" w:rsidP="00516B91">
            <w:pPr>
              <w:jc w:val="both"/>
              <w:rPr>
                <w:rFonts w:ascii="Century Gothic" w:hAnsi="Century Gothic"/>
                <w:b/>
                <w:bCs/>
                <w:sz w:val="20"/>
              </w:rPr>
            </w:pPr>
            <w:r w:rsidRPr="009D1922">
              <w:rPr>
                <w:rFonts w:ascii="Century Gothic" w:hAnsi="Century Gothic"/>
                <w:b/>
                <w:bCs/>
                <w:sz w:val="20"/>
              </w:rPr>
              <w:t xml:space="preserve">El mismo procedimiento se seguirá cuando el procesado interponga, de forma paralela, </w:t>
            </w:r>
            <w:r>
              <w:rPr>
                <w:rFonts w:ascii="Century Gothic" w:hAnsi="Century Gothic"/>
                <w:b/>
                <w:bCs/>
                <w:sz w:val="20"/>
              </w:rPr>
              <w:t xml:space="preserve">el recurso de </w:t>
            </w:r>
            <w:r w:rsidRPr="009D1922">
              <w:rPr>
                <w:rFonts w:ascii="Century Gothic" w:hAnsi="Century Gothic"/>
                <w:b/>
                <w:bCs/>
                <w:sz w:val="20"/>
              </w:rPr>
              <w:t xml:space="preserve">impugnación especial por un delito contra el cual sea procedente y su defensor el recurso </w:t>
            </w:r>
            <w:r>
              <w:rPr>
                <w:rFonts w:ascii="Century Gothic" w:hAnsi="Century Gothic"/>
                <w:b/>
                <w:bCs/>
                <w:sz w:val="20"/>
              </w:rPr>
              <w:t xml:space="preserve">extraordinario </w:t>
            </w:r>
            <w:r w:rsidRPr="009D1922">
              <w:rPr>
                <w:rFonts w:ascii="Century Gothic" w:hAnsi="Century Gothic"/>
                <w:b/>
                <w:bCs/>
                <w:sz w:val="20"/>
              </w:rPr>
              <w:t>de casación por otro.</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2491D3" w14:textId="55554345" w:rsidR="007109D0" w:rsidRDefault="007109D0" w:rsidP="007109D0">
            <w:pPr>
              <w:spacing w:line="240" w:lineRule="auto"/>
              <w:jc w:val="both"/>
              <w:rPr>
                <w:rFonts w:ascii="Century Gothic" w:hAnsi="Century Gothic"/>
                <w:color w:val="000000"/>
                <w:sz w:val="20"/>
              </w:rPr>
            </w:pPr>
            <w:r w:rsidRPr="007109D0">
              <w:rPr>
                <w:rFonts w:ascii="Century Gothic" w:hAnsi="Century Gothic"/>
                <w:color w:val="000000"/>
                <w:sz w:val="20"/>
              </w:rPr>
              <w:lastRenderedPageBreak/>
              <w:t xml:space="preserve">En el </w:t>
            </w:r>
            <w:r w:rsidRPr="007109D0">
              <w:rPr>
                <w:rFonts w:ascii="Century Gothic" w:hAnsi="Century Gothic"/>
                <w:bCs/>
                <w:color w:val="000000"/>
                <w:sz w:val="20"/>
              </w:rPr>
              <w:t>Auto CSJ AP1263-2019, la Sala de Casación Penal de la Corte Suprema de Justicia adoptó las medidas provisionales y pautas procesales para garantizar el derecho a la doble conformidad judicial</w:t>
            </w:r>
            <w:r>
              <w:rPr>
                <w:rFonts w:ascii="Century Gothic" w:hAnsi="Century Gothic"/>
                <w:color w:val="000000"/>
                <w:sz w:val="20"/>
              </w:rPr>
              <w:t xml:space="preserve">, en la cual se </w:t>
            </w:r>
            <w:r>
              <w:rPr>
                <w:rFonts w:ascii="Century Gothic" w:hAnsi="Century Gothic"/>
                <w:color w:val="000000"/>
                <w:sz w:val="20"/>
              </w:rPr>
              <w:lastRenderedPageBreak/>
              <w:t>establece que se califica en primera medida la demanda de casación y si se inadmite, procede resolver la impugnación especial.</w:t>
            </w:r>
          </w:p>
          <w:p w14:paraId="4467CE7D" w14:textId="74785B6F" w:rsidR="007109D0" w:rsidRDefault="007109D0" w:rsidP="007109D0">
            <w:pPr>
              <w:spacing w:line="240" w:lineRule="auto"/>
              <w:jc w:val="both"/>
              <w:rPr>
                <w:rFonts w:ascii="Century Gothic" w:hAnsi="Century Gothic"/>
                <w:color w:val="000000"/>
                <w:sz w:val="20"/>
              </w:rPr>
            </w:pPr>
            <w:r>
              <w:rPr>
                <w:rFonts w:ascii="Century Gothic" w:hAnsi="Century Gothic"/>
                <w:color w:val="000000"/>
                <w:sz w:val="20"/>
              </w:rPr>
              <w:t xml:space="preserve">En ese sentido, se estima problemático resolver primero la impugnación especial, ya que la casación puede conllevar la inadmisión de la demanda y el agotamiento del mecanismo de insistencia, así como la ejecutoria de la cesión si se surte primero la impugnación especial. </w:t>
            </w:r>
          </w:p>
          <w:p w14:paraId="3861CA8E" w14:textId="033CC356" w:rsidR="00DC7EBB" w:rsidRPr="007109D0" w:rsidRDefault="009D1922" w:rsidP="00516B91">
            <w:pPr>
              <w:spacing w:line="240" w:lineRule="auto"/>
              <w:jc w:val="both"/>
              <w:rPr>
                <w:rFonts w:ascii="Century Gothic" w:hAnsi="Century Gothic"/>
                <w:sz w:val="20"/>
              </w:rPr>
            </w:pPr>
            <w:r w:rsidRPr="009D1922">
              <w:rPr>
                <w:rFonts w:ascii="Century Gothic" w:hAnsi="Century Gothic"/>
                <w:color w:val="000000"/>
                <w:sz w:val="20"/>
              </w:rPr>
              <w:t xml:space="preserve">Se </w:t>
            </w:r>
            <w:r>
              <w:rPr>
                <w:rFonts w:ascii="Century Gothic" w:hAnsi="Century Gothic"/>
                <w:color w:val="000000"/>
                <w:sz w:val="20"/>
              </w:rPr>
              <w:t xml:space="preserve">incluye en el parágrafo </w:t>
            </w:r>
            <w:r w:rsidRPr="009D1922">
              <w:rPr>
                <w:rFonts w:ascii="Century Gothic" w:hAnsi="Century Gothic"/>
                <w:color w:val="000000"/>
                <w:sz w:val="20"/>
              </w:rPr>
              <w:t>la hipótesis de cuando el mismo</w:t>
            </w:r>
            <w:r>
              <w:rPr>
                <w:rFonts w:ascii="Century Gothic" w:hAnsi="Century Gothic"/>
                <w:color w:val="000000"/>
                <w:sz w:val="20"/>
              </w:rPr>
              <w:t xml:space="preserve"> </w:t>
            </w:r>
            <w:r w:rsidRPr="009D1922">
              <w:rPr>
                <w:rFonts w:ascii="Century Gothic" w:hAnsi="Century Gothic"/>
                <w:color w:val="000000"/>
                <w:sz w:val="20"/>
              </w:rPr>
              <w:t>p</w:t>
            </w:r>
            <w:r w:rsidR="00516B91">
              <w:rPr>
                <w:rFonts w:ascii="Century Gothic" w:hAnsi="Century Gothic"/>
                <w:color w:val="000000"/>
                <w:sz w:val="20"/>
              </w:rPr>
              <w:t>rocesado viene en impugnación e</w:t>
            </w:r>
            <w:r w:rsidRPr="009D1922">
              <w:rPr>
                <w:rFonts w:ascii="Century Gothic" w:hAnsi="Century Gothic"/>
                <w:color w:val="000000"/>
                <w:sz w:val="20"/>
              </w:rPr>
              <w:t>special por un delito y en</w:t>
            </w:r>
            <w:r>
              <w:rPr>
                <w:rFonts w:ascii="Century Gothic" w:hAnsi="Century Gothic"/>
                <w:color w:val="000000"/>
                <w:sz w:val="20"/>
              </w:rPr>
              <w:t xml:space="preserve"> casación por otro. A</w:t>
            </w:r>
            <w:r w:rsidRPr="009D1922">
              <w:rPr>
                <w:rFonts w:ascii="Century Gothic" w:hAnsi="Century Gothic"/>
                <w:color w:val="000000"/>
                <w:sz w:val="20"/>
              </w:rPr>
              <w:t>hí aplica la misma regla de cuando dos</w:t>
            </w:r>
            <w:r>
              <w:rPr>
                <w:rFonts w:ascii="Century Gothic" w:hAnsi="Century Gothic"/>
                <w:color w:val="000000"/>
                <w:sz w:val="20"/>
              </w:rPr>
              <w:t xml:space="preserve"> </w:t>
            </w:r>
            <w:r w:rsidRPr="009D1922">
              <w:rPr>
                <w:rFonts w:ascii="Century Gothic" w:hAnsi="Century Gothic"/>
                <w:color w:val="000000"/>
                <w:sz w:val="20"/>
              </w:rPr>
              <w:t xml:space="preserve">partes distintas acuden con mecanismos </w:t>
            </w:r>
            <w:r>
              <w:rPr>
                <w:rFonts w:ascii="Century Gothic" w:hAnsi="Century Gothic"/>
                <w:color w:val="000000"/>
                <w:sz w:val="20"/>
              </w:rPr>
              <w:t xml:space="preserve"> </w:t>
            </w:r>
            <w:r w:rsidRPr="009D1922">
              <w:rPr>
                <w:rFonts w:ascii="Century Gothic" w:hAnsi="Century Gothic"/>
                <w:color w:val="000000"/>
                <w:sz w:val="20"/>
              </w:rPr>
              <w:t>diferentes en el mismo</w:t>
            </w:r>
            <w:r>
              <w:rPr>
                <w:rFonts w:ascii="Century Gothic" w:hAnsi="Century Gothic"/>
                <w:color w:val="000000"/>
                <w:sz w:val="20"/>
              </w:rPr>
              <w:t xml:space="preserve"> </w:t>
            </w:r>
            <w:r w:rsidRPr="009D1922">
              <w:rPr>
                <w:rFonts w:ascii="Century Gothic" w:hAnsi="Century Gothic"/>
                <w:color w:val="000000"/>
                <w:sz w:val="20"/>
              </w:rPr>
              <w:t>asunto: impugnación y casación</w:t>
            </w:r>
            <w:r>
              <w:rPr>
                <w:rFonts w:ascii="Century Gothic" w:hAnsi="Century Gothic"/>
                <w:color w:val="000000"/>
                <w:sz w:val="20"/>
              </w:rPr>
              <w:t>.</w:t>
            </w:r>
          </w:p>
        </w:tc>
      </w:tr>
      <w:tr w:rsidR="00DC7EBB" w:rsidRPr="009745E1" w14:paraId="22619EB1"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C74E7A" w14:textId="73BFF7C3" w:rsidR="00DC7EBB" w:rsidRPr="00516B91" w:rsidRDefault="00DC7EBB" w:rsidP="00DC7EBB">
            <w:pPr>
              <w:jc w:val="both"/>
              <w:rPr>
                <w:rFonts w:ascii="Century Gothic" w:hAnsi="Century Gothic"/>
                <w:b/>
                <w:bCs/>
                <w:sz w:val="20"/>
              </w:rPr>
            </w:pPr>
            <w:r w:rsidRPr="00516B91">
              <w:rPr>
                <w:rFonts w:ascii="Century Gothic" w:hAnsi="Century Gothic"/>
                <w:b/>
                <w:bCs/>
                <w:sz w:val="20"/>
              </w:rPr>
              <w:lastRenderedPageBreak/>
              <w:t xml:space="preserve">Artículo 7. </w:t>
            </w:r>
            <w:r w:rsidRPr="00516B91">
              <w:rPr>
                <w:rFonts w:ascii="Century Gothic" w:hAnsi="Century Gothic"/>
                <w:bCs/>
                <w:sz w:val="20"/>
              </w:rPr>
              <w:t>Créase el artículo 178 C en la Ley 906 de 2004, el cual quedará así:</w:t>
            </w:r>
          </w:p>
          <w:p w14:paraId="6F2E3168" w14:textId="5E7FF9CD" w:rsidR="00DC7EBB" w:rsidRPr="00516B91" w:rsidRDefault="00DC7EBB" w:rsidP="00DC7EBB">
            <w:pPr>
              <w:jc w:val="both"/>
              <w:rPr>
                <w:rFonts w:ascii="Century Gothic" w:hAnsi="Century Gothic"/>
                <w:b/>
                <w:bCs/>
                <w:sz w:val="20"/>
              </w:rPr>
            </w:pPr>
            <w:r w:rsidRPr="00516B91">
              <w:rPr>
                <w:rFonts w:ascii="Century Gothic" w:hAnsi="Century Gothic"/>
                <w:b/>
                <w:bCs/>
                <w:sz w:val="20"/>
              </w:rPr>
              <w:t xml:space="preserve">ARTÍCULO 178C. PRINCIPIO DE JUEZ IMPARCIAL EN EL RECURSO DE IMPUGNACIÓN ESPECIAL. </w:t>
            </w:r>
            <w:r w:rsidRPr="00516B91">
              <w:rPr>
                <w:rFonts w:ascii="Century Gothic" w:hAnsi="Century Gothic"/>
                <w:bCs/>
                <w:sz w:val="20"/>
              </w:rPr>
              <w:t xml:space="preserve">Para garantizar el principio de juez imparcial la Sala de Casación Penal determinará en su reglamento su división en </w:t>
            </w:r>
            <w:proofErr w:type="spellStart"/>
            <w:r w:rsidRPr="00516B91">
              <w:rPr>
                <w:rFonts w:ascii="Century Gothic" w:hAnsi="Century Gothic"/>
                <w:bCs/>
                <w:sz w:val="20"/>
              </w:rPr>
              <w:t>subsalas</w:t>
            </w:r>
            <w:proofErr w:type="spellEnd"/>
            <w:r w:rsidRPr="00516B91">
              <w:rPr>
                <w:rFonts w:ascii="Century Gothic" w:hAnsi="Century Gothic"/>
                <w:bCs/>
                <w:sz w:val="20"/>
              </w:rPr>
              <w:t xml:space="preserve"> en caso de que deba conocer de demanda de casación o recurso de apelación y del recurso de impugnación especial dentro del mismo proceso.</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25231" w14:textId="77777777" w:rsidR="00DC7EBB" w:rsidRPr="00516B91" w:rsidRDefault="00DC7EBB" w:rsidP="00DC7EBB">
            <w:pPr>
              <w:jc w:val="both"/>
              <w:rPr>
                <w:rFonts w:ascii="Century Gothic" w:hAnsi="Century Gothic"/>
                <w:b/>
                <w:bCs/>
                <w:sz w:val="20"/>
              </w:rPr>
            </w:pPr>
            <w:r w:rsidRPr="00516B91">
              <w:rPr>
                <w:rFonts w:ascii="Century Gothic" w:hAnsi="Century Gothic"/>
                <w:b/>
                <w:bCs/>
                <w:sz w:val="20"/>
              </w:rPr>
              <w:t xml:space="preserve">Artículo 7. </w:t>
            </w:r>
            <w:r w:rsidRPr="00516B91">
              <w:rPr>
                <w:rFonts w:ascii="Century Gothic" w:hAnsi="Century Gothic"/>
                <w:bCs/>
                <w:sz w:val="20"/>
              </w:rPr>
              <w:t>Créase el artículo 178 C en la Ley 906 de 2004, el cual quedará así:</w:t>
            </w:r>
          </w:p>
          <w:p w14:paraId="32F1CB2B" w14:textId="6BAE3344" w:rsidR="00516B91" w:rsidRPr="00516B91" w:rsidRDefault="00DC7EBB" w:rsidP="00516B91">
            <w:pPr>
              <w:jc w:val="both"/>
              <w:rPr>
                <w:rFonts w:ascii="Century Gothic" w:hAnsi="Century Gothic"/>
                <w:b/>
                <w:bCs/>
                <w:sz w:val="20"/>
              </w:rPr>
            </w:pPr>
            <w:r w:rsidRPr="00516B91">
              <w:rPr>
                <w:rFonts w:ascii="Century Gothic" w:hAnsi="Century Gothic"/>
                <w:b/>
                <w:bCs/>
                <w:sz w:val="20"/>
              </w:rPr>
              <w:t xml:space="preserve">ARTÍCULO 178C. </w:t>
            </w:r>
            <w:r w:rsidR="00516B91">
              <w:rPr>
                <w:rFonts w:ascii="Century Gothic" w:hAnsi="Century Gothic"/>
                <w:b/>
                <w:bCs/>
                <w:sz w:val="20"/>
              </w:rPr>
              <w:t xml:space="preserve">CONFORMACIÓN DE SUBSALAS </w:t>
            </w:r>
            <w:r w:rsidRPr="00516B91">
              <w:rPr>
                <w:rFonts w:ascii="Century Gothic" w:hAnsi="Century Gothic"/>
                <w:b/>
                <w:bCs/>
                <w:sz w:val="20"/>
              </w:rPr>
              <w:t xml:space="preserve">EN EL RECURSO DE IMPUGNACIÓN ESPECIAL. </w:t>
            </w:r>
            <w:r w:rsidR="00516B91" w:rsidRPr="00516B91">
              <w:rPr>
                <w:rFonts w:ascii="Century Gothic" w:hAnsi="Century Gothic"/>
                <w:b/>
                <w:bCs/>
                <w:sz w:val="20"/>
              </w:rPr>
              <w:t xml:space="preserve">Cuando la Sala de Casación Penal deba conocer del recurso de apelación y, eventualmente, </w:t>
            </w:r>
            <w:r w:rsidR="00516B91">
              <w:rPr>
                <w:rFonts w:ascii="Century Gothic" w:hAnsi="Century Gothic"/>
                <w:b/>
                <w:bCs/>
                <w:sz w:val="20"/>
              </w:rPr>
              <w:t xml:space="preserve">del recurso </w:t>
            </w:r>
            <w:r w:rsidR="00516B91" w:rsidRPr="00516B91">
              <w:rPr>
                <w:rFonts w:ascii="Century Gothic" w:hAnsi="Century Gothic"/>
                <w:b/>
                <w:bCs/>
                <w:sz w:val="20"/>
              </w:rPr>
              <w:t xml:space="preserve">de impugnación especial dentro del mismo proceso, </w:t>
            </w:r>
            <w:r w:rsidR="00516B91">
              <w:rPr>
                <w:rFonts w:ascii="Century Gothic" w:hAnsi="Century Gothic"/>
                <w:b/>
                <w:bCs/>
                <w:sz w:val="20"/>
              </w:rPr>
              <w:t xml:space="preserve">la sala </w:t>
            </w:r>
            <w:r w:rsidR="00516B91" w:rsidRPr="00516B91">
              <w:rPr>
                <w:rFonts w:ascii="Century Gothic" w:hAnsi="Century Gothic"/>
                <w:b/>
                <w:bCs/>
                <w:sz w:val="20"/>
              </w:rPr>
              <w:t xml:space="preserve">se dividirá </w:t>
            </w:r>
            <w:r w:rsidR="00516B91">
              <w:rPr>
                <w:rFonts w:ascii="Century Gothic" w:hAnsi="Century Gothic"/>
                <w:b/>
                <w:bCs/>
                <w:sz w:val="20"/>
              </w:rPr>
              <w:t xml:space="preserve">en dos </w:t>
            </w:r>
            <w:proofErr w:type="spellStart"/>
            <w:r w:rsidR="00516B91">
              <w:rPr>
                <w:rFonts w:ascii="Century Gothic" w:hAnsi="Century Gothic"/>
                <w:b/>
                <w:bCs/>
                <w:sz w:val="20"/>
              </w:rPr>
              <w:t>subsalas</w:t>
            </w:r>
            <w:proofErr w:type="spellEnd"/>
            <w:r w:rsidR="00516B91">
              <w:rPr>
                <w:rFonts w:ascii="Century Gothic" w:hAnsi="Century Gothic"/>
                <w:b/>
                <w:bCs/>
                <w:sz w:val="20"/>
              </w:rPr>
              <w:t>:</w:t>
            </w:r>
            <w:r w:rsidR="00516B91" w:rsidRPr="00516B91">
              <w:rPr>
                <w:rFonts w:ascii="Century Gothic" w:hAnsi="Century Gothic"/>
                <w:b/>
                <w:bCs/>
                <w:sz w:val="20"/>
              </w:rPr>
              <w:t xml:space="preserve"> una </w:t>
            </w:r>
            <w:r w:rsidR="00516B91">
              <w:rPr>
                <w:rFonts w:ascii="Century Gothic" w:hAnsi="Century Gothic"/>
                <w:b/>
                <w:bCs/>
                <w:sz w:val="20"/>
              </w:rPr>
              <w:t>integrada por seis (6) Magistrados quienes conocerán</w:t>
            </w:r>
            <w:r w:rsidR="00516B91" w:rsidRPr="00516B91">
              <w:rPr>
                <w:rFonts w:ascii="Century Gothic" w:hAnsi="Century Gothic"/>
                <w:b/>
                <w:bCs/>
                <w:sz w:val="20"/>
              </w:rPr>
              <w:t xml:space="preserve"> del </w:t>
            </w:r>
            <w:r w:rsidR="00516B91">
              <w:rPr>
                <w:rFonts w:ascii="Century Gothic" w:hAnsi="Century Gothic"/>
                <w:b/>
                <w:bCs/>
                <w:sz w:val="20"/>
              </w:rPr>
              <w:t>recurso de apelación y otra</w:t>
            </w:r>
            <w:r w:rsidR="00516B91" w:rsidRPr="00516B91">
              <w:rPr>
                <w:rFonts w:ascii="Century Gothic" w:hAnsi="Century Gothic"/>
                <w:b/>
                <w:bCs/>
                <w:sz w:val="20"/>
              </w:rPr>
              <w:t xml:space="preserve"> conformada por tres (3) </w:t>
            </w:r>
            <w:r w:rsidR="00516B91">
              <w:rPr>
                <w:rFonts w:ascii="Century Gothic" w:hAnsi="Century Gothic"/>
                <w:b/>
                <w:bCs/>
                <w:sz w:val="20"/>
              </w:rPr>
              <w:t>Magistrados quienes</w:t>
            </w:r>
            <w:r w:rsidR="00516B91" w:rsidRPr="00516B91">
              <w:rPr>
                <w:rFonts w:ascii="Century Gothic" w:hAnsi="Century Gothic"/>
                <w:b/>
                <w:bCs/>
                <w:sz w:val="20"/>
              </w:rPr>
              <w:t xml:space="preserve"> decidirán acerca de</w:t>
            </w:r>
            <w:r w:rsidR="00516B91">
              <w:rPr>
                <w:rFonts w:ascii="Century Gothic" w:hAnsi="Century Gothic"/>
                <w:b/>
                <w:bCs/>
                <w:sz w:val="20"/>
              </w:rPr>
              <w:t>l recurso de impugnación especial.</w:t>
            </w:r>
          </w:p>
          <w:p w14:paraId="44CC501E" w14:textId="067FF8D9" w:rsidR="00516B91" w:rsidRPr="00516B91" w:rsidRDefault="00516B91" w:rsidP="00516B91">
            <w:pPr>
              <w:jc w:val="both"/>
              <w:rPr>
                <w:rFonts w:ascii="Century Gothic" w:hAnsi="Century Gothic"/>
                <w:b/>
                <w:bCs/>
                <w:sz w:val="20"/>
              </w:rPr>
            </w:pPr>
            <w:r w:rsidRPr="00516B91">
              <w:rPr>
                <w:rFonts w:ascii="Century Gothic" w:hAnsi="Century Gothic"/>
                <w:b/>
                <w:bCs/>
                <w:sz w:val="20"/>
              </w:rPr>
              <w:lastRenderedPageBreak/>
              <w:t>La integración de es</w:t>
            </w:r>
            <w:r>
              <w:rPr>
                <w:rFonts w:ascii="Century Gothic" w:hAnsi="Century Gothic"/>
                <w:b/>
                <w:bCs/>
                <w:sz w:val="20"/>
              </w:rPr>
              <w:t>t</w:t>
            </w:r>
            <w:r w:rsidRPr="00516B91">
              <w:rPr>
                <w:rFonts w:ascii="Century Gothic" w:hAnsi="Century Gothic"/>
                <w:b/>
                <w:bCs/>
                <w:sz w:val="20"/>
              </w:rPr>
              <w:t xml:space="preserve">as </w:t>
            </w:r>
            <w:proofErr w:type="spellStart"/>
            <w:r w:rsidRPr="00516B91">
              <w:rPr>
                <w:rFonts w:ascii="Century Gothic" w:hAnsi="Century Gothic"/>
                <w:b/>
                <w:bCs/>
                <w:sz w:val="20"/>
              </w:rPr>
              <w:t>subsalas</w:t>
            </w:r>
            <w:proofErr w:type="spellEnd"/>
            <w:r w:rsidRPr="00516B91">
              <w:rPr>
                <w:rFonts w:ascii="Century Gothic" w:hAnsi="Century Gothic"/>
                <w:b/>
                <w:bCs/>
                <w:sz w:val="20"/>
              </w:rPr>
              <w:t xml:space="preserve"> será determinada por el Reglamento de la Corporación.</w:t>
            </w:r>
          </w:p>
          <w:p w14:paraId="5A2A65C1" w14:textId="5A4B5720" w:rsidR="00DC7EBB" w:rsidRPr="00516B91" w:rsidRDefault="00516B91" w:rsidP="00516B91">
            <w:pPr>
              <w:jc w:val="both"/>
              <w:rPr>
                <w:rFonts w:ascii="Century Gothic" w:hAnsi="Century Gothic"/>
                <w:b/>
                <w:bCs/>
                <w:sz w:val="20"/>
              </w:rPr>
            </w:pPr>
            <w:r w:rsidRPr="00516B91">
              <w:rPr>
                <w:rFonts w:ascii="Century Gothic" w:hAnsi="Century Gothic"/>
                <w:b/>
                <w:bCs/>
                <w:sz w:val="20"/>
              </w:rPr>
              <w:t>Parágrafo. El mismo procedimiento se seguirá cuando la Sala de Casación Penal emita condena por primera vez en sede del recurso extraordinario de casación.</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E8A6F" w14:textId="0C778BA0" w:rsidR="00DC7EBB" w:rsidRPr="007109D0" w:rsidRDefault="00DC7EBB" w:rsidP="00516B91">
            <w:pPr>
              <w:spacing w:line="240" w:lineRule="auto"/>
              <w:jc w:val="both"/>
              <w:rPr>
                <w:rFonts w:ascii="Century Gothic" w:hAnsi="Century Gothic"/>
                <w:color w:val="000000"/>
                <w:sz w:val="20"/>
              </w:rPr>
            </w:pPr>
            <w:r>
              <w:rPr>
                <w:rFonts w:ascii="Century Gothic" w:hAnsi="Century Gothic"/>
                <w:color w:val="000000"/>
                <w:sz w:val="20"/>
              </w:rPr>
              <w:lastRenderedPageBreak/>
              <w:t xml:space="preserve">Se </w:t>
            </w:r>
            <w:r w:rsidR="00516B91">
              <w:rPr>
                <w:rFonts w:ascii="Century Gothic" w:hAnsi="Century Gothic"/>
                <w:color w:val="000000"/>
                <w:sz w:val="20"/>
              </w:rPr>
              <w:t xml:space="preserve">sustituye este artículo con la metodología ya estructurada por la Corte Suprema de Justicia, a través de la jurisprudencia para el procedimiento de la conformación de </w:t>
            </w:r>
            <w:proofErr w:type="spellStart"/>
            <w:r w:rsidR="00516B91">
              <w:rPr>
                <w:rFonts w:ascii="Century Gothic" w:hAnsi="Century Gothic"/>
                <w:color w:val="000000"/>
                <w:sz w:val="20"/>
              </w:rPr>
              <w:t>subsalas</w:t>
            </w:r>
            <w:proofErr w:type="spellEnd"/>
            <w:r w:rsidR="00516B91">
              <w:rPr>
                <w:rFonts w:ascii="Century Gothic" w:hAnsi="Century Gothic"/>
                <w:color w:val="000000"/>
                <w:sz w:val="20"/>
              </w:rPr>
              <w:t>.</w:t>
            </w:r>
          </w:p>
        </w:tc>
      </w:tr>
      <w:tr w:rsidR="00DC7EBB" w:rsidRPr="009745E1" w14:paraId="28EDFE17"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771DD2" w14:textId="77777777" w:rsidR="00DC7EBB" w:rsidRDefault="004C63F7" w:rsidP="004C63F7">
            <w:pPr>
              <w:jc w:val="both"/>
              <w:rPr>
                <w:rFonts w:ascii="Century Gothic" w:hAnsi="Century Gothic"/>
                <w:bCs/>
                <w:sz w:val="20"/>
              </w:rPr>
            </w:pPr>
            <w:r w:rsidRPr="004C63F7">
              <w:rPr>
                <w:rFonts w:ascii="Century Gothic" w:hAnsi="Century Gothic"/>
                <w:b/>
                <w:bCs/>
                <w:sz w:val="20"/>
              </w:rPr>
              <w:t xml:space="preserve">Artículo 11.  </w:t>
            </w:r>
            <w:r w:rsidRPr="004C63F7">
              <w:rPr>
                <w:rFonts w:ascii="Century Gothic" w:hAnsi="Century Gothic"/>
                <w:bCs/>
                <w:sz w:val="20"/>
              </w:rPr>
              <w:t>Modifíquese el artículo 183 de la Ley 906 de 2004, el cual quedará así:</w:t>
            </w:r>
          </w:p>
          <w:p w14:paraId="0A45C953" w14:textId="1C978C9E" w:rsidR="00186C6E" w:rsidRPr="00186C6E" w:rsidRDefault="00186C6E" w:rsidP="00186C6E">
            <w:pPr>
              <w:jc w:val="both"/>
              <w:rPr>
                <w:rFonts w:ascii="Century Gothic" w:hAnsi="Century Gothic"/>
                <w:bCs/>
                <w:sz w:val="20"/>
              </w:rPr>
            </w:pPr>
            <w:r w:rsidRPr="00186C6E">
              <w:rPr>
                <w:rFonts w:ascii="Century Gothic" w:hAnsi="Century Gothic"/>
                <w:b/>
                <w:bCs/>
                <w:sz w:val="20"/>
              </w:rPr>
              <w:t xml:space="preserve">ARTÍCULO 183. OPORTUNIDAD. </w:t>
            </w:r>
            <w:r w:rsidRPr="00186C6E">
              <w:rPr>
                <w:rFonts w:ascii="Century Gothic" w:hAnsi="Century Gothic"/>
                <w:bCs/>
                <w:sz w:val="20"/>
              </w:rPr>
              <w:t>El recurso se interpondrá ante el Tribunal dentro de los cinco (5) días siguientes a la última notificación y en un término posterior común de treinta (30) días se presentará la demanda que de manera precisa y concisa señale las causales invocadas y sus fundamentos.</w:t>
            </w:r>
          </w:p>
          <w:p w14:paraId="3EEFD466" w14:textId="2AEC41C9" w:rsidR="00186C6E" w:rsidRPr="00186C6E" w:rsidRDefault="00186C6E" w:rsidP="00186C6E">
            <w:pPr>
              <w:jc w:val="both"/>
              <w:rPr>
                <w:rFonts w:ascii="Century Gothic" w:hAnsi="Century Gothic"/>
                <w:bCs/>
                <w:sz w:val="20"/>
              </w:rPr>
            </w:pPr>
            <w:r w:rsidRPr="00186C6E">
              <w:rPr>
                <w:rFonts w:ascii="Century Gothic" w:hAnsi="Century Gothic"/>
                <w:bCs/>
                <w:sz w:val="20"/>
              </w:rPr>
              <w:t>Si no se presenta la demanda dentro del término señalado se declara desierto el recurso, mediante auto que admite el recurso de reposición.</w:t>
            </w:r>
          </w:p>
          <w:p w14:paraId="0F261838" w14:textId="30F800A1" w:rsidR="004C63F7" w:rsidRPr="00DC7EBB" w:rsidRDefault="00186C6E" w:rsidP="00186C6E">
            <w:pPr>
              <w:jc w:val="both"/>
              <w:rPr>
                <w:rFonts w:ascii="Century Gothic" w:hAnsi="Century Gothic"/>
                <w:b/>
                <w:bCs/>
                <w:sz w:val="20"/>
              </w:rPr>
            </w:pPr>
            <w:r w:rsidRPr="00186C6E">
              <w:rPr>
                <w:rFonts w:ascii="Century Gothic" w:hAnsi="Century Gothic"/>
                <w:bCs/>
                <w:sz w:val="20"/>
              </w:rPr>
              <w:t xml:space="preserve">En el evento de que el acusado o su defensor hayan presentado recurso de impugnación especial, el término para interponer el recurso extraordinario de casación para los delitos por los cuales aún no lo hubieran presentado empezará a correr </w:t>
            </w:r>
            <w:r w:rsidRPr="00186C6E">
              <w:rPr>
                <w:rFonts w:ascii="Century Gothic" w:hAnsi="Century Gothic"/>
                <w:bCs/>
                <w:sz w:val="20"/>
              </w:rPr>
              <w:lastRenderedPageBreak/>
              <w:t>desde la audiencia de lectura de fallo.</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DDC77" w14:textId="0D0F37C7" w:rsidR="004C63F7" w:rsidRPr="00186C6E" w:rsidRDefault="004C63F7" w:rsidP="004C63F7">
            <w:pPr>
              <w:jc w:val="both"/>
              <w:rPr>
                <w:rFonts w:ascii="Century Gothic" w:hAnsi="Century Gothic"/>
                <w:bCs/>
                <w:strike/>
                <w:sz w:val="20"/>
              </w:rPr>
            </w:pPr>
            <w:r w:rsidRPr="00186C6E">
              <w:rPr>
                <w:rFonts w:ascii="Century Gothic" w:hAnsi="Century Gothic"/>
                <w:b/>
                <w:bCs/>
                <w:strike/>
                <w:sz w:val="20"/>
              </w:rPr>
              <w:lastRenderedPageBreak/>
              <w:t xml:space="preserve">Artículo 10.  </w:t>
            </w:r>
            <w:r w:rsidRPr="00186C6E">
              <w:rPr>
                <w:rFonts w:ascii="Century Gothic" w:hAnsi="Century Gothic"/>
                <w:bCs/>
                <w:strike/>
                <w:sz w:val="20"/>
              </w:rPr>
              <w:t>Modifíquese el artículo 183 de la Ley 906 de 2004, el cual quedará así:</w:t>
            </w:r>
          </w:p>
          <w:p w14:paraId="7095CB1D" w14:textId="77777777" w:rsidR="00186C6E" w:rsidRPr="00186C6E" w:rsidRDefault="00186C6E" w:rsidP="00186C6E">
            <w:pPr>
              <w:jc w:val="both"/>
              <w:rPr>
                <w:rFonts w:ascii="Century Gothic" w:hAnsi="Century Gothic"/>
                <w:bCs/>
                <w:strike/>
                <w:sz w:val="20"/>
              </w:rPr>
            </w:pPr>
            <w:r w:rsidRPr="00186C6E">
              <w:rPr>
                <w:rFonts w:ascii="Century Gothic" w:hAnsi="Century Gothic"/>
                <w:b/>
                <w:bCs/>
                <w:strike/>
                <w:sz w:val="20"/>
              </w:rPr>
              <w:t xml:space="preserve">ARTÍCULO 183. OPORTUNIDAD. </w:t>
            </w:r>
            <w:r w:rsidRPr="00186C6E">
              <w:rPr>
                <w:rFonts w:ascii="Century Gothic" w:hAnsi="Century Gothic"/>
                <w:bCs/>
                <w:strike/>
                <w:sz w:val="20"/>
              </w:rPr>
              <w:t>El recurso se interpondrá ante el Tribunal dentro de los cinco (5) días siguientes a la última notificación y en un término posterior común de treinta (30) días se presentará la demanda que de manera precisa y concisa señale las causales invocadas y sus fundamentos.</w:t>
            </w:r>
          </w:p>
          <w:p w14:paraId="3D9E0229" w14:textId="77777777" w:rsidR="00186C6E" w:rsidRPr="00186C6E" w:rsidRDefault="00186C6E" w:rsidP="00186C6E">
            <w:pPr>
              <w:jc w:val="both"/>
              <w:rPr>
                <w:rFonts w:ascii="Century Gothic" w:hAnsi="Century Gothic"/>
                <w:bCs/>
                <w:strike/>
                <w:sz w:val="20"/>
              </w:rPr>
            </w:pPr>
            <w:r w:rsidRPr="00186C6E">
              <w:rPr>
                <w:rFonts w:ascii="Century Gothic" w:hAnsi="Century Gothic"/>
                <w:bCs/>
                <w:strike/>
                <w:sz w:val="20"/>
              </w:rPr>
              <w:t>Si no se presenta la demanda dentro del término señalado se declara desierto el recurso, mediante auto que admite el recurso de reposición.</w:t>
            </w:r>
          </w:p>
          <w:p w14:paraId="437BD464" w14:textId="71C5A4A6" w:rsidR="00DC7EBB" w:rsidRPr="00DC7EBB" w:rsidRDefault="00186C6E" w:rsidP="00186C6E">
            <w:pPr>
              <w:jc w:val="both"/>
              <w:rPr>
                <w:rFonts w:ascii="Century Gothic" w:hAnsi="Century Gothic"/>
                <w:b/>
                <w:bCs/>
                <w:strike/>
                <w:sz w:val="20"/>
              </w:rPr>
            </w:pPr>
            <w:r w:rsidRPr="00186C6E">
              <w:rPr>
                <w:rFonts w:ascii="Century Gothic" w:hAnsi="Century Gothic"/>
                <w:bCs/>
                <w:strike/>
                <w:sz w:val="20"/>
              </w:rPr>
              <w:t xml:space="preserve">En el evento de que el acusado o su defensor hayan presentado recurso de impugnación especial, el término para interponer el recurso extraordinario de casación para los delitos por los cuales aún no lo hubieran presentado empezará a correr </w:t>
            </w:r>
            <w:r w:rsidRPr="00186C6E">
              <w:rPr>
                <w:rFonts w:ascii="Century Gothic" w:hAnsi="Century Gothic"/>
                <w:bCs/>
                <w:strike/>
                <w:sz w:val="20"/>
              </w:rPr>
              <w:lastRenderedPageBreak/>
              <w:t>desde la audiencia de lectura de fallo.</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FD514" w14:textId="34A85C23" w:rsidR="00DC7EBB" w:rsidRDefault="00186C6E" w:rsidP="00DC7EBB">
            <w:pPr>
              <w:spacing w:line="240" w:lineRule="auto"/>
              <w:jc w:val="both"/>
              <w:rPr>
                <w:rFonts w:ascii="Century Gothic" w:hAnsi="Century Gothic"/>
                <w:color w:val="000000"/>
                <w:sz w:val="20"/>
              </w:rPr>
            </w:pPr>
            <w:r>
              <w:rPr>
                <w:rFonts w:ascii="Century Gothic" w:hAnsi="Century Gothic"/>
                <w:sz w:val="20"/>
              </w:rPr>
              <w:lastRenderedPageBreak/>
              <w:t xml:space="preserve">Se elimina este artículo, dado que la disposición que reglamentaba ya se encuentra incluida en el artículo 6°. </w:t>
            </w:r>
          </w:p>
        </w:tc>
      </w:tr>
      <w:tr w:rsidR="00DC7EBB" w:rsidRPr="009745E1" w14:paraId="380A8482"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8BEA9" w14:textId="001EFBDF" w:rsidR="00DC7EBB" w:rsidRPr="007109D0" w:rsidRDefault="00DC7EBB" w:rsidP="00DC7EBB">
            <w:pPr>
              <w:jc w:val="both"/>
              <w:rPr>
                <w:rFonts w:ascii="Century Gothic" w:hAnsi="Century Gothic"/>
                <w:sz w:val="20"/>
              </w:rPr>
            </w:pPr>
            <w:r w:rsidRPr="007109D0">
              <w:rPr>
                <w:rFonts w:ascii="Century Gothic" w:hAnsi="Century Gothic"/>
                <w:b/>
                <w:bCs/>
                <w:sz w:val="20"/>
              </w:rPr>
              <w:t xml:space="preserve">Artículo 12. Ejercicio de la impugnación especial para aforados: </w:t>
            </w:r>
            <w:r w:rsidRPr="007109D0">
              <w:rPr>
                <w:rFonts w:ascii="Century Gothic" w:hAnsi="Century Gothic"/>
                <w:bCs/>
                <w:sz w:val="20"/>
              </w:rPr>
              <w:t xml:space="preserve">Los aforados constitucionales de los que tratan los numerales 3, 4 y 5 del artículo 235 de la Constitución Política, así como los aforados legales señalados en el artículo 32 numeral 8 de la Ley 906 de 2004 tendrán derecho a impugnar la primera sentencia condenatoria, para lo cual la Sala de Casación Penal se dividirá en salas de decisión conformadas por tres (03) magistrados con el objetivo de conocer los eventuales recursos de apelación, impugnación especial y casación garantizando el principio de imparcialidad judicial. </w:t>
            </w:r>
          </w:p>
          <w:p w14:paraId="4D3A8553" w14:textId="57FF5FC6" w:rsidR="00DC7EBB" w:rsidRPr="007109D0" w:rsidRDefault="00DC7EBB" w:rsidP="00DC7EBB">
            <w:pPr>
              <w:jc w:val="both"/>
              <w:rPr>
                <w:rFonts w:ascii="Century Gothic" w:hAnsi="Century Gothic"/>
                <w:sz w:val="20"/>
              </w:rPr>
            </w:pPr>
            <w:r>
              <w:rPr>
                <w:rFonts w:ascii="Century Gothic" w:hAnsi="Century Gothic"/>
                <w:sz w:val="20"/>
              </w:rPr>
              <w:t>(…)</w:t>
            </w:r>
          </w:p>
          <w:p w14:paraId="4644D4FB" w14:textId="59AB752D" w:rsidR="00DC7EBB" w:rsidRPr="00B62E0A" w:rsidRDefault="00DC7EBB" w:rsidP="00DC7EBB">
            <w:pPr>
              <w:jc w:val="both"/>
              <w:rPr>
                <w:rFonts w:ascii="Century Gothic" w:hAnsi="Century Gothic"/>
                <w:sz w:val="20"/>
              </w:rPr>
            </w:pPr>
          </w:p>
          <w:p w14:paraId="0D95DF53" w14:textId="7B0A02EC" w:rsidR="00DC7EBB" w:rsidRPr="00B62E0A" w:rsidRDefault="00DC7EBB" w:rsidP="00DC7EBB">
            <w:pPr>
              <w:jc w:val="both"/>
              <w:rPr>
                <w:rFonts w:ascii="Century Gothic" w:hAnsi="Century Gothic"/>
                <w:sz w:val="20"/>
              </w:rPr>
            </w:pP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53696" w14:textId="3DB7A4AC" w:rsidR="00DC7EBB" w:rsidRPr="00B62E0A" w:rsidRDefault="00DC7EBB" w:rsidP="00DC7EBB">
            <w:pPr>
              <w:jc w:val="both"/>
              <w:rPr>
                <w:rFonts w:ascii="Century Gothic" w:hAnsi="Century Gothic"/>
                <w:sz w:val="20"/>
              </w:rPr>
            </w:pPr>
            <w:r w:rsidRPr="00B62E0A">
              <w:rPr>
                <w:rFonts w:ascii="Century Gothic" w:hAnsi="Century Gothic"/>
                <w:b/>
                <w:bCs/>
                <w:sz w:val="20"/>
              </w:rPr>
              <w:t>Artículo 1</w:t>
            </w:r>
            <w:r w:rsidR="004C63F7" w:rsidRPr="004C63F7">
              <w:rPr>
                <w:rFonts w:ascii="Century Gothic" w:hAnsi="Century Gothic"/>
                <w:b/>
                <w:bCs/>
                <w:sz w:val="20"/>
                <w:u w:val="single"/>
              </w:rPr>
              <w:t>1</w:t>
            </w:r>
            <w:r w:rsidR="00822FC9">
              <w:rPr>
                <w:rFonts w:ascii="Century Gothic" w:hAnsi="Century Gothic"/>
                <w:b/>
                <w:bCs/>
                <w:sz w:val="20"/>
              </w:rPr>
              <w:t>.</w:t>
            </w:r>
            <w:r w:rsidRPr="00B62E0A">
              <w:rPr>
                <w:rFonts w:ascii="Century Gothic" w:hAnsi="Century Gothic"/>
                <w:b/>
                <w:bCs/>
                <w:sz w:val="20"/>
              </w:rPr>
              <w:t xml:space="preserve"> Ejercicio de la impugnación especial para aforados: </w:t>
            </w:r>
            <w:r w:rsidRPr="00B62E0A">
              <w:rPr>
                <w:rFonts w:ascii="Century Gothic" w:hAnsi="Century Gothic"/>
                <w:sz w:val="20"/>
              </w:rPr>
              <w:t>los aforados constitucionales de los que tratan los numerales 3,4 y 5 del artículo 235 de la Constitución</w:t>
            </w:r>
            <w:r w:rsidRPr="007109D0">
              <w:rPr>
                <w:rFonts w:ascii="Century Gothic" w:hAnsi="Century Gothic"/>
                <w:b/>
                <w:sz w:val="20"/>
              </w:rPr>
              <w:t xml:space="preserve">, </w:t>
            </w:r>
            <w:r w:rsidRPr="00B62E0A">
              <w:rPr>
                <w:rFonts w:ascii="Century Gothic" w:hAnsi="Century Gothic"/>
                <w:sz w:val="20"/>
              </w:rPr>
              <w:t>así como los aforados legales señalados en el artículo 32 numeral 8 de la Ley 906 de 2004 tendrán derecho a impugnar la primera sentencia condenatoria. </w:t>
            </w:r>
          </w:p>
          <w:p w14:paraId="622C049D" w14:textId="083D0ACC" w:rsidR="00DC7EBB" w:rsidRPr="00B62E0A" w:rsidRDefault="00DC7EBB" w:rsidP="00DC7EBB">
            <w:pPr>
              <w:jc w:val="both"/>
              <w:rPr>
                <w:rFonts w:ascii="Century Gothic" w:hAnsi="Century Gothic"/>
                <w:sz w:val="20"/>
              </w:rPr>
            </w:pPr>
          </w:p>
          <w:p w14:paraId="28D3F96B" w14:textId="67145862" w:rsidR="00DC7EBB" w:rsidRPr="00B62E0A" w:rsidRDefault="00DC7EBB" w:rsidP="00DC7EBB">
            <w:pPr>
              <w:jc w:val="both"/>
              <w:rPr>
                <w:rFonts w:ascii="Century Gothic" w:hAnsi="Century Gothic"/>
                <w:sz w:val="20"/>
              </w:rPr>
            </w:pPr>
          </w:p>
          <w:p w14:paraId="128F91A1" w14:textId="28D281CA" w:rsidR="00DC7EBB" w:rsidRPr="00B62E0A" w:rsidRDefault="00DC7EBB" w:rsidP="00DC7EBB">
            <w:pPr>
              <w:jc w:val="both"/>
              <w:rPr>
                <w:rFonts w:ascii="Century Gothic" w:hAnsi="Century Gothic"/>
                <w:sz w:val="20"/>
              </w:rPr>
            </w:pPr>
          </w:p>
          <w:p w14:paraId="2EC9F3FB" w14:textId="14A1B69C" w:rsidR="00DC7EBB" w:rsidRPr="00B62E0A" w:rsidRDefault="00DC7EBB" w:rsidP="00DC7EBB">
            <w:pPr>
              <w:jc w:val="both"/>
              <w:rPr>
                <w:rFonts w:ascii="Century Gothic" w:hAnsi="Century Gothic"/>
                <w:sz w:val="20"/>
              </w:rPr>
            </w:pPr>
          </w:p>
          <w:p w14:paraId="1AE72AA8" w14:textId="315C3A69" w:rsidR="00DC7EBB" w:rsidRPr="00B62E0A" w:rsidRDefault="00DC7EBB" w:rsidP="00DC7EBB">
            <w:pPr>
              <w:jc w:val="both"/>
              <w:rPr>
                <w:rFonts w:ascii="Century Gothic" w:hAnsi="Century Gothic"/>
                <w:sz w:val="20"/>
              </w:rPr>
            </w:pPr>
          </w:p>
          <w:p w14:paraId="19E6B652" w14:textId="77777777" w:rsidR="00DC7EBB" w:rsidRDefault="00DC7EBB" w:rsidP="00DC7EBB">
            <w:pPr>
              <w:jc w:val="both"/>
              <w:rPr>
                <w:rFonts w:ascii="Century Gothic" w:hAnsi="Century Gothic"/>
                <w:sz w:val="20"/>
              </w:rPr>
            </w:pPr>
            <w:r w:rsidRPr="00C65136">
              <w:rPr>
                <w:rFonts w:ascii="Century Gothic" w:hAnsi="Century Gothic"/>
                <w:sz w:val="20"/>
              </w:rPr>
              <w:t>Para garantizar el principio de imparcialidad judicial, la Sala de Casación Penal de la Corte Suprema de Justicia se organizará en salas de decisión integradas por tres (3) magistrados, encargadas de conocer los e</w:t>
            </w:r>
            <w:r>
              <w:rPr>
                <w:rFonts w:ascii="Century Gothic" w:hAnsi="Century Gothic"/>
                <w:sz w:val="20"/>
              </w:rPr>
              <w:t xml:space="preserve">ventuales recursos de apelación </w:t>
            </w:r>
            <w:r w:rsidRPr="00C65136">
              <w:rPr>
                <w:rFonts w:ascii="Century Gothic" w:hAnsi="Century Gothic"/>
                <w:b/>
                <w:sz w:val="20"/>
              </w:rPr>
              <w:t>e</w:t>
            </w:r>
            <w:r w:rsidRPr="00C65136">
              <w:rPr>
                <w:rFonts w:ascii="Century Gothic" w:hAnsi="Century Gothic"/>
                <w:sz w:val="20"/>
              </w:rPr>
              <w:t xml:space="preserve"> impugnación especial </w:t>
            </w:r>
            <w:r w:rsidRPr="00C65136">
              <w:rPr>
                <w:rFonts w:ascii="Century Gothic" w:hAnsi="Century Gothic"/>
                <w:b/>
                <w:strike/>
                <w:sz w:val="20"/>
              </w:rPr>
              <w:t>y casación</w:t>
            </w:r>
            <w:r w:rsidRPr="00C65136">
              <w:rPr>
                <w:rFonts w:ascii="Century Gothic" w:hAnsi="Century Gothic"/>
                <w:sz w:val="20"/>
              </w:rPr>
              <w:t xml:space="preserve"> que puedan llegar a surtirse. </w:t>
            </w:r>
          </w:p>
          <w:p w14:paraId="523F7EF1" w14:textId="620DBC8B" w:rsidR="00014E5E" w:rsidRPr="00C65136" w:rsidRDefault="00014E5E" w:rsidP="00DC7EBB">
            <w:pPr>
              <w:jc w:val="both"/>
              <w:rPr>
                <w:rFonts w:ascii="Century Gothic" w:hAnsi="Century Gothic"/>
                <w:sz w:val="20"/>
              </w:rPr>
            </w:pPr>
            <w:r>
              <w:rPr>
                <w:rFonts w:ascii="Century Gothic" w:hAnsi="Century Gothic"/>
                <w:sz w:val="20"/>
              </w:rPr>
              <w:t>(…)</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AB135" w14:textId="41E04EB2" w:rsidR="00DC7EBB" w:rsidRDefault="00DC7EBB" w:rsidP="00DC7EBB">
            <w:pPr>
              <w:jc w:val="both"/>
              <w:rPr>
                <w:rFonts w:ascii="Century Gothic" w:hAnsi="Century Gothic"/>
                <w:sz w:val="20"/>
              </w:rPr>
            </w:pPr>
            <w:r w:rsidRPr="00B62E0A">
              <w:rPr>
                <w:rFonts w:ascii="Century Gothic" w:hAnsi="Century Gothic"/>
                <w:sz w:val="20"/>
              </w:rPr>
              <w:t xml:space="preserve">Se </w:t>
            </w:r>
            <w:r w:rsidR="004C63F7">
              <w:rPr>
                <w:rFonts w:ascii="Century Gothic" w:hAnsi="Century Gothic"/>
                <w:sz w:val="20"/>
              </w:rPr>
              <w:t xml:space="preserve">ajusta la numeración y </w:t>
            </w:r>
            <w:r w:rsidRPr="00B62E0A">
              <w:rPr>
                <w:rFonts w:ascii="Century Gothic" w:hAnsi="Century Gothic"/>
                <w:sz w:val="20"/>
              </w:rPr>
              <w:t>modifica para que la norma sea más clara y específica, de acuerdo a la proposición presentada por el H.R. Carlos Felipe Quintero. </w:t>
            </w:r>
          </w:p>
          <w:p w14:paraId="68F5C81A" w14:textId="73219A6A" w:rsidR="00DC7EBB" w:rsidRPr="00B62E0A" w:rsidRDefault="00DC7EBB" w:rsidP="00DC7EBB">
            <w:pPr>
              <w:jc w:val="both"/>
              <w:rPr>
                <w:rFonts w:ascii="Century Gothic" w:hAnsi="Century Gothic"/>
                <w:sz w:val="20"/>
              </w:rPr>
            </w:pPr>
            <w:r>
              <w:rPr>
                <w:rFonts w:ascii="Century Gothic" w:hAnsi="Century Gothic"/>
                <w:sz w:val="20"/>
              </w:rPr>
              <w:t>Se elimina la expresión “recurso de casación”, ya que esta garantía está limitada para aforados constitucionales.</w:t>
            </w:r>
          </w:p>
        </w:tc>
      </w:tr>
      <w:tr w:rsidR="004C63F7" w:rsidRPr="009745E1" w14:paraId="59F01D95"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D9A61" w14:textId="77777777" w:rsidR="004C63F7" w:rsidRPr="004C63F7" w:rsidRDefault="004C63F7" w:rsidP="004C63F7">
            <w:pPr>
              <w:jc w:val="both"/>
              <w:rPr>
                <w:rFonts w:ascii="Century Gothic" w:hAnsi="Century Gothic"/>
                <w:bCs/>
                <w:sz w:val="20"/>
              </w:rPr>
            </w:pPr>
            <w:r w:rsidRPr="004C63F7">
              <w:rPr>
                <w:rFonts w:ascii="Century Gothic" w:hAnsi="Century Gothic"/>
                <w:b/>
                <w:bCs/>
                <w:sz w:val="20"/>
              </w:rPr>
              <w:t xml:space="preserve">Artículo 13. </w:t>
            </w:r>
            <w:r w:rsidRPr="004C63F7">
              <w:rPr>
                <w:rFonts w:ascii="Century Gothic" w:hAnsi="Century Gothic"/>
                <w:bCs/>
                <w:sz w:val="20"/>
              </w:rPr>
              <w:t>Modifíquese el artículo 189 de la Ley 906 de 2004, el cual quedará así:</w:t>
            </w:r>
          </w:p>
          <w:p w14:paraId="139B7534" w14:textId="0236852C" w:rsidR="004C63F7" w:rsidRPr="00B62E0A" w:rsidRDefault="004C63F7" w:rsidP="004C63F7">
            <w:pPr>
              <w:jc w:val="both"/>
              <w:rPr>
                <w:rFonts w:ascii="Century Gothic" w:hAnsi="Century Gothic"/>
                <w:b/>
                <w:bCs/>
                <w:sz w:val="20"/>
              </w:rPr>
            </w:pPr>
            <w:r w:rsidRPr="004C63F7">
              <w:rPr>
                <w:rFonts w:ascii="Century Gothic" w:hAnsi="Century Gothic"/>
                <w:bCs/>
                <w:sz w:val="20"/>
              </w:rPr>
              <w:t>(…)</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0F7DD" w14:textId="52FB61B0" w:rsidR="004C63F7" w:rsidRPr="004C63F7" w:rsidRDefault="004C63F7" w:rsidP="004C63F7">
            <w:pPr>
              <w:jc w:val="both"/>
              <w:rPr>
                <w:rFonts w:ascii="Century Gothic" w:hAnsi="Century Gothic"/>
                <w:bCs/>
                <w:sz w:val="20"/>
              </w:rPr>
            </w:pPr>
            <w:r w:rsidRPr="004C63F7">
              <w:rPr>
                <w:rFonts w:ascii="Century Gothic" w:hAnsi="Century Gothic"/>
                <w:b/>
                <w:bCs/>
                <w:sz w:val="20"/>
              </w:rPr>
              <w:t>Artículo 1</w:t>
            </w:r>
            <w:r w:rsidRPr="004C63F7">
              <w:rPr>
                <w:rFonts w:ascii="Century Gothic" w:hAnsi="Century Gothic"/>
                <w:b/>
                <w:bCs/>
                <w:sz w:val="20"/>
                <w:u w:val="single"/>
              </w:rPr>
              <w:t>2</w:t>
            </w:r>
            <w:r w:rsidRPr="004C63F7">
              <w:rPr>
                <w:rFonts w:ascii="Century Gothic" w:hAnsi="Century Gothic"/>
                <w:b/>
                <w:bCs/>
                <w:sz w:val="20"/>
              </w:rPr>
              <w:t xml:space="preserve">. </w:t>
            </w:r>
            <w:r w:rsidRPr="004C63F7">
              <w:rPr>
                <w:rFonts w:ascii="Century Gothic" w:hAnsi="Century Gothic"/>
                <w:bCs/>
                <w:sz w:val="20"/>
              </w:rPr>
              <w:t>Modifíquese el artículo 189 de la Ley 906 de 2004, el cual quedará así:</w:t>
            </w:r>
          </w:p>
          <w:p w14:paraId="4DEBFB52" w14:textId="3861C303" w:rsidR="004C63F7" w:rsidRPr="00C1327C" w:rsidRDefault="004C63F7" w:rsidP="004C63F7">
            <w:pPr>
              <w:jc w:val="both"/>
              <w:rPr>
                <w:rFonts w:ascii="Century Gothic" w:hAnsi="Century Gothic"/>
                <w:b/>
                <w:bCs/>
                <w:strike/>
                <w:sz w:val="20"/>
              </w:rPr>
            </w:pPr>
            <w:r w:rsidRPr="004C63F7">
              <w:rPr>
                <w:rFonts w:ascii="Century Gothic" w:hAnsi="Century Gothic"/>
                <w:bCs/>
                <w:sz w:val="20"/>
              </w:rPr>
              <w:t>(…)</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551CD" w14:textId="2A6A892A" w:rsidR="004C63F7" w:rsidRPr="00B62E0A" w:rsidRDefault="004C63F7" w:rsidP="00DC7EBB">
            <w:pPr>
              <w:jc w:val="both"/>
              <w:rPr>
                <w:rFonts w:ascii="Century Gothic" w:hAnsi="Century Gothic"/>
                <w:sz w:val="20"/>
              </w:rPr>
            </w:pPr>
            <w:r w:rsidRPr="00B62E0A">
              <w:rPr>
                <w:rFonts w:ascii="Century Gothic" w:hAnsi="Century Gothic"/>
                <w:sz w:val="20"/>
              </w:rPr>
              <w:t>Se ajusta</w:t>
            </w:r>
            <w:r>
              <w:rPr>
                <w:rFonts w:ascii="Century Gothic" w:hAnsi="Century Gothic"/>
                <w:sz w:val="20"/>
              </w:rPr>
              <w:t xml:space="preserve"> la</w:t>
            </w:r>
            <w:r w:rsidRPr="00B62E0A">
              <w:rPr>
                <w:rFonts w:ascii="Century Gothic" w:hAnsi="Century Gothic"/>
                <w:sz w:val="20"/>
              </w:rPr>
              <w:t xml:space="preserve"> numeración</w:t>
            </w:r>
          </w:p>
        </w:tc>
      </w:tr>
      <w:tr w:rsidR="00DC7EBB" w:rsidRPr="009745E1" w14:paraId="353F2EDB"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43DE2" w14:textId="77777777" w:rsidR="00DC7EBB" w:rsidRPr="00B62E0A" w:rsidRDefault="00DC7EBB" w:rsidP="00DC7EBB">
            <w:pPr>
              <w:jc w:val="both"/>
              <w:rPr>
                <w:rFonts w:ascii="Century Gothic" w:hAnsi="Century Gothic"/>
                <w:sz w:val="20"/>
              </w:rPr>
            </w:pPr>
            <w:r w:rsidRPr="00B62E0A">
              <w:rPr>
                <w:rFonts w:ascii="Century Gothic" w:hAnsi="Century Gothic"/>
                <w:b/>
                <w:bCs/>
                <w:sz w:val="20"/>
              </w:rPr>
              <w:lastRenderedPageBreak/>
              <w:t xml:space="preserve">Artículo 14. Transitorio.  </w:t>
            </w:r>
            <w:r w:rsidRPr="00B62E0A">
              <w:rPr>
                <w:rFonts w:ascii="Century Gothic" w:hAnsi="Century Gothic"/>
                <w:sz w:val="20"/>
              </w:rPr>
              <w:t>El Ministerio de Justicia y del Derecho, en conjunto con la Corte Suprema de Justicia, presentará anualmente al Congreso de la República un informe sobre la implementación y efectividad del recurso de impugnación especial, incluyendo estadísticas de uso, tiempos de resolución e impacto en el sistema judicial.</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58C70" w14:textId="77777777" w:rsidR="00DC7EBB" w:rsidRPr="00C1327C" w:rsidRDefault="00DC7EBB" w:rsidP="00DC7EBB">
            <w:pPr>
              <w:jc w:val="both"/>
              <w:rPr>
                <w:rFonts w:ascii="Century Gothic" w:hAnsi="Century Gothic"/>
                <w:strike/>
                <w:sz w:val="20"/>
              </w:rPr>
            </w:pPr>
            <w:r w:rsidRPr="00C1327C">
              <w:rPr>
                <w:rFonts w:ascii="Century Gothic" w:hAnsi="Century Gothic"/>
                <w:b/>
                <w:bCs/>
                <w:strike/>
                <w:sz w:val="20"/>
              </w:rPr>
              <w:t xml:space="preserve">Artículo 14: </w:t>
            </w:r>
            <w:r w:rsidRPr="00C1327C">
              <w:rPr>
                <w:rFonts w:ascii="Century Gothic" w:hAnsi="Century Gothic"/>
                <w:strike/>
                <w:sz w:val="20"/>
              </w:rPr>
              <w:t>El Ministerio de Justicia y del Derecho, en conjunto con la Corte Suprema de Justicia, presentará anualmente al Congreso de la República un informe sobre la implementación y efectividad del recurso de impugnación especial, incluyendo estadísticas de uso, tiempos de resolución e impacto en el sistema judicial.</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95BAF" w14:textId="77777777" w:rsidR="00DC7EBB" w:rsidRPr="00B62E0A" w:rsidRDefault="00DC7EBB" w:rsidP="00DC7EBB">
            <w:pPr>
              <w:jc w:val="both"/>
              <w:rPr>
                <w:rFonts w:ascii="Century Gothic" w:hAnsi="Century Gothic"/>
                <w:sz w:val="20"/>
              </w:rPr>
            </w:pPr>
            <w:r w:rsidRPr="00B62E0A">
              <w:rPr>
                <w:rFonts w:ascii="Century Gothic" w:hAnsi="Century Gothic"/>
                <w:sz w:val="20"/>
              </w:rPr>
              <w:t>Se elimina para evitar imponer cargas excesivas a la Corte Suprema de Justicia. </w:t>
            </w:r>
          </w:p>
        </w:tc>
      </w:tr>
      <w:tr w:rsidR="00DC7EBB" w:rsidRPr="009745E1" w14:paraId="3ACC2BA0" w14:textId="77777777" w:rsidTr="007109D0">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5472C" w14:textId="77777777" w:rsidR="00DC7EBB" w:rsidRPr="00B62E0A" w:rsidRDefault="00DC7EBB" w:rsidP="00DC7EBB">
            <w:pPr>
              <w:jc w:val="both"/>
              <w:rPr>
                <w:rFonts w:ascii="Century Gothic" w:hAnsi="Century Gothic"/>
                <w:sz w:val="20"/>
              </w:rPr>
            </w:pPr>
            <w:r w:rsidRPr="00B62E0A">
              <w:rPr>
                <w:rFonts w:ascii="Century Gothic" w:hAnsi="Century Gothic"/>
                <w:b/>
                <w:bCs/>
                <w:sz w:val="20"/>
              </w:rPr>
              <w:t xml:space="preserve">Artículo 15. Derogatorias y vigencias. </w:t>
            </w:r>
            <w:r w:rsidRPr="00B62E0A">
              <w:rPr>
                <w:rFonts w:ascii="Century Gothic" w:hAnsi="Century Gothic"/>
                <w:sz w:val="20"/>
              </w:rPr>
              <w:t>La presente ley empezará a regir a partir de la fecha de su publicación y deroga todas las disposiciones que le sean contrarias.</w:t>
            </w:r>
          </w:p>
        </w:tc>
        <w:tc>
          <w:tcPr>
            <w:tcW w:w="3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844FF" w14:textId="52E9DB9B" w:rsidR="00DC7EBB" w:rsidRPr="00B62E0A" w:rsidRDefault="00DC7EBB" w:rsidP="004C63F7">
            <w:pPr>
              <w:jc w:val="both"/>
              <w:rPr>
                <w:rFonts w:ascii="Century Gothic" w:hAnsi="Century Gothic"/>
                <w:sz w:val="20"/>
              </w:rPr>
            </w:pPr>
            <w:r w:rsidRPr="00B62E0A">
              <w:rPr>
                <w:rFonts w:ascii="Century Gothic" w:hAnsi="Century Gothic"/>
                <w:b/>
                <w:bCs/>
                <w:sz w:val="20"/>
              </w:rPr>
              <w:t>Artículo 1</w:t>
            </w:r>
            <w:r w:rsidR="004C63F7">
              <w:rPr>
                <w:rFonts w:ascii="Century Gothic" w:hAnsi="Century Gothic"/>
                <w:b/>
                <w:bCs/>
                <w:sz w:val="20"/>
              </w:rPr>
              <w:t>3</w:t>
            </w:r>
            <w:r w:rsidR="00822FC9">
              <w:rPr>
                <w:rFonts w:ascii="Century Gothic" w:hAnsi="Century Gothic"/>
                <w:b/>
                <w:bCs/>
                <w:sz w:val="20"/>
              </w:rPr>
              <w:t>.</w:t>
            </w:r>
            <w:r w:rsidRPr="00B62E0A">
              <w:rPr>
                <w:rFonts w:ascii="Century Gothic" w:hAnsi="Century Gothic"/>
                <w:b/>
                <w:bCs/>
                <w:sz w:val="20"/>
              </w:rPr>
              <w:t xml:space="preserve"> Derogatorias y vigencias.  </w:t>
            </w:r>
            <w:r w:rsidRPr="00B62E0A">
              <w:rPr>
                <w:rFonts w:ascii="Century Gothic" w:hAnsi="Century Gothic"/>
                <w:sz w:val="20"/>
              </w:rPr>
              <w:t>La presente ley empezará a regir a partir de la fecha de su publicación y deroga todas las disposiciones que le sean contrarias.</w:t>
            </w:r>
          </w:p>
        </w:tc>
        <w:tc>
          <w:tcPr>
            <w:tcW w:w="2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B8E3A" w14:textId="2E741C86" w:rsidR="00DC7EBB" w:rsidRPr="00B62E0A" w:rsidRDefault="00DC7EBB" w:rsidP="00DC7EBB">
            <w:pPr>
              <w:jc w:val="both"/>
              <w:rPr>
                <w:rFonts w:ascii="Century Gothic" w:hAnsi="Century Gothic"/>
                <w:sz w:val="20"/>
              </w:rPr>
            </w:pPr>
            <w:r w:rsidRPr="00B62E0A">
              <w:rPr>
                <w:rFonts w:ascii="Century Gothic" w:hAnsi="Century Gothic"/>
                <w:sz w:val="20"/>
              </w:rPr>
              <w:t>Se ajusta</w:t>
            </w:r>
            <w:r>
              <w:rPr>
                <w:rFonts w:ascii="Century Gothic" w:hAnsi="Century Gothic"/>
                <w:sz w:val="20"/>
              </w:rPr>
              <w:t xml:space="preserve"> la</w:t>
            </w:r>
            <w:r w:rsidRPr="00B62E0A">
              <w:rPr>
                <w:rFonts w:ascii="Century Gothic" w:hAnsi="Century Gothic"/>
                <w:sz w:val="20"/>
              </w:rPr>
              <w:t xml:space="preserve"> numeración</w:t>
            </w:r>
          </w:p>
        </w:tc>
      </w:tr>
    </w:tbl>
    <w:p w14:paraId="3A17A34B" w14:textId="77777777" w:rsidR="00787F3E" w:rsidRDefault="00787F3E" w:rsidP="00B62E0A">
      <w:pPr>
        <w:spacing w:after="0"/>
        <w:jc w:val="both"/>
        <w:rPr>
          <w:rFonts w:ascii="Century Gothic" w:hAnsi="Century Gothic"/>
          <w:b/>
          <w:bCs/>
        </w:rPr>
      </w:pPr>
    </w:p>
    <w:p w14:paraId="598BB525" w14:textId="57823AD3" w:rsidR="009745E1" w:rsidRDefault="00B62E0A" w:rsidP="00B62E0A">
      <w:pPr>
        <w:spacing w:after="0"/>
        <w:jc w:val="both"/>
        <w:rPr>
          <w:rFonts w:ascii="Century Gothic" w:hAnsi="Century Gothic"/>
          <w:b/>
          <w:bCs/>
        </w:rPr>
      </w:pPr>
      <w:r>
        <w:rPr>
          <w:rFonts w:ascii="Century Gothic" w:hAnsi="Century Gothic"/>
          <w:b/>
          <w:bCs/>
        </w:rPr>
        <w:t>CONFLICTO DE INTERÉS</w:t>
      </w:r>
    </w:p>
    <w:p w14:paraId="055B8494" w14:textId="77777777" w:rsidR="00B62E0A" w:rsidRPr="009745E1" w:rsidRDefault="00B62E0A" w:rsidP="00B62E0A">
      <w:pPr>
        <w:spacing w:after="0"/>
        <w:jc w:val="both"/>
        <w:rPr>
          <w:rFonts w:ascii="Century Gothic" w:hAnsi="Century Gothic"/>
        </w:rPr>
      </w:pPr>
    </w:p>
    <w:p w14:paraId="6810A2AB"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color w:val="000000"/>
          <w:lang w:eastAsia="es-CO"/>
        </w:rPr>
        <w:t>El artículo 291 de la Ley 5ª de 1992, Reglamento Interno del Congreso, modificado por el artículo 3 de la Ley 2003 de 2019, establece que: “</w:t>
      </w:r>
      <w:r w:rsidRPr="00111DD0">
        <w:rPr>
          <w:rFonts w:ascii="Century Gothic" w:eastAsia="Times New Roman" w:hAnsi="Century Gothic" w:cs="Times New Roman"/>
          <w:i/>
          <w:iCs/>
          <w:color w:val="000000"/>
          <w:lang w:eastAsia="es-CO"/>
        </w:rPr>
        <w:t>el autor del proyecto y el ponente presentarán en el cuerpo de la exposición de motivos un acápite que describa las circunstancias o eventos que podrían generar un conflicto de interés para la discusión y votación del proyecto, de acuerdo con el artículo 286. Estos serán criterios guías para que los otros congresistas tomen una decisión en torno a si se encuentran en una causal de impedimento, no obstante, otras causales que el Congresista pueda encontrar”</w:t>
      </w:r>
      <w:r w:rsidRPr="00111DD0">
        <w:rPr>
          <w:rFonts w:ascii="Century Gothic" w:eastAsia="Times New Roman" w:hAnsi="Century Gothic" w:cs="Times New Roman"/>
          <w:color w:val="000000"/>
          <w:lang w:eastAsia="es-CO"/>
        </w:rPr>
        <w:t>. A su turno, el artículo 286 de la norma en comento, modificado por el artículo 1 de la ley 2003 de 2019, define el conflicto de interés como la “</w:t>
      </w:r>
      <w:r w:rsidRPr="00111DD0">
        <w:rPr>
          <w:rFonts w:ascii="Century Gothic" w:eastAsia="Times New Roman" w:hAnsi="Century Gothic" w:cs="Times New Roman"/>
          <w:i/>
          <w:iCs/>
          <w:color w:val="000000"/>
          <w:lang w:eastAsia="es-CO"/>
        </w:rPr>
        <w:t>situación donde la discusión o votación de un proyecto de ley o acto legislativo o artículo, pueda resultar en un beneficio particular, actual y directo a favor del congresista</w:t>
      </w:r>
      <w:r w:rsidRPr="00111DD0">
        <w:rPr>
          <w:rFonts w:ascii="Century Gothic" w:eastAsia="Times New Roman" w:hAnsi="Century Gothic" w:cs="Times New Roman"/>
          <w:color w:val="000000"/>
          <w:lang w:eastAsia="es-CO"/>
        </w:rPr>
        <w:t>”. </w:t>
      </w:r>
    </w:p>
    <w:p w14:paraId="613D6797" w14:textId="77777777" w:rsidR="00B62E0A" w:rsidRPr="00111DD0" w:rsidRDefault="00B62E0A" w:rsidP="00B62E0A">
      <w:pPr>
        <w:spacing w:after="0" w:line="276" w:lineRule="auto"/>
        <w:rPr>
          <w:rFonts w:ascii="Century Gothic" w:eastAsia="Times New Roman" w:hAnsi="Century Gothic" w:cs="Times New Roman"/>
          <w:lang w:eastAsia="es-CO"/>
        </w:rPr>
      </w:pPr>
    </w:p>
    <w:p w14:paraId="44927660" w14:textId="7C227642" w:rsidR="00B62E0A" w:rsidRDefault="00B62E0A" w:rsidP="00B62E0A">
      <w:pPr>
        <w:spacing w:after="0" w:line="276" w:lineRule="auto"/>
        <w:jc w:val="both"/>
        <w:rPr>
          <w:rFonts w:ascii="Century Gothic" w:eastAsia="Times New Roman" w:hAnsi="Century Gothic" w:cs="Times New Roman"/>
          <w:color w:val="000000"/>
          <w:lang w:eastAsia="es-CO"/>
        </w:rPr>
      </w:pPr>
      <w:r w:rsidRPr="00111DD0">
        <w:rPr>
          <w:rFonts w:ascii="Century Gothic" w:eastAsia="Times New Roman" w:hAnsi="Century Gothic" w:cs="Times New Roman"/>
          <w:color w:val="000000"/>
          <w:lang w:eastAsia="es-CO"/>
        </w:rPr>
        <w:t xml:space="preserve">De conformidad con lo anterior, esta iniciativa legislativa </w:t>
      </w:r>
      <w:r>
        <w:rPr>
          <w:rFonts w:ascii="Century Gothic" w:eastAsia="Times New Roman" w:hAnsi="Century Gothic" w:cs="Times New Roman"/>
          <w:color w:val="000000"/>
          <w:lang w:eastAsia="es-CO"/>
        </w:rPr>
        <w:t xml:space="preserve">que </w:t>
      </w:r>
      <w:r w:rsidRPr="00111DD0">
        <w:rPr>
          <w:rFonts w:ascii="Century Gothic" w:eastAsia="Times New Roman" w:hAnsi="Century Gothic" w:cs="Times New Roman"/>
          <w:color w:val="000000"/>
          <w:lang w:eastAsia="es-CO"/>
        </w:rPr>
        <w:t xml:space="preserve">busca la </w:t>
      </w:r>
      <w:r>
        <w:rPr>
          <w:rFonts w:ascii="Century Gothic" w:eastAsia="Times New Roman" w:hAnsi="Century Gothic" w:cs="Times New Roman"/>
          <w:color w:val="000000"/>
          <w:lang w:eastAsia="es-CO"/>
        </w:rPr>
        <w:t xml:space="preserve">reglamentación del recurso de impugnación especial en el Código de Procedimiento Penal, por lo que </w:t>
      </w:r>
      <w:r w:rsidRPr="00111DD0">
        <w:rPr>
          <w:rFonts w:ascii="Century Gothic" w:eastAsia="Times New Roman" w:hAnsi="Century Gothic" w:cs="Times New Roman"/>
          <w:color w:val="000000"/>
          <w:lang w:eastAsia="es-CO"/>
        </w:rPr>
        <w:t xml:space="preserve">no se evidencia que los congresistas puedan </w:t>
      </w:r>
      <w:r w:rsidRPr="00111DD0">
        <w:rPr>
          <w:rFonts w:ascii="Century Gothic" w:eastAsia="Times New Roman" w:hAnsi="Century Gothic" w:cs="Times New Roman"/>
          <w:color w:val="000000"/>
          <w:lang w:eastAsia="es-CO"/>
        </w:rPr>
        <w:lastRenderedPageBreak/>
        <w:t>incurrir en posibles conflictos de interés, tampoco, puede predicarse un beneficio particular, actual y directo que les impida participar de la discusión y votación de este proyecto.</w:t>
      </w:r>
    </w:p>
    <w:p w14:paraId="511FB451" w14:textId="48556875" w:rsidR="00C65136" w:rsidRDefault="00C65136" w:rsidP="00B62E0A">
      <w:pPr>
        <w:spacing w:after="0" w:line="276" w:lineRule="auto"/>
        <w:jc w:val="both"/>
        <w:rPr>
          <w:rFonts w:ascii="Century Gothic" w:eastAsia="Times New Roman" w:hAnsi="Century Gothic" w:cs="Times New Roman"/>
          <w:color w:val="000000"/>
          <w:lang w:eastAsia="es-CO"/>
        </w:rPr>
      </w:pPr>
    </w:p>
    <w:p w14:paraId="0F9532F7" w14:textId="3A7CC459" w:rsidR="00C65136" w:rsidRDefault="00C65136" w:rsidP="00B62E0A">
      <w:pPr>
        <w:spacing w:after="0" w:line="276" w:lineRule="auto"/>
        <w:jc w:val="both"/>
        <w:rPr>
          <w:rFonts w:ascii="Century Gothic" w:eastAsia="Times New Roman" w:hAnsi="Century Gothic" w:cs="Times New Roman"/>
          <w:color w:val="000000"/>
          <w:lang w:eastAsia="es-CO"/>
        </w:rPr>
      </w:pPr>
      <w:r w:rsidRPr="00C65136">
        <w:rPr>
          <w:rFonts w:ascii="Century Gothic" w:eastAsia="Times New Roman" w:hAnsi="Century Gothic" w:cs="Times New Roman"/>
          <w:color w:val="000000"/>
          <w:lang w:eastAsia="es-CO"/>
        </w:rPr>
        <w:t>Lo anterior, sin perjuicio del deber de los congresistas de examinar, en cada caso en concreto, la existencia de posibles hechos generadores de conflictos de interés, en cuyo evento deberán declararlos de conformidad con lo dispuesto en el inciso 1 del artículo 286 ibídem: “Todos los congresistas deberán declarar los conflictos de intereses que pudieran surgir en ejercicio de sus funciones”.</w:t>
      </w:r>
    </w:p>
    <w:p w14:paraId="40FCBFFC" w14:textId="77777777" w:rsidR="00C65136" w:rsidRDefault="00C65136" w:rsidP="00B62E0A">
      <w:pPr>
        <w:spacing w:after="0" w:line="276" w:lineRule="auto"/>
        <w:jc w:val="both"/>
        <w:rPr>
          <w:rFonts w:ascii="Century Gothic" w:eastAsia="Times New Roman" w:hAnsi="Century Gothic" w:cs="Times New Roman"/>
          <w:color w:val="000000"/>
          <w:lang w:eastAsia="es-CO"/>
        </w:rPr>
      </w:pPr>
    </w:p>
    <w:p w14:paraId="40E96531" w14:textId="77777777" w:rsidR="00B62E0A" w:rsidRDefault="00B62E0A" w:rsidP="00B62E0A">
      <w:pPr>
        <w:spacing w:after="0"/>
        <w:jc w:val="both"/>
        <w:rPr>
          <w:rFonts w:ascii="Century Gothic" w:hAnsi="Century Gothic"/>
        </w:rPr>
      </w:pPr>
      <w:r>
        <w:rPr>
          <w:rFonts w:ascii="Century Gothic" w:hAnsi="Century Gothic"/>
          <w:b/>
          <w:bCs/>
        </w:rPr>
        <w:t>IMPACTO FISCAL</w:t>
      </w:r>
    </w:p>
    <w:p w14:paraId="141C4D89" w14:textId="77777777" w:rsidR="00B62E0A" w:rsidRDefault="00B62E0A" w:rsidP="00B62E0A">
      <w:pPr>
        <w:spacing w:after="0"/>
        <w:jc w:val="both"/>
        <w:rPr>
          <w:rFonts w:ascii="Century Gothic" w:hAnsi="Century Gothic"/>
        </w:rPr>
      </w:pPr>
    </w:p>
    <w:p w14:paraId="7DD686C7" w14:textId="1CD73EAA" w:rsidR="00B62E0A" w:rsidRPr="00B62E0A" w:rsidRDefault="00B62E0A" w:rsidP="00B62E0A">
      <w:pPr>
        <w:spacing w:after="0"/>
        <w:jc w:val="both"/>
        <w:rPr>
          <w:rFonts w:ascii="Century Gothic" w:hAnsi="Century Gothic"/>
        </w:rPr>
      </w:pPr>
      <w:r>
        <w:rPr>
          <w:rFonts w:ascii="Century Gothic" w:eastAsia="Times New Roman" w:hAnsi="Century Gothic" w:cs="Times New Roman"/>
          <w:color w:val="000000"/>
          <w:lang w:eastAsia="es-CO"/>
        </w:rPr>
        <w:t>De acuerdo con lo establecid</w:t>
      </w:r>
      <w:r w:rsidRPr="00111DD0">
        <w:rPr>
          <w:rFonts w:ascii="Century Gothic" w:eastAsia="Times New Roman" w:hAnsi="Century Gothic" w:cs="Times New Roman"/>
          <w:color w:val="000000"/>
          <w:lang w:eastAsia="es-CO"/>
        </w:rPr>
        <w:t>o en el artículo 7</w:t>
      </w:r>
      <w:r>
        <w:rPr>
          <w:rFonts w:ascii="Century Gothic" w:eastAsia="Times New Roman" w:hAnsi="Century Gothic" w:cs="Times New Roman"/>
          <w:color w:val="000000"/>
          <w:lang w:eastAsia="es-CO"/>
        </w:rPr>
        <w:t>°</w:t>
      </w:r>
      <w:r w:rsidRPr="00111DD0">
        <w:rPr>
          <w:rFonts w:ascii="Century Gothic" w:eastAsia="Times New Roman" w:hAnsi="Century Gothic" w:cs="Times New Roman"/>
          <w:color w:val="000000"/>
          <w:lang w:eastAsia="es-CO"/>
        </w:rPr>
        <w:t xml:space="preserve"> de la Ley 819 de 2003 </w:t>
      </w:r>
      <w:r w:rsidRPr="00111DD0">
        <w:rPr>
          <w:rFonts w:ascii="Century Gothic" w:eastAsia="Times New Roman" w:hAnsi="Century Gothic" w:cs="Times New Roman"/>
          <w:i/>
          <w:iCs/>
          <w:color w:val="000000"/>
          <w:lang w:eastAsia="es-CO"/>
        </w:rPr>
        <w:t>“Por la cual se dictan normas orgánicas en materia de presupuesto, responsabilidad y transparencia fiscal y se dictan otras disposiciones”</w:t>
      </w:r>
      <w:r w:rsidRPr="00111DD0">
        <w:rPr>
          <w:rFonts w:ascii="Century Gothic" w:eastAsia="Times New Roman" w:hAnsi="Century Gothic" w:cs="Times New Roman"/>
          <w:color w:val="000000"/>
          <w:lang w:eastAsia="es-CO"/>
        </w:rPr>
        <w:t>, si una iniciativa legislativa ordena gastos u otorga beneficios tributarios deberá señalarlo de manera explícita en su exposición de motivos y deberá ser compatible con el Marco Fiscal de Mediano Plazo:</w:t>
      </w:r>
    </w:p>
    <w:p w14:paraId="29FD7495" w14:textId="77777777" w:rsidR="00B62E0A" w:rsidRPr="00111DD0" w:rsidRDefault="00B62E0A" w:rsidP="00B62E0A">
      <w:pPr>
        <w:spacing w:after="0" w:line="276" w:lineRule="auto"/>
        <w:rPr>
          <w:rFonts w:ascii="Century Gothic" w:eastAsia="Times New Roman" w:hAnsi="Century Gothic" w:cs="Times New Roman"/>
          <w:lang w:eastAsia="es-CO"/>
        </w:rPr>
      </w:pPr>
    </w:p>
    <w:p w14:paraId="7B6E4E5E"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i/>
          <w:iCs/>
          <w:color w:val="000000"/>
          <w:lang w:eastAsia="es-CO"/>
        </w:rPr>
        <w:t>“ARTÍCULO 7o. ANÁLISIS DEL IMPACTO FISCAL DE LAS NORMAS. En todo momento, el impacto fiscal de cualquier proyecto de ley, ordenanza o acuerdo, que ordene gasto o que otorgue beneficios tributarios, deberá hacerse explícito y deberá ser compatible con el Marco Fiscal de Mediano Plazo.</w:t>
      </w:r>
    </w:p>
    <w:p w14:paraId="51C16EF9" w14:textId="77777777" w:rsidR="00B62E0A" w:rsidRPr="00111DD0" w:rsidRDefault="00B62E0A" w:rsidP="00B62E0A">
      <w:pPr>
        <w:spacing w:after="0" w:line="276" w:lineRule="auto"/>
        <w:rPr>
          <w:rFonts w:ascii="Century Gothic" w:eastAsia="Times New Roman" w:hAnsi="Century Gothic" w:cs="Times New Roman"/>
          <w:lang w:eastAsia="es-CO"/>
        </w:rPr>
      </w:pPr>
    </w:p>
    <w:p w14:paraId="04CB25FF"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i/>
          <w:iCs/>
          <w:color w:val="000000"/>
          <w:lang w:eastAsia="es-CO"/>
        </w:rPr>
        <w:t>Para estos propósitos, deberá incluirse expresamente en la exposición de motivos y en las ponencias de trámite respectivas los costos fiscales de la iniciativa y la fuente de ingreso adicional generada para el financiamiento de dicho costo.</w:t>
      </w:r>
    </w:p>
    <w:p w14:paraId="007D4B75" w14:textId="77777777" w:rsidR="00B62E0A" w:rsidRPr="00111DD0" w:rsidRDefault="00B62E0A" w:rsidP="00B62E0A">
      <w:pPr>
        <w:spacing w:after="0" w:line="276" w:lineRule="auto"/>
        <w:rPr>
          <w:rFonts w:ascii="Century Gothic" w:eastAsia="Times New Roman" w:hAnsi="Century Gothic" w:cs="Times New Roman"/>
          <w:lang w:eastAsia="es-CO"/>
        </w:rPr>
      </w:pPr>
    </w:p>
    <w:p w14:paraId="61C4743C"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i/>
          <w:iCs/>
          <w:color w:val="000000"/>
          <w:lang w:eastAsia="es-CO"/>
        </w:rPr>
        <w:t>El Ministerio de Hacienda y Crédito Público, en cualquier tiempo durante el respectivo trámite en el Congreso de la República, deberá rendir su concepto frente a la consistencia de lo dispuesto en el inciso anterior. En ningún caso este concepto podrá ir en contravía del Marco Fiscal de Mediano Plazo. Este informe será publicado en la Gaceta del Congreso.</w:t>
      </w:r>
    </w:p>
    <w:p w14:paraId="48AC0C7F" w14:textId="77777777" w:rsidR="00B62E0A" w:rsidRPr="00111DD0" w:rsidRDefault="00B62E0A" w:rsidP="00B62E0A">
      <w:pPr>
        <w:spacing w:after="0" w:line="276" w:lineRule="auto"/>
        <w:rPr>
          <w:rFonts w:ascii="Century Gothic" w:eastAsia="Times New Roman" w:hAnsi="Century Gothic" w:cs="Times New Roman"/>
          <w:lang w:eastAsia="es-CO"/>
        </w:rPr>
      </w:pPr>
    </w:p>
    <w:p w14:paraId="0B683C42"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i/>
          <w:iCs/>
          <w:color w:val="000000"/>
          <w:lang w:eastAsia="es-CO"/>
        </w:rPr>
        <w:t>Los proyectos de ley de iniciativa gubernamental, que planteen un gasto adicional o una reducción de ingresos, deberá contener la correspondiente fuente sustitutiva por disminución de gasto o aumentos de ingresos, lo cual deberá ser analizado y aprobado por el Ministerio de Hacienda y Crédito Público.</w:t>
      </w:r>
    </w:p>
    <w:p w14:paraId="77A144AD"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i/>
          <w:iCs/>
          <w:color w:val="000000"/>
          <w:lang w:eastAsia="es-CO"/>
        </w:rPr>
        <w:lastRenderedPageBreak/>
        <w:t>En las entidades territoriales, el trámite previsto en el inciso anterior será surtido ante la respectiva Secretaría de Hacienda o quien haga sus veces”.</w:t>
      </w:r>
    </w:p>
    <w:p w14:paraId="00D48CD3" w14:textId="77777777" w:rsidR="00B62E0A" w:rsidRPr="00111DD0" w:rsidRDefault="00B62E0A" w:rsidP="00B62E0A">
      <w:pPr>
        <w:spacing w:after="0" w:line="276" w:lineRule="auto"/>
        <w:rPr>
          <w:rFonts w:ascii="Century Gothic" w:eastAsia="Times New Roman" w:hAnsi="Century Gothic" w:cs="Times New Roman"/>
          <w:lang w:eastAsia="es-CO"/>
        </w:rPr>
      </w:pPr>
    </w:p>
    <w:p w14:paraId="45A76789" w14:textId="3CC0630A"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color w:val="000000"/>
          <w:lang w:eastAsia="es-CO"/>
        </w:rPr>
        <w:t>La Corte Constitucional sobre la materia ha dicho:</w:t>
      </w:r>
      <w:r w:rsidR="00787F3E">
        <w:rPr>
          <w:rFonts w:ascii="Century Gothic" w:eastAsia="Times New Roman" w:hAnsi="Century Gothic" w:cs="Times New Roman"/>
          <w:color w:val="000000"/>
          <w:lang w:eastAsia="es-CO"/>
        </w:rPr>
        <w:t xml:space="preserve"> </w:t>
      </w:r>
      <w:r w:rsidRPr="00111DD0">
        <w:rPr>
          <w:rFonts w:ascii="Century Gothic" w:eastAsia="Times New Roman" w:hAnsi="Century Gothic" w:cs="Times New Roman"/>
          <w:color w:val="000000"/>
          <w:lang w:eastAsia="es-CO"/>
        </w:rPr>
        <w:t>“</w:t>
      </w:r>
      <w:r w:rsidRPr="00111DD0">
        <w:rPr>
          <w:rFonts w:ascii="Century Gothic" w:eastAsia="Times New Roman" w:hAnsi="Century Gothic" w:cs="Times New Roman"/>
          <w:i/>
          <w:iCs/>
          <w:color w:val="000000"/>
          <w:lang w:eastAsia="es-CO"/>
        </w:rPr>
        <w:t>El Congreso tiene la facultad de promover motu proprio proyectos de ley que decreten gastos, sin que ello implique adicionar o modificar el presupuesto, por cuanto esas leyes solamente constituyen el título para que luego el Gobierno decida si incluye o no las apropiaciones respectivas en el proyecto de ley anual de presupuesto que se somete a consideración del Congreso. Lo que no puede es consagrar un mandato para la inclusión de un gasto, es decir, establecer una orden de imperativo cumplimiento. Por su parte, está vedado al Gobierno hacer gastos que no hayan sido decretados por el Congreso e incluidos previamente en una ley. En otras palabras, el Congreso tiene la facultad de decretar gastos públicos, pero su incorporación en el presupuesto queda sujeta a una suerte de voluntad del Gobierno, en la medida en que tiene la facultad de proponer o no su inclusión en la ley</w:t>
      </w:r>
      <w:r w:rsidRPr="00111DD0">
        <w:rPr>
          <w:rFonts w:ascii="Century Gothic" w:eastAsia="Times New Roman" w:hAnsi="Century Gothic" w:cs="Times New Roman"/>
          <w:color w:val="000000"/>
          <w:lang w:eastAsia="es-CO"/>
        </w:rPr>
        <w:t>”.</w:t>
      </w:r>
    </w:p>
    <w:p w14:paraId="423BDBF8" w14:textId="77777777" w:rsidR="00B62E0A" w:rsidRPr="00111DD0" w:rsidRDefault="00B62E0A" w:rsidP="00B62E0A">
      <w:pPr>
        <w:spacing w:after="0" w:line="276" w:lineRule="auto"/>
        <w:rPr>
          <w:rFonts w:ascii="Century Gothic" w:eastAsia="Times New Roman" w:hAnsi="Century Gothic" w:cs="Times New Roman"/>
          <w:lang w:eastAsia="es-CO"/>
        </w:rPr>
      </w:pPr>
    </w:p>
    <w:p w14:paraId="0D7293D6" w14:textId="77777777" w:rsidR="00B62E0A" w:rsidRPr="00111DD0" w:rsidRDefault="00B62E0A" w:rsidP="00B62E0A">
      <w:pPr>
        <w:spacing w:after="0" w:line="276" w:lineRule="auto"/>
        <w:jc w:val="both"/>
        <w:rPr>
          <w:rFonts w:ascii="Century Gothic" w:eastAsia="Times New Roman" w:hAnsi="Century Gothic" w:cs="Times New Roman"/>
          <w:lang w:eastAsia="es-CO"/>
        </w:rPr>
      </w:pPr>
      <w:r w:rsidRPr="00111DD0">
        <w:rPr>
          <w:rFonts w:ascii="Century Gothic" w:eastAsia="Times New Roman" w:hAnsi="Century Gothic" w:cs="Times New Roman"/>
          <w:color w:val="000000"/>
          <w:lang w:eastAsia="es-CO"/>
        </w:rPr>
        <w:t>Siguiendo lo establecido por la ley y la jurisprudencia constitucional, esta iniciativa legislativa no reviste costos fiscales adicionales que comprometan el presupuesto nacional y, en consecuencia, preserva la potestad del ejecutivo para fijar el gasto público.</w:t>
      </w:r>
    </w:p>
    <w:p w14:paraId="3BCB6102" w14:textId="77777777" w:rsidR="003F0359" w:rsidRDefault="003F0359" w:rsidP="003F0359">
      <w:pPr>
        <w:spacing w:after="0"/>
        <w:jc w:val="both"/>
        <w:rPr>
          <w:rFonts w:ascii="Century Gothic" w:hAnsi="Century Gothic"/>
          <w:b/>
          <w:bCs/>
        </w:rPr>
      </w:pPr>
    </w:p>
    <w:p w14:paraId="45EB62A1" w14:textId="65E320E7" w:rsidR="003F0359" w:rsidRDefault="009745E1" w:rsidP="003F0359">
      <w:pPr>
        <w:spacing w:after="0"/>
        <w:jc w:val="both"/>
        <w:rPr>
          <w:rFonts w:ascii="Century Gothic" w:hAnsi="Century Gothic"/>
          <w:b/>
          <w:bCs/>
        </w:rPr>
      </w:pPr>
      <w:r w:rsidRPr="009745E1">
        <w:rPr>
          <w:rFonts w:ascii="Century Gothic" w:hAnsi="Century Gothic"/>
          <w:b/>
          <w:bCs/>
        </w:rPr>
        <w:t>PROPOSICIÓN</w:t>
      </w:r>
    </w:p>
    <w:p w14:paraId="42383062" w14:textId="77777777" w:rsidR="003F0359" w:rsidRDefault="003F0359" w:rsidP="003F0359">
      <w:pPr>
        <w:spacing w:after="0"/>
        <w:jc w:val="both"/>
        <w:rPr>
          <w:rFonts w:ascii="Century Gothic" w:hAnsi="Century Gothic"/>
          <w:b/>
          <w:bCs/>
        </w:rPr>
      </w:pPr>
    </w:p>
    <w:p w14:paraId="1D50EF9F" w14:textId="7233A46F" w:rsidR="009745E1" w:rsidRPr="009745E1" w:rsidRDefault="009745E1" w:rsidP="003F0359">
      <w:pPr>
        <w:spacing w:after="0"/>
        <w:jc w:val="both"/>
        <w:rPr>
          <w:rFonts w:ascii="Century Gothic" w:hAnsi="Century Gothic"/>
        </w:rPr>
      </w:pPr>
      <w:r w:rsidRPr="009745E1">
        <w:rPr>
          <w:rFonts w:ascii="Century Gothic" w:hAnsi="Century Gothic"/>
        </w:rPr>
        <w:t>Por los argumentos expuestos anteriormente, presento ponencia positiva y solicito a los miembros de la Plenaria de la Cámara de Representantes dar segundo debate y aprobar el Proyecto de Ley No. 084 de 2025 Cámara “</w:t>
      </w:r>
      <w:r w:rsidRPr="009745E1">
        <w:rPr>
          <w:rFonts w:ascii="Century Gothic" w:hAnsi="Century Gothic"/>
          <w:i/>
          <w:iCs/>
        </w:rPr>
        <w:t>Por medio de la cual se modifica la Ley 906 de 2004, se reglamenta la garantía procesal de doble conformidad judicial, se regula el recurso de impugnación especial y se dictan otras disposiciones</w:t>
      </w:r>
      <w:r w:rsidRPr="009745E1">
        <w:rPr>
          <w:rFonts w:ascii="Century Gothic" w:hAnsi="Century Gothic"/>
        </w:rPr>
        <w:t>”, conforme al texto propuesto.</w:t>
      </w:r>
    </w:p>
    <w:p w14:paraId="29E4B6A4" w14:textId="77777777" w:rsidR="00787F3E" w:rsidRDefault="00787F3E" w:rsidP="00787F3E">
      <w:pPr>
        <w:spacing w:after="0"/>
        <w:jc w:val="both"/>
        <w:rPr>
          <w:rFonts w:ascii="Century Gothic" w:hAnsi="Century Gothic"/>
        </w:rPr>
      </w:pPr>
    </w:p>
    <w:p w14:paraId="7BD08BE5" w14:textId="5BE2E129" w:rsidR="009745E1" w:rsidRPr="009745E1" w:rsidRDefault="009745E1" w:rsidP="00787F3E">
      <w:pPr>
        <w:spacing w:after="0"/>
        <w:jc w:val="both"/>
        <w:rPr>
          <w:rFonts w:ascii="Century Gothic" w:hAnsi="Century Gothic"/>
        </w:rPr>
      </w:pPr>
      <w:r w:rsidRPr="009745E1">
        <w:rPr>
          <w:rFonts w:ascii="Century Gothic" w:hAnsi="Century Gothic"/>
        </w:rPr>
        <w:t>Atentamente, </w:t>
      </w:r>
    </w:p>
    <w:p w14:paraId="54FA6B68" w14:textId="77777777" w:rsidR="00787F3E" w:rsidRDefault="00787F3E" w:rsidP="00787F3E">
      <w:pPr>
        <w:spacing w:after="0"/>
        <w:jc w:val="both"/>
        <w:rPr>
          <w:rFonts w:ascii="Century Gothic" w:hAnsi="Century Gothic"/>
        </w:rPr>
      </w:pPr>
    </w:p>
    <w:p w14:paraId="2B1FF314" w14:textId="77777777" w:rsidR="00787F3E" w:rsidRDefault="00787F3E" w:rsidP="00787F3E">
      <w:pPr>
        <w:spacing w:after="0"/>
        <w:jc w:val="both"/>
        <w:rPr>
          <w:rFonts w:ascii="Century Gothic" w:hAnsi="Century Gothic"/>
        </w:rPr>
      </w:pPr>
    </w:p>
    <w:p w14:paraId="76FB88B3" w14:textId="61E65FB6" w:rsidR="00787F3E" w:rsidRDefault="009745E1" w:rsidP="00787F3E">
      <w:pPr>
        <w:spacing w:after="0"/>
        <w:jc w:val="both"/>
        <w:rPr>
          <w:rFonts w:ascii="Century Gothic" w:hAnsi="Century Gothic"/>
          <w:b/>
          <w:bCs/>
        </w:rPr>
      </w:pPr>
      <w:r w:rsidRPr="009745E1">
        <w:rPr>
          <w:rFonts w:ascii="Century Gothic" w:hAnsi="Century Gothic"/>
        </w:rPr>
        <w:br/>
      </w:r>
      <w:r w:rsidR="003F0359">
        <w:rPr>
          <w:rFonts w:ascii="Century Gothic" w:hAnsi="Century Gothic"/>
          <w:b/>
          <w:bCs/>
        </w:rPr>
        <w:t>Jorge Augusto Palacio Garzón</w:t>
      </w:r>
    </w:p>
    <w:p w14:paraId="1C8BE93F" w14:textId="2E5B132E" w:rsidR="003F0359" w:rsidRDefault="003F0359" w:rsidP="00787F3E">
      <w:pPr>
        <w:spacing w:after="0"/>
        <w:jc w:val="both"/>
        <w:rPr>
          <w:rFonts w:ascii="Century Gothic" w:hAnsi="Century Gothic"/>
          <w:b/>
          <w:bCs/>
        </w:rPr>
      </w:pPr>
      <w:r w:rsidRPr="00CF15A7">
        <w:rPr>
          <w:rFonts w:ascii="Century Gothic" w:hAnsi="Century Gothic"/>
          <w:b/>
          <w:bCs/>
        </w:rPr>
        <w:t>Representante a la Cámara</w:t>
      </w:r>
    </w:p>
    <w:p w14:paraId="3E7FDDE5" w14:textId="77777777" w:rsidR="003F0359" w:rsidRPr="00CF15A7" w:rsidRDefault="003F0359" w:rsidP="00787F3E">
      <w:pPr>
        <w:spacing w:after="0" w:line="276" w:lineRule="auto"/>
        <w:rPr>
          <w:rFonts w:ascii="Century Gothic" w:hAnsi="Century Gothic"/>
        </w:rPr>
      </w:pPr>
      <w:r>
        <w:rPr>
          <w:rFonts w:ascii="Century Gothic" w:hAnsi="Century Gothic"/>
          <w:b/>
          <w:bCs/>
        </w:rPr>
        <w:t>Ponente Único</w:t>
      </w:r>
    </w:p>
    <w:p w14:paraId="61FB80D2" w14:textId="0477CE24" w:rsidR="003F0359" w:rsidRDefault="009745E1" w:rsidP="00C65136">
      <w:pPr>
        <w:spacing w:after="0"/>
        <w:jc w:val="center"/>
        <w:rPr>
          <w:rFonts w:ascii="Century Gothic" w:hAnsi="Century Gothic"/>
          <w:b/>
          <w:bCs/>
        </w:rPr>
      </w:pPr>
      <w:r w:rsidRPr="009745E1">
        <w:rPr>
          <w:rFonts w:ascii="Century Gothic" w:hAnsi="Century Gothic"/>
          <w:b/>
          <w:bCs/>
        </w:rPr>
        <w:lastRenderedPageBreak/>
        <w:t>TEXTO PROPUESTO PARA SEGUNDO DEBATE</w:t>
      </w:r>
    </w:p>
    <w:p w14:paraId="6994262B" w14:textId="5F96E21A" w:rsidR="009745E1" w:rsidRDefault="009745E1" w:rsidP="00C65136">
      <w:pPr>
        <w:spacing w:after="0"/>
        <w:jc w:val="center"/>
        <w:rPr>
          <w:rFonts w:ascii="Century Gothic" w:hAnsi="Century Gothic"/>
          <w:b/>
          <w:bCs/>
        </w:rPr>
      </w:pPr>
      <w:r w:rsidRPr="009745E1">
        <w:rPr>
          <w:rFonts w:ascii="Century Gothic" w:hAnsi="Century Gothic"/>
          <w:b/>
          <w:bCs/>
        </w:rPr>
        <w:t>PROYECTO DE LEY No. 084 DE 2025 CÁMARA</w:t>
      </w:r>
    </w:p>
    <w:p w14:paraId="3A6CDCCE" w14:textId="77777777" w:rsidR="003F0359" w:rsidRPr="009745E1" w:rsidRDefault="003F0359" w:rsidP="003F0359">
      <w:pPr>
        <w:spacing w:after="0"/>
        <w:jc w:val="center"/>
        <w:rPr>
          <w:rFonts w:ascii="Century Gothic" w:hAnsi="Century Gothic"/>
        </w:rPr>
      </w:pPr>
    </w:p>
    <w:p w14:paraId="73892406" w14:textId="77777777" w:rsidR="009745E1" w:rsidRPr="009745E1" w:rsidRDefault="009745E1" w:rsidP="003E4491">
      <w:pPr>
        <w:jc w:val="center"/>
        <w:rPr>
          <w:rFonts w:ascii="Century Gothic" w:hAnsi="Century Gothic"/>
        </w:rPr>
      </w:pPr>
      <w:r w:rsidRPr="009745E1">
        <w:rPr>
          <w:rFonts w:ascii="Century Gothic" w:hAnsi="Century Gothic"/>
          <w:b/>
          <w:bCs/>
        </w:rPr>
        <w:t>POR MEDIO DE LA CUAL SE MODIFICA LA LEY 906 DE 2004, SE REGLAMENTA LA GARANTÍA PROCESAL DE DOBLE CONFORMIDAD JUDICIAL, SE REGULA EL RECURSO DE IMPUGNACIÓN ESPECIAL Y SE DICTAN OTRAS DISPOSICIONES</w:t>
      </w:r>
    </w:p>
    <w:p w14:paraId="6F37E34D" w14:textId="77777777" w:rsidR="009745E1" w:rsidRPr="009745E1" w:rsidRDefault="009745E1" w:rsidP="003E4491">
      <w:pPr>
        <w:jc w:val="center"/>
        <w:rPr>
          <w:rFonts w:ascii="Century Gothic" w:hAnsi="Century Gothic"/>
        </w:rPr>
      </w:pPr>
    </w:p>
    <w:p w14:paraId="4E17FB2E" w14:textId="77777777" w:rsidR="009745E1" w:rsidRPr="009745E1" w:rsidRDefault="009745E1" w:rsidP="003E4491">
      <w:pPr>
        <w:jc w:val="center"/>
        <w:rPr>
          <w:rFonts w:ascii="Century Gothic" w:hAnsi="Century Gothic"/>
        </w:rPr>
      </w:pPr>
      <w:r w:rsidRPr="009745E1">
        <w:rPr>
          <w:rFonts w:ascii="Century Gothic" w:hAnsi="Century Gothic"/>
          <w:b/>
          <w:bCs/>
        </w:rPr>
        <w:t>EL CONGRESO DE COLOMBIA</w:t>
      </w:r>
    </w:p>
    <w:p w14:paraId="2B207AD3" w14:textId="7D5FB11C" w:rsidR="009745E1" w:rsidRDefault="009745E1" w:rsidP="003E4491">
      <w:pPr>
        <w:jc w:val="center"/>
        <w:rPr>
          <w:rFonts w:ascii="Century Gothic" w:hAnsi="Century Gothic"/>
          <w:b/>
          <w:bCs/>
        </w:rPr>
      </w:pPr>
      <w:r w:rsidRPr="009745E1">
        <w:rPr>
          <w:rFonts w:ascii="Century Gothic" w:hAnsi="Century Gothic"/>
          <w:b/>
          <w:bCs/>
        </w:rPr>
        <w:t>DECRETA</w:t>
      </w:r>
    </w:p>
    <w:p w14:paraId="5B1A7D0D" w14:textId="77777777" w:rsidR="003F0359" w:rsidRPr="009745E1" w:rsidRDefault="003F0359" w:rsidP="003F0359">
      <w:pPr>
        <w:spacing w:after="0"/>
        <w:jc w:val="center"/>
        <w:rPr>
          <w:rFonts w:ascii="Century Gothic" w:hAnsi="Century Gothic"/>
        </w:rPr>
      </w:pPr>
    </w:p>
    <w:p w14:paraId="1814C327" w14:textId="7CD19FDD" w:rsidR="009745E1" w:rsidRDefault="009745E1" w:rsidP="003F0359">
      <w:pPr>
        <w:spacing w:after="0"/>
        <w:jc w:val="both"/>
        <w:rPr>
          <w:rFonts w:ascii="Century Gothic" w:hAnsi="Century Gothic"/>
        </w:rPr>
      </w:pPr>
      <w:r w:rsidRPr="009745E1">
        <w:rPr>
          <w:rFonts w:ascii="Century Gothic" w:hAnsi="Century Gothic"/>
          <w:b/>
          <w:bCs/>
        </w:rPr>
        <w:t>Artículo 1. Objeto.</w:t>
      </w:r>
      <w:r w:rsidRPr="009745E1">
        <w:rPr>
          <w:rFonts w:ascii="Century Gothic" w:hAnsi="Century Gothic"/>
        </w:rPr>
        <w:t xml:space="preserve"> La presente ley desarrolla la garantía de doble conformidad judicial en materia penal, incorpora el recurso de impugnación especial al régimen procesal penal y dispone su presentación y trámite.</w:t>
      </w:r>
    </w:p>
    <w:p w14:paraId="10EEE370" w14:textId="77777777" w:rsidR="003F0359" w:rsidRPr="009745E1" w:rsidRDefault="003F0359" w:rsidP="003F0359">
      <w:pPr>
        <w:spacing w:after="0"/>
        <w:jc w:val="both"/>
        <w:rPr>
          <w:rFonts w:ascii="Century Gothic" w:hAnsi="Century Gothic"/>
        </w:rPr>
      </w:pPr>
    </w:p>
    <w:p w14:paraId="74CF645F" w14:textId="5FD3B91A" w:rsidR="003F0359" w:rsidRDefault="009745E1" w:rsidP="003F0359">
      <w:pPr>
        <w:spacing w:after="0"/>
        <w:jc w:val="both"/>
        <w:rPr>
          <w:rFonts w:ascii="Century Gothic" w:hAnsi="Century Gothic"/>
        </w:rPr>
      </w:pPr>
      <w:r w:rsidRPr="009745E1">
        <w:rPr>
          <w:rFonts w:ascii="Century Gothic" w:hAnsi="Century Gothic"/>
          <w:b/>
          <w:bCs/>
        </w:rPr>
        <w:t>Artículo 2. Acceso a la garantía de doble conformidad judicial.</w:t>
      </w:r>
      <w:r w:rsidRPr="009745E1">
        <w:rPr>
          <w:rFonts w:ascii="Century Gothic" w:hAnsi="Century Gothic"/>
        </w:rPr>
        <w:t xml:space="preserve"> Todas las personas tienen derecho a recurrir la primera sentencia condenatoria proferida en su contra.</w:t>
      </w:r>
    </w:p>
    <w:p w14:paraId="58710691" w14:textId="77777777" w:rsidR="003F0359" w:rsidRDefault="003F0359" w:rsidP="003F0359">
      <w:pPr>
        <w:spacing w:after="0"/>
        <w:jc w:val="both"/>
        <w:rPr>
          <w:rFonts w:ascii="Century Gothic" w:hAnsi="Century Gothic"/>
          <w:b/>
          <w:bCs/>
        </w:rPr>
      </w:pPr>
    </w:p>
    <w:p w14:paraId="6AB40684" w14:textId="591424AA" w:rsidR="009745E1" w:rsidRPr="009745E1" w:rsidRDefault="009745E1" w:rsidP="009745E1">
      <w:pPr>
        <w:jc w:val="both"/>
        <w:rPr>
          <w:rFonts w:ascii="Century Gothic" w:hAnsi="Century Gothic"/>
        </w:rPr>
      </w:pPr>
      <w:r w:rsidRPr="009745E1">
        <w:rPr>
          <w:rFonts w:ascii="Century Gothic" w:hAnsi="Century Gothic"/>
          <w:b/>
          <w:bCs/>
        </w:rPr>
        <w:t>Artículo 3.</w:t>
      </w:r>
      <w:r w:rsidRPr="009745E1">
        <w:rPr>
          <w:rFonts w:ascii="Century Gothic" w:hAnsi="Century Gothic"/>
        </w:rPr>
        <w:t xml:space="preserve"> Modifíquese el artículo 32 de la Ley 906 de 2004, el cual quedará así:</w:t>
      </w:r>
    </w:p>
    <w:p w14:paraId="176AEC45" w14:textId="77777777" w:rsidR="009745E1" w:rsidRPr="009745E1" w:rsidRDefault="009745E1" w:rsidP="009745E1">
      <w:pPr>
        <w:jc w:val="both"/>
        <w:rPr>
          <w:rFonts w:ascii="Century Gothic" w:hAnsi="Century Gothic"/>
        </w:rPr>
      </w:pPr>
      <w:r w:rsidRPr="009745E1">
        <w:rPr>
          <w:rFonts w:ascii="Century Gothic" w:hAnsi="Century Gothic"/>
          <w:b/>
          <w:bCs/>
        </w:rPr>
        <w:t>ARTÍCULO 32. DE LA CORTE SUPREMA DE JUSTICIA.</w:t>
      </w:r>
    </w:p>
    <w:p w14:paraId="7BF6BF45" w14:textId="77777777" w:rsidR="009745E1" w:rsidRPr="009745E1" w:rsidRDefault="009745E1" w:rsidP="009745E1">
      <w:pPr>
        <w:jc w:val="both"/>
        <w:rPr>
          <w:rFonts w:ascii="Century Gothic" w:hAnsi="Century Gothic"/>
        </w:rPr>
      </w:pPr>
      <w:r w:rsidRPr="009745E1">
        <w:rPr>
          <w:rFonts w:ascii="Century Gothic" w:hAnsi="Century Gothic"/>
        </w:rPr>
        <w:t>La Sala de Casación Penal de la Corte Suprema de Justicia conoce:</w:t>
      </w:r>
    </w:p>
    <w:p w14:paraId="4414C0B6" w14:textId="77777777" w:rsidR="009745E1" w:rsidRPr="009745E1" w:rsidRDefault="009745E1" w:rsidP="009745E1">
      <w:pPr>
        <w:jc w:val="both"/>
        <w:rPr>
          <w:rFonts w:ascii="Century Gothic" w:hAnsi="Century Gothic"/>
        </w:rPr>
      </w:pPr>
      <w:r w:rsidRPr="009745E1">
        <w:rPr>
          <w:rFonts w:ascii="Century Gothic" w:hAnsi="Century Gothic"/>
        </w:rPr>
        <w:t>1. De la casación.</w:t>
      </w:r>
    </w:p>
    <w:p w14:paraId="6B31EFB0" w14:textId="77777777" w:rsidR="009745E1" w:rsidRPr="009745E1" w:rsidRDefault="009745E1" w:rsidP="009745E1">
      <w:pPr>
        <w:jc w:val="both"/>
        <w:rPr>
          <w:rFonts w:ascii="Century Gothic" w:hAnsi="Century Gothic"/>
        </w:rPr>
      </w:pPr>
      <w:r w:rsidRPr="009745E1">
        <w:rPr>
          <w:rFonts w:ascii="Century Gothic" w:hAnsi="Century Gothic"/>
        </w:rPr>
        <w:t>2. De la acción de revisión cuando la sentencia o la preclusión ejecutoriadas hayan sido proferidas en única o segunda instancia por esta corporación o por los tribunales.</w:t>
      </w:r>
    </w:p>
    <w:p w14:paraId="75C53084" w14:textId="77777777" w:rsidR="009745E1" w:rsidRPr="009745E1" w:rsidRDefault="009745E1" w:rsidP="009745E1">
      <w:pPr>
        <w:jc w:val="both"/>
        <w:rPr>
          <w:rFonts w:ascii="Century Gothic" w:hAnsi="Century Gothic"/>
        </w:rPr>
      </w:pPr>
      <w:r w:rsidRPr="009745E1">
        <w:rPr>
          <w:rFonts w:ascii="Century Gothic" w:hAnsi="Century Gothic"/>
        </w:rPr>
        <w:t>3. De la definición de competencia cuando se trate de aforados constitucionales y legales, o de tribunales, o de juzgados de diferentes distritos.</w:t>
      </w:r>
    </w:p>
    <w:p w14:paraId="28E32247" w14:textId="77777777" w:rsidR="009745E1" w:rsidRPr="004C63F7" w:rsidRDefault="009745E1" w:rsidP="009745E1">
      <w:pPr>
        <w:jc w:val="both"/>
        <w:rPr>
          <w:rFonts w:ascii="Century Gothic" w:hAnsi="Century Gothic"/>
        </w:rPr>
      </w:pPr>
      <w:r w:rsidRPr="009745E1">
        <w:rPr>
          <w:rFonts w:ascii="Century Gothic" w:hAnsi="Century Gothic"/>
        </w:rPr>
        <w:t xml:space="preserve">4. Del juzgamiento de los funcionarios a que se refieren los </w:t>
      </w:r>
      <w:r w:rsidRPr="004C63F7">
        <w:rPr>
          <w:rFonts w:ascii="Century Gothic" w:hAnsi="Century Gothic"/>
        </w:rPr>
        <w:t>artículos</w:t>
      </w:r>
      <w:hyperlink r:id="rId9" w:anchor="174" w:history="1">
        <w:r w:rsidRPr="004C63F7">
          <w:rPr>
            <w:rStyle w:val="Hipervnculo"/>
            <w:rFonts w:ascii="Century Gothic" w:hAnsi="Century Gothic"/>
            <w:color w:val="auto"/>
            <w:u w:val="none"/>
          </w:rPr>
          <w:t xml:space="preserve"> 174</w:t>
        </w:r>
      </w:hyperlink>
      <w:r w:rsidRPr="004C63F7">
        <w:rPr>
          <w:rFonts w:ascii="Century Gothic" w:hAnsi="Century Gothic"/>
        </w:rPr>
        <w:t xml:space="preserve"> y</w:t>
      </w:r>
      <w:hyperlink r:id="rId10" w:anchor="235" w:history="1">
        <w:r w:rsidRPr="004C63F7">
          <w:rPr>
            <w:rStyle w:val="Hipervnculo"/>
            <w:rFonts w:ascii="Century Gothic" w:hAnsi="Century Gothic"/>
            <w:color w:val="auto"/>
            <w:u w:val="none"/>
          </w:rPr>
          <w:t xml:space="preserve"> 235</w:t>
        </w:r>
      </w:hyperlink>
      <w:r w:rsidRPr="004C63F7">
        <w:rPr>
          <w:rFonts w:ascii="Century Gothic" w:hAnsi="Century Gothic"/>
        </w:rPr>
        <w:t xml:space="preserve"> numeral 2 de la Constitución Política.</w:t>
      </w:r>
    </w:p>
    <w:p w14:paraId="2CA6CE0B" w14:textId="77777777" w:rsidR="009745E1" w:rsidRPr="009745E1" w:rsidRDefault="009745E1" w:rsidP="009745E1">
      <w:pPr>
        <w:jc w:val="both"/>
        <w:rPr>
          <w:rFonts w:ascii="Century Gothic" w:hAnsi="Century Gothic"/>
        </w:rPr>
      </w:pPr>
      <w:r w:rsidRPr="004C63F7">
        <w:rPr>
          <w:rFonts w:ascii="Century Gothic" w:hAnsi="Century Gothic"/>
        </w:rPr>
        <w:t>5.  Del juzgamiento de los funcionarios a que se refiere el artículo</w:t>
      </w:r>
      <w:hyperlink r:id="rId11" w:anchor="235" w:history="1">
        <w:r w:rsidRPr="004C63F7">
          <w:rPr>
            <w:rStyle w:val="Hipervnculo"/>
            <w:rFonts w:ascii="Century Gothic" w:hAnsi="Century Gothic"/>
            <w:color w:val="auto"/>
            <w:u w:val="none"/>
          </w:rPr>
          <w:t xml:space="preserve"> 235</w:t>
        </w:r>
      </w:hyperlink>
      <w:r w:rsidRPr="004C63F7">
        <w:rPr>
          <w:rFonts w:ascii="Century Gothic" w:hAnsi="Century Gothic"/>
        </w:rPr>
        <w:t xml:space="preserve"> </w:t>
      </w:r>
      <w:r w:rsidRPr="009745E1">
        <w:rPr>
          <w:rFonts w:ascii="Century Gothic" w:hAnsi="Century Gothic"/>
        </w:rPr>
        <w:t>numeral 4 de la Constitución Política.</w:t>
      </w:r>
    </w:p>
    <w:p w14:paraId="163B4414" w14:textId="77777777" w:rsidR="009745E1" w:rsidRPr="009745E1" w:rsidRDefault="009745E1" w:rsidP="009745E1">
      <w:pPr>
        <w:jc w:val="both"/>
        <w:rPr>
          <w:rFonts w:ascii="Century Gothic" w:hAnsi="Century Gothic"/>
        </w:rPr>
      </w:pPr>
      <w:r w:rsidRPr="009745E1">
        <w:rPr>
          <w:rFonts w:ascii="Century Gothic" w:hAnsi="Century Gothic"/>
        </w:rPr>
        <w:t>6. De la investigación y juzgamiento de los Senadores y Representantes a la Cámara.</w:t>
      </w:r>
    </w:p>
    <w:p w14:paraId="7AAF8310" w14:textId="77777777" w:rsidR="009745E1" w:rsidRPr="009745E1" w:rsidRDefault="009745E1" w:rsidP="009745E1">
      <w:pPr>
        <w:jc w:val="both"/>
        <w:rPr>
          <w:rFonts w:ascii="Century Gothic" w:hAnsi="Century Gothic"/>
        </w:rPr>
      </w:pPr>
      <w:r w:rsidRPr="009745E1">
        <w:rPr>
          <w:rFonts w:ascii="Century Gothic" w:hAnsi="Century Gothic"/>
        </w:rPr>
        <w:lastRenderedPageBreak/>
        <w:t>7. De las solicitudes de cambio de radicación de procesos penales de un distrito judicial a otro durante el juzgamiento.</w:t>
      </w:r>
    </w:p>
    <w:p w14:paraId="3A43E7D0" w14:textId="77777777" w:rsidR="009745E1" w:rsidRPr="009745E1" w:rsidRDefault="009745E1" w:rsidP="009745E1">
      <w:pPr>
        <w:jc w:val="both"/>
        <w:rPr>
          <w:rFonts w:ascii="Century Gothic" w:hAnsi="Century Gothic"/>
        </w:rPr>
      </w:pPr>
      <w:r w:rsidRPr="009745E1">
        <w:rPr>
          <w:rFonts w:ascii="Century Gothic" w:hAnsi="Century Gothic"/>
        </w:rPr>
        <w:t>8. Del juzgamiento del viceprocurador, vicefiscal, magistrados de los consejos seccionales de la judicatura, del Tribunal Superior Militar, del Consejo Nacional Electoral, fiscales delegados ante la Corte Suprema de Justicia y Tribunales, Procuradores Delegados, Procuradores Judiciales II, Registrador Nacional del Estado Civil, Director Nacional de Fiscalía y Directores Seccionales de Fiscalía.</w:t>
      </w:r>
    </w:p>
    <w:p w14:paraId="5A20D8B9" w14:textId="77777777" w:rsidR="009745E1" w:rsidRPr="009745E1" w:rsidRDefault="009745E1" w:rsidP="009745E1">
      <w:pPr>
        <w:jc w:val="both"/>
        <w:rPr>
          <w:rFonts w:ascii="Century Gothic" w:hAnsi="Century Gothic"/>
        </w:rPr>
      </w:pPr>
      <w:r w:rsidRPr="009745E1">
        <w:rPr>
          <w:rFonts w:ascii="Century Gothic" w:hAnsi="Century Gothic"/>
        </w:rPr>
        <w:t>9.  De los recursos de apelación contra los autos y sentencias que profieran en primera instancia los Tribunales Superiores. </w:t>
      </w:r>
    </w:p>
    <w:p w14:paraId="75722C82" w14:textId="54A7799D" w:rsidR="003F0359" w:rsidRDefault="009745E1" w:rsidP="003F0359">
      <w:pPr>
        <w:spacing w:after="0"/>
        <w:jc w:val="both"/>
        <w:rPr>
          <w:rFonts w:ascii="Century Gothic" w:hAnsi="Century Gothic"/>
          <w:bCs/>
          <w:szCs w:val="24"/>
          <w:u w:val="single"/>
        </w:rPr>
      </w:pPr>
      <w:r w:rsidRPr="00C65136">
        <w:rPr>
          <w:rFonts w:ascii="Century Gothic" w:hAnsi="Century Gothic"/>
          <w:u w:val="single"/>
        </w:rPr>
        <w:t>10. Del recurso de impugnación especial interpuesto contra la primera sentencia condenatoria proferida en segunda instancia por los Tribunales Superiores de Distrito o por la Corte Suprema de Justicia en sede del recurso de apelació</w:t>
      </w:r>
      <w:r w:rsidRPr="00C65136">
        <w:rPr>
          <w:rFonts w:ascii="Century Gothic" w:hAnsi="Century Gothic"/>
          <w:sz w:val="24"/>
          <w:szCs w:val="24"/>
          <w:u w:val="single"/>
        </w:rPr>
        <w:t>n</w:t>
      </w:r>
      <w:r w:rsidR="00C65136" w:rsidRPr="00C65136">
        <w:rPr>
          <w:rFonts w:ascii="Century Gothic" w:hAnsi="Century Gothic"/>
          <w:bCs/>
          <w:sz w:val="24"/>
          <w:szCs w:val="24"/>
          <w:u w:val="single"/>
        </w:rPr>
        <w:t>,</w:t>
      </w:r>
      <w:r w:rsidR="00C65136" w:rsidRPr="00C65136">
        <w:rPr>
          <w:rFonts w:ascii="Century Gothic" w:hAnsi="Century Gothic"/>
          <w:bCs/>
          <w:szCs w:val="24"/>
          <w:u w:val="single"/>
        </w:rPr>
        <w:t xml:space="preserve"> </w:t>
      </w:r>
      <w:r w:rsidR="00065BD7" w:rsidRPr="00065BD7">
        <w:rPr>
          <w:rFonts w:ascii="Century Gothic" w:hAnsi="Century Gothic"/>
          <w:bCs/>
          <w:szCs w:val="24"/>
          <w:u w:val="single"/>
        </w:rPr>
        <w:t>o eventualmente en sede del recurso extraordinario de casación.</w:t>
      </w:r>
    </w:p>
    <w:p w14:paraId="37F14FF5" w14:textId="77777777" w:rsidR="00065BD7" w:rsidRDefault="00065BD7" w:rsidP="003F0359">
      <w:pPr>
        <w:spacing w:after="0"/>
        <w:jc w:val="both"/>
        <w:rPr>
          <w:rFonts w:ascii="Century Gothic" w:hAnsi="Century Gothic"/>
          <w:b/>
          <w:bCs/>
        </w:rPr>
      </w:pPr>
    </w:p>
    <w:p w14:paraId="2C1BA34C" w14:textId="4ED80E15" w:rsidR="009745E1" w:rsidRDefault="009745E1" w:rsidP="003F0359">
      <w:pPr>
        <w:spacing w:after="0"/>
        <w:jc w:val="both"/>
        <w:rPr>
          <w:rFonts w:ascii="Century Gothic" w:hAnsi="Century Gothic"/>
        </w:rPr>
      </w:pPr>
      <w:r w:rsidRPr="009745E1">
        <w:rPr>
          <w:rFonts w:ascii="Century Gothic" w:hAnsi="Century Gothic"/>
          <w:b/>
          <w:bCs/>
        </w:rPr>
        <w:t xml:space="preserve">PARÁGRAFO. </w:t>
      </w:r>
      <w:r w:rsidRPr="009745E1">
        <w:rPr>
          <w:rFonts w:ascii="Century Gothic" w:hAnsi="Century Gothic"/>
        </w:rPr>
        <w:t>Cuando los funcionarios a los que se refieren los numerales 5, 6 y 8 anteriores hubieren cesado en el ejercicio de sus cargos, el fuero sólo se mantendrá para los delitos que tengan relación con las funciones desempeñadas.</w:t>
      </w:r>
    </w:p>
    <w:p w14:paraId="51A122A8" w14:textId="77777777" w:rsidR="003F0359" w:rsidRPr="009745E1" w:rsidRDefault="003F0359" w:rsidP="003F0359">
      <w:pPr>
        <w:spacing w:after="0"/>
        <w:jc w:val="both"/>
        <w:rPr>
          <w:rFonts w:ascii="Century Gothic" w:hAnsi="Century Gothic"/>
        </w:rPr>
      </w:pPr>
    </w:p>
    <w:p w14:paraId="3B54658A" w14:textId="77777777" w:rsidR="009745E1" w:rsidRPr="009745E1" w:rsidRDefault="009745E1" w:rsidP="009745E1">
      <w:pPr>
        <w:jc w:val="both"/>
        <w:rPr>
          <w:rFonts w:ascii="Century Gothic" w:hAnsi="Century Gothic"/>
        </w:rPr>
      </w:pPr>
      <w:r w:rsidRPr="009745E1">
        <w:rPr>
          <w:rFonts w:ascii="Century Gothic" w:hAnsi="Century Gothic"/>
          <w:b/>
          <w:bCs/>
        </w:rPr>
        <w:t>Artículo 4.</w:t>
      </w:r>
      <w:r w:rsidRPr="009745E1">
        <w:rPr>
          <w:rFonts w:ascii="Century Gothic" w:hAnsi="Century Gothic"/>
        </w:rPr>
        <w:t xml:space="preserve"> Créase el artículo 176A de la Ley 906 de 2004, el cual quedará así:</w:t>
      </w:r>
    </w:p>
    <w:p w14:paraId="6512D51F" w14:textId="474042AD" w:rsidR="004C63F7" w:rsidRDefault="009745E1" w:rsidP="004C63F7">
      <w:pPr>
        <w:spacing w:after="0"/>
        <w:jc w:val="both"/>
        <w:rPr>
          <w:rFonts w:ascii="Century Gothic" w:hAnsi="Century Gothic"/>
        </w:rPr>
      </w:pPr>
      <w:r w:rsidRPr="009745E1">
        <w:rPr>
          <w:rFonts w:ascii="Century Gothic" w:hAnsi="Century Gothic"/>
          <w:b/>
          <w:bCs/>
        </w:rPr>
        <w:t>ARTÍCULO 176A: RECURSO DE IMPUGNACIÓN ESPECIAL:</w:t>
      </w:r>
      <w:r w:rsidRPr="009745E1">
        <w:rPr>
          <w:rFonts w:ascii="Century Gothic" w:hAnsi="Century Gothic"/>
        </w:rPr>
        <w:t xml:space="preserve"> El recurso de impugnación especial procede contra la primera sentencia condenatoria, sea esta proferida en segunda instancia por los Tribunales Superiores de Distrito o por la Corte Suprema de Justicia en sede del recurso de apelación</w:t>
      </w:r>
      <w:r w:rsidR="00C65136" w:rsidRPr="00C65136">
        <w:rPr>
          <w:rFonts w:ascii="Century Gothic" w:hAnsi="Century Gothic"/>
        </w:rPr>
        <w:t xml:space="preserve">, </w:t>
      </w:r>
      <w:r w:rsidR="00065BD7" w:rsidRPr="00065BD7">
        <w:rPr>
          <w:rFonts w:ascii="Century Gothic" w:hAnsi="Century Gothic"/>
        </w:rPr>
        <w:t>o eventualmente en sede del recurso extraordinario de casación.</w:t>
      </w:r>
    </w:p>
    <w:p w14:paraId="074ACEA1" w14:textId="77777777" w:rsidR="00065BD7" w:rsidRDefault="00065BD7" w:rsidP="004C63F7">
      <w:pPr>
        <w:spacing w:after="0"/>
        <w:jc w:val="both"/>
        <w:rPr>
          <w:rFonts w:ascii="Century Gothic" w:hAnsi="Century Gothic"/>
        </w:rPr>
      </w:pPr>
    </w:p>
    <w:p w14:paraId="2D2D91ED" w14:textId="0D468A39" w:rsidR="009745E1" w:rsidRDefault="009745E1" w:rsidP="004C63F7">
      <w:pPr>
        <w:spacing w:after="0"/>
        <w:jc w:val="both"/>
        <w:rPr>
          <w:rFonts w:ascii="Century Gothic" w:hAnsi="Century Gothic"/>
        </w:rPr>
      </w:pPr>
      <w:r w:rsidRPr="009745E1">
        <w:rPr>
          <w:rFonts w:ascii="Century Gothic" w:hAnsi="Century Gothic"/>
          <w:b/>
          <w:bCs/>
        </w:rPr>
        <w:t xml:space="preserve">Artículo 5. </w:t>
      </w:r>
      <w:r w:rsidRPr="009745E1">
        <w:rPr>
          <w:rFonts w:ascii="Century Gothic" w:hAnsi="Century Gothic"/>
        </w:rPr>
        <w:t>Créase el artículo 178A en la Ley 906 de 2004, el cual quedará así:</w:t>
      </w:r>
    </w:p>
    <w:p w14:paraId="66315C36" w14:textId="77777777" w:rsidR="00822FC9" w:rsidRDefault="00822FC9" w:rsidP="004C63F7">
      <w:pPr>
        <w:spacing w:after="0"/>
        <w:jc w:val="both"/>
        <w:rPr>
          <w:rFonts w:ascii="Century Gothic" w:hAnsi="Century Gothic"/>
        </w:rPr>
      </w:pPr>
    </w:p>
    <w:p w14:paraId="40FC2F8B" w14:textId="47E73E1C" w:rsidR="00065BD7" w:rsidRDefault="009745E1" w:rsidP="00065BD7">
      <w:pPr>
        <w:spacing w:after="0"/>
        <w:jc w:val="both"/>
        <w:rPr>
          <w:rFonts w:ascii="Century Gothic" w:hAnsi="Century Gothic"/>
        </w:rPr>
      </w:pPr>
      <w:r w:rsidRPr="009745E1">
        <w:rPr>
          <w:rFonts w:ascii="Century Gothic" w:hAnsi="Century Gothic"/>
          <w:b/>
          <w:bCs/>
        </w:rPr>
        <w:t>ARTÍCULO 178A.</w:t>
      </w:r>
      <w:r w:rsidRPr="009745E1">
        <w:rPr>
          <w:rFonts w:ascii="Century Gothic" w:hAnsi="Century Gothic"/>
        </w:rPr>
        <w:t xml:space="preserve"> </w:t>
      </w:r>
      <w:r w:rsidRPr="009745E1">
        <w:rPr>
          <w:rFonts w:ascii="Century Gothic" w:hAnsi="Century Gothic"/>
          <w:b/>
          <w:bCs/>
        </w:rPr>
        <w:t xml:space="preserve"> TRÁMITE DEL RECURSO DE IMPUGNACIÓN ESPECIAL. </w:t>
      </w:r>
      <w:r w:rsidRPr="009745E1">
        <w:rPr>
          <w:rFonts w:ascii="Century Gothic" w:hAnsi="Century Gothic"/>
        </w:rPr>
        <w:t xml:space="preserve">El recurso de impugnación especial se interpondrá </w:t>
      </w:r>
      <w:r w:rsidR="00065BD7">
        <w:rPr>
          <w:rFonts w:ascii="Century Gothic" w:hAnsi="Century Gothic"/>
        </w:rPr>
        <w:t>dentro de los cinco</w:t>
      </w:r>
      <w:r w:rsidRPr="009745E1">
        <w:rPr>
          <w:rFonts w:ascii="Century Gothic" w:hAnsi="Century Gothic"/>
        </w:rPr>
        <w:t xml:space="preserve"> (</w:t>
      </w:r>
      <w:r w:rsidR="00065BD7">
        <w:rPr>
          <w:rFonts w:ascii="Century Gothic" w:hAnsi="Century Gothic"/>
        </w:rPr>
        <w:t>5</w:t>
      </w:r>
      <w:r w:rsidRPr="009745E1">
        <w:rPr>
          <w:rFonts w:ascii="Century Gothic" w:hAnsi="Century Gothic"/>
        </w:rPr>
        <w:t>) días siguientes</w:t>
      </w:r>
      <w:r w:rsidR="00065BD7">
        <w:rPr>
          <w:rFonts w:ascii="Century Gothic" w:hAnsi="Century Gothic"/>
        </w:rPr>
        <w:t xml:space="preserve"> a la última notificación</w:t>
      </w:r>
      <w:r w:rsidRPr="009745E1">
        <w:rPr>
          <w:rFonts w:ascii="Century Gothic" w:hAnsi="Century Gothic"/>
        </w:rPr>
        <w:t xml:space="preserve">, </w:t>
      </w:r>
      <w:r w:rsidR="00822FC9">
        <w:rPr>
          <w:rFonts w:ascii="Century Gothic" w:hAnsi="Century Gothic"/>
        </w:rPr>
        <w:t>y en un término posterior común de treinta</w:t>
      </w:r>
      <w:r w:rsidRPr="009745E1">
        <w:rPr>
          <w:rFonts w:ascii="Century Gothic" w:hAnsi="Century Gothic"/>
        </w:rPr>
        <w:t xml:space="preserve"> (3</w:t>
      </w:r>
      <w:r w:rsidR="00822FC9">
        <w:rPr>
          <w:rFonts w:ascii="Century Gothic" w:hAnsi="Century Gothic"/>
        </w:rPr>
        <w:t>0</w:t>
      </w:r>
      <w:r w:rsidRPr="009745E1">
        <w:rPr>
          <w:rFonts w:ascii="Century Gothic" w:hAnsi="Century Gothic"/>
        </w:rPr>
        <w:t xml:space="preserve">) días </w:t>
      </w:r>
      <w:r w:rsidR="00822FC9">
        <w:rPr>
          <w:rFonts w:ascii="Century Gothic" w:hAnsi="Century Gothic"/>
        </w:rPr>
        <w:t>se presentará la correspondiente sustentación.</w:t>
      </w:r>
    </w:p>
    <w:p w14:paraId="3E91641C" w14:textId="77777777" w:rsidR="00065BD7" w:rsidRPr="00351298" w:rsidRDefault="00065BD7" w:rsidP="00065BD7">
      <w:pPr>
        <w:spacing w:after="0"/>
        <w:jc w:val="both"/>
        <w:rPr>
          <w:rFonts w:ascii="Century Gothic" w:hAnsi="Century Gothic"/>
          <w:bCs/>
          <w:sz w:val="20"/>
        </w:rPr>
      </w:pPr>
    </w:p>
    <w:p w14:paraId="149282F6" w14:textId="2D9549FE" w:rsidR="003F0359" w:rsidRDefault="009745E1" w:rsidP="003F0359">
      <w:pPr>
        <w:spacing w:after="0"/>
        <w:jc w:val="both"/>
        <w:rPr>
          <w:rFonts w:ascii="Century Gothic" w:hAnsi="Century Gothic"/>
        </w:rPr>
      </w:pPr>
      <w:r w:rsidRPr="009745E1">
        <w:rPr>
          <w:rFonts w:ascii="Century Gothic" w:hAnsi="Century Gothic"/>
        </w:rPr>
        <w:t xml:space="preserve">El recurso de impugnación especial no estará sujeto a causales taxativas ni requerirá técnica específica. En </w:t>
      </w:r>
      <w:r w:rsidR="00822FC9">
        <w:rPr>
          <w:rFonts w:ascii="Century Gothic" w:hAnsi="Century Gothic"/>
        </w:rPr>
        <w:t>la sustentación</w:t>
      </w:r>
      <w:r w:rsidRPr="009745E1">
        <w:rPr>
          <w:rFonts w:ascii="Century Gothic" w:hAnsi="Century Gothic"/>
        </w:rPr>
        <w:t xml:space="preserve"> deberá exponerse las razones concretas del </w:t>
      </w:r>
      <w:r w:rsidRPr="00C65136">
        <w:rPr>
          <w:rFonts w:ascii="Century Gothic" w:hAnsi="Century Gothic"/>
        </w:rPr>
        <w:t xml:space="preserve">diseño </w:t>
      </w:r>
      <w:r w:rsidR="00822FC9">
        <w:rPr>
          <w:rFonts w:ascii="Century Gothic" w:hAnsi="Century Gothic"/>
        </w:rPr>
        <w:t>frente al fallo condenatorio.</w:t>
      </w:r>
    </w:p>
    <w:p w14:paraId="300B924D" w14:textId="77777777" w:rsidR="003F0359" w:rsidRDefault="003F0359" w:rsidP="003F0359">
      <w:pPr>
        <w:spacing w:after="0"/>
        <w:jc w:val="both"/>
        <w:rPr>
          <w:rFonts w:ascii="Century Gothic" w:hAnsi="Century Gothic"/>
        </w:rPr>
      </w:pPr>
    </w:p>
    <w:p w14:paraId="61BC3516" w14:textId="7228CCEC" w:rsidR="009745E1" w:rsidRDefault="009745E1" w:rsidP="003F0359">
      <w:pPr>
        <w:spacing w:after="0"/>
        <w:jc w:val="both"/>
        <w:rPr>
          <w:rFonts w:ascii="Century Gothic" w:hAnsi="Century Gothic"/>
        </w:rPr>
      </w:pPr>
      <w:r w:rsidRPr="009745E1">
        <w:rPr>
          <w:rFonts w:ascii="Century Gothic" w:hAnsi="Century Gothic"/>
        </w:rPr>
        <w:t xml:space="preserve">Realizado el reparto en la </w:t>
      </w:r>
      <w:r w:rsidR="00D60EF5" w:rsidRPr="003F0359">
        <w:rPr>
          <w:rFonts w:ascii="Century Gothic" w:hAnsi="Century Gothic"/>
        </w:rPr>
        <w:t xml:space="preserve">Sala Penal de la </w:t>
      </w:r>
      <w:r w:rsidRPr="009745E1">
        <w:rPr>
          <w:rFonts w:ascii="Century Gothic" w:hAnsi="Century Gothic"/>
        </w:rPr>
        <w:t xml:space="preserve">Corte Suprema de Justicia, el Magistrado Ponente contará con un término máximo de treinta (30) días para registrar el </w:t>
      </w:r>
      <w:r w:rsidRPr="009745E1">
        <w:rPr>
          <w:rFonts w:ascii="Century Gothic" w:hAnsi="Century Gothic"/>
        </w:rPr>
        <w:lastRenderedPageBreak/>
        <w:t xml:space="preserve">proyecto de fallo y la Sala con veinte (20) días para su estudio y decisión. El fallo será leído en audiencia dentro de los diez días siguientes a su </w:t>
      </w:r>
      <w:r w:rsidR="00C65136">
        <w:rPr>
          <w:rFonts w:ascii="Century Gothic" w:hAnsi="Century Gothic"/>
        </w:rPr>
        <w:t>aprobación</w:t>
      </w:r>
      <w:r w:rsidRPr="009745E1">
        <w:rPr>
          <w:rFonts w:ascii="Century Gothic" w:hAnsi="Century Gothic"/>
        </w:rPr>
        <w:t xml:space="preserve"> por la sala. </w:t>
      </w:r>
    </w:p>
    <w:p w14:paraId="631CBE59" w14:textId="77777777" w:rsidR="003F0359" w:rsidRPr="009745E1" w:rsidRDefault="003F0359" w:rsidP="003F0359">
      <w:pPr>
        <w:spacing w:after="0"/>
        <w:jc w:val="both"/>
        <w:rPr>
          <w:rFonts w:ascii="Century Gothic" w:hAnsi="Century Gothic"/>
        </w:rPr>
      </w:pPr>
    </w:p>
    <w:p w14:paraId="0C4D78D1" w14:textId="6F55E57D" w:rsidR="009745E1" w:rsidRPr="009745E1" w:rsidRDefault="009745E1" w:rsidP="009745E1">
      <w:pPr>
        <w:jc w:val="both"/>
        <w:rPr>
          <w:rFonts w:ascii="Century Gothic" w:hAnsi="Century Gothic"/>
        </w:rPr>
      </w:pPr>
      <w:r w:rsidRPr="009745E1">
        <w:rPr>
          <w:rFonts w:ascii="Century Gothic" w:hAnsi="Century Gothic"/>
          <w:b/>
          <w:bCs/>
        </w:rPr>
        <w:t xml:space="preserve">Artículo 6. </w:t>
      </w:r>
      <w:r w:rsidR="00822FC9">
        <w:rPr>
          <w:rFonts w:ascii="Century Gothic" w:hAnsi="Century Gothic"/>
        </w:rPr>
        <w:t>Créase el artículo 178</w:t>
      </w:r>
      <w:r w:rsidRPr="009745E1">
        <w:rPr>
          <w:rFonts w:ascii="Century Gothic" w:hAnsi="Century Gothic"/>
        </w:rPr>
        <w:t>B en la Ley 906 de 2004, el cual quedará así: </w:t>
      </w:r>
    </w:p>
    <w:p w14:paraId="1320AC04" w14:textId="1E86ECB1" w:rsidR="009745E1" w:rsidRDefault="009745E1" w:rsidP="004C63F7">
      <w:pPr>
        <w:spacing w:after="0"/>
        <w:jc w:val="both"/>
        <w:rPr>
          <w:rFonts w:ascii="Century Gothic" w:hAnsi="Century Gothic"/>
        </w:rPr>
      </w:pPr>
      <w:r w:rsidRPr="009745E1">
        <w:rPr>
          <w:rFonts w:ascii="Century Gothic" w:hAnsi="Century Gothic"/>
          <w:b/>
          <w:bCs/>
        </w:rPr>
        <w:t>ARTÍCULO 178B. CONCURRENCIA DE LOS RECURSOS DE CASACIÓN Y DE IMPUGNACIÓN ESPECIAL CONTRA UNA MISMA SENTENCIA:</w:t>
      </w:r>
      <w:r w:rsidRPr="009745E1">
        <w:rPr>
          <w:rFonts w:ascii="Century Gothic" w:hAnsi="Century Gothic"/>
        </w:rPr>
        <w:t xml:space="preserve"> Cuando en una sentencia proferida en segunda instancia se condene por primera vez respecto de uno o varios delitos y a la vez se confirme la condena impuesta en primera instancia respecto de otro u otros delitos, se aplicarán las siguientes reglas:</w:t>
      </w:r>
    </w:p>
    <w:p w14:paraId="39330164" w14:textId="77777777" w:rsidR="004C63F7" w:rsidRPr="009745E1" w:rsidRDefault="004C63F7" w:rsidP="004C63F7">
      <w:pPr>
        <w:spacing w:after="0"/>
        <w:jc w:val="both"/>
        <w:rPr>
          <w:rFonts w:ascii="Century Gothic" w:hAnsi="Century Gothic"/>
        </w:rPr>
      </w:pPr>
    </w:p>
    <w:p w14:paraId="6773D0DF" w14:textId="79F472CF" w:rsidR="009745E1" w:rsidRDefault="009745E1" w:rsidP="004C63F7">
      <w:pPr>
        <w:numPr>
          <w:ilvl w:val="0"/>
          <w:numId w:val="10"/>
        </w:numPr>
        <w:spacing w:after="0"/>
        <w:jc w:val="both"/>
        <w:rPr>
          <w:rFonts w:ascii="Century Gothic" w:hAnsi="Century Gothic"/>
        </w:rPr>
      </w:pPr>
      <w:r w:rsidRPr="009745E1">
        <w:rPr>
          <w:rFonts w:ascii="Century Gothic" w:hAnsi="Century Gothic"/>
        </w:rPr>
        <w:t>Frente a la condena impuesta por primera vez en segunda instancia procede para el condenado o su defensor el recurso de impugnación especial.</w:t>
      </w:r>
    </w:p>
    <w:p w14:paraId="31E56151" w14:textId="77777777" w:rsidR="004C63F7" w:rsidRPr="009745E1" w:rsidRDefault="004C63F7" w:rsidP="004C63F7">
      <w:pPr>
        <w:spacing w:after="0"/>
        <w:ind w:left="720"/>
        <w:jc w:val="both"/>
        <w:rPr>
          <w:rFonts w:ascii="Century Gothic" w:hAnsi="Century Gothic"/>
        </w:rPr>
      </w:pPr>
    </w:p>
    <w:p w14:paraId="661720CE" w14:textId="77777777" w:rsidR="004C63F7" w:rsidRDefault="009745E1" w:rsidP="004C63F7">
      <w:pPr>
        <w:numPr>
          <w:ilvl w:val="0"/>
          <w:numId w:val="10"/>
        </w:numPr>
        <w:spacing w:after="0"/>
        <w:jc w:val="both"/>
        <w:rPr>
          <w:rFonts w:ascii="Century Gothic" w:hAnsi="Century Gothic"/>
        </w:rPr>
      </w:pPr>
      <w:r w:rsidRPr="004C63F7">
        <w:rPr>
          <w:rFonts w:ascii="Century Gothic" w:hAnsi="Century Gothic"/>
        </w:rPr>
        <w:t>Al defensor del condenado solamente le es dable recurrir simultáneamente en casación en hipótesis de delitos juzgados en el mismo proceso respecto de los cuales se ha declarado la responsabilidad penal del procesado en primera y segunda instancia</w:t>
      </w:r>
    </w:p>
    <w:p w14:paraId="20527D3E" w14:textId="77777777" w:rsidR="004C63F7" w:rsidRDefault="004C63F7" w:rsidP="004C63F7">
      <w:pPr>
        <w:pStyle w:val="Prrafodelista"/>
        <w:spacing w:after="0"/>
        <w:rPr>
          <w:rFonts w:ascii="Century Gothic" w:hAnsi="Century Gothic"/>
        </w:rPr>
      </w:pPr>
    </w:p>
    <w:p w14:paraId="6B7B979B" w14:textId="77777777" w:rsidR="00822FC9" w:rsidRPr="00822FC9" w:rsidRDefault="009745E1" w:rsidP="00822FC9">
      <w:pPr>
        <w:numPr>
          <w:ilvl w:val="0"/>
          <w:numId w:val="10"/>
        </w:numPr>
        <w:spacing w:after="0"/>
        <w:jc w:val="both"/>
        <w:rPr>
          <w:rFonts w:ascii="Century Gothic" w:hAnsi="Century Gothic"/>
        </w:rPr>
      </w:pPr>
      <w:r w:rsidRPr="004C63F7">
        <w:rPr>
          <w:rFonts w:ascii="Century Gothic" w:hAnsi="Century Gothic"/>
        </w:rPr>
        <w:t xml:space="preserve">Si además de la impugnación especial promovida por el acusado o su defensor, otro sujeto procesal o interviniente promovió casación, la Corte </w:t>
      </w:r>
      <w:r w:rsidR="00822FC9" w:rsidRPr="00822FC9">
        <w:rPr>
          <w:rFonts w:ascii="Century Gothic" w:hAnsi="Century Gothic"/>
        </w:rPr>
        <w:t>procederá a calificar primero la demanda de casación. Si la inadmite, una vez en firme el auto de inadmisión procederá a resolver el recurso de impugnación especial. Si admite a trámite la demanda, la resolverá paralelamente con el recurso de impugnación especial.</w:t>
      </w:r>
    </w:p>
    <w:p w14:paraId="7F74149C" w14:textId="77777777" w:rsidR="00822FC9" w:rsidRPr="00822FC9" w:rsidRDefault="00822FC9" w:rsidP="00822FC9">
      <w:pPr>
        <w:spacing w:after="0"/>
        <w:ind w:left="720"/>
        <w:jc w:val="both"/>
        <w:rPr>
          <w:rFonts w:ascii="Century Gothic" w:hAnsi="Century Gothic"/>
        </w:rPr>
      </w:pPr>
    </w:p>
    <w:p w14:paraId="234795E4" w14:textId="77777777" w:rsidR="00822FC9" w:rsidRPr="00822FC9" w:rsidRDefault="00822FC9" w:rsidP="00822FC9">
      <w:pPr>
        <w:spacing w:after="0"/>
        <w:jc w:val="both"/>
        <w:rPr>
          <w:rFonts w:ascii="Century Gothic" w:hAnsi="Century Gothic"/>
        </w:rPr>
      </w:pPr>
      <w:r w:rsidRPr="00822FC9">
        <w:rPr>
          <w:rFonts w:ascii="Century Gothic" w:hAnsi="Century Gothic"/>
          <w:b/>
        </w:rPr>
        <w:t>Parágrafo.</w:t>
      </w:r>
      <w:r w:rsidRPr="00822FC9">
        <w:rPr>
          <w:rFonts w:ascii="Century Gothic" w:hAnsi="Century Gothic"/>
        </w:rPr>
        <w:t xml:space="preserve"> En caso de que la Corte admita el recurso extraordinario de casación interpuesto por otro sujeto procesal, la Sala resolverá en una sola providencia tanto el recurso extraordinario de la casación como el recurso de la impugnación especial, a fin de evitar decisiones parciales.</w:t>
      </w:r>
    </w:p>
    <w:p w14:paraId="01877B52" w14:textId="77777777" w:rsidR="00822FC9" w:rsidRDefault="00822FC9" w:rsidP="00822FC9">
      <w:pPr>
        <w:spacing w:after="0"/>
        <w:jc w:val="both"/>
        <w:rPr>
          <w:rFonts w:ascii="Century Gothic" w:hAnsi="Century Gothic"/>
        </w:rPr>
      </w:pPr>
    </w:p>
    <w:p w14:paraId="3EAA3550" w14:textId="1C584623" w:rsidR="00822FC9" w:rsidRDefault="00822FC9" w:rsidP="00822FC9">
      <w:pPr>
        <w:spacing w:after="0"/>
        <w:jc w:val="both"/>
        <w:rPr>
          <w:rFonts w:ascii="Century Gothic" w:hAnsi="Century Gothic"/>
        </w:rPr>
      </w:pPr>
      <w:r w:rsidRPr="00822FC9">
        <w:rPr>
          <w:rFonts w:ascii="Century Gothic" w:hAnsi="Century Gothic"/>
        </w:rPr>
        <w:t>El mismo procedimiento se seguirá cuando el procesado interponga, de forma paralela, el recurso de impugnación especial por un delito contra el cual sea procedente y su defensor el recurso extraordinario de casación por otro.</w:t>
      </w:r>
    </w:p>
    <w:p w14:paraId="0AC0AA77" w14:textId="77777777" w:rsidR="00822FC9" w:rsidRDefault="00822FC9" w:rsidP="00822FC9">
      <w:pPr>
        <w:spacing w:after="0"/>
        <w:jc w:val="both"/>
        <w:rPr>
          <w:rFonts w:ascii="Century Gothic" w:hAnsi="Century Gothic"/>
        </w:rPr>
      </w:pPr>
    </w:p>
    <w:p w14:paraId="15491071" w14:textId="7C67E669" w:rsidR="00822FC9" w:rsidRDefault="00822FC9" w:rsidP="00822FC9">
      <w:pPr>
        <w:spacing w:after="0"/>
        <w:jc w:val="both"/>
        <w:rPr>
          <w:rFonts w:ascii="Century Gothic" w:hAnsi="Century Gothic"/>
          <w:b/>
          <w:bCs/>
        </w:rPr>
      </w:pPr>
      <w:r w:rsidRPr="00822FC9">
        <w:rPr>
          <w:rFonts w:ascii="Century Gothic" w:hAnsi="Century Gothic"/>
          <w:b/>
          <w:bCs/>
        </w:rPr>
        <w:t>Artículo 7.</w:t>
      </w:r>
      <w:r w:rsidRPr="00822FC9">
        <w:rPr>
          <w:rFonts w:ascii="Century Gothic" w:hAnsi="Century Gothic"/>
          <w:bCs/>
        </w:rPr>
        <w:t xml:space="preserve"> Créase el artículo 178 C en la Ley 906 de 2004, el cual quedará así:</w:t>
      </w:r>
    </w:p>
    <w:p w14:paraId="38FF57C3" w14:textId="77777777" w:rsidR="00822FC9" w:rsidRPr="00822FC9" w:rsidRDefault="00822FC9" w:rsidP="00822FC9">
      <w:pPr>
        <w:spacing w:after="0"/>
        <w:jc w:val="both"/>
        <w:rPr>
          <w:rFonts w:ascii="Century Gothic" w:hAnsi="Century Gothic"/>
          <w:b/>
          <w:bCs/>
        </w:rPr>
      </w:pPr>
    </w:p>
    <w:p w14:paraId="2F08821D" w14:textId="36D69301" w:rsidR="00822FC9" w:rsidRPr="00822FC9" w:rsidRDefault="00822FC9" w:rsidP="00822FC9">
      <w:pPr>
        <w:spacing w:after="0"/>
        <w:jc w:val="both"/>
        <w:rPr>
          <w:rFonts w:ascii="Century Gothic" w:hAnsi="Century Gothic"/>
          <w:bCs/>
        </w:rPr>
      </w:pPr>
      <w:r w:rsidRPr="00822FC9">
        <w:rPr>
          <w:rFonts w:ascii="Century Gothic" w:hAnsi="Century Gothic"/>
          <w:b/>
          <w:bCs/>
        </w:rPr>
        <w:lastRenderedPageBreak/>
        <w:t xml:space="preserve">ARTÍCULO 178C. CONFORMACIÓN DE SUBSALAS EN EL RECURSO DE IMPUGNACIÓN ESPECIAL. </w:t>
      </w:r>
      <w:r w:rsidRPr="00822FC9">
        <w:rPr>
          <w:rFonts w:ascii="Century Gothic" w:hAnsi="Century Gothic"/>
          <w:bCs/>
        </w:rPr>
        <w:t xml:space="preserve">Cuando la Sala de Casación Penal deba conocer del recurso de apelación y, eventualmente, del recurso de impugnación especial dentro del mismo proceso, la sala se dividirá en dos </w:t>
      </w:r>
      <w:proofErr w:type="spellStart"/>
      <w:r w:rsidRPr="00822FC9">
        <w:rPr>
          <w:rFonts w:ascii="Century Gothic" w:hAnsi="Century Gothic"/>
          <w:bCs/>
        </w:rPr>
        <w:t>subsalas</w:t>
      </w:r>
      <w:proofErr w:type="spellEnd"/>
      <w:r w:rsidRPr="00822FC9">
        <w:rPr>
          <w:rFonts w:ascii="Century Gothic" w:hAnsi="Century Gothic"/>
          <w:bCs/>
        </w:rPr>
        <w:t>: una integrada por seis (6) Magistrados quienes conocerán del recurso de apelación y otra conformada por tres (3) Magistrados quienes decidirán acerca del recurso de impugnación especial.</w:t>
      </w:r>
    </w:p>
    <w:p w14:paraId="60D26BEC" w14:textId="77777777" w:rsidR="00822FC9" w:rsidRPr="00822FC9" w:rsidRDefault="00822FC9" w:rsidP="00822FC9">
      <w:pPr>
        <w:spacing w:after="0"/>
        <w:jc w:val="both"/>
        <w:rPr>
          <w:rFonts w:ascii="Century Gothic" w:hAnsi="Century Gothic"/>
          <w:bCs/>
        </w:rPr>
      </w:pPr>
    </w:p>
    <w:p w14:paraId="74745BD0" w14:textId="03831F6B" w:rsidR="00822FC9" w:rsidRPr="00822FC9" w:rsidRDefault="00822FC9" w:rsidP="00822FC9">
      <w:pPr>
        <w:spacing w:after="0"/>
        <w:jc w:val="both"/>
        <w:rPr>
          <w:rFonts w:ascii="Century Gothic" w:hAnsi="Century Gothic"/>
          <w:bCs/>
        </w:rPr>
      </w:pPr>
      <w:r w:rsidRPr="00822FC9">
        <w:rPr>
          <w:rFonts w:ascii="Century Gothic" w:hAnsi="Century Gothic"/>
          <w:bCs/>
        </w:rPr>
        <w:t xml:space="preserve">La integración de estas </w:t>
      </w:r>
      <w:proofErr w:type="spellStart"/>
      <w:r w:rsidRPr="00822FC9">
        <w:rPr>
          <w:rFonts w:ascii="Century Gothic" w:hAnsi="Century Gothic"/>
          <w:bCs/>
        </w:rPr>
        <w:t>subsalas</w:t>
      </w:r>
      <w:proofErr w:type="spellEnd"/>
      <w:r w:rsidRPr="00822FC9">
        <w:rPr>
          <w:rFonts w:ascii="Century Gothic" w:hAnsi="Century Gothic"/>
          <w:bCs/>
        </w:rPr>
        <w:t xml:space="preserve"> será determinada por el Reglamento de la Corporación.</w:t>
      </w:r>
    </w:p>
    <w:p w14:paraId="585907D0" w14:textId="77777777" w:rsidR="00822FC9" w:rsidRPr="00822FC9" w:rsidRDefault="00822FC9" w:rsidP="00822FC9">
      <w:pPr>
        <w:spacing w:after="0"/>
        <w:jc w:val="both"/>
        <w:rPr>
          <w:rFonts w:ascii="Century Gothic" w:hAnsi="Century Gothic"/>
          <w:b/>
          <w:bCs/>
        </w:rPr>
      </w:pPr>
    </w:p>
    <w:p w14:paraId="50595820" w14:textId="42171A7D" w:rsidR="00822FC9" w:rsidRPr="00822FC9" w:rsidRDefault="00822FC9" w:rsidP="00822FC9">
      <w:pPr>
        <w:spacing w:after="0"/>
        <w:jc w:val="both"/>
        <w:rPr>
          <w:rFonts w:ascii="Century Gothic" w:hAnsi="Century Gothic"/>
          <w:bCs/>
        </w:rPr>
      </w:pPr>
      <w:r w:rsidRPr="00822FC9">
        <w:rPr>
          <w:rFonts w:ascii="Century Gothic" w:hAnsi="Century Gothic"/>
          <w:b/>
          <w:bCs/>
        </w:rPr>
        <w:t xml:space="preserve">Parágrafo. </w:t>
      </w:r>
      <w:r w:rsidRPr="00822FC9">
        <w:rPr>
          <w:rFonts w:ascii="Century Gothic" w:hAnsi="Century Gothic"/>
          <w:bCs/>
        </w:rPr>
        <w:t>El mismo procedimiento se seguirá cuando la Sala de Casación Penal emita condena por primera vez en sede del recurso extraordinario de casación.</w:t>
      </w:r>
    </w:p>
    <w:p w14:paraId="0B5FFC8A" w14:textId="77777777" w:rsidR="00822FC9" w:rsidRPr="00822FC9" w:rsidRDefault="00822FC9" w:rsidP="00822FC9">
      <w:pPr>
        <w:spacing w:after="0"/>
        <w:jc w:val="both"/>
        <w:rPr>
          <w:rFonts w:ascii="Century Gothic" w:hAnsi="Century Gothic"/>
          <w:bCs/>
        </w:rPr>
      </w:pPr>
    </w:p>
    <w:p w14:paraId="27E0BF2A" w14:textId="2E722741" w:rsidR="004C63F7" w:rsidRDefault="009745E1" w:rsidP="00822FC9">
      <w:pPr>
        <w:spacing w:after="0"/>
        <w:jc w:val="both"/>
        <w:rPr>
          <w:rFonts w:ascii="Century Gothic" w:hAnsi="Century Gothic"/>
        </w:rPr>
      </w:pPr>
      <w:r w:rsidRPr="009745E1">
        <w:rPr>
          <w:rFonts w:ascii="Century Gothic" w:hAnsi="Century Gothic"/>
          <w:b/>
          <w:bCs/>
        </w:rPr>
        <w:t xml:space="preserve">Artículo </w:t>
      </w:r>
      <w:r w:rsidR="00822FC9">
        <w:rPr>
          <w:rFonts w:ascii="Century Gothic" w:hAnsi="Century Gothic"/>
          <w:b/>
          <w:bCs/>
        </w:rPr>
        <w:t>8</w:t>
      </w:r>
      <w:r w:rsidRPr="009745E1">
        <w:rPr>
          <w:rFonts w:ascii="Century Gothic" w:hAnsi="Century Gothic"/>
          <w:b/>
          <w:bCs/>
        </w:rPr>
        <w:t xml:space="preserve">. </w:t>
      </w:r>
      <w:r w:rsidRPr="009745E1">
        <w:rPr>
          <w:rFonts w:ascii="Century Gothic" w:hAnsi="Century Gothic"/>
        </w:rPr>
        <w:t>Modifíquese e</w:t>
      </w:r>
      <w:r w:rsidR="00822FC9">
        <w:rPr>
          <w:rFonts w:ascii="Century Gothic" w:hAnsi="Century Gothic"/>
        </w:rPr>
        <w:t>l artículo 179</w:t>
      </w:r>
      <w:r w:rsidRPr="009745E1">
        <w:rPr>
          <w:rFonts w:ascii="Century Gothic" w:hAnsi="Century Gothic"/>
        </w:rPr>
        <w:t>B de la Ley 906 de 2004, el cual quedará así:</w:t>
      </w:r>
    </w:p>
    <w:p w14:paraId="5E08EFA3" w14:textId="77777777" w:rsidR="004C63F7" w:rsidRDefault="004C63F7" w:rsidP="004C63F7">
      <w:pPr>
        <w:spacing w:after="0"/>
        <w:jc w:val="both"/>
        <w:rPr>
          <w:rFonts w:ascii="Century Gothic" w:hAnsi="Century Gothic"/>
        </w:rPr>
      </w:pPr>
    </w:p>
    <w:p w14:paraId="29351EAC" w14:textId="77777777" w:rsidR="009745E1" w:rsidRPr="009745E1" w:rsidRDefault="009745E1" w:rsidP="004C63F7">
      <w:pPr>
        <w:spacing w:after="0"/>
        <w:jc w:val="both"/>
        <w:rPr>
          <w:rFonts w:ascii="Century Gothic" w:hAnsi="Century Gothic"/>
        </w:rPr>
      </w:pPr>
      <w:r w:rsidRPr="009745E1">
        <w:rPr>
          <w:rFonts w:ascii="Century Gothic" w:hAnsi="Century Gothic"/>
          <w:b/>
          <w:bCs/>
        </w:rPr>
        <w:t xml:space="preserve">ARTÍCULO 179B. PROCEDENCIA DEL RECURSO DE QUEJA. </w:t>
      </w:r>
      <w:r w:rsidRPr="009745E1">
        <w:rPr>
          <w:rFonts w:ascii="Century Gothic" w:hAnsi="Century Gothic"/>
        </w:rPr>
        <w:t xml:space="preserve">Cuando el funcionario de primera instancia deniegue el recurso de apelación, </w:t>
      </w:r>
      <w:r w:rsidRPr="004C63F7">
        <w:rPr>
          <w:rFonts w:ascii="Century Gothic" w:hAnsi="Century Gothic"/>
          <w:u w:val="single"/>
        </w:rPr>
        <w:t>o el de segunda instancia deniegue el de impugnación especial</w:t>
      </w:r>
      <w:r w:rsidRPr="009745E1">
        <w:rPr>
          <w:rFonts w:ascii="Century Gothic" w:hAnsi="Century Gothic"/>
        </w:rPr>
        <w:t>, el recurrente podrá interponer el de queja dentro del término de ejecutoria de la decisión que deniega el recurso.</w:t>
      </w:r>
    </w:p>
    <w:p w14:paraId="3E1BE273" w14:textId="77777777" w:rsidR="004C63F7" w:rsidRDefault="004C63F7" w:rsidP="004C63F7">
      <w:pPr>
        <w:spacing w:after="0"/>
        <w:jc w:val="both"/>
        <w:rPr>
          <w:rFonts w:ascii="Century Gothic" w:hAnsi="Century Gothic"/>
          <w:b/>
          <w:bCs/>
        </w:rPr>
      </w:pPr>
    </w:p>
    <w:p w14:paraId="75E668E0" w14:textId="1FE73ED4" w:rsidR="009745E1" w:rsidRPr="009745E1" w:rsidRDefault="009745E1" w:rsidP="004C63F7">
      <w:pPr>
        <w:spacing w:after="0" w:line="240" w:lineRule="auto"/>
        <w:jc w:val="both"/>
        <w:rPr>
          <w:rFonts w:ascii="Century Gothic" w:hAnsi="Century Gothic"/>
        </w:rPr>
      </w:pPr>
      <w:r w:rsidRPr="009745E1">
        <w:rPr>
          <w:rFonts w:ascii="Century Gothic" w:hAnsi="Century Gothic"/>
          <w:b/>
          <w:bCs/>
        </w:rPr>
        <w:t xml:space="preserve">Artículo </w:t>
      </w:r>
      <w:r w:rsidR="00822FC9">
        <w:rPr>
          <w:rFonts w:ascii="Century Gothic" w:hAnsi="Century Gothic"/>
          <w:b/>
          <w:bCs/>
        </w:rPr>
        <w:t>9</w:t>
      </w:r>
      <w:r w:rsidRPr="009745E1">
        <w:rPr>
          <w:rFonts w:ascii="Century Gothic" w:hAnsi="Century Gothic"/>
          <w:b/>
          <w:bCs/>
        </w:rPr>
        <w:t xml:space="preserve">.  </w:t>
      </w:r>
      <w:r w:rsidRPr="009745E1">
        <w:rPr>
          <w:rFonts w:ascii="Century Gothic" w:hAnsi="Century Gothic"/>
        </w:rPr>
        <w:t>Modifíquese el artículo 179C de la Ley 906 de 2004, el cual quedará así:</w:t>
      </w:r>
    </w:p>
    <w:p w14:paraId="1BF70701" w14:textId="77777777" w:rsidR="004C63F7" w:rsidRDefault="004C63F7" w:rsidP="004C63F7">
      <w:pPr>
        <w:spacing w:after="0" w:line="240" w:lineRule="auto"/>
        <w:jc w:val="both"/>
        <w:rPr>
          <w:rFonts w:ascii="Century Gothic" w:hAnsi="Century Gothic"/>
          <w:b/>
          <w:bCs/>
        </w:rPr>
      </w:pPr>
    </w:p>
    <w:p w14:paraId="235242A7" w14:textId="647FF56B" w:rsidR="009745E1" w:rsidRPr="009745E1" w:rsidRDefault="009745E1" w:rsidP="004C63F7">
      <w:pPr>
        <w:spacing w:after="0" w:line="240" w:lineRule="auto"/>
        <w:jc w:val="both"/>
        <w:rPr>
          <w:rFonts w:ascii="Century Gothic" w:hAnsi="Century Gothic"/>
        </w:rPr>
      </w:pPr>
      <w:r w:rsidRPr="009745E1">
        <w:rPr>
          <w:rFonts w:ascii="Century Gothic" w:hAnsi="Century Gothic"/>
          <w:b/>
          <w:bCs/>
        </w:rPr>
        <w:t xml:space="preserve">ARTÍCULO 179C. INTERPOSICIÓN. </w:t>
      </w:r>
      <w:r w:rsidRPr="009745E1">
        <w:rPr>
          <w:rFonts w:ascii="Century Gothic" w:hAnsi="Century Gothic"/>
        </w:rPr>
        <w:t xml:space="preserve"> Negado el recurso de apelación </w:t>
      </w:r>
      <w:r w:rsidRPr="004C63F7">
        <w:rPr>
          <w:rFonts w:ascii="Century Gothic" w:hAnsi="Century Gothic"/>
          <w:u w:val="single"/>
        </w:rPr>
        <w:t>o el de impugnación especial</w:t>
      </w:r>
      <w:r w:rsidRPr="009745E1">
        <w:rPr>
          <w:rFonts w:ascii="Century Gothic" w:hAnsi="Century Gothic"/>
        </w:rPr>
        <w:t>, el interesado solicitará copia de la providencia impugnada y de las demás piezas pertinentes, las cuales se compulsarán dentro del improrrogable término de un (1) día y se enviarán inmediatamente al superior.</w:t>
      </w:r>
    </w:p>
    <w:p w14:paraId="0DFB39EF" w14:textId="77777777" w:rsidR="003F0359" w:rsidRDefault="003F0359" w:rsidP="003F0359">
      <w:pPr>
        <w:spacing w:after="0"/>
        <w:jc w:val="both"/>
        <w:rPr>
          <w:rFonts w:ascii="Century Gothic" w:hAnsi="Century Gothic"/>
          <w:b/>
          <w:bCs/>
        </w:rPr>
      </w:pPr>
    </w:p>
    <w:p w14:paraId="25D3BC17" w14:textId="51AF4C71" w:rsidR="009745E1" w:rsidRPr="009745E1" w:rsidRDefault="00DC7EBB" w:rsidP="003F0359">
      <w:pPr>
        <w:jc w:val="both"/>
        <w:rPr>
          <w:rFonts w:ascii="Century Gothic" w:hAnsi="Century Gothic"/>
        </w:rPr>
      </w:pPr>
      <w:r>
        <w:rPr>
          <w:rFonts w:ascii="Century Gothic" w:hAnsi="Century Gothic"/>
          <w:b/>
          <w:bCs/>
        </w:rPr>
        <w:t xml:space="preserve">Artículo </w:t>
      </w:r>
      <w:r w:rsidR="00822FC9">
        <w:rPr>
          <w:rFonts w:ascii="Century Gothic" w:hAnsi="Century Gothic"/>
          <w:b/>
          <w:bCs/>
        </w:rPr>
        <w:t>10</w:t>
      </w:r>
      <w:r w:rsidR="009745E1" w:rsidRPr="009745E1">
        <w:rPr>
          <w:rFonts w:ascii="Century Gothic" w:hAnsi="Century Gothic"/>
          <w:b/>
          <w:bCs/>
        </w:rPr>
        <w:t xml:space="preserve">. </w:t>
      </w:r>
      <w:r w:rsidR="009745E1" w:rsidRPr="009745E1">
        <w:rPr>
          <w:rFonts w:ascii="Century Gothic" w:hAnsi="Century Gothic"/>
        </w:rPr>
        <w:t>Modifíquese el artículo 179E de la Ley 906 de 2004, el cual quedará así:</w:t>
      </w:r>
    </w:p>
    <w:p w14:paraId="062525C9" w14:textId="77777777" w:rsidR="003F0359" w:rsidRDefault="009745E1" w:rsidP="003F0359">
      <w:pPr>
        <w:spacing w:after="0"/>
        <w:jc w:val="both"/>
        <w:rPr>
          <w:rFonts w:ascii="Century Gothic" w:hAnsi="Century Gothic"/>
        </w:rPr>
      </w:pPr>
      <w:r w:rsidRPr="009745E1">
        <w:rPr>
          <w:rFonts w:ascii="Century Gothic" w:hAnsi="Century Gothic"/>
          <w:b/>
          <w:bCs/>
        </w:rPr>
        <w:t>ARTÍCULO 179E. DECISIÓN DEL RECURSO.</w:t>
      </w:r>
      <w:r w:rsidRPr="009745E1">
        <w:rPr>
          <w:rFonts w:ascii="Century Gothic" w:hAnsi="Century Gothic"/>
        </w:rPr>
        <w:t xml:space="preserve"> Si el superior concede la apelación </w:t>
      </w:r>
      <w:r w:rsidRPr="004C63F7">
        <w:rPr>
          <w:rFonts w:ascii="Century Gothic" w:hAnsi="Century Gothic"/>
          <w:u w:val="single"/>
        </w:rPr>
        <w:t>o la impugnación especial</w:t>
      </w:r>
      <w:r w:rsidRPr="009745E1">
        <w:rPr>
          <w:rFonts w:ascii="Century Gothic" w:hAnsi="Century Gothic"/>
        </w:rPr>
        <w:t>, determinará el efecto que le corresponda y comunicará su decisión al inferior.</w:t>
      </w:r>
    </w:p>
    <w:p w14:paraId="306EE423" w14:textId="77777777" w:rsidR="003F0359" w:rsidRDefault="003F0359" w:rsidP="003F0359">
      <w:pPr>
        <w:spacing w:after="0"/>
        <w:jc w:val="both"/>
        <w:rPr>
          <w:rFonts w:ascii="Century Gothic" w:hAnsi="Century Gothic"/>
        </w:rPr>
      </w:pPr>
    </w:p>
    <w:p w14:paraId="4F3B761C" w14:textId="176B2DF9" w:rsidR="003F0359" w:rsidRDefault="009745E1" w:rsidP="003F0359">
      <w:pPr>
        <w:spacing w:after="0"/>
        <w:jc w:val="both"/>
        <w:rPr>
          <w:rFonts w:ascii="Century Gothic" w:hAnsi="Century Gothic"/>
        </w:rPr>
      </w:pPr>
      <w:r w:rsidRPr="009745E1">
        <w:rPr>
          <w:rFonts w:ascii="Century Gothic" w:hAnsi="Century Gothic"/>
          <w:b/>
          <w:bCs/>
        </w:rPr>
        <w:t>Artículo 1</w:t>
      </w:r>
      <w:r w:rsidR="00DC7EBB">
        <w:rPr>
          <w:rFonts w:ascii="Century Gothic" w:hAnsi="Century Gothic"/>
          <w:b/>
          <w:bCs/>
        </w:rPr>
        <w:t>1</w:t>
      </w:r>
      <w:r w:rsidR="00822FC9">
        <w:rPr>
          <w:rFonts w:ascii="Century Gothic" w:hAnsi="Century Gothic"/>
          <w:b/>
          <w:bCs/>
        </w:rPr>
        <w:t>.</w:t>
      </w:r>
      <w:r w:rsidRPr="009745E1">
        <w:rPr>
          <w:rFonts w:ascii="Century Gothic" w:hAnsi="Century Gothic"/>
          <w:b/>
          <w:bCs/>
        </w:rPr>
        <w:t xml:space="preserve"> Ejercicio de la impugnación especial para aforados. </w:t>
      </w:r>
      <w:r w:rsidRPr="009745E1">
        <w:rPr>
          <w:rFonts w:ascii="Century Gothic" w:hAnsi="Century Gothic"/>
        </w:rPr>
        <w:t xml:space="preserve">Los aforados constitucionales de los que tratan los numerales 3,4 y 5 del artículo 235 de la </w:t>
      </w:r>
      <w:r w:rsidR="00DC7EBB" w:rsidRPr="009745E1">
        <w:rPr>
          <w:rFonts w:ascii="Century Gothic" w:hAnsi="Century Gothic"/>
        </w:rPr>
        <w:t>Constitución,</w:t>
      </w:r>
      <w:r w:rsidRPr="009745E1">
        <w:rPr>
          <w:rFonts w:ascii="Century Gothic" w:hAnsi="Century Gothic"/>
        </w:rPr>
        <w:t xml:space="preserve"> así como los aforados legales señalados en el artículo 32 numeral 8 de la Ley 906 de 2004 tendrán derecho a impugnar la primera sentencia cond</w:t>
      </w:r>
      <w:r w:rsidR="003F0359">
        <w:rPr>
          <w:rFonts w:ascii="Century Gothic" w:hAnsi="Century Gothic"/>
        </w:rPr>
        <w:t>enatoria. </w:t>
      </w:r>
    </w:p>
    <w:p w14:paraId="20F9228D" w14:textId="77777777" w:rsidR="003F0359" w:rsidRDefault="003F0359" w:rsidP="003F0359">
      <w:pPr>
        <w:spacing w:after="0"/>
        <w:jc w:val="both"/>
        <w:rPr>
          <w:rFonts w:ascii="Century Gothic" w:hAnsi="Century Gothic"/>
        </w:rPr>
      </w:pPr>
    </w:p>
    <w:p w14:paraId="0BE37024" w14:textId="05CF7A29" w:rsidR="003F0359" w:rsidRDefault="009745E1" w:rsidP="003F0359">
      <w:pPr>
        <w:spacing w:after="0"/>
        <w:jc w:val="both"/>
        <w:rPr>
          <w:rFonts w:ascii="Century Gothic" w:hAnsi="Century Gothic"/>
        </w:rPr>
      </w:pPr>
      <w:r w:rsidRPr="009745E1">
        <w:rPr>
          <w:rFonts w:ascii="Century Gothic" w:hAnsi="Century Gothic"/>
        </w:rPr>
        <w:lastRenderedPageBreak/>
        <w:t>Para garantizar el principio de imparcialidad judicial, la Sala de Casación Penal de la Corte Suprema de Justicia se organizará en salas de decisión integradas por tres (3) magistrados, encargadas de conocer los e</w:t>
      </w:r>
      <w:r w:rsidR="00DC7EBB">
        <w:rPr>
          <w:rFonts w:ascii="Century Gothic" w:hAnsi="Century Gothic"/>
        </w:rPr>
        <w:t>ventuales recursos de apelación e</w:t>
      </w:r>
      <w:r w:rsidRPr="009745E1">
        <w:rPr>
          <w:rFonts w:ascii="Century Gothic" w:hAnsi="Century Gothic"/>
        </w:rPr>
        <w:t xml:space="preserve"> impugnación especial </w:t>
      </w:r>
      <w:r w:rsidR="003F0359">
        <w:rPr>
          <w:rFonts w:ascii="Century Gothic" w:hAnsi="Century Gothic"/>
        </w:rPr>
        <w:t>que puedan llegar a surtirse. </w:t>
      </w:r>
    </w:p>
    <w:p w14:paraId="038E1C10" w14:textId="77777777" w:rsidR="00822FC9" w:rsidRDefault="00822FC9" w:rsidP="003F0359">
      <w:pPr>
        <w:spacing w:after="0"/>
        <w:jc w:val="both"/>
        <w:rPr>
          <w:rFonts w:ascii="Century Gothic" w:hAnsi="Century Gothic"/>
        </w:rPr>
      </w:pPr>
    </w:p>
    <w:p w14:paraId="6A81FE86" w14:textId="77777777" w:rsidR="004C63F7" w:rsidRDefault="004C63F7" w:rsidP="003F0359">
      <w:pPr>
        <w:spacing w:after="0"/>
        <w:jc w:val="both"/>
        <w:rPr>
          <w:rFonts w:ascii="Century Gothic" w:hAnsi="Century Gothic"/>
        </w:rPr>
      </w:pPr>
      <w:r>
        <w:rPr>
          <w:rFonts w:ascii="Century Gothic" w:hAnsi="Century Gothic"/>
          <w:b/>
          <w:bCs/>
        </w:rPr>
        <w:t xml:space="preserve">Parágrafo 1. </w:t>
      </w:r>
      <w:r w:rsidR="009745E1" w:rsidRPr="009745E1">
        <w:rPr>
          <w:rFonts w:ascii="Century Gothic" w:hAnsi="Century Gothic"/>
        </w:rPr>
        <w:t>El recurso de impugnación especial será procedente sin observancia de que el proceso se tramite bajo el régimen procesal de la Ley 600</w:t>
      </w:r>
      <w:r>
        <w:rPr>
          <w:rFonts w:ascii="Century Gothic" w:hAnsi="Century Gothic"/>
        </w:rPr>
        <w:t xml:space="preserve"> de 2000 o la Ley 906 de 2004. </w:t>
      </w:r>
    </w:p>
    <w:p w14:paraId="780C756E" w14:textId="77777777" w:rsidR="004C63F7" w:rsidRDefault="004C63F7" w:rsidP="003F0359">
      <w:pPr>
        <w:spacing w:after="0"/>
        <w:jc w:val="both"/>
        <w:rPr>
          <w:rFonts w:ascii="Century Gothic" w:hAnsi="Century Gothic"/>
        </w:rPr>
      </w:pPr>
    </w:p>
    <w:p w14:paraId="3515885A" w14:textId="597B8B00" w:rsidR="009745E1" w:rsidRDefault="004C63F7" w:rsidP="003F0359">
      <w:pPr>
        <w:spacing w:after="0"/>
        <w:jc w:val="both"/>
        <w:rPr>
          <w:rFonts w:ascii="Century Gothic" w:hAnsi="Century Gothic"/>
        </w:rPr>
      </w:pPr>
      <w:r>
        <w:rPr>
          <w:rFonts w:ascii="Century Gothic" w:hAnsi="Century Gothic"/>
          <w:b/>
          <w:bCs/>
        </w:rPr>
        <w:t xml:space="preserve">Parágrafo 2. </w:t>
      </w:r>
      <w:r w:rsidR="009745E1" w:rsidRPr="009745E1">
        <w:rPr>
          <w:rFonts w:ascii="Century Gothic" w:hAnsi="Century Gothic"/>
        </w:rPr>
        <w:t xml:space="preserve">La Sala de Casación Penal contará con un reglamento interno que establezca mecanismos objetivos y aleatorios para la conformación de las </w:t>
      </w:r>
      <w:proofErr w:type="spellStart"/>
      <w:r w:rsidR="009745E1" w:rsidRPr="009745E1">
        <w:rPr>
          <w:rFonts w:ascii="Century Gothic" w:hAnsi="Century Gothic"/>
        </w:rPr>
        <w:t>subsalas</w:t>
      </w:r>
      <w:proofErr w:type="spellEnd"/>
      <w:r w:rsidR="009745E1" w:rsidRPr="009745E1">
        <w:rPr>
          <w:rFonts w:ascii="Century Gothic" w:hAnsi="Century Gothic"/>
        </w:rPr>
        <w:t>, garantizando la inmediatez en la designación y la especialización de los magistrados.</w:t>
      </w:r>
    </w:p>
    <w:p w14:paraId="01702B26" w14:textId="77777777" w:rsidR="003F0359" w:rsidRPr="009745E1" w:rsidRDefault="003F0359" w:rsidP="003F0359">
      <w:pPr>
        <w:spacing w:after="0"/>
        <w:jc w:val="both"/>
        <w:rPr>
          <w:rFonts w:ascii="Century Gothic" w:hAnsi="Century Gothic"/>
        </w:rPr>
      </w:pPr>
    </w:p>
    <w:p w14:paraId="161CACB4" w14:textId="556DB605" w:rsidR="009745E1" w:rsidRDefault="00DC7EBB" w:rsidP="003F0359">
      <w:pPr>
        <w:jc w:val="both"/>
        <w:rPr>
          <w:rFonts w:ascii="Century Gothic" w:hAnsi="Century Gothic"/>
        </w:rPr>
      </w:pPr>
      <w:r>
        <w:rPr>
          <w:rFonts w:ascii="Century Gothic" w:hAnsi="Century Gothic"/>
          <w:b/>
          <w:bCs/>
        </w:rPr>
        <w:t>Artículo 12</w:t>
      </w:r>
      <w:r w:rsidR="009745E1" w:rsidRPr="009745E1">
        <w:rPr>
          <w:rFonts w:ascii="Century Gothic" w:hAnsi="Century Gothic"/>
          <w:b/>
          <w:bCs/>
        </w:rPr>
        <w:t xml:space="preserve">. </w:t>
      </w:r>
      <w:r w:rsidR="009745E1" w:rsidRPr="009745E1">
        <w:rPr>
          <w:rFonts w:ascii="Century Gothic" w:hAnsi="Century Gothic"/>
        </w:rPr>
        <w:t>Modifíquese el artículo 189 de la Ley 906 de 2004, el cual quedará así:</w:t>
      </w:r>
    </w:p>
    <w:p w14:paraId="059E753F" w14:textId="4713F359" w:rsidR="003F0359" w:rsidRDefault="009745E1" w:rsidP="004C63F7">
      <w:pPr>
        <w:spacing w:after="0"/>
        <w:jc w:val="both"/>
        <w:rPr>
          <w:rFonts w:ascii="Century Gothic" w:hAnsi="Century Gothic"/>
        </w:rPr>
      </w:pPr>
      <w:r w:rsidRPr="009745E1">
        <w:rPr>
          <w:rFonts w:ascii="Century Gothic" w:hAnsi="Century Gothic"/>
          <w:b/>
          <w:bCs/>
        </w:rPr>
        <w:t>Artículo 189</w:t>
      </w:r>
      <w:r w:rsidR="00822FC9">
        <w:rPr>
          <w:rFonts w:ascii="Century Gothic" w:hAnsi="Century Gothic"/>
          <w:b/>
          <w:bCs/>
        </w:rPr>
        <w:t>.</w:t>
      </w:r>
      <w:r w:rsidRPr="009745E1">
        <w:rPr>
          <w:rFonts w:ascii="Century Gothic" w:hAnsi="Century Gothic"/>
          <w:b/>
          <w:bCs/>
        </w:rPr>
        <w:t xml:space="preserve"> Suspensión de la prescripción: </w:t>
      </w:r>
      <w:r w:rsidRPr="009745E1">
        <w:rPr>
          <w:rFonts w:ascii="Century Gothic" w:hAnsi="Century Gothic"/>
        </w:rPr>
        <w:t>proferida la sentencia de segunda instancia se suspenderá el término de prescripción, el cual comenzará a correr de nuevo sin que pueda ser superior a cinco (5) años. El mismo efecto generará la interposición del recurso de impugnación especial contra la primera sentencia condenatoria.</w:t>
      </w:r>
    </w:p>
    <w:p w14:paraId="51D45569" w14:textId="77777777" w:rsidR="004C63F7" w:rsidRDefault="004C63F7" w:rsidP="004C63F7">
      <w:pPr>
        <w:spacing w:after="0"/>
        <w:jc w:val="both"/>
        <w:rPr>
          <w:rFonts w:ascii="Century Gothic" w:hAnsi="Century Gothic"/>
        </w:rPr>
      </w:pPr>
    </w:p>
    <w:p w14:paraId="3AD1D977" w14:textId="67114FEA" w:rsidR="009745E1" w:rsidRPr="009745E1" w:rsidRDefault="00DC7EBB" w:rsidP="004C63F7">
      <w:pPr>
        <w:spacing w:after="0"/>
        <w:jc w:val="both"/>
        <w:rPr>
          <w:rFonts w:ascii="Century Gothic" w:hAnsi="Century Gothic"/>
        </w:rPr>
      </w:pPr>
      <w:r>
        <w:rPr>
          <w:rFonts w:ascii="Century Gothic" w:hAnsi="Century Gothic"/>
          <w:b/>
          <w:bCs/>
        </w:rPr>
        <w:t>Artículo 13</w:t>
      </w:r>
      <w:r w:rsidR="009745E1" w:rsidRPr="009745E1">
        <w:rPr>
          <w:rFonts w:ascii="Century Gothic" w:hAnsi="Century Gothic"/>
          <w:b/>
          <w:bCs/>
        </w:rPr>
        <w:t xml:space="preserve">. Derogatorias y vigencias. </w:t>
      </w:r>
      <w:r w:rsidR="009745E1" w:rsidRPr="009745E1">
        <w:rPr>
          <w:rFonts w:ascii="Century Gothic" w:hAnsi="Century Gothic"/>
        </w:rPr>
        <w:t>La presente ley empezará a regir a partir de la fecha de su publicación y deroga todas las disposiciones que le sean contrarias.</w:t>
      </w:r>
    </w:p>
    <w:p w14:paraId="1F906C05" w14:textId="77777777" w:rsidR="009745E1" w:rsidRPr="009745E1" w:rsidRDefault="009745E1" w:rsidP="009745E1">
      <w:pPr>
        <w:jc w:val="both"/>
        <w:rPr>
          <w:rFonts w:ascii="Century Gothic" w:hAnsi="Century Gothic"/>
        </w:rPr>
      </w:pPr>
      <w:r w:rsidRPr="009745E1">
        <w:rPr>
          <w:rFonts w:ascii="Century Gothic" w:hAnsi="Century Gothic"/>
        </w:rPr>
        <w:t>Atentamente, </w:t>
      </w:r>
    </w:p>
    <w:p w14:paraId="1840F7E9" w14:textId="77777777" w:rsidR="003F0359" w:rsidRPr="009745E1" w:rsidRDefault="003F0359" w:rsidP="003F0359">
      <w:pPr>
        <w:jc w:val="both"/>
        <w:rPr>
          <w:rFonts w:ascii="Century Gothic" w:hAnsi="Century Gothic"/>
        </w:rPr>
      </w:pPr>
    </w:p>
    <w:p w14:paraId="0F735980" w14:textId="77777777" w:rsidR="003F0359" w:rsidRPr="009745E1" w:rsidRDefault="003F0359" w:rsidP="003F0359">
      <w:pPr>
        <w:jc w:val="both"/>
        <w:rPr>
          <w:rFonts w:ascii="Century Gothic" w:hAnsi="Century Gothic"/>
        </w:rPr>
      </w:pPr>
      <w:r w:rsidRPr="009745E1">
        <w:rPr>
          <w:rFonts w:ascii="Century Gothic" w:hAnsi="Century Gothic"/>
        </w:rPr>
        <w:t>Atentamente, </w:t>
      </w:r>
    </w:p>
    <w:p w14:paraId="573D2B49" w14:textId="77777777" w:rsidR="003F0359" w:rsidRPr="009745E1" w:rsidRDefault="003F0359" w:rsidP="003F0359">
      <w:pPr>
        <w:jc w:val="both"/>
        <w:rPr>
          <w:rFonts w:ascii="Century Gothic" w:hAnsi="Century Gothic"/>
        </w:rPr>
      </w:pPr>
      <w:r w:rsidRPr="009745E1">
        <w:rPr>
          <w:rFonts w:ascii="Century Gothic" w:hAnsi="Century Gothic"/>
        </w:rPr>
        <w:br/>
      </w:r>
      <w:r w:rsidRPr="009745E1">
        <w:rPr>
          <w:rFonts w:ascii="Century Gothic" w:hAnsi="Century Gothic"/>
        </w:rPr>
        <w:br/>
      </w:r>
    </w:p>
    <w:p w14:paraId="60B27AAA" w14:textId="77777777" w:rsidR="003F0359" w:rsidRDefault="003F0359" w:rsidP="003F0359">
      <w:pPr>
        <w:spacing w:after="0" w:line="276" w:lineRule="auto"/>
        <w:rPr>
          <w:rFonts w:ascii="Century Gothic" w:hAnsi="Century Gothic"/>
          <w:b/>
          <w:bCs/>
        </w:rPr>
      </w:pPr>
      <w:r>
        <w:rPr>
          <w:rFonts w:ascii="Century Gothic" w:hAnsi="Century Gothic"/>
          <w:b/>
          <w:bCs/>
        </w:rPr>
        <w:t>Jorge Augusto Palacio Garzón</w:t>
      </w:r>
    </w:p>
    <w:p w14:paraId="3A18C238" w14:textId="77777777" w:rsidR="003F0359" w:rsidRDefault="003F0359" w:rsidP="003F0359">
      <w:pPr>
        <w:spacing w:after="0" w:line="276" w:lineRule="auto"/>
        <w:rPr>
          <w:rFonts w:ascii="Century Gothic" w:hAnsi="Century Gothic"/>
          <w:b/>
          <w:bCs/>
        </w:rPr>
      </w:pPr>
      <w:r w:rsidRPr="00CF15A7">
        <w:rPr>
          <w:rFonts w:ascii="Century Gothic" w:hAnsi="Century Gothic"/>
          <w:b/>
          <w:bCs/>
        </w:rPr>
        <w:t>Representante a la Cámara</w:t>
      </w:r>
    </w:p>
    <w:p w14:paraId="62DFBED9" w14:textId="77777777" w:rsidR="003F0359" w:rsidRPr="00CF15A7" w:rsidRDefault="003F0359" w:rsidP="003F0359">
      <w:pPr>
        <w:spacing w:after="0" w:line="276" w:lineRule="auto"/>
        <w:rPr>
          <w:rFonts w:ascii="Century Gothic" w:hAnsi="Century Gothic"/>
        </w:rPr>
      </w:pPr>
      <w:r>
        <w:rPr>
          <w:rFonts w:ascii="Century Gothic" w:hAnsi="Century Gothic"/>
          <w:b/>
          <w:bCs/>
        </w:rPr>
        <w:t>Ponente Único</w:t>
      </w:r>
    </w:p>
    <w:p w14:paraId="3CA9893D" w14:textId="77777777" w:rsidR="003F0359" w:rsidRPr="009745E1" w:rsidRDefault="003F0359" w:rsidP="003F0359">
      <w:pPr>
        <w:jc w:val="both"/>
        <w:rPr>
          <w:rFonts w:ascii="Century Gothic" w:hAnsi="Century Gothic"/>
        </w:rPr>
      </w:pPr>
    </w:p>
    <w:p w14:paraId="4B0B9D7B" w14:textId="77777777" w:rsidR="000E5CF1" w:rsidRPr="009745E1" w:rsidRDefault="000E5CF1" w:rsidP="009745E1">
      <w:pPr>
        <w:jc w:val="both"/>
        <w:rPr>
          <w:rFonts w:ascii="Century Gothic" w:hAnsi="Century Gothic"/>
        </w:rPr>
      </w:pPr>
    </w:p>
    <w:sectPr w:rsidR="000E5CF1" w:rsidRPr="009745E1" w:rsidSect="00021556">
      <w:headerReference w:type="default" r:id="rId12"/>
      <w:footerReference w:type="default" r:id="rId13"/>
      <w:pgSz w:w="12240" w:h="15840" w:code="1"/>
      <w:pgMar w:top="1843" w:right="1701" w:bottom="226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E3D39" w14:textId="77777777" w:rsidR="008052D2" w:rsidRDefault="008052D2" w:rsidP="00963FB5">
      <w:pPr>
        <w:spacing w:after="0" w:line="240" w:lineRule="auto"/>
      </w:pPr>
      <w:r>
        <w:separator/>
      </w:r>
    </w:p>
  </w:endnote>
  <w:endnote w:type="continuationSeparator" w:id="0">
    <w:p w14:paraId="0E24099E" w14:textId="77777777" w:rsidR="008052D2" w:rsidRDefault="008052D2" w:rsidP="00963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E824" w14:textId="6287D754" w:rsidR="00014E5E" w:rsidRDefault="00014E5E">
    <w:pPr>
      <w:pStyle w:val="Piedepgina"/>
    </w:pPr>
    <w:r>
      <w:rPr>
        <w:noProof/>
        <w:lang w:eastAsia="es-CO"/>
      </w:rPr>
      <w:drawing>
        <wp:anchor distT="0" distB="0" distL="114300" distR="114300" simplePos="0" relativeHeight="251661312" behindDoc="1" locked="0" layoutInCell="1" allowOverlap="1" wp14:anchorId="58D3B6A9" wp14:editId="1DBE5C06">
          <wp:simplePos x="0" y="0"/>
          <wp:positionH relativeFrom="page">
            <wp:align>left</wp:align>
          </wp:positionH>
          <wp:positionV relativeFrom="paragraph">
            <wp:posOffset>-3806267</wp:posOffset>
          </wp:positionV>
          <wp:extent cx="7761249" cy="4413672"/>
          <wp:effectExtent l="0" t="0" r="0" b="6350"/>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
                    <a:extLst>
                      <a:ext uri="{28A0092B-C50C-407E-A947-70E740481C1C}">
                        <a14:useLocalDpi xmlns:a14="http://schemas.microsoft.com/office/drawing/2010/main" val="0"/>
                      </a:ext>
                    </a:extLst>
                  </a:blip>
                  <a:stretch>
                    <a:fillRect/>
                  </a:stretch>
                </pic:blipFill>
                <pic:spPr>
                  <a:xfrm>
                    <a:off x="0" y="0"/>
                    <a:ext cx="7761249" cy="44136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171BD" w14:textId="77777777" w:rsidR="008052D2" w:rsidRDefault="008052D2" w:rsidP="00963FB5">
      <w:pPr>
        <w:spacing w:after="0" w:line="240" w:lineRule="auto"/>
      </w:pPr>
      <w:r>
        <w:separator/>
      </w:r>
    </w:p>
  </w:footnote>
  <w:footnote w:type="continuationSeparator" w:id="0">
    <w:p w14:paraId="5BF7E0CB" w14:textId="77777777" w:rsidR="008052D2" w:rsidRDefault="008052D2" w:rsidP="00963FB5">
      <w:pPr>
        <w:spacing w:after="0" w:line="240" w:lineRule="auto"/>
      </w:pPr>
      <w:r>
        <w:continuationSeparator/>
      </w:r>
    </w:p>
  </w:footnote>
  <w:footnote w:id="1">
    <w:p w14:paraId="3BE33E67" w14:textId="77777777" w:rsidR="00014E5E" w:rsidRPr="001D12F3" w:rsidRDefault="00014E5E" w:rsidP="000F0C11">
      <w:pPr>
        <w:pStyle w:val="Textonotapie"/>
        <w:jc w:val="both"/>
        <w:rPr>
          <w:rFonts w:ascii="Arial Narrow" w:hAnsi="Arial Narrow"/>
        </w:rPr>
      </w:pPr>
      <w:r w:rsidRPr="001D12F3">
        <w:rPr>
          <w:rStyle w:val="Refdenotaalpie"/>
          <w:rFonts w:ascii="Arial Narrow" w:hAnsi="Arial Narrow"/>
        </w:rPr>
        <w:footnoteRef/>
      </w:r>
      <w:r w:rsidRPr="001D12F3">
        <w:rPr>
          <w:rFonts w:ascii="Arial Narrow" w:hAnsi="Arial Narrow"/>
        </w:rPr>
        <w:t xml:space="preserve">  Corte Interamericana de Derechos Humanos</w:t>
      </w:r>
      <w:r>
        <w:rPr>
          <w:rFonts w:ascii="Arial Narrow" w:hAnsi="Arial Narrow"/>
        </w:rPr>
        <w:t>, c</w:t>
      </w:r>
      <w:r w:rsidRPr="001D12F3">
        <w:rPr>
          <w:rFonts w:ascii="Arial Narrow" w:hAnsi="Arial Narrow"/>
        </w:rPr>
        <w:t>a</w:t>
      </w:r>
      <w:r>
        <w:rPr>
          <w:rFonts w:ascii="Arial Narrow" w:hAnsi="Arial Narrow"/>
        </w:rPr>
        <w:t xml:space="preserve">so Barreto Leiva vs. Venezuela, </w:t>
      </w:r>
      <w:r w:rsidRPr="001D12F3">
        <w:rPr>
          <w:rFonts w:ascii="Arial Narrow" w:hAnsi="Arial Narrow"/>
        </w:rPr>
        <w:t>17 de noviembre de 2009.</w:t>
      </w:r>
    </w:p>
  </w:footnote>
  <w:footnote w:id="2">
    <w:p w14:paraId="17DDCD16" w14:textId="77777777" w:rsidR="00014E5E" w:rsidRPr="00BC438F" w:rsidRDefault="00014E5E" w:rsidP="000F0C11">
      <w:pPr>
        <w:pStyle w:val="Textonotapie"/>
      </w:pPr>
      <w:r>
        <w:rPr>
          <w:rStyle w:val="Refdenotaalpie"/>
        </w:rPr>
        <w:footnoteRef/>
      </w:r>
      <w:r>
        <w:t xml:space="preserve"> </w:t>
      </w:r>
      <w:r w:rsidRPr="001D12F3">
        <w:rPr>
          <w:rFonts w:ascii="Arial Narrow" w:hAnsi="Arial Narrow"/>
        </w:rPr>
        <w:t>Corte Inte</w:t>
      </w:r>
      <w:r>
        <w:rPr>
          <w:rFonts w:ascii="Arial Narrow" w:hAnsi="Arial Narrow"/>
        </w:rPr>
        <w:t>ramericana de Derechos Humanos,</w:t>
      </w:r>
      <w:r w:rsidRPr="00BC438F">
        <w:t xml:space="preserve"> </w:t>
      </w:r>
      <w:r>
        <w:rPr>
          <w:rFonts w:ascii="Arial Narrow" w:hAnsi="Arial Narrow"/>
        </w:rPr>
        <w:t>caso Vélez Loor v</w:t>
      </w:r>
      <w:r w:rsidRPr="00BC438F">
        <w:rPr>
          <w:rFonts w:ascii="Arial Narrow" w:hAnsi="Arial Narrow"/>
        </w:rPr>
        <w:t>s. Panamá</w:t>
      </w:r>
      <w:r>
        <w:rPr>
          <w:rFonts w:ascii="Arial Narrow" w:hAnsi="Arial Narrow"/>
        </w:rPr>
        <w:t xml:space="preserve">, </w:t>
      </w:r>
      <w:r w:rsidRPr="00BC438F">
        <w:rPr>
          <w:rFonts w:ascii="Arial Narrow" w:hAnsi="Arial Narrow"/>
        </w:rPr>
        <w:t>23 de noviembre de 2010</w:t>
      </w:r>
      <w:r>
        <w:rPr>
          <w:rFonts w:ascii="Arial Narrow" w:hAnsi="Arial Narrow"/>
        </w:rPr>
        <w:t>.</w:t>
      </w:r>
    </w:p>
  </w:footnote>
  <w:footnote w:id="3">
    <w:p w14:paraId="7FF7CEA0" w14:textId="77777777" w:rsidR="00014E5E" w:rsidRPr="00BC438F" w:rsidRDefault="00014E5E" w:rsidP="000F0C11">
      <w:pPr>
        <w:pStyle w:val="Textonotapie"/>
      </w:pPr>
      <w:r>
        <w:rPr>
          <w:rStyle w:val="Refdenotaalpie"/>
        </w:rPr>
        <w:footnoteRef/>
      </w:r>
      <w:r>
        <w:t xml:space="preserve"> </w:t>
      </w:r>
      <w:r w:rsidRPr="001D12F3">
        <w:rPr>
          <w:rFonts w:ascii="Arial Narrow" w:hAnsi="Arial Narrow"/>
        </w:rPr>
        <w:t>Corte Inte</w:t>
      </w:r>
      <w:r>
        <w:rPr>
          <w:rFonts w:ascii="Arial Narrow" w:hAnsi="Arial Narrow"/>
        </w:rPr>
        <w:t>ramericana de Derechos Humanos,</w:t>
      </w:r>
      <w:r w:rsidRPr="00BC438F">
        <w:t xml:space="preserve"> </w:t>
      </w:r>
      <w:r>
        <w:rPr>
          <w:rFonts w:ascii="Arial Narrow" w:hAnsi="Arial Narrow"/>
        </w:rPr>
        <w:t>caso Arboleda Gómez v</w:t>
      </w:r>
      <w:r w:rsidRPr="00BC438F">
        <w:rPr>
          <w:rFonts w:ascii="Arial Narrow" w:hAnsi="Arial Narrow"/>
        </w:rPr>
        <w:t>s.</w:t>
      </w:r>
      <w:r>
        <w:rPr>
          <w:rFonts w:ascii="Arial Narrow" w:hAnsi="Arial Narrow"/>
        </w:rPr>
        <w:t xml:space="preserve"> Colombia, 3 de junio de 2024.</w:t>
      </w:r>
    </w:p>
    <w:p w14:paraId="60BEDF9C" w14:textId="77777777" w:rsidR="00014E5E" w:rsidRDefault="00014E5E" w:rsidP="000F0C1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E007" w14:textId="7FBD4711" w:rsidR="00014E5E" w:rsidRDefault="00742B4B" w:rsidP="000E5CF1">
    <w:pPr>
      <w:pStyle w:val="Encabezado"/>
      <w:tabs>
        <w:tab w:val="clear" w:pos="8838"/>
        <w:tab w:val="right" w:pos="8789"/>
      </w:tabs>
    </w:pPr>
    <w:sdt>
      <w:sdtPr>
        <w:id w:val="918060563"/>
        <w:docPartObj>
          <w:docPartGallery w:val="Page Numbers (Margins)"/>
          <w:docPartUnique/>
        </w:docPartObj>
      </w:sdtPr>
      <w:sdtContent>
        <w:r>
          <w:rPr>
            <w:noProof/>
          </w:rPr>
          <mc:AlternateContent>
            <mc:Choice Requires="wps">
              <w:drawing>
                <wp:anchor distT="0" distB="0" distL="114300" distR="114300" simplePos="0" relativeHeight="251665408" behindDoc="0" locked="0" layoutInCell="0" allowOverlap="1" wp14:anchorId="0D4CD860" wp14:editId="70D73DE6">
                  <wp:simplePos x="0" y="0"/>
                  <wp:positionH relativeFrom="rightMargin">
                    <wp:align>center</wp:align>
                  </wp:positionH>
                  <wp:positionV relativeFrom="page">
                    <wp:align>center</wp:align>
                  </wp:positionV>
                  <wp:extent cx="762000" cy="895350"/>
                  <wp:effectExtent l="0" t="0" r="0" b="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24"/>
                                  <w:szCs w:val="24"/>
                                </w:rPr>
                                <w:id w:val="-1807150379"/>
                                <w:docPartObj>
                                  <w:docPartGallery w:val="Page Numbers (Margins)"/>
                                  <w:docPartUnique/>
                                </w:docPartObj>
                              </w:sdtPr>
                              <w:sdtContent>
                                <w:p w14:paraId="58158CDA" w14:textId="77777777" w:rsidR="00742B4B" w:rsidRPr="00742B4B" w:rsidRDefault="00742B4B">
                                  <w:pPr>
                                    <w:jc w:val="center"/>
                                    <w:rPr>
                                      <w:rFonts w:asciiTheme="majorHAnsi" w:eastAsiaTheme="majorEastAsia" w:hAnsiTheme="majorHAnsi" w:cstheme="majorBidi"/>
                                      <w:sz w:val="24"/>
                                      <w:szCs w:val="24"/>
                                    </w:rPr>
                                  </w:pPr>
                                  <w:r w:rsidRPr="00742B4B">
                                    <w:rPr>
                                      <w:rFonts w:eastAsiaTheme="minorEastAsia" w:cs="Times New Roman"/>
                                      <w:sz w:val="24"/>
                                      <w:szCs w:val="24"/>
                                    </w:rPr>
                                    <w:fldChar w:fldCharType="begin"/>
                                  </w:r>
                                  <w:r w:rsidRPr="00742B4B">
                                    <w:rPr>
                                      <w:sz w:val="24"/>
                                      <w:szCs w:val="24"/>
                                    </w:rPr>
                                    <w:instrText>PAGE  \* MERGEFORMAT</w:instrText>
                                  </w:r>
                                  <w:r w:rsidRPr="00742B4B">
                                    <w:rPr>
                                      <w:rFonts w:eastAsiaTheme="minorEastAsia" w:cs="Times New Roman"/>
                                      <w:sz w:val="24"/>
                                      <w:szCs w:val="24"/>
                                    </w:rPr>
                                    <w:fldChar w:fldCharType="separate"/>
                                  </w:r>
                                  <w:r w:rsidRPr="00742B4B">
                                    <w:rPr>
                                      <w:rFonts w:asciiTheme="majorHAnsi" w:eastAsiaTheme="majorEastAsia" w:hAnsiTheme="majorHAnsi" w:cstheme="majorBidi"/>
                                      <w:sz w:val="24"/>
                                      <w:szCs w:val="24"/>
                                      <w:lang w:val="es-MX"/>
                                    </w:rPr>
                                    <w:t>2</w:t>
                                  </w:r>
                                  <w:r w:rsidRPr="00742B4B">
                                    <w:rPr>
                                      <w:rFonts w:asciiTheme="majorHAnsi" w:eastAsiaTheme="majorEastAsia" w:hAnsiTheme="majorHAnsi" w:cstheme="majorBidi"/>
                                      <w:sz w:val="24"/>
                                      <w:szCs w:val="24"/>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CD860" id="Rectángulo 5" o:spid="_x0000_s1026" style="position:absolute;margin-left:0;margin-top:0;width:60pt;height:70.5pt;z-index:251665408;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24"/>
                            <w:szCs w:val="24"/>
                          </w:rPr>
                          <w:id w:val="-1807150379"/>
                          <w:docPartObj>
                            <w:docPartGallery w:val="Page Numbers (Margins)"/>
                            <w:docPartUnique/>
                          </w:docPartObj>
                        </w:sdtPr>
                        <w:sdtContent>
                          <w:p w14:paraId="58158CDA" w14:textId="77777777" w:rsidR="00742B4B" w:rsidRPr="00742B4B" w:rsidRDefault="00742B4B">
                            <w:pPr>
                              <w:jc w:val="center"/>
                              <w:rPr>
                                <w:rFonts w:asciiTheme="majorHAnsi" w:eastAsiaTheme="majorEastAsia" w:hAnsiTheme="majorHAnsi" w:cstheme="majorBidi"/>
                                <w:sz w:val="24"/>
                                <w:szCs w:val="24"/>
                              </w:rPr>
                            </w:pPr>
                            <w:r w:rsidRPr="00742B4B">
                              <w:rPr>
                                <w:rFonts w:eastAsiaTheme="minorEastAsia" w:cs="Times New Roman"/>
                                <w:sz w:val="24"/>
                                <w:szCs w:val="24"/>
                              </w:rPr>
                              <w:fldChar w:fldCharType="begin"/>
                            </w:r>
                            <w:r w:rsidRPr="00742B4B">
                              <w:rPr>
                                <w:sz w:val="24"/>
                                <w:szCs w:val="24"/>
                              </w:rPr>
                              <w:instrText>PAGE  \* MERGEFORMAT</w:instrText>
                            </w:r>
                            <w:r w:rsidRPr="00742B4B">
                              <w:rPr>
                                <w:rFonts w:eastAsiaTheme="minorEastAsia" w:cs="Times New Roman"/>
                                <w:sz w:val="24"/>
                                <w:szCs w:val="24"/>
                              </w:rPr>
                              <w:fldChar w:fldCharType="separate"/>
                            </w:r>
                            <w:r w:rsidRPr="00742B4B">
                              <w:rPr>
                                <w:rFonts w:asciiTheme="majorHAnsi" w:eastAsiaTheme="majorEastAsia" w:hAnsiTheme="majorHAnsi" w:cstheme="majorBidi"/>
                                <w:sz w:val="24"/>
                                <w:szCs w:val="24"/>
                                <w:lang w:val="es-MX"/>
                              </w:rPr>
                              <w:t>2</w:t>
                            </w:r>
                            <w:r w:rsidRPr="00742B4B">
                              <w:rPr>
                                <w:rFonts w:asciiTheme="majorHAnsi" w:eastAsiaTheme="majorEastAsia" w:hAnsiTheme="majorHAnsi" w:cstheme="majorBidi"/>
                                <w:sz w:val="24"/>
                                <w:szCs w:val="24"/>
                              </w:rPr>
                              <w:fldChar w:fldCharType="end"/>
                            </w:r>
                          </w:p>
                        </w:sdtContent>
                      </w:sdt>
                    </w:txbxContent>
                  </v:textbox>
                  <w10:wrap anchorx="margin" anchory="page"/>
                </v:rect>
              </w:pict>
            </mc:Fallback>
          </mc:AlternateContent>
        </w:r>
      </w:sdtContent>
    </w:sdt>
    <w:r w:rsidR="00014E5E">
      <w:rPr>
        <w:noProof/>
        <w:lang w:eastAsia="es-CO"/>
      </w:rPr>
      <w:drawing>
        <wp:anchor distT="0" distB="0" distL="114300" distR="114300" simplePos="0" relativeHeight="251663360" behindDoc="0" locked="0" layoutInCell="1" allowOverlap="1" wp14:anchorId="7CEF0069" wp14:editId="17158D2D">
          <wp:simplePos x="0" y="0"/>
          <wp:positionH relativeFrom="column">
            <wp:posOffset>-514985</wp:posOffset>
          </wp:positionH>
          <wp:positionV relativeFrom="paragraph">
            <wp:posOffset>-564515</wp:posOffset>
          </wp:positionV>
          <wp:extent cx="3060757" cy="1009650"/>
          <wp:effectExtent l="0" t="0" r="635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rotWithShape="1">
                  <a:blip r:embed="rId1">
                    <a:alphaModFix/>
                    <a:extLst>
                      <a:ext uri="{28A0092B-C50C-407E-A947-70E740481C1C}">
                        <a14:useLocalDpi xmlns:a14="http://schemas.microsoft.com/office/drawing/2010/main" val="0"/>
                      </a:ext>
                    </a:extLst>
                  </a:blip>
                  <a:srcRect l="-1976" r="59168"/>
                  <a:stretch/>
                </pic:blipFill>
                <pic:spPr bwMode="auto">
                  <a:xfrm>
                    <a:off x="0" y="0"/>
                    <a:ext cx="3060757" cy="1009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4E5E">
      <w:rPr>
        <w:noProof/>
        <w:lang w:eastAsia="es-CO"/>
      </w:rPr>
      <w:drawing>
        <wp:anchor distT="0" distB="0" distL="114300" distR="114300" simplePos="0" relativeHeight="251660288" behindDoc="0" locked="0" layoutInCell="1" allowOverlap="1" wp14:anchorId="2FA79E4F" wp14:editId="040213D6">
          <wp:simplePos x="0" y="0"/>
          <wp:positionH relativeFrom="column">
            <wp:posOffset>2125345</wp:posOffset>
          </wp:positionH>
          <wp:positionV relativeFrom="paragraph">
            <wp:posOffset>-526415</wp:posOffset>
          </wp:positionV>
          <wp:extent cx="3975383" cy="1123950"/>
          <wp:effectExtent l="0" t="0" r="6350" b="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rotWithShape="1">
                  <a:blip r:embed="rId1">
                    <a:alphaModFix/>
                    <a:extLst>
                      <a:ext uri="{28A0092B-C50C-407E-A947-70E740481C1C}">
                        <a14:useLocalDpi xmlns:a14="http://schemas.microsoft.com/office/drawing/2010/main" val="0"/>
                      </a:ext>
                    </a:extLst>
                  </a:blip>
                  <a:srcRect l="50048"/>
                  <a:stretch/>
                </pic:blipFill>
                <pic:spPr bwMode="auto">
                  <a:xfrm>
                    <a:off x="0" y="0"/>
                    <a:ext cx="3975383" cy="1123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0CC2"/>
    <w:multiLevelType w:val="multilevel"/>
    <w:tmpl w:val="526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72E6C"/>
    <w:multiLevelType w:val="multilevel"/>
    <w:tmpl w:val="44EE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F2C84"/>
    <w:multiLevelType w:val="multilevel"/>
    <w:tmpl w:val="1F72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F7986"/>
    <w:multiLevelType w:val="multilevel"/>
    <w:tmpl w:val="16ECA2E0"/>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B91CA1"/>
    <w:multiLevelType w:val="multilevel"/>
    <w:tmpl w:val="F898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2A08A9"/>
    <w:multiLevelType w:val="hybridMultilevel"/>
    <w:tmpl w:val="DCE27F1E"/>
    <w:lvl w:ilvl="0" w:tplc="18B89CD0">
      <w:start w:val="2"/>
      <w:numFmt w:val="upperRoman"/>
      <w:lvlText w:val="%1."/>
      <w:lvlJc w:val="right"/>
      <w:pPr>
        <w:tabs>
          <w:tab w:val="num" w:pos="720"/>
        </w:tabs>
        <w:ind w:left="720" w:hanging="360"/>
      </w:pPr>
    </w:lvl>
    <w:lvl w:ilvl="1" w:tplc="74845F56" w:tentative="1">
      <w:start w:val="1"/>
      <w:numFmt w:val="decimal"/>
      <w:lvlText w:val="%2."/>
      <w:lvlJc w:val="left"/>
      <w:pPr>
        <w:tabs>
          <w:tab w:val="num" w:pos="1440"/>
        </w:tabs>
        <w:ind w:left="1440" w:hanging="360"/>
      </w:pPr>
    </w:lvl>
    <w:lvl w:ilvl="2" w:tplc="D654FBDA" w:tentative="1">
      <w:start w:val="1"/>
      <w:numFmt w:val="decimal"/>
      <w:lvlText w:val="%3."/>
      <w:lvlJc w:val="left"/>
      <w:pPr>
        <w:tabs>
          <w:tab w:val="num" w:pos="2160"/>
        </w:tabs>
        <w:ind w:left="2160" w:hanging="360"/>
      </w:pPr>
    </w:lvl>
    <w:lvl w:ilvl="3" w:tplc="94E20C5A" w:tentative="1">
      <w:start w:val="1"/>
      <w:numFmt w:val="decimal"/>
      <w:lvlText w:val="%4."/>
      <w:lvlJc w:val="left"/>
      <w:pPr>
        <w:tabs>
          <w:tab w:val="num" w:pos="2880"/>
        </w:tabs>
        <w:ind w:left="2880" w:hanging="360"/>
      </w:pPr>
    </w:lvl>
    <w:lvl w:ilvl="4" w:tplc="147066A0" w:tentative="1">
      <w:start w:val="1"/>
      <w:numFmt w:val="decimal"/>
      <w:lvlText w:val="%5."/>
      <w:lvlJc w:val="left"/>
      <w:pPr>
        <w:tabs>
          <w:tab w:val="num" w:pos="3600"/>
        </w:tabs>
        <w:ind w:left="3600" w:hanging="360"/>
      </w:pPr>
    </w:lvl>
    <w:lvl w:ilvl="5" w:tplc="9F1EC7FC" w:tentative="1">
      <w:start w:val="1"/>
      <w:numFmt w:val="decimal"/>
      <w:lvlText w:val="%6."/>
      <w:lvlJc w:val="left"/>
      <w:pPr>
        <w:tabs>
          <w:tab w:val="num" w:pos="4320"/>
        </w:tabs>
        <w:ind w:left="4320" w:hanging="360"/>
      </w:pPr>
    </w:lvl>
    <w:lvl w:ilvl="6" w:tplc="AFA25A10" w:tentative="1">
      <w:start w:val="1"/>
      <w:numFmt w:val="decimal"/>
      <w:lvlText w:val="%7."/>
      <w:lvlJc w:val="left"/>
      <w:pPr>
        <w:tabs>
          <w:tab w:val="num" w:pos="5040"/>
        </w:tabs>
        <w:ind w:left="5040" w:hanging="360"/>
      </w:pPr>
    </w:lvl>
    <w:lvl w:ilvl="7" w:tplc="B0F05E02" w:tentative="1">
      <w:start w:val="1"/>
      <w:numFmt w:val="decimal"/>
      <w:lvlText w:val="%8."/>
      <w:lvlJc w:val="left"/>
      <w:pPr>
        <w:tabs>
          <w:tab w:val="num" w:pos="5760"/>
        </w:tabs>
        <w:ind w:left="5760" w:hanging="360"/>
      </w:pPr>
    </w:lvl>
    <w:lvl w:ilvl="8" w:tplc="F8B4C7A8" w:tentative="1">
      <w:start w:val="1"/>
      <w:numFmt w:val="decimal"/>
      <w:lvlText w:val="%9."/>
      <w:lvlJc w:val="left"/>
      <w:pPr>
        <w:tabs>
          <w:tab w:val="num" w:pos="6480"/>
        </w:tabs>
        <w:ind w:left="6480" w:hanging="360"/>
      </w:pPr>
    </w:lvl>
  </w:abstractNum>
  <w:abstractNum w:abstractNumId="6" w15:restartNumberingAfterBreak="0">
    <w:nsid w:val="49B5674C"/>
    <w:multiLevelType w:val="hybridMultilevel"/>
    <w:tmpl w:val="F39AF73A"/>
    <w:lvl w:ilvl="0" w:tplc="2F36A59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7163C7F"/>
    <w:multiLevelType w:val="multilevel"/>
    <w:tmpl w:val="2A52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0B31E1"/>
    <w:multiLevelType w:val="multilevel"/>
    <w:tmpl w:val="9FE0F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450151"/>
    <w:multiLevelType w:val="hybridMultilevel"/>
    <w:tmpl w:val="468856BE"/>
    <w:lvl w:ilvl="0" w:tplc="1F0C7FCC">
      <w:start w:val="3"/>
      <w:numFmt w:val="upperRoman"/>
      <w:lvlText w:val="%1."/>
      <w:lvlJc w:val="right"/>
      <w:pPr>
        <w:tabs>
          <w:tab w:val="num" w:pos="720"/>
        </w:tabs>
        <w:ind w:left="720" w:hanging="360"/>
      </w:pPr>
    </w:lvl>
    <w:lvl w:ilvl="1" w:tplc="24FAD3A0" w:tentative="1">
      <w:start w:val="1"/>
      <w:numFmt w:val="decimal"/>
      <w:lvlText w:val="%2."/>
      <w:lvlJc w:val="left"/>
      <w:pPr>
        <w:tabs>
          <w:tab w:val="num" w:pos="1440"/>
        </w:tabs>
        <w:ind w:left="1440" w:hanging="360"/>
      </w:pPr>
    </w:lvl>
    <w:lvl w:ilvl="2" w:tplc="23968CFA" w:tentative="1">
      <w:start w:val="1"/>
      <w:numFmt w:val="decimal"/>
      <w:lvlText w:val="%3."/>
      <w:lvlJc w:val="left"/>
      <w:pPr>
        <w:tabs>
          <w:tab w:val="num" w:pos="2160"/>
        </w:tabs>
        <w:ind w:left="2160" w:hanging="360"/>
      </w:pPr>
    </w:lvl>
    <w:lvl w:ilvl="3" w:tplc="BA4C779E" w:tentative="1">
      <w:start w:val="1"/>
      <w:numFmt w:val="decimal"/>
      <w:lvlText w:val="%4."/>
      <w:lvlJc w:val="left"/>
      <w:pPr>
        <w:tabs>
          <w:tab w:val="num" w:pos="2880"/>
        </w:tabs>
        <w:ind w:left="2880" w:hanging="360"/>
      </w:pPr>
    </w:lvl>
    <w:lvl w:ilvl="4" w:tplc="74069054" w:tentative="1">
      <w:start w:val="1"/>
      <w:numFmt w:val="decimal"/>
      <w:lvlText w:val="%5."/>
      <w:lvlJc w:val="left"/>
      <w:pPr>
        <w:tabs>
          <w:tab w:val="num" w:pos="3600"/>
        </w:tabs>
        <w:ind w:left="3600" w:hanging="360"/>
      </w:pPr>
    </w:lvl>
    <w:lvl w:ilvl="5" w:tplc="49FCC52A" w:tentative="1">
      <w:start w:val="1"/>
      <w:numFmt w:val="decimal"/>
      <w:lvlText w:val="%6."/>
      <w:lvlJc w:val="left"/>
      <w:pPr>
        <w:tabs>
          <w:tab w:val="num" w:pos="4320"/>
        </w:tabs>
        <w:ind w:left="4320" w:hanging="360"/>
      </w:pPr>
    </w:lvl>
    <w:lvl w:ilvl="6" w:tplc="6C3E26A8" w:tentative="1">
      <w:start w:val="1"/>
      <w:numFmt w:val="decimal"/>
      <w:lvlText w:val="%7."/>
      <w:lvlJc w:val="left"/>
      <w:pPr>
        <w:tabs>
          <w:tab w:val="num" w:pos="5040"/>
        </w:tabs>
        <w:ind w:left="5040" w:hanging="360"/>
      </w:pPr>
    </w:lvl>
    <w:lvl w:ilvl="7" w:tplc="4FEEE6EA" w:tentative="1">
      <w:start w:val="1"/>
      <w:numFmt w:val="decimal"/>
      <w:lvlText w:val="%8."/>
      <w:lvlJc w:val="left"/>
      <w:pPr>
        <w:tabs>
          <w:tab w:val="num" w:pos="5760"/>
        </w:tabs>
        <w:ind w:left="5760" w:hanging="360"/>
      </w:pPr>
    </w:lvl>
    <w:lvl w:ilvl="8" w:tplc="3DC4F708" w:tentative="1">
      <w:start w:val="1"/>
      <w:numFmt w:val="decimal"/>
      <w:lvlText w:val="%9."/>
      <w:lvlJc w:val="left"/>
      <w:pPr>
        <w:tabs>
          <w:tab w:val="num" w:pos="6480"/>
        </w:tabs>
        <w:ind w:left="6480" w:hanging="360"/>
      </w:pPr>
    </w:lvl>
  </w:abstractNum>
  <w:num w:numId="1" w16cid:durableId="1251542132">
    <w:abstractNumId w:val="6"/>
  </w:num>
  <w:num w:numId="2" w16cid:durableId="453329609">
    <w:abstractNumId w:val="8"/>
    <w:lvlOverride w:ilvl="0">
      <w:lvl w:ilvl="0">
        <w:numFmt w:val="upperRoman"/>
        <w:lvlText w:val="%1."/>
        <w:lvlJc w:val="right"/>
      </w:lvl>
    </w:lvlOverride>
  </w:num>
  <w:num w:numId="3" w16cid:durableId="429741004">
    <w:abstractNumId w:val="5"/>
  </w:num>
  <w:num w:numId="4" w16cid:durableId="1795517913">
    <w:abstractNumId w:val="9"/>
  </w:num>
  <w:num w:numId="5" w16cid:durableId="1964724896">
    <w:abstractNumId w:val="2"/>
  </w:num>
  <w:num w:numId="6" w16cid:durableId="507452538">
    <w:abstractNumId w:val="1"/>
  </w:num>
  <w:num w:numId="7" w16cid:durableId="375814013">
    <w:abstractNumId w:val="4"/>
  </w:num>
  <w:num w:numId="8" w16cid:durableId="332799186">
    <w:abstractNumId w:val="0"/>
  </w:num>
  <w:num w:numId="9" w16cid:durableId="883757363">
    <w:abstractNumId w:val="7"/>
  </w:num>
  <w:num w:numId="10" w16cid:durableId="282394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B5"/>
    <w:rsid w:val="0000262B"/>
    <w:rsid w:val="00014E5E"/>
    <w:rsid w:val="00021556"/>
    <w:rsid w:val="0004602A"/>
    <w:rsid w:val="00065BD7"/>
    <w:rsid w:val="00072342"/>
    <w:rsid w:val="00084D85"/>
    <w:rsid w:val="000A2E03"/>
    <w:rsid w:val="000B50D3"/>
    <w:rsid w:val="000E4406"/>
    <w:rsid w:val="000E5CF1"/>
    <w:rsid w:val="000F0C11"/>
    <w:rsid w:val="0012279A"/>
    <w:rsid w:val="001579D4"/>
    <w:rsid w:val="00186C6E"/>
    <w:rsid w:val="00195B75"/>
    <w:rsid w:val="001978D2"/>
    <w:rsid w:val="001C338D"/>
    <w:rsid w:val="001D12F3"/>
    <w:rsid w:val="001D2D81"/>
    <w:rsid w:val="001D7FC1"/>
    <w:rsid w:val="00280C72"/>
    <w:rsid w:val="00281C74"/>
    <w:rsid w:val="00295D0C"/>
    <w:rsid w:val="002B0541"/>
    <w:rsid w:val="002C13A7"/>
    <w:rsid w:val="002F30FB"/>
    <w:rsid w:val="00303C09"/>
    <w:rsid w:val="00351298"/>
    <w:rsid w:val="003755F3"/>
    <w:rsid w:val="0039443A"/>
    <w:rsid w:val="003D56C4"/>
    <w:rsid w:val="003E4491"/>
    <w:rsid w:val="003F0359"/>
    <w:rsid w:val="00402AE7"/>
    <w:rsid w:val="004633F5"/>
    <w:rsid w:val="004A7B4F"/>
    <w:rsid w:val="004C025D"/>
    <w:rsid w:val="004C63F7"/>
    <w:rsid w:val="004E5B94"/>
    <w:rsid w:val="004E7837"/>
    <w:rsid w:val="00516B91"/>
    <w:rsid w:val="00516C02"/>
    <w:rsid w:val="00533E65"/>
    <w:rsid w:val="0056307C"/>
    <w:rsid w:val="00564AD8"/>
    <w:rsid w:val="005A36FB"/>
    <w:rsid w:val="005C04BC"/>
    <w:rsid w:val="005D69FD"/>
    <w:rsid w:val="0066022E"/>
    <w:rsid w:val="006749EB"/>
    <w:rsid w:val="0067586E"/>
    <w:rsid w:val="006A1F48"/>
    <w:rsid w:val="006C579B"/>
    <w:rsid w:val="006E3AA0"/>
    <w:rsid w:val="0070273F"/>
    <w:rsid w:val="007030F5"/>
    <w:rsid w:val="007109D0"/>
    <w:rsid w:val="00742B4B"/>
    <w:rsid w:val="00784A6B"/>
    <w:rsid w:val="00787F3E"/>
    <w:rsid w:val="007C3900"/>
    <w:rsid w:val="007C628C"/>
    <w:rsid w:val="007D6CC7"/>
    <w:rsid w:val="008052D2"/>
    <w:rsid w:val="008069CE"/>
    <w:rsid w:val="00811578"/>
    <w:rsid w:val="008142D2"/>
    <w:rsid w:val="00822FC9"/>
    <w:rsid w:val="008625FE"/>
    <w:rsid w:val="0088776C"/>
    <w:rsid w:val="008A219A"/>
    <w:rsid w:val="008B3A09"/>
    <w:rsid w:val="008C40D0"/>
    <w:rsid w:val="008E0E94"/>
    <w:rsid w:val="0092361D"/>
    <w:rsid w:val="00936AAA"/>
    <w:rsid w:val="00955685"/>
    <w:rsid w:val="00963FB5"/>
    <w:rsid w:val="00965B2C"/>
    <w:rsid w:val="009745E1"/>
    <w:rsid w:val="009D1922"/>
    <w:rsid w:val="009F5737"/>
    <w:rsid w:val="00A0326F"/>
    <w:rsid w:val="00A1091F"/>
    <w:rsid w:val="00A14D41"/>
    <w:rsid w:val="00A238DF"/>
    <w:rsid w:val="00AA2BF9"/>
    <w:rsid w:val="00AF295B"/>
    <w:rsid w:val="00B13B0E"/>
    <w:rsid w:val="00B21250"/>
    <w:rsid w:val="00B62E0A"/>
    <w:rsid w:val="00B76818"/>
    <w:rsid w:val="00BC438F"/>
    <w:rsid w:val="00BD55E4"/>
    <w:rsid w:val="00C1327C"/>
    <w:rsid w:val="00C53725"/>
    <w:rsid w:val="00C65136"/>
    <w:rsid w:val="00C65A52"/>
    <w:rsid w:val="00C83D94"/>
    <w:rsid w:val="00CB0AC1"/>
    <w:rsid w:val="00CF1725"/>
    <w:rsid w:val="00D60EF5"/>
    <w:rsid w:val="00D71AD9"/>
    <w:rsid w:val="00D75694"/>
    <w:rsid w:val="00D8170A"/>
    <w:rsid w:val="00DB4D03"/>
    <w:rsid w:val="00DC5BE9"/>
    <w:rsid w:val="00DC7EBB"/>
    <w:rsid w:val="00DD0F5D"/>
    <w:rsid w:val="00DE6B40"/>
    <w:rsid w:val="00E16493"/>
    <w:rsid w:val="00E80BEB"/>
    <w:rsid w:val="00EA2479"/>
    <w:rsid w:val="00ED74C6"/>
    <w:rsid w:val="00F75426"/>
    <w:rsid w:val="00F81CD4"/>
    <w:rsid w:val="00FE07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F7EAE"/>
  <w15:chartTrackingRefBased/>
  <w15:docId w15:val="{CF4C0B91-1BE0-4645-8EB0-EF414CBE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BD7"/>
  </w:style>
  <w:style w:type="paragraph" w:styleId="Ttulo2">
    <w:name w:val="heading 2"/>
    <w:basedOn w:val="Normal"/>
    <w:link w:val="Ttulo2Car"/>
    <w:uiPriority w:val="9"/>
    <w:qFormat/>
    <w:rsid w:val="002C13A7"/>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3F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3FB5"/>
  </w:style>
  <w:style w:type="paragraph" w:styleId="Piedepgina">
    <w:name w:val="footer"/>
    <w:basedOn w:val="Normal"/>
    <w:link w:val="PiedepginaCar"/>
    <w:uiPriority w:val="99"/>
    <w:unhideWhenUsed/>
    <w:rsid w:val="00963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3FB5"/>
  </w:style>
  <w:style w:type="character" w:customStyle="1" w:styleId="Ttulo2Car">
    <w:name w:val="Título 2 Car"/>
    <w:basedOn w:val="Fuentedeprrafopredeter"/>
    <w:link w:val="Ttulo2"/>
    <w:uiPriority w:val="9"/>
    <w:rsid w:val="002C13A7"/>
    <w:rPr>
      <w:rFonts w:ascii="Times New Roman" w:eastAsia="Times New Roman" w:hAnsi="Times New Roman" w:cs="Times New Roman"/>
      <w:b/>
      <w:bCs/>
      <w:sz w:val="36"/>
      <w:szCs w:val="36"/>
      <w:lang w:eastAsia="es-CO"/>
    </w:rPr>
  </w:style>
  <w:style w:type="paragraph" w:styleId="NormalWeb">
    <w:name w:val="Normal (Web)"/>
    <w:basedOn w:val="Normal"/>
    <w:uiPriority w:val="99"/>
    <w:semiHidden/>
    <w:unhideWhenUsed/>
    <w:rsid w:val="002C13A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2C13A7"/>
    <w:rPr>
      <w:b/>
      <w:bCs/>
    </w:rPr>
  </w:style>
  <w:style w:type="paragraph" w:customStyle="1" w:styleId="s5">
    <w:name w:val="s5"/>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s4">
    <w:name w:val="s4"/>
    <w:basedOn w:val="Fuentedeprrafopredeter"/>
    <w:rsid w:val="00CF1725"/>
  </w:style>
  <w:style w:type="paragraph" w:customStyle="1" w:styleId="s6">
    <w:name w:val="s6"/>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s2">
    <w:name w:val="s2"/>
    <w:basedOn w:val="Fuentedeprrafopredeter"/>
    <w:rsid w:val="00CF1725"/>
  </w:style>
  <w:style w:type="character" w:customStyle="1" w:styleId="apple-converted-space">
    <w:name w:val="apple-converted-space"/>
    <w:basedOn w:val="Fuentedeprrafopredeter"/>
    <w:rsid w:val="00CF1725"/>
  </w:style>
  <w:style w:type="character" w:customStyle="1" w:styleId="s8">
    <w:name w:val="s8"/>
    <w:basedOn w:val="Fuentedeprrafopredeter"/>
    <w:rsid w:val="00CF1725"/>
  </w:style>
  <w:style w:type="character" w:customStyle="1" w:styleId="s9">
    <w:name w:val="s9"/>
    <w:basedOn w:val="Fuentedeprrafopredeter"/>
    <w:rsid w:val="00CF1725"/>
  </w:style>
  <w:style w:type="paragraph" w:customStyle="1" w:styleId="s3">
    <w:name w:val="s3"/>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customStyle="1" w:styleId="s10">
    <w:name w:val="s10"/>
    <w:basedOn w:val="Normal"/>
    <w:rsid w:val="00CF1725"/>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Prrafodelista">
    <w:name w:val="List Paragraph"/>
    <w:basedOn w:val="Normal"/>
    <w:uiPriority w:val="34"/>
    <w:qFormat/>
    <w:rsid w:val="000E5CF1"/>
    <w:pPr>
      <w:ind w:left="720"/>
      <w:contextualSpacing/>
    </w:pPr>
  </w:style>
  <w:style w:type="paragraph" w:styleId="Textonotapie">
    <w:name w:val="footnote text"/>
    <w:basedOn w:val="Normal"/>
    <w:link w:val="TextonotapieCar"/>
    <w:uiPriority w:val="99"/>
    <w:semiHidden/>
    <w:unhideWhenUsed/>
    <w:rsid w:val="00195B7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5B75"/>
    <w:rPr>
      <w:sz w:val="20"/>
      <w:szCs w:val="20"/>
    </w:rPr>
  </w:style>
  <w:style w:type="character" w:styleId="Refdenotaalpie">
    <w:name w:val="footnote reference"/>
    <w:basedOn w:val="Fuentedeprrafopredeter"/>
    <w:uiPriority w:val="99"/>
    <w:semiHidden/>
    <w:unhideWhenUsed/>
    <w:rsid w:val="00195B75"/>
    <w:rPr>
      <w:vertAlign w:val="superscript"/>
    </w:rPr>
  </w:style>
  <w:style w:type="character" w:styleId="Hipervnculo">
    <w:name w:val="Hyperlink"/>
    <w:basedOn w:val="Fuentedeprrafopredeter"/>
    <w:uiPriority w:val="99"/>
    <w:unhideWhenUsed/>
    <w:rsid w:val="009745E1"/>
    <w:rPr>
      <w:color w:val="0563C1" w:themeColor="hyperlink"/>
      <w:u w:val="single"/>
    </w:rPr>
  </w:style>
  <w:style w:type="character" w:customStyle="1" w:styleId="Mencinsinresolver1">
    <w:name w:val="Mención sin resolver1"/>
    <w:basedOn w:val="Fuentedeprrafopredeter"/>
    <w:uiPriority w:val="99"/>
    <w:semiHidden/>
    <w:unhideWhenUsed/>
    <w:rsid w:val="00974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6626">
      <w:bodyDiv w:val="1"/>
      <w:marLeft w:val="0"/>
      <w:marRight w:val="0"/>
      <w:marTop w:val="0"/>
      <w:marBottom w:val="0"/>
      <w:divBdr>
        <w:top w:val="none" w:sz="0" w:space="0" w:color="auto"/>
        <w:left w:val="none" w:sz="0" w:space="0" w:color="auto"/>
        <w:bottom w:val="none" w:sz="0" w:space="0" w:color="auto"/>
        <w:right w:val="none" w:sz="0" w:space="0" w:color="auto"/>
      </w:divBdr>
    </w:div>
    <w:div w:id="141310589">
      <w:bodyDiv w:val="1"/>
      <w:marLeft w:val="0"/>
      <w:marRight w:val="0"/>
      <w:marTop w:val="0"/>
      <w:marBottom w:val="0"/>
      <w:divBdr>
        <w:top w:val="none" w:sz="0" w:space="0" w:color="auto"/>
        <w:left w:val="none" w:sz="0" w:space="0" w:color="auto"/>
        <w:bottom w:val="none" w:sz="0" w:space="0" w:color="auto"/>
        <w:right w:val="none" w:sz="0" w:space="0" w:color="auto"/>
      </w:divBdr>
    </w:div>
    <w:div w:id="182134354">
      <w:bodyDiv w:val="1"/>
      <w:marLeft w:val="0"/>
      <w:marRight w:val="0"/>
      <w:marTop w:val="0"/>
      <w:marBottom w:val="0"/>
      <w:divBdr>
        <w:top w:val="none" w:sz="0" w:space="0" w:color="auto"/>
        <w:left w:val="none" w:sz="0" w:space="0" w:color="auto"/>
        <w:bottom w:val="none" w:sz="0" w:space="0" w:color="auto"/>
        <w:right w:val="none" w:sz="0" w:space="0" w:color="auto"/>
      </w:divBdr>
      <w:divsChild>
        <w:div w:id="18363211">
          <w:marLeft w:val="-675"/>
          <w:marRight w:val="0"/>
          <w:marTop w:val="0"/>
          <w:marBottom w:val="0"/>
          <w:divBdr>
            <w:top w:val="none" w:sz="0" w:space="0" w:color="auto"/>
            <w:left w:val="none" w:sz="0" w:space="0" w:color="auto"/>
            <w:bottom w:val="none" w:sz="0" w:space="0" w:color="auto"/>
            <w:right w:val="none" w:sz="0" w:space="0" w:color="auto"/>
          </w:divBdr>
        </w:div>
      </w:divsChild>
    </w:div>
    <w:div w:id="347489796">
      <w:bodyDiv w:val="1"/>
      <w:marLeft w:val="0"/>
      <w:marRight w:val="0"/>
      <w:marTop w:val="0"/>
      <w:marBottom w:val="0"/>
      <w:divBdr>
        <w:top w:val="none" w:sz="0" w:space="0" w:color="auto"/>
        <w:left w:val="none" w:sz="0" w:space="0" w:color="auto"/>
        <w:bottom w:val="none" w:sz="0" w:space="0" w:color="auto"/>
        <w:right w:val="none" w:sz="0" w:space="0" w:color="auto"/>
      </w:divBdr>
      <w:divsChild>
        <w:div w:id="872809269">
          <w:blockQuote w:val="1"/>
          <w:marLeft w:val="180"/>
          <w:marRight w:val="0"/>
          <w:marTop w:val="300"/>
          <w:marBottom w:val="270"/>
          <w:divBdr>
            <w:top w:val="none" w:sz="0" w:space="0" w:color="auto"/>
            <w:left w:val="single" w:sz="12" w:space="11" w:color="A34340"/>
            <w:bottom w:val="none" w:sz="0" w:space="0" w:color="auto"/>
            <w:right w:val="none" w:sz="0" w:space="0" w:color="auto"/>
          </w:divBdr>
        </w:div>
      </w:divsChild>
    </w:div>
    <w:div w:id="530337396">
      <w:bodyDiv w:val="1"/>
      <w:marLeft w:val="0"/>
      <w:marRight w:val="0"/>
      <w:marTop w:val="0"/>
      <w:marBottom w:val="0"/>
      <w:divBdr>
        <w:top w:val="none" w:sz="0" w:space="0" w:color="auto"/>
        <w:left w:val="none" w:sz="0" w:space="0" w:color="auto"/>
        <w:bottom w:val="none" w:sz="0" w:space="0" w:color="auto"/>
        <w:right w:val="none" w:sz="0" w:space="0" w:color="auto"/>
      </w:divBdr>
    </w:div>
    <w:div w:id="817844054">
      <w:bodyDiv w:val="1"/>
      <w:marLeft w:val="0"/>
      <w:marRight w:val="0"/>
      <w:marTop w:val="0"/>
      <w:marBottom w:val="0"/>
      <w:divBdr>
        <w:top w:val="none" w:sz="0" w:space="0" w:color="auto"/>
        <w:left w:val="none" w:sz="0" w:space="0" w:color="auto"/>
        <w:bottom w:val="none" w:sz="0" w:space="0" w:color="auto"/>
        <w:right w:val="none" w:sz="0" w:space="0" w:color="auto"/>
      </w:divBdr>
    </w:div>
    <w:div w:id="871266086">
      <w:bodyDiv w:val="1"/>
      <w:marLeft w:val="0"/>
      <w:marRight w:val="0"/>
      <w:marTop w:val="0"/>
      <w:marBottom w:val="0"/>
      <w:divBdr>
        <w:top w:val="none" w:sz="0" w:space="0" w:color="auto"/>
        <w:left w:val="none" w:sz="0" w:space="0" w:color="auto"/>
        <w:bottom w:val="none" w:sz="0" w:space="0" w:color="auto"/>
        <w:right w:val="none" w:sz="0" w:space="0" w:color="auto"/>
      </w:divBdr>
    </w:div>
    <w:div w:id="889925092">
      <w:bodyDiv w:val="1"/>
      <w:marLeft w:val="0"/>
      <w:marRight w:val="0"/>
      <w:marTop w:val="0"/>
      <w:marBottom w:val="0"/>
      <w:divBdr>
        <w:top w:val="none" w:sz="0" w:space="0" w:color="auto"/>
        <w:left w:val="none" w:sz="0" w:space="0" w:color="auto"/>
        <w:bottom w:val="none" w:sz="0" w:space="0" w:color="auto"/>
        <w:right w:val="none" w:sz="0" w:space="0" w:color="auto"/>
      </w:divBdr>
    </w:div>
    <w:div w:id="905728992">
      <w:bodyDiv w:val="1"/>
      <w:marLeft w:val="0"/>
      <w:marRight w:val="0"/>
      <w:marTop w:val="0"/>
      <w:marBottom w:val="0"/>
      <w:divBdr>
        <w:top w:val="none" w:sz="0" w:space="0" w:color="auto"/>
        <w:left w:val="none" w:sz="0" w:space="0" w:color="auto"/>
        <w:bottom w:val="none" w:sz="0" w:space="0" w:color="auto"/>
        <w:right w:val="none" w:sz="0" w:space="0" w:color="auto"/>
      </w:divBdr>
    </w:div>
    <w:div w:id="919486785">
      <w:bodyDiv w:val="1"/>
      <w:marLeft w:val="0"/>
      <w:marRight w:val="0"/>
      <w:marTop w:val="0"/>
      <w:marBottom w:val="0"/>
      <w:divBdr>
        <w:top w:val="none" w:sz="0" w:space="0" w:color="auto"/>
        <w:left w:val="none" w:sz="0" w:space="0" w:color="auto"/>
        <w:bottom w:val="none" w:sz="0" w:space="0" w:color="auto"/>
        <w:right w:val="none" w:sz="0" w:space="0" w:color="auto"/>
      </w:divBdr>
    </w:div>
    <w:div w:id="1148285132">
      <w:bodyDiv w:val="1"/>
      <w:marLeft w:val="0"/>
      <w:marRight w:val="0"/>
      <w:marTop w:val="0"/>
      <w:marBottom w:val="0"/>
      <w:divBdr>
        <w:top w:val="none" w:sz="0" w:space="0" w:color="auto"/>
        <w:left w:val="none" w:sz="0" w:space="0" w:color="auto"/>
        <w:bottom w:val="none" w:sz="0" w:space="0" w:color="auto"/>
        <w:right w:val="none" w:sz="0" w:space="0" w:color="auto"/>
      </w:divBdr>
    </w:div>
    <w:div w:id="1265846660">
      <w:bodyDiv w:val="1"/>
      <w:marLeft w:val="0"/>
      <w:marRight w:val="0"/>
      <w:marTop w:val="0"/>
      <w:marBottom w:val="0"/>
      <w:divBdr>
        <w:top w:val="none" w:sz="0" w:space="0" w:color="auto"/>
        <w:left w:val="none" w:sz="0" w:space="0" w:color="auto"/>
        <w:bottom w:val="none" w:sz="0" w:space="0" w:color="auto"/>
        <w:right w:val="none" w:sz="0" w:space="0" w:color="auto"/>
      </w:divBdr>
    </w:div>
    <w:div w:id="1319308501">
      <w:bodyDiv w:val="1"/>
      <w:marLeft w:val="0"/>
      <w:marRight w:val="0"/>
      <w:marTop w:val="0"/>
      <w:marBottom w:val="0"/>
      <w:divBdr>
        <w:top w:val="none" w:sz="0" w:space="0" w:color="auto"/>
        <w:left w:val="none" w:sz="0" w:space="0" w:color="auto"/>
        <w:bottom w:val="none" w:sz="0" w:space="0" w:color="auto"/>
        <w:right w:val="none" w:sz="0" w:space="0" w:color="auto"/>
      </w:divBdr>
    </w:div>
    <w:div w:id="1391658309">
      <w:bodyDiv w:val="1"/>
      <w:marLeft w:val="0"/>
      <w:marRight w:val="0"/>
      <w:marTop w:val="0"/>
      <w:marBottom w:val="0"/>
      <w:divBdr>
        <w:top w:val="none" w:sz="0" w:space="0" w:color="auto"/>
        <w:left w:val="none" w:sz="0" w:space="0" w:color="auto"/>
        <w:bottom w:val="none" w:sz="0" w:space="0" w:color="auto"/>
        <w:right w:val="none" w:sz="0" w:space="0" w:color="auto"/>
      </w:divBdr>
    </w:div>
    <w:div w:id="1503424175">
      <w:bodyDiv w:val="1"/>
      <w:marLeft w:val="0"/>
      <w:marRight w:val="0"/>
      <w:marTop w:val="0"/>
      <w:marBottom w:val="0"/>
      <w:divBdr>
        <w:top w:val="none" w:sz="0" w:space="0" w:color="auto"/>
        <w:left w:val="none" w:sz="0" w:space="0" w:color="auto"/>
        <w:bottom w:val="none" w:sz="0" w:space="0" w:color="auto"/>
        <w:right w:val="none" w:sz="0" w:space="0" w:color="auto"/>
      </w:divBdr>
    </w:div>
    <w:div w:id="1511338450">
      <w:bodyDiv w:val="1"/>
      <w:marLeft w:val="0"/>
      <w:marRight w:val="0"/>
      <w:marTop w:val="0"/>
      <w:marBottom w:val="0"/>
      <w:divBdr>
        <w:top w:val="none" w:sz="0" w:space="0" w:color="auto"/>
        <w:left w:val="none" w:sz="0" w:space="0" w:color="auto"/>
        <w:bottom w:val="none" w:sz="0" w:space="0" w:color="auto"/>
        <w:right w:val="none" w:sz="0" w:space="0" w:color="auto"/>
      </w:divBdr>
    </w:div>
    <w:div w:id="1550720785">
      <w:bodyDiv w:val="1"/>
      <w:marLeft w:val="0"/>
      <w:marRight w:val="0"/>
      <w:marTop w:val="0"/>
      <w:marBottom w:val="0"/>
      <w:divBdr>
        <w:top w:val="none" w:sz="0" w:space="0" w:color="auto"/>
        <w:left w:val="none" w:sz="0" w:space="0" w:color="auto"/>
        <w:bottom w:val="none" w:sz="0" w:space="0" w:color="auto"/>
        <w:right w:val="none" w:sz="0" w:space="0" w:color="auto"/>
      </w:divBdr>
      <w:divsChild>
        <w:div w:id="2010869109">
          <w:marLeft w:val="432"/>
          <w:marRight w:val="216"/>
          <w:marTop w:val="0"/>
          <w:marBottom w:val="0"/>
          <w:divBdr>
            <w:top w:val="none" w:sz="0" w:space="0" w:color="auto"/>
            <w:left w:val="none" w:sz="0" w:space="0" w:color="auto"/>
            <w:bottom w:val="none" w:sz="0" w:space="0" w:color="auto"/>
            <w:right w:val="none" w:sz="0" w:space="0" w:color="auto"/>
          </w:divBdr>
        </w:div>
        <w:div w:id="1140031031">
          <w:marLeft w:val="216"/>
          <w:marRight w:val="432"/>
          <w:marTop w:val="0"/>
          <w:marBottom w:val="0"/>
          <w:divBdr>
            <w:top w:val="none" w:sz="0" w:space="0" w:color="auto"/>
            <w:left w:val="none" w:sz="0" w:space="0" w:color="auto"/>
            <w:bottom w:val="none" w:sz="0" w:space="0" w:color="auto"/>
            <w:right w:val="none" w:sz="0" w:space="0" w:color="auto"/>
          </w:divBdr>
        </w:div>
        <w:div w:id="1022167103">
          <w:marLeft w:val="432"/>
          <w:marRight w:val="216"/>
          <w:marTop w:val="0"/>
          <w:marBottom w:val="0"/>
          <w:divBdr>
            <w:top w:val="none" w:sz="0" w:space="0" w:color="auto"/>
            <w:left w:val="none" w:sz="0" w:space="0" w:color="auto"/>
            <w:bottom w:val="none" w:sz="0" w:space="0" w:color="auto"/>
            <w:right w:val="none" w:sz="0" w:space="0" w:color="auto"/>
          </w:divBdr>
        </w:div>
      </w:divsChild>
    </w:div>
    <w:div w:id="1799251841">
      <w:bodyDiv w:val="1"/>
      <w:marLeft w:val="0"/>
      <w:marRight w:val="0"/>
      <w:marTop w:val="0"/>
      <w:marBottom w:val="0"/>
      <w:divBdr>
        <w:top w:val="none" w:sz="0" w:space="0" w:color="auto"/>
        <w:left w:val="none" w:sz="0" w:space="0" w:color="auto"/>
        <w:bottom w:val="none" w:sz="0" w:space="0" w:color="auto"/>
        <w:right w:val="none" w:sz="0" w:space="0" w:color="auto"/>
      </w:divBdr>
    </w:div>
    <w:div w:id="1854756584">
      <w:bodyDiv w:val="1"/>
      <w:marLeft w:val="0"/>
      <w:marRight w:val="0"/>
      <w:marTop w:val="0"/>
      <w:marBottom w:val="0"/>
      <w:divBdr>
        <w:top w:val="none" w:sz="0" w:space="0" w:color="auto"/>
        <w:left w:val="none" w:sz="0" w:space="0" w:color="auto"/>
        <w:bottom w:val="none" w:sz="0" w:space="0" w:color="auto"/>
        <w:right w:val="none" w:sz="0" w:space="0" w:color="auto"/>
      </w:divBdr>
      <w:divsChild>
        <w:div w:id="796878833">
          <w:marLeft w:val="-675"/>
          <w:marRight w:val="0"/>
          <w:marTop w:val="0"/>
          <w:marBottom w:val="0"/>
          <w:divBdr>
            <w:top w:val="none" w:sz="0" w:space="0" w:color="auto"/>
            <w:left w:val="none" w:sz="0" w:space="0" w:color="auto"/>
            <w:bottom w:val="none" w:sz="0" w:space="0" w:color="auto"/>
            <w:right w:val="none" w:sz="0" w:space="0" w:color="auto"/>
          </w:divBdr>
        </w:div>
      </w:divsChild>
    </w:div>
    <w:div w:id="1867673041">
      <w:bodyDiv w:val="1"/>
      <w:marLeft w:val="0"/>
      <w:marRight w:val="0"/>
      <w:marTop w:val="0"/>
      <w:marBottom w:val="0"/>
      <w:divBdr>
        <w:top w:val="none" w:sz="0" w:space="0" w:color="auto"/>
        <w:left w:val="none" w:sz="0" w:space="0" w:color="auto"/>
        <w:bottom w:val="none" w:sz="0" w:space="0" w:color="auto"/>
        <w:right w:val="none" w:sz="0" w:space="0" w:color="auto"/>
      </w:divBdr>
    </w:div>
    <w:div w:id="1871453228">
      <w:bodyDiv w:val="1"/>
      <w:marLeft w:val="0"/>
      <w:marRight w:val="0"/>
      <w:marTop w:val="0"/>
      <w:marBottom w:val="0"/>
      <w:divBdr>
        <w:top w:val="none" w:sz="0" w:space="0" w:color="auto"/>
        <w:left w:val="none" w:sz="0" w:space="0" w:color="auto"/>
        <w:bottom w:val="none" w:sz="0" w:space="0" w:color="auto"/>
        <w:right w:val="none" w:sz="0" w:space="0" w:color="auto"/>
      </w:divBdr>
    </w:div>
    <w:div w:id="207909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cretariasenado.gov.co/senado/basedoc/constitucion_politica_1991_pr00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ecretariasenado.gov.co/senado/basedoc/constitucion_politica_1991_pr007.html" TargetMode="External"/><Relationship Id="rId4" Type="http://schemas.openxmlformats.org/officeDocument/2006/relationships/settings" Target="settings.xml"/><Relationship Id="rId9" Type="http://schemas.openxmlformats.org/officeDocument/2006/relationships/hyperlink" Target="http://www.secretariasenado.gov.co/senado/basedoc/constitucion_politica_1991_pr005.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306FD-EC3B-4F32-8557-4D2262EE7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6812</TotalTime>
  <Pages>30</Pages>
  <Words>9487</Words>
  <Characters>52180</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Andrea Carolina Vargas Laverde UTL</cp:lastModifiedBy>
  <cp:revision>12</cp:revision>
  <cp:lastPrinted>2026-10-13T16:51:00Z</cp:lastPrinted>
  <dcterms:created xsi:type="dcterms:W3CDTF">2026-08-11T16:08:00Z</dcterms:created>
  <dcterms:modified xsi:type="dcterms:W3CDTF">2026-10-13T16:51:00Z</dcterms:modified>
</cp:coreProperties>
</file>