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835" w:type="dxa"/>
        <w:tblInd w:w="-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34"/>
        <w:gridCol w:w="4221"/>
        <w:gridCol w:w="3119"/>
        <w:gridCol w:w="61"/>
      </w:tblGrid>
      <w:tr w:rsidR="00612DFD" w:rsidRPr="006D40B8" w14:paraId="529DAA65" w14:textId="77777777" w:rsidTr="00612DFD">
        <w:trPr>
          <w:trHeight w:val="97"/>
        </w:trPr>
        <w:tc>
          <w:tcPr>
            <w:tcW w:w="3434" w:type="dxa"/>
            <w:shd w:val="clear" w:color="auto" w:fill="800000"/>
            <w:vAlign w:val="center"/>
          </w:tcPr>
          <w:p w14:paraId="52E349A2" w14:textId="034ED82F" w:rsidR="00612DFD" w:rsidRPr="006D40B8" w:rsidRDefault="00612DFD" w:rsidP="00612DFD">
            <w:pPr>
              <w:pStyle w:val="Ttulo2"/>
              <w:tabs>
                <w:tab w:val="clear" w:pos="0"/>
              </w:tabs>
              <w:ind w:right="72"/>
              <w:jc w:val="left"/>
              <w:rPr>
                <w:rFonts w:asciiTheme="majorHAnsi" w:hAnsiTheme="majorHAnsi" w:cstheme="majorHAnsi"/>
                <w:bCs/>
                <w:color w:val="FFFFFF"/>
                <w:sz w:val="22"/>
                <w:szCs w:val="22"/>
              </w:rPr>
            </w:pPr>
            <w:r w:rsidRPr="006D40B8">
              <w:rPr>
                <w:rFonts w:asciiTheme="majorHAnsi" w:hAnsiTheme="majorHAnsi" w:cstheme="majorHAnsi"/>
                <w:color w:val="FFFFFF"/>
                <w:sz w:val="22"/>
                <w:szCs w:val="22"/>
                <w:lang w:val="es-CO"/>
              </w:rPr>
              <w:t>Entidad originadora:</w:t>
            </w:r>
          </w:p>
        </w:tc>
        <w:tc>
          <w:tcPr>
            <w:tcW w:w="7401" w:type="dxa"/>
            <w:gridSpan w:val="3"/>
            <w:shd w:val="clear" w:color="auto" w:fill="FFFFFF" w:themeFill="background1"/>
            <w:vAlign w:val="center"/>
          </w:tcPr>
          <w:p w14:paraId="748CA4DD" w14:textId="533B2F6B" w:rsidR="00612DFD" w:rsidRPr="006D40B8" w:rsidRDefault="00612DFD" w:rsidP="00612DFD">
            <w:pPr>
              <w:jc w:val="both"/>
              <w:rPr>
                <w:rFonts w:asciiTheme="majorHAnsi" w:hAnsiTheme="majorHAnsi" w:cstheme="majorHAnsi"/>
                <w:sz w:val="22"/>
                <w:szCs w:val="22"/>
              </w:rPr>
            </w:pPr>
            <w:r w:rsidRPr="006D40B8">
              <w:rPr>
                <w:rFonts w:asciiTheme="majorHAnsi" w:hAnsiTheme="majorHAnsi" w:cstheme="majorHAnsi"/>
                <w:color w:val="000000" w:themeColor="text1"/>
                <w:sz w:val="22"/>
                <w:szCs w:val="22"/>
              </w:rPr>
              <w:t>Ministerio de Comercio, Industria y Turismo – Viceministerio de Comercio Exterior, en coordinación con el Ministerio de Relaciones Exteriores, el Ministerio de Hacienda y Crédito Público y el Ministerio de Minas y Energía</w:t>
            </w:r>
          </w:p>
        </w:tc>
      </w:tr>
      <w:tr w:rsidR="00612DFD" w:rsidRPr="006D40B8" w14:paraId="29CEF409" w14:textId="77777777" w:rsidTr="00612DFD">
        <w:trPr>
          <w:trHeight w:val="97"/>
        </w:trPr>
        <w:tc>
          <w:tcPr>
            <w:tcW w:w="3434" w:type="dxa"/>
            <w:shd w:val="clear" w:color="auto" w:fill="800000"/>
            <w:vAlign w:val="center"/>
          </w:tcPr>
          <w:p w14:paraId="059EC521" w14:textId="5A03CECA" w:rsidR="00612DFD" w:rsidRPr="006D40B8" w:rsidRDefault="00612DFD" w:rsidP="00612DFD">
            <w:pPr>
              <w:pStyle w:val="Ttulo2"/>
              <w:tabs>
                <w:tab w:val="clear" w:pos="0"/>
              </w:tabs>
              <w:ind w:right="72"/>
              <w:jc w:val="left"/>
              <w:rPr>
                <w:rFonts w:asciiTheme="majorHAnsi" w:hAnsiTheme="majorHAnsi" w:cstheme="majorHAnsi"/>
                <w:bCs/>
                <w:color w:val="FFFFFF"/>
                <w:sz w:val="22"/>
                <w:szCs w:val="22"/>
              </w:rPr>
            </w:pPr>
            <w:r w:rsidRPr="006D40B8">
              <w:rPr>
                <w:rFonts w:asciiTheme="majorHAnsi" w:hAnsiTheme="majorHAnsi" w:cstheme="majorHAnsi"/>
                <w:bCs/>
                <w:color w:val="FFFFFF"/>
                <w:sz w:val="22"/>
                <w:szCs w:val="22"/>
              </w:rPr>
              <w:t>Fecha (</w:t>
            </w:r>
            <w:proofErr w:type="spellStart"/>
            <w:r w:rsidRPr="006D40B8">
              <w:rPr>
                <w:rFonts w:asciiTheme="majorHAnsi" w:hAnsiTheme="majorHAnsi" w:cstheme="majorHAnsi"/>
                <w:bCs/>
                <w:color w:val="FFFFFF"/>
                <w:sz w:val="22"/>
                <w:szCs w:val="22"/>
              </w:rPr>
              <w:t>dd</w:t>
            </w:r>
            <w:proofErr w:type="spellEnd"/>
            <w:r w:rsidRPr="006D40B8">
              <w:rPr>
                <w:rFonts w:asciiTheme="majorHAnsi" w:hAnsiTheme="majorHAnsi" w:cstheme="majorHAnsi"/>
                <w:bCs/>
                <w:color w:val="FFFFFF"/>
                <w:sz w:val="22"/>
                <w:szCs w:val="22"/>
              </w:rPr>
              <w:t>/mm/</w:t>
            </w:r>
            <w:proofErr w:type="spellStart"/>
            <w:r w:rsidRPr="006D40B8">
              <w:rPr>
                <w:rFonts w:asciiTheme="majorHAnsi" w:hAnsiTheme="majorHAnsi" w:cstheme="majorHAnsi"/>
                <w:bCs/>
                <w:color w:val="FFFFFF"/>
                <w:sz w:val="22"/>
                <w:szCs w:val="22"/>
              </w:rPr>
              <w:t>aa</w:t>
            </w:r>
            <w:proofErr w:type="spellEnd"/>
            <w:r w:rsidRPr="006D40B8">
              <w:rPr>
                <w:rFonts w:asciiTheme="majorHAnsi" w:hAnsiTheme="majorHAnsi" w:cstheme="majorHAnsi"/>
                <w:bCs/>
                <w:color w:val="FFFFFF"/>
                <w:sz w:val="22"/>
                <w:szCs w:val="22"/>
              </w:rPr>
              <w:t>):</w:t>
            </w:r>
          </w:p>
        </w:tc>
        <w:tc>
          <w:tcPr>
            <w:tcW w:w="7401" w:type="dxa"/>
            <w:gridSpan w:val="3"/>
            <w:shd w:val="clear" w:color="auto" w:fill="FFFFFF" w:themeFill="background1"/>
            <w:vAlign w:val="center"/>
          </w:tcPr>
          <w:p w14:paraId="36FD2DB3" w14:textId="12F88901" w:rsidR="00612DFD" w:rsidRPr="006D40B8" w:rsidRDefault="00612DFD" w:rsidP="00612DFD">
            <w:pPr>
              <w:jc w:val="both"/>
              <w:rPr>
                <w:rFonts w:asciiTheme="majorHAnsi" w:hAnsiTheme="majorHAnsi" w:cstheme="majorHAnsi"/>
                <w:sz w:val="22"/>
                <w:szCs w:val="22"/>
              </w:rPr>
            </w:pPr>
            <w:r w:rsidRPr="006D40B8">
              <w:rPr>
                <w:rFonts w:asciiTheme="majorHAnsi" w:hAnsiTheme="majorHAnsi" w:cstheme="majorHAnsi"/>
                <w:color w:val="000000" w:themeColor="text1"/>
                <w:sz w:val="22"/>
                <w:szCs w:val="22"/>
              </w:rPr>
              <w:t>19 de agosto de 2026</w:t>
            </w:r>
          </w:p>
        </w:tc>
      </w:tr>
      <w:tr w:rsidR="00612DFD" w:rsidRPr="006D40B8" w14:paraId="10D538AE" w14:textId="77777777" w:rsidTr="00612DFD">
        <w:trPr>
          <w:trHeight w:val="97"/>
        </w:trPr>
        <w:tc>
          <w:tcPr>
            <w:tcW w:w="3434" w:type="dxa"/>
            <w:shd w:val="clear" w:color="auto" w:fill="800000"/>
            <w:vAlign w:val="center"/>
          </w:tcPr>
          <w:p w14:paraId="0374C61B" w14:textId="731C6FD5" w:rsidR="00612DFD" w:rsidRPr="006D40B8" w:rsidRDefault="00612DFD" w:rsidP="00612DFD">
            <w:pPr>
              <w:pStyle w:val="Ttulo2"/>
              <w:tabs>
                <w:tab w:val="clear" w:pos="0"/>
              </w:tabs>
              <w:ind w:right="72"/>
              <w:jc w:val="left"/>
              <w:rPr>
                <w:rFonts w:asciiTheme="majorHAnsi" w:hAnsiTheme="majorHAnsi" w:cstheme="majorHAnsi"/>
                <w:bCs/>
                <w:color w:val="FFFFFF"/>
                <w:sz w:val="22"/>
                <w:szCs w:val="22"/>
              </w:rPr>
            </w:pPr>
            <w:r w:rsidRPr="006D40B8">
              <w:rPr>
                <w:rFonts w:asciiTheme="majorHAnsi" w:hAnsiTheme="majorHAnsi" w:cstheme="majorHAnsi"/>
                <w:bCs/>
                <w:color w:val="FFFFFF"/>
                <w:sz w:val="22"/>
                <w:szCs w:val="22"/>
              </w:rPr>
              <w:t>Proyecto de Decreto/Resolución:</w:t>
            </w:r>
          </w:p>
        </w:tc>
        <w:tc>
          <w:tcPr>
            <w:tcW w:w="7401" w:type="dxa"/>
            <w:gridSpan w:val="3"/>
            <w:shd w:val="clear" w:color="auto" w:fill="FFFFFF" w:themeFill="background1"/>
            <w:vAlign w:val="center"/>
          </w:tcPr>
          <w:p w14:paraId="527AAFE2" w14:textId="3B55C50E" w:rsidR="00612DFD" w:rsidRPr="006D40B8" w:rsidRDefault="00612DFD" w:rsidP="00612DFD">
            <w:pPr>
              <w:shd w:val="clear" w:color="auto" w:fill="FFFFFF"/>
              <w:spacing w:before="20"/>
              <w:jc w:val="both"/>
              <w:rPr>
                <w:rFonts w:asciiTheme="majorHAnsi" w:hAnsiTheme="majorHAnsi" w:cstheme="majorHAnsi"/>
                <w:color w:val="000000" w:themeColor="text1"/>
                <w:sz w:val="22"/>
                <w:szCs w:val="22"/>
              </w:rPr>
            </w:pPr>
            <w:r w:rsidRPr="006D40B8">
              <w:rPr>
                <w:rFonts w:asciiTheme="majorHAnsi" w:hAnsiTheme="majorHAnsi" w:cstheme="majorHAnsi"/>
                <w:color w:val="000000" w:themeColor="text1"/>
                <w:sz w:val="22"/>
                <w:szCs w:val="22"/>
              </w:rPr>
              <w:t xml:space="preserve">“Por el cual se derogan el Decreto 1047 de 2024 y el Decreto 0949 de 2025 y se restablece el régimen general de exportación de </w:t>
            </w:r>
            <w:r w:rsidR="00007BC3" w:rsidRPr="006D40B8">
              <w:rPr>
                <w:rFonts w:asciiTheme="majorHAnsi" w:hAnsiTheme="majorHAnsi" w:cstheme="majorHAnsi"/>
                <w:color w:val="000000" w:themeColor="text1"/>
                <w:sz w:val="22"/>
                <w:szCs w:val="22"/>
              </w:rPr>
              <w:t xml:space="preserve">las hullas </w:t>
            </w:r>
            <w:r w:rsidRPr="006D40B8">
              <w:rPr>
                <w:rFonts w:asciiTheme="majorHAnsi" w:hAnsiTheme="majorHAnsi" w:cstheme="majorHAnsi"/>
                <w:color w:val="000000" w:themeColor="text1"/>
                <w:sz w:val="22"/>
                <w:szCs w:val="22"/>
              </w:rPr>
              <w:t>térmicas</w:t>
            </w:r>
            <w:r w:rsidR="009A3075" w:rsidRPr="006D40B8">
              <w:rPr>
                <w:rFonts w:asciiTheme="majorHAnsi" w:hAnsiTheme="majorHAnsi" w:cstheme="majorHAnsi"/>
                <w:color w:val="000000" w:themeColor="text1"/>
                <w:sz w:val="22"/>
                <w:szCs w:val="22"/>
              </w:rPr>
              <w:t xml:space="preserve"> </w:t>
            </w:r>
            <w:r w:rsidRPr="006D40B8">
              <w:rPr>
                <w:rFonts w:asciiTheme="majorHAnsi" w:hAnsiTheme="majorHAnsi" w:cstheme="majorHAnsi"/>
                <w:color w:val="000000" w:themeColor="text1"/>
                <w:sz w:val="22"/>
                <w:szCs w:val="22"/>
              </w:rPr>
              <w:t>clasificadas en</w:t>
            </w:r>
            <w:r w:rsidR="009A3075" w:rsidRPr="006D40B8">
              <w:rPr>
                <w:rFonts w:asciiTheme="majorHAnsi" w:hAnsiTheme="majorHAnsi" w:cstheme="majorHAnsi"/>
                <w:color w:val="000000" w:themeColor="text1"/>
                <w:sz w:val="22"/>
                <w:szCs w:val="22"/>
              </w:rPr>
              <w:t xml:space="preserve"> </w:t>
            </w:r>
            <w:r w:rsidRPr="006D40B8">
              <w:rPr>
                <w:rFonts w:asciiTheme="majorHAnsi" w:hAnsiTheme="majorHAnsi" w:cstheme="majorHAnsi"/>
                <w:color w:val="000000" w:themeColor="text1"/>
                <w:sz w:val="22"/>
                <w:szCs w:val="22"/>
              </w:rPr>
              <w:t>la</w:t>
            </w:r>
            <w:r w:rsidR="009A3075" w:rsidRPr="006D40B8">
              <w:rPr>
                <w:rFonts w:asciiTheme="majorHAnsi" w:hAnsiTheme="majorHAnsi" w:cstheme="majorHAnsi"/>
                <w:color w:val="000000" w:themeColor="text1"/>
                <w:sz w:val="22"/>
                <w:szCs w:val="22"/>
              </w:rPr>
              <w:t xml:space="preserve"> </w:t>
            </w:r>
            <w:r w:rsidRPr="006D40B8">
              <w:rPr>
                <w:rFonts w:asciiTheme="majorHAnsi" w:hAnsiTheme="majorHAnsi" w:cstheme="majorHAnsi"/>
                <w:color w:val="000000" w:themeColor="text1"/>
                <w:sz w:val="22"/>
                <w:szCs w:val="22"/>
              </w:rPr>
              <w:t>subpartida</w:t>
            </w:r>
            <w:r w:rsidR="009A3075" w:rsidRPr="006D40B8">
              <w:rPr>
                <w:rFonts w:asciiTheme="majorHAnsi" w:hAnsiTheme="majorHAnsi" w:cstheme="majorHAnsi"/>
                <w:color w:val="000000" w:themeColor="text1"/>
                <w:sz w:val="22"/>
                <w:szCs w:val="22"/>
              </w:rPr>
              <w:t xml:space="preserve"> </w:t>
            </w:r>
            <w:r w:rsidRPr="006D40B8">
              <w:rPr>
                <w:rFonts w:asciiTheme="majorHAnsi" w:hAnsiTheme="majorHAnsi" w:cstheme="majorHAnsi"/>
                <w:color w:val="000000" w:themeColor="text1"/>
                <w:sz w:val="22"/>
                <w:szCs w:val="22"/>
              </w:rPr>
              <w:t>arancelaria 2701.12.00.10”</w:t>
            </w:r>
          </w:p>
          <w:p w14:paraId="31E09C34" w14:textId="24FB29AE" w:rsidR="00612DFD" w:rsidRPr="006D40B8" w:rsidRDefault="00612DFD" w:rsidP="00612DFD">
            <w:pPr>
              <w:jc w:val="both"/>
              <w:rPr>
                <w:rFonts w:asciiTheme="majorHAnsi" w:hAnsiTheme="majorHAnsi" w:cstheme="majorHAnsi"/>
                <w:sz w:val="22"/>
                <w:szCs w:val="22"/>
              </w:rPr>
            </w:pPr>
          </w:p>
        </w:tc>
      </w:tr>
      <w:tr w:rsidR="00ED2F91" w:rsidRPr="006D40B8" w14:paraId="465A7ABF" w14:textId="77777777" w:rsidTr="00612DFD">
        <w:trPr>
          <w:trHeight w:val="674"/>
        </w:trPr>
        <w:tc>
          <w:tcPr>
            <w:tcW w:w="10835" w:type="dxa"/>
            <w:gridSpan w:val="4"/>
            <w:shd w:val="clear" w:color="auto" w:fill="FFFFFF"/>
            <w:vAlign w:val="center"/>
          </w:tcPr>
          <w:p w14:paraId="5EEC311E" w14:textId="77777777" w:rsidR="00ED2F91" w:rsidRPr="006D40B8" w:rsidRDefault="00ED2F91" w:rsidP="00612DFD">
            <w:pPr>
              <w:autoSpaceDE w:val="0"/>
              <w:snapToGrid w:val="0"/>
              <w:jc w:val="both"/>
              <w:rPr>
                <w:rFonts w:asciiTheme="majorHAnsi" w:eastAsia="Calibri" w:hAnsiTheme="majorHAnsi" w:cstheme="majorHAnsi"/>
                <w:color w:val="000000"/>
                <w:spacing w:val="-3"/>
                <w:sz w:val="22"/>
                <w:szCs w:val="22"/>
                <w:lang w:val="es-CO" w:eastAsia="en-US"/>
              </w:rPr>
            </w:pPr>
          </w:p>
          <w:p w14:paraId="262537CC" w14:textId="7BB1577E" w:rsidR="00ED2F91" w:rsidRPr="006D40B8" w:rsidRDefault="00E06440" w:rsidP="000055A0">
            <w:pPr>
              <w:numPr>
                <w:ilvl w:val="0"/>
                <w:numId w:val="3"/>
              </w:numPr>
              <w:tabs>
                <w:tab w:val="clear" w:pos="0"/>
              </w:tabs>
              <w:ind w:left="0"/>
              <w:jc w:val="both"/>
              <w:rPr>
                <w:rFonts w:asciiTheme="majorHAnsi" w:hAnsiTheme="majorHAnsi" w:cstheme="majorHAnsi"/>
                <w:b/>
                <w:color w:val="000000"/>
                <w:sz w:val="22"/>
                <w:szCs w:val="22"/>
                <w:lang w:val="es-CO"/>
              </w:rPr>
            </w:pPr>
            <w:r w:rsidRPr="006D40B8">
              <w:rPr>
                <w:rFonts w:asciiTheme="majorHAnsi" w:hAnsiTheme="majorHAnsi" w:cstheme="majorHAnsi"/>
                <w:b/>
                <w:color w:val="000000"/>
                <w:sz w:val="22"/>
                <w:szCs w:val="22"/>
                <w:lang w:val="es-CO"/>
              </w:rPr>
              <w:t>ANTECEDENTES Y RAZONES DE OPORTUNIDAD Y CONVENIENCIA QUE JUSTIFICAN SU</w:t>
            </w:r>
            <w:r w:rsidR="000055A0" w:rsidRPr="006D40B8">
              <w:rPr>
                <w:rFonts w:asciiTheme="majorHAnsi" w:hAnsiTheme="majorHAnsi" w:cstheme="majorHAnsi"/>
                <w:b/>
                <w:color w:val="000000"/>
                <w:sz w:val="22"/>
                <w:szCs w:val="22"/>
                <w:lang w:val="es-CO"/>
              </w:rPr>
              <w:t xml:space="preserve"> </w:t>
            </w:r>
            <w:r w:rsidRPr="006D40B8">
              <w:rPr>
                <w:rFonts w:asciiTheme="majorHAnsi" w:hAnsiTheme="majorHAnsi" w:cstheme="majorHAnsi"/>
                <w:b/>
                <w:color w:val="000000"/>
                <w:sz w:val="22"/>
                <w:szCs w:val="22"/>
                <w:lang w:val="es-CO"/>
              </w:rPr>
              <w:t>EXPEDICIÓN.</w:t>
            </w:r>
          </w:p>
          <w:p w14:paraId="7731FD0D" w14:textId="77777777" w:rsidR="001C1E09" w:rsidRPr="006D40B8" w:rsidRDefault="001C1E09" w:rsidP="00612DFD">
            <w:pPr>
              <w:spacing w:line="264" w:lineRule="auto"/>
              <w:jc w:val="both"/>
              <w:rPr>
                <w:rFonts w:asciiTheme="majorHAnsi" w:eastAsia="Arial" w:hAnsiTheme="majorHAnsi" w:cstheme="majorHAnsi"/>
                <w:sz w:val="22"/>
                <w:szCs w:val="22"/>
              </w:rPr>
            </w:pPr>
          </w:p>
          <w:p w14:paraId="6936BD65" w14:textId="11CE1EDA" w:rsidR="001C1E09" w:rsidRDefault="001C1E09" w:rsidP="001C1E09">
            <w:pPr>
              <w:pStyle w:val="Prrafodelista"/>
              <w:numPr>
                <w:ilvl w:val="1"/>
                <w:numId w:val="7"/>
              </w:numPr>
              <w:spacing w:line="264" w:lineRule="auto"/>
              <w:jc w:val="both"/>
              <w:rPr>
                <w:rFonts w:asciiTheme="majorHAnsi" w:eastAsia="Arial" w:hAnsiTheme="majorHAnsi" w:cstheme="majorHAnsi"/>
                <w:b/>
                <w:bCs/>
                <w:sz w:val="22"/>
                <w:szCs w:val="22"/>
              </w:rPr>
            </w:pPr>
            <w:r w:rsidRPr="006D40B8">
              <w:rPr>
                <w:rFonts w:asciiTheme="majorHAnsi" w:eastAsia="Arial" w:hAnsiTheme="majorHAnsi" w:cstheme="majorHAnsi"/>
                <w:b/>
                <w:bCs/>
                <w:sz w:val="22"/>
                <w:szCs w:val="22"/>
              </w:rPr>
              <w:t>Antecedentes normativos.</w:t>
            </w:r>
          </w:p>
          <w:p w14:paraId="265D1FFF" w14:textId="77777777" w:rsidR="00BC741D" w:rsidRPr="006D40B8" w:rsidRDefault="00BC741D" w:rsidP="00BC741D">
            <w:pPr>
              <w:pStyle w:val="Prrafodelista"/>
              <w:spacing w:line="264" w:lineRule="auto"/>
              <w:ind w:left="720"/>
              <w:jc w:val="both"/>
              <w:rPr>
                <w:rFonts w:asciiTheme="majorHAnsi" w:eastAsia="Arial" w:hAnsiTheme="majorHAnsi" w:cstheme="majorHAnsi"/>
                <w:b/>
                <w:bCs/>
                <w:sz w:val="22"/>
                <w:szCs w:val="22"/>
              </w:rPr>
            </w:pPr>
          </w:p>
          <w:p w14:paraId="453AB144" w14:textId="0DE747DC" w:rsidR="001C1E09" w:rsidRPr="006D40B8" w:rsidRDefault="000730FF" w:rsidP="001C1E09">
            <w:pPr>
              <w:spacing w:line="264" w:lineRule="auto"/>
              <w:jc w:val="both"/>
              <w:rPr>
                <w:rFonts w:asciiTheme="majorHAnsi" w:hAnsiTheme="majorHAnsi" w:cstheme="majorHAnsi"/>
                <w:sz w:val="22"/>
                <w:szCs w:val="22"/>
              </w:rPr>
            </w:pPr>
            <w:r w:rsidRPr="006D40B8">
              <w:rPr>
                <w:rFonts w:asciiTheme="majorHAnsi" w:hAnsiTheme="majorHAnsi" w:cstheme="majorHAnsi"/>
                <w:sz w:val="22"/>
                <w:szCs w:val="22"/>
              </w:rPr>
              <w:t>E</w:t>
            </w:r>
            <w:r w:rsidR="001C1E09" w:rsidRPr="006D40B8">
              <w:rPr>
                <w:rFonts w:asciiTheme="majorHAnsi" w:hAnsiTheme="majorHAnsi" w:cstheme="majorHAnsi"/>
                <w:sz w:val="22"/>
                <w:szCs w:val="22"/>
              </w:rPr>
              <w:t>l numeral 25 del artículo 189 de la Constitución Política atribuye al Presidente de la República la función de modificar los aranceles, tarifas, la política de comercio exterior y demás disposiciones concernientes al régimen de aduanas, con sujeción a las normas generales que para el efecto expida el Congreso de la República.</w:t>
            </w:r>
          </w:p>
          <w:p w14:paraId="64480209" w14:textId="77777777" w:rsidR="000730FF" w:rsidRPr="006D40B8" w:rsidRDefault="000730FF" w:rsidP="001C1E09">
            <w:pPr>
              <w:spacing w:line="264" w:lineRule="auto"/>
              <w:jc w:val="both"/>
              <w:rPr>
                <w:rFonts w:asciiTheme="majorHAnsi" w:hAnsiTheme="majorHAnsi" w:cstheme="majorHAnsi"/>
                <w:sz w:val="22"/>
                <w:szCs w:val="22"/>
              </w:rPr>
            </w:pPr>
          </w:p>
          <w:p w14:paraId="47F248A7" w14:textId="47951743" w:rsidR="000730FF" w:rsidRPr="006D40B8" w:rsidRDefault="00765D2E" w:rsidP="001C1E09">
            <w:pPr>
              <w:spacing w:line="264" w:lineRule="auto"/>
              <w:jc w:val="both"/>
              <w:rPr>
                <w:rFonts w:asciiTheme="majorHAnsi" w:hAnsiTheme="majorHAnsi" w:cstheme="majorHAnsi"/>
                <w:sz w:val="22"/>
                <w:szCs w:val="22"/>
              </w:rPr>
            </w:pPr>
            <w:r w:rsidRPr="006D40B8">
              <w:rPr>
                <w:rFonts w:asciiTheme="majorHAnsi" w:hAnsiTheme="majorHAnsi" w:cstheme="majorHAnsi"/>
                <w:sz w:val="22"/>
                <w:szCs w:val="22"/>
              </w:rPr>
              <w:t>El</w:t>
            </w:r>
            <w:r w:rsidR="000730FF" w:rsidRPr="006D40B8">
              <w:rPr>
                <w:rFonts w:asciiTheme="majorHAnsi" w:hAnsiTheme="majorHAnsi" w:cstheme="majorHAnsi"/>
                <w:sz w:val="22"/>
                <w:szCs w:val="22"/>
              </w:rPr>
              <w:t xml:space="preserve"> artículo 226 de la Constitución Política imponen al Estado el deber de promover la internacionalización de las relaciones económicas y comerciales sobre bases de equidad, reciprocidad y conveniencia nacional, y de impulsar la integración económica con las demás naciones.</w:t>
            </w:r>
          </w:p>
          <w:p w14:paraId="47FEA1F8" w14:textId="77777777" w:rsidR="000730FF" w:rsidRPr="006D40B8" w:rsidRDefault="000730FF" w:rsidP="001C1E09">
            <w:pPr>
              <w:spacing w:line="264" w:lineRule="auto"/>
              <w:jc w:val="both"/>
              <w:rPr>
                <w:rFonts w:asciiTheme="majorHAnsi" w:hAnsiTheme="majorHAnsi" w:cstheme="majorHAnsi"/>
                <w:sz w:val="22"/>
                <w:szCs w:val="22"/>
              </w:rPr>
            </w:pPr>
          </w:p>
          <w:p w14:paraId="2FDD3D5D" w14:textId="68920358" w:rsidR="00765D2E" w:rsidRPr="006D40B8" w:rsidRDefault="00765D2E" w:rsidP="00765D2E">
            <w:pPr>
              <w:rPr>
                <w:rFonts w:asciiTheme="majorHAnsi" w:hAnsiTheme="majorHAnsi" w:cstheme="majorHAnsi"/>
                <w:sz w:val="22"/>
                <w:szCs w:val="22"/>
              </w:rPr>
            </w:pPr>
            <w:r w:rsidRPr="006D40B8">
              <w:rPr>
                <w:rFonts w:asciiTheme="majorHAnsi" w:hAnsiTheme="majorHAnsi" w:cstheme="majorHAnsi"/>
                <w:sz w:val="22"/>
                <w:szCs w:val="22"/>
              </w:rPr>
              <w:t>La Ley 7ª de 1991 contiene las normas generales a las cuales debe sujetarse el Gobierno nacional para regular el comercio exterior del país, y la Ley 1609 de 2013 contiene las normas generales a las cuales debe sujetarse el Gobierno nacional para modificar los aranceles, tarifas y demás disposiciones concernientes al régimen de aduanas.</w:t>
            </w:r>
          </w:p>
          <w:p w14:paraId="3658BF14" w14:textId="77777777" w:rsidR="002855A7" w:rsidRPr="006D40B8" w:rsidRDefault="002855A7" w:rsidP="001C1E09">
            <w:pPr>
              <w:spacing w:line="264" w:lineRule="auto"/>
              <w:jc w:val="both"/>
              <w:rPr>
                <w:rFonts w:asciiTheme="majorHAnsi" w:hAnsiTheme="majorHAnsi" w:cstheme="majorHAnsi"/>
                <w:sz w:val="22"/>
                <w:szCs w:val="22"/>
              </w:rPr>
            </w:pPr>
          </w:p>
          <w:p w14:paraId="3969EE06" w14:textId="7BAB4A20" w:rsidR="00765D2E" w:rsidRPr="006D40B8" w:rsidRDefault="002855A7" w:rsidP="001C1E09">
            <w:pPr>
              <w:spacing w:line="264" w:lineRule="auto"/>
              <w:jc w:val="both"/>
              <w:rPr>
                <w:rFonts w:asciiTheme="majorHAnsi" w:hAnsiTheme="majorHAnsi" w:cstheme="majorHAnsi"/>
                <w:sz w:val="22"/>
                <w:szCs w:val="22"/>
              </w:rPr>
            </w:pPr>
            <w:r w:rsidRPr="006D40B8">
              <w:rPr>
                <w:rFonts w:asciiTheme="majorHAnsi" w:hAnsiTheme="majorHAnsi" w:cstheme="majorHAnsi"/>
                <w:sz w:val="22"/>
                <w:szCs w:val="22"/>
              </w:rPr>
              <w:t>El artículo 3º de la Ley 1609 de 2013 ordena al Gobierno nacional tener en cuenta, al ejercer esa competencia, los objetivos de «facilitar el desarrollo y la aplicación de los Convenios y Tratados Internacionales suscritos y vigentes para Colombia, y la participación en los procesos de integración económica» (literal a); «adecuar las disposiciones que regulen el Régimen de Aduanas a la política comercial del país, al fomento y protección de la producción nacional a los acuerdos, convenios y tratados suscritos y vigentes para Colombia, a los principios y normas del derecho Internacional» (literal b); y «facilitar y agilizar las operaciones de comercio exterior, para garantizar la dinámica del intercambio comercial, el acceso de los productos y servicios a los mercados internos y externos y la competitividad de los productos y servicios colombianos en el mercado internacional» (literal c).</w:t>
            </w:r>
          </w:p>
          <w:p w14:paraId="34AFFF57" w14:textId="77777777" w:rsidR="002855A7" w:rsidRPr="006D40B8" w:rsidRDefault="002855A7" w:rsidP="001C1E09">
            <w:pPr>
              <w:spacing w:line="264" w:lineRule="auto"/>
              <w:jc w:val="both"/>
              <w:rPr>
                <w:rFonts w:asciiTheme="majorHAnsi" w:hAnsiTheme="majorHAnsi" w:cstheme="majorHAnsi"/>
                <w:sz w:val="22"/>
                <w:szCs w:val="22"/>
              </w:rPr>
            </w:pPr>
          </w:p>
          <w:p w14:paraId="58B81FF3" w14:textId="452F92C3" w:rsidR="002855A7" w:rsidRPr="006D40B8" w:rsidRDefault="002855A7" w:rsidP="001C1E09">
            <w:pPr>
              <w:spacing w:line="264" w:lineRule="auto"/>
              <w:jc w:val="both"/>
              <w:rPr>
                <w:rFonts w:asciiTheme="majorHAnsi" w:hAnsiTheme="majorHAnsi" w:cstheme="majorHAnsi"/>
                <w:sz w:val="22"/>
                <w:szCs w:val="22"/>
              </w:rPr>
            </w:pPr>
            <w:r w:rsidRPr="006D40B8">
              <w:rPr>
                <w:rFonts w:asciiTheme="majorHAnsi" w:hAnsiTheme="majorHAnsi" w:cstheme="majorHAnsi"/>
                <w:sz w:val="22"/>
                <w:szCs w:val="22"/>
              </w:rPr>
              <w:t xml:space="preserve">El parágrafo 1º del artículo 1º del Decreto 3303 de 2006 dispone que, de conformidad con el numeral 20 del artículo 2º del Decreto 210 de 2003, todo requisito a la importación o exportación, en tanto constituye una regulación de comercio exterior, debe establecerse mediante decreto suscrito por el </w:t>
            </w:r>
            <w:proofErr w:type="gramStart"/>
            <w:r w:rsidRPr="006D40B8">
              <w:rPr>
                <w:rFonts w:asciiTheme="majorHAnsi" w:hAnsiTheme="majorHAnsi" w:cstheme="majorHAnsi"/>
                <w:sz w:val="22"/>
                <w:szCs w:val="22"/>
              </w:rPr>
              <w:t>Ministro</w:t>
            </w:r>
            <w:proofErr w:type="gramEnd"/>
            <w:r w:rsidRPr="006D40B8">
              <w:rPr>
                <w:rFonts w:asciiTheme="majorHAnsi" w:hAnsiTheme="majorHAnsi" w:cstheme="majorHAnsi"/>
                <w:sz w:val="22"/>
                <w:szCs w:val="22"/>
              </w:rPr>
              <w:t xml:space="preserve"> de Comercio, Industria y Turismo y el Ministro del ramo correspondiente</w:t>
            </w:r>
          </w:p>
          <w:p w14:paraId="4AD93688" w14:textId="77777777" w:rsidR="001C1E09" w:rsidRPr="006D40B8" w:rsidRDefault="001C1E09" w:rsidP="001C1E09">
            <w:pPr>
              <w:spacing w:line="264" w:lineRule="auto"/>
              <w:jc w:val="both"/>
              <w:rPr>
                <w:rFonts w:asciiTheme="majorHAnsi" w:eastAsia="Arial" w:hAnsiTheme="majorHAnsi" w:cstheme="majorHAnsi"/>
                <w:sz w:val="22"/>
                <w:szCs w:val="22"/>
              </w:rPr>
            </w:pPr>
          </w:p>
          <w:p w14:paraId="4261E8ED" w14:textId="176E9568" w:rsidR="00ED2F91" w:rsidRPr="006D40B8" w:rsidRDefault="00E06440" w:rsidP="00612DFD">
            <w:pPr>
              <w:pStyle w:val="Prrafodelista"/>
              <w:numPr>
                <w:ilvl w:val="1"/>
                <w:numId w:val="7"/>
              </w:numPr>
              <w:spacing w:line="264" w:lineRule="auto"/>
              <w:jc w:val="both"/>
              <w:rPr>
                <w:rFonts w:asciiTheme="majorHAnsi" w:eastAsia="Arial" w:hAnsiTheme="majorHAnsi" w:cstheme="majorHAnsi"/>
                <w:sz w:val="22"/>
                <w:szCs w:val="22"/>
              </w:rPr>
            </w:pPr>
            <w:r w:rsidRPr="006D40B8">
              <w:rPr>
                <w:rFonts w:asciiTheme="majorHAnsi" w:hAnsiTheme="majorHAnsi" w:cstheme="majorHAnsi"/>
                <w:b/>
                <w:sz w:val="22"/>
                <w:szCs w:val="22"/>
              </w:rPr>
              <w:t xml:space="preserve"> Origen y evolución de la medida</w:t>
            </w:r>
          </w:p>
          <w:p w14:paraId="5DC4BBDD" w14:textId="43555F79" w:rsidR="00B509C6" w:rsidRPr="006D40B8" w:rsidRDefault="00B509C6" w:rsidP="00612DFD">
            <w:pPr>
              <w:spacing w:line="264" w:lineRule="auto"/>
              <w:jc w:val="both"/>
              <w:rPr>
                <w:rFonts w:asciiTheme="majorHAnsi" w:hAnsiTheme="majorHAnsi" w:cstheme="majorHAnsi"/>
                <w:sz w:val="22"/>
                <w:szCs w:val="22"/>
              </w:rPr>
            </w:pPr>
            <w:r w:rsidRPr="006D40B8">
              <w:rPr>
                <w:rFonts w:asciiTheme="majorHAnsi" w:hAnsiTheme="majorHAnsi" w:cstheme="majorHAnsi"/>
                <w:sz w:val="22"/>
                <w:szCs w:val="22"/>
              </w:rPr>
              <w:t xml:space="preserve">Se expidió el Decreto 1047 de 2024, con el cual </w:t>
            </w:r>
            <w:r w:rsidR="005C234A">
              <w:rPr>
                <w:rFonts w:asciiTheme="majorHAnsi" w:hAnsiTheme="majorHAnsi" w:cstheme="majorHAnsi"/>
                <w:sz w:val="22"/>
                <w:szCs w:val="22"/>
              </w:rPr>
              <w:t xml:space="preserve">se </w:t>
            </w:r>
            <w:r w:rsidRPr="006D40B8">
              <w:rPr>
                <w:rFonts w:asciiTheme="majorHAnsi" w:hAnsiTheme="majorHAnsi" w:cstheme="majorHAnsi"/>
                <w:sz w:val="22"/>
                <w:szCs w:val="22"/>
              </w:rPr>
              <w:t xml:space="preserve">impuso restricciones a la exportación de hullas térmicas (carbón) hacia Israel. Esta medida buscaba limitar el suministro de un recurso estratégico que puede ser empleado en la industria armamentística y la generación de energía eléctrica, </w:t>
            </w:r>
            <w:r w:rsidR="00CD787A">
              <w:rPr>
                <w:rFonts w:asciiTheme="majorHAnsi" w:hAnsiTheme="majorHAnsi" w:cstheme="majorHAnsi"/>
                <w:sz w:val="22"/>
                <w:szCs w:val="22"/>
              </w:rPr>
              <w:t xml:space="preserve">bajo la argumentación </w:t>
            </w:r>
            <w:r w:rsidR="00386859">
              <w:rPr>
                <w:rFonts w:asciiTheme="majorHAnsi" w:hAnsiTheme="majorHAnsi" w:cstheme="majorHAnsi"/>
                <w:sz w:val="22"/>
                <w:szCs w:val="22"/>
              </w:rPr>
              <w:t xml:space="preserve">de que con ello se contribuía </w:t>
            </w:r>
            <w:r w:rsidRPr="006D40B8">
              <w:rPr>
                <w:rFonts w:asciiTheme="majorHAnsi" w:hAnsiTheme="majorHAnsi" w:cstheme="majorHAnsi"/>
                <w:sz w:val="22"/>
                <w:szCs w:val="22"/>
              </w:rPr>
              <w:t>directamente en la capacidad militar de dicho Estado. No obstante, la aplicación de este decreto permitió excepciones orientadas a respetar situaciones jurídicas consolidadas.</w:t>
            </w:r>
          </w:p>
          <w:p w14:paraId="1DC72D35" w14:textId="77777777" w:rsidR="00B509C6" w:rsidRPr="006D40B8" w:rsidRDefault="00B509C6" w:rsidP="00612DFD">
            <w:pPr>
              <w:spacing w:line="264" w:lineRule="auto"/>
              <w:jc w:val="both"/>
              <w:rPr>
                <w:rFonts w:asciiTheme="majorHAnsi" w:hAnsiTheme="majorHAnsi" w:cstheme="majorHAnsi"/>
                <w:sz w:val="22"/>
                <w:szCs w:val="22"/>
              </w:rPr>
            </w:pPr>
          </w:p>
          <w:p w14:paraId="446ABD94" w14:textId="0DAAFF40" w:rsidR="00B509C6" w:rsidRPr="006D40B8" w:rsidRDefault="00B509C6" w:rsidP="00612DFD">
            <w:pPr>
              <w:spacing w:line="264" w:lineRule="auto"/>
              <w:jc w:val="both"/>
              <w:rPr>
                <w:rFonts w:asciiTheme="majorHAnsi" w:hAnsiTheme="majorHAnsi" w:cstheme="majorHAnsi"/>
                <w:sz w:val="22"/>
                <w:szCs w:val="22"/>
              </w:rPr>
            </w:pPr>
            <w:r w:rsidRPr="006D40B8">
              <w:rPr>
                <w:rFonts w:asciiTheme="majorHAnsi" w:hAnsiTheme="majorHAnsi" w:cstheme="majorHAnsi"/>
                <w:sz w:val="22"/>
                <w:szCs w:val="22"/>
              </w:rPr>
              <w:t>Sin embargo, entre agosto de 2024 y abril de 2025, se exportó más de un millón de toneladas de carbón colombiano a Israel, razón por la que, por medio del Decreto 949 de 2025 se prohibió la totalidad de las exportaciones de hullas térmicas (carbón) hacia Israel y se derogaron las situaciones jurídicas consolidadas, es decir, las excepciones.</w:t>
            </w:r>
          </w:p>
          <w:p w14:paraId="4B3F72B7" w14:textId="77777777" w:rsidR="00ED2F91" w:rsidRPr="006D40B8" w:rsidRDefault="00ED2F91" w:rsidP="00612DFD">
            <w:pPr>
              <w:spacing w:line="264" w:lineRule="auto"/>
              <w:jc w:val="both"/>
              <w:rPr>
                <w:rFonts w:asciiTheme="majorHAnsi" w:eastAsia="Arial" w:hAnsiTheme="majorHAnsi" w:cstheme="majorHAnsi"/>
                <w:sz w:val="22"/>
                <w:szCs w:val="22"/>
              </w:rPr>
            </w:pPr>
          </w:p>
          <w:p w14:paraId="5C20B5DD" w14:textId="38F85D8F" w:rsidR="00ED2F91" w:rsidRPr="006D40B8" w:rsidRDefault="00E06440" w:rsidP="00612DFD">
            <w:pPr>
              <w:spacing w:line="264" w:lineRule="auto"/>
              <w:jc w:val="both"/>
              <w:rPr>
                <w:rFonts w:asciiTheme="majorHAnsi" w:hAnsiTheme="majorHAnsi" w:cstheme="majorHAnsi"/>
                <w:sz w:val="22"/>
                <w:szCs w:val="22"/>
              </w:rPr>
            </w:pPr>
            <w:r w:rsidRPr="006D40B8">
              <w:rPr>
                <w:rFonts w:asciiTheme="majorHAnsi" w:hAnsiTheme="majorHAnsi" w:cstheme="majorHAnsi"/>
                <w:sz w:val="22"/>
                <w:szCs w:val="22"/>
              </w:rPr>
              <w:t>El 17 de noviembre de 2025 el Consejo de Seguridad de las Naciones Unidas —órgano al que la Carta atribuye la responsabilidad primordial de mantener la paz y la seguridad internacional— adoptó la Resolución 2803, mediante la cual respaldó el plan de cese al fuego para la Franja de Gaza, previó la conformación de la Junta de Paz y autorizó el despliegue de una Fuerza Internacional de Estabilización.</w:t>
            </w:r>
          </w:p>
          <w:p w14:paraId="511523B2" w14:textId="0550F8BF" w:rsidR="007E00FE" w:rsidRPr="006D40B8" w:rsidRDefault="007E00FE" w:rsidP="007E00FE">
            <w:pPr>
              <w:spacing w:line="264" w:lineRule="auto"/>
              <w:jc w:val="both"/>
              <w:rPr>
                <w:rFonts w:asciiTheme="majorHAnsi" w:eastAsia="Arial" w:hAnsiTheme="majorHAnsi" w:cstheme="majorHAnsi"/>
                <w:sz w:val="22"/>
                <w:szCs w:val="22"/>
              </w:rPr>
            </w:pPr>
          </w:p>
          <w:p w14:paraId="48FB0BB7" w14:textId="30E1045C" w:rsidR="007E00FE" w:rsidRPr="006D40B8" w:rsidRDefault="007E00FE" w:rsidP="007E00FE">
            <w:pPr>
              <w:pStyle w:val="Prrafodelista"/>
              <w:numPr>
                <w:ilvl w:val="1"/>
                <w:numId w:val="7"/>
              </w:numPr>
              <w:spacing w:line="264" w:lineRule="auto"/>
              <w:jc w:val="both"/>
              <w:rPr>
                <w:rFonts w:asciiTheme="majorHAnsi" w:eastAsia="Arial" w:hAnsiTheme="majorHAnsi" w:cstheme="majorHAnsi"/>
                <w:b/>
                <w:bCs/>
                <w:sz w:val="22"/>
                <w:szCs w:val="22"/>
              </w:rPr>
            </w:pPr>
            <w:r w:rsidRPr="006D40B8">
              <w:rPr>
                <w:rFonts w:asciiTheme="majorHAnsi" w:eastAsia="Arial" w:hAnsiTheme="majorHAnsi" w:cstheme="majorHAnsi"/>
                <w:b/>
                <w:bCs/>
                <w:sz w:val="22"/>
                <w:szCs w:val="22"/>
              </w:rPr>
              <w:t>Razones de oportunidad y conveniencia.</w:t>
            </w:r>
          </w:p>
          <w:p w14:paraId="19B22CC9" w14:textId="45149BCF" w:rsidR="007E00FE" w:rsidRPr="006D40B8" w:rsidRDefault="007E00FE" w:rsidP="007E00FE">
            <w:pPr>
              <w:spacing w:line="264" w:lineRule="auto"/>
              <w:jc w:val="both"/>
              <w:rPr>
                <w:rFonts w:asciiTheme="majorHAnsi" w:eastAsia="Arial" w:hAnsiTheme="majorHAnsi" w:cstheme="majorHAnsi"/>
                <w:sz w:val="22"/>
                <w:szCs w:val="22"/>
              </w:rPr>
            </w:pPr>
            <w:r w:rsidRPr="006D40B8">
              <w:rPr>
                <w:rFonts w:asciiTheme="majorHAnsi" w:eastAsia="Arial" w:hAnsiTheme="majorHAnsi" w:cstheme="majorHAnsi"/>
                <w:sz w:val="22"/>
                <w:szCs w:val="22"/>
              </w:rPr>
              <w:t>La medida que se establece por medio del proyecto de decreto se encuentra justificada en las siguientes razones:</w:t>
            </w:r>
          </w:p>
          <w:p w14:paraId="4C35EC48" w14:textId="77777777" w:rsidR="00ED2F91" w:rsidRPr="006D40B8" w:rsidRDefault="00ED2F91" w:rsidP="00612DFD">
            <w:pPr>
              <w:spacing w:line="264" w:lineRule="auto"/>
              <w:jc w:val="both"/>
              <w:rPr>
                <w:rFonts w:asciiTheme="majorHAnsi" w:eastAsia="Arial" w:hAnsiTheme="majorHAnsi" w:cstheme="majorHAnsi"/>
                <w:sz w:val="22"/>
                <w:szCs w:val="22"/>
              </w:rPr>
            </w:pPr>
          </w:p>
          <w:p w14:paraId="4BB660D2" w14:textId="0680F908" w:rsidR="00ED2F91" w:rsidRPr="006D40B8" w:rsidRDefault="00E06440" w:rsidP="00612DFD">
            <w:pPr>
              <w:spacing w:line="264" w:lineRule="auto"/>
              <w:jc w:val="both"/>
              <w:rPr>
                <w:rFonts w:asciiTheme="majorHAnsi" w:hAnsiTheme="majorHAnsi" w:cstheme="majorHAnsi"/>
                <w:b/>
                <w:sz w:val="22"/>
                <w:szCs w:val="22"/>
              </w:rPr>
            </w:pPr>
            <w:r w:rsidRPr="006D40B8">
              <w:rPr>
                <w:rFonts w:asciiTheme="majorHAnsi" w:hAnsiTheme="majorHAnsi" w:cstheme="majorHAnsi"/>
                <w:b/>
                <w:sz w:val="22"/>
                <w:szCs w:val="22"/>
              </w:rPr>
              <w:t>1.</w:t>
            </w:r>
            <w:r w:rsidR="007E00FE" w:rsidRPr="006D40B8">
              <w:rPr>
                <w:rFonts w:asciiTheme="majorHAnsi" w:hAnsiTheme="majorHAnsi" w:cstheme="majorHAnsi"/>
                <w:b/>
                <w:sz w:val="22"/>
                <w:szCs w:val="22"/>
              </w:rPr>
              <w:t>3.1.</w:t>
            </w:r>
            <w:r w:rsidRPr="006D40B8">
              <w:rPr>
                <w:rFonts w:asciiTheme="majorHAnsi" w:hAnsiTheme="majorHAnsi" w:cstheme="majorHAnsi"/>
                <w:b/>
                <w:sz w:val="22"/>
                <w:szCs w:val="22"/>
              </w:rPr>
              <w:t xml:space="preserve"> La medida perdió su carácter temporal</w:t>
            </w:r>
            <w:r w:rsidR="00D5470F" w:rsidRPr="006D40B8">
              <w:rPr>
                <w:rFonts w:asciiTheme="majorHAnsi" w:hAnsiTheme="majorHAnsi" w:cstheme="majorHAnsi"/>
                <w:b/>
                <w:sz w:val="22"/>
                <w:szCs w:val="22"/>
              </w:rPr>
              <w:t xml:space="preserve"> y ya no subsisten las condiciones que dieron lugar a la misma</w:t>
            </w:r>
          </w:p>
          <w:p w14:paraId="2ABC3098" w14:textId="77777777" w:rsidR="00D5470F" w:rsidRPr="006D40B8" w:rsidRDefault="00D5470F" w:rsidP="00612DFD">
            <w:pPr>
              <w:spacing w:line="264" w:lineRule="auto"/>
              <w:jc w:val="both"/>
              <w:rPr>
                <w:rFonts w:asciiTheme="majorHAnsi" w:eastAsia="Arial" w:hAnsiTheme="majorHAnsi" w:cstheme="majorHAnsi"/>
                <w:sz w:val="22"/>
                <w:szCs w:val="22"/>
              </w:rPr>
            </w:pPr>
          </w:p>
          <w:p w14:paraId="3A725E51" w14:textId="56D1EF8C" w:rsidR="0014699D" w:rsidRPr="006D40B8" w:rsidRDefault="00E06440" w:rsidP="00612DFD">
            <w:pPr>
              <w:spacing w:line="264" w:lineRule="auto"/>
              <w:jc w:val="both"/>
              <w:rPr>
                <w:rFonts w:asciiTheme="majorHAnsi" w:hAnsiTheme="majorHAnsi" w:cstheme="majorHAnsi"/>
                <w:sz w:val="22"/>
                <w:szCs w:val="22"/>
              </w:rPr>
            </w:pPr>
            <w:r w:rsidRPr="006D40B8">
              <w:rPr>
                <w:rFonts w:asciiTheme="majorHAnsi" w:hAnsiTheme="majorHAnsi" w:cstheme="majorHAnsi"/>
                <w:sz w:val="22"/>
                <w:szCs w:val="22"/>
              </w:rPr>
              <w:t>El artículo 4º del Decreto 0949 de 2025 no fijó un plazo: sujetó la vigencia de la restricción a que «se cumplan a cabalidad las órdenes de medidas provisionales emitidas por la Corte Internacional de Justicia (…) o hasta que subsistan las condiciones que dieron lugar a ellas».</w:t>
            </w:r>
            <w:r w:rsidR="0014699D" w:rsidRPr="006D40B8">
              <w:rPr>
                <w:rFonts w:asciiTheme="majorHAnsi" w:hAnsiTheme="majorHAnsi" w:cstheme="majorHAnsi"/>
                <w:sz w:val="22"/>
                <w:szCs w:val="22"/>
              </w:rPr>
              <w:t xml:space="preserve"> </w:t>
            </w:r>
            <w:r w:rsidR="000301FE">
              <w:rPr>
                <w:rFonts w:asciiTheme="majorHAnsi" w:hAnsiTheme="majorHAnsi" w:cstheme="majorHAnsi"/>
                <w:sz w:val="22"/>
                <w:szCs w:val="22"/>
              </w:rPr>
              <w:t>Con base en lo cual</w:t>
            </w:r>
            <w:r w:rsidR="0014699D" w:rsidRPr="006D40B8">
              <w:rPr>
                <w:rFonts w:asciiTheme="majorHAnsi" w:hAnsiTheme="majorHAnsi" w:cstheme="majorHAnsi"/>
                <w:sz w:val="22"/>
                <w:szCs w:val="22"/>
              </w:rPr>
              <w:t xml:space="preserve"> se considera relevante evaluar la restricción incorporada y su vigencia en el tiempo.  </w:t>
            </w:r>
          </w:p>
          <w:p w14:paraId="54E2739B" w14:textId="77777777" w:rsidR="0014699D" w:rsidRPr="006D40B8" w:rsidRDefault="0014699D" w:rsidP="00612DFD">
            <w:pPr>
              <w:spacing w:line="264" w:lineRule="auto"/>
              <w:jc w:val="both"/>
              <w:rPr>
                <w:rFonts w:asciiTheme="majorHAnsi" w:hAnsiTheme="majorHAnsi" w:cstheme="majorHAnsi"/>
                <w:sz w:val="22"/>
                <w:szCs w:val="22"/>
              </w:rPr>
            </w:pPr>
          </w:p>
          <w:p w14:paraId="7E68F80C" w14:textId="3F2B36A4" w:rsidR="00ED2F91" w:rsidRPr="006D40B8" w:rsidRDefault="005333A7"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 xml:space="preserve">Teniendo en cuenta lo anterior se observó </w:t>
            </w:r>
            <w:r w:rsidR="00AB6687" w:rsidRPr="006D40B8">
              <w:rPr>
                <w:rFonts w:asciiTheme="majorHAnsi" w:hAnsiTheme="majorHAnsi" w:cstheme="majorHAnsi"/>
                <w:sz w:val="22"/>
                <w:szCs w:val="22"/>
              </w:rPr>
              <w:t>que,</w:t>
            </w:r>
            <w:r w:rsidRPr="006D40B8">
              <w:rPr>
                <w:rFonts w:asciiTheme="majorHAnsi" w:hAnsiTheme="majorHAnsi" w:cstheme="majorHAnsi"/>
                <w:sz w:val="22"/>
                <w:szCs w:val="22"/>
              </w:rPr>
              <w:t xml:space="preserve"> mediante</w:t>
            </w:r>
            <w:r w:rsidR="00E06440" w:rsidRPr="006D40B8">
              <w:rPr>
                <w:rFonts w:asciiTheme="majorHAnsi" w:hAnsiTheme="majorHAnsi" w:cstheme="majorHAnsi"/>
                <w:sz w:val="22"/>
                <w:szCs w:val="22"/>
              </w:rPr>
              <w:t xml:space="preserve"> providencia del 21 de mayo de 2026, la Corte Internacional de Justicia fijó el 22 de noviembre de 2027 como plazo para la presentación de la Réplica de la República de Sudáfrica y el 22 de mayo de 2029 para la Dúplica del Estado de Israel. El asunto se encuentra en fase de alegatos escritos y no habrá pronunciamiento de fondo antes de esas fechas</w:t>
            </w:r>
            <w:r w:rsidRPr="006D40B8">
              <w:rPr>
                <w:rFonts w:asciiTheme="majorHAnsi" w:hAnsiTheme="majorHAnsi" w:cstheme="majorHAnsi"/>
                <w:sz w:val="22"/>
                <w:szCs w:val="22"/>
              </w:rPr>
              <w:t>, por lo tanto, u</w:t>
            </w:r>
            <w:r w:rsidR="00E06440" w:rsidRPr="006D40B8">
              <w:rPr>
                <w:rFonts w:asciiTheme="majorHAnsi" w:hAnsiTheme="majorHAnsi" w:cstheme="majorHAnsi"/>
                <w:sz w:val="22"/>
                <w:szCs w:val="22"/>
              </w:rPr>
              <w:t>na restricción al comercio exterior concebida como instrumento temporal quedó atada a un procedimiento internacional cuya sola fase escrita se extiende hasta 2029, sin plazo cierto, sin cláusula de revisión periódica de eficacia y sin una condición de cumplimiento verificable por el Gobierno nacional. Una medida así deja de ser transitoria y se convierte materialmente en permanente. El estándar de justificación exigible a una carga permanente es más intenso que el aplicable a una medida de coyuntura, y ese estándar reforzado no está satisfecho en el expediente.</w:t>
            </w:r>
          </w:p>
          <w:p w14:paraId="5FC4BEC9" w14:textId="77777777" w:rsidR="006770CA" w:rsidRPr="006D40B8" w:rsidRDefault="006770CA" w:rsidP="00612DFD">
            <w:pPr>
              <w:spacing w:line="264" w:lineRule="auto"/>
              <w:jc w:val="both"/>
              <w:rPr>
                <w:rFonts w:asciiTheme="majorHAnsi" w:hAnsiTheme="majorHAnsi" w:cstheme="majorHAnsi"/>
                <w:sz w:val="22"/>
                <w:szCs w:val="22"/>
              </w:rPr>
            </w:pPr>
          </w:p>
          <w:p w14:paraId="7ED3F28F" w14:textId="0C85BF5E" w:rsidR="0057170B" w:rsidRPr="006D40B8" w:rsidRDefault="005333A7" w:rsidP="00612DFD">
            <w:pPr>
              <w:spacing w:line="264" w:lineRule="auto"/>
              <w:jc w:val="both"/>
              <w:rPr>
                <w:rFonts w:asciiTheme="majorHAnsi" w:hAnsiTheme="majorHAnsi" w:cstheme="majorHAnsi"/>
                <w:color w:val="000000" w:themeColor="text1"/>
                <w:sz w:val="22"/>
                <w:szCs w:val="22"/>
                <w:lang w:val="es-CO" w:eastAsia="es-CO"/>
              </w:rPr>
            </w:pPr>
            <w:r w:rsidRPr="006D40B8">
              <w:rPr>
                <w:rFonts w:asciiTheme="majorHAnsi" w:hAnsiTheme="majorHAnsi" w:cstheme="majorHAnsi"/>
                <w:sz w:val="22"/>
                <w:szCs w:val="22"/>
              </w:rPr>
              <w:t>Por otra parte</w:t>
            </w:r>
            <w:r w:rsidR="006770CA" w:rsidRPr="006D40B8">
              <w:rPr>
                <w:rFonts w:asciiTheme="majorHAnsi" w:hAnsiTheme="majorHAnsi" w:cstheme="majorHAnsi"/>
                <w:sz w:val="22"/>
                <w:szCs w:val="22"/>
              </w:rPr>
              <w:t xml:space="preserve">, </w:t>
            </w:r>
            <w:r w:rsidRPr="006D40B8">
              <w:rPr>
                <w:rFonts w:asciiTheme="majorHAnsi" w:hAnsiTheme="majorHAnsi" w:cstheme="majorHAnsi"/>
                <w:sz w:val="22"/>
                <w:szCs w:val="22"/>
              </w:rPr>
              <w:t>se encontró que a</w:t>
            </w:r>
            <w:r w:rsidR="0057170B" w:rsidRPr="006D40B8">
              <w:rPr>
                <w:rFonts w:asciiTheme="majorHAnsi" w:hAnsiTheme="majorHAnsi" w:cstheme="majorHAnsi"/>
                <w:color w:val="000000" w:themeColor="text1"/>
                <w:sz w:val="22"/>
                <w:szCs w:val="22"/>
                <w:lang w:eastAsia="es-CO"/>
              </w:rPr>
              <w:t xml:space="preserve"> </w:t>
            </w:r>
            <w:r w:rsidR="0057170B" w:rsidRPr="006D40B8">
              <w:rPr>
                <w:rFonts w:asciiTheme="majorHAnsi" w:hAnsiTheme="majorHAnsi" w:cstheme="majorHAnsi"/>
                <w:color w:val="000000" w:themeColor="text1"/>
                <w:sz w:val="22"/>
                <w:szCs w:val="22"/>
                <w:lang w:val="es-CO" w:eastAsia="es-CO"/>
              </w:rPr>
              <w:t>través de la Resolución S/RES/2803 de 2025, el Consejo de Seguridad de Naciones Unidas, “</w:t>
            </w:r>
            <w:r w:rsidR="0057170B" w:rsidRPr="006D40B8">
              <w:rPr>
                <w:rFonts w:asciiTheme="majorHAnsi" w:hAnsiTheme="majorHAnsi" w:cstheme="majorHAnsi"/>
                <w:i/>
                <w:iCs/>
                <w:color w:val="000000" w:themeColor="text1"/>
                <w:sz w:val="22"/>
                <w:szCs w:val="22"/>
                <w:lang w:val="es-CO" w:eastAsia="es-CO"/>
              </w:rPr>
              <w:t xml:space="preserve">acoge con beneplácito el Plan Integral para Poner Fin al Conflicto de Gaza, de 29 de septiembre de 2025 (“Plan Integral”) (…), y aplaudiendo a los Estados que lo han firmado, aceptado o respaldado, y acogiendo con beneplácito además la histórica Declaración Trump para la Paz y la Prosperidad Duraderas, de 13 de octubre de 2025, y el papel constructivo desempeñado por los Estados Unidos de América, el Estado de Qatar, la República Árabe de Egipto y la República de </w:t>
            </w:r>
            <w:proofErr w:type="spellStart"/>
            <w:r w:rsidR="0057170B" w:rsidRPr="006D40B8">
              <w:rPr>
                <w:rFonts w:asciiTheme="majorHAnsi" w:hAnsiTheme="majorHAnsi" w:cstheme="majorHAnsi"/>
                <w:i/>
                <w:iCs/>
                <w:color w:val="000000" w:themeColor="text1"/>
                <w:sz w:val="22"/>
                <w:szCs w:val="22"/>
                <w:lang w:val="es-CO" w:eastAsia="es-CO"/>
              </w:rPr>
              <w:t>Türkiye</w:t>
            </w:r>
            <w:proofErr w:type="spellEnd"/>
            <w:r w:rsidR="0057170B" w:rsidRPr="006D40B8">
              <w:rPr>
                <w:rFonts w:asciiTheme="majorHAnsi" w:hAnsiTheme="majorHAnsi" w:cstheme="majorHAnsi"/>
                <w:i/>
                <w:iCs/>
                <w:color w:val="000000" w:themeColor="text1"/>
                <w:sz w:val="22"/>
                <w:szCs w:val="22"/>
                <w:lang w:val="es-CO" w:eastAsia="es-CO"/>
              </w:rPr>
              <w:t xml:space="preserve"> al facilitar el alto el fuego en la Franja de Gaza</w:t>
            </w:r>
            <w:r w:rsidR="0057170B" w:rsidRPr="006D40B8">
              <w:rPr>
                <w:rFonts w:asciiTheme="majorHAnsi" w:hAnsiTheme="majorHAnsi" w:cstheme="majorHAnsi"/>
                <w:color w:val="000000" w:themeColor="text1"/>
                <w:sz w:val="22"/>
                <w:szCs w:val="22"/>
                <w:lang w:val="es-CO" w:eastAsia="es-CO"/>
              </w:rPr>
              <w:t>”.</w:t>
            </w:r>
          </w:p>
          <w:p w14:paraId="240D5E73" w14:textId="77777777" w:rsidR="0057170B" w:rsidRPr="006D40B8" w:rsidRDefault="0057170B" w:rsidP="00612DFD">
            <w:pPr>
              <w:spacing w:line="254" w:lineRule="atLeast"/>
              <w:ind w:right="-516"/>
              <w:jc w:val="both"/>
              <w:rPr>
                <w:rFonts w:asciiTheme="majorHAnsi" w:hAnsiTheme="majorHAnsi" w:cstheme="majorHAnsi"/>
                <w:color w:val="000000" w:themeColor="text1"/>
                <w:sz w:val="22"/>
                <w:szCs w:val="22"/>
                <w:lang w:val="es-CO" w:eastAsia="es-CO"/>
              </w:rPr>
            </w:pPr>
          </w:p>
          <w:p w14:paraId="359A2D2F" w14:textId="77DC0498" w:rsidR="0057170B" w:rsidRPr="006D40B8" w:rsidRDefault="00ED76BB" w:rsidP="00612DFD">
            <w:pPr>
              <w:spacing w:line="264" w:lineRule="auto"/>
              <w:jc w:val="both"/>
              <w:rPr>
                <w:rFonts w:asciiTheme="majorHAnsi" w:hAnsiTheme="majorHAnsi" w:cstheme="majorHAnsi"/>
                <w:color w:val="000000" w:themeColor="text1"/>
                <w:sz w:val="22"/>
                <w:szCs w:val="22"/>
                <w:lang w:val="es-CO" w:eastAsia="es-CO"/>
              </w:rPr>
            </w:pPr>
            <w:r w:rsidRPr="006D40B8">
              <w:rPr>
                <w:rFonts w:asciiTheme="majorHAnsi" w:hAnsiTheme="majorHAnsi" w:cstheme="majorHAnsi"/>
                <w:color w:val="000000" w:themeColor="text1"/>
                <w:sz w:val="22"/>
                <w:szCs w:val="22"/>
                <w:lang w:val="es-CO" w:eastAsia="es-CO"/>
              </w:rPr>
              <w:t>Al respecto</w:t>
            </w:r>
            <w:r w:rsidR="00AB6687">
              <w:rPr>
                <w:rFonts w:asciiTheme="majorHAnsi" w:hAnsiTheme="majorHAnsi" w:cstheme="majorHAnsi"/>
                <w:color w:val="000000" w:themeColor="text1"/>
                <w:sz w:val="22"/>
                <w:szCs w:val="22"/>
                <w:lang w:val="es-CO" w:eastAsia="es-CO"/>
              </w:rPr>
              <w:t>,</w:t>
            </w:r>
            <w:r w:rsidRPr="006D40B8">
              <w:rPr>
                <w:rFonts w:asciiTheme="majorHAnsi" w:hAnsiTheme="majorHAnsi" w:cstheme="majorHAnsi"/>
                <w:color w:val="000000" w:themeColor="text1"/>
                <w:sz w:val="22"/>
                <w:szCs w:val="22"/>
                <w:lang w:val="es-CO" w:eastAsia="es-CO"/>
              </w:rPr>
              <w:t xml:space="preserve"> </w:t>
            </w:r>
            <w:r w:rsidR="0057170B" w:rsidRPr="006D40B8">
              <w:rPr>
                <w:rFonts w:asciiTheme="majorHAnsi" w:hAnsiTheme="majorHAnsi" w:cstheme="majorHAnsi"/>
                <w:color w:val="000000" w:themeColor="text1"/>
                <w:sz w:val="22"/>
                <w:szCs w:val="22"/>
                <w:lang w:val="es-CO" w:eastAsia="es-CO"/>
              </w:rPr>
              <w:t>la Carta de fecha 15 de mayo de 2026 dirigida a la Presidencia del Consejo de Seguridad por el Representante Permanente de los Estados Unidos de América ante las Naciones Unidas</w:t>
            </w:r>
            <w:r w:rsidR="00D5470F" w:rsidRPr="006D40B8">
              <w:rPr>
                <w:rFonts w:asciiTheme="majorHAnsi" w:hAnsiTheme="majorHAnsi" w:cstheme="majorHAnsi"/>
                <w:color w:val="000000" w:themeColor="text1"/>
                <w:sz w:val="22"/>
                <w:szCs w:val="22"/>
                <w:lang w:val="es-CO" w:eastAsia="es-CO"/>
              </w:rPr>
              <w:t xml:space="preserve"> </w:t>
            </w:r>
            <w:r w:rsidR="0057170B" w:rsidRPr="006D40B8">
              <w:rPr>
                <w:rFonts w:asciiTheme="majorHAnsi" w:hAnsiTheme="majorHAnsi" w:cstheme="majorHAnsi"/>
                <w:color w:val="000000" w:themeColor="text1"/>
                <w:sz w:val="22"/>
                <w:szCs w:val="22"/>
                <w:lang w:val="es-CO" w:eastAsia="es-CO"/>
              </w:rPr>
              <w:t xml:space="preserve">Presidencia del Consejo de Seguridad por el Representante Permanente de los Estados Unidos de América ante las Naciones </w:t>
            </w:r>
            <w:r w:rsidR="0057170B" w:rsidRPr="006D40B8">
              <w:rPr>
                <w:rFonts w:asciiTheme="majorHAnsi" w:hAnsiTheme="majorHAnsi" w:cstheme="majorHAnsi"/>
                <w:color w:val="000000" w:themeColor="text1"/>
                <w:sz w:val="22"/>
                <w:szCs w:val="22"/>
                <w:lang w:val="es-CO" w:eastAsia="es-CO"/>
              </w:rPr>
              <w:lastRenderedPageBreak/>
              <w:t xml:space="preserve">Unidas, documento S/2026/418 del 15 de mayo de 2026, se reconoce que, a </w:t>
            </w:r>
            <w:r w:rsidR="0057170B" w:rsidRPr="00502334">
              <w:rPr>
                <w:rFonts w:asciiTheme="majorHAnsi" w:hAnsiTheme="majorHAnsi" w:cstheme="majorHAnsi"/>
                <w:color w:val="000000" w:themeColor="text1"/>
                <w:sz w:val="22"/>
                <w:szCs w:val="22"/>
                <w:highlight w:val="yellow"/>
                <w:lang w:val="es-CO" w:eastAsia="es-CO"/>
              </w:rPr>
              <w:t>pesar de algunas violaciones al alto al fuego</w:t>
            </w:r>
            <w:r w:rsidR="0057170B" w:rsidRPr="006D40B8">
              <w:rPr>
                <w:rFonts w:asciiTheme="majorHAnsi" w:hAnsiTheme="majorHAnsi" w:cstheme="majorHAnsi"/>
                <w:color w:val="000000" w:themeColor="text1"/>
                <w:sz w:val="22"/>
                <w:szCs w:val="22"/>
                <w:lang w:val="es-CO" w:eastAsia="es-CO"/>
              </w:rPr>
              <w:t>, “</w:t>
            </w:r>
            <w:r w:rsidR="0057170B" w:rsidRPr="006D40B8">
              <w:rPr>
                <w:rFonts w:asciiTheme="majorHAnsi" w:hAnsiTheme="majorHAnsi" w:cstheme="majorHAnsi"/>
                <w:i/>
                <w:iCs/>
                <w:color w:val="000000" w:themeColor="text1"/>
                <w:sz w:val="22"/>
                <w:szCs w:val="22"/>
                <w:lang w:val="es-CO" w:eastAsia="es-CO"/>
              </w:rPr>
              <w:t>tras siete meses de alto el fuego, las armas han callado en gran medida en toda Gaza por primera vez en dos años. Se trata de un logro notable que debe preservarse</w:t>
            </w:r>
            <w:r w:rsidR="0057170B" w:rsidRPr="006D40B8">
              <w:rPr>
                <w:rFonts w:asciiTheme="majorHAnsi" w:hAnsiTheme="majorHAnsi" w:cstheme="majorHAnsi"/>
                <w:color w:val="000000" w:themeColor="text1"/>
                <w:sz w:val="22"/>
                <w:szCs w:val="22"/>
                <w:lang w:val="es-CO" w:eastAsia="es-CO"/>
              </w:rPr>
              <w:t xml:space="preserve">.” (Numeral 7 del documento S/2026/418 del 15 de mayo de 2026.), </w:t>
            </w:r>
          </w:p>
          <w:p w14:paraId="76C42748" w14:textId="77777777" w:rsidR="0057170B" w:rsidRPr="006D40B8" w:rsidRDefault="0057170B" w:rsidP="00612DFD">
            <w:pPr>
              <w:spacing w:line="254" w:lineRule="atLeast"/>
              <w:ind w:right="-516"/>
              <w:jc w:val="both"/>
              <w:rPr>
                <w:rFonts w:asciiTheme="majorHAnsi" w:hAnsiTheme="majorHAnsi" w:cstheme="majorHAnsi"/>
                <w:color w:val="000000" w:themeColor="text1"/>
                <w:sz w:val="22"/>
                <w:szCs w:val="22"/>
                <w:lang w:val="es-CO" w:eastAsia="es-CO"/>
              </w:rPr>
            </w:pPr>
          </w:p>
          <w:p w14:paraId="5E23F2BC" w14:textId="10A43F53" w:rsidR="0057170B" w:rsidRPr="006D40B8" w:rsidRDefault="009573C4" w:rsidP="00612DFD">
            <w:pPr>
              <w:spacing w:line="264" w:lineRule="auto"/>
              <w:jc w:val="both"/>
              <w:rPr>
                <w:rFonts w:asciiTheme="majorHAnsi" w:hAnsiTheme="majorHAnsi" w:cstheme="majorHAnsi"/>
                <w:color w:val="000000" w:themeColor="text1"/>
                <w:sz w:val="22"/>
                <w:szCs w:val="22"/>
                <w:lang w:val="es-CO" w:eastAsia="es-CO"/>
              </w:rPr>
            </w:pPr>
            <w:r w:rsidRPr="006D40B8">
              <w:rPr>
                <w:rFonts w:asciiTheme="majorHAnsi" w:hAnsiTheme="majorHAnsi" w:cstheme="majorHAnsi"/>
                <w:color w:val="000000" w:themeColor="text1"/>
                <w:sz w:val="22"/>
                <w:szCs w:val="22"/>
                <w:lang w:val="es-CO" w:eastAsia="es-CO"/>
              </w:rPr>
              <w:t>C</w:t>
            </w:r>
            <w:r w:rsidR="0057170B" w:rsidRPr="006D40B8">
              <w:rPr>
                <w:rFonts w:asciiTheme="majorHAnsi" w:hAnsiTheme="majorHAnsi" w:cstheme="majorHAnsi"/>
                <w:color w:val="000000" w:themeColor="text1"/>
                <w:sz w:val="22"/>
                <w:szCs w:val="22"/>
                <w:lang w:val="es-CO" w:eastAsia="es-CO"/>
              </w:rPr>
              <w:t xml:space="preserve">on fundamento en lo anterior, </w:t>
            </w:r>
            <w:r w:rsidR="005333A7" w:rsidRPr="006D40B8">
              <w:rPr>
                <w:rFonts w:asciiTheme="majorHAnsi" w:hAnsiTheme="majorHAnsi" w:cstheme="majorHAnsi"/>
                <w:color w:val="000000" w:themeColor="text1"/>
                <w:sz w:val="22"/>
                <w:szCs w:val="22"/>
                <w:lang w:val="es-CO" w:eastAsia="es-CO"/>
              </w:rPr>
              <w:t xml:space="preserve">se puede concluir que </w:t>
            </w:r>
            <w:r w:rsidR="0057170B" w:rsidRPr="006D40B8">
              <w:rPr>
                <w:rFonts w:asciiTheme="majorHAnsi" w:hAnsiTheme="majorHAnsi" w:cstheme="majorHAnsi"/>
                <w:color w:val="000000" w:themeColor="text1"/>
                <w:sz w:val="22"/>
                <w:szCs w:val="22"/>
                <w:lang w:val="es-CO" w:eastAsia="es-CO"/>
              </w:rPr>
              <w:t>las medidas provisionales emitidas por la Corte Internacional de Justicia en el Proceso de la aplicación de la Convención para la Prevención y la Sanción del Delito de Genocidio en la Franja de Gaza (Sudáfrica c. Israel) del 26 de enero, 28 de marzo y 24 de mayo de 2024 han sido mayormente cumplidas.</w:t>
            </w:r>
          </w:p>
          <w:p w14:paraId="2424009F" w14:textId="77777777" w:rsidR="0057170B" w:rsidRPr="006D40B8" w:rsidRDefault="0057170B" w:rsidP="00612DFD">
            <w:pPr>
              <w:spacing w:line="264" w:lineRule="auto"/>
              <w:jc w:val="both"/>
              <w:rPr>
                <w:rFonts w:asciiTheme="majorHAnsi" w:hAnsiTheme="majorHAnsi" w:cstheme="majorHAnsi"/>
                <w:color w:val="000000" w:themeColor="text1"/>
                <w:sz w:val="22"/>
                <w:szCs w:val="22"/>
                <w:lang w:val="es-CO" w:eastAsia="es-CO"/>
              </w:rPr>
            </w:pPr>
          </w:p>
          <w:p w14:paraId="0B99AEEF" w14:textId="4C1EA798" w:rsidR="006770CA" w:rsidRPr="006D40B8" w:rsidRDefault="009573C4" w:rsidP="00612DFD">
            <w:pPr>
              <w:spacing w:line="264" w:lineRule="auto"/>
              <w:jc w:val="both"/>
              <w:rPr>
                <w:rFonts w:asciiTheme="majorHAnsi" w:hAnsiTheme="majorHAnsi" w:cstheme="majorHAnsi"/>
                <w:color w:val="000000" w:themeColor="text1"/>
                <w:sz w:val="22"/>
                <w:szCs w:val="22"/>
                <w:lang w:val="es-CO" w:eastAsia="es-CO"/>
              </w:rPr>
            </w:pPr>
            <w:r w:rsidRPr="006D40B8">
              <w:rPr>
                <w:rFonts w:asciiTheme="majorHAnsi" w:hAnsiTheme="majorHAnsi" w:cstheme="majorHAnsi"/>
                <w:color w:val="000000" w:themeColor="text1"/>
                <w:sz w:val="22"/>
                <w:szCs w:val="22"/>
                <w:lang w:val="es-CO" w:eastAsia="es-CO"/>
              </w:rPr>
              <w:t xml:space="preserve">Así las cosas, </w:t>
            </w:r>
            <w:r w:rsidR="005333A7" w:rsidRPr="006D40B8">
              <w:rPr>
                <w:rFonts w:asciiTheme="majorHAnsi" w:hAnsiTheme="majorHAnsi" w:cstheme="majorHAnsi"/>
                <w:color w:val="000000" w:themeColor="text1"/>
                <w:sz w:val="22"/>
                <w:szCs w:val="22"/>
                <w:lang w:val="es-CO" w:eastAsia="es-CO"/>
              </w:rPr>
              <w:t>se</w:t>
            </w:r>
            <w:r w:rsidR="0057170B" w:rsidRPr="006D40B8">
              <w:rPr>
                <w:rFonts w:asciiTheme="majorHAnsi" w:hAnsiTheme="majorHAnsi" w:cstheme="majorHAnsi"/>
                <w:color w:val="000000" w:themeColor="text1"/>
                <w:sz w:val="22"/>
                <w:szCs w:val="22"/>
                <w:lang w:val="es-CO" w:eastAsia="es-CO"/>
              </w:rPr>
              <w:t xml:space="preserve"> considera que las circunstancias que dieron lugar a la expedición de los Decretos 1047 de 2024 y 949 de 2025, relacionadas con el conflicto armado entre el grupo terrorista “Hamás” y el Estado de Israel, han cesado en gran parte, </w:t>
            </w:r>
            <w:proofErr w:type="gramStart"/>
            <w:r w:rsidR="0057170B" w:rsidRPr="006D40B8">
              <w:rPr>
                <w:rFonts w:asciiTheme="majorHAnsi" w:hAnsiTheme="majorHAnsi" w:cstheme="majorHAnsi"/>
                <w:color w:val="000000" w:themeColor="text1"/>
                <w:sz w:val="22"/>
                <w:szCs w:val="22"/>
                <w:lang w:val="es-CO" w:eastAsia="es-CO"/>
              </w:rPr>
              <w:t>y</w:t>
            </w:r>
            <w:proofErr w:type="gramEnd"/>
            <w:r w:rsidR="0057170B" w:rsidRPr="006D40B8">
              <w:rPr>
                <w:rFonts w:asciiTheme="majorHAnsi" w:hAnsiTheme="majorHAnsi" w:cstheme="majorHAnsi"/>
                <w:color w:val="000000" w:themeColor="text1"/>
                <w:sz w:val="22"/>
                <w:szCs w:val="22"/>
                <w:lang w:val="es-CO" w:eastAsia="es-CO"/>
              </w:rPr>
              <w:t xml:space="preserve"> por lo tanto, no se justifica mantener una medida restrictiva al comercio bajo los estándares de los artículos XI, XX y XXI del GATT 1994.</w:t>
            </w:r>
          </w:p>
          <w:p w14:paraId="1C00F0D9" w14:textId="77777777" w:rsidR="00ED2F91" w:rsidRPr="006D40B8" w:rsidRDefault="00ED2F91" w:rsidP="00612DFD">
            <w:pPr>
              <w:spacing w:line="264" w:lineRule="auto"/>
              <w:jc w:val="both"/>
              <w:rPr>
                <w:rFonts w:asciiTheme="majorHAnsi" w:eastAsia="Arial" w:hAnsiTheme="majorHAnsi" w:cstheme="majorHAnsi"/>
                <w:sz w:val="22"/>
                <w:szCs w:val="22"/>
                <w:lang w:val="es-CO"/>
              </w:rPr>
            </w:pPr>
          </w:p>
          <w:p w14:paraId="6B246B4D" w14:textId="22F21E2C" w:rsidR="00ED2F91" w:rsidRPr="006D40B8" w:rsidRDefault="00E06440" w:rsidP="00612DFD">
            <w:pPr>
              <w:spacing w:line="264" w:lineRule="auto"/>
              <w:jc w:val="both"/>
              <w:rPr>
                <w:rFonts w:asciiTheme="majorHAnsi" w:hAnsiTheme="majorHAnsi" w:cstheme="majorHAnsi"/>
                <w:b/>
                <w:sz w:val="22"/>
                <w:szCs w:val="22"/>
              </w:rPr>
            </w:pPr>
            <w:r w:rsidRPr="006D40B8">
              <w:rPr>
                <w:rFonts w:asciiTheme="majorHAnsi" w:hAnsiTheme="majorHAnsi" w:cstheme="majorHAnsi"/>
                <w:b/>
                <w:sz w:val="22"/>
                <w:szCs w:val="22"/>
              </w:rPr>
              <w:t>1.</w:t>
            </w:r>
            <w:r w:rsidR="007E00FE" w:rsidRPr="006D40B8">
              <w:rPr>
                <w:rFonts w:asciiTheme="majorHAnsi" w:hAnsiTheme="majorHAnsi" w:cstheme="majorHAnsi"/>
                <w:b/>
                <w:sz w:val="22"/>
                <w:szCs w:val="22"/>
              </w:rPr>
              <w:t>3.2. Impacto económico del Decreto 1047 de 2024 y el Decreto 949 de 2025.</w:t>
            </w:r>
          </w:p>
          <w:p w14:paraId="60C74A6F" w14:textId="77777777" w:rsidR="007E00FE" w:rsidRPr="006D40B8" w:rsidRDefault="007E00FE" w:rsidP="00612DFD">
            <w:pPr>
              <w:spacing w:line="264" w:lineRule="auto"/>
              <w:jc w:val="both"/>
              <w:rPr>
                <w:rFonts w:asciiTheme="majorHAnsi" w:eastAsia="Arial" w:hAnsiTheme="majorHAnsi" w:cstheme="majorHAnsi"/>
                <w:sz w:val="22"/>
                <w:szCs w:val="22"/>
              </w:rPr>
            </w:pPr>
          </w:p>
          <w:p w14:paraId="6F356B32" w14:textId="5EC5E8D1"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Las cifras agregadas que siguen provienen del boletín «Minería en Cifras» de enero de 2026 de la Agencia Nacional de Minería, elaborado con información del Departamento Administrativo Nacional de Estadística. Las cifras del flujo bilateral con el Estado de Israel provienen de las estadísticas de comercio exterior de la Dirección de Impuestos y Aduanas Nacionales y del Departamento Administrativo Nacional de Estadística.</w:t>
            </w:r>
          </w:p>
          <w:p w14:paraId="6F5E5186" w14:textId="698185AC" w:rsidR="00ED2F91" w:rsidRPr="006D40B8" w:rsidRDefault="00ED2F91" w:rsidP="00612DFD">
            <w:pPr>
              <w:spacing w:line="264" w:lineRule="auto"/>
              <w:jc w:val="both"/>
              <w:rPr>
                <w:rFonts w:asciiTheme="majorHAnsi" w:eastAsia="Arial" w:hAnsiTheme="majorHAnsi" w:cstheme="majorHAnsi"/>
                <w:sz w:val="22"/>
                <w:szCs w:val="22"/>
              </w:rPr>
            </w:pP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10" w:type="dxa"/>
                <w:right w:w="10" w:type="dxa"/>
              </w:tblCellMar>
              <w:tblLook w:val="04A0" w:firstRow="1" w:lastRow="0" w:firstColumn="1" w:lastColumn="0" w:noHBand="0" w:noVBand="1"/>
            </w:tblPr>
            <w:tblGrid>
              <w:gridCol w:w="3742"/>
              <w:gridCol w:w="1587"/>
              <w:gridCol w:w="1587"/>
              <w:gridCol w:w="1814"/>
            </w:tblGrid>
            <w:tr w:rsidR="00ED2F91" w:rsidRPr="006D40B8" w14:paraId="72FD4974" w14:textId="79B02100" w:rsidTr="00612DFD">
              <w:trPr>
                <w:jc w:val="center"/>
              </w:trPr>
              <w:tc>
                <w:tcPr>
                  <w:tcW w:w="3742" w:type="dxa"/>
                </w:tcPr>
                <w:p w14:paraId="106A8555" w14:textId="65E901A2"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b/>
                      <w:sz w:val="22"/>
                      <w:szCs w:val="22"/>
                    </w:rPr>
                    <w:t>Indicador</w:t>
                  </w:r>
                </w:p>
              </w:tc>
              <w:tc>
                <w:tcPr>
                  <w:tcW w:w="1587" w:type="dxa"/>
                </w:tcPr>
                <w:p w14:paraId="6189C6E6" w14:textId="4340BEE7"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b/>
                      <w:sz w:val="22"/>
                      <w:szCs w:val="22"/>
                    </w:rPr>
                    <w:t>2024</w:t>
                  </w:r>
                </w:p>
              </w:tc>
              <w:tc>
                <w:tcPr>
                  <w:tcW w:w="1587" w:type="dxa"/>
                </w:tcPr>
                <w:p w14:paraId="7DA04828" w14:textId="64B9FB4D"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b/>
                      <w:sz w:val="22"/>
                      <w:szCs w:val="22"/>
                    </w:rPr>
                    <w:t>2025</w:t>
                  </w:r>
                </w:p>
              </w:tc>
              <w:tc>
                <w:tcPr>
                  <w:tcW w:w="1814" w:type="dxa"/>
                </w:tcPr>
                <w:p w14:paraId="08FD283C" w14:textId="3C007C5F"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b/>
                      <w:sz w:val="22"/>
                      <w:szCs w:val="22"/>
                    </w:rPr>
                    <w:t>Variación</w:t>
                  </w:r>
                </w:p>
              </w:tc>
            </w:tr>
            <w:tr w:rsidR="00ED2F91" w:rsidRPr="006D40B8" w14:paraId="7FFC407D" w14:textId="6A82EA37" w:rsidTr="00612DFD">
              <w:trPr>
                <w:jc w:val="center"/>
              </w:trPr>
              <w:tc>
                <w:tcPr>
                  <w:tcW w:w="3742" w:type="dxa"/>
                </w:tcPr>
                <w:p w14:paraId="79F7E82A" w14:textId="0CAE8582"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Exportaciones de la subpartida 2701.12.00.10 (USD FOB millones)</w:t>
                  </w:r>
                </w:p>
              </w:tc>
              <w:tc>
                <w:tcPr>
                  <w:tcW w:w="1587" w:type="dxa"/>
                </w:tcPr>
                <w:p w14:paraId="36928B38" w14:textId="47E64B67"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5.707</w:t>
                  </w:r>
                </w:p>
              </w:tc>
              <w:tc>
                <w:tcPr>
                  <w:tcW w:w="1587" w:type="dxa"/>
                </w:tcPr>
                <w:p w14:paraId="2EF3B5D7" w14:textId="16885076"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3.860</w:t>
                  </w:r>
                </w:p>
              </w:tc>
              <w:tc>
                <w:tcPr>
                  <w:tcW w:w="1814" w:type="dxa"/>
                </w:tcPr>
                <w:p w14:paraId="5693D26B" w14:textId="7BF46991"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−32,4 %</w:t>
                  </w:r>
                </w:p>
              </w:tc>
            </w:tr>
            <w:tr w:rsidR="00ED2F91" w:rsidRPr="006D40B8" w14:paraId="4DD000CC" w14:textId="1DCB4B01" w:rsidTr="00612DFD">
              <w:trPr>
                <w:jc w:val="center"/>
              </w:trPr>
              <w:tc>
                <w:tcPr>
                  <w:tcW w:w="3742" w:type="dxa"/>
                </w:tcPr>
                <w:p w14:paraId="0B42F1A7" w14:textId="75B66650"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Exportaciones de la subpartida 2701.12.00.10 (toneladas)</w:t>
                  </w:r>
                </w:p>
              </w:tc>
              <w:tc>
                <w:tcPr>
                  <w:tcW w:w="1587" w:type="dxa"/>
                </w:tcPr>
                <w:p w14:paraId="223D38E9" w14:textId="57E10596"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58.910.060</w:t>
                  </w:r>
                </w:p>
              </w:tc>
              <w:tc>
                <w:tcPr>
                  <w:tcW w:w="1587" w:type="dxa"/>
                </w:tcPr>
                <w:p w14:paraId="21BD00B0" w14:textId="1445D734"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46.056.298</w:t>
                  </w:r>
                </w:p>
              </w:tc>
              <w:tc>
                <w:tcPr>
                  <w:tcW w:w="1814" w:type="dxa"/>
                </w:tcPr>
                <w:p w14:paraId="6AD022B2" w14:textId="628EDD43"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−21,8 %</w:t>
                  </w:r>
                </w:p>
              </w:tc>
            </w:tr>
            <w:tr w:rsidR="00ED2F91" w:rsidRPr="006D40B8" w14:paraId="4C862D1B" w14:textId="2E58995A" w:rsidTr="00612DFD">
              <w:trPr>
                <w:jc w:val="center"/>
              </w:trPr>
              <w:tc>
                <w:tcPr>
                  <w:tcW w:w="3742" w:type="dxa"/>
                </w:tcPr>
                <w:p w14:paraId="3FBB6ECC" w14:textId="47809C7A"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Ocupados en extracción de hulla (carbón de piedra)</w:t>
                  </w:r>
                </w:p>
              </w:tc>
              <w:tc>
                <w:tcPr>
                  <w:tcW w:w="1587" w:type="dxa"/>
                </w:tcPr>
                <w:p w14:paraId="1496560A" w14:textId="0D30881E"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67.717</w:t>
                  </w:r>
                </w:p>
              </w:tc>
              <w:tc>
                <w:tcPr>
                  <w:tcW w:w="1587" w:type="dxa"/>
                </w:tcPr>
                <w:p w14:paraId="666F6D83" w14:textId="24888F37"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53.946</w:t>
                  </w:r>
                </w:p>
              </w:tc>
              <w:tc>
                <w:tcPr>
                  <w:tcW w:w="1814" w:type="dxa"/>
                </w:tcPr>
                <w:p w14:paraId="5BC9170D" w14:textId="405C41E4"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−13.771 (−20,3 %)</w:t>
                  </w:r>
                </w:p>
              </w:tc>
            </w:tr>
            <w:tr w:rsidR="00ED2F91" w:rsidRPr="006D40B8" w14:paraId="1C0BAC79" w14:textId="28AE2467" w:rsidTr="00612DFD">
              <w:trPr>
                <w:jc w:val="center"/>
              </w:trPr>
              <w:tc>
                <w:tcPr>
                  <w:tcW w:w="3742" w:type="dxa"/>
                </w:tcPr>
                <w:p w14:paraId="527D476A" w14:textId="4DD3D145"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Producto interno bruto minero (COP miles de millones, precios constantes)</w:t>
                  </w:r>
                </w:p>
              </w:tc>
              <w:tc>
                <w:tcPr>
                  <w:tcW w:w="1587" w:type="dxa"/>
                </w:tcPr>
                <w:p w14:paraId="2B2988D9" w14:textId="52DEB658"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11.375</w:t>
                  </w:r>
                </w:p>
              </w:tc>
              <w:tc>
                <w:tcPr>
                  <w:tcW w:w="1587" w:type="dxa"/>
                </w:tcPr>
                <w:p w14:paraId="7373B06A" w14:textId="19AD70CD"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10.430</w:t>
                  </w:r>
                </w:p>
              </w:tc>
              <w:tc>
                <w:tcPr>
                  <w:tcW w:w="1814" w:type="dxa"/>
                </w:tcPr>
                <w:p w14:paraId="3843CC91" w14:textId="355C1569"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−8,3 %</w:t>
                  </w:r>
                </w:p>
              </w:tc>
            </w:tr>
            <w:tr w:rsidR="00ED2F91" w:rsidRPr="006D40B8" w14:paraId="21F53256" w14:textId="1C6C691D" w:rsidTr="00612DFD">
              <w:trPr>
                <w:jc w:val="center"/>
              </w:trPr>
              <w:tc>
                <w:tcPr>
                  <w:tcW w:w="3742" w:type="dxa"/>
                </w:tcPr>
                <w:p w14:paraId="06E4509D" w14:textId="03032FDA"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Aporte de la extracción de carbón al PIB minero</w:t>
                  </w:r>
                </w:p>
              </w:tc>
              <w:tc>
                <w:tcPr>
                  <w:tcW w:w="1587" w:type="dxa"/>
                </w:tcPr>
                <w:p w14:paraId="7FF5426A" w14:textId="005DF2EE"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w:t>
                  </w:r>
                </w:p>
              </w:tc>
              <w:tc>
                <w:tcPr>
                  <w:tcW w:w="1587" w:type="dxa"/>
                </w:tcPr>
                <w:p w14:paraId="7F01E33A" w14:textId="59C778D9"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56 %</w:t>
                  </w:r>
                </w:p>
              </w:tc>
              <w:tc>
                <w:tcPr>
                  <w:tcW w:w="1814" w:type="dxa"/>
                </w:tcPr>
                <w:p w14:paraId="0677188B" w14:textId="00497078"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−COP 464 mil millones (−7,4 %)</w:t>
                  </w:r>
                </w:p>
              </w:tc>
            </w:tr>
            <w:tr w:rsidR="00ED2F91" w:rsidRPr="006D40B8" w14:paraId="23ED798E" w14:textId="643100C6" w:rsidTr="00612DFD">
              <w:trPr>
                <w:jc w:val="center"/>
              </w:trPr>
              <w:tc>
                <w:tcPr>
                  <w:tcW w:w="3742" w:type="dxa"/>
                </w:tcPr>
                <w:p w14:paraId="5698DCAA" w14:textId="2A64F7BE"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Recaudo de regalías y contraprestaciones administrado por la ANM (COP billones)</w:t>
                  </w:r>
                </w:p>
              </w:tc>
              <w:tc>
                <w:tcPr>
                  <w:tcW w:w="1587" w:type="dxa"/>
                </w:tcPr>
                <w:p w14:paraId="41565447" w14:textId="374E50D9"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4,16</w:t>
                  </w:r>
                </w:p>
              </w:tc>
              <w:tc>
                <w:tcPr>
                  <w:tcW w:w="1587" w:type="dxa"/>
                </w:tcPr>
                <w:p w14:paraId="27EBFE90" w14:textId="2181EC6C"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4,02</w:t>
                  </w:r>
                </w:p>
              </w:tc>
              <w:tc>
                <w:tcPr>
                  <w:tcW w:w="1814" w:type="dxa"/>
                </w:tcPr>
                <w:p w14:paraId="23919AD4" w14:textId="0D287584" w:rsidR="00ED2F91"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−3,4 %</w:t>
                  </w:r>
                </w:p>
              </w:tc>
            </w:tr>
          </w:tbl>
          <w:p w14:paraId="685CFB73" w14:textId="46F79222" w:rsidR="00ED2F91" w:rsidRPr="006D40B8" w:rsidRDefault="00ED2F91" w:rsidP="00612DFD">
            <w:pPr>
              <w:rPr>
                <w:rFonts w:asciiTheme="majorHAnsi" w:hAnsiTheme="majorHAnsi" w:cstheme="majorHAnsi"/>
                <w:sz w:val="22"/>
                <w:szCs w:val="22"/>
              </w:rPr>
            </w:pPr>
          </w:p>
          <w:p w14:paraId="522753D3" w14:textId="22ADF2E7" w:rsidR="00ED2F91" w:rsidRPr="006D40B8" w:rsidRDefault="00ED2F91" w:rsidP="00612DFD">
            <w:pPr>
              <w:spacing w:line="264" w:lineRule="auto"/>
              <w:jc w:val="both"/>
              <w:rPr>
                <w:rFonts w:asciiTheme="majorHAnsi" w:eastAsia="Arial" w:hAnsiTheme="majorHAnsi" w:cstheme="majorHAnsi"/>
                <w:sz w:val="22"/>
                <w:szCs w:val="22"/>
              </w:rPr>
            </w:pPr>
          </w:p>
          <w:p w14:paraId="49C7B8D1" w14:textId="371371E8" w:rsidR="00ED2F91" w:rsidRPr="006D40B8" w:rsidRDefault="00ED2F91"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En 2025 la extracción de carbón registró una contracción generalizada frente a 2024. El valor exportado de la subpartida 2701.12.00.10 cayó 32,4 %, al pasar de USD 5.707 millones a USD 3.860 millones, mientras el volumen disminuyó 21,8 %, de 58,9 a 46,1 millones de toneladas. La caída más pronunciada del valor frente al volumen sugiere, además, una reducción aproximada del 13,5 % en el precio promedio de exportación.</w:t>
            </w:r>
          </w:p>
          <w:p w14:paraId="0E0A0ABD" w14:textId="0005976B" w:rsidR="00ED2F91" w:rsidRPr="006D40B8" w:rsidRDefault="00ED2F91" w:rsidP="00612DFD">
            <w:pPr>
              <w:spacing w:line="264" w:lineRule="auto"/>
              <w:jc w:val="both"/>
              <w:rPr>
                <w:rFonts w:asciiTheme="majorHAnsi" w:eastAsia="Arial" w:hAnsiTheme="majorHAnsi" w:cstheme="majorHAnsi"/>
                <w:sz w:val="22"/>
                <w:szCs w:val="22"/>
              </w:rPr>
            </w:pPr>
          </w:p>
          <w:p w14:paraId="324A9BD9" w14:textId="066801F9" w:rsidR="00ED2F91" w:rsidRPr="006D40B8" w:rsidRDefault="00ED2F91"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 xml:space="preserve">Este deterioro también se reflejó en la actividad interna: el empleo en la extracción de hulla disminuyó 20,3 %, equivalente a 13.771 ocupados menos, y el PIB minero se contrajo 8,3 %. La extracción de carbón representó el 56 % del PIB minero, pero su aporte cayó COP 464 mil millones, es decir, 7,4 %. Asimismo, el recaudo de </w:t>
            </w:r>
            <w:r w:rsidRPr="006D40B8">
              <w:rPr>
                <w:rFonts w:asciiTheme="majorHAnsi" w:hAnsiTheme="majorHAnsi" w:cstheme="majorHAnsi"/>
                <w:sz w:val="22"/>
                <w:szCs w:val="22"/>
              </w:rPr>
              <w:lastRenderedPageBreak/>
              <w:t>regalías y contraprestaciones administrado por la ANM bajó de COP 4,16 a COP 4,02 billones, una reducción más moderada del 3,4 %.</w:t>
            </w:r>
          </w:p>
          <w:p w14:paraId="7349AD98" w14:textId="5F2073D0" w:rsidR="00ED2F91" w:rsidRPr="006D40B8" w:rsidRDefault="00ED2F91" w:rsidP="00612DFD">
            <w:pPr>
              <w:spacing w:line="264" w:lineRule="auto"/>
              <w:jc w:val="both"/>
              <w:rPr>
                <w:rFonts w:asciiTheme="majorHAnsi" w:eastAsia="Arial" w:hAnsiTheme="majorHAnsi" w:cstheme="majorHAnsi"/>
                <w:sz w:val="22"/>
                <w:szCs w:val="22"/>
              </w:rPr>
            </w:pPr>
          </w:p>
          <w:p w14:paraId="6C959148" w14:textId="787257F8" w:rsidR="00ED2F91" w:rsidRPr="006D40B8" w:rsidRDefault="00ED2F91"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Dentro de ese cuadro general conviene aislar el flujo bilateral, que es el directamente alcanzado por la medida que se deroga.</w:t>
            </w:r>
          </w:p>
          <w:p w14:paraId="40F37B1B" w14:textId="55A5CB70" w:rsidR="00ED2F91" w:rsidRPr="006D40B8" w:rsidRDefault="00ED2F91" w:rsidP="00612DFD">
            <w:pPr>
              <w:spacing w:line="264" w:lineRule="auto"/>
              <w:jc w:val="both"/>
              <w:rPr>
                <w:rFonts w:asciiTheme="majorHAnsi" w:eastAsia="Arial" w:hAnsiTheme="majorHAnsi" w:cstheme="majorHAnsi"/>
                <w:sz w:val="22"/>
                <w:szCs w:val="22"/>
              </w:rPr>
            </w:pP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3402"/>
              <w:gridCol w:w="2041"/>
              <w:gridCol w:w="2041"/>
              <w:gridCol w:w="1587"/>
            </w:tblGrid>
            <w:tr w:rsidR="007A5F33" w:rsidRPr="006D40B8" w14:paraId="718DCDBC" w14:textId="2D18CAA4" w:rsidTr="00612DFD">
              <w:trPr>
                <w:jc w:val="center"/>
              </w:trPr>
              <w:tc>
                <w:tcPr>
                  <w:tcW w:w="3402" w:type="dxa"/>
                </w:tcPr>
                <w:p w14:paraId="57C68FB4" w14:textId="79EA5C73" w:rsidR="007A5F33" w:rsidRPr="006D40B8" w:rsidRDefault="00E06440" w:rsidP="00612DFD">
                  <w:pPr>
                    <w:rPr>
                      <w:rFonts w:asciiTheme="majorHAnsi" w:hAnsiTheme="majorHAnsi" w:cstheme="majorHAnsi"/>
                      <w:sz w:val="22"/>
                      <w:szCs w:val="22"/>
                    </w:rPr>
                  </w:pPr>
                  <w:r w:rsidRPr="006D40B8">
                    <w:rPr>
                      <w:rFonts w:asciiTheme="majorHAnsi" w:hAnsiTheme="majorHAnsi" w:cstheme="majorHAnsi"/>
                      <w:b/>
                      <w:sz w:val="22"/>
                      <w:szCs w:val="22"/>
                    </w:rPr>
                    <w:t>Exportaciones de carbón térmico a Israel</w:t>
                  </w:r>
                </w:p>
              </w:tc>
              <w:tc>
                <w:tcPr>
                  <w:tcW w:w="2041" w:type="dxa"/>
                </w:tcPr>
                <w:p w14:paraId="7783BE82" w14:textId="515D4248" w:rsidR="007A5F33" w:rsidRPr="006D40B8" w:rsidRDefault="00E06440" w:rsidP="00612DFD">
                  <w:pPr>
                    <w:rPr>
                      <w:rFonts w:asciiTheme="majorHAnsi" w:hAnsiTheme="majorHAnsi" w:cstheme="majorHAnsi"/>
                      <w:sz w:val="22"/>
                      <w:szCs w:val="22"/>
                    </w:rPr>
                  </w:pPr>
                  <w:r w:rsidRPr="006D40B8">
                    <w:rPr>
                      <w:rFonts w:asciiTheme="majorHAnsi" w:hAnsiTheme="majorHAnsi" w:cstheme="majorHAnsi"/>
                      <w:b/>
                      <w:sz w:val="22"/>
                      <w:szCs w:val="22"/>
                    </w:rPr>
                    <w:t>2024</w:t>
                  </w:r>
                </w:p>
              </w:tc>
              <w:tc>
                <w:tcPr>
                  <w:tcW w:w="2041" w:type="dxa"/>
                </w:tcPr>
                <w:p w14:paraId="1430846E" w14:textId="6D1F4621" w:rsidR="007A5F33" w:rsidRPr="006D40B8" w:rsidRDefault="00E06440" w:rsidP="00612DFD">
                  <w:pPr>
                    <w:rPr>
                      <w:rFonts w:asciiTheme="majorHAnsi" w:hAnsiTheme="majorHAnsi" w:cstheme="majorHAnsi"/>
                      <w:sz w:val="22"/>
                      <w:szCs w:val="22"/>
                    </w:rPr>
                  </w:pPr>
                  <w:r w:rsidRPr="006D40B8">
                    <w:rPr>
                      <w:rFonts w:asciiTheme="majorHAnsi" w:hAnsiTheme="majorHAnsi" w:cstheme="majorHAnsi"/>
                      <w:b/>
                      <w:sz w:val="22"/>
                      <w:szCs w:val="22"/>
                    </w:rPr>
                    <w:t>2025</w:t>
                  </w:r>
                </w:p>
              </w:tc>
              <w:tc>
                <w:tcPr>
                  <w:tcW w:w="1587" w:type="dxa"/>
                </w:tcPr>
                <w:p w14:paraId="24552589" w14:textId="14A23004" w:rsidR="007A5F33" w:rsidRPr="006D40B8" w:rsidRDefault="00E06440" w:rsidP="00612DFD">
                  <w:pPr>
                    <w:rPr>
                      <w:rFonts w:asciiTheme="majorHAnsi" w:hAnsiTheme="majorHAnsi" w:cstheme="majorHAnsi"/>
                      <w:sz w:val="22"/>
                      <w:szCs w:val="22"/>
                    </w:rPr>
                  </w:pPr>
                  <w:r w:rsidRPr="006D40B8">
                    <w:rPr>
                      <w:rFonts w:asciiTheme="majorHAnsi" w:hAnsiTheme="majorHAnsi" w:cstheme="majorHAnsi"/>
                      <w:b/>
                      <w:sz w:val="22"/>
                      <w:szCs w:val="22"/>
                    </w:rPr>
                    <w:t>Var. anual</w:t>
                  </w:r>
                </w:p>
              </w:tc>
            </w:tr>
            <w:tr w:rsidR="007A5F33" w:rsidRPr="006D40B8" w14:paraId="07AFD2B7" w14:textId="1C9F52DF" w:rsidTr="00612DFD">
              <w:trPr>
                <w:jc w:val="center"/>
              </w:trPr>
              <w:tc>
                <w:tcPr>
                  <w:tcW w:w="3402" w:type="dxa"/>
                </w:tcPr>
                <w:p w14:paraId="681AA4BF" w14:textId="71A44BBB" w:rsidR="007A5F33"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USD FOB</w:t>
                  </w:r>
                </w:p>
              </w:tc>
              <w:tc>
                <w:tcPr>
                  <w:tcW w:w="2041" w:type="dxa"/>
                </w:tcPr>
                <w:p w14:paraId="612F328A" w14:textId="0744439C" w:rsidR="007A5F33"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225.221.436,8</w:t>
                  </w:r>
                </w:p>
              </w:tc>
              <w:tc>
                <w:tcPr>
                  <w:tcW w:w="2041" w:type="dxa"/>
                </w:tcPr>
                <w:p w14:paraId="6AB2BB56" w14:textId="6680A1A4" w:rsidR="007A5F33"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84.890.578,0</w:t>
                  </w:r>
                </w:p>
              </w:tc>
              <w:tc>
                <w:tcPr>
                  <w:tcW w:w="1587" w:type="dxa"/>
                </w:tcPr>
                <w:p w14:paraId="65C9BEF6" w14:textId="1BC9827A" w:rsidR="007A5F33"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−62,3 %</w:t>
                  </w:r>
                </w:p>
              </w:tc>
            </w:tr>
            <w:tr w:rsidR="007A5F33" w:rsidRPr="006D40B8" w14:paraId="43AEED17" w14:textId="1DB2A1BF" w:rsidTr="00612DFD">
              <w:trPr>
                <w:jc w:val="center"/>
              </w:trPr>
              <w:tc>
                <w:tcPr>
                  <w:tcW w:w="3402" w:type="dxa"/>
                </w:tcPr>
                <w:p w14:paraId="7F3366CE" w14:textId="1B79E3A0" w:rsidR="007A5F33"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Toneladas</w:t>
                  </w:r>
                </w:p>
              </w:tc>
              <w:tc>
                <w:tcPr>
                  <w:tcW w:w="2041" w:type="dxa"/>
                </w:tcPr>
                <w:p w14:paraId="71FBF31B" w14:textId="583AB96A" w:rsidR="007A5F33"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2.261.684,0</w:t>
                  </w:r>
                </w:p>
              </w:tc>
              <w:tc>
                <w:tcPr>
                  <w:tcW w:w="2041" w:type="dxa"/>
                </w:tcPr>
                <w:p w14:paraId="69AA3FD4" w14:textId="61844518" w:rsidR="007A5F33"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897.735,0</w:t>
                  </w:r>
                </w:p>
              </w:tc>
              <w:tc>
                <w:tcPr>
                  <w:tcW w:w="1587" w:type="dxa"/>
                </w:tcPr>
                <w:p w14:paraId="435F8CF2" w14:textId="18480348" w:rsidR="007A5F33" w:rsidRPr="006D40B8" w:rsidRDefault="00E06440" w:rsidP="00612DFD">
                  <w:pPr>
                    <w:rPr>
                      <w:rFonts w:asciiTheme="majorHAnsi" w:hAnsiTheme="majorHAnsi" w:cstheme="majorHAnsi"/>
                      <w:sz w:val="22"/>
                      <w:szCs w:val="22"/>
                    </w:rPr>
                  </w:pPr>
                  <w:r w:rsidRPr="006D40B8">
                    <w:rPr>
                      <w:rFonts w:asciiTheme="majorHAnsi" w:hAnsiTheme="majorHAnsi" w:cstheme="majorHAnsi"/>
                      <w:sz w:val="22"/>
                      <w:szCs w:val="22"/>
                    </w:rPr>
                    <w:t>−60,3 %</w:t>
                  </w:r>
                </w:p>
              </w:tc>
            </w:tr>
          </w:tbl>
          <w:p w14:paraId="28CA68A5" w14:textId="6FC73CEF" w:rsidR="00ED2F91" w:rsidRPr="006D40B8" w:rsidRDefault="00ED2F91" w:rsidP="00612DFD">
            <w:pPr>
              <w:spacing w:line="264" w:lineRule="auto"/>
              <w:jc w:val="center"/>
              <w:rPr>
                <w:rFonts w:asciiTheme="majorHAnsi" w:eastAsia="Arial" w:hAnsiTheme="majorHAnsi" w:cstheme="majorHAnsi"/>
                <w:sz w:val="22"/>
                <w:szCs w:val="22"/>
              </w:rPr>
            </w:pPr>
            <w:r w:rsidRPr="006D40B8">
              <w:rPr>
                <w:rFonts w:asciiTheme="majorHAnsi" w:hAnsiTheme="majorHAnsi" w:cstheme="majorHAnsi"/>
                <w:sz w:val="22"/>
                <w:szCs w:val="22"/>
              </w:rPr>
              <w:t>Fuente: DIAN – DANE.</w:t>
            </w:r>
          </w:p>
          <w:p w14:paraId="781D3AE2" w14:textId="49798640" w:rsidR="00ED2F91" w:rsidRPr="006D40B8" w:rsidRDefault="00ED2F91" w:rsidP="00612DFD">
            <w:pPr>
              <w:spacing w:line="264" w:lineRule="auto"/>
              <w:jc w:val="both"/>
              <w:rPr>
                <w:rFonts w:asciiTheme="majorHAnsi" w:eastAsia="Arial" w:hAnsiTheme="majorHAnsi" w:cstheme="majorHAnsi"/>
                <w:sz w:val="22"/>
                <w:szCs w:val="22"/>
              </w:rPr>
            </w:pPr>
          </w:p>
          <w:p w14:paraId="158D3C52" w14:textId="3ED2B54B" w:rsidR="00ED2F91" w:rsidRDefault="00ED2F91" w:rsidP="00612DFD">
            <w:pPr>
              <w:spacing w:line="264" w:lineRule="auto"/>
              <w:jc w:val="both"/>
              <w:rPr>
                <w:rFonts w:asciiTheme="majorHAnsi" w:hAnsiTheme="majorHAnsi" w:cstheme="majorHAnsi"/>
                <w:sz w:val="22"/>
                <w:szCs w:val="22"/>
              </w:rPr>
            </w:pPr>
            <w:r w:rsidRPr="006D40B8">
              <w:rPr>
                <w:rFonts w:asciiTheme="majorHAnsi" w:hAnsiTheme="majorHAnsi" w:cstheme="majorHAnsi"/>
                <w:sz w:val="22"/>
                <w:szCs w:val="22"/>
              </w:rPr>
              <w:t>Una variable que acentuó la crisis del sector fue, precisamente, la prohibición de exportaciones de carbón térmico a Israel. Esas exportaciones disminuyeron 62,3 % en valor, equivalentes a USD 140,3 millones menos, y 60,3 % en volumen, con una reducción de 1,36 millones de toneladas. Frente a la caída total de las exportaciones colombianas de la subpartida —USD 1.847 millones y 12,85 millones de toneladas—, Israel explicó aproximadamente el 7,6 % de la contracción en valor y el 10,6 % de la reducción en volumen.</w:t>
            </w:r>
          </w:p>
          <w:p w14:paraId="3EC6ADBD" w14:textId="77777777" w:rsidR="002B16C0" w:rsidRDefault="002B16C0" w:rsidP="00612DFD">
            <w:pPr>
              <w:spacing w:line="264" w:lineRule="auto"/>
              <w:jc w:val="both"/>
              <w:rPr>
                <w:rFonts w:asciiTheme="majorHAnsi" w:hAnsiTheme="majorHAnsi" w:cstheme="majorHAnsi"/>
                <w:sz w:val="22"/>
                <w:szCs w:val="22"/>
              </w:rPr>
            </w:pPr>
          </w:p>
          <w:p w14:paraId="4CBF65BF" w14:textId="5A261C74" w:rsidR="002C0A97" w:rsidRDefault="002B16C0" w:rsidP="00B3439F">
            <w:pPr>
              <w:spacing w:line="264" w:lineRule="auto"/>
              <w:jc w:val="both"/>
              <w:rPr>
                <w:rFonts w:asciiTheme="majorHAnsi" w:eastAsia="Arial" w:hAnsiTheme="majorHAnsi" w:cstheme="majorHAnsi"/>
                <w:sz w:val="22"/>
                <w:szCs w:val="22"/>
              </w:rPr>
            </w:pPr>
            <w:r>
              <w:rPr>
                <w:rFonts w:asciiTheme="majorHAnsi" w:eastAsia="Arial" w:hAnsiTheme="majorHAnsi" w:cstheme="majorHAnsi"/>
                <w:sz w:val="22"/>
                <w:szCs w:val="22"/>
              </w:rPr>
              <w:t>De conformidad con lo anterior se concluye q</w:t>
            </w:r>
            <w:r w:rsidRPr="002B16C0">
              <w:rPr>
                <w:rFonts w:asciiTheme="majorHAnsi" w:eastAsia="Arial" w:hAnsiTheme="majorHAnsi" w:cstheme="majorHAnsi"/>
                <w:sz w:val="22"/>
                <w:szCs w:val="22"/>
              </w:rPr>
              <w:t>ue el carbón térmico es un bien fungible que se transa en un mercado internacional profundo y con múltiples oferentes, en el cual la República de Colombia participa como tomadora de precios; que, en consecuencia, una prohibición de exportación definida por el país de destino no reduce la oferta mundial disponible para ese destino, sino que redirige los flujos comerciales y transfiere la renta correspondiente a proveedores de terceros países</w:t>
            </w:r>
            <w:r w:rsidR="00B3439F">
              <w:rPr>
                <w:rFonts w:asciiTheme="majorHAnsi" w:eastAsia="Arial" w:hAnsiTheme="majorHAnsi" w:cstheme="majorHAnsi"/>
                <w:sz w:val="22"/>
                <w:szCs w:val="22"/>
              </w:rPr>
              <w:t xml:space="preserve">. Por lo que no se justifica mantener una restricción a las importaciones de hullas térmicas a un solo destino determinado, para el caso analizado en la presente memoria Israel. </w:t>
            </w:r>
          </w:p>
          <w:p w14:paraId="07D94C54" w14:textId="77777777" w:rsidR="007D20BC" w:rsidRDefault="007D20BC" w:rsidP="00612DFD">
            <w:pPr>
              <w:spacing w:line="264" w:lineRule="auto"/>
              <w:jc w:val="both"/>
              <w:rPr>
                <w:rFonts w:asciiTheme="majorHAnsi" w:hAnsiTheme="majorHAnsi" w:cstheme="majorHAnsi"/>
                <w:b/>
                <w:sz w:val="22"/>
                <w:szCs w:val="22"/>
              </w:rPr>
            </w:pPr>
          </w:p>
          <w:p w14:paraId="6CAE43B0" w14:textId="3A23A9E4" w:rsidR="00ED2F91" w:rsidRDefault="007D20BC" w:rsidP="00612DFD">
            <w:pPr>
              <w:spacing w:line="264" w:lineRule="auto"/>
              <w:jc w:val="both"/>
              <w:rPr>
                <w:rFonts w:asciiTheme="majorHAnsi" w:hAnsiTheme="majorHAnsi" w:cstheme="majorHAnsi"/>
                <w:sz w:val="22"/>
                <w:szCs w:val="22"/>
              </w:rPr>
            </w:pPr>
            <w:r>
              <w:rPr>
                <w:rFonts w:asciiTheme="majorHAnsi" w:hAnsiTheme="majorHAnsi" w:cstheme="majorHAnsi"/>
                <w:sz w:val="22"/>
                <w:szCs w:val="22"/>
              </w:rPr>
              <w:t xml:space="preserve">En </w:t>
            </w:r>
            <w:r w:rsidR="00030F2B">
              <w:rPr>
                <w:rFonts w:asciiTheme="majorHAnsi" w:hAnsiTheme="majorHAnsi" w:cstheme="majorHAnsi"/>
                <w:sz w:val="22"/>
                <w:szCs w:val="22"/>
              </w:rPr>
              <w:t>conclusión,</w:t>
            </w:r>
            <w:r>
              <w:rPr>
                <w:rFonts w:asciiTheme="majorHAnsi" w:hAnsiTheme="majorHAnsi" w:cstheme="majorHAnsi"/>
                <w:sz w:val="22"/>
                <w:szCs w:val="22"/>
              </w:rPr>
              <w:t xml:space="preserve"> las</w:t>
            </w:r>
            <w:r w:rsidR="00E06440" w:rsidRPr="006D40B8">
              <w:rPr>
                <w:rFonts w:asciiTheme="majorHAnsi" w:hAnsiTheme="majorHAnsi" w:cstheme="majorHAnsi"/>
                <w:sz w:val="22"/>
                <w:szCs w:val="22"/>
              </w:rPr>
              <w:t xml:space="preserve"> consideraciones explican por qué la intervención debe adoptarse ahora y no más adelante. La primera es de eficiencia administrativa: sostener un control aduanero cuya utilidad no está demostrada consume capacidad institucional que puede destinarse a riesgos reales. La segunda es de contención del daño: la exposición patrimonial de la Nación no se estabiliza mientras la prohibición siga produciendo efectos. La tercera es de coherencia: existiendo un marco colectivo adoptado por el Consejo de Seguridad, la posición internacional del Estado colombiano gana consistencia si se articula con él, en lugar de mantener un instrumento paralelo que no ha alcanzado su objetivo.</w:t>
            </w:r>
          </w:p>
          <w:p w14:paraId="65990667" w14:textId="77777777" w:rsidR="001C3675" w:rsidRPr="006D40B8" w:rsidRDefault="001C3675" w:rsidP="001C3675">
            <w:pPr>
              <w:spacing w:line="264" w:lineRule="auto"/>
              <w:jc w:val="both"/>
              <w:rPr>
                <w:rFonts w:asciiTheme="majorHAnsi" w:eastAsia="Arial" w:hAnsiTheme="majorHAnsi" w:cstheme="majorHAnsi"/>
                <w:sz w:val="22"/>
                <w:szCs w:val="22"/>
              </w:rPr>
            </w:pPr>
          </w:p>
          <w:p w14:paraId="3A9790BC" w14:textId="77777777" w:rsidR="001C3675" w:rsidRPr="006D40B8" w:rsidRDefault="001C3675" w:rsidP="001C3675">
            <w:pPr>
              <w:spacing w:line="264" w:lineRule="auto"/>
              <w:jc w:val="both"/>
              <w:rPr>
                <w:rFonts w:asciiTheme="majorHAnsi" w:eastAsia="Arial" w:hAnsiTheme="majorHAnsi" w:cstheme="majorHAnsi"/>
                <w:sz w:val="22"/>
                <w:szCs w:val="22"/>
              </w:rPr>
            </w:pPr>
            <w:r w:rsidRPr="006D40B8">
              <w:rPr>
                <w:rFonts w:asciiTheme="majorHAnsi" w:hAnsiTheme="majorHAnsi" w:cstheme="majorHAnsi"/>
                <w:b/>
                <w:sz w:val="22"/>
                <w:szCs w:val="22"/>
              </w:rPr>
              <w:t>3.5. Coherencia con los compromisos internacionales de la República de Colombia</w:t>
            </w:r>
          </w:p>
          <w:p w14:paraId="639844AD" w14:textId="77777777" w:rsidR="001C3675" w:rsidRPr="006D40B8" w:rsidRDefault="001C3675" w:rsidP="001C3675">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El proyecto no solo es compatible con los compromisos internacionales del Estado: los realiza. El literal a) del artículo 3º de la Ley 1609 de 2013 impone al Gobierno, al modificar disposiciones del régimen de aduanas, facilitar el desarrollo y la aplicación de los convenios y tratados internacionales suscritos y vigentes para Colombia.</w:t>
            </w:r>
          </w:p>
          <w:p w14:paraId="638F8C85" w14:textId="77777777" w:rsidR="001C3675" w:rsidRPr="006D40B8" w:rsidRDefault="001C3675" w:rsidP="001C3675">
            <w:pPr>
              <w:spacing w:line="264" w:lineRule="auto"/>
              <w:jc w:val="both"/>
              <w:rPr>
                <w:rFonts w:asciiTheme="majorHAnsi" w:eastAsia="Arial" w:hAnsiTheme="majorHAnsi" w:cstheme="majorHAnsi"/>
                <w:sz w:val="22"/>
                <w:szCs w:val="22"/>
              </w:rPr>
            </w:pPr>
          </w:p>
          <w:p w14:paraId="150EA4D5" w14:textId="77777777" w:rsidR="001C3675" w:rsidRPr="006D40B8" w:rsidRDefault="001C3675" w:rsidP="001C3675">
            <w:pPr>
              <w:spacing w:line="264" w:lineRule="auto"/>
              <w:jc w:val="both"/>
              <w:rPr>
                <w:rFonts w:asciiTheme="majorHAnsi" w:eastAsia="Arial" w:hAnsiTheme="majorHAnsi" w:cstheme="majorHAnsi"/>
                <w:sz w:val="22"/>
                <w:szCs w:val="22"/>
              </w:rPr>
            </w:pPr>
            <w:r w:rsidRPr="006D40B8">
              <w:rPr>
                <w:rFonts w:asciiTheme="majorHAnsi" w:hAnsiTheme="majorHAnsi" w:cstheme="majorHAnsi"/>
                <w:b/>
                <w:sz w:val="22"/>
                <w:szCs w:val="22"/>
              </w:rPr>
              <w:t>Artículo XI:1 del GATT de 1994.</w:t>
            </w:r>
            <w:r w:rsidRPr="006D40B8">
              <w:rPr>
                <w:rFonts w:asciiTheme="majorHAnsi" w:hAnsiTheme="majorHAnsi" w:cstheme="majorHAnsi"/>
                <w:sz w:val="22"/>
                <w:szCs w:val="22"/>
              </w:rPr>
              <w:t xml:space="preserve"> Prohíbe a los Miembros mantener restricciones a la exportación distintas de los derechos de aduana, impuestos u otras cargas, ya se apliquen mediante contingentes, licencias de exportación o por medio de otras medidas. Una prohibición absoluta de exportar hacia un destino determinado es, prima facie, incompatible con esa disposición.</w:t>
            </w:r>
          </w:p>
          <w:p w14:paraId="6DD64309" w14:textId="77777777" w:rsidR="001C3675" w:rsidRPr="006D40B8" w:rsidRDefault="001C3675" w:rsidP="001C3675">
            <w:pPr>
              <w:spacing w:line="264" w:lineRule="auto"/>
              <w:jc w:val="both"/>
              <w:rPr>
                <w:rFonts w:asciiTheme="majorHAnsi" w:eastAsia="Arial" w:hAnsiTheme="majorHAnsi" w:cstheme="majorHAnsi"/>
                <w:sz w:val="22"/>
                <w:szCs w:val="22"/>
              </w:rPr>
            </w:pPr>
          </w:p>
          <w:p w14:paraId="4FD6B14C" w14:textId="77777777" w:rsidR="001C3675" w:rsidRPr="006D40B8" w:rsidRDefault="001C3675" w:rsidP="001C3675">
            <w:pPr>
              <w:spacing w:line="264" w:lineRule="auto"/>
              <w:jc w:val="both"/>
              <w:rPr>
                <w:rFonts w:asciiTheme="majorHAnsi" w:eastAsia="Arial" w:hAnsiTheme="majorHAnsi" w:cstheme="majorHAnsi"/>
                <w:sz w:val="22"/>
                <w:szCs w:val="22"/>
              </w:rPr>
            </w:pPr>
            <w:r w:rsidRPr="006D40B8">
              <w:rPr>
                <w:rFonts w:asciiTheme="majorHAnsi" w:hAnsiTheme="majorHAnsi" w:cstheme="majorHAnsi"/>
                <w:b/>
                <w:sz w:val="22"/>
                <w:szCs w:val="22"/>
              </w:rPr>
              <w:lastRenderedPageBreak/>
              <w:t>Artículo XIII:1 del GATT de 1994.</w:t>
            </w:r>
            <w:r w:rsidRPr="006D40B8">
              <w:rPr>
                <w:rFonts w:asciiTheme="majorHAnsi" w:hAnsiTheme="majorHAnsi" w:cstheme="majorHAnsi"/>
                <w:sz w:val="22"/>
                <w:szCs w:val="22"/>
              </w:rPr>
              <w:t xml:space="preserve"> Añade una exigencia autónoma de no discriminación: ninguna parte contratante impondrá prohibición ni restricción alguna a la exportación de un producto destinado al territorio de otra parte contratante, a menos que se prohíba o restrinja igualmente la exportación del producto similar a todos los demás países. Este argumento es de mayor alcance que el anterior, porque una restricción definida por el país de destino resulta discriminatoria por su propia estructura, con independencia de su justificación.</w:t>
            </w:r>
          </w:p>
          <w:p w14:paraId="7A5C825A" w14:textId="77777777" w:rsidR="001C3675" w:rsidRPr="006D40B8" w:rsidRDefault="001C3675" w:rsidP="001C3675">
            <w:pPr>
              <w:spacing w:line="264" w:lineRule="auto"/>
              <w:jc w:val="both"/>
              <w:rPr>
                <w:rFonts w:asciiTheme="majorHAnsi" w:eastAsia="Arial" w:hAnsiTheme="majorHAnsi" w:cstheme="majorHAnsi"/>
                <w:sz w:val="22"/>
                <w:szCs w:val="22"/>
              </w:rPr>
            </w:pPr>
          </w:p>
          <w:p w14:paraId="4A01BD6B" w14:textId="77777777" w:rsidR="001C3675" w:rsidRPr="006D40B8" w:rsidRDefault="001C3675" w:rsidP="001C3675">
            <w:pPr>
              <w:spacing w:line="264" w:lineRule="auto"/>
              <w:jc w:val="both"/>
              <w:rPr>
                <w:rFonts w:asciiTheme="majorHAnsi" w:eastAsia="Arial" w:hAnsiTheme="majorHAnsi" w:cstheme="majorHAnsi"/>
                <w:sz w:val="22"/>
                <w:szCs w:val="22"/>
              </w:rPr>
            </w:pPr>
            <w:r w:rsidRPr="006D40B8">
              <w:rPr>
                <w:rFonts w:asciiTheme="majorHAnsi" w:hAnsiTheme="majorHAnsi" w:cstheme="majorHAnsi"/>
                <w:b/>
                <w:sz w:val="22"/>
                <w:szCs w:val="22"/>
              </w:rPr>
              <w:t>Artículos XX y XXI del GATT de 1994.</w:t>
            </w:r>
            <w:r w:rsidRPr="006D40B8">
              <w:rPr>
                <w:rFonts w:asciiTheme="majorHAnsi" w:hAnsiTheme="majorHAnsi" w:cstheme="majorHAnsi"/>
                <w:sz w:val="22"/>
                <w:szCs w:val="22"/>
              </w:rPr>
              <w:t xml:space="preserve"> Los decretos derogados invocaron el literal a) del artículo XX —moral pública— y los literales b), inciso </w:t>
            </w:r>
            <w:proofErr w:type="spellStart"/>
            <w:r w:rsidRPr="006D40B8">
              <w:rPr>
                <w:rFonts w:asciiTheme="majorHAnsi" w:hAnsiTheme="majorHAnsi" w:cstheme="majorHAnsi"/>
                <w:sz w:val="22"/>
                <w:szCs w:val="22"/>
              </w:rPr>
              <w:t>iii</w:t>
            </w:r>
            <w:proofErr w:type="spellEnd"/>
            <w:r w:rsidRPr="006D40B8">
              <w:rPr>
                <w:rFonts w:asciiTheme="majorHAnsi" w:hAnsiTheme="majorHAnsi" w:cstheme="majorHAnsi"/>
                <w:sz w:val="22"/>
                <w:szCs w:val="22"/>
              </w:rPr>
              <w:t xml:space="preserve">), y c) del artículo XXI —tiempos de guerra o grave tensión internacional y cumplimiento de obligaciones derivadas de la Carta de las Naciones Unidas—. El proyecto no discute que esas excepciones pudieran ser invocables en el contexto de 2024 y 2025. Sostiene algo más modesto y jurídicamente más sólido: que se trata de excepciones de interpretación restrictiva y de vocación temporal.  </w:t>
            </w:r>
          </w:p>
          <w:p w14:paraId="3FCC7C20" w14:textId="77777777" w:rsidR="001C3675" w:rsidRPr="006D40B8" w:rsidRDefault="001C3675" w:rsidP="001C3675">
            <w:pPr>
              <w:spacing w:line="264" w:lineRule="auto"/>
              <w:jc w:val="both"/>
              <w:rPr>
                <w:rFonts w:asciiTheme="majorHAnsi" w:eastAsia="Arial" w:hAnsiTheme="majorHAnsi" w:cstheme="majorHAnsi"/>
                <w:sz w:val="22"/>
                <w:szCs w:val="22"/>
              </w:rPr>
            </w:pPr>
          </w:p>
          <w:p w14:paraId="22C2B1B1" w14:textId="77777777" w:rsidR="001C3675" w:rsidRPr="006D40B8" w:rsidRDefault="001C3675" w:rsidP="001C3675">
            <w:pPr>
              <w:spacing w:line="264" w:lineRule="auto"/>
              <w:jc w:val="both"/>
              <w:rPr>
                <w:rFonts w:asciiTheme="majorHAnsi" w:eastAsia="Arial" w:hAnsiTheme="majorHAnsi" w:cstheme="majorHAnsi"/>
                <w:sz w:val="22"/>
                <w:szCs w:val="22"/>
              </w:rPr>
            </w:pPr>
            <w:r w:rsidRPr="006D40B8">
              <w:rPr>
                <w:rFonts w:asciiTheme="majorHAnsi" w:hAnsiTheme="majorHAnsi" w:cstheme="majorHAnsi"/>
                <w:b/>
                <w:sz w:val="22"/>
                <w:szCs w:val="22"/>
              </w:rPr>
              <w:t>Acuerdo de Libre Comercio entre la República de Colombia y el Estado de Israel</w:t>
            </w:r>
            <w:r w:rsidRPr="006D40B8">
              <w:rPr>
                <w:rFonts w:asciiTheme="majorHAnsi" w:hAnsiTheme="majorHAnsi" w:cstheme="majorHAnsi"/>
                <w:sz w:val="22"/>
                <w:szCs w:val="22"/>
              </w:rPr>
              <w:t xml:space="preserve"> (Ley 1841 de 2017; Sentencia C-254 de 2019). Sus artículos 14.1 y 14.2 incorporan, respectivamente, las excepciones generales del artículo XX del GATT y las excepciones de seguridad. Valen para ellos las mismas consideraciones del párrafo anterior. </w:t>
            </w:r>
          </w:p>
          <w:p w14:paraId="22279384" w14:textId="77777777" w:rsidR="001C3675" w:rsidRPr="006D40B8" w:rsidRDefault="001C3675" w:rsidP="001C3675">
            <w:pPr>
              <w:spacing w:line="264" w:lineRule="auto"/>
              <w:jc w:val="both"/>
              <w:rPr>
                <w:rFonts w:asciiTheme="majorHAnsi" w:eastAsia="Arial" w:hAnsiTheme="majorHAnsi" w:cstheme="majorHAnsi"/>
                <w:sz w:val="22"/>
                <w:szCs w:val="22"/>
              </w:rPr>
            </w:pPr>
          </w:p>
          <w:p w14:paraId="6352FBFA" w14:textId="77777777" w:rsidR="001C3675" w:rsidRPr="006D40B8" w:rsidRDefault="001C3675" w:rsidP="001C3675">
            <w:pPr>
              <w:spacing w:line="264" w:lineRule="auto"/>
              <w:jc w:val="both"/>
              <w:rPr>
                <w:rFonts w:asciiTheme="majorHAnsi" w:eastAsia="Arial" w:hAnsiTheme="majorHAnsi" w:cstheme="majorHAnsi"/>
                <w:sz w:val="22"/>
                <w:szCs w:val="22"/>
              </w:rPr>
            </w:pPr>
            <w:r w:rsidRPr="006D40B8">
              <w:rPr>
                <w:rFonts w:asciiTheme="majorHAnsi" w:hAnsiTheme="majorHAnsi" w:cstheme="majorHAnsi"/>
                <w:b/>
                <w:sz w:val="22"/>
                <w:szCs w:val="22"/>
              </w:rPr>
              <w:t>Carta de las Naciones Unidas</w:t>
            </w:r>
            <w:r w:rsidRPr="006D40B8">
              <w:rPr>
                <w:rFonts w:asciiTheme="majorHAnsi" w:hAnsiTheme="majorHAnsi" w:cstheme="majorHAnsi"/>
                <w:sz w:val="22"/>
                <w:szCs w:val="22"/>
              </w:rPr>
              <w:t xml:space="preserve"> (Ley 13 de 1945). La adopción de la Resolución 2803 del 17 de noviembre de 2025 por el Consejo de Seguridad expresa la respuesta del órgano competente sobre la situación que sirvió de fundamento a los decretos derogados. La coherencia con el sistema de seguridad colectiva —invocado por esos mismos decretos a través del literal c) del artículo XXI del GATT— aconseja articularse con el mecanismo colectivo. El artículo 2º del proyecto, por lo demás, preserva expresamente la aplicación de las prohibiciones y restricciones derivadas de resoluciones vinculantes del Consejo de Seguridad, de modo que la supresión de la medida unilateral no puede leerse como una exoneración frente a obligaciones internacionales de esa naturaleza.</w:t>
            </w:r>
          </w:p>
          <w:p w14:paraId="01999B89" w14:textId="77777777" w:rsidR="001C3675" w:rsidRPr="006D40B8" w:rsidRDefault="001C3675" w:rsidP="001C3675">
            <w:pPr>
              <w:spacing w:line="264" w:lineRule="auto"/>
              <w:jc w:val="both"/>
              <w:rPr>
                <w:rFonts w:asciiTheme="majorHAnsi" w:eastAsia="Arial" w:hAnsiTheme="majorHAnsi" w:cstheme="majorHAnsi"/>
                <w:sz w:val="22"/>
                <w:szCs w:val="22"/>
              </w:rPr>
            </w:pPr>
          </w:p>
          <w:p w14:paraId="391858F2" w14:textId="761907E3" w:rsidR="001C3675" w:rsidRPr="001C3675" w:rsidRDefault="001C3675"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b/>
                <w:sz w:val="22"/>
                <w:szCs w:val="22"/>
              </w:rPr>
              <w:t>Obligaciones internacionales en materia de derechos humanos.</w:t>
            </w:r>
            <w:r w:rsidRPr="006D40B8">
              <w:rPr>
                <w:rFonts w:asciiTheme="majorHAnsi" w:hAnsiTheme="majorHAnsi" w:cstheme="majorHAnsi"/>
                <w:sz w:val="22"/>
                <w:szCs w:val="22"/>
              </w:rPr>
              <w:t xml:space="preserve"> Es previsible que se objete que la derogatoria debilita el compromiso del Estado colombiano con la prevención de violaciones graves. La respuesta es doble y debe formularse con precisión. En el plano fáctico, la medida derogada no impidió el flujo del recurso: durante sus primeros ocho meses de vigencia se exportaron más de un millón de toneladas al mismo destino, y el propio Gobierno reconoció que su finalidad no se cumplió plenamente; suprimir un instrumento que no produjo el efecto buscado no altera el resultado material. En el plano jurídico, el deber de cooperar para poner fin a violaciones graves de normas imperativas se predica de medios lícitos y eficaces, y admite —cuando existe un marco colectivo activado por el órgano competente— que el Estado canalice su contribución a través de ese marco. El proyecto no releva al Estado colombiano de ninguna de sus obligaciones internacionales, ni impide la adopción futura de medidas que resulten idóneas y proporcionadas.</w:t>
            </w:r>
          </w:p>
          <w:p w14:paraId="63799ED8" w14:textId="77777777" w:rsidR="00BA0BC6" w:rsidRDefault="00BA0BC6" w:rsidP="00BA0BC6">
            <w:pPr>
              <w:spacing w:line="264" w:lineRule="auto"/>
              <w:jc w:val="both"/>
              <w:rPr>
                <w:rFonts w:asciiTheme="majorHAnsi" w:hAnsiTheme="majorHAnsi" w:cstheme="majorHAnsi"/>
                <w:sz w:val="22"/>
                <w:szCs w:val="22"/>
              </w:rPr>
            </w:pPr>
          </w:p>
          <w:p w14:paraId="3510CA50" w14:textId="581487D1" w:rsidR="00203357" w:rsidRPr="00BA0BC6" w:rsidRDefault="00203357" w:rsidP="00BA0BC6">
            <w:pPr>
              <w:pStyle w:val="Prrafodelista"/>
              <w:numPr>
                <w:ilvl w:val="1"/>
                <w:numId w:val="7"/>
              </w:numPr>
              <w:spacing w:line="264" w:lineRule="auto"/>
              <w:jc w:val="both"/>
              <w:rPr>
                <w:rFonts w:asciiTheme="majorHAnsi" w:hAnsiTheme="majorHAnsi" w:cstheme="majorHAnsi"/>
                <w:b/>
                <w:bCs/>
                <w:sz w:val="22"/>
                <w:szCs w:val="22"/>
              </w:rPr>
            </w:pPr>
            <w:r w:rsidRPr="00BA0BC6">
              <w:rPr>
                <w:rFonts w:asciiTheme="majorHAnsi" w:hAnsiTheme="majorHAnsi" w:cstheme="majorHAnsi"/>
                <w:b/>
                <w:bCs/>
                <w:sz w:val="22"/>
                <w:szCs w:val="22"/>
              </w:rPr>
              <w:t xml:space="preserve">Recomendación del comité de asuntos aduaneros, arancelarios y de comercio exterior. </w:t>
            </w:r>
          </w:p>
          <w:p w14:paraId="788E9AB0" w14:textId="77777777" w:rsidR="00BC741D" w:rsidRPr="00BC741D" w:rsidRDefault="00BC741D" w:rsidP="00BC741D">
            <w:pPr>
              <w:pStyle w:val="Prrafodelista"/>
              <w:spacing w:line="264" w:lineRule="auto"/>
              <w:ind w:left="430"/>
              <w:jc w:val="both"/>
              <w:rPr>
                <w:rFonts w:asciiTheme="majorHAnsi" w:hAnsiTheme="majorHAnsi" w:cstheme="majorHAnsi"/>
                <w:b/>
                <w:bCs/>
                <w:sz w:val="22"/>
                <w:szCs w:val="22"/>
              </w:rPr>
            </w:pPr>
          </w:p>
          <w:p w14:paraId="5D92D764" w14:textId="6748861B" w:rsidR="00203357" w:rsidRPr="006D40B8" w:rsidRDefault="00203357" w:rsidP="00203357">
            <w:pPr>
              <w:spacing w:line="264" w:lineRule="auto"/>
              <w:jc w:val="both"/>
              <w:rPr>
                <w:rFonts w:asciiTheme="majorHAnsi" w:hAnsiTheme="majorHAnsi" w:cstheme="majorHAnsi"/>
                <w:sz w:val="22"/>
                <w:szCs w:val="22"/>
              </w:rPr>
            </w:pPr>
            <w:r w:rsidRPr="006D40B8">
              <w:rPr>
                <w:rFonts w:asciiTheme="majorHAnsi" w:hAnsiTheme="majorHAnsi" w:cstheme="majorHAnsi"/>
                <w:sz w:val="22"/>
                <w:szCs w:val="22"/>
              </w:rPr>
              <w:t>El Comité de Asuntos Aduaneros, Arancelarios y de Comercio Exterior, en sesión 403 del 18 de agosto de 2026, recomendó Restablecer las exportaciones de carbón a Israel.</w:t>
            </w:r>
          </w:p>
          <w:p w14:paraId="74679F62" w14:textId="77777777" w:rsidR="007A5F33" w:rsidRPr="006D40B8" w:rsidRDefault="007A5F33" w:rsidP="00612DFD">
            <w:pPr>
              <w:rPr>
                <w:rFonts w:asciiTheme="majorHAnsi" w:hAnsiTheme="majorHAnsi" w:cstheme="majorHAnsi"/>
                <w:sz w:val="22"/>
                <w:szCs w:val="22"/>
              </w:rPr>
            </w:pPr>
          </w:p>
        </w:tc>
      </w:tr>
      <w:tr w:rsidR="00ED2F91" w:rsidRPr="006D40B8" w14:paraId="07F68709" w14:textId="77777777" w:rsidTr="00612DFD">
        <w:trPr>
          <w:trHeight w:val="66"/>
        </w:trPr>
        <w:tc>
          <w:tcPr>
            <w:tcW w:w="10835" w:type="dxa"/>
            <w:gridSpan w:val="4"/>
            <w:shd w:val="clear" w:color="auto" w:fill="FFFFFF"/>
            <w:vAlign w:val="center"/>
          </w:tcPr>
          <w:p w14:paraId="3050CB5A" w14:textId="667239B6" w:rsidR="00BA0BC6" w:rsidRPr="00BA0BC6" w:rsidRDefault="00BA0BC6" w:rsidP="00BA0BC6">
            <w:pPr>
              <w:numPr>
                <w:ilvl w:val="0"/>
                <w:numId w:val="3"/>
              </w:numPr>
              <w:tabs>
                <w:tab w:val="clear" w:pos="0"/>
              </w:tabs>
              <w:ind w:left="0"/>
              <w:rPr>
                <w:rFonts w:asciiTheme="majorHAnsi" w:hAnsiTheme="majorHAnsi" w:cstheme="majorHAnsi"/>
                <w:b/>
                <w:color w:val="000000"/>
                <w:sz w:val="22"/>
                <w:szCs w:val="22"/>
              </w:rPr>
            </w:pPr>
            <w:r>
              <w:rPr>
                <w:rFonts w:asciiTheme="majorHAnsi" w:hAnsiTheme="majorHAnsi" w:cstheme="majorHAnsi"/>
                <w:b/>
                <w:color w:val="000000"/>
                <w:sz w:val="22"/>
                <w:szCs w:val="22"/>
              </w:rPr>
              <w:lastRenderedPageBreak/>
              <w:t xml:space="preserve">2. </w:t>
            </w:r>
            <w:r w:rsidR="00E06440" w:rsidRPr="006D40B8">
              <w:rPr>
                <w:rFonts w:asciiTheme="majorHAnsi" w:hAnsiTheme="majorHAnsi" w:cstheme="majorHAnsi"/>
                <w:b/>
                <w:color w:val="000000"/>
                <w:sz w:val="22"/>
                <w:szCs w:val="22"/>
              </w:rPr>
              <w:t>A</w:t>
            </w:r>
            <w:r w:rsidR="00E06440" w:rsidRPr="00BA0BC6">
              <w:rPr>
                <w:rFonts w:asciiTheme="majorHAnsi" w:hAnsiTheme="majorHAnsi" w:cstheme="majorHAnsi"/>
                <w:b/>
                <w:color w:val="000000"/>
                <w:sz w:val="22"/>
                <w:szCs w:val="22"/>
              </w:rPr>
              <w:t>MBITO DE APLICACIÓN Y SUJETOS A QUIENES VA DIRIGID</w:t>
            </w:r>
            <w:r>
              <w:rPr>
                <w:rFonts w:asciiTheme="majorHAnsi" w:hAnsiTheme="majorHAnsi" w:cstheme="majorHAnsi"/>
                <w:b/>
                <w:color w:val="000000"/>
                <w:sz w:val="22"/>
                <w:szCs w:val="22"/>
              </w:rPr>
              <w:t>O</w:t>
            </w:r>
          </w:p>
          <w:p w14:paraId="47026832" w14:textId="77777777" w:rsidR="00ED2F91" w:rsidRPr="006D40B8" w:rsidRDefault="00ED2F91" w:rsidP="00612DFD">
            <w:pPr>
              <w:spacing w:after="160" w:line="264" w:lineRule="auto"/>
              <w:jc w:val="both"/>
              <w:rPr>
                <w:rFonts w:asciiTheme="majorHAnsi" w:hAnsiTheme="majorHAnsi" w:cstheme="majorHAnsi"/>
                <w:sz w:val="22"/>
                <w:szCs w:val="22"/>
              </w:rPr>
            </w:pPr>
          </w:p>
          <w:p w14:paraId="13F371A5" w14:textId="031E710D" w:rsidR="00ED2F91" w:rsidRPr="006D40B8" w:rsidRDefault="00E06440" w:rsidP="00612DFD">
            <w:pPr>
              <w:spacing w:after="160" w:line="264" w:lineRule="auto"/>
              <w:jc w:val="both"/>
              <w:rPr>
                <w:rFonts w:asciiTheme="majorHAnsi" w:hAnsiTheme="majorHAnsi" w:cstheme="majorHAnsi"/>
                <w:sz w:val="22"/>
                <w:szCs w:val="22"/>
              </w:rPr>
            </w:pPr>
            <w:r w:rsidRPr="006D40B8">
              <w:rPr>
                <w:rFonts w:asciiTheme="majorHAnsi" w:hAnsiTheme="majorHAnsi" w:cstheme="majorHAnsi"/>
                <w:sz w:val="22"/>
                <w:szCs w:val="22"/>
              </w:rPr>
              <w:lastRenderedPageBreak/>
              <w:t>El decreto rige en todo el territorio nacional y se aplica a las operaciones de exportación de hullas térmicas clasificadas en la subpartida arancelaria 2701.12.00.10. No modifica el régimen de ninguna otra subpartida ni el de ningún otro mineral, y no altera las obligaciones aduaneras, cambiarias, tributarias, ambientales, de origen y de control que resultan aplicables a esas operaciones.</w:t>
            </w:r>
          </w:p>
          <w:p w14:paraId="69CD6708" w14:textId="6BB43D49" w:rsidR="00ED2F91" w:rsidRPr="006D40B8" w:rsidRDefault="00E06440" w:rsidP="00BA0BC6">
            <w:pPr>
              <w:spacing w:after="160" w:line="264" w:lineRule="auto"/>
              <w:jc w:val="both"/>
              <w:rPr>
                <w:rFonts w:asciiTheme="majorHAnsi" w:hAnsiTheme="majorHAnsi" w:cstheme="majorHAnsi"/>
                <w:sz w:val="22"/>
                <w:szCs w:val="22"/>
              </w:rPr>
            </w:pPr>
            <w:r w:rsidRPr="006D40B8">
              <w:rPr>
                <w:rFonts w:asciiTheme="majorHAnsi" w:hAnsiTheme="majorHAnsi" w:cstheme="majorHAnsi"/>
                <w:sz w:val="22"/>
                <w:szCs w:val="22"/>
              </w:rPr>
              <w:t>En cuanto a los sujetos, la norma se dirige de manera directa a los exportadores de la subpartida y a sus titulares mineros, a las Sociedades de Comercialización Internacional, a las agencias de aduanas y demás operadores de comercio exterior que intervienen en la cadena, y a los usuarios operadores de zonas francas y de los puertos carboníferos por los que se moviliza el mineral. Vincula igualmente a la Dirección de Impuestos y Aduanas Nacionales, que debe retirar el control asociado a la restricción en sus servicios informáticos electrónicos, y a la Agencia Nacional de Minería, en lo que concierne al seguimiento de la producción y al recaudo de regalías y contraprestaciones económicas.</w:t>
            </w:r>
          </w:p>
        </w:tc>
      </w:tr>
      <w:tr w:rsidR="00ED2F91" w:rsidRPr="006D40B8" w14:paraId="201C4B97" w14:textId="77777777" w:rsidTr="00612DFD">
        <w:trPr>
          <w:trHeight w:val="278"/>
        </w:trPr>
        <w:tc>
          <w:tcPr>
            <w:tcW w:w="10835" w:type="dxa"/>
            <w:gridSpan w:val="4"/>
            <w:shd w:val="clear" w:color="auto" w:fill="FFFFFF"/>
            <w:vAlign w:val="center"/>
          </w:tcPr>
          <w:p w14:paraId="17A711AE" w14:textId="1889BDAA" w:rsidR="00ED2F91" w:rsidRPr="00F0085C" w:rsidRDefault="00E06440" w:rsidP="00F0085C">
            <w:pPr>
              <w:pStyle w:val="Prrafodelista"/>
              <w:numPr>
                <w:ilvl w:val="0"/>
                <w:numId w:val="3"/>
              </w:numPr>
              <w:rPr>
                <w:rFonts w:asciiTheme="majorHAnsi" w:hAnsiTheme="majorHAnsi" w:cstheme="majorHAnsi"/>
                <w:b/>
                <w:color w:val="000000"/>
                <w:sz w:val="22"/>
                <w:szCs w:val="22"/>
              </w:rPr>
            </w:pPr>
            <w:r w:rsidRPr="00F0085C">
              <w:rPr>
                <w:rFonts w:asciiTheme="majorHAnsi" w:hAnsiTheme="majorHAnsi" w:cstheme="majorHAnsi"/>
                <w:b/>
                <w:color w:val="000000"/>
                <w:sz w:val="22"/>
                <w:szCs w:val="22"/>
              </w:rPr>
              <w:lastRenderedPageBreak/>
              <w:t>VIABILIDAD JURÍDICA</w:t>
            </w:r>
          </w:p>
          <w:p w14:paraId="7F5DF688" w14:textId="77777777" w:rsidR="00ED2F91" w:rsidRPr="006D40B8" w:rsidRDefault="00ED2F91" w:rsidP="00612DFD">
            <w:pPr>
              <w:spacing w:line="264" w:lineRule="auto"/>
              <w:jc w:val="both"/>
              <w:rPr>
                <w:rFonts w:asciiTheme="majorHAnsi" w:eastAsia="Arial" w:hAnsiTheme="majorHAnsi" w:cstheme="majorHAnsi"/>
                <w:sz w:val="22"/>
                <w:szCs w:val="22"/>
              </w:rPr>
            </w:pPr>
          </w:p>
          <w:p w14:paraId="52C7B3B2" w14:textId="77777777" w:rsidR="00ED2F91" w:rsidRPr="006D40B8" w:rsidRDefault="00E06440" w:rsidP="00612DFD">
            <w:pPr>
              <w:spacing w:line="264" w:lineRule="auto"/>
              <w:jc w:val="both"/>
              <w:rPr>
                <w:rFonts w:asciiTheme="majorHAnsi" w:hAnsiTheme="majorHAnsi" w:cstheme="majorHAnsi"/>
                <w:b/>
                <w:sz w:val="22"/>
                <w:szCs w:val="22"/>
              </w:rPr>
            </w:pPr>
            <w:r w:rsidRPr="006D40B8">
              <w:rPr>
                <w:rFonts w:asciiTheme="majorHAnsi" w:hAnsiTheme="majorHAnsi" w:cstheme="majorHAnsi"/>
                <w:b/>
                <w:sz w:val="22"/>
                <w:szCs w:val="22"/>
              </w:rPr>
              <w:t>3.1. Análisis de las normas que otorgan la competencia para la expedición del proyecto normativo</w:t>
            </w:r>
          </w:p>
          <w:p w14:paraId="70FEDD40" w14:textId="77777777" w:rsidR="00612DFD" w:rsidRPr="006D40B8" w:rsidRDefault="00612DFD" w:rsidP="00612DFD">
            <w:pPr>
              <w:spacing w:line="264" w:lineRule="auto"/>
              <w:jc w:val="both"/>
              <w:rPr>
                <w:rFonts w:asciiTheme="majorHAnsi" w:eastAsia="Arial" w:hAnsiTheme="majorHAnsi" w:cstheme="majorHAnsi"/>
                <w:sz w:val="22"/>
                <w:szCs w:val="22"/>
              </w:rPr>
            </w:pPr>
          </w:p>
          <w:p w14:paraId="524589E8" w14:textId="19C3BC4F"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 xml:space="preserve">La competencia tiene fuente constitucional directa. El numeral 25 del artículo 189 de la Constitución Política atribuye al </w:t>
            </w:r>
            <w:proofErr w:type="gramStart"/>
            <w:r w:rsidRPr="006D40B8">
              <w:rPr>
                <w:rFonts w:asciiTheme="majorHAnsi" w:hAnsiTheme="majorHAnsi" w:cstheme="majorHAnsi"/>
                <w:sz w:val="22"/>
                <w:szCs w:val="22"/>
              </w:rPr>
              <w:t>Presidente</w:t>
            </w:r>
            <w:proofErr w:type="gramEnd"/>
            <w:r w:rsidRPr="006D40B8">
              <w:rPr>
                <w:rFonts w:asciiTheme="majorHAnsi" w:hAnsiTheme="majorHAnsi" w:cstheme="majorHAnsi"/>
                <w:sz w:val="22"/>
                <w:szCs w:val="22"/>
              </w:rPr>
              <w:t xml:space="preserve"> de la República, como suprema autoridad administrativa, la función de modificar los aranceles, tarifas y demás disposiciones concernientes al régimen de aduanas y de regular el comercio exterior, con sujeción a las leyes a que se refiere el numeral 19 del artículo 150. </w:t>
            </w:r>
          </w:p>
          <w:p w14:paraId="5719BD63" w14:textId="77777777" w:rsidR="00ED2F91" w:rsidRPr="00200D24" w:rsidRDefault="00ED2F91" w:rsidP="00612DFD">
            <w:pPr>
              <w:spacing w:line="264" w:lineRule="auto"/>
              <w:jc w:val="both"/>
              <w:rPr>
                <w:rFonts w:asciiTheme="majorHAnsi" w:eastAsia="Arial" w:hAnsiTheme="majorHAnsi" w:cstheme="majorHAnsi"/>
                <w:sz w:val="22"/>
                <w:szCs w:val="22"/>
              </w:rPr>
            </w:pPr>
          </w:p>
          <w:p w14:paraId="11835A4E" w14:textId="4111F4F8" w:rsidR="00ED2F91" w:rsidRPr="00200D24" w:rsidRDefault="00E06440" w:rsidP="00612DFD">
            <w:pPr>
              <w:spacing w:line="264" w:lineRule="auto"/>
              <w:jc w:val="both"/>
              <w:rPr>
                <w:rFonts w:asciiTheme="majorHAnsi" w:eastAsia="Arial" w:hAnsiTheme="majorHAnsi" w:cstheme="majorHAnsi"/>
                <w:sz w:val="22"/>
                <w:szCs w:val="22"/>
              </w:rPr>
            </w:pPr>
            <w:r w:rsidRPr="00200D24">
              <w:rPr>
                <w:rFonts w:asciiTheme="majorHAnsi" w:hAnsiTheme="majorHAnsi" w:cstheme="majorHAnsi"/>
                <w:sz w:val="22"/>
                <w:szCs w:val="22"/>
              </w:rPr>
              <w:t>Las leyes marco aplicables son dos. La Ley 7ª de 1991 contiene las normas generales a las que debe sujetarse el Gobierno nacional para regular el comercio exterior del país. La Ley 1609 de 2013 contiene las normas generales para modificar los aranceles, tarifas y demás disposiciones concernientes al régimen de aduanas</w:t>
            </w:r>
            <w:r w:rsidR="00F0085C" w:rsidRPr="00200D24">
              <w:rPr>
                <w:rFonts w:asciiTheme="majorHAnsi" w:hAnsiTheme="majorHAnsi" w:cstheme="majorHAnsi"/>
                <w:sz w:val="22"/>
                <w:szCs w:val="22"/>
              </w:rPr>
              <w:t xml:space="preserve"> y policitas de comercio exterior</w:t>
            </w:r>
            <w:r w:rsidRPr="00200D24">
              <w:rPr>
                <w:rFonts w:asciiTheme="majorHAnsi" w:hAnsiTheme="majorHAnsi" w:cstheme="majorHAnsi"/>
                <w:sz w:val="22"/>
                <w:szCs w:val="22"/>
              </w:rPr>
              <w:t>; de ella resultan directamente relevantes su artículo 1º, que delimita el ejercicio de la competencia gubernamental; el parágrafo 2º de su artículo 2º, que fija la regla de vigencia y su excepción; su artículo 3º, que enuncia los objetivos vinculantes; y su artículo 4º, que enumera los principios aplicables</w:t>
            </w:r>
            <w:r w:rsidR="00200D24">
              <w:rPr>
                <w:rFonts w:asciiTheme="majorHAnsi" w:hAnsiTheme="majorHAnsi" w:cstheme="majorHAnsi"/>
                <w:sz w:val="22"/>
                <w:szCs w:val="22"/>
              </w:rPr>
              <w:t>.</w:t>
            </w:r>
          </w:p>
          <w:p w14:paraId="772C25EB" w14:textId="77777777" w:rsidR="00ED2F91" w:rsidRPr="00200D24" w:rsidRDefault="00ED2F91" w:rsidP="00612DFD">
            <w:pPr>
              <w:spacing w:line="264" w:lineRule="auto"/>
              <w:jc w:val="both"/>
              <w:rPr>
                <w:rFonts w:asciiTheme="majorHAnsi" w:eastAsia="Arial" w:hAnsiTheme="majorHAnsi" w:cstheme="majorHAnsi"/>
                <w:sz w:val="22"/>
                <w:szCs w:val="22"/>
              </w:rPr>
            </w:pPr>
          </w:p>
          <w:p w14:paraId="73B7A26D" w14:textId="77777777" w:rsidR="00ED2F91" w:rsidRPr="00200D24" w:rsidRDefault="00E06440" w:rsidP="00612DFD">
            <w:pPr>
              <w:spacing w:line="264" w:lineRule="auto"/>
              <w:jc w:val="both"/>
              <w:rPr>
                <w:rFonts w:asciiTheme="majorHAnsi" w:eastAsia="Arial" w:hAnsiTheme="majorHAnsi" w:cstheme="majorHAnsi"/>
                <w:sz w:val="22"/>
                <w:szCs w:val="22"/>
              </w:rPr>
            </w:pPr>
            <w:r w:rsidRPr="00200D24">
              <w:rPr>
                <w:rFonts w:asciiTheme="majorHAnsi" w:hAnsiTheme="majorHAnsi" w:cstheme="majorHAnsi"/>
                <w:sz w:val="22"/>
                <w:szCs w:val="22"/>
              </w:rPr>
              <w:t>Sobre la naturaleza de este tipo de decretos, la Corte Constitucional fijó una doctrina que resulta directamente aplicable. En la Sentencia C-1111 de 2000, al examinar la Ley 6ª de 1971 —antecesora de la actual ley marco de aduanas—, sostuvo:</w:t>
            </w:r>
          </w:p>
          <w:p w14:paraId="66DF2BC0" w14:textId="77777777" w:rsidR="00ED2F91" w:rsidRPr="006D40B8" w:rsidRDefault="00ED2F91" w:rsidP="00612DFD">
            <w:pPr>
              <w:spacing w:line="264" w:lineRule="auto"/>
              <w:jc w:val="both"/>
              <w:rPr>
                <w:rFonts w:asciiTheme="majorHAnsi" w:eastAsia="Arial" w:hAnsiTheme="majorHAnsi" w:cstheme="majorHAnsi"/>
                <w:sz w:val="22"/>
                <w:szCs w:val="22"/>
              </w:rPr>
            </w:pPr>
          </w:p>
          <w:p w14:paraId="1A9E6435"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i/>
                <w:sz w:val="22"/>
                <w:szCs w:val="22"/>
              </w:rPr>
              <w:t>«Las denominadas “leyes marco o cuadro”, en aplicación del principio de colaboración armónica entre las ramas del poder público, suponen una distribución de competencias entre el Legislativo y el Ejecutivo, en cuanto al primero le corresponde, por medio de la Ley, determinar las pautas generales, los objetivos y criterios con arreglo a los cuales las enunciadas materias deben ser reguladas, mientras que el segundo está llamado a concretar esas disposiciones legales a través de decretos que, aun cuando en efecto gozan de una mayor generalidad que los decretos reglamentarios expedidos con base en el artículo 189, numeral 11, de la Carta Política —dada la naturaleza, mucho más general, de las leyes que pretende desarrollar— no por eso pierden su naturaleza meramente ejecutiva. No puede sostenerse que su mayor amplitud los convierta en normas con fuerza de ley, pues en todo caso ellos deben sujetarse a los parámetros que contempla la respectiva ley cuadro».</w:t>
            </w:r>
          </w:p>
          <w:p w14:paraId="4976F79B" w14:textId="77777777" w:rsidR="00ED2F91" w:rsidRPr="006D40B8" w:rsidRDefault="00ED2F91" w:rsidP="00612DFD">
            <w:pPr>
              <w:spacing w:line="264" w:lineRule="auto"/>
              <w:jc w:val="both"/>
              <w:rPr>
                <w:rFonts w:asciiTheme="majorHAnsi" w:eastAsia="Arial" w:hAnsiTheme="majorHAnsi" w:cstheme="majorHAnsi"/>
                <w:sz w:val="22"/>
                <w:szCs w:val="22"/>
              </w:rPr>
            </w:pPr>
          </w:p>
          <w:p w14:paraId="7405D18B"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 xml:space="preserve">De esa doctrina se siguen tres consecuencias. El decreto es un acto administrativo de carácter general, sujeto al control de la Jurisdicción de lo Contencioso Administrativo y no al de la Corte Constitucional. Su validez </w:t>
            </w:r>
            <w:r w:rsidRPr="006D40B8">
              <w:rPr>
                <w:rFonts w:asciiTheme="majorHAnsi" w:hAnsiTheme="majorHAnsi" w:cstheme="majorHAnsi"/>
                <w:sz w:val="22"/>
                <w:szCs w:val="22"/>
              </w:rPr>
              <w:lastRenderedPageBreak/>
              <w:t>sustantiva depende de su conformidad con los objetivos del artículo 3º de la Ley 1609 de 2013. Y el Gobierno no requiere habilitación legal adicional, porque la competencia es constitucional y permanente.</w:t>
            </w:r>
          </w:p>
          <w:p w14:paraId="1E44B257" w14:textId="77777777" w:rsidR="00ED2F91" w:rsidRPr="006D40B8" w:rsidRDefault="00ED2F91" w:rsidP="00612DFD">
            <w:pPr>
              <w:spacing w:line="264" w:lineRule="auto"/>
              <w:jc w:val="both"/>
              <w:rPr>
                <w:rFonts w:asciiTheme="majorHAnsi" w:eastAsia="Arial" w:hAnsiTheme="majorHAnsi" w:cstheme="majorHAnsi"/>
                <w:sz w:val="22"/>
                <w:szCs w:val="22"/>
              </w:rPr>
            </w:pPr>
          </w:p>
          <w:p w14:paraId="4C7A7C36" w14:textId="77777777" w:rsidR="00ED2F91" w:rsidRPr="00200D24"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 xml:space="preserve">Conviene </w:t>
            </w:r>
            <w:r w:rsidRPr="00200D24">
              <w:rPr>
                <w:rFonts w:asciiTheme="majorHAnsi" w:hAnsiTheme="majorHAnsi" w:cstheme="majorHAnsi"/>
                <w:sz w:val="22"/>
                <w:szCs w:val="22"/>
              </w:rPr>
              <w:t>subrayar un punto que suele pasarse por alto: la potestad de derogar es inherente a la potestad de regular. Quien puede establecer una restricción a la exportación puede suprimirla cuando las circunstancias que la justificaron varían o cuando su ejercicio se revela inidóneo. No existe en el ordenamiento colombiano un principio de irreversibilidad de las medidas de comercio exterior; por el contrario, el literal c) del artículo 3º de la Ley 1609 de 2013 ordena facilitar y agilizar las operaciones de comercio exterior, mandato que supone la revisión permanente de las restricciones vigentes.</w:t>
            </w:r>
          </w:p>
          <w:p w14:paraId="11FBFDD6" w14:textId="77777777" w:rsidR="00ED2F91" w:rsidRPr="00200D24" w:rsidRDefault="00ED2F91" w:rsidP="00612DFD">
            <w:pPr>
              <w:spacing w:line="264" w:lineRule="auto"/>
              <w:jc w:val="both"/>
              <w:rPr>
                <w:rFonts w:asciiTheme="majorHAnsi" w:eastAsia="Arial" w:hAnsiTheme="majorHAnsi" w:cstheme="majorHAnsi"/>
                <w:sz w:val="22"/>
                <w:szCs w:val="22"/>
              </w:rPr>
            </w:pPr>
          </w:p>
          <w:p w14:paraId="0B45A288" w14:textId="77777777" w:rsidR="00ED2F91" w:rsidRPr="006D40B8" w:rsidRDefault="00E06440" w:rsidP="00612DFD">
            <w:pPr>
              <w:spacing w:line="264" w:lineRule="auto"/>
              <w:jc w:val="both"/>
              <w:rPr>
                <w:rFonts w:asciiTheme="majorHAnsi" w:eastAsia="Arial" w:hAnsiTheme="majorHAnsi" w:cstheme="majorHAnsi"/>
                <w:sz w:val="22"/>
                <w:szCs w:val="22"/>
              </w:rPr>
            </w:pPr>
            <w:r w:rsidRPr="00200D24">
              <w:rPr>
                <w:rFonts w:asciiTheme="majorHAnsi" w:hAnsiTheme="majorHAnsi" w:cstheme="majorHAnsi"/>
                <w:sz w:val="22"/>
                <w:szCs w:val="22"/>
              </w:rPr>
              <w:t xml:space="preserve">En cuanto a la suscripción del acto, el parágrafo 1º del artículo 1º del Decreto 3303 de 2006 dispone que, de conformidad con el numeral 20 del artículo 2º del Decreto 210 de 2003, todo requisito a la importación o exportación, en tanto constituye una regulación de comercio exterior, debe establecerse mediante decreto suscrito por el </w:t>
            </w:r>
            <w:proofErr w:type="gramStart"/>
            <w:r w:rsidRPr="00200D24">
              <w:rPr>
                <w:rFonts w:asciiTheme="majorHAnsi" w:hAnsiTheme="majorHAnsi" w:cstheme="majorHAnsi"/>
                <w:sz w:val="22"/>
                <w:szCs w:val="22"/>
              </w:rPr>
              <w:t>Ministro</w:t>
            </w:r>
            <w:proofErr w:type="gramEnd"/>
            <w:r w:rsidRPr="00200D24">
              <w:rPr>
                <w:rFonts w:asciiTheme="majorHAnsi" w:hAnsiTheme="majorHAnsi" w:cstheme="majorHAnsi"/>
                <w:sz w:val="22"/>
                <w:szCs w:val="22"/>
              </w:rPr>
              <w:t xml:space="preserve"> de Comercio, Industria y Turismo y el Ministro del ramo correspondiente, que en materia de carbón es el de Minas y Energía. A ello se suma la exigencia del artículo 115 de la Constitución Política, conforme al cual ningún acto del </w:t>
            </w:r>
            <w:proofErr w:type="gramStart"/>
            <w:r w:rsidRPr="00200D24">
              <w:rPr>
                <w:rFonts w:asciiTheme="majorHAnsi" w:hAnsiTheme="majorHAnsi" w:cstheme="majorHAnsi"/>
                <w:sz w:val="22"/>
                <w:szCs w:val="22"/>
              </w:rPr>
              <w:t>Presidente</w:t>
            </w:r>
            <w:proofErr w:type="gramEnd"/>
            <w:r w:rsidRPr="00200D24">
              <w:rPr>
                <w:rFonts w:asciiTheme="majorHAnsi" w:hAnsiTheme="majorHAnsi" w:cstheme="majorHAnsi"/>
                <w:sz w:val="22"/>
                <w:szCs w:val="22"/>
              </w:rPr>
              <w:t xml:space="preserve"> tendrá valor</w:t>
            </w:r>
            <w:r w:rsidRPr="006D40B8">
              <w:rPr>
                <w:rFonts w:asciiTheme="majorHAnsi" w:hAnsiTheme="majorHAnsi" w:cstheme="majorHAnsi"/>
                <w:sz w:val="22"/>
                <w:szCs w:val="22"/>
              </w:rPr>
              <w:t xml:space="preserve"> ni fuerza alguna mientras no sea suscrito y comunicado por el ministro del ramo respectivo.</w:t>
            </w:r>
          </w:p>
          <w:p w14:paraId="344C8310" w14:textId="77777777" w:rsidR="00ED2F91" w:rsidRPr="006D40B8" w:rsidRDefault="00ED2F91" w:rsidP="00612DFD">
            <w:pPr>
              <w:spacing w:line="264" w:lineRule="auto"/>
              <w:jc w:val="both"/>
              <w:rPr>
                <w:rFonts w:asciiTheme="majorHAnsi" w:eastAsia="Arial" w:hAnsiTheme="majorHAnsi" w:cstheme="majorHAnsi"/>
                <w:sz w:val="22"/>
                <w:szCs w:val="22"/>
              </w:rPr>
            </w:pPr>
          </w:p>
          <w:p w14:paraId="764CD4DA"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Por último, el proyecto no regula materia alguna sujeta a reserva de ley: no crea, modifica ni suprime tributos; no establece sanciones ni procedimientos sancionatorios; no crea ni modifica trámites; no regula derechos fundamentales; y no interviene en la estructura de la administración.</w:t>
            </w:r>
          </w:p>
          <w:p w14:paraId="7C8EB071" w14:textId="77777777" w:rsidR="00ED2F91" w:rsidRPr="006D40B8" w:rsidRDefault="00ED2F91" w:rsidP="00612DFD">
            <w:pPr>
              <w:spacing w:line="264" w:lineRule="auto"/>
              <w:jc w:val="both"/>
              <w:rPr>
                <w:rFonts w:asciiTheme="majorHAnsi" w:eastAsia="Arial" w:hAnsiTheme="majorHAnsi" w:cstheme="majorHAnsi"/>
                <w:sz w:val="22"/>
                <w:szCs w:val="22"/>
              </w:rPr>
            </w:pPr>
          </w:p>
          <w:p w14:paraId="0913EBFF"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b/>
                <w:sz w:val="22"/>
                <w:szCs w:val="22"/>
              </w:rPr>
              <w:t>3.2. Vigencia de la ley o norma reglamentada o desarrollada</w:t>
            </w:r>
          </w:p>
          <w:p w14:paraId="62646AD6" w14:textId="41636BDC" w:rsidR="00200D24" w:rsidRDefault="00E06440" w:rsidP="00200D24">
            <w:pPr>
              <w:spacing w:line="264" w:lineRule="auto"/>
              <w:jc w:val="both"/>
              <w:rPr>
                <w:rFonts w:asciiTheme="majorHAnsi" w:hAnsiTheme="majorHAnsi" w:cstheme="majorHAnsi"/>
                <w:sz w:val="22"/>
                <w:szCs w:val="22"/>
              </w:rPr>
            </w:pPr>
            <w:r w:rsidRPr="006D40B8">
              <w:rPr>
                <w:rFonts w:asciiTheme="majorHAnsi" w:hAnsiTheme="majorHAnsi" w:cstheme="majorHAnsi"/>
                <w:sz w:val="22"/>
                <w:szCs w:val="22"/>
              </w:rPr>
              <w:t xml:space="preserve">Las normas que sirven de fundamento al proyecto se encuentran vigentes. La Ley 7ª de 1991 y la Ley 1609 de 2013 conservan plena vigencia; esta última derogó la Ley 6ª de 1971 y toda normativa contraria, según su artículo 7º. La Ley 170 de 1994, que aprobó el Acuerdo por el que se establece la Organización Mundial del Comercio, está vigente y con ella el GATT de 1994 incorporado al ordenamiento interno. El Decreto 3303 de 2006 rige, con la </w:t>
            </w:r>
            <w:r w:rsidRPr="00200D24">
              <w:rPr>
                <w:rFonts w:asciiTheme="majorHAnsi" w:hAnsiTheme="majorHAnsi" w:cstheme="majorHAnsi"/>
                <w:sz w:val="22"/>
                <w:szCs w:val="22"/>
              </w:rPr>
              <w:t>modificación que a su artículo 2º introdujo el Decreto 1888 de 2015 en cuanto a la integración del Comité de Asuntos Aduaneros, Arancelarios y de Comercio Exterior.</w:t>
            </w:r>
          </w:p>
          <w:p w14:paraId="57A41460" w14:textId="77777777" w:rsidR="00200D24" w:rsidRPr="006D40B8" w:rsidRDefault="00200D24" w:rsidP="00200D24">
            <w:pPr>
              <w:spacing w:line="264" w:lineRule="auto"/>
              <w:jc w:val="both"/>
              <w:rPr>
                <w:rFonts w:asciiTheme="majorHAnsi" w:eastAsia="Arial" w:hAnsiTheme="majorHAnsi" w:cstheme="majorHAnsi"/>
                <w:sz w:val="22"/>
                <w:szCs w:val="22"/>
              </w:rPr>
            </w:pPr>
          </w:p>
          <w:p w14:paraId="6AB4A600"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b/>
                <w:sz w:val="22"/>
                <w:szCs w:val="22"/>
              </w:rPr>
              <w:t>3.3. Disposiciones derogadas, subrogadas, modificadas, adicionadas o sustituidas</w:t>
            </w:r>
          </w:p>
          <w:p w14:paraId="60445EDB" w14:textId="77777777" w:rsidR="00200D24" w:rsidRDefault="00200D24" w:rsidP="00612DFD">
            <w:pPr>
              <w:spacing w:line="264" w:lineRule="auto"/>
              <w:jc w:val="both"/>
              <w:rPr>
                <w:rFonts w:asciiTheme="majorHAnsi" w:hAnsiTheme="majorHAnsi" w:cstheme="majorHAnsi"/>
                <w:sz w:val="22"/>
                <w:szCs w:val="22"/>
              </w:rPr>
            </w:pPr>
          </w:p>
          <w:p w14:paraId="2F5144EA" w14:textId="4CAE92D9"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El proyecto deroga de manera íntegra y expresa el Decreto 1047 del 14 de agosto de 2024 y el Decreto 0949 del 28 de agosto de 2025. La derogatoria se enuncia en el artículo 1º y se reitera en el artículo 5º, de conformidad con la directriz de identificar con exactitud las normas que se derogan.</w:t>
            </w:r>
          </w:p>
          <w:p w14:paraId="5BCD8299" w14:textId="77777777" w:rsidR="00ED2F91" w:rsidRPr="006D40B8" w:rsidRDefault="00ED2F91" w:rsidP="00612DFD">
            <w:pPr>
              <w:spacing w:line="264" w:lineRule="auto"/>
              <w:jc w:val="both"/>
              <w:rPr>
                <w:rFonts w:asciiTheme="majorHAnsi" w:eastAsia="Arial" w:hAnsiTheme="majorHAnsi" w:cstheme="majorHAnsi"/>
                <w:sz w:val="22"/>
                <w:szCs w:val="22"/>
              </w:rPr>
            </w:pPr>
          </w:p>
          <w:p w14:paraId="76180D42"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La articulación entre ambos decretos exige dos precauciones que el proyecto incorpora. La primera es derogar los dos actos y no solamente el último: como el Decreto 0949 de 2025 se limitó a modificar el artículo 1º del Decreto 1047 de 2024 y a derogar sus artículos 2º y 3º, la derogatoria aislada del decreto de 2025 dejaría vigente el artículo 1º del decreto de 2024 en su redacción original, es decir, reinstauraría la prohibición con excepciones. La segunda es excluir de manera expresa la reviviscencia: aunque la regla general es que la derogatoria de una norma derogatoria no revive la norma derogada, el parágrafo del artículo 1º lo declara sin ambigüedad para no dejar librado a la interpretación un punto del que depende la certeza de los operadores y de la autoridad aduanera.</w:t>
            </w:r>
          </w:p>
          <w:p w14:paraId="13C1897A" w14:textId="77777777" w:rsidR="00ED2F91" w:rsidRPr="006D40B8" w:rsidRDefault="00ED2F91" w:rsidP="00612DFD">
            <w:pPr>
              <w:spacing w:line="264" w:lineRule="auto"/>
              <w:jc w:val="both"/>
              <w:rPr>
                <w:rFonts w:asciiTheme="majorHAnsi" w:eastAsia="Arial" w:hAnsiTheme="majorHAnsi" w:cstheme="majorHAnsi"/>
                <w:sz w:val="22"/>
                <w:szCs w:val="22"/>
              </w:rPr>
            </w:pPr>
          </w:p>
          <w:p w14:paraId="02C3C166"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lastRenderedPageBreak/>
              <w:t>No se modifican, subrogan ni adicionan otras disposiciones. El artículo 2º del proyecto no crea régimen alguno: se limita a declarar que, suprimida la restricción, las exportaciones de la subpartida quedan sujetas al régimen general contenido en la regulación aduanera vigente.</w:t>
            </w:r>
          </w:p>
          <w:p w14:paraId="7947A665" w14:textId="77777777" w:rsidR="00612DFD" w:rsidRPr="006D40B8" w:rsidRDefault="00612DFD" w:rsidP="00612DFD">
            <w:pPr>
              <w:spacing w:line="264" w:lineRule="auto"/>
              <w:jc w:val="both"/>
              <w:rPr>
                <w:rFonts w:asciiTheme="majorHAnsi" w:eastAsia="Arial" w:hAnsiTheme="majorHAnsi" w:cstheme="majorHAnsi"/>
                <w:sz w:val="22"/>
                <w:szCs w:val="22"/>
              </w:rPr>
            </w:pPr>
          </w:p>
          <w:p w14:paraId="4D44D82C" w14:textId="77777777" w:rsidR="00ED2F91" w:rsidRPr="006D40B8" w:rsidRDefault="00E06440" w:rsidP="00612DFD">
            <w:pPr>
              <w:spacing w:line="264" w:lineRule="auto"/>
              <w:jc w:val="both"/>
              <w:rPr>
                <w:rFonts w:asciiTheme="majorHAnsi" w:hAnsiTheme="majorHAnsi" w:cstheme="majorHAnsi"/>
                <w:b/>
                <w:sz w:val="22"/>
                <w:szCs w:val="22"/>
              </w:rPr>
            </w:pPr>
            <w:r w:rsidRPr="006D40B8">
              <w:rPr>
                <w:rFonts w:asciiTheme="majorHAnsi" w:hAnsiTheme="majorHAnsi" w:cstheme="majorHAnsi"/>
                <w:b/>
                <w:sz w:val="22"/>
                <w:szCs w:val="22"/>
              </w:rPr>
              <w:t>3.4. Revisión y análisis de la jurisprudencia relevante</w:t>
            </w:r>
          </w:p>
          <w:p w14:paraId="0DA8FA6E" w14:textId="77777777" w:rsidR="00612DFD" w:rsidRPr="006D40B8" w:rsidRDefault="00612DFD" w:rsidP="00612DFD">
            <w:pPr>
              <w:spacing w:line="264" w:lineRule="auto"/>
              <w:jc w:val="both"/>
              <w:rPr>
                <w:rFonts w:asciiTheme="majorHAnsi" w:eastAsia="Arial" w:hAnsiTheme="majorHAnsi" w:cstheme="majorHAnsi"/>
                <w:sz w:val="22"/>
                <w:szCs w:val="22"/>
              </w:rPr>
            </w:pPr>
          </w:p>
          <w:p w14:paraId="6525F835"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b/>
                <w:sz w:val="22"/>
                <w:szCs w:val="22"/>
                <w:lang w:val="pt-PT"/>
              </w:rPr>
              <w:t>Corte Constitucional, Sentencia C-1111 de 2000.</w:t>
            </w:r>
            <w:r w:rsidRPr="006D40B8">
              <w:rPr>
                <w:rFonts w:asciiTheme="majorHAnsi" w:hAnsiTheme="majorHAnsi" w:cstheme="majorHAnsi"/>
                <w:sz w:val="22"/>
                <w:szCs w:val="22"/>
                <w:lang w:val="pt-PT"/>
              </w:rPr>
              <w:t xml:space="preserve"> </w:t>
            </w:r>
            <w:r w:rsidRPr="006D40B8">
              <w:rPr>
                <w:rFonts w:asciiTheme="majorHAnsi" w:hAnsiTheme="majorHAnsi" w:cstheme="majorHAnsi"/>
                <w:sz w:val="22"/>
                <w:szCs w:val="22"/>
              </w:rPr>
              <w:t xml:space="preserve">Fija la naturaleza de los decretos expedidos en desarrollo de leyes marco, en los términos transcritos en el numeral 3.1. La misma sentencia contiene un pronunciamiento de utilidad directa sobre la instancia sectorial: al examinar la exigencia de concepto previo del organismo asesor en materia aduanera —función que hoy cumple el Comité de Asuntos Aduaneros, Arancelarios y de Comercio Exterior— la Corte precisó que «el hecho de que los conceptos que emita ese órgano asesor no sean obligatorios para el Gobierno no implica la </w:t>
            </w:r>
            <w:proofErr w:type="spellStart"/>
            <w:r w:rsidRPr="006D40B8">
              <w:rPr>
                <w:rFonts w:asciiTheme="majorHAnsi" w:hAnsiTheme="majorHAnsi" w:cstheme="majorHAnsi"/>
                <w:sz w:val="22"/>
                <w:szCs w:val="22"/>
              </w:rPr>
              <w:t>inexequibilidad</w:t>
            </w:r>
            <w:proofErr w:type="spellEnd"/>
            <w:r w:rsidRPr="006D40B8">
              <w:rPr>
                <w:rFonts w:asciiTheme="majorHAnsi" w:hAnsiTheme="majorHAnsi" w:cstheme="majorHAnsi"/>
                <w:sz w:val="22"/>
                <w:szCs w:val="22"/>
              </w:rPr>
              <w:t xml:space="preserve"> de la norma bajo examen, pues nada impide que el Presidente de la República tenga ese apoyo técnico en el proceso de expedición de decretos». De allí se sigue que la recomendación del Comité es un requisito de procedimiento cuyo agotamiento es necesario, pero cuyo sentido no vincula al Gobierno nacional.</w:t>
            </w:r>
          </w:p>
          <w:p w14:paraId="7CAFFC7E" w14:textId="77777777" w:rsidR="00ED2F91" w:rsidRPr="006D40B8" w:rsidRDefault="00ED2F91" w:rsidP="00612DFD">
            <w:pPr>
              <w:spacing w:line="264" w:lineRule="auto"/>
              <w:jc w:val="both"/>
              <w:rPr>
                <w:rFonts w:asciiTheme="majorHAnsi" w:eastAsia="Arial" w:hAnsiTheme="majorHAnsi" w:cstheme="majorHAnsi"/>
                <w:sz w:val="22"/>
                <w:szCs w:val="22"/>
              </w:rPr>
            </w:pPr>
          </w:p>
          <w:p w14:paraId="0676558E" w14:textId="77777777" w:rsidR="00ED2F91" w:rsidRPr="001C3675"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b/>
                <w:sz w:val="22"/>
                <w:szCs w:val="22"/>
              </w:rPr>
              <w:t>Corte Constitucional, Sentencia C-254 del 6 de junio de 2019.</w:t>
            </w:r>
            <w:r w:rsidRPr="006D40B8">
              <w:rPr>
                <w:rFonts w:asciiTheme="majorHAnsi" w:hAnsiTheme="majorHAnsi" w:cstheme="majorHAnsi"/>
                <w:sz w:val="22"/>
                <w:szCs w:val="22"/>
              </w:rPr>
              <w:t xml:space="preserve"> Declaró exequible el Acuerdo de Libre Comercio entre la República de Colombia y el Estado de Israel, el canje de notas del 13 de noviembre de 2015 y la Ley 1841 de 2017 que los aprueba, con </w:t>
            </w:r>
            <w:proofErr w:type="spellStart"/>
            <w:r w:rsidRPr="006D40B8">
              <w:rPr>
                <w:rFonts w:asciiTheme="majorHAnsi" w:hAnsiTheme="majorHAnsi" w:cstheme="majorHAnsi"/>
                <w:sz w:val="22"/>
                <w:szCs w:val="22"/>
              </w:rPr>
              <w:t>exequibilidad</w:t>
            </w:r>
            <w:proofErr w:type="spellEnd"/>
            <w:r w:rsidRPr="006D40B8">
              <w:rPr>
                <w:rFonts w:asciiTheme="majorHAnsi" w:hAnsiTheme="majorHAnsi" w:cstheme="majorHAnsi"/>
                <w:sz w:val="22"/>
                <w:szCs w:val="22"/>
              </w:rPr>
              <w:t xml:space="preserve"> condicionada de las expresiones «expectativas razonables» y «trato» de los artículos 10.7 y 10.5 del capítulo de inversión. Esa condicionalidad recae sobre materias ajenas al objeto de este proyecto y no incide en los compromisos </w:t>
            </w:r>
            <w:r w:rsidRPr="001C3675">
              <w:rPr>
                <w:rFonts w:asciiTheme="majorHAnsi" w:hAnsiTheme="majorHAnsi" w:cstheme="majorHAnsi"/>
                <w:sz w:val="22"/>
                <w:szCs w:val="22"/>
              </w:rPr>
              <w:t>de acceso a mercados.</w:t>
            </w:r>
          </w:p>
          <w:p w14:paraId="60170151" w14:textId="77777777" w:rsidR="00ED2F91" w:rsidRPr="001C3675" w:rsidRDefault="00ED2F91" w:rsidP="00612DFD">
            <w:pPr>
              <w:spacing w:line="264" w:lineRule="auto"/>
              <w:jc w:val="both"/>
              <w:rPr>
                <w:rFonts w:asciiTheme="majorHAnsi" w:eastAsia="Arial" w:hAnsiTheme="majorHAnsi" w:cstheme="majorHAnsi"/>
                <w:sz w:val="22"/>
                <w:szCs w:val="22"/>
              </w:rPr>
            </w:pPr>
          </w:p>
          <w:p w14:paraId="6D9A7636" w14:textId="77777777" w:rsidR="00ED2F91" w:rsidRPr="001C3675" w:rsidRDefault="00E06440" w:rsidP="00612DFD">
            <w:pPr>
              <w:pStyle w:val="Asuntodelcomentario"/>
              <w:jc w:val="both"/>
              <w:rPr>
                <w:rFonts w:asciiTheme="majorHAnsi" w:hAnsiTheme="majorHAnsi" w:cstheme="majorHAnsi"/>
                <w:b w:val="0"/>
                <w:bCs w:val="0"/>
                <w:sz w:val="22"/>
                <w:szCs w:val="22"/>
              </w:rPr>
            </w:pPr>
            <w:r w:rsidRPr="001C3675">
              <w:rPr>
                <w:rFonts w:asciiTheme="majorHAnsi" w:hAnsiTheme="majorHAnsi" w:cstheme="majorHAnsi"/>
                <w:b w:val="0"/>
                <w:bCs w:val="0"/>
                <w:sz w:val="22"/>
                <w:szCs w:val="22"/>
              </w:rPr>
              <w:t xml:space="preserve">Jurisprudencia del sistema de solución de diferencias de la OMC invocada por los decretos derogados. El Decreto 0949 de 2025 fundó la medida, entre otras disposiciones, en el literal b), inciso </w:t>
            </w:r>
            <w:proofErr w:type="spellStart"/>
            <w:r w:rsidRPr="001C3675">
              <w:rPr>
                <w:rFonts w:asciiTheme="majorHAnsi" w:hAnsiTheme="majorHAnsi" w:cstheme="majorHAnsi"/>
                <w:b w:val="0"/>
                <w:bCs w:val="0"/>
                <w:sz w:val="22"/>
                <w:szCs w:val="22"/>
              </w:rPr>
              <w:t>iii</w:t>
            </w:r>
            <w:proofErr w:type="spellEnd"/>
            <w:r w:rsidRPr="001C3675">
              <w:rPr>
                <w:rFonts w:asciiTheme="majorHAnsi" w:hAnsiTheme="majorHAnsi" w:cstheme="majorHAnsi"/>
                <w:b w:val="0"/>
                <w:bCs w:val="0"/>
                <w:sz w:val="22"/>
                <w:szCs w:val="22"/>
              </w:rPr>
              <w:t xml:space="preserve">), del artículo XXI del GATT de 1994, y citó expresamente los asuntos DS512 (Rusia — Medidas relativas al tráfico en tránsito) y DS564 (Estados Unidos — Determinadas medidas sobre los productos de acero y aluminio). Es pertinente recordar cómo entendió el grupo especial esa excepción en el primero de esos asuntos, que fue el primero en interpretar el artículo XXI: la disposición no es enteramente </w:t>
            </w:r>
            <w:proofErr w:type="spellStart"/>
            <w:r w:rsidRPr="001C3675">
              <w:rPr>
                <w:rFonts w:asciiTheme="majorHAnsi" w:hAnsiTheme="majorHAnsi" w:cstheme="majorHAnsi"/>
                <w:b w:val="0"/>
                <w:bCs w:val="0"/>
                <w:sz w:val="22"/>
                <w:szCs w:val="22"/>
              </w:rPr>
              <w:t>autojuzgable</w:t>
            </w:r>
            <w:proofErr w:type="spellEnd"/>
            <w:r w:rsidRPr="001C3675">
              <w:rPr>
                <w:rFonts w:asciiTheme="majorHAnsi" w:hAnsiTheme="majorHAnsi" w:cstheme="majorHAnsi"/>
                <w:b w:val="0"/>
                <w:bCs w:val="0"/>
                <w:sz w:val="22"/>
                <w:szCs w:val="22"/>
              </w:rPr>
              <w:t>, de modo que su invocación queda sujeta a un examen de buena fe y de plausibilidad; y la «grave tensión internacional» que allí se reconoció correspondía a una situación próxima al núcleo duro de la guerra o del conflicto armado. Este proyecto no controvierte la invocación que en su momento hicieron los decretos derogados. Se limita a constatar que las excepciones del artículo XXI son de naturaleza temporal y de interpretación restrictiva, y que su fundamento decae cuando cambian las circunstancias excepcionales que las habilitaron.</w:t>
            </w:r>
          </w:p>
          <w:p w14:paraId="1FE93190" w14:textId="77777777" w:rsidR="00C67164" w:rsidRPr="006D40B8" w:rsidRDefault="00C67164" w:rsidP="00612DFD">
            <w:pPr>
              <w:spacing w:line="264" w:lineRule="auto"/>
              <w:jc w:val="both"/>
              <w:rPr>
                <w:rFonts w:asciiTheme="majorHAnsi" w:hAnsiTheme="majorHAnsi" w:cstheme="majorHAnsi"/>
                <w:sz w:val="22"/>
                <w:szCs w:val="22"/>
              </w:rPr>
            </w:pPr>
          </w:p>
          <w:p w14:paraId="48EBBAC3" w14:textId="77777777" w:rsidR="00C67164" w:rsidRPr="006D40B8" w:rsidRDefault="00C67164" w:rsidP="00612DFD">
            <w:pPr>
              <w:spacing w:line="264" w:lineRule="auto"/>
              <w:jc w:val="both"/>
              <w:rPr>
                <w:rFonts w:asciiTheme="majorHAnsi" w:hAnsiTheme="majorHAnsi" w:cstheme="majorHAnsi"/>
                <w:sz w:val="22"/>
                <w:szCs w:val="22"/>
              </w:rPr>
            </w:pPr>
            <w:r w:rsidRPr="006D40B8">
              <w:rPr>
                <w:rFonts w:asciiTheme="majorHAnsi" w:hAnsiTheme="majorHAnsi" w:cstheme="majorHAnsi"/>
                <w:sz w:val="22"/>
                <w:szCs w:val="22"/>
              </w:rPr>
              <w:t xml:space="preserve">Lo anterior lo confirma caso </w:t>
            </w:r>
            <w:r w:rsidRPr="006D40B8">
              <w:rPr>
                <w:rFonts w:asciiTheme="majorHAnsi" w:hAnsiTheme="majorHAnsi" w:cstheme="majorHAnsi"/>
                <w:i/>
                <w:iCs/>
                <w:sz w:val="22"/>
                <w:szCs w:val="22"/>
              </w:rPr>
              <w:t>DS 476 Unión Europea y sus Estados Miembros - Diversas medidas relativas al sector de la energía</w:t>
            </w:r>
            <w:r w:rsidRPr="006D40B8">
              <w:rPr>
                <w:rFonts w:asciiTheme="majorHAnsi" w:hAnsiTheme="majorHAnsi" w:cstheme="majorHAnsi"/>
                <w:sz w:val="22"/>
                <w:szCs w:val="22"/>
              </w:rPr>
              <w:t>, donde se indicó que una de las condiciones de aplicación del Artículo XX(j) es que “</w:t>
            </w:r>
            <w:r w:rsidRPr="006D40B8">
              <w:rPr>
                <w:rFonts w:asciiTheme="majorHAnsi" w:hAnsiTheme="majorHAnsi" w:cstheme="majorHAnsi"/>
                <w:i/>
                <w:iCs/>
                <w:sz w:val="22"/>
                <w:szCs w:val="22"/>
              </w:rPr>
              <w:t>las medidas que sean incompatibles con las demás disposiciones del GATT de 1994 tienen que ser suprimidas tan pronto como desaparezcan las circunstancias que las hayan motivado</w:t>
            </w:r>
            <w:r w:rsidRPr="006D40B8">
              <w:rPr>
                <w:rFonts w:asciiTheme="majorHAnsi" w:hAnsiTheme="majorHAnsi" w:cstheme="majorHAnsi"/>
                <w:sz w:val="22"/>
                <w:szCs w:val="22"/>
              </w:rPr>
              <w:t xml:space="preserve">". (Informe del Grupo Especial - Párrafo 7.247). </w:t>
            </w:r>
          </w:p>
          <w:p w14:paraId="144C8FD5" w14:textId="77777777" w:rsidR="00C67164" w:rsidRPr="006D40B8" w:rsidRDefault="00C67164" w:rsidP="00612DFD">
            <w:pPr>
              <w:spacing w:line="264" w:lineRule="auto"/>
              <w:jc w:val="both"/>
              <w:rPr>
                <w:rFonts w:asciiTheme="majorHAnsi" w:hAnsiTheme="majorHAnsi" w:cstheme="majorHAnsi"/>
                <w:sz w:val="22"/>
                <w:szCs w:val="22"/>
              </w:rPr>
            </w:pPr>
          </w:p>
          <w:p w14:paraId="0CD56A1E" w14:textId="395096B6" w:rsidR="00ED2F91" w:rsidRDefault="00C67164" w:rsidP="001C3675">
            <w:pPr>
              <w:spacing w:line="264" w:lineRule="auto"/>
              <w:jc w:val="both"/>
              <w:rPr>
                <w:rFonts w:asciiTheme="majorHAnsi" w:hAnsiTheme="majorHAnsi" w:cstheme="majorHAnsi"/>
                <w:sz w:val="22"/>
                <w:szCs w:val="22"/>
              </w:rPr>
            </w:pPr>
            <w:r w:rsidRPr="006D40B8">
              <w:rPr>
                <w:rFonts w:asciiTheme="majorHAnsi" w:hAnsiTheme="majorHAnsi" w:cstheme="majorHAnsi"/>
                <w:sz w:val="22"/>
                <w:szCs w:val="22"/>
              </w:rPr>
              <w:t xml:space="preserve">Si bien el artículo XX(j) no se invoca en los decretos derogados, las consideraciones del Grupo Especial frente al XX(j) se predican del resto de numerales del artículo XX. Lo anterior exige que, ante el cambio de circunstancias, sea necesario derogar las medidas. </w:t>
            </w:r>
          </w:p>
          <w:p w14:paraId="55995ABA" w14:textId="77777777" w:rsidR="001C3675" w:rsidRDefault="001C3675" w:rsidP="001C3675">
            <w:pPr>
              <w:spacing w:line="264" w:lineRule="auto"/>
              <w:jc w:val="both"/>
              <w:rPr>
                <w:rFonts w:asciiTheme="majorHAnsi" w:eastAsia="Arial" w:hAnsiTheme="majorHAnsi" w:cstheme="majorHAnsi"/>
                <w:sz w:val="22"/>
                <w:szCs w:val="22"/>
              </w:rPr>
            </w:pPr>
          </w:p>
          <w:p w14:paraId="1B4D911D" w14:textId="77777777" w:rsidR="001C3675" w:rsidRDefault="001C3675" w:rsidP="001C3675">
            <w:pPr>
              <w:spacing w:line="264" w:lineRule="auto"/>
              <w:jc w:val="both"/>
              <w:rPr>
                <w:rFonts w:asciiTheme="majorHAnsi" w:eastAsia="Arial" w:hAnsiTheme="majorHAnsi" w:cstheme="majorHAnsi"/>
                <w:sz w:val="22"/>
                <w:szCs w:val="22"/>
              </w:rPr>
            </w:pPr>
          </w:p>
          <w:p w14:paraId="5E25154A" w14:textId="77777777" w:rsidR="001C3675" w:rsidRDefault="001C3675" w:rsidP="001C3675">
            <w:pPr>
              <w:spacing w:line="264" w:lineRule="auto"/>
              <w:jc w:val="both"/>
              <w:rPr>
                <w:rFonts w:asciiTheme="majorHAnsi" w:eastAsia="Arial" w:hAnsiTheme="majorHAnsi" w:cstheme="majorHAnsi"/>
                <w:sz w:val="22"/>
                <w:szCs w:val="22"/>
              </w:rPr>
            </w:pPr>
          </w:p>
          <w:p w14:paraId="7B1889D6" w14:textId="77777777" w:rsidR="001C3675" w:rsidRPr="006D40B8" w:rsidRDefault="001C3675" w:rsidP="001C3675">
            <w:pPr>
              <w:spacing w:line="264" w:lineRule="auto"/>
              <w:jc w:val="both"/>
              <w:rPr>
                <w:rFonts w:asciiTheme="majorHAnsi" w:eastAsia="Arial" w:hAnsiTheme="majorHAnsi" w:cstheme="majorHAnsi"/>
                <w:sz w:val="22"/>
                <w:szCs w:val="22"/>
              </w:rPr>
            </w:pPr>
          </w:p>
          <w:p w14:paraId="7254C980" w14:textId="1A22CB32"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b/>
                <w:sz w:val="22"/>
                <w:szCs w:val="22"/>
              </w:rPr>
              <w:t>3.</w:t>
            </w:r>
            <w:r w:rsidR="001C3675">
              <w:rPr>
                <w:rFonts w:asciiTheme="majorHAnsi" w:hAnsiTheme="majorHAnsi" w:cstheme="majorHAnsi"/>
                <w:b/>
                <w:sz w:val="22"/>
                <w:szCs w:val="22"/>
              </w:rPr>
              <w:t>5</w:t>
            </w:r>
            <w:r w:rsidRPr="006D40B8">
              <w:rPr>
                <w:rFonts w:asciiTheme="majorHAnsi" w:hAnsiTheme="majorHAnsi" w:cstheme="majorHAnsi"/>
                <w:b/>
                <w:sz w:val="22"/>
                <w:szCs w:val="22"/>
              </w:rPr>
              <w:t>. Abogacía de la competencia: por qué no procede informar el proyecto a la Superintendencia</w:t>
            </w:r>
          </w:p>
          <w:p w14:paraId="39C33414"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Este punto merece desarrollo, porque el Decreto 0949 de 2025 sí obtuvo concepto de la Superintendencia de Industria y Comercio —radicado 25-373058 del 25 de agosto de 2025— y la diferencia de tratamiento podría interpretarse como una omisión.</w:t>
            </w:r>
          </w:p>
          <w:p w14:paraId="10B1B16B" w14:textId="77777777" w:rsidR="00ED2F91" w:rsidRPr="006D40B8" w:rsidRDefault="00ED2F91" w:rsidP="00612DFD">
            <w:pPr>
              <w:spacing w:line="264" w:lineRule="auto"/>
              <w:jc w:val="both"/>
              <w:rPr>
                <w:rFonts w:asciiTheme="majorHAnsi" w:eastAsia="Arial" w:hAnsiTheme="majorHAnsi" w:cstheme="majorHAnsi"/>
                <w:sz w:val="22"/>
                <w:szCs w:val="22"/>
              </w:rPr>
            </w:pPr>
          </w:p>
          <w:p w14:paraId="0BF01AA9"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El criterio legal de incidencia es asimétrico. El artículo 3º del Decreto 2897 de 2010, compilado en el Capítulo 30 del Título 2 de la Parte 2 del Libro 2 del Decreto 1074 de 2015, define la incidencia sobre la libre competencia por referencia a efectos restrictivos: que el acto tenga por objeto o pueda tener como efecto limitar el número o variedad de competidores en uno o varios mercados relevantes, o que imponga conductas o modifique condiciones cuando ello limite la capacidad de las empresas para competir, reduzca sus incentivos para competir o restrinja la libre elección o la información disponible para los consumidores. El deber de informar se activa por el potencial anticompetitivo, no por cualquier efecto sobre el mercado. Un acto que amplía el conjunto de destinos disponibles para la totalidad de los exportadores no encaja en ninguno de esos supuestos.</w:t>
            </w:r>
          </w:p>
          <w:p w14:paraId="153B6F22" w14:textId="77777777" w:rsidR="00ED2F91" w:rsidRPr="006D40B8" w:rsidRDefault="00ED2F91" w:rsidP="00612DFD">
            <w:pPr>
              <w:spacing w:line="264" w:lineRule="auto"/>
              <w:jc w:val="both"/>
              <w:rPr>
                <w:rFonts w:asciiTheme="majorHAnsi" w:eastAsia="Arial" w:hAnsiTheme="majorHAnsi" w:cstheme="majorHAnsi"/>
                <w:sz w:val="22"/>
                <w:szCs w:val="22"/>
              </w:rPr>
            </w:pPr>
          </w:p>
          <w:p w14:paraId="7AA818B1" w14:textId="484C4390"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 xml:space="preserve">La regla de decisión es explícita. El numeral 1 del artículo 6º del Decreto 2897 de 2010, compilado en el mismo Capítulo 30, dispone que, cuando la respuesta al conjunto de las preguntas centrales del cuestionario resulte negativa, la autoridad podrá considerar que el proyecto no plantea una restricción indebida a la libre competencia y, en consecuencia, no tendrá que informarlo a la Superintendencia. El cuestionario adoptado por la Resolución 44649 de 2010 se diligenció y la totalidad de sus respuestas resultó negativa; el documento firmado se anexa a esta memoria. </w:t>
            </w:r>
          </w:p>
          <w:p w14:paraId="1DC83EF4" w14:textId="77777777" w:rsidR="00ED2F91" w:rsidRPr="006D40B8" w:rsidRDefault="00ED2F91" w:rsidP="00612DFD">
            <w:pPr>
              <w:spacing w:line="264" w:lineRule="auto"/>
              <w:jc w:val="both"/>
              <w:rPr>
                <w:rFonts w:asciiTheme="majorHAnsi" w:eastAsia="Arial" w:hAnsiTheme="majorHAnsi" w:cstheme="majorHAnsi"/>
                <w:sz w:val="22"/>
                <w:szCs w:val="22"/>
              </w:rPr>
            </w:pPr>
          </w:p>
          <w:p w14:paraId="2623EBD6"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b/>
                <w:sz w:val="22"/>
                <w:szCs w:val="22"/>
              </w:rPr>
              <w:t>3.8. Consulta pública y reducción motivada del término</w:t>
            </w:r>
          </w:p>
          <w:p w14:paraId="4B1B3860"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El numeral 1 del artículo 2.1.2.5.1.4 del Decreto 1081 de 2015 fija en quince días calendario el término mínimo de consulta pública para los proyectos elaborados para la firma del Presidente de la República, pero autoriza expresamente, en su inciso segundo, publicar «por un plazo inferior, siempre que la entidad que lidera el proyecto justifique la necesidad de publicar por menor tiempo», con la condición de que el plazo sea razonable y ajustado a la necesidad de la regulación y de que los motivos se desarrollen en esta memoria.</w:t>
            </w:r>
          </w:p>
          <w:p w14:paraId="6E4E8739" w14:textId="77777777" w:rsidR="00ED2F91" w:rsidRPr="006D40B8" w:rsidRDefault="00ED2F91" w:rsidP="00612DFD">
            <w:pPr>
              <w:spacing w:line="264" w:lineRule="auto"/>
              <w:jc w:val="both"/>
              <w:rPr>
                <w:rFonts w:asciiTheme="majorHAnsi" w:eastAsia="Arial" w:hAnsiTheme="majorHAnsi" w:cstheme="majorHAnsi"/>
                <w:sz w:val="22"/>
                <w:szCs w:val="22"/>
              </w:rPr>
            </w:pPr>
          </w:p>
          <w:p w14:paraId="55A6996E" w14:textId="2B3DB036"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 xml:space="preserve">La justificación de la reducción se apoya en cuatro elementos concurrentes. El proyecto no impone cargas ni obligaciones nuevas a los administrados, sino que suprime una prohibición, de modo que la función de anticipación que cumple el término ordinario opera aquí con menor intensidad. Su objeto es único, breve y de comprensión inmediata: cinco artículos que derogan dos decretos y declaran el régimen aplicable. La materia fue objeto de consulta ciudadana en 2024 y en 2025, en sentido inverso, lo que significa que los grupos de interés están identificados y familiarizados con ella. Y la permanencia de la restricción incrementa día a día la exposición patrimonial de la Nación y el perjuicio al sector productor. Con base en ello se fijó un término de </w:t>
            </w:r>
            <w:r w:rsidR="00C90906" w:rsidRPr="006D40B8">
              <w:rPr>
                <w:rFonts w:asciiTheme="majorHAnsi" w:hAnsiTheme="majorHAnsi" w:cstheme="majorHAnsi"/>
                <w:sz w:val="22"/>
                <w:szCs w:val="22"/>
              </w:rPr>
              <w:t>5</w:t>
            </w:r>
            <w:r w:rsidRPr="006D40B8">
              <w:rPr>
                <w:rFonts w:asciiTheme="majorHAnsi" w:hAnsiTheme="majorHAnsi" w:cstheme="majorHAnsi"/>
                <w:sz w:val="22"/>
                <w:szCs w:val="22"/>
              </w:rPr>
              <w:t xml:space="preserve"> días calendario, que preserva la participación efectiva y guarda proporción con la naturaleza de la intervención.</w:t>
            </w:r>
          </w:p>
          <w:p w14:paraId="3D99EAAE" w14:textId="77777777" w:rsidR="00ED2F91" w:rsidRPr="006D40B8" w:rsidRDefault="00ED2F91" w:rsidP="00612DFD">
            <w:pPr>
              <w:spacing w:line="264" w:lineRule="auto"/>
              <w:jc w:val="both"/>
              <w:rPr>
                <w:rFonts w:asciiTheme="majorHAnsi" w:eastAsia="Arial" w:hAnsiTheme="majorHAnsi" w:cstheme="majorHAnsi"/>
                <w:sz w:val="22"/>
                <w:szCs w:val="22"/>
              </w:rPr>
            </w:pPr>
          </w:p>
          <w:p w14:paraId="54CCFB43"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b/>
                <w:sz w:val="22"/>
                <w:szCs w:val="22"/>
              </w:rPr>
              <w:t>3.9. Régimen de vigencia y fundamento de su carácter inmediato</w:t>
            </w:r>
          </w:p>
          <w:p w14:paraId="56D02250"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El parágrafo 2º del artículo 2º de la Ley 1609 de 2013 dispone que los decretos expedidos para el desarrollo o la reglamentación de esa ley entrarán en vigencia en un plazo no menor a quince días comunes y no mayor a noventa días comunes después de su publicación en el Diario Oficial, y exceptúa de esa obligación «aquellos que por circunstancias especiales se requiera la inmediata vigencia del decreto o resolución, en cuyo caso la autoridad correspondiente debe exponer las razones de la decisión».</w:t>
            </w:r>
          </w:p>
          <w:p w14:paraId="09C14343" w14:textId="77777777" w:rsidR="00ED2F91" w:rsidRPr="006D40B8" w:rsidRDefault="00ED2F91" w:rsidP="00612DFD">
            <w:pPr>
              <w:spacing w:line="264" w:lineRule="auto"/>
              <w:jc w:val="both"/>
              <w:rPr>
                <w:rFonts w:asciiTheme="majorHAnsi" w:eastAsia="Arial" w:hAnsiTheme="majorHAnsi" w:cstheme="majorHAnsi"/>
                <w:sz w:val="22"/>
                <w:szCs w:val="22"/>
              </w:rPr>
            </w:pPr>
          </w:p>
          <w:p w14:paraId="563E1FE7"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lastRenderedPageBreak/>
              <w:t>Concurren en este caso las circunstancias especiales que habilitan la excepción, por cuatro razones que la parte considerativa del proyecto recoge de manera expresa. Primera: el decreto no impone cargas ni obligaciones nuevas, de modo que el plazo mínimo no cumpliría la función de previsibilidad y adaptación que lo justifica. Segunda: la finalidad de seguridad jurídica que persigue la norma se satisface mejor con la aplicación inmediata de la disposición más favorable, en línea con el principio de favorabilidad del artículo 4º de la misma ley. Tercera: cada día de vigencia de la prohibición mantiene una restricción cuyo sustrato fáctico varió y agrava el daño antijurídico que puede resultar imputable a la Nación. Cuarta: el propio Decreto 1047 de 2024 acudió a esta misma excepción para disponer una vigencia de cinco días comunes; si sirvió para imponer la restricción, con mayor razón sirve para suprimirla.</w:t>
            </w:r>
          </w:p>
          <w:p w14:paraId="620849B1" w14:textId="77777777" w:rsidR="001C7644" w:rsidRPr="006D40B8" w:rsidRDefault="001C7644" w:rsidP="00612DFD">
            <w:pPr>
              <w:spacing w:line="264" w:lineRule="auto"/>
              <w:jc w:val="both"/>
              <w:rPr>
                <w:rFonts w:asciiTheme="majorHAnsi" w:eastAsia="Arial" w:hAnsiTheme="majorHAnsi" w:cstheme="majorHAnsi"/>
                <w:sz w:val="22"/>
                <w:szCs w:val="22"/>
              </w:rPr>
            </w:pPr>
          </w:p>
          <w:p w14:paraId="72FFE6EF"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b/>
                <w:sz w:val="22"/>
                <w:szCs w:val="22"/>
              </w:rPr>
              <w:t>3.10. Efectos en el tiempo, situaciones en curso y no reviviscencia</w:t>
            </w:r>
          </w:p>
          <w:p w14:paraId="5E4B64A5" w14:textId="77777777" w:rsidR="00ED2F91" w:rsidRPr="006D40B8" w:rsidRDefault="00E06440" w:rsidP="00612DFD">
            <w:pPr>
              <w:spacing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El decreto produce efectos hacia el futuro. No tiene alcance retroactivo ni pretende reabrir situaciones agotadas bajo la vigencia de la prohibición, cuya calificación jurídica corresponde a la jurisdicción en los procesos en curso.</w:t>
            </w:r>
          </w:p>
          <w:p w14:paraId="0D60F785" w14:textId="77777777" w:rsidR="00ED2F91" w:rsidRPr="006D40B8" w:rsidRDefault="00ED2F91" w:rsidP="00612DFD">
            <w:pPr>
              <w:spacing w:line="264" w:lineRule="auto"/>
              <w:jc w:val="both"/>
              <w:rPr>
                <w:rFonts w:asciiTheme="majorHAnsi" w:eastAsia="Arial" w:hAnsiTheme="majorHAnsi" w:cstheme="majorHAnsi"/>
                <w:sz w:val="22"/>
                <w:szCs w:val="22"/>
              </w:rPr>
            </w:pPr>
          </w:p>
          <w:p w14:paraId="26985824" w14:textId="77777777" w:rsidR="00ED2F91" w:rsidRDefault="00E06440" w:rsidP="009F11C8">
            <w:pPr>
              <w:spacing w:line="264" w:lineRule="auto"/>
              <w:jc w:val="both"/>
              <w:rPr>
                <w:rFonts w:asciiTheme="majorHAnsi" w:hAnsiTheme="majorHAnsi" w:cstheme="majorHAnsi"/>
                <w:sz w:val="22"/>
                <w:szCs w:val="22"/>
              </w:rPr>
            </w:pPr>
            <w:r w:rsidRPr="006D40B8">
              <w:rPr>
                <w:rFonts w:asciiTheme="majorHAnsi" w:hAnsiTheme="majorHAnsi" w:cstheme="majorHAnsi"/>
                <w:sz w:val="22"/>
                <w:szCs w:val="22"/>
              </w:rPr>
              <w:t xml:space="preserve">Tres reglas de transición cierran los frentes de incertidumbre. Las operaciones de exportación en trámite a la fecha de entrada en vigencia continúan su curso conforme al régimen general restablecido, sin necesidad de nueva solicitud ni de trámite adicional. Las actuaciones administrativas sancionatorias y de decomiso en curso por hechos relacionados exclusivamente con la prohibición derogada se resuelven conforme al principio de favorabilidad del parágrafo 4º del artículo 4º de la Ley 1609 de 2013, norma que ordena a la autoridad aduanera aplicar de oficio las disposiciones que favorezcan al </w:t>
            </w:r>
            <w:proofErr w:type="gramStart"/>
            <w:r w:rsidRPr="006D40B8">
              <w:rPr>
                <w:rFonts w:asciiTheme="majorHAnsi" w:hAnsiTheme="majorHAnsi" w:cstheme="majorHAnsi"/>
                <w:sz w:val="22"/>
                <w:szCs w:val="22"/>
              </w:rPr>
              <w:t>interesado</w:t>
            </w:r>
            <w:proofErr w:type="gramEnd"/>
            <w:r w:rsidRPr="006D40B8">
              <w:rPr>
                <w:rFonts w:asciiTheme="majorHAnsi" w:hAnsiTheme="majorHAnsi" w:cstheme="majorHAnsi"/>
                <w:sz w:val="22"/>
                <w:szCs w:val="22"/>
              </w:rPr>
              <w:t xml:space="preserve"> aunque no hayan sido solicitadas ni alegadas. Y el parágrafo del artículo 1º excluye de manera expresa la reviviscencia de los artículos 2º y 3º del Decreto 1047 de 2024 y de cualquier otra de sus disposiciones.</w:t>
            </w:r>
          </w:p>
          <w:p w14:paraId="16A3AC79" w14:textId="505629CA" w:rsidR="009F11C8" w:rsidRPr="006D40B8" w:rsidRDefault="009F11C8" w:rsidP="009F11C8">
            <w:pPr>
              <w:spacing w:line="264" w:lineRule="auto"/>
              <w:jc w:val="both"/>
              <w:rPr>
                <w:rFonts w:asciiTheme="majorHAnsi" w:eastAsia="Arial" w:hAnsiTheme="majorHAnsi" w:cstheme="majorHAnsi"/>
                <w:sz w:val="22"/>
                <w:szCs w:val="22"/>
              </w:rPr>
            </w:pPr>
          </w:p>
        </w:tc>
      </w:tr>
      <w:tr w:rsidR="00ED2F91" w:rsidRPr="006D40B8" w14:paraId="1AA6A2D2" w14:textId="77777777" w:rsidTr="00612DFD">
        <w:trPr>
          <w:trHeight w:val="925"/>
        </w:trPr>
        <w:tc>
          <w:tcPr>
            <w:tcW w:w="10835" w:type="dxa"/>
            <w:gridSpan w:val="4"/>
            <w:shd w:val="clear" w:color="auto" w:fill="FFFFFF"/>
            <w:vAlign w:val="center"/>
          </w:tcPr>
          <w:p w14:paraId="788CAB15" w14:textId="77777777" w:rsidR="00ED2F91" w:rsidRPr="006D40B8" w:rsidRDefault="00ED2F91" w:rsidP="00612DFD">
            <w:pPr>
              <w:snapToGrid w:val="0"/>
              <w:rPr>
                <w:rFonts w:asciiTheme="majorHAnsi" w:hAnsiTheme="majorHAnsi" w:cstheme="majorHAnsi"/>
                <w:b/>
                <w:color w:val="000000"/>
                <w:sz w:val="22"/>
                <w:szCs w:val="22"/>
              </w:rPr>
            </w:pPr>
          </w:p>
          <w:p w14:paraId="478C2C8E" w14:textId="35069526" w:rsidR="00ED2F91" w:rsidRPr="006D40B8" w:rsidRDefault="00D44C96" w:rsidP="009F11C8">
            <w:pPr>
              <w:numPr>
                <w:ilvl w:val="0"/>
                <w:numId w:val="5"/>
              </w:numPr>
              <w:tabs>
                <w:tab w:val="clear" w:pos="0"/>
              </w:tabs>
              <w:ind w:left="0"/>
              <w:rPr>
                <w:rFonts w:asciiTheme="majorHAnsi" w:hAnsiTheme="majorHAnsi" w:cstheme="majorHAnsi"/>
                <w:b/>
                <w:color w:val="000000"/>
                <w:sz w:val="22"/>
                <w:szCs w:val="22"/>
              </w:rPr>
            </w:pPr>
            <w:r>
              <w:rPr>
                <w:rFonts w:asciiTheme="majorHAnsi" w:hAnsiTheme="majorHAnsi" w:cstheme="majorHAnsi"/>
                <w:b/>
                <w:color w:val="000000"/>
                <w:sz w:val="22"/>
                <w:szCs w:val="22"/>
              </w:rPr>
              <w:t xml:space="preserve">4. </w:t>
            </w:r>
            <w:r w:rsidR="00E06440" w:rsidRPr="006D40B8">
              <w:rPr>
                <w:rFonts w:asciiTheme="majorHAnsi" w:hAnsiTheme="majorHAnsi" w:cstheme="majorHAnsi"/>
                <w:b/>
                <w:color w:val="000000"/>
                <w:sz w:val="22"/>
                <w:szCs w:val="22"/>
              </w:rPr>
              <w:t xml:space="preserve">IMPACTO ECONÓMICO </w:t>
            </w:r>
          </w:p>
          <w:p w14:paraId="11580C8D" w14:textId="77777777" w:rsidR="009F11C8" w:rsidRDefault="009F11C8" w:rsidP="009F11C8">
            <w:pPr>
              <w:jc w:val="both"/>
              <w:rPr>
                <w:rFonts w:asciiTheme="majorHAnsi" w:hAnsiTheme="majorHAnsi" w:cstheme="majorHAnsi"/>
                <w:sz w:val="22"/>
                <w:szCs w:val="22"/>
              </w:rPr>
            </w:pPr>
          </w:p>
          <w:p w14:paraId="1E8F8472" w14:textId="4F206E77" w:rsidR="00ED2F91" w:rsidRDefault="00E06440" w:rsidP="00D44C96">
            <w:pPr>
              <w:jc w:val="both"/>
              <w:rPr>
                <w:rFonts w:asciiTheme="majorHAnsi" w:hAnsiTheme="majorHAnsi" w:cstheme="majorHAnsi"/>
                <w:b/>
                <w:sz w:val="22"/>
                <w:szCs w:val="22"/>
              </w:rPr>
            </w:pPr>
            <w:r w:rsidRPr="006D40B8">
              <w:rPr>
                <w:rFonts w:asciiTheme="majorHAnsi" w:hAnsiTheme="majorHAnsi" w:cstheme="majorHAnsi"/>
                <w:sz w:val="22"/>
                <w:szCs w:val="22"/>
              </w:rPr>
              <w:t>El proyecto no ordena gasto público, no otorga beneficios tributarios y no crea cargas para los administrados. Su efecto económico consiste en remover un obstáculo regulatorio, de modo que el análisis relevante no es el del costo de la intervención —que es nulo— sino el del costo de la medida que se deroga y el del beneficio esperado de su supresión.</w:t>
            </w:r>
          </w:p>
          <w:p w14:paraId="17EECFF7" w14:textId="77777777" w:rsidR="00956267" w:rsidRPr="006D40B8" w:rsidRDefault="00956267" w:rsidP="009F11C8">
            <w:pPr>
              <w:jc w:val="both"/>
              <w:rPr>
                <w:rFonts w:asciiTheme="majorHAnsi" w:hAnsiTheme="majorHAnsi" w:cstheme="majorHAnsi"/>
                <w:sz w:val="22"/>
                <w:szCs w:val="22"/>
              </w:rPr>
            </w:pPr>
          </w:p>
          <w:p w14:paraId="02D8DBC4" w14:textId="77777777" w:rsidR="00ED2F91" w:rsidRPr="00956267" w:rsidRDefault="00E06440" w:rsidP="00612DFD">
            <w:pPr>
              <w:spacing w:after="160" w:line="264" w:lineRule="auto"/>
              <w:jc w:val="both"/>
              <w:rPr>
                <w:rFonts w:asciiTheme="majorHAnsi" w:hAnsiTheme="majorHAnsi" w:cstheme="majorHAnsi"/>
                <w:sz w:val="22"/>
                <w:szCs w:val="22"/>
              </w:rPr>
            </w:pPr>
            <w:r w:rsidRPr="006D40B8">
              <w:rPr>
                <w:rFonts w:asciiTheme="majorHAnsi" w:hAnsiTheme="majorHAnsi" w:cstheme="majorHAnsi"/>
                <w:sz w:val="22"/>
                <w:szCs w:val="22"/>
              </w:rPr>
              <w:t xml:space="preserve">En un mercado con las características descritas, una prohibición de exportación definida por el país de destino no reduce la oferta mundial disponible para ese destino. Lo que hace es redirigir los flujos comerciales: el comprador sustituye al proveedor colombiano por otro, y la renta correspondiente se transfiere a proveedores de terceros países. El costo de la medida lo asume, por tanto, el país que </w:t>
            </w:r>
            <w:r w:rsidRPr="00956267">
              <w:rPr>
                <w:rFonts w:asciiTheme="majorHAnsi" w:hAnsiTheme="majorHAnsi" w:cstheme="majorHAnsi"/>
                <w:sz w:val="22"/>
                <w:szCs w:val="22"/>
              </w:rPr>
              <w:t>la impone, no aquel al que se dirige.</w:t>
            </w:r>
          </w:p>
          <w:p w14:paraId="70E39AD8" w14:textId="2745D06D" w:rsidR="00ED2F91" w:rsidRPr="00956267" w:rsidRDefault="00D44C96" w:rsidP="00612DFD">
            <w:pPr>
              <w:spacing w:after="160" w:line="264" w:lineRule="auto"/>
              <w:jc w:val="both"/>
              <w:rPr>
                <w:rFonts w:asciiTheme="majorHAnsi" w:hAnsiTheme="majorHAnsi" w:cstheme="majorHAnsi"/>
                <w:sz w:val="22"/>
                <w:szCs w:val="22"/>
              </w:rPr>
            </w:pPr>
            <w:r>
              <w:rPr>
                <w:rFonts w:asciiTheme="majorHAnsi" w:hAnsiTheme="majorHAnsi" w:cstheme="majorHAnsi"/>
                <w:sz w:val="22"/>
                <w:szCs w:val="22"/>
              </w:rPr>
              <w:t>L</w:t>
            </w:r>
            <w:r w:rsidR="00E06440" w:rsidRPr="00956267">
              <w:rPr>
                <w:rFonts w:asciiTheme="majorHAnsi" w:hAnsiTheme="majorHAnsi" w:cstheme="majorHAnsi"/>
                <w:sz w:val="22"/>
                <w:szCs w:val="22"/>
              </w:rPr>
              <w:t>a restricción con excepciones redujo los envíos en apenas 39 % durante ocho meses, y el propio Gobierno reconoció que la finalidad de impedir el flujo del recurso «no se ha cumplido plenamente». La restricción absoluta, por su parte, coincidió con una caída de 21,8 % en el volumen total exportado de la subpartida hacia todos los destinos, magnitud que explicó el 98,2 % de la contracción de la canasta minera exportadora del país. En otras palabras, la prohibición contrajo la oferta colombiana, no el abastecimiento del destino.</w:t>
            </w:r>
          </w:p>
          <w:p w14:paraId="35A7D5E3" w14:textId="2DF45B0B" w:rsidR="00ED2F91" w:rsidRPr="006D40B8" w:rsidRDefault="00E06440" w:rsidP="00D44C96">
            <w:pPr>
              <w:spacing w:after="160" w:line="264" w:lineRule="auto"/>
              <w:jc w:val="both"/>
              <w:rPr>
                <w:rFonts w:asciiTheme="majorHAnsi" w:hAnsiTheme="majorHAnsi" w:cstheme="majorHAnsi"/>
                <w:sz w:val="22"/>
                <w:szCs w:val="22"/>
              </w:rPr>
            </w:pPr>
            <w:r w:rsidRPr="006D40B8">
              <w:rPr>
                <w:rFonts w:asciiTheme="majorHAnsi" w:hAnsiTheme="majorHAnsi" w:cstheme="majorHAnsi"/>
                <w:sz w:val="22"/>
                <w:szCs w:val="22"/>
              </w:rPr>
              <w:t>Según la Gran Encuesta Integrada de Hogares del DANE, la ocupación en la actividad económica de extracción de hulla</w:t>
            </w:r>
            <w:r w:rsidR="00D44C96">
              <w:rPr>
                <w:rFonts w:asciiTheme="majorHAnsi" w:hAnsiTheme="majorHAnsi" w:cstheme="majorHAnsi"/>
                <w:sz w:val="22"/>
                <w:szCs w:val="22"/>
              </w:rPr>
              <w:t>s</w:t>
            </w:r>
            <w:r w:rsidRPr="006D40B8">
              <w:rPr>
                <w:rFonts w:asciiTheme="majorHAnsi" w:hAnsiTheme="majorHAnsi" w:cstheme="majorHAnsi"/>
                <w:sz w:val="22"/>
                <w:szCs w:val="22"/>
              </w:rPr>
              <w:t xml:space="preserve"> pasó de 67.717 personas en 2024 a 53.946 en 2025, es decir, 13.771 empleos directos menos en un solo año, equivalentes a una caída de 20,3 %. Se trata de empleo formal, concentrado territorialmente y con </w:t>
            </w:r>
            <w:r w:rsidRPr="006D40B8">
              <w:rPr>
                <w:rFonts w:asciiTheme="majorHAnsi" w:hAnsiTheme="majorHAnsi" w:cstheme="majorHAnsi"/>
                <w:sz w:val="22"/>
                <w:szCs w:val="22"/>
              </w:rPr>
              <w:lastRenderedPageBreak/>
              <w:t>salarios superiores al promedio de las economías locales donde se genera, de modo que su pérdida tiene un efecto multiplicador sobre el comercio y los servicios de esos municipios.</w:t>
            </w:r>
          </w:p>
          <w:p w14:paraId="02C53A70" w14:textId="77777777" w:rsidR="00ED2F91" w:rsidRPr="006D40B8" w:rsidRDefault="00E06440" w:rsidP="00612DFD">
            <w:pPr>
              <w:spacing w:after="160" w:line="264" w:lineRule="auto"/>
              <w:jc w:val="both"/>
              <w:rPr>
                <w:rFonts w:asciiTheme="majorHAnsi" w:hAnsiTheme="majorHAnsi" w:cstheme="majorHAnsi"/>
                <w:sz w:val="22"/>
                <w:szCs w:val="22"/>
              </w:rPr>
            </w:pPr>
            <w:r w:rsidRPr="006D40B8">
              <w:rPr>
                <w:rFonts w:asciiTheme="majorHAnsi" w:hAnsiTheme="majorHAnsi" w:cstheme="majorHAnsi"/>
                <w:sz w:val="22"/>
                <w:szCs w:val="22"/>
              </w:rPr>
              <w:t>En 2025 el producto interno bruto minero se situó en COP 10.430 mil millones, equivalentes al 1,02 % del producto interno bruto nacional, con una disminución de 8,3 % frente al año anterior. La extracción de carbón, que representa el 56 % del PIB minero, registró una caída de COP 464 mil millones, es decir, 7,4 %.</w:t>
            </w:r>
          </w:p>
          <w:p w14:paraId="63C0F439" w14:textId="77777777" w:rsidR="00ED2F91" w:rsidRPr="006D40B8" w:rsidRDefault="00E06440" w:rsidP="00612DFD">
            <w:pPr>
              <w:spacing w:after="160" w:line="264" w:lineRule="auto"/>
              <w:jc w:val="both"/>
              <w:rPr>
                <w:rFonts w:asciiTheme="majorHAnsi" w:hAnsiTheme="majorHAnsi" w:cstheme="majorHAnsi"/>
                <w:sz w:val="22"/>
                <w:szCs w:val="22"/>
              </w:rPr>
            </w:pPr>
            <w:r w:rsidRPr="006D40B8">
              <w:rPr>
                <w:rFonts w:asciiTheme="majorHAnsi" w:hAnsiTheme="majorHAnsi" w:cstheme="majorHAnsi"/>
                <w:sz w:val="22"/>
                <w:szCs w:val="22"/>
              </w:rPr>
              <w:t>El recaudo de regalías y contraprestaciones económicas administrado por la Agencia Nacional de Minería pasó de COP 4,16 billones en 2024 a COP 4,02 billones en 2025. Conviene precisar el mecanismo: como lo consignó el propio Decreto 1047 de 2024, las regalías se liquidan sobre la producción en boca de mina y no dependen directamente de las exportaciones. La afectación no es, por tanto, inmediata ni automática; opera por la vía de la reducción del ritmo de extracción que sigue a la pérdida sostenida de mercados. Esa cadena causal es más lenta pero igualmente real, y sus efectos se manifiestan sobre las asignaciones directas que la Ley 2056 de 2020 reconoce a los departamentos y municipios en cuyo territorio se adelanta la explotación y a los municipios portuarios por los que se transportan los recursos.</w:t>
            </w:r>
          </w:p>
          <w:p w14:paraId="744DDB04" w14:textId="12557390" w:rsidR="00ED2F91" w:rsidRPr="006D40B8" w:rsidRDefault="00E06440" w:rsidP="00D44C96">
            <w:pPr>
              <w:spacing w:after="160" w:line="264" w:lineRule="auto"/>
              <w:jc w:val="both"/>
              <w:rPr>
                <w:rFonts w:asciiTheme="majorHAnsi" w:hAnsiTheme="majorHAnsi" w:cstheme="majorHAnsi"/>
                <w:sz w:val="22"/>
                <w:szCs w:val="22"/>
              </w:rPr>
            </w:pPr>
            <w:r w:rsidRPr="006D40B8">
              <w:rPr>
                <w:rFonts w:asciiTheme="majorHAnsi" w:hAnsiTheme="majorHAnsi" w:cstheme="majorHAnsi"/>
                <w:sz w:val="22"/>
                <w:szCs w:val="22"/>
              </w:rPr>
              <w:t>La consecuencia institucional merece destacarse: el impacto de la medida derogada no se agota en los operadores privados. Alcanza los presupuestos de entidades territoriales cuya inversión social depende de esos ingresos, lo que traslada el costo de una decisión de política exterior a comunidades que no participaron en su adopción.</w:t>
            </w:r>
          </w:p>
          <w:p w14:paraId="69D818EB" w14:textId="3F62C631" w:rsidR="00ED2F91" w:rsidRPr="006D40B8" w:rsidRDefault="00E06440" w:rsidP="00612DFD">
            <w:pPr>
              <w:spacing w:after="160" w:line="264" w:lineRule="auto"/>
              <w:jc w:val="both"/>
              <w:rPr>
                <w:rFonts w:asciiTheme="majorHAnsi" w:hAnsiTheme="majorHAnsi" w:cstheme="majorHAnsi"/>
                <w:sz w:val="22"/>
                <w:szCs w:val="22"/>
              </w:rPr>
            </w:pPr>
            <w:r w:rsidRPr="006D40B8">
              <w:rPr>
                <w:rFonts w:asciiTheme="majorHAnsi" w:hAnsiTheme="majorHAnsi" w:cstheme="majorHAnsi"/>
                <w:sz w:val="22"/>
                <w:szCs w:val="22"/>
              </w:rPr>
              <w:t>El efecto del proyecto sobre las finanzas públicas es positiv</w:t>
            </w:r>
            <w:r w:rsidR="00D44C96">
              <w:rPr>
                <w:rFonts w:asciiTheme="majorHAnsi" w:hAnsiTheme="majorHAnsi" w:cstheme="majorHAnsi"/>
                <w:sz w:val="22"/>
                <w:szCs w:val="22"/>
              </w:rPr>
              <w:t>o,</w:t>
            </w:r>
            <w:r w:rsidRPr="006D40B8">
              <w:rPr>
                <w:rFonts w:asciiTheme="majorHAnsi" w:hAnsiTheme="majorHAnsi" w:cstheme="majorHAnsi"/>
                <w:sz w:val="22"/>
                <w:szCs w:val="22"/>
              </w:rPr>
              <w:t xml:space="preserve"> </w:t>
            </w:r>
            <w:r w:rsidR="00D44C96">
              <w:rPr>
                <w:rFonts w:asciiTheme="majorHAnsi" w:hAnsiTheme="majorHAnsi" w:cstheme="majorHAnsi"/>
                <w:sz w:val="22"/>
                <w:szCs w:val="22"/>
              </w:rPr>
              <w:t>l</w:t>
            </w:r>
            <w:r w:rsidRPr="006D40B8">
              <w:rPr>
                <w:rFonts w:asciiTheme="majorHAnsi" w:hAnsiTheme="majorHAnsi" w:cstheme="majorHAnsi"/>
                <w:sz w:val="22"/>
                <w:szCs w:val="22"/>
              </w:rPr>
              <w:t>a reapertura de un destino de exportación amplía la base gravable del impuesto sobre la renta de los operadores y contribuye a sostener el nivel de producción sobre el cual se liquidan las regalías y contraprestaciones económicas. No se identifica ningún concepto por el cual el proyecto genere una disminución de ingresos o un incremento de gastos del Presupuesto General de la Nación.</w:t>
            </w:r>
          </w:p>
          <w:p w14:paraId="0817F88B" w14:textId="5A407679" w:rsidR="00ED2F91" w:rsidRPr="006D40B8" w:rsidRDefault="00E06440" w:rsidP="00D44C96">
            <w:pPr>
              <w:spacing w:after="160" w:line="264" w:lineRule="auto"/>
              <w:jc w:val="both"/>
              <w:rPr>
                <w:rFonts w:asciiTheme="majorHAnsi" w:hAnsiTheme="majorHAnsi" w:cstheme="majorHAnsi"/>
                <w:sz w:val="22"/>
                <w:szCs w:val="22"/>
              </w:rPr>
            </w:pPr>
            <w:r w:rsidRPr="006D40B8">
              <w:rPr>
                <w:rFonts w:asciiTheme="majorHAnsi" w:hAnsiTheme="majorHAnsi" w:cstheme="majorHAnsi"/>
                <w:sz w:val="22"/>
                <w:szCs w:val="22"/>
              </w:rPr>
              <w:t>En cuanto a los particulares, la supresión de la restricción no impone costo alguno: no crea trámites, no exige adecuaciones tecnológicas ni contables y no modifica las obligaciones aduaneras, cambiarias, tributarias, ambientales o de origen que ya deben cumplirse. Para los operadores, el efecto es la restitución de una alternativa comercial. Para la administración aduanera, la supresión de un control cuya utilidad no está acreditada libera capacidad de inspección que puede reasignarse a riesgos efectivos.</w:t>
            </w:r>
          </w:p>
        </w:tc>
      </w:tr>
      <w:tr w:rsidR="00ED2F91" w:rsidRPr="006D40B8" w14:paraId="2A2A9457" w14:textId="77777777" w:rsidTr="00612DFD">
        <w:trPr>
          <w:trHeight w:val="66"/>
        </w:trPr>
        <w:tc>
          <w:tcPr>
            <w:tcW w:w="10835" w:type="dxa"/>
            <w:gridSpan w:val="4"/>
            <w:shd w:val="clear" w:color="auto" w:fill="FFFFFF"/>
            <w:vAlign w:val="center"/>
          </w:tcPr>
          <w:p w14:paraId="05C12038" w14:textId="77777777" w:rsidR="00ED2F91" w:rsidRPr="006D40B8" w:rsidRDefault="00ED2F91" w:rsidP="00612DFD">
            <w:pPr>
              <w:snapToGrid w:val="0"/>
              <w:rPr>
                <w:rFonts w:asciiTheme="majorHAnsi" w:hAnsiTheme="majorHAnsi" w:cstheme="majorHAnsi"/>
                <w:b/>
                <w:color w:val="000000"/>
                <w:sz w:val="22"/>
                <w:szCs w:val="22"/>
              </w:rPr>
            </w:pPr>
          </w:p>
          <w:p w14:paraId="5CFDB439" w14:textId="33F4B4B9" w:rsidR="00ED2F91" w:rsidRPr="006D40B8" w:rsidRDefault="00D44C96" w:rsidP="00612DFD">
            <w:pPr>
              <w:numPr>
                <w:ilvl w:val="0"/>
                <w:numId w:val="5"/>
              </w:numPr>
              <w:tabs>
                <w:tab w:val="clear" w:pos="0"/>
              </w:tabs>
              <w:ind w:left="0"/>
              <w:rPr>
                <w:rFonts w:asciiTheme="majorHAnsi" w:hAnsiTheme="majorHAnsi" w:cstheme="majorHAnsi"/>
                <w:b/>
                <w:color w:val="000000"/>
                <w:sz w:val="22"/>
                <w:szCs w:val="22"/>
              </w:rPr>
            </w:pPr>
            <w:r>
              <w:rPr>
                <w:rFonts w:asciiTheme="majorHAnsi" w:hAnsiTheme="majorHAnsi" w:cstheme="majorHAnsi"/>
                <w:b/>
                <w:color w:val="000000"/>
                <w:sz w:val="22"/>
                <w:szCs w:val="22"/>
              </w:rPr>
              <w:t xml:space="preserve">5. </w:t>
            </w:r>
            <w:r w:rsidR="00E06440" w:rsidRPr="006D40B8">
              <w:rPr>
                <w:rFonts w:asciiTheme="majorHAnsi" w:hAnsiTheme="majorHAnsi" w:cstheme="majorHAnsi"/>
                <w:b/>
                <w:color w:val="000000"/>
                <w:sz w:val="22"/>
                <w:szCs w:val="22"/>
              </w:rPr>
              <w:t xml:space="preserve">VIABILIDAD O DISPONIBILIDAD PRESUPUESTAL </w:t>
            </w:r>
          </w:p>
          <w:p w14:paraId="0BF7CB2C" w14:textId="77777777" w:rsidR="00ED2F91" w:rsidRPr="006D40B8" w:rsidRDefault="00ED2F91" w:rsidP="00612DFD">
            <w:pPr>
              <w:jc w:val="both"/>
              <w:rPr>
                <w:rFonts w:asciiTheme="majorHAnsi" w:hAnsiTheme="majorHAnsi" w:cstheme="majorHAnsi"/>
                <w:b/>
                <w:color w:val="000000"/>
                <w:sz w:val="22"/>
                <w:szCs w:val="22"/>
                <w:lang w:eastAsia="es-CO"/>
              </w:rPr>
            </w:pPr>
          </w:p>
          <w:p w14:paraId="3C3A1001" w14:textId="5A2B78E9" w:rsidR="00ED2F91" w:rsidRPr="001275C8" w:rsidRDefault="00E06440" w:rsidP="00612DFD">
            <w:pPr>
              <w:jc w:val="both"/>
              <w:rPr>
                <w:rFonts w:asciiTheme="majorHAnsi" w:hAnsiTheme="majorHAnsi" w:cstheme="majorHAnsi"/>
                <w:color w:val="000000"/>
                <w:sz w:val="22"/>
                <w:szCs w:val="22"/>
                <w:lang w:eastAsia="es-CO"/>
              </w:rPr>
            </w:pPr>
            <w:r w:rsidRPr="006D40B8">
              <w:rPr>
                <w:rFonts w:asciiTheme="majorHAnsi" w:hAnsiTheme="majorHAnsi" w:cstheme="majorHAnsi"/>
                <w:sz w:val="22"/>
                <w:szCs w:val="22"/>
              </w:rPr>
              <w:t xml:space="preserve">El proyecto no requiere disponibilidad presupuestal ni certificado alguno de viabilidad presupuestal, por cuanto no ordena gasto, no crea empleos, no genera </w:t>
            </w:r>
            <w:r w:rsidR="001275C8">
              <w:rPr>
                <w:rFonts w:asciiTheme="majorHAnsi" w:hAnsiTheme="majorHAnsi" w:cstheme="majorHAnsi"/>
                <w:sz w:val="22"/>
                <w:szCs w:val="22"/>
              </w:rPr>
              <w:t>d</w:t>
            </w:r>
            <w:r w:rsidRPr="001275C8">
              <w:rPr>
                <w:rFonts w:asciiTheme="majorHAnsi" w:hAnsiTheme="majorHAnsi" w:cstheme="majorHAnsi"/>
                <w:sz w:val="22"/>
                <w:szCs w:val="22"/>
              </w:rPr>
              <w:t>erogaciones con cargo al Presupuesto General de la Nación y no otorga beneficios tributarios.</w:t>
            </w:r>
          </w:p>
          <w:p w14:paraId="1A84D8F9" w14:textId="77777777" w:rsidR="00ED2F91" w:rsidRPr="001275C8" w:rsidRDefault="00ED2F91" w:rsidP="00612DFD">
            <w:pPr>
              <w:jc w:val="both"/>
              <w:rPr>
                <w:rFonts w:asciiTheme="majorHAnsi" w:hAnsiTheme="majorHAnsi" w:cstheme="majorHAnsi"/>
                <w:color w:val="000000"/>
                <w:sz w:val="22"/>
                <w:szCs w:val="22"/>
                <w:lang w:eastAsia="es-CO"/>
              </w:rPr>
            </w:pPr>
          </w:p>
          <w:p w14:paraId="75847D6E" w14:textId="77777777" w:rsidR="00ED2F91" w:rsidRPr="006D40B8" w:rsidRDefault="00E06440" w:rsidP="00612DFD">
            <w:pPr>
              <w:jc w:val="both"/>
              <w:rPr>
                <w:rFonts w:asciiTheme="majorHAnsi" w:hAnsiTheme="majorHAnsi" w:cstheme="majorHAnsi"/>
                <w:b/>
                <w:color w:val="000000"/>
                <w:sz w:val="22"/>
                <w:szCs w:val="22"/>
                <w:lang w:eastAsia="es-CO"/>
              </w:rPr>
            </w:pPr>
            <w:r w:rsidRPr="001275C8">
              <w:rPr>
                <w:rFonts w:asciiTheme="majorHAnsi" w:hAnsiTheme="majorHAnsi" w:cstheme="majorHAnsi"/>
                <w:sz w:val="22"/>
                <w:szCs w:val="22"/>
              </w:rPr>
              <w:t>Conviene precisar el alcance del artículo 7º de la Ley 819 de 2003, que exige hacer explícito el impacto fiscal y su compatibilidad con el Marco Fiscal de Mediano Plazo. Esa disposición se refiere a los proyectos de ley, de ordenanza y de acuerdo que ordenen gasto o que otorguen beneficios</w:t>
            </w:r>
            <w:r w:rsidRPr="006D40B8">
              <w:rPr>
                <w:rFonts w:asciiTheme="majorHAnsi" w:hAnsiTheme="majorHAnsi" w:cstheme="majorHAnsi"/>
                <w:sz w:val="22"/>
                <w:szCs w:val="22"/>
              </w:rPr>
              <w:t xml:space="preserve"> tributarios; no se aplica, por tanto, a un decreto reglamentario de contenido derogatorio que no reúne ninguna de esas dos características.</w:t>
            </w:r>
          </w:p>
          <w:p w14:paraId="76CCCEE8" w14:textId="77777777" w:rsidR="00ED2F91" w:rsidRPr="006D40B8" w:rsidRDefault="00ED2F91" w:rsidP="00612DFD">
            <w:pPr>
              <w:jc w:val="both"/>
              <w:rPr>
                <w:rFonts w:asciiTheme="majorHAnsi" w:hAnsiTheme="majorHAnsi" w:cstheme="majorHAnsi"/>
                <w:b/>
                <w:color w:val="000000"/>
                <w:sz w:val="22"/>
                <w:szCs w:val="22"/>
                <w:lang w:eastAsia="es-CO"/>
              </w:rPr>
            </w:pPr>
          </w:p>
        </w:tc>
      </w:tr>
      <w:tr w:rsidR="00ED2F91" w:rsidRPr="006D40B8" w14:paraId="34B00067" w14:textId="77777777" w:rsidTr="00612DFD">
        <w:trPr>
          <w:trHeight w:val="1295"/>
        </w:trPr>
        <w:tc>
          <w:tcPr>
            <w:tcW w:w="10835" w:type="dxa"/>
            <w:gridSpan w:val="4"/>
            <w:shd w:val="clear" w:color="auto" w:fill="FFFFFF"/>
            <w:vAlign w:val="center"/>
          </w:tcPr>
          <w:p w14:paraId="3E89A366" w14:textId="3F4FD146" w:rsidR="00ED2F91" w:rsidRPr="006D40B8" w:rsidRDefault="00D44C96" w:rsidP="00612DFD">
            <w:pPr>
              <w:numPr>
                <w:ilvl w:val="0"/>
                <w:numId w:val="5"/>
              </w:numPr>
              <w:tabs>
                <w:tab w:val="clear" w:pos="0"/>
              </w:tabs>
              <w:ind w:left="0"/>
              <w:jc w:val="both"/>
              <w:rPr>
                <w:rFonts w:asciiTheme="majorHAnsi" w:hAnsiTheme="majorHAnsi" w:cstheme="majorHAnsi"/>
                <w:b/>
                <w:color w:val="000000"/>
                <w:sz w:val="22"/>
                <w:szCs w:val="22"/>
              </w:rPr>
            </w:pPr>
            <w:r>
              <w:rPr>
                <w:rFonts w:asciiTheme="majorHAnsi" w:hAnsiTheme="majorHAnsi" w:cstheme="majorHAnsi"/>
                <w:b/>
                <w:color w:val="000000"/>
                <w:sz w:val="22"/>
                <w:szCs w:val="22"/>
              </w:rPr>
              <w:lastRenderedPageBreak/>
              <w:t>6.</w:t>
            </w:r>
            <w:r w:rsidR="00E06440" w:rsidRPr="006D40B8">
              <w:rPr>
                <w:rFonts w:asciiTheme="majorHAnsi" w:hAnsiTheme="majorHAnsi" w:cstheme="majorHAnsi"/>
                <w:b/>
                <w:color w:val="000000"/>
                <w:sz w:val="22"/>
                <w:szCs w:val="22"/>
              </w:rPr>
              <w:t xml:space="preserve"> IMPACTO MEDIOAMBIENTAL O SOBRE EL PATRIMONIO CULTURAL DE LA NACIÓN </w:t>
            </w:r>
            <w:r w:rsidR="00E06440" w:rsidRPr="006D40B8">
              <w:rPr>
                <w:rFonts w:asciiTheme="majorHAnsi" w:hAnsiTheme="majorHAnsi" w:cstheme="majorHAnsi"/>
                <w:color w:val="000000"/>
                <w:sz w:val="22"/>
                <w:szCs w:val="22"/>
              </w:rPr>
              <w:t>(Si se requiere)</w:t>
            </w:r>
          </w:p>
          <w:p w14:paraId="7371875D" w14:textId="77777777" w:rsidR="00D8395B" w:rsidRPr="006D40B8" w:rsidRDefault="00D8395B" w:rsidP="00612DFD">
            <w:pPr>
              <w:spacing w:after="160" w:line="264" w:lineRule="auto"/>
              <w:jc w:val="both"/>
              <w:rPr>
                <w:rFonts w:asciiTheme="majorHAnsi" w:hAnsiTheme="majorHAnsi" w:cstheme="majorHAnsi"/>
                <w:sz w:val="22"/>
                <w:szCs w:val="22"/>
              </w:rPr>
            </w:pPr>
          </w:p>
          <w:p w14:paraId="75BBD948" w14:textId="09E6B9C6" w:rsidR="00ED2F91" w:rsidRPr="006D40B8" w:rsidRDefault="00E06440" w:rsidP="00612DFD">
            <w:pPr>
              <w:spacing w:after="160"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El proyecto no genera afectación al medio ambiente ni al patrimonio cultural de la Nación.</w:t>
            </w:r>
          </w:p>
          <w:p w14:paraId="026772D9" w14:textId="77777777" w:rsidR="00ED2F91" w:rsidRPr="006D40B8" w:rsidRDefault="00E06440" w:rsidP="00612DFD">
            <w:pPr>
              <w:spacing w:after="160"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En materia ambiental, la razón no es meramente formal y conviene explicarla. El decreto no autoriza actividad extractiva alguna, no amplía áreas de explotación, no modifica títulos mineros ni interviene en el régimen de licenciamiento. La producción de carbón continúa sujeta, sin variación, a los instrumentos de manejo y control ambiental y a la vigilancia de las autoridades competentes. Lo que el proyecto hace es suprimir una restricción de destino sobre mercancía cuya producción ya se encuentra autorizada y controlada: no incrementa la capacidad productiva autorizada ni, por consiguiente, la magnitud de sus efectos ambientales.</w:t>
            </w:r>
          </w:p>
          <w:p w14:paraId="4A3D81F9" w14:textId="1BCDB6BF" w:rsidR="00ED2F91" w:rsidRPr="006D40B8" w:rsidRDefault="00E06440" w:rsidP="00612DFD">
            <w:pPr>
              <w:spacing w:after="160" w:line="264" w:lineRule="auto"/>
              <w:jc w:val="both"/>
              <w:rPr>
                <w:rFonts w:asciiTheme="majorHAnsi" w:eastAsia="Arial" w:hAnsiTheme="majorHAnsi" w:cstheme="majorHAnsi"/>
                <w:sz w:val="22"/>
                <w:szCs w:val="22"/>
              </w:rPr>
            </w:pPr>
            <w:r w:rsidRPr="006D40B8">
              <w:rPr>
                <w:rFonts w:asciiTheme="majorHAnsi" w:hAnsiTheme="majorHAnsi" w:cstheme="majorHAnsi"/>
                <w:sz w:val="22"/>
                <w:szCs w:val="22"/>
              </w:rPr>
              <w:t>En materia de patrimonio cultural de la Nación, el proyecto no incide sobre bienes de interés cultural, ni sobre el patrimonio arqueológico o sumergido, ni sobre manifestaciones del patrimonio cultural inmaterial. No resulta aplicable.</w:t>
            </w:r>
          </w:p>
        </w:tc>
      </w:tr>
      <w:tr w:rsidR="00612DFD" w:rsidRPr="006D40B8" w14:paraId="20A7E475" w14:textId="77777777" w:rsidTr="00A43C10">
        <w:tblPrEx>
          <w:tblBorders>
            <w:insideH w:val="none" w:sz="0" w:space="0" w:color="auto"/>
            <w:insideV w:val="none" w:sz="0" w:space="0" w:color="auto"/>
          </w:tblBorders>
          <w:shd w:val="clear" w:color="auto" w:fill="FFFFFF"/>
        </w:tblPrEx>
        <w:trPr>
          <w:gridAfter w:val="1"/>
          <w:wAfter w:w="61" w:type="dxa"/>
          <w:trHeight w:val="416"/>
        </w:trPr>
        <w:tc>
          <w:tcPr>
            <w:tcW w:w="10774" w:type="dxa"/>
            <w:gridSpan w:val="3"/>
            <w:tcBorders>
              <w:top w:val="single" w:sz="4" w:space="0" w:color="auto"/>
              <w:bottom w:val="single" w:sz="4" w:space="0" w:color="auto"/>
            </w:tcBorders>
            <w:shd w:val="clear" w:color="auto" w:fill="800000"/>
            <w:vAlign w:val="center"/>
          </w:tcPr>
          <w:p w14:paraId="7B5FAE1F" w14:textId="1E08767E" w:rsidR="00612DFD" w:rsidRPr="006D40B8" w:rsidRDefault="00612DFD" w:rsidP="00612DFD">
            <w:pPr>
              <w:jc w:val="center"/>
              <w:rPr>
                <w:rFonts w:asciiTheme="majorHAnsi" w:hAnsiTheme="majorHAnsi" w:cstheme="majorHAnsi"/>
                <w:color w:val="FFFFFF"/>
                <w:sz w:val="22"/>
                <w:szCs w:val="22"/>
              </w:rPr>
            </w:pPr>
            <w:r w:rsidRPr="006D40B8">
              <w:rPr>
                <w:rFonts w:asciiTheme="majorHAnsi" w:hAnsiTheme="majorHAnsi" w:cstheme="majorHAnsi"/>
                <w:b/>
                <w:color w:val="FFFFFF"/>
                <w:sz w:val="22"/>
                <w:szCs w:val="22"/>
              </w:rPr>
              <w:t>ANEXOS:</w:t>
            </w:r>
          </w:p>
        </w:tc>
      </w:tr>
      <w:tr w:rsidR="00612DFD" w:rsidRPr="006D40B8" w14:paraId="43BCA055" w14:textId="77777777" w:rsidTr="00A43C10">
        <w:tblPrEx>
          <w:tblBorders>
            <w:insideH w:val="none" w:sz="0" w:space="0" w:color="auto"/>
            <w:insideV w:val="none" w:sz="0" w:space="0" w:color="auto"/>
          </w:tblBorders>
          <w:shd w:val="clear" w:color="auto" w:fill="FFFFFF"/>
        </w:tblPrEx>
        <w:trPr>
          <w:gridAfter w:val="1"/>
          <w:wAfter w:w="61" w:type="dxa"/>
          <w:trHeight w:val="66"/>
        </w:trPr>
        <w:tc>
          <w:tcPr>
            <w:tcW w:w="7655" w:type="dxa"/>
            <w:gridSpan w:val="2"/>
            <w:tcBorders>
              <w:top w:val="single" w:sz="4" w:space="0" w:color="auto"/>
              <w:bottom w:val="single" w:sz="4" w:space="0" w:color="auto"/>
              <w:right w:val="single" w:sz="4" w:space="0" w:color="auto"/>
            </w:tcBorders>
            <w:shd w:val="clear" w:color="auto" w:fill="FFFFFF" w:themeFill="background1"/>
            <w:vAlign w:val="center"/>
          </w:tcPr>
          <w:p w14:paraId="63F42675" w14:textId="77777777" w:rsidR="00612DFD" w:rsidRPr="006D40B8" w:rsidRDefault="00612DFD" w:rsidP="00A43C10">
            <w:pPr>
              <w:jc w:val="both"/>
              <w:rPr>
                <w:rFonts w:asciiTheme="majorHAnsi" w:hAnsiTheme="majorHAnsi" w:cstheme="majorHAnsi"/>
                <w:sz w:val="22"/>
                <w:szCs w:val="22"/>
              </w:rPr>
            </w:pPr>
            <w:r w:rsidRPr="006D40B8">
              <w:rPr>
                <w:rFonts w:asciiTheme="majorHAnsi" w:hAnsiTheme="majorHAnsi" w:cstheme="majorHAnsi"/>
                <w:sz w:val="22"/>
                <w:szCs w:val="22"/>
              </w:rPr>
              <w:t xml:space="preserve">Certificación de cumplimiento de requisitos de consulta, publicidad y de incorporación en la agenda regulatoria </w:t>
            </w:r>
          </w:p>
          <w:p w14:paraId="28743B0F" w14:textId="77777777" w:rsidR="00612DFD" w:rsidRPr="006D40B8" w:rsidRDefault="00612DFD" w:rsidP="00A43C10">
            <w:pPr>
              <w:jc w:val="both"/>
              <w:rPr>
                <w:rFonts w:asciiTheme="majorHAnsi" w:hAnsiTheme="majorHAnsi" w:cstheme="majorHAnsi"/>
                <w:i/>
                <w:color w:val="808080"/>
                <w:sz w:val="22"/>
                <w:szCs w:val="22"/>
              </w:rPr>
            </w:pPr>
            <w:r w:rsidRPr="006D40B8">
              <w:rPr>
                <w:rFonts w:asciiTheme="majorHAnsi" w:hAnsiTheme="majorHAnsi" w:cstheme="majorHAnsi"/>
                <w:i/>
                <w:color w:val="808080"/>
                <w:sz w:val="22"/>
                <w:szCs w:val="22"/>
              </w:rPr>
              <w:t>(Firmada por el servidor público competente –entidad originadora)</w:t>
            </w:r>
          </w:p>
        </w:tc>
        <w:tc>
          <w:tcPr>
            <w:tcW w:w="3119" w:type="dxa"/>
            <w:tcBorders>
              <w:top w:val="single" w:sz="4" w:space="0" w:color="auto"/>
              <w:left w:val="single" w:sz="4" w:space="0" w:color="auto"/>
              <w:bottom w:val="single" w:sz="4" w:space="0" w:color="auto"/>
            </w:tcBorders>
            <w:shd w:val="clear" w:color="auto" w:fill="FFFFFF" w:themeFill="background1"/>
            <w:vAlign w:val="center"/>
          </w:tcPr>
          <w:p w14:paraId="0E0A7F26" w14:textId="77777777" w:rsidR="00612DFD" w:rsidRPr="006D40B8" w:rsidRDefault="00612DFD" w:rsidP="00A43C10">
            <w:pPr>
              <w:jc w:val="both"/>
              <w:rPr>
                <w:rFonts w:asciiTheme="majorHAnsi" w:hAnsiTheme="majorHAnsi" w:cstheme="majorHAnsi"/>
                <w:i/>
                <w:color w:val="808080"/>
                <w:sz w:val="22"/>
                <w:szCs w:val="22"/>
              </w:rPr>
            </w:pPr>
            <w:r w:rsidRPr="006D40B8">
              <w:rPr>
                <w:rFonts w:asciiTheme="majorHAnsi" w:hAnsiTheme="majorHAnsi" w:cstheme="majorHAnsi"/>
                <w:i/>
                <w:color w:val="808080"/>
                <w:sz w:val="22"/>
                <w:szCs w:val="22"/>
              </w:rPr>
              <w:t xml:space="preserve">Aplica </w:t>
            </w:r>
          </w:p>
        </w:tc>
      </w:tr>
      <w:tr w:rsidR="00612DFD" w:rsidRPr="006D40B8" w14:paraId="04C296EE" w14:textId="77777777" w:rsidTr="00A43C10">
        <w:tblPrEx>
          <w:tblBorders>
            <w:insideH w:val="none" w:sz="0" w:space="0" w:color="auto"/>
            <w:insideV w:val="none" w:sz="0" w:space="0" w:color="auto"/>
          </w:tblBorders>
          <w:shd w:val="clear" w:color="auto" w:fill="FFFFFF"/>
        </w:tblPrEx>
        <w:trPr>
          <w:gridAfter w:val="1"/>
          <w:wAfter w:w="61" w:type="dxa"/>
          <w:trHeight w:val="66"/>
        </w:trPr>
        <w:tc>
          <w:tcPr>
            <w:tcW w:w="7655" w:type="dxa"/>
            <w:gridSpan w:val="2"/>
            <w:tcBorders>
              <w:top w:val="single" w:sz="4" w:space="0" w:color="auto"/>
              <w:bottom w:val="single" w:sz="4" w:space="0" w:color="auto"/>
              <w:right w:val="single" w:sz="4" w:space="0" w:color="auto"/>
            </w:tcBorders>
            <w:shd w:val="clear" w:color="auto" w:fill="FFFFFF" w:themeFill="background1"/>
            <w:vAlign w:val="center"/>
          </w:tcPr>
          <w:p w14:paraId="365FBA51" w14:textId="77777777" w:rsidR="00612DFD" w:rsidRPr="006D40B8" w:rsidRDefault="00612DFD" w:rsidP="00A43C10">
            <w:pPr>
              <w:jc w:val="both"/>
              <w:rPr>
                <w:rFonts w:asciiTheme="majorHAnsi" w:hAnsiTheme="majorHAnsi" w:cstheme="majorHAnsi"/>
                <w:sz w:val="22"/>
                <w:szCs w:val="22"/>
              </w:rPr>
            </w:pPr>
            <w:r w:rsidRPr="006D40B8">
              <w:rPr>
                <w:rFonts w:asciiTheme="majorHAnsi" w:hAnsiTheme="majorHAnsi" w:cstheme="majorHAnsi"/>
                <w:sz w:val="22"/>
                <w:szCs w:val="22"/>
              </w:rPr>
              <w:t>Concepto(s) de Ministerio de Comercio, Industria y Turismo</w:t>
            </w:r>
          </w:p>
          <w:p w14:paraId="117B7C50" w14:textId="77777777" w:rsidR="00612DFD" w:rsidRPr="006D40B8" w:rsidRDefault="00612DFD" w:rsidP="00A43C10">
            <w:pPr>
              <w:jc w:val="both"/>
              <w:rPr>
                <w:rFonts w:asciiTheme="majorHAnsi" w:hAnsiTheme="majorHAnsi" w:cstheme="majorHAnsi"/>
                <w:i/>
                <w:color w:val="808080"/>
                <w:sz w:val="22"/>
                <w:szCs w:val="22"/>
              </w:rPr>
            </w:pPr>
            <w:r w:rsidRPr="006D40B8">
              <w:rPr>
                <w:rFonts w:asciiTheme="majorHAnsi" w:hAnsiTheme="majorHAnsi" w:cstheme="majorHAnsi"/>
                <w:i/>
                <w:color w:val="808080"/>
                <w:sz w:val="22"/>
                <w:szCs w:val="22"/>
              </w:rPr>
              <w:t>(Cuando se trate de un proyecto de reglamento técnico o de procedimientos de evaluación de conformidad)</w:t>
            </w:r>
          </w:p>
        </w:tc>
        <w:tc>
          <w:tcPr>
            <w:tcW w:w="3119" w:type="dxa"/>
            <w:tcBorders>
              <w:top w:val="single" w:sz="4" w:space="0" w:color="auto"/>
              <w:left w:val="single" w:sz="4" w:space="0" w:color="auto"/>
              <w:bottom w:val="single" w:sz="4" w:space="0" w:color="auto"/>
            </w:tcBorders>
            <w:shd w:val="clear" w:color="auto" w:fill="FFFFFF" w:themeFill="background1"/>
            <w:vAlign w:val="center"/>
          </w:tcPr>
          <w:p w14:paraId="495CB618" w14:textId="77777777" w:rsidR="00612DFD" w:rsidRPr="006D40B8" w:rsidRDefault="00612DFD" w:rsidP="00A43C10">
            <w:pPr>
              <w:jc w:val="both"/>
              <w:rPr>
                <w:rFonts w:asciiTheme="majorHAnsi" w:hAnsiTheme="majorHAnsi" w:cstheme="majorHAnsi"/>
                <w:sz w:val="22"/>
                <w:szCs w:val="22"/>
              </w:rPr>
            </w:pPr>
            <w:r w:rsidRPr="006D40B8">
              <w:rPr>
                <w:rFonts w:asciiTheme="majorHAnsi" w:hAnsiTheme="majorHAnsi" w:cstheme="majorHAnsi"/>
                <w:i/>
                <w:color w:val="808080"/>
                <w:sz w:val="22"/>
                <w:szCs w:val="22"/>
              </w:rPr>
              <w:t>No aplica</w:t>
            </w:r>
          </w:p>
        </w:tc>
      </w:tr>
      <w:tr w:rsidR="00612DFD" w:rsidRPr="006D40B8" w14:paraId="401D5EE2" w14:textId="77777777" w:rsidTr="00A43C10">
        <w:tblPrEx>
          <w:tblBorders>
            <w:insideH w:val="none" w:sz="0" w:space="0" w:color="auto"/>
            <w:insideV w:val="none" w:sz="0" w:space="0" w:color="auto"/>
          </w:tblBorders>
          <w:shd w:val="clear" w:color="auto" w:fill="FFFFFF"/>
        </w:tblPrEx>
        <w:trPr>
          <w:gridAfter w:val="1"/>
          <w:wAfter w:w="61" w:type="dxa"/>
          <w:trHeight w:val="66"/>
        </w:trPr>
        <w:tc>
          <w:tcPr>
            <w:tcW w:w="7655" w:type="dxa"/>
            <w:gridSpan w:val="2"/>
            <w:tcBorders>
              <w:top w:val="single" w:sz="4" w:space="0" w:color="auto"/>
              <w:bottom w:val="single" w:sz="4" w:space="0" w:color="auto"/>
              <w:right w:val="single" w:sz="4" w:space="0" w:color="auto"/>
            </w:tcBorders>
            <w:shd w:val="clear" w:color="auto" w:fill="FFFFFF" w:themeFill="background1"/>
            <w:vAlign w:val="center"/>
          </w:tcPr>
          <w:p w14:paraId="3824E4A1" w14:textId="77777777" w:rsidR="00612DFD" w:rsidRPr="006D40B8" w:rsidRDefault="00612DFD" w:rsidP="00A43C10">
            <w:pPr>
              <w:jc w:val="both"/>
              <w:rPr>
                <w:rFonts w:asciiTheme="majorHAnsi" w:hAnsiTheme="majorHAnsi" w:cstheme="majorHAnsi"/>
                <w:sz w:val="22"/>
                <w:szCs w:val="22"/>
              </w:rPr>
            </w:pPr>
            <w:r w:rsidRPr="006D40B8">
              <w:rPr>
                <w:rFonts w:asciiTheme="majorHAnsi" w:hAnsiTheme="majorHAnsi" w:cstheme="majorHAnsi"/>
                <w:sz w:val="22"/>
                <w:szCs w:val="22"/>
              </w:rPr>
              <w:t xml:space="preserve">Informe de observaciones y respuestas </w:t>
            </w:r>
          </w:p>
          <w:p w14:paraId="7A63C8DB" w14:textId="77777777" w:rsidR="00612DFD" w:rsidRPr="006D40B8" w:rsidRDefault="00612DFD" w:rsidP="00A43C10">
            <w:pPr>
              <w:jc w:val="both"/>
              <w:rPr>
                <w:rFonts w:asciiTheme="majorHAnsi" w:hAnsiTheme="majorHAnsi" w:cstheme="majorHAnsi"/>
                <w:i/>
                <w:color w:val="808080"/>
                <w:sz w:val="22"/>
                <w:szCs w:val="22"/>
              </w:rPr>
            </w:pPr>
            <w:r w:rsidRPr="006D40B8">
              <w:rPr>
                <w:rFonts w:asciiTheme="majorHAnsi" w:hAnsiTheme="majorHAnsi" w:cstheme="majorHAnsi"/>
                <w:i/>
                <w:color w:val="808080"/>
                <w:sz w:val="22"/>
                <w:szCs w:val="22"/>
              </w:rPr>
              <w:t>(Análisis del informe con la evaluación de las observaciones de los ciudadanos y grupos de interés sobre el proyecto normativo)</w:t>
            </w:r>
          </w:p>
        </w:tc>
        <w:tc>
          <w:tcPr>
            <w:tcW w:w="3119" w:type="dxa"/>
            <w:tcBorders>
              <w:top w:val="single" w:sz="4" w:space="0" w:color="auto"/>
              <w:left w:val="single" w:sz="4" w:space="0" w:color="auto"/>
              <w:bottom w:val="single" w:sz="4" w:space="0" w:color="auto"/>
            </w:tcBorders>
            <w:shd w:val="clear" w:color="auto" w:fill="FFFFFF" w:themeFill="background1"/>
            <w:vAlign w:val="center"/>
          </w:tcPr>
          <w:p w14:paraId="611D67A0" w14:textId="77777777" w:rsidR="00612DFD" w:rsidRPr="006D40B8" w:rsidRDefault="00612DFD" w:rsidP="00A43C10">
            <w:pPr>
              <w:jc w:val="both"/>
              <w:rPr>
                <w:rFonts w:asciiTheme="majorHAnsi" w:hAnsiTheme="majorHAnsi" w:cstheme="majorHAnsi"/>
                <w:sz w:val="22"/>
                <w:szCs w:val="22"/>
              </w:rPr>
            </w:pPr>
            <w:r w:rsidRPr="006D40B8">
              <w:rPr>
                <w:rFonts w:asciiTheme="majorHAnsi" w:hAnsiTheme="majorHAnsi" w:cstheme="majorHAnsi"/>
                <w:i/>
                <w:color w:val="808080"/>
                <w:sz w:val="22"/>
                <w:szCs w:val="22"/>
              </w:rPr>
              <w:t xml:space="preserve">Aplica </w:t>
            </w:r>
          </w:p>
        </w:tc>
      </w:tr>
      <w:tr w:rsidR="00612DFD" w:rsidRPr="006D40B8" w14:paraId="46907A8B" w14:textId="77777777" w:rsidTr="00A43C10">
        <w:tblPrEx>
          <w:tblBorders>
            <w:insideH w:val="none" w:sz="0" w:space="0" w:color="auto"/>
            <w:insideV w:val="none" w:sz="0" w:space="0" w:color="auto"/>
          </w:tblBorders>
          <w:shd w:val="clear" w:color="auto" w:fill="FFFFFF"/>
        </w:tblPrEx>
        <w:trPr>
          <w:gridAfter w:val="1"/>
          <w:wAfter w:w="61" w:type="dxa"/>
          <w:trHeight w:val="66"/>
        </w:trPr>
        <w:tc>
          <w:tcPr>
            <w:tcW w:w="7655" w:type="dxa"/>
            <w:gridSpan w:val="2"/>
            <w:tcBorders>
              <w:top w:val="single" w:sz="4" w:space="0" w:color="auto"/>
              <w:bottom w:val="single" w:sz="4" w:space="0" w:color="auto"/>
              <w:right w:val="single" w:sz="4" w:space="0" w:color="auto"/>
            </w:tcBorders>
            <w:vAlign w:val="center"/>
          </w:tcPr>
          <w:p w14:paraId="41CDE44F" w14:textId="77777777" w:rsidR="00612DFD" w:rsidRPr="006D40B8" w:rsidRDefault="00612DFD" w:rsidP="00A43C10">
            <w:pPr>
              <w:jc w:val="both"/>
              <w:rPr>
                <w:rFonts w:asciiTheme="majorHAnsi" w:hAnsiTheme="majorHAnsi" w:cstheme="majorHAnsi"/>
                <w:sz w:val="22"/>
                <w:szCs w:val="22"/>
              </w:rPr>
            </w:pPr>
            <w:r w:rsidRPr="006D40B8">
              <w:rPr>
                <w:rFonts w:asciiTheme="majorHAnsi" w:hAnsiTheme="majorHAnsi" w:cstheme="majorHAnsi"/>
                <w:sz w:val="22"/>
                <w:szCs w:val="22"/>
              </w:rPr>
              <w:t>Concepto de Abogacía de la Competencia de la Superintendencia de Industria y Comercio</w:t>
            </w:r>
          </w:p>
          <w:p w14:paraId="12BC8D3C" w14:textId="77777777" w:rsidR="00612DFD" w:rsidRPr="006D40B8" w:rsidRDefault="00612DFD" w:rsidP="00A43C10">
            <w:pPr>
              <w:jc w:val="both"/>
              <w:rPr>
                <w:rFonts w:asciiTheme="majorHAnsi" w:hAnsiTheme="majorHAnsi" w:cstheme="majorHAnsi"/>
                <w:i/>
                <w:color w:val="808080"/>
                <w:sz w:val="22"/>
                <w:szCs w:val="22"/>
              </w:rPr>
            </w:pPr>
            <w:r w:rsidRPr="006D40B8">
              <w:rPr>
                <w:rFonts w:asciiTheme="majorHAnsi" w:hAnsiTheme="majorHAnsi" w:cstheme="majorHAnsi"/>
                <w:i/>
                <w:color w:val="808080"/>
                <w:sz w:val="22"/>
                <w:szCs w:val="22"/>
              </w:rPr>
              <w:t>(Cuando los proyectos normativos tengan incidencia en la libre competencia de los mercados)</w:t>
            </w:r>
          </w:p>
        </w:tc>
        <w:tc>
          <w:tcPr>
            <w:tcW w:w="3119" w:type="dxa"/>
            <w:tcBorders>
              <w:top w:val="single" w:sz="4" w:space="0" w:color="auto"/>
              <w:left w:val="single" w:sz="4" w:space="0" w:color="auto"/>
              <w:bottom w:val="single" w:sz="4" w:space="0" w:color="auto"/>
            </w:tcBorders>
            <w:vAlign w:val="center"/>
          </w:tcPr>
          <w:p w14:paraId="6682E4CD" w14:textId="77777777" w:rsidR="00612DFD" w:rsidRPr="006D40B8" w:rsidRDefault="00612DFD" w:rsidP="00A43C10">
            <w:pPr>
              <w:jc w:val="both"/>
              <w:rPr>
                <w:rFonts w:asciiTheme="majorHAnsi" w:hAnsiTheme="majorHAnsi" w:cstheme="majorHAnsi"/>
                <w:sz w:val="22"/>
                <w:szCs w:val="22"/>
              </w:rPr>
            </w:pPr>
            <w:r w:rsidRPr="006D40B8">
              <w:rPr>
                <w:rFonts w:asciiTheme="majorHAnsi" w:hAnsiTheme="majorHAnsi" w:cstheme="majorHAnsi"/>
                <w:i/>
                <w:iCs/>
                <w:color w:val="808080" w:themeColor="background1" w:themeShade="80"/>
                <w:sz w:val="22"/>
                <w:szCs w:val="22"/>
              </w:rPr>
              <w:t xml:space="preserve"> No Aplica </w:t>
            </w:r>
          </w:p>
        </w:tc>
      </w:tr>
      <w:tr w:rsidR="00612DFD" w:rsidRPr="006D40B8" w14:paraId="45052BA4" w14:textId="77777777" w:rsidTr="00A43C10">
        <w:tblPrEx>
          <w:tblBorders>
            <w:insideH w:val="none" w:sz="0" w:space="0" w:color="auto"/>
            <w:insideV w:val="none" w:sz="0" w:space="0" w:color="auto"/>
          </w:tblBorders>
          <w:shd w:val="clear" w:color="auto" w:fill="FFFFFF"/>
        </w:tblPrEx>
        <w:trPr>
          <w:gridAfter w:val="1"/>
          <w:wAfter w:w="61" w:type="dxa"/>
          <w:trHeight w:val="66"/>
        </w:trPr>
        <w:tc>
          <w:tcPr>
            <w:tcW w:w="7655" w:type="dxa"/>
            <w:gridSpan w:val="2"/>
            <w:tcBorders>
              <w:top w:val="single" w:sz="4" w:space="0" w:color="auto"/>
              <w:bottom w:val="single" w:sz="4" w:space="0" w:color="auto"/>
              <w:right w:val="single" w:sz="4" w:space="0" w:color="auto"/>
            </w:tcBorders>
            <w:shd w:val="clear" w:color="auto" w:fill="FFFFFF" w:themeFill="background1"/>
            <w:vAlign w:val="center"/>
          </w:tcPr>
          <w:p w14:paraId="2FB9F9D1" w14:textId="77777777" w:rsidR="00612DFD" w:rsidRPr="006D40B8" w:rsidRDefault="00612DFD" w:rsidP="00A43C10">
            <w:pPr>
              <w:jc w:val="both"/>
              <w:rPr>
                <w:rFonts w:asciiTheme="majorHAnsi" w:hAnsiTheme="majorHAnsi" w:cstheme="majorHAnsi"/>
                <w:sz w:val="22"/>
                <w:szCs w:val="22"/>
              </w:rPr>
            </w:pPr>
            <w:r w:rsidRPr="006D40B8">
              <w:rPr>
                <w:rFonts w:asciiTheme="majorHAnsi" w:hAnsiTheme="majorHAnsi" w:cstheme="majorHAnsi"/>
                <w:sz w:val="22"/>
                <w:szCs w:val="22"/>
              </w:rPr>
              <w:t>Concepto de aprobación nuevos trámites del Departamento Administrativo de la Función Pública</w:t>
            </w:r>
          </w:p>
          <w:p w14:paraId="0CB1A02B" w14:textId="77777777" w:rsidR="00612DFD" w:rsidRPr="006D40B8" w:rsidRDefault="00612DFD" w:rsidP="00A43C10">
            <w:pPr>
              <w:jc w:val="both"/>
              <w:rPr>
                <w:rFonts w:asciiTheme="majorHAnsi" w:hAnsiTheme="majorHAnsi" w:cstheme="majorHAnsi"/>
                <w:sz w:val="22"/>
                <w:szCs w:val="22"/>
              </w:rPr>
            </w:pPr>
            <w:r w:rsidRPr="006D40B8">
              <w:rPr>
                <w:rFonts w:asciiTheme="majorHAnsi" w:hAnsiTheme="majorHAnsi" w:cstheme="majorHAnsi"/>
                <w:i/>
                <w:color w:val="808080"/>
                <w:sz w:val="22"/>
                <w:szCs w:val="22"/>
              </w:rPr>
              <w:t>(Cuando el proyecto normativo adopte o modifique un trámite)</w:t>
            </w:r>
          </w:p>
        </w:tc>
        <w:tc>
          <w:tcPr>
            <w:tcW w:w="3119" w:type="dxa"/>
            <w:tcBorders>
              <w:top w:val="single" w:sz="4" w:space="0" w:color="auto"/>
              <w:left w:val="single" w:sz="4" w:space="0" w:color="auto"/>
              <w:bottom w:val="single" w:sz="4" w:space="0" w:color="auto"/>
            </w:tcBorders>
            <w:shd w:val="clear" w:color="auto" w:fill="FFFFFF" w:themeFill="background1"/>
            <w:vAlign w:val="center"/>
          </w:tcPr>
          <w:p w14:paraId="155A51EA" w14:textId="77777777" w:rsidR="00612DFD" w:rsidRPr="006D40B8" w:rsidRDefault="00612DFD" w:rsidP="00A43C10">
            <w:pPr>
              <w:jc w:val="both"/>
              <w:rPr>
                <w:rFonts w:asciiTheme="majorHAnsi" w:hAnsiTheme="majorHAnsi" w:cstheme="majorHAnsi"/>
                <w:sz w:val="22"/>
                <w:szCs w:val="22"/>
              </w:rPr>
            </w:pPr>
            <w:r w:rsidRPr="006D40B8">
              <w:rPr>
                <w:rFonts w:asciiTheme="majorHAnsi" w:hAnsiTheme="majorHAnsi" w:cstheme="majorHAnsi"/>
                <w:i/>
                <w:iCs/>
                <w:color w:val="808080" w:themeColor="background1" w:themeShade="80"/>
                <w:sz w:val="22"/>
                <w:szCs w:val="22"/>
              </w:rPr>
              <w:t>No aplica</w:t>
            </w:r>
          </w:p>
        </w:tc>
      </w:tr>
      <w:tr w:rsidR="00612DFD" w:rsidRPr="006D40B8" w14:paraId="18FBDA06" w14:textId="77777777" w:rsidTr="00A43C10">
        <w:tblPrEx>
          <w:tblBorders>
            <w:insideH w:val="none" w:sz="0" w:space="0" w:color="auto"/>
            <w:insideV w:val="none" w:sz="0" w:space="0" w:color="auto"/>
          </w:tblBorders>
          <w:shd w:val="clear" w:color="auto" w:fill="FFFFFF"/>
        </w:tblPrEx>
        <w:trPr>
          <w:gridAfter w:val="1"/>
          <w:wAfter w:w="61" w:type="dxa"/>
          <w:trHeight w:val="66"/>
        </w:trPr>
        <w:tc>
          <w:tcPr>
            <w:tcW w:w="7655" w:type="dxa"/>
            <w:gridSpan w:val="2"/>
            <w:tcBorders>
              <w:top w:val="single" w:sz="4" w:space="0" w:color="auto"/>
              <w:bottom w:val="single" w:sz="4" w:space="0" w:color="auto"/>
              <w:right w:val="single" w:sz="4" w:space="0" w:color="auto"/>
            </w:tcBorders>
            <w:shd w:val="clear" w:color="auto" w:fill="FFFFFF" w:themeFill="background1"/>
            <w:vAlign w:val="center"/>
          </w:tcPr>
          <w:p w14:paraId="7267FDCE" w14:textId="77777777" w:rsidR="00612DFD" w:rsidRPr="006D40B8" w:rsidRDefault="00612DFD" w:rsidP="00A43C10">
            <w:pPr>
              <w:jc w:val="both"/>
              <w:rPr>
                <w:rFonts w:asciiTheme="majorHAnsi" w:hAnsiTheme="majorHAnsi" w:cstheme="majorHAnsi"/>
                <w:sz w:val="22"/>
                <w:szCs w:val="22"/>
              </w:rPr>
            </w:pPr>
            <w:r w:rsidRPr="006D40B8">
              <w:rPr>
                <w:rFonts w:asciiTheme="majorHAnsi" w:hAnsiTheme="majorHAnsi" w:cstheme="majorHAnsi"/>
                <w:sz w:val="22"/>
                <w:szCs w:val="22"/>
              </w:rPr>
              <w:t xml:space="preserve">Otro </w:t>
            </w:r>
          </w:p>
          <w:p w14:paraId="1A80AFC4" w14:textId="77777777" w:rsidR="00612DFD" w:rsidRPr="006D40B8" w:rsidRDefault="00612DFD" w:rsidP="00A43C10">
            <w:pPr>
              <w:jc w:val="both"/>
              <w:rPr>
                <w:rFonts w:asciiTheme="majorHAnsi" w:hAnsiTheme="majorHAnsi" w:cstheme="majorHAnsi"/>
                <w:sz w:val="22"/>
                <w:szCs w:val="22"/>
              </w:rPr>
            </w:pPr>
            <w:r w:rsidRPr="006D40B8">
              <w:rPr>
                <w:rFonts w:asciiTheme="majorHAnsi" w:hAnsiTheme="majorHAnsi" w:cstheme="majorHAnsi"/>
                <w:i/>
                <w:color w:val="808080"/>
                <w:sz w:val="22"/>
                <w:szCs w:val="22"/>
              </w:rPr>
              <w:t>(Cualquier otro aspecto que la entidad originadora de la norma considere relevante o de importancia)</w:t>
            </w:r>
          </w:p>
        </w:tc>
        <w:tc>
          <w:tcPr>
            <w:tcW w:w="3119" w:type="dxa"/>
            <w:tcBorders>
              <w:top w:val="single" w:sz="4" w:space="0" w:color="auto"/>
              <w:left w:val="single" w:sz="4" w:space="0" w:color="auto"/>
              <w:bottom w:val="single" w:sz="4" w:space="0" w:color="auto"/>
            </w:tcBorders>
            <w:shd w:val="clear" w:color="auto" w:fill="FFFFFF" w:themeFill="background1"/>
            <w:vAlign w:val="center"/>
          </w:tcPr>
          <w:p w14:paraId="55E3A348" w14:textId="77777777" w:rsidR="00612DFD" w:rsidRPr="006D40B8" w:rsidRDefault="00612DFD" w:rsidP="00A43C10">
            <w:pPr>
              <w:jc w:val="both"/>
              <w:rPr>
                <w:rFonts w:asciiTheme="majorHAnsi" w:hAnsiTheme="majorHAnsi" w:cstheme="majorHAnsi"/>
                <w:sz w:val="22"/>
                <w:szCs w:val="22"/>
              </w:rPr>
            </w:pPr>
            <w:r w:rsidRPr="006D40B8">
              <w:rPr>
                <w:rFonts w:asciiTheme="majorHAnsi" w:hAnsiTheme="majorHAnsi" w:cstheme="majorHAnsi"/>
                <w:i/>
                <w:iCs/>
                <w:color w:val="808080" w:themeColor="background1" w:themeShade="80"/>
                <w:sz w:val="22"/>
                <w:szCs w:val="22"/>
              </w:rPr>
              <w:t>No aplica</w:t>
            </w:r>
          </w:p>
        </w:tc>
      </w:tr>
    </w:tbl>
    <w:p w14:paraId="10E7DBFE" w14:textId="77777777" w:rsidR="00612DFD" w:rsidRPr="006D40B8" w:rsidRDefault="00612DFD" w:rsidP="00612DFD">
      <w:pPr>
        <w:ind w:right="-377"/>
        <w:jc w:val="both"/>
        <w:rPr>
          <w:rFonts w:asciiTheme="majorHAnsi" w:hAnsiTheme="majorHAnsi" w:cstheme="majorHAnsi"/>
          <w:b/>
          <w:sz w:val="22"/>
          <w:szCs w:val="22"/>
        </w:rPr>
      </w:pPr>
    </w:p>
    <w:p w14:paraId="29EF6183" w14:textId="77777777" w:rsidR="00612DFD" w:rsidRPr="006D40B8" w:rsidRDefault="00612DFD" w:rsidP="00612DFD">
      <w:pPr>
        <w:ind w:right="-377"/>
        <w:jc w:val="both"/>
        <w:rPr>
          <w:rFonts w:asciiTheme="majorHAnsi" w:hAnsiTheme="majorHAnsi" w:cstheme="majorHAnsi"/>
          <w:b/>
          <w:sz w:val="22"/>
          <w:szCs w:val="22"/>
        </w:rPr>
      </w:pPr>
      <w:r w:rsidRPr="006D40B8">
        <w:rPr>
          <w:rFonts w:asciiTheme="majorHAnsi" w:hAnsiTheme="majorHAnsi" w:cstheme="majorHAnsi"/>
          <w:b/>
          <w:sz w:val="22"/>
          <w:szCs w:val="22"/>
        </w:rPr>
        <w:t>Aprobó:</w:t>
      </w:r>
    </w:p>
    <w:p w14:paraId="17D9C1B3" w14:textId="77777777" w:rsidR="006C34D2" w:rsidRPr="006D40B8" w:rsidRDefault="006C34D2" w:rsidP="00612DFD">
      <w:pPr>
        <w:pStyle w:val="Listavistosa-nfasis11"/>
        <w:spacing w:line="240" w:lineRule="auto"/>
        <w:ind w:left="0"/>
        <w:jc w:val="both"/>
        <w:rPr>
          <w:rFonts w:asciiTheme="majorHAnsi" w:hAnsiTheme="majorHAnsi" w:cstheme="majorHAnsi"/>
          <w:b/>
        </w:rPr>
      </w:pPr>
    </w:p>
    <w:p w14:paraId="215C11AD" w14:textId="77777777" w:rsidR="006C34D2" w:rsidRPr="006D40B8" w:rsidRDefault="006C34D2" w:rsidP="00612DFD">
      <w:pPr>
        <w:pStyle w:val="Listavistosa-nfasis11"/>
        <w:spacing w:line="240" w:lineRule="auto"/>
        <w:ind w:left="0"/>
        <w:jc w:val="both"/>
        <w:rPr>
          <w:rFonts w:asciiTheme="majorHAnsi" w:hAnsiTheme="majorHAnsi" w:cstheme="majorHAnsi"/>
          <w:b/>
        </w:rPr>
      </w:pPr>
    </w:p>
    <w:p w14:paraId="068A9C8C" w14:textId="77777777" w:rsidR="00671123" w:rsidRPr="006D40B8" w:rsidRDefault="00671123" w:rsidP="00612DFD">
      <w:pPr>
        <w:pStyle w:val="Listavistosa-nfasis11"/>
        <w:spacing w:line="240" w:lineRule="auto"/>
        <w:ind w:left="0"/>
        <w:jc w:val="both"/>
        <w:rPr>
          <w:rFonts w:asciiTheme="majorHAnsi" w:hAnsiTheme="majorHAnsi" w:cstheme="majorHAnsi"/>
          <w:b/>
        </w:rPr>
      </w:pPr>
    </w:p>
    <w:p w14:paraId="4FCF3500" w14:textId="77777777" w:rsidR="006C34D2" w:rsidRPr="006D40B8" w:rsidRDefault="006C34D2" w:rsidP="00612DFD">
      <w:pPr>
        <w:pStyle w:val="Listavistosa-nfasis11"/>
        <w:spacing w:line="240" w:lineRule="auto"/>
        <w:ind w:left="0"/>
        <w:jc w:val="both"/>
        <w:rPr>
          <w:rFonts w:asciiTheme="majorHAnsi" w:hAnsiTheme="majorHAnsi" w:cstheme="majorHAnsi"/>
          <w:b/>
        </w:rPr>
      </w:pPr>
    </w:p>
    <w:p w14:paraId="7EB537AB" w14:textId="77777777" w:rsidR="006C34D2" w:rsidRPr="006D40B8" w:rsidRDefault="006C34D2" w:rsidP="006C34D2">
      <w:pPr>
        <w:pStyle w:val="Listavistosa-nfasis11"/>
        <w:spacing w:line="240" w:lineRule="auto"/>
        <w:ind w:left="0"/>
        <w:jc w:val="both"/>
        <w:rPr>
          <w:rFonts w:asciiTheme="majorHAnsi" w:hAnsiTheme="majorHAnsi" w:cstheme="majorHAnsi"/>
          <w:b/>
        </w:rPr>
      </w:pPr>
      <w:r w:rsidRPr="006D40B8">
        <w:rPr>
          <w:rFonts w:asciiTheme="majorHAnsi" w:hAnsiTheme="majorHAnsi" w:cstheme="majorHAnsi"/>
          <w:b/>
        </w:rPr>
        <w:t>____________________________________</w:t>
      </w:r>
    </w:p>
    <w:p w14:paraId="092598A1" w14:textId="77777777" w:rsidR="006C34D2" w:rsidRPr="006D40B8" w:rsidRDefault="006C34D2" w:rsidP="006C34D2">
      <w:pPr>
        <w:pStyle w:val="Listavistosa-nfasis11"/>
        <w:spacing w:line="240" w:lineRule="auto"/>
        <w:ind w:left="0"/>
        <w:rPr>
          <w:rFonts w:asciiTheme="majorHAnsi" w:hAnsiTheme="majorHAnsi" w:cstheme="majorHAnsi"/>
          <w:b/>
        </w:rPr>
      </w:pPr>
      <w:r w:rsidRPr="006D40B8">
        <w:rPr>
          <w:rFonts w:asciiTheme="majorHAnsi" w:hAnsiTheme="majorHAnsi" w:cstheme="majorHAnsi"/>
          <w:b/>
        </w:rPr>
        <w:t xml:space="preserve">MÓNICA FERNANDA LEONEL MARTÍNEZ  </w:t>
      </w:r>
    </w:p>
    <w:p w14:paraId="025D158F" w14:textId="77777777" w:rsidR="006C34D2" w:rsidRPr="006D40B8" w:rsidRDefault="006C34D2" w:rsidP="006C34D2">
      <w:pPr>
        <w:pStyle w:val="Listavistosa-nfasis11"/>
        <w:spacing w:line="240" w:lineRule="auto"/>
        <w:ind w:left="0"/>
        <w:rPr>
          <w:rFonts w:asciiTheme="majorHAnsi" w:hAnsiTheme="majorHAnsi" w:cstheme="majorHAnsi"/>
          <w:b/>
        </w:rPr>
      </w:pPr>
      <w:r w:rsidRPr="006D40B8">
        <w:rPr>
          <w:rFonts w:asciiTheme="majorHAnsi" w:hAnsiTheme="majorHAnsi" w:cstheme="majorHAnsi"/>
          <w:b/>
        </w:rPr>
        <w:t>Jefe Oficina Asesora Jurídica (E)</w:t>
      </w:r>
    </w:p>
    <w:p w14:paraId="4810C3D9" w14:textId="77777777" w:rsidR="006C34D2" w:rsidRPr="006D40B8" w:rsidRDefault="006C34D2" w:rsidP="006C34D2">
      <w:pPr>
        <w:pStyle w:val="Listavistosa-nfasis11"/>
        <w:spacing w:line="240" w:lineRule="auto"/>
        <w:ind w:left="0"/>
        <w:rPr>
          <w:rFonts w:asciiTheme="majorHAnsi" w:hAnsiTheme="majorHAnsi" w:cstheme="majorHAnsi"/>
          <w:b/>
        </w:rPr>
      </w:pPr>
      <w:r w:rsidRPr="006D40B8">
        <w:rPr>
          <w:rFonts w:asciiTheme="majorHAnsi" w:hAnsiTheme="majorHAnsi" w:cstheme="majorHAnsi"/>
          <w:b/>
        </w:rPr>
        <w:t>Ministerio de Comercio, Industria y Turismo</w:t>
      </w:r>
    </w:p>
    <w:p w14:paraId="111028C7" w14:textId="76F654B0" w:rsidR="006C34D2" w:rsidRPr="006D40B8" w:rsidRDefault="006C34D2" w:rsidP="00612DFD">
      <w:pPr>
        <w:pStyle w:val="Listavistosa-nfasis11"/>
        <w:spacing w:line="240" w:lineRule="auto"/>
        <w:ind w:left="0"/>
        <w:jc w:val="both"/>
        <w:rPr>
          <w:rFonts w:asciiTheme="majorHAnsi" w:hAnsiTheme="majorHAnsi" w:cstheme="majorHAnsi"/>
          <w:b/>
        </w:rPr>
      </w:pPr>
    </w:p>
    <w:sectPr w:rsidR="006C34D2" w:rsidRPr="006D40B8">
      <w:headerReference w:type="default" r:id="rId8"/>
      <w:footerReference w:type="default" r:id="rId9"/>
      <w:headerReference w:type="first" r:id="rId10"/>
      <w:pgSz w:w="12240" w:h="15840"/>
      <w:pgMar w:top="1616" w:right="1701" w:bottom="1115" w:left="1701" w:header="720" w:footer="720"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53193" w14:textId="77777777" w:rsidR="000F1EB5" w:rsidRDefault="000F1EB5">
      <w:r>
        <w:separator/>
      </w:r>
    </w:p>
  </w:endnote>
  <w:endnote w:type="continuationSeparator" w:id="0">
    <w:p w14:paraId="7E0C5C7B" w14:textId="77777777" w:rsidR="000F1EB5" w:rsidRDefault="000F1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DejaVu Sans">
    <w:altName w:val="Verdan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32F8C" w14:textId="77777777" w:rsidR="00ED2F91" w:rsidRDefault="00E06440">
    <w:pPr>
      <w:pStyle w:val="Piedepgina"/>
      <w:jc w:val="right"/>
    </w:pPr>
    <w:r>
      <w:fldChar w:fldCharType="begin"/>
    </w:r>
    <w:r>
      <w:instrText xml:space="preserve"> PAGE </w:instrText>
    </w:r>
    <w:r>
      <w:fldChar w:fldCharType="separate"/>
    </w:r>
    <w:r>
      <w:t>6</w:t>
    </w:r>
    <w:r>
      <w:fldChar w:fldCharType="end"/>
    </w:r>
  </w:p>
  <w:p w14:paraId="20E3D4F8" w14:textId="77777777" w:rsidR="00ED2F91" w:rsidRDefault="00ED2F91">
    <w:pPr>
      <w:pStyle w:val="Piedepgina"/>
      <w:jc w:val="center"/>
      <w:rPr>
        <w:sz w:val="18"/>
        <w:szCs w:val="18"/>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C615C" w14:textId="77777777" w:rsidR="000F1EB5" w:rsidRDefault="000F1EB5">
      <w:r>
        <w:separator/>
      </w:r>
    </w:p>
  </w:footnote>
  <w:footnote w:type="continuationSeparator" w:id="0">
    <w:p w14:paraId="096DD12B" w14:textId="77777777" w:rsidR="000F1EB5" w:rsidRDefault="000F1E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FECD8" w14:textId="77777777" w:rsidR="00ED2F91" w:rsidRDefault="00ED2F91">
    <w:pPr>
      <w:pStyle w:val="Encabezado"/>
    </w:pPr>
  </w:p>
  <w:tbl>
    <w:tblPr>
      <w:tblW w:w="10798" w:type="dxa"/>
      <w:tblInd w:w="-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6545"/>
    </w:tblGrid>
    <w:tr w:rsidR="00612DFD" w14:paraId="6B6619D6" w14:textId="77777777" w:rsidTr="00A43C10">
      <w:tc>
        <w:tcPr>
          <w:tcW w:w="4253" w:type="dxa"/>
        </w:tcPr>
        <w:p w14:paraId="7E5081BF" w14:textId="77777777" w:rsidR="00612DFD" w:rsidRDefault="00612DFD" w:rsidP="00612DFD">
          <w:pPr>
            <w:pStyle w:val="Encabezado"/>
          </w:pPr>
          <w:r>
            <w:rPr>
              <w:noProof/>
              <w:lang w:val="es-CO" w:eastAsia="es-CO"/>
            </w:rPr>
            <w:drawing>
              <wp:inline distT="0" distB="0" distL="0" distR="0" wp14:anchorId="46FA2838" wp14:editId="05E5CFC7">
                <wp:extent cx="1131819" cy="417195"/>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inCIT 2023.png"/>
                        <pic:cNvPicPr/>
                      </pic:nvPicPr>
                      <pic:blipFill rotWithShape="1">
                        <a:blip r:embed="rId1">
                          <a:extLst>
                            <a:ext uri="{28A0092B-C50C-407E-A947-70E740481C1C}">
                              <a14:useLocalDpi xmlns:a14="http://schemas.microsoft.com/office/drawing/2010/main" val="0"/>
                            </a:ext>
                          </a:extLst>
                        </a:blip>
                        <a:srcRect l="45742"/>
                        <a:stretch/>
                      </pic:blipFill>
                      <pic:spPr bwMode="auto">
                        <a:xfrm>
                          <a:off x="0" y="0"/>
                          <a:ext cx="1132389" cy="417405"/>
                        </a:xfrm>
                        <a:prstGeom prst="rect">
                          <a:avLst/>
                        </a:prstGeom>
                        <a:ln>
                          <a:noFill/>
                        </a:ln>
                        <a:extLst>
                          <a:ext uri="{53640926-AAD7-44D8-BBD7-CCE9431645EC}">
                            <a14:shadowObscured xmlns:a14="http://schemas.microsoft.com/office/drawing/2010/main"/>
                          </a:ext>
                        </a:extLst>
                      </pic:spPr>
                    </pic:pic>
                  </a:graphicData>
                </a:graphic>
              </wp:inline>
            </w:drawing>
          </w:r>
        </w:p>
        <w:p w14:paraId="718E6F40" w14:textId="77777777" w:rsidR="00612DFD" w:rsidRDefault="00612DFD" w:rsidP="00612DFD">
          <w:pPr>
            <w:pStyle w:val="Encabezado"/>
          </w:pPr>
        </w:p>
      </w:tc>
      <w:tc>
        <w:tcPr>
          <w:tcW w:w="6545" w:type="dxa"/>
          <w:vAlign w:val="center"/>
        </w:tcPr>
        <w:p w14:paraId="004ED5A0" w14:textId="77777777" w:rsidR="00612DFD" w:rsidRDefault="00612DFD" w:rsidP="00612DFD">
          <w:pPr>
            <w:pStyle w:val="Ttulo2"/>
            <w:ind w:left="72" w:right="72"/>
          </w:pPr>
          <w:r w:rsidRPr="00FD3D04">
            <w:rPr>
              <w:bCs/>
              <w:color w:val="000000"/>
              <w:sz w:val="24"/>
              <w:szCs w:val="24"/>
            </w:rPr>
            <w:t>FORMATO MEMORIA JUSTIFICATIVA</w:t>
          </w:r>
        </w:p>
      </w:tc>
    </w:tr>
  </w:tbl>
  <w:p w14:paraId="69A7F46B" w14:textId="77777777" w:rsidR="00ED2F91" w:rsidRDefault="00ED2F9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98" w:type="dxa"/>
      <w:tblInd w:w="-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6545"/>
    </w:tblGrid>
    <w:tr w:rsidR="00612DFD" w14:paraId="093B5C6B" w14:textId="77777777" w:rsidTr="00A43C10">
      <w:tc>
        <w:tcPr>
          <w:tcW w:w="4253" w:type="dxa"/>
        </w:tcPr>
        <w:p w14:paraId="0603A2DE" w14:textId="77777777" w:rsidR="00612DFD" w:rsidRDefault="00612DFD" w:rsidP="00612DFD">
          <w:pPr>
            <w:pStyle w:val="Encabezado"/>
          </w:pPr>
          <w:r>
            <w:rPr>
              <w:noProof/>
              <w:lang w:val="es-CO" w:eastAsia="es-CO"/>
            </w:rPr>
            <w:drawing>
              <wp:inline distT="0" distB="0" distL="0" distR="0" wp14:anchorId="45551CA8" wp14:editId="6D39442D">
                <wp:extent cx="1131819" cy="417195"/>
                <wp:effectExtent l="0" t="0" r="0" b="1905"/>
                <wp:docPr id="1934471833" name="Imagen 193447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inCIT 2023.png"/>
                        <pic:cNvPicPr/>
                      </pic:nvPicPr>
                      <pic:blipFill rotWithShape="1">
                        <a:blip r:embed="rId1">
                          <a:extLst>
                            <a:ext uri="{28A0092B-C50C-407E-A947-70E740481C1C}">
                              <a14:useLocalDpi xmlns:a14="http://schemas.microsoft.com/office/drawing/2010/main" val="0"/>
                            </a:ext>
                          </a:extLst>
                        </a:blip>
                        <a:srcRect l="45742"/>
                        <a:stretch/>
                      </pic:blipFill>
                      <pic:spPr bwMode="auto">
                        <a:xfrm>
                          <a:off x="0" y="0"/>
                          <a:ext cx="1132389" cy="417405"/>
                        </a:xfrm>
                        <a:prstGeom prst="rect">
                          <a:avLst/>
                        </a:prstGeom>
                        <a:ln>
                          <a:noFill/>
                        </a:ln>
                        <a:extLst>
                          <a:ext uri="{53640926-AAD7-44D8-BBD7-CCE9431645EC}">
                            <a14:shadowObscured xmlns:a14="http://schemas.microsoft.com/office/drawing/2010/main"/>
                          </a:ext>
                        </a:extLst>
                      </pic:spPr>
                    </pic:pic>
                  </a:graphicData>
                </a:graphic>
              </wp:inline>
            </w:drawing>
          </w:r>
        </w:p>
        <w:p w14:paraId="548BC2C3" w14:textId="77777777" w:rsidR="00612DFD" w:rsidRDefault="00612DFD" w:rsidP="00612DFD">
          <w:pPr>
            <w:pStyle w:val="Encabezado"/>
          </w:pPr>
        </w:p>
      </w:tc>
      <w:tc>
        <w:tcPr>
          <w:tcW w:w="6545" w:type="dxa"/>
          <w:vAlign w:val="center"/>
        </w:tcPr>
        <w:p w14:paraId="10BBA1D0" w14:textId="77777777" w:rsidR="00612DFD" w:rsidRDefault="00612DFD" w:rsidP="00612DFD">
          <w:pPr>
            <w:pStyle w:val="Ttulo2"/>
            <w:ind w:left="72" w:right="72"/>
          </w:pPr>
          <w:r w:rsidRPr="00FD3D04">
            <w:rPr>
              <w:bCs/>
              <w:color w:val="000000"/>
              <w:sz w:val="24"/>
              <w:szCs w:val="24"/>
            </w:rPr>
            <w:t>FORMATO MEMORIA JUSTIFICATIVA</w:t>
          </w:r>
        </w:p>
      </w:tc>
    </w:tr>
  </w:tbl>
  <w:p w14:paraId="694D931B" w14:textId="77777777" w:rsidR="00ED2F91" w:rsidRDefault="00ED2F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35D6B"/>
    <w:multiLevelType w:val="multilevel"/>
    <w:tmpl w:val="1FD801E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08732E"/>
    <w:multiLevelType w:val="multilevel"/>
    <w:tmpl w:val="E3AE4EE2"/>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995631C"/>
    <w:multiLevelType w:val="multilevel"/>
    <w:tmpl w:val="FE5CABA4"/>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C8D575C"/>
    <w:multiLevelType w:val="hybridMultilevel"/>
    <w:tmpl w:val="903E42D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6E47B9B"/>
    <w:multiLevelType w:val="multilevel"/>
    <w:tmpl w:val="86B2F70C"/>
    <w:lvl w:ilvl="0">
      <w:start w:val="1"/>
      <w:numFmt w:val="bullet"/>
      <w:lvlText w:val=""/>
      <w:lvlJc w:val="left"/>
      <w:pPr>
        <w:tabs>
          <w:tab w:val="num" w:pos="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9F24063"/>
    <w:multiLevelType w:val="multilevel"/>
    <w:tmpl w:val="CC86CC4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407C272A"/>
    <w:multiLevelType w:val="multilevel"/>
    <w:tmpl w:val="45B6D7EE"/>
    <w:lvl w:ilvl="0">
      <w:start w:val="1"/>
      <w:numFmt w:val="decimal"/>
      <w:lvlText w:val="%1."/>
      <w:lvlJc w:val="left"/>
      <w:pPr>
        <w:ind w:left="430" w:hanging="43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66434C9"/>
    <w:multiLevelType w:val="multilevel"/>
    <w:tmpl w:val="A676921A"/>
    <w:lvl w:ilvl="0">
      <w:start w:val="4"/>
      <w:numFmt w:val="decimal"/>
      <w:lvlText w:val="%1."/>
      <w:lvlJc w:val="left"/>
      <w:pPr>
        <w:tabs>
          <w:tab w:val="num" w:pos="0"/>
        </w:tabs>
        <w:ind w:left="72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4"/>
  </w:num>
  <w:num w:numId="3">
    <w:abstractNumId w:val="1"/>
  </w:num>
  <w:num w:numId="4">
    <w:abstractNumId w:val="2"/>
  </w:num>
  <w:num w:numId="5">
    <w:abstractNumId w:val="7"/>
  </w:num>
  <w:num w:numId="6">
    <w:abstractNumId w:val="3"/>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F91"/>
    <w:rsid w:val="000055A0"/>
    <w:rsid w:val="00007BC3"/>
    <w:rsid w:val="000301FE"/>
    <w:rsid w:val="00030F2B"/>
    <w:rsid w:val="000730FF"/>
    <w:rsid w:val="000F1EB5"/>
    <w:rsid w:val="001275C8"/>
    <w:rsid w:val="0014699D"/>
    <w:rsid w:val="001806B2"/>
    <w:rsid w:val="00184082"/>
    <w:rsid w:val="001878AB"/>
    <w:rsid w:val="0019388A"/>
    <w:rsid w:val="001C1E09"/>
    <w:rsid w:val="001C3675"/>
    <w:rsid w:val="001C7644"/>
    <w:rsid w:val="00200D24"/>
    <w:rsid w:val="00203357"/>
    <w:rsid w:val="00220B9E"/>
    <w:rsid w:val="00252628"/>
    <w:rsid w:val="002755AB"/>
    <w:rsid w:val="002855A7"/>
    <w:rsid w:val="002B16C0"/>
    <w:rsid w:val="002C0A97"/>
    <w:rsid w:val="002D4366"/>
    <w:rsid w:val="002E281E"/>
    <w:rsid w:val="002E7B4D"/>
    <w:rsid w:val="00306A0C"/>
    <w:rsid w:val="00350CC2"/>
    <w:rsid w:val="00386859"/>
    <w:rsid w:val="003A2080"/>
    <w:rsid w:val="003D7C0A"/>
    <w:rsid w:val="003F7E3F"/>
    <w:rsid w:val="00457112"/>
    <w:rsid w:val="00467E68"/>
    <w:rsid w:val="00475A29"/>
    <w:rsid w:val="004B1AEC"/>
    <w:rsid w:val="004F588C"/>
    <w:rsid w:val="00502334"/>
    <w:rsid w:val="00522803"/>
    <w:rsid w:val="005333A7"/>
    <w:rsid w:val="00537CCF"/>
    <w:rsid w:val="00540C39"/>
    <w:rsid w:val="0057170B"/>
    <w:rsid w:val="005B2D9A"/>
    <w:rsid w:val="005C234A"/>
    <w:rsid w:val="00612A41"/>
    <w:rsid w:val="00612DFD"/>
    <w:rsid w:val="006526F3"/>
    <w:rsid w:val="00671123"/>
    <w:rsid w:val="006770CA"/>
    <w:rsid w:val="006B6C40"/>
    <w:rsid w:val="006C34D2"/>
    <w:rsid w:val="006D40B8"/>
    <w:rsid w:val="00735DDC"/>
    <w:rsid w:val="0076517B"/>
    <w:rsid w:val="00765D2E"/>
    <w:rsid w:val="00777660"/>
    <w:rsid w:val="007A5F33"/>
    <w:rsid w:val="007D20BC"/>
    <w:rsid w:val="007E00FE"/>
    <w:rsid w:val="007F0170"/>
    <w:rsid w:val="008156A6"/>
    <w:rsid w:val="00856EA3"/>
    <w:rsid w:val="008F3813"/>
    <w:rsid w:val="008F4C69"/>
    <w:rsid w:val="00941653"/>
    <w:rsid w:val="009479BB"/>
    <w:rsid w:val="009553AA"/>
    <w:rsid w:val="00956267"/>
    <w:rsid w:val="009573C4"/>
    <w:rsid w:val="009613A5"/>
    <w:rsid w:val="009A3075"/>
    <w:rsid w:val="009A369A"/>
    <w:rsid w:val="009B747F"/>
    <w:rsid w:val="009C5D1B"/>
    <w:rsid w:val="009F11C8"/>
    <w:rsid w:val="00A05AB9"/>
    <w:rsid w:val="00A817EB"/>
    <w:rsid w:val="00AB6687"/>
    <w:rsid w:val="00AC1734"/>
    <w:rsid w:val="00B3439F"/>
    <w:rsid w:val="00B509C6"/>
    <w:rsid w:val="00BA0BC6"/>
    <w:rsid w:val="00BC741D"/>
    <w:rsid w:val="00C67164"/>
    <w:rsid w:val="00C90906"/>
    <w:rsid w:val="00CC048E"/>
    <w:rsid w:val="00CC0D30"/>
    <w:rsid w:val="00CC0FF8"/>
    <w:rsid w:val="00CD4C48"/>
    <w:rsid w:val="00CD787A"/>
    <w:rsid w:val="00CF43B2"/>
    <w:rsid w:val="00D367A2"/>
    <w:rsid w:val="00D44C96"/>
    <w:rsid w:val="00D4637C"/>
    <w:rsid w:val="00D5470F"/>
    <w:rsid w:val="00D669A1"/>
    <w:rsid w:val="00D8395B"/>
    <w:rsid w:val="00D85241"/>
    <w:rsid w:val="00DE4B51"/>
    <w:rsid w:val="00DF37BB"/>
    <w:rsid w:val="00E06440"/>
    <w:rsid w:val="00E162F6"/>
    <w:rsid w:val="00E44E6D"/>
    <w:rsid w:val="00EC5A67"/>
    <w:rsid w:val="00EC5ADE"/>
    <w:rsid w:val="00ED2F91"/>
    <w:rsid w:val="00ED76BB"/>
    <w:rsid w:val="00EE6A63"/>
    <w:rsid w:val="00F0085C"/>
    <w:rsid w:val="00F12D69"/>
    <w:rsid w:val="00F278BA"/>
    <w:rsid w:val="00FF4D55"/>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87FE8"/>
  <w15:docId w15:val="{E5A5DAF8-EF4F-1040-92E7-26BB7C051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DejaVu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cs="Arial"/>
      <w:sz w:val="20"/>
      <w:szCs w:val="20"/>
      <w:lang w:val="es-ES" w:bidi="ar-SA"/>
    </w:rPr>
  </w:style>
  <w:style w:type="paragraph" w:styleId="Ttulo1">
    <w:name w:val="heading 1"/>
    <w:basedOn w:val="Normal"/>
    <w:next w:val="Normal"/>
    <w:uiPriority w:val="9"/>
    <w:qFormat/>
    <w:pPr>
      <w:keepNext/>
      <w:numPr>
        <w:numId w:val="1"/>
      </w:numPr>
      <w:spacing w:before="240" w:after="60"/>
      <w:outlineLvl w:val="0"/>
    </w:pPr>
    <w:rPr>
      <w:b/>
      <w:color w:val="000080"/>
      <w:spacing w:val="-8"/>
      <w:kern w:val="2"/>
      <w:sz w:val="28"/>
      <w:lang w:val="es-CO"/>
    </w:rPr>
  </w:style>
  <w:style w:type="paragraph" w:styleId="Ttulo2">
    <w:name w:val="heading 2"/>
    <w:basedOn w:val="Normal"/>
    <w:next w:val="Normal"/>
    <w:uiPriority w:val="9"/>
    <w:unhideWhenUsed/>
    <w:qFormat/>
    <w:pPr>
      <w:keepNext/>
      <w:numPr>
        <w:ilvl w:val="1"/>
        <w:numId w:val="1"/>
      </w:numPr>
      <w:jc w:val="center"/>
      <w:outlineLvl w:val="1"/>
    </w:pPr>
    <w:rPr>
      <w:b/>
    </w:rPr>
  </w:style>
  <w:style w:type="paragraph" w:styleId="Ttulo3">
    <w:name w:val="heading 3"/>
    <w:basedOn w:val="Normal"/>
    <w:next w:val="Normal"/>
    <w:uiPriority w:val="9"/>
    <w:semiHidden/>
    <w:unhideWhenUsed/>
    <w:qFormat/>
    <w:pPr>
      <w:keepNext/>
      <w:numPr>
        <w:ilvl w:val="2"/>
        <w:numId w:val="1"/>
      </w:numPr>
      <w:jc w:val="center"/>
      <w:outlineLvl w:val="2"/>
    </w:pPr>
    <w:rPr>
      <w:rFonts w:ascii="Tahoma" w:hAnsi="Tahoma" w:cs="Tahoma"/>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b/>
    </w:rPr>
  </w:style>
  <w:style w:type="character" w:customStyle="1" w:styleId="InitialStyle">
    <w:name w:val="InitialStyle"/>
    <w:qFormat/>
    <w:rPr>
      <w:rFonts w:ascii="Courier New" w:hAnsi="Courier New" w:cs="Courier New"/>
      <w:color w:val="auto"/>
      <w:spacing w:val="0"/>
      <w:sz w:val="28"/>
    </w:rPr>
  </w:style>
  <w:style w:type="character" w:styleId="Nmerodepgina">
    <w:name w:val="page number"/>
    <w:basedOn w:val="Fuentedeprrafopredeter"/>
  </w:style>
  <w:style w:type="character" w:styleId="Refdecomentario">
    <w:name w:val="annotation reference"/>
    <w:qFormat/>
    <w:rPr>
      <w:sz w:val="16"/>
      <w:szCs w:val="16"/>
    </w:rPr>
  </w:style>
  <w:style w:type="character" w:customStyle="1" w:styleId="PiedepginaCar">
    <w:name w:val="Pie de página Car"/>
    <w:qFormat/>
    <w:rPr>
      <w:rFonts w:ascii="Arial" w:hAnsi="Arial" w:cs="Arial"/>
      <w:lang w:val="es-ES"/>
    </w:rPr>
  </w:style>
  <w:style w:type="character" w:customStyle="1" w:styleId="apple-converted-space">
    <w:name w:val="apple-converted-space"/>
    <w:basedOn w:val="Fuentedeprrafopredeter"/>
    <w:qFormat/>
  </w:style>
  <w:style w:type="character" w:customStyle="1" w:styleId="TextonotapieCar">
    <w:name w:val="Texto nota pie Car"/>
    <w:qFormat/>
    <w:rPr>
      <w:rFonts w:ascii="Times" w:eastAsia="Times" w:hAnsi="Times" w:cs="Times"/>
    </w:rPr>
  </w:style>
  <w:style w:type="character" w:customStyle="1" w:styleId="FootnoteCharacters">
    <w:name w:val="Footnote Characters"/>
    <w:qFormat/>
    <w:rPr>
      <w:vertAlign w:val="superscript"/>
    </w:rPr>
  </w:style>
  <w:style w:type="character" w:styleId="Textoennegrita">
    <w:name w:val="Strong"/>
    <w:qFormat/>
    <w:rPr>
      <w:b/>
      <w:bCs/>
    </w:rPr>
  </w:style>
  <w:style w:type="character" w:customStyle="1" w:styleId="TtuloCar">
    <w:name w:val="Título Car"/>
    <w:qFormat/>
    <w:rPr>
      <w:rFonts w:ascii="Arial" w:hAnsi="Arial" w:cs="Arial"/>
      <w:b/>
      <w:bCs/>
      <w:sz w:val="32"/>
      <w:szCs w:val="24"/>
      <w:lang w:val="es-ES"/>
    </w:rPr>
  </w:style>
  <w:style w:type="character" w:customStyle="1" w:styleId="Listavistosa-nfasis1Car">
    <w:name w:val="Lista vistosa - Énfasis 1 Car"/>
    <w:aliases w:val="Normal. Viñetas Car"/>
    <w:uiPriority w:val="34"/>
    <w:qFormat/>
    <w:rPr>
      <w:rFonts w:ascii="Calibri" w:hAnsi="Calibri" w:cs="Calibri"/>
      <w:sz w:val="22"/>
      <w:szCs w:val="22"/>
    </w:rPr>
  </w:style>
  <w:style w:type="character" w:styleId="Hipervnculo">
    <w:name w:val="Hyperlink"/>
    <w:rPr>
      <w:color w:val="0000FF"/>
      <w:u w:val="single"/>
    </w:rPr>
  </w:style>
  <w:style w:type="paragraph" w:customStyle="1" w:styleId="Heading">
    <w:name w:val="Heading"/>
    <w:basedOn w:val="Normal"/>
    <w:next w:val="Textoindependiente"/>
    <w:qFormat/>
    <w:pPr>
      <w:jc w:val="center"/>
    </w:pPr>
    <w:rPr>
      <w:b/>
      <w:bCs/>
      <w:sz w:val="32"/>
      <w:szCs w:val="24"/>
    </w:rPr>
  </w:style>
  <w:style w:type="paragraph" w:styleId="Textoindependiente">
    <w:name w:val="Body Text"/>
    <w:basedOn w:val="Normal"/>
    <w:pPr>
      <w:jc w:val="both"/>
    </w:pPr>
    <w:rPr>
      <w:rFonts w:ascii="Tahoma" w:hAnsi="Tahoma" w:cs="Tahoma"/>
      <w:iCs/>
      <w:sz w:val="18"/>
    </w:rPr>
  </w:style>
  <w:style w:type="paragraph" w:styleId="Lista">
    <w:name w:val="List"/>
    <w:basedOn w:val="Textoindependiente"/>
    <w:rPr>
      <w:rFonts w:cs="DejaVu Sans"/>
    </w:rPr>
  </w:style>
  <w:style w:type="paragraph" w:styleId="Descripcin">
    <w:name w:val="caption"/>
    <w:basedOn w:val="Normal"/>
    <w:qFormat/>
    <w:pPr>
      <w:suppressLineNumbers/>
      <w:spacing w:before="120" w:after="120"/>
    </w:pPr>
    <w:rPr>
      <w:rFonts w:cs="DejaVu Sans"/>
      <w:i/>
      <w:iCs/>
      <w:sz w:val="24"/>
      <w:szCs w:val="24"/>
    </w:rPr>
  </w:style>
  <w:style w:type="paragraph" w:customStyle="1" w:styleId="Index">
    <w:name w:val="Index"/>
    <w:basedOn w:val="Normal"/>
    <w:qFormat/>
    <w:pPr>
      <w:suppressLineNumbers/>
    </w:pPr>
    <w:rPr>
      <w:rFonts w:cs="DejaVu Sans"/>
    </w:rPr>
  </w:style>
  <w:style w:type="paragraph" w:styleId="Textoindependiente2">
    <w:name w:val="Body Text 2"/>
    <w:basedOn w:val="Normal"/>
    <w:qFormat/>
    <w:pPr>
      <w:spacing w:after="120" w:line="480" w:lineRule="auto"/>
    </w:pPr>
  </w:style>
  <w:style w:type="paragraph" w:styleId="Sangra3detindependiente">
    <w:name w:val="Body Text Indent 3"/>
    <w:basedOn w:val="Normal"/>
    <w:qFormat/>
    <w:pPr>
      <w:overflowPunct w:val="0"/>
      <w:autoSpaceDE w:val="0"/>
      <w:ind w:left="709" w:hanging="349"/>
      <w:jc w:val="both"/>
      <w:textAlignment w:val="baseline"/>
    </w:pPr>
    <w:rPr>
      <w:rFonts w:ascii="Tahoma" w:hAnsi="Tahoma" w:cs="Tahoma"/>
      <w:bCs/>
      <w:sz w:val="22"/>
      <w:lang w:val="es-CO"/>
    </w:rPr>
  </w:style>
  <w:style w:type="paragraph" w:styleId="Textoindependiente3">
    <w:name w:val="Body Text 3"/>
    <w:basedOn w:val="Normal"/>
    <w:qFormat/>
    <w:pPr>
      <w:widowControl w:val="0"/>
      <w:overflowPunct w:val="0"/>
      <w:autoSpaceDE w:val="0"/>
      <w:jc w:val="both"/>
      <w:textAlignment w:val="baseline"/>
    </w:pPr>
    <w:rPr>
      <w:b/>
      <w:sz w:val="24"/>
      <w:lang w:val="es-CO"/>
    </w:rPr>
  </w:style>
  <w:style w:type="paragraph" w:customStyle="1" w:styleId="HeaderandFooter">
    <w:name w:val="Header and Footer"/>
    <w:basedOn w:val="Normal"/>
    <w:qFormat/>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NormalWeb">
    <w:name w:val="Normal (Web)"/>
    <w:basedOn w:val="Normal"/>
    <w:qFormat/>
    <w:pPr>
      <w:spacing w:before="280" w:after="280"/>
    </w:pPr>
    <w:rPr>
      <w:rFonts w:ascii="Arial Unicode MS" w:eastAsia="Arial Unicode MS" w:hAnsi="Arial Unicode MS" w:cs="Arial Unicode MS"/>
      <w:sz w:val="24"/>
      <w:szCs w:val="24"/>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Textodeglobo">
    <w:name w:val="Balloon Text"/>
    <w:basedOn w:val="Normal"/>
    <w:qFormat/>
    <w:rPr>
      <w:rFonts w:ascii="Tahoma" w:hAnsi="Tahoma" w:cs="Tahoma"/>
      <w:sz w:val="16"/>
      <w:szCs w:val="16"/>
    </w:rPr>
  </w:style>
  <w:style w:type="paragraph" w:customStyle="1" w:styleId="Listavistosa-nfasis11">
    <w:name w:val="Lista vistosa - Énfasis 11"/>
    <w:aliases w:val="Normal. Viñetas"/>
    <w:basedOn w:val="Normal"/>
    <w:uiPriority w:val="34"/>
    <w:qFormat/>
    <w:pPr>
      <w:spacing w:after="200" w:line="276" w:lineRule="auto"/>
      <w:ind w:left="720"/>
      <w:contextualSpacing/>
    </w:pPr>
    <w:rPr>
      <w:rFonts w:ascii="Calibri" w:hAnsi="Calibri" w:cs="Calibri"/>
      <w:sz w:val="22"/>
      <w:szCs w:val="22"/>
      <w:lang w:val="es-CO"/>
    </w:rPr>
  </w:style>
  <w:style w:type="paragraph" w:customStyle="1" w:styleId="Default">
    <w:name w:val="Default"/>
    <w:qFormat/>
    <w:pPr>
      <w:autoSpaceDE w:val="0"/>
    </w:pPr>
    <w:rPr>
      <w:rFonts w:ascii="Arial" w:eastAsia="Times New Roman" w:hAnsi="Arial" w:cs="Arial"/>
      <w:color w:val="000000"/>
      <w:lang w:val="es-CO" w:bidi="ar-SA"/>
    </w:rPr>
  </w:style>
  <w:style w:type="paragraph" w:customStyle="1" w:styleId="Cuerpo">
    <w:name w:val="Cuerpo"/>
    <w:qFormat/>
    <w:pPr>
      <w:spacing w:after="200" w:line="276" w:lineRule="auto"/>
    </w:pPr>
    <w:rPr>
      <w:rFonts w:ascii="Calibri" w:eastAsia="Calibri" w:hAnsi="Calibri" w:cs="Calibri"/>
      <w:color w:val="000000"/>
      <w:sz w:val="22"/>
      <w:szCs w:val="22"/>
      <w:lang w:val="es-CO" w:bidi="ar-SA"/>
    </w:rPr>
  </w:style>
  <w:style w:type="paragraph" w:customStyle="1" w:styleId="xmsonormal">
    <w:name w:val="x_msonormal"/>
    <w:basedOn w:val="Normal"/>
    <w:qFormat/>
    <w:pPr>
      <w:spacing w:before="280" w:after="280"/>
    </w:pPr>
    <w:rPr>
      <w:rFonts w:ascii="Times New Roman" w:hAnsi="Times New Roman" w:cs="Times New Roman"/>
      <w:sz w:val="24"/>
      <w:szCs w:val="24"/>
      <w:lang w:val="es-CO"/>
    </w:rPr>
  </w:style>
  <w:style w:type="paragraph" w:customStyle="1" w:styleId="xmsolistparagraph">
    <w:name w:val="x_msolistparagraph"/>
    <w:basedOn w:val="Normal"/>
    <w:qFormat/>
    <w:pPr>
      <w:spacing w:before="280" w:after="280"/>
    </w:pPr>
    <w:rPr>
      <w:rFonts w:ascii="Times New Roman" w:hAnsi="Times New Roman" w:cs="Times New Roman"/>
      <w:sz w:val="24"/>
      <w:szCs w:val="24"/>
      <w:lang w:val="es-CO"/>
    </w:rPr>
  </w:style>
  <w:style w:type="paragraph" w:customStyle="1" w:styleId="xcuerpo">
    <w:name w:val="x_cuerpo"/>
    <w:basedOn w:val="Normal"/>
    <w:qFormat/>
    <w:pPr>
      <w:spacing w:before="280" w:after="280"/>
    </w:pPr>
    <w:rPr>
      <w:rFonts w:ascii="Times New Roman" w:hAnsi="Times New Roman" w:cs="Times New Roman"/>
      <w:sz w:val="24"/>
      <w:szCs w:val="24"/>
      <w:lang w:val="es-CO"/>
    </w:rPr>
  </w:style>
  <w:style w:type="paragraph" w:styleId="Textonotapie">
    <w:name w:val="footnote text"/>
    <w:basedOn w:val="Normal"/>
    <w:rPr>
      <w:rFonts w:ascii="Times" w:eastAsia="Times" w:hAnsi="Times" w:cs="Times"/>
      <w:lang w:val="en-US"/>
    </w:rPr>
  </w:style>
  <w:style w:type="paragraph" w:customStyle="1" w:styleId="Cuadrculamedia21">
    <w:name w:val="Cuadrícula media 21"/>
    <w:qFormat/>
    <w:rPr>
      <w:rFonts w:ascii="Calibri" w:eastAsia="Calibri" w:hAnsi="Calibri" w:cs="Calibri"/>
      <w:sz w:val="22"/>
      <w:szCs w:val="22"/>
      <w:lang w:val="es-CO" w:bidi="ar-SA"/>
    </w:rPr>
  </w:style>
  <w:style w:type="paragraph" w:styleId="Prrafodelista">
    <w:name w:val="List Paragraph"/>
    <w:basedOn w:val="Normal"/>
    <w:qFormat/>
    <w:pPr>
      <w:ind w:left="708"/>
    </w:p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paragraph" w:styleId="Revisin">
    <w:name w:val="Revision"/>
    <w:hidden/>
    <w:uiPriority w:val="99"/>
    <w:semiHidden/>
    <w:rsid w:val="00EC5ADE"/>
    <w:pPr>
      <w:suppressAutoHyphens w:val="0"/>
    </w:pPr>
    <w:rPr>
      <w:rFonts w:ascii="Arial" w:eastAsia="Times New Roman" w:hAnsi="Arial" w:cs="Arial"/>
      <w:sz w:val="20"/>
      <w:szCs w:val="20"/>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4BB81-FC44-424B-B18C-38E94817E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6214</Words>
  <Characters>34182</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Formato Memoria Justificativa</vt:lpstr>
    </vt:vector>
  </TitlesOfParts>
  <Company/>
  <LinksUpToDate>false</LinksUpToDate>
  <CharactersWithSpaces>40316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Memoria Justificativa</dc:title>
  <dc:subject/>
  <dc:creator>Departamento Administrativo de la Función Publica</dc:creator>
  <cp:keywords/>
  <dc:description/>
  <cp:lastModifiedBy>Janeth Rocío Castañeda Micán</cp:lastModifiedBy>
  <cp:revision>2</cp:revision>
  <cp:lastPrinted>2019-07-08T17:30:00Z</cp:lastPrinted>
  <dcterms:created xsi:type="dcterms:W3CDTF">2026-10-14T21:31:00Z</dcterms:created>
  <dcterms:modified xsi:type="dcterms:W3CDTF">2026-10-14T21:31:00Z</dcterms:modified>
  <dc:language>en-US</dc:language>
</cp:coreProperties>
</file>