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41DB7" w14:textId="3BF9FA5D" w:rsidR="00E42907" w:rsidRPr="00E71E86" w:rsidRDefault="00564AFD" w:rsidP="001D4AD1">
      <w:pPr>
        <w:ind w:left="720" w:right="-136" w:hanging="720"/>
        <w:rPr>
          <w:rFonts w:ascii="Arial Narrow" w:eastAsia="Arial Narrow" w:hAnsi="Arial Narrow" w:cs="Arial Narrow"/>
        </w:rPr>
      </w:pPr>
      <w:r w:rsidRPr="00E71E86">
        <w:rPr>
          <w:rFonts w:ascii="Arial Narrow" w:eastAsia="Arial Narrow" w:hAnsi="Arial Narrow" w:cs="Arial Narrow"/>
        </w:rPr>
        <w:t>Bogotá</w:t>
      </w:r>
      <w:r w:rsidR="008D20AE" w:rsidRPr="00E71E86">
        <w:rPr>
          <w:rFonts w:ascii="Arial Narrow" w:eastAsia="Arial Narrow" w:hAnsi="Arial Narrow" w:cs="Arial Narrow"/>
        </w:rPr>
        <w:t>.</w:t>
      </w:r>
      <w:r w:rsidRPr="00E71E86">
        <w:rPr>
          <w:rFonts w:ascii="Arial Narrow" w:eastAsia="Arial Narrow" w:hAnsi="Arial Narrow" w:cs="Arial Narrow"/>
        </w:rPr>
        <w:t xml:space="preserve"> D.</w:t>
      </w:r>
      <w:r w:rsidR="008D20AE" w:rsidRPr="00E71E86">
        <w:rPr>
          <w:rFonts w:ascii="Arial Narrow" w:eastAsia="Arial Narrow" w:hAnsi="Arial Narrow" w:cs="Arial Narrow"/>
        </w:rPr>
        <w:t>C</w:t>
      </w:r>
      <w:r w:rsidRPr="00E71E86">
        <w:rPr>
          <w:rFonts w:ascii="Arial Narrow" w:eastAsia="Arial Narrow" w:hAnsi="Arial Narrow" w:cs="Arial Narrow"/>
        </w:rPr>
        <w:t xml:space="preserve">, </w:t>
      </w:r>
      <w:r w:rsidR="008D20AE" w:rsidRPr="00E71E86">
        <w:rPr>
          <w:rFonts w:ascii="Arial Narrow" w:eastAsia="Arial Narrow" w:hAnsi="Arial Narrow" w:cs="Arial Narrow"/>
        </w:rPr>
        <w:t xml:space="preserve">23 </w:t>
      </w:r>
      <w:r w:rsidRPr="00E71E86">
        <w:rPr>
          <w:rFonts w:ascii="Arial Narrow" w:eastAsia="Arial Narrow" w:hAnsi="Arial Narrow" w:cs="Arial Narrow"/>
        </w:rPr>
        <w:t xml:space="preserve">de </w:t>
      </w:r>
      <w:r w:rsidR="00E56EA5" w:rsidRPr="00E71E86">
        <w:rPr>
          <w:rFonts w:ascii="Arial Narrow" w:eastAsia="Arial Narrow" w:hAnsi="Arial Narrow" w:cs="Arial Narrow"/>
        </w:rPr>
        <w:t>septiembre</w:t>
      </w:r>
      <w:r w:rsidRPr="00E71E86">
        <w:rPr>
          <w:rFonts w:ascii="Arial Narrow" w:eastAsia="Arial Narrow" w:hAnsi="Arial Narrow" w:cs="Arial Narrow"/>
        </w:rPr>
        <w:t xml:space="preserve"> de 2026.</w:t>
      </w:r>
    </w:p>
    <w:p w14:paraId="1234C6DB" w14:textId="77777777" w:rsidR="00E42907" w:rsidRPr="00E71E86" w:rsidRDefault="00E42907">
      <w:pPr>
        <w:ind w:right="-136"/>
        <w:rPr>
          <w:rFonts w:ascii="Arial Narrow" w:eastAsia="Arial Narrow" w:hAnsi="Arial Narrow" w:cs="Arial Narrow"/>
        </w:rPr>
      </w:pPr>
    </w:p>
    <w:p w14:paraId="0DBD8894" w14:textId="77777777" w:rsidR="00E42907" w:rsidRPr="00E71E86" w:rsidRDefault="00564AFD">
      <w:pPr>
        <w:spacing w:after="0"/>
        <w:ind w:right="-136"/>
        <w:rPr>
          <w:rFonts w:ascii="Arial Narrow" w:eastAsia="Arial Narrow" w:hAnsi="Arial Narrow" w:cs="Arial Narrow"/>
        </w:rPr>
      </w:pPr>
      <w:r w:rsidRPr="00E71E86">
        <w:rPr>
          <w:rFonts w:ascii="Arial Narrow" w:eastAsia="Arial Narrow" w:hAnsi="Arial Narrow" w:cs="Arial Narrow"/>
        </w:rPr>
        <w:t>Honorable Representante</w:t>
      </w:r>
    </w:p>
    <w:p w14:paraId="3B2D5CC3" w14:textId="77777777" w:rsidR="00E42907" w:rsidRPr="00E71E86" w:rsidRDefault="00564AFD">
      <w:pPr>
        <w:spacing w:after="0"/>
        <w:ind w:right="-136"/>
        <w:rPr>
          <w:rFonts w:ascii="Arial Narrow" w:eastAsia="Arial Narrow" w:hAnsi="Arial Narrow" w:cs="Arial Narrow"/>
          <w:b/>
          <w:bCs/>
        </w:rPr>
      </w:pPr>
      <w:r w:rsidRPr="00E71E86">
        <w:rPr>
          <w:rFonts w:ascii="Arial Narrow" w:eastAsia="Arial Narrow" w:hAnsi="Arial Narrow" w:cs="Arial Narrow"/>
          <w:b/>
          <w:bCs/>
        </w:rPr>
        <w:t xml:space="preserve">JOSÉ JAIME USCÁTEGUI PASTRANA </w:t>
      </w:r>
    </w:p>
    <w:p w14:paraId="564C6F81" w14:textId="77777777" w:rsidR="00E42907" w:rsidRPr="00E71E86" w:rsidRDefault="00564AFD">
      <w:pPr>
        <w:spacing w:after="0"/>
        <w:ind w:right="-136"/>
        <w:rPr>
          <w:rFonts w:ascii="Arial Narrow" w:eastAsia="Arial Narrow" w:hAnsi="Arial Narrow" w:cs="Arial Narrow"/>
        </w:rPr>
      </w:pPr>
      <w:r w:rsidRPr="00E71E86">
        <w:rPr>
          <w:rFonts w:ascii="Arial Narrow" w:eastAsia="Arial Narrow" w:hAnsi="Arial Narrow" w:cs="Arial Narrow"/>
        </w:rPr>
        <w:t>Presidente</w:t>
      </w:r>
    </w:p>
    <w:p w14:paraId="4D5E951C" w14:textId="77777777" w:rsidR="00E42907" w:rsidRPr="00E71E86" w:rsidRDefault="00564AFD">
      <w:pPr>
        <w:spacing w:after="0"/>
        <w:ind w:right="-136"/>
        <w:rPr>
          <w:rFonts w:ascii="Arial Narrow" w:eastAsia="Arial Narrow" w:hAnsi="Arial Narrow" w:cs="Arial Narrow"/>
          <w:b/>
          <w:bCs/>
        </w:rPr>
      </w:pPr>
      <w:r w:rsidRPr="00E71E86">
        <w:rPr>
          <w:rFonts w:ascii="Arial Narrow" w:eastAsia="Arial Narrow" w:hAnsi="Arial Narrow" w:cs="Arial Narrow"/>
          <w:b/>
          <w:bCs/>
        </w:rPr>
        <w:t>Comisión Primera Constitucional</w:t>
      </w:r>
    </w:p>
    <w:p w14:paraId="408B2691" w14:textId="77777777" w:rsidR="00E42907" w:rsidRPr="00E71E86" w:rsidRDefault="00564AFD">
      <w:pPr>
        <w:spacing w:after="0"/>
        <w:ind w:right="-136"/>
        <w:rPr>
          <w:rFonts w:ascii="Arial Narrow" w:eastAsia="Arial Narrow" w:hAnsi="Arial Narrow" w:cs="Arial Narrow"/>
        </w:rPr>
      </w:pPr>
      <w:r w:rsidRPr="00E71E86">
        <w:rPr>
          <w:rFonts w:ascii="Arial Narrow" w:eastAsia="Arial Narrow" w:hAnsi="Arial Narrow" w:cs="Arial Narrow"/>
        </w:rPr>
        <w:t>Cámara de Representantes</w:t>
      </w:r>
    </w:p>
    <w:p w14:paraId="355368E2" w14:textId="77777777" w:rsidR="00E42907" w:rsidRPr="00E71E86" w:rsidRDefault="00E42907">
      <w:pPr>
        <w:ind w:right="-136"/>
        <w:rPr>
          <w:rFonts w:ascii="Arial Narrow" w:eastAsia="Arial Narrow" w:hAnsi="Arial Narrow" w:cs="Arial Narrow"/>
        </w:rPr>
      </w:pPr>
    </w:p>
    <w:p w14:paraId="5BEB88A2" w14:textId="77777777" w:rsidR="00E42907" w:rsidRPr="00E71E86" w:rsidRDefault="00564AFD">
      <w:pPr>
        <w:spacing w:after="0"/>
        <w:ind w:right="-136"/>
        <w:rPr>
          <w:rFonts w:ascii="Arial Narrow" w:eastAsia="Arial Narrow" w:hAnsi="Arial Narrow" w:cs="Arial Narrow"/>
        </w:rPr>
      </w:pPr>
      <w:r w:rsidRPr="00E71E86">
        <w:rPr>
          <w:rFonts w:ascii="Arial Narrow" w:eastAsia="Arial Narrow" w:hAnsi="Arial Narrow" w:cs="Arial Narrow"/>
        </w:rPr>
        <w:t>Doctora</w:t>
      </w:r>
    </w:p>
    <w:p w14:paraId="75E58338" w14:textId="12DBED59" w:rsidR="00E42907" w:rsidRPr="00E71E86" w:rsidRDefault="00564AFD">
      <w:pPr>
        <w:spacing w:after="0"/>
        <w:ind w:right="-136"/>
        <w:rPr>
          <w:rFonts w:ascii="Arial Narrow" w:eastAsia="Arial Narrow" w:hAnsi="Arial Narrow" w:cs="Arial Narrow"/>
          <w:b/>
          <w:bCs/>
        </w:rPr>
      </w:pPr>
      <w:r w:rsidRPr="00E71E86">
        <w:rPr>
          <w:rFonts w:ascii="Arial Narrow" w:eastAsia="Arial Narrow" w:hAnsi="Arial Narrow" w:cs="Arial Narrow"/>
          <w:b/>
          <w:bCs/>
        </w:rPr>
        <w:t xml:space="preserve">Amparo </w:t>
      </w:r>
      <w:r w:rsidR="006C00B4" w:rsidRPr="00E71E86">
        <w:rPr>
          <w:rFonts w:ascii="Arial Narrow" w:eastAsia="Arial Narrow" w:hAnsi="Arial Narrow" w:cs="Arial Narrow"/>
          <w:b/>
          <w:bCs/>
        </w:rPr>
        <w:t>Yaneth Calderón</w:t>
      </w:r>
    </w:p>
    <w:p w14:paraId="00E7E96B" w14:textId="77777777" w:rsidR="00E42907" w:rsidRPr="00E71E86" w:rsidRDefault="00564AFD">
      <w:pPr>
        <w:tabs>
          <w:tab w:val="left" w:pos="1905"/>
        </w:tabs>
        <w:spacing w:after="0"/>
        <w:ind w:right="-136"/>
        <w:rPr>
          <w:rFonts w:ascii="Arial Narrow" w:eastAsia="Arial Narrow" w:hAnsi="Arial Narrow" w:cs="Arial Narrow"/>
        </w:rPr>
      </w:pPr>
      <w:r w:rsidRPr="00E71E86">
        <w:rPr>
          <w:rFonts w:ascii="Arial Narrow" w:eastAsia="Arial Narrow" w:hAnsi="Arial Narrow" w:cs="Arial Narrow"/>
        </w:rPr>
        <w:t xml:space="preserve">Secretaria </w:t>
      </w:r>
      <w:r w:rsidRPr="00E71E86">
        <w:rPr>
          <w:rFonts w:ascii="Arial Narrow" w:eastAsia="Arial Narrow" w:hAnsi="Arial Narrow" w:cs="Arial Narrow"/>
        </w:rPr>
        <w:tab/>
      </w:r>
    </w:p>
    <w:p w14:paraId="5BF25AE7" w14:textId="77777777" w:rsidR="00E42907" w:rsidRPr="00E71E86" w:rsidRDefault="00564AFD">
      <w:pPr>
        <w:spacing w:after="0"/>
        <w:ind w:right="-136"/>
        <w:rPr>
          <w:rFonts w:ascii="Arial Narrow" w:eastAsia="Arial Narrow" w:hAnsi="Arial Narrow" w:cs="Arial Narrow"/>
          <w:b/>
          <w:bCs/>
        </w:rPr>
      </w:pPr>
      <w:r w:rsidRPr="00E71E86">
        <w:rPr>
          <w:rFonts w:ascii="Arial Narrow" w:eastAsia="Arial Narrow" w:hAnsi="Arial Narrow" w:cs="Arial Narrow"/>
          <w:b/>
          <w:bCs/>
        </w:rPr>
        <w:t>Comisión Primera Constitucional</w:t>
      </w:r>
    </w:p>
    <w:p w14:paraId="7B963020" w14:textId="77777777" w:rsidR="00E42907" w:rsidRPr="00E71E86" w:rsidRDefault="00564AFD">
      <w:pPr>
        <w:spacing w:after="0"/>
        <w:ind w:right="-136"/>
        <w:rPr>
          <w:rFonts w:ascii="Arial Narrow" w:eastAsia="Arial Narrow" w:hAnsi="Arial Narrow" w:cs="Arial Narrow"/>
        </w:rPr>
      </w:pPr>
      <w:r w:rsidRPr="00E71E86">
        <w:rPr>
          <w:rFonts w:ascii="Arial Narrow" w:eastAsia="Arial Narrow" w:hAnsi="Arial Narrow" w:cs="Arial Narrow"/>
        </w:rPr>
        <w:t>Cámara de Representantes</w:t>
      </w:r>
    </w:p>
    <w:p w14:paraId="4BC1299F" w14:textId="77777777" w:rsidR="00E42907" w:rsidRPr="00E71E86" w:rsidRDefault="00E42907">
      <w:pPr>
        <w:ind w:right="-136"/>
        <w:rPr>
          <w:rFonts w:ascii="Arial Narrow" w:eastAsia="Arial Narrow" w:hAnsi="Arial Narrow" w:cs="Arial Narrow"/>
        </w:rPr>
      </w:pPr>
    </w:p>
    <w:p w14:paraId="140D86E6" w14:textId="22294ED7" w:rsidR="00E42907" w:rsidRPr="00E71E86" w:rsidRDefault="00564AFD" w:rsidP="008D20AE">
      <w:pPr>
        <w:pBdr>
          <w:top w:val="nil"/>
          <w:left w:val="nil"/>
          <w:bottom w:val="nil"/>
          <w:right w:val="nil"/>
          <w:between w:val="nil"/>
        </w:pBdr>
        <w:spacing w:after="0" w:line="240" w:lineRule="auto"/>
        <w:jc w:val="both"/>
        <w:rPr>
          <w:rFonts w:ascii="Arial Narrow" w:eastAsia="Arial Narrow" w:hAnsi="Arial Narrow" w:cs="Arial Narrow"/>
          <w:b/>
          <w:bCs/>
          <w:i/>
          <w:iCs/>
        </w:rPr>
      </w:pPr>
      <w:r w:rsidRPr="00E71E86">
        <w:rPr>
          <w:rFonts w:ascii="Arial Narrow" w:eastAsia="Arial Narrow" w:hAnsi="Arial Narrow" w:cs="Arial Narrow"/>
          <w:b/>
          <w:bCs/>
        </w:rPr>
        <w:t>Asunto:</w:t>
      </w:r>
      <w:r w:rsidRPr="00E71E86">
        <w:rPr>
          <w:rFonts w:ascii="Arial Narrow" w:eastAsia="Arial Narrow" w:hAnsi="Arial Narrow" w:cs="Arial Narrow"/>
        </w:rPr>
        <w:t xml:space="preserve"> Presentación de Informe de ponencia para primer debate del Proyecto de Ley No. </w:t>
      </w:r>
      <w:r w:rsidR="00E71E86" w:rsidRPr="00E71E86">
        <w:rPr>
          <w:rFonts w:ascii="Arial Narrow" w:eastAsia="Arial Narrow" w:hAnsi="Arial Narrow" w:cs="Arial Narrow"/>
        </w:rPr>
        <w:t xml:space="preserve">309 </w:t>
      </w:r>
      <w:r w:rsidRPr="00E71E86">
        <w:rPr>
          <w:rFonts w:ascii="Arial Narrow" w:eastAsia="Arial Narrow" w:hAnsi="Arial Narrow" w:cs="Arial Narrow"/>
        </w:rPr>
        <w:t>de 2026, Cámara</w:t>
      </w:r>
      <w:r w:rsidR="00E56EA5" w:rsidRPr="00E71E86">
        <w:rPr>
          <w:rFonts w:ascii="Arial Narrow" w:eastAsia="Arial Narrow" w:hAnsi="Arial Narrow" w:cs="Arial Narrow"/>
          <w:b/>
          <w:bCs/>
          <w:i/>
          <w:iCs/>
        </w:rPr>
        <w:t xml:space="preserve">, </w:t>
      </w:r>
      <w:r w:rsidR="008D20AE" w:rsidRPr="00E71E86">
        <w:rPr>
          <w:rFonts w:ascii="Arial Narrow" w:hAnsi="Arial Narrow"/>
          <w:b/>
          <w:bCs/>
          <w:i/>
          <w:iCs/>
        </w:rPr>
        <w:t>“Por medio de la cual se modifican y adicionan disposiciones de la Ley 599 de 2000, con el fin de sancionar la utilización del ocultamiento de identidad para facilitar la comisión de acto vandálico en el contexto de manifestaciones públicas, y se dictan otras disposiciones - Ley Anti Capuchos”.</w:t>
      </w:r>
    </w:p>
    <w:p w14:paraId="16DC4334" w14:textId="77777777" w:rsidR="008D20AE" w:rsidRPr="00E71E86" w:rsidRDefault="008D20AE">
      <w:pPr>
        <w:ind w:right="-136"/>
        <w:rPr>
          <w:rFonts w:ascii="Arial Narrow" w:eastAsia="Arial Narrow" w:hAnsi="Arial Narrow" w:cs="Arial Narrow"/>
          <w:i/>
          <w:iCs/>
        </w:rPr>
      </w:pPr>
    </w:p>
    <w:p w14:paraId="65FCE577" w14:textId="216961F4" w:rsidR="00E42907" w:rsidRPr="00E71E86" w:rsidRDefault="00564AFD">
      <w:pPr>
        <w:ind w:right="-136"/>
        <w:rPr>
          <w:rFonts w:ascii="Arial Narrow" w:eastAsia="Arial Narrow" w:hAnsi="Arial Narrow" w:cs="Arial Narrow"/>
        </w:rPr>
      </w:pPr>
      <w:r w:rsidRPr="00E71E86">
        <w:rPr>
          <w:rFonts w:ascii="Arial Narrow" w:eastAsia="Arial Narrow" w:hAnsi="Arial Narrow" w:cs="Arial Narrow"/>
        </w:rPr>
        <w:t xml:space="preserve">Honorable </w:t>
      </w:r>
      <w:proofErr w:type="gramStart"/>
      <w:r w:rsidRPr="00E71E86">
        <w:rPr>
          <w:rFonts w:ascii="Arial Narrow" w:eastAsia="Arial Narrow" w:hAnsi="Arial Narrow" w:cs="Arial Narrow"/>
        </w:rPr>
        <w:t>Presidente</w:t>
      </w:r>
      <w:proofErr w:type="gramEnd"/>
      <w:r w:rsidRPr="00E71E86">
        <w:rPr>
          <w:rFonts w:ascii="Arial Narrow" w:eastAsia="Arial Narrow" w:hAnsi="Arial Narrow" w:cs="Arial Narrow"/>
        </w:rPr>
        <w:t xml:space="preserve"> y respetada Secretaria reciban un cordial saludo</w:t>
      </w:r>
      <w:r w:rsidR="008D20AE" w:rsidRPr="00E71E86">
        <w:rPr>
          <w:rFonts w:ascii="Arial Narrow" w:eastAsia="Arial Narrow" w:hAnsi="Arial Narrow" w:cs="Arial Narrow"/>
        </w:rPr>
        <w:t>.</w:t>
      </w:r>
    </w:p>
    <w:p w14:paraId="2540E041" w14:textId="56DD5FD9" w:rsidR="008D20AE" w:rsidRPr="00E71E86" w:rsidRDefault="00564AFD" w:rsidP="008D20AE">
      <w:pPr>
        <w:pBdr>
          <w:top w:val="nil"/>
          <w:left w:val="nil"/>
          <w:bottom w:val="nil"/>
          <w:right w:val="nil"/>
          <w:between w:val="nil"/>
        </w:pBdr>
        <w:spacing w:after="0" w:line="240" w:lineRule="auto"/>
        <w:jc w:val="both"/>
        <w:rPr>
          <w:rFonts w:ascii="Arial Narrow" w:eastAsia="Arial Narrow" w:hAnsi="Arial Narrow" w:cs="Arial Narrow"/>
          <w:b/>
          <w:bCs/>
          <w:i/>
          <w:iCs/>
        </w:rPr>
      </w:pPr>
      <w:r w:rsidRPr="00E71E86">
        <w:rPr>
          <w:rFonts w:ascii="Arial Narrow" w:eastAsia="Arial Narrow" w:hAnsi="Arial Narrow" w:cs="Arial Narrow"/>
        </w:rPr>
        <w:t xml:space="preserve">En cumplimiento a la honrosa designación efectuada por la mesa directiva de la Comisión Primera Constitucional de la Cámara de Representantes y de conformidad con lo establecido en los artículos 150, 153 y 156 de la Ley 5° de 1992, nos permitimos rendir informe de ponencia positiva para primer debate al Proyecto de Ley No. </w:t>
      </w:r>
      <w:r w:rsidR="00E71E86" w:rsidRPr="00E71E86">
        <w:rPr>
          <w:rFonts w:ascii="Arial Narrow" w:eastAsia="Arial Narrow" w:hAnsi="Arial Narrow" w:cs="Arial Narrow"/>
        </w:rPr>
        <w:t>309</w:t>
      </w:r>
      <w:r w:rsidRPr="00E71E86">
        <w:rPr>
          <w:rFonts w:ascii="Arial Narrow" w:eastAsia="Arial Narrow" w:hAnsi="Arial Narrow" w:cs="Arial Narrow"/>
        </w:rPr>
        <w:t xml:space="preserve"> de 2026, Cámara, </w:t>
      </w:r>
      <w:r w:rsidR="008D20AE" w:rsidRPr="00E71E86">
        <w:rPr>
          <w:rFonts w:ascii="Arial Narrow" w:hAnsi="Arial Narrow"/>
          <w:b/>
          <w:bCs/>
          <w:i/>
          <w:iCs/>
        </w:rPr>
        <w:t>“Por medio de la cual se modifican y adicionan disposiciones de la Ley 599 de 2000, con el fin de sancionar la utilización del ocultamiento de identidad para facilitar la comisión de acto vandálico en el contexto de manifestaciones públicas, y se dictan otras disposiciones - Ley Anti Capuchos”.</w:t>
      </w:r>
    </w:p>
    <w:p w14:paraId="096BCB40" w14:textId="77777777" w:rsidR="008D20AE" w:rsidRPr="00E71E86" w:rsidRDefault="008D20AE" w:rsidP="008D20AE">
      <w:pPr>
        <w:ind w:right="-136"/>
        <w:jc w:val="both"/>
        <w:rPr>
          <w:rFonts w:ascii="Arial Narrow" w:eastAsia="Arial Narrow" w:hAnsi="Arial Narrow" w:cs="Arial Narrow"/>
        </w:rPr>
      </w:pPr>
    </w:p>
    <w:p w14:paraId="42BFBA6A" w14:textId="11D09188" w:rsidR="00E42907" w:rsidRPr="00E71E86" w:rsidRDefault="00564AFD" w:rsidP="008D20AE">
      <w:pPr>
        <w:ind w:right="-136"/>
        <w:jc w:val="both"/>
        <w:rPr>
          <w:rFonts w:ascii="Arial Narrow" w:eastAsia="Arial Narrow" w:hAnsi="Arial Narrow" w:cs="Arial Narrow"/>
        </w:rPr>
      </w:pPr>
      <w:r w:rsidRPr="00E71E86">
        <w:rPr>
          <w:rFonts w:ascii="Arial Narrow" w:eastAsia="Arial Narrow" w:hAnsi="Arial Narrow" w:cs="Arial Narrow"/>
        </w:rPr>
        <w:t xml:space="preserve">Cordialmente, </w:t>
      </w:r>
    </w:p>
    <w:p w14:paraId="4DB8BEC8" w14:textId="1BFD1953" w:rsidR="001D4AD1" w:rsidRDefault="001D4AD1">
      <w:pPr>
        <w:ind w:right="-136"/>
        <w:rPr>
          <w:rFonts w:ascii="Arial Narrow" w:eastAsia="Arial Narrow" w:hAnsi="Arial Narrow" w:cs="Arial Narrow"/>
        </w:rPr>
      </w:pPr>
    </w:p>
    <w:p w14:paraId="57C14BCF" w14:textId="77777777" w:rsidR="00FC63FF" w:rsidRPr="00E71E86" w:rsidRDefault="00FC63FF">
      <w:pPr>
        <w:ind w:right="-136"/>
        <w:rPr>
          <w:rFonts w:ascii="Arial Narrow" w:eastAsia="Arial Narrow" w:hAnsi="Arial Narrow" w:cs="Arial Narrow"/>
        </w:rPr>
      </w:pPr>
    </w:p>
    <w:p w14:paraId="505F5D7B" w14:textId="2F17381F" w:rsidR="00E42907" w:rsidRPr="00E71E86" w:rsidRDefault="001D4AD1" w:rsidP="001D4AD1">
      <w:pPr>
        <w:spacing w:after="0"/>
        <w:ind w:right="-136"/>
        <w:rPr>
          <w:rFonts w:ascii="Arial Narrow" w:eastAsia="Arial Narrow" w:hAnsi="Arial Narrow" w:cs="Arial Narrow"/>
          <w:b/>
          <w:bCs/>
        </w:rPr>
      </w:pPr>
      <w:r w:rsidRPr="00E71E86">
        <w:rPr>
          <w:rFonts w:ascii="Arial Narrow" w:eastAsia="Arial Narrow" w:hAnsi="Arial Narrow" w:cs="Arial Narrow"/>
          <w:b/>
          <w:bCs/>
        </w:rPr>
        <w:t>Jaime Ignacio Arizabaleta</w:t>
      </w:r>
    </w:p>
    <w:p w14:paraId="28D0BED3" w14:textId="42E28CB2" w:rsidR="001D4AD1" w:rsidRPr="00E71E86" w:rsidRDefault="001D4AD1" w:rsidP="001D4AD1">
      <w:pPr>
        <w:spacing w:after="0"/>
        <w:ind w:right="-136"/>
        <w:rPr>
          <w:rFonts w:ascii="Arial Narrow" w:eastAsia="Arial Narrow" w:hAnsi="Arial Narrow" w:cs="Arial Narrow"/>
          <w:b/>
          <w:bCs/>
        </w:rPr>
      </w:pPr>
      <w:r w:rsidRPr="00E71E86">
        <w:rPr>
          <w:rFonts w:ascii="Arial Narrow" w:eastAsia="Arial Narrow" w:hAnsi="Arial Narrow" w:cs="Arial Narrow"/>
          <w:b/>
          <w:bCs/>
        </w:rPr>
        <w:t>Representante a la Cámara</w:t>
      </w:r>
    </w:p>
    <w:p w14:paraId="083C595E" w14:textId="71ECB766" w:rsidR="001D4AD1" w:rsidRPr="00E71E86" w:rsidRDefault="001D4AD1" w:rsidP="001D4AD1">
      <w:pPr>
        <w:spacing w:after="0"/>
        <w:ind w:right="-136"/>
        <w:rPr>
          <w:rFonts w:ascii="Arial Narrow" w:eastAsia="Arial Narrow" w:hAnsi="Arial Narrow" w:cs="Arial Narrow"/>
          <w:b/>
          <w:bCs/>
        </w:rPr>
      </w:pPr>
      <w:r w:rsidRPr="00E71E86">
        <w:rPr>
          <w:rFonts w:ascii="Arial Narrow" w:eastAsia="Arial Narrow" w:hAnsi="Arial Narrow" w:cs="Arial Narrow"/>
          <w:b/>
          <w:bCs/>
        </w:rPr>
        <w:t xml:space="preserve">Centro Democrático </w:t>
      </w:r>
    </w:p>
    <w:p w14:paraId="12FCBA28" w14:textId="63AA1B09" w:rsidR="001D4AD1" w:rsidRPr="00E71E86" w:rsidRDefault="001D4AD1" w:rsidP="00E35B42">
      <w:pPr>
        <w:widowControl w:val="0"/>
        <w:pBdr>
          <w:top w:val="nil"/>
          <w:left w:val="nil"/>
          <w:bottom w:val="nil"/>
          <w:right w:val="nil"/>
          <w:between w:val="nil"/>
        </w:pBdr>
        <w:spacing w:after="0" w:line="240" w:lineRule="auto"/>
        <w:rPr>
          <w:rFonts w:ascii="Arial Narrow" w:eastAsia="Arial Narrow" w:hAnsi="Arial Narrow" w:cs="Arial Narrow"/>
        </w:rPr>
      </w:pPr>
    </w:p>
    <w:p w14:paraId="0243B6F2" w14:textId="0FDC22DB" w:rsidR="001D4AD1" w:rsidRPr="00E71E86" w:rsidRDefault="001D4AD1" w:rsidP="00E35B42">
      <w:pPr>
        <w:widowControl w:val="0"/>
        <w:pBdr>
          <w:top w:val="nil"/>
          <w:left w:val="nil"/>
          <w:bottom w:val="nil"/>
          <w:right w:val="nil"/>
          <w:between w:val="nil"/>
        </w:pBdr>
        <w:spacing w:after="0" w:line="240" w:lineRule="auto"/>
      </w:pPr>
    </w:p>
    <w:p w14:paraId="3A2566A3" w14:textId="3405A932" w:rsidR="00E42907" w:rsidRPr="00E71E86" w:rsidRDefault="00E42907">
      <w:pPr>
        <w:pBdr>
          <w:top w:val="nil"/>
          <w:left w:val="nil"/>
          <w:bottom w:val="nil"/>
          <w:right w:val="nil"/>
          <w:between w:val="nil"/>
        </w:pBdr>
        <w:spacing w:after="0" w:line="240" w:lineRule="auto"/>
        <w:jc w:val="both"/>
        <w:rPr>
          <w:rFonts w:ascii="Arial Narrow" w:eastAsia="Arial Narrow" w:hAnsi="Arial Narrow" w:cs="Arial Narrow"/>
          <w:b/>
          <w:bCs/>
        </w:rPr>
      </w:pPr>
    </w:p>
    <w:p w14:paraId="47DF57FA" w14:textId="77777777" w:rsidR="00E42907" w:rsidRPr="00E71E86" w:rsidRDefault="00E42907">
      <w:pPr>
        <w:pBdr>
          <w:top w:val="nil"/>
          <w:left w:val="nil"/>
          <w:bottom w:val="nil"/>
          <w:right w:val="nil"/>
          <w:between w:val="nil"/>
        </w:pBdr>
        <w:spacing w:after="0" w:line="240" w:lineRule="auto"/>
        <w:jc w:val="both"/>
        <w:rPr>
          <w:rFonts w:ascii="Arial Narrow" w:eastAsia="Arial Narrow" w:hAnsi="Arial Narrow" w:cs="Arial Narrow"/>
          <w:b/>
          <w:bCs/>
        </w:rPr>
      </w:pPr>
    </w:p>
    <w:p w14:paraId="4EAC2C51" w14:textId="77777777" w:rsidR="00E42907" w:rsidRPr="00E71E86" w:rsidRDefault="00E42907">
      <w:pPr>
        <w:pBdr>
          <w:top w:val="nil"/>
          <w:left w:val="nil"/>
          <w:bottom w:val="nil"/>
          <w:right w:val="nil"/>
          <w:between w:val="nil"/>
        </w:pBdr>
        <w:spacing w:after="0" w:line="240" w:lineRule="auto"/>
        <w:jc w:val="both"/>
        <w:rPr>
          <w:rFonts w:ascii="Arial Narrow" w:eastAsia="Arial Narrow" w:hAnsi="Arial Narrow" w:cs="Arial Narrow"/>
          <w:b/>
          <w:bCs/>
        </w:rPr>
      </w:pPr>
    </w:p>
    <w:p w14:paraId="14025DAD" w14:textId="77777777" w:rsidR="006C00B4" w:rsidRPr="00E71E86" w:rsidRDefault="006C00B4">
      <w:pPr>
        <w:pBdr>
          <w:top w:val="nil"/>
          <w:left w:val="nil"/>
          <w:bottom w:val="nil"/>
          <w:right w:val="nil"/>
          <w:between w:val="nil"/>
        </w:pBdr>
        <w:spacing w:after="0" w:line="240" w:lineRule="auto"/>
        <w:jc w:val="both"/>
        <w:rPr>
          <w:rFonts w:ascii="Arial Narrow" w:eastAsia="Arial Narrow" w:hAnsi="Arial Narrow" w:cs="Arial Narrow"/>
          <w:b/>
          <w:bCs/>
        </w:rPr>
      </w:pPr>
    </w:p>
    <w:p w14:paraId="3E2CFCA3" w14:textId="0BA1C51B" w:rsidR="00E42907" w:rsidRPr="00E71E86" w:rsidRDefault="00564AFD">
      <w:pPr>
        <w:pBdr>
          <w:top w:val="nil"/>
          <w:left w:val="nil"/>
          <w:bottom w:val="nil"/>
          <w:right w:val="nil"/>
          <w:between w:val="nil"/>
        </w:pBdr>
        <w:spacing w:after="0" w:line="240" w:lineRule="auto"/>
        <w:jc w:val="center"/>
        <w:rPr>
          <w:rFonts w:ascii="Arial Narrow" w:eastAsia="Arial Narrow" w:hAnsi="Arial Narrow" w:cs="Arial Narrow"/>
        </w:rPr>
      </w:pPr>
      <w:r w:rsidRPr="00E71E86">
        <w:rPr>
          <w:rFonts w:ascii="Arial Narrow" w:eastAsia="Arial Narrow" w:hAnsi="Arial Narrow" w:cs="Arial Narrow"/>
          <w:b/>
          <w:bCs/>
        </w:rPr>
        <w:t xml:space="preserve">INFORME DE PONENCIA PARA PRIMER DEBATE DEL PROYECTO DE LEY No. </w:t>
      </w:r>
      <w:r w:rsidR="008D20AE" w:rsidRPr="00E71E86">
        <w:rPr>
          <w:rFonts w:ascii="Arial Narrow" w:eastAsia="Arial Narrow" w:hAnsi="Arial Narrow" w:cs="Arial Narrow"/>
          <w:b/>
          <w:bCs/>
        </w:rPr>
        <w:t xml:space="preserve">309 </w:t>
      </w:r>
      <w:r w:rsidRPr="00E71E86">
        <w:rPr>
          <w:rFonts w:ascii="Arial Narrow" w:eastAsia="Arial Narrow" w:hAnsi="Arial Narrow" w:cs="Arial Narrow"/>
          <w:b/>
          <w:bCs/>
        </w:rPr>
        <w:t>de 2026 - CÁMARA.</w:t>
      </w:r>
    </w:p>
    <w:p w14:paraId="5EE4D18E" w14:textId="77777777" w:rsidR="00E42907" w:rsidRPr="00E71E86" w:rsidRDefault="00E42907">
      <w:pPr>
        <w:pBdr>
          <w:top w:val="nil"/>
          <w:left w:val="nil"/>
          <w:bottom w:val="nil"/>
          <w:right w:val="nil"/>
          <w:between w:val="nil"/>
        </w:pBdr>
        <w:spacing w:after="0" w:line="240" w:lineRule="auto"/>
        <w:jc w:val="center"/>
        <w:rPr>
          <w:rFonts w:ascii="Arial Narrow" w:eastAsia="Arial Narrow" w:hAnsi="Arial Narrow" w:cs="Arial Narrow"/>
        </w:rPr>
      </w:pPr>
    </w:p>
    <w:p w14:paraId="07611C9D" w14:textId="77777777" w:rsidR="008D20AE" w:rsidRPr="00E71E86" w:rsidRDefault="008D20AE" w:rsidP="008D20AE">
      <w:pPr>
        <w:pBdr>
          <w:top w:val="nil"/>
          <w:left w:val="nil"/>
          <w:bottom w:val="nil"/>
          <w:right w:val="nil"/>
          <w:between w:val="nil"/>
        </w:pBdr>
        <w:spacing w:after="0" w:line="240" w:lineRule="auto"/>
        <w:jc w:val="center"/>
        <w:rPr>
          <w:rFonts w:ascii="Arial Narrow" w:eastAsia="Arial Narrow" w:hAnsi="Arial Narrow" w:cs="Arial Narrow"/>
          <w:b/>
          <w:bCs/>
          <w:i/>
          <w:iCs/>
        </w:rPr>
      </w:pPr>
      <w:r w:rsidRPr="00E71E86">
        <w:rPr>
          <w:rFonts w:ascii="Arial Narrow" w:hAnsi="Arial Narrow"/>
          <w:b/>
          <w:bCs/>
          <w:i/>
          <w:iCs/>
        </w:rPr>
        <w:t>“Por medio de la cual se modifican y adicionan disposiciones de la Ley 599 de 2000, con el fin de sancionar la utilización del ocultamiento de identidad para facilitar la comisión de acto vandálico en el contexto de manifestaciones públicas, y se dictan otras disposiciones - Ley Anti Capuchos”.</w:t>
      </w:r>
    </w:p>
    <w:p w14:paraId="6741530D" w14:textId="77777777" w:rsidR="00E42907" w:rsidRPr="00E71E86" w:rsidRDefault="00E42907">
      <w:pPr>
        <w:ind w:right="-136"/>
        <w:jc w:val="center"/>
        <w:rPr>
          <w:rFonts w:ascii="Arial Narrow" w:eastAsia="Arial Narrow" w:hAnsi="Arial Narrow" w:cs="Arial Narrow"/>
          <w:b/>
          <w:bCs/>
          <w:i/>
          <w:iCs/>
        </w:rPr>
      </w:pPr>
    </w:p>
    <w:p w14:paraId="501C06D1" w14:textId="77777777" w:rsidR="00E42907" w:rsidRPr="00E71E86" w:rsidRDefault="00564AFD">
      <w:pPr>
        <w:ind w:right="-136"/>
        <w:jc w:val="both"/>
        <w:rPr>
          <w:rFonts w:ascii="Arial Narrow" w:eastAsia="Arial Narrow" w:hAnsi="Arial Narrow" w:cs="Arial Narrow"/>
        </w:rPr>
      </w:pPr>
      <w:r w:rsidRPr="00E71E86">
        <w:rPr>
          <w:rFonts w:ascii="Arial Narrow" w:eastAsia="Arial Narrow" w:hAnsi="Arial Narrow" w:cs="Arial Narrow"/>
        </w:rPr>
        <w:t>El informe de ponencia se desarrollará de la siguiente manera:</w:t>
      </w:r>
    </w:p>
    <w:p w14:paraId="5E3E6BBF" w14:textId="36A922C3" w:rsidR="00E42907" w:rsidRPr="00E71E86" w:rsidRDefault="00564AFD">
      <w:pPr>
        <w:numPr>
          <w:ilvl w:val="0"/>
          <w:numId w:val="5"/>
        </w:numPr>
        <w:spacing w:after="0" w:line="276" w:lineRule="auto"/>
        <w:ind w:right="-136"/>
        <w:jc w:val="both"/>
        <w:rPr>
          <w:rFonts w:ascii="Arial Narrow" w:eastAsia="Arial Narrow" w:hAnsi="Arial Narrow" w:cs="Arial Narrow"/>
        </w:rPr>
      </w:pPr>
      <w:r w:rsidRPr="00E71E86">
        <w:rPr>
          <w:rFonts w:ascii="Arial Narrow" w:eastAsia="Arial Narrow" w:hAnsi="Arial Narrow" w:cs="Arial Narrow"/>
        </w:rPr>
        <w:t>Antecedentes del trámite legislativo</w:t>
      </w:r>
      <w:r w:rsidR="008D20AE" w:rsidRPr="00E71E86">
        <w:rPr>
          <w:rFonts w:ascii="Arial Narrow" w:eastAsia="Arial Narrow" w:hAnsi="Arial Narrow" w:cs="Arial Narrow"/>
        </w:rPr>
        <w:t>.</w:t>
      </w:r>
    </w:p>
    <w:p w14:paraId="1BB866D7" w14:textId="77777777" w:rsidR="00E42907" w:rsidRPr="00E71E86" w:rsidRDefault="00564AFD">
      <w:pPr>
        <w:numPr>
          <w:ilvl w:val="0"/>
          <w:numId w:val="5"/>
        </w:numPr>
        <w:spacing w:after="0" w:line="276" w:lineRule="auto"/>
        <w:ind w:right="-136"/>
        <w:jc w:val="both"/>
        <w:rPr>
          <w:rFonts w:ascii="Arial Narrow" w:eastAsia="Arial Narrow" w:hAnsi="Arial Narrow" w:cs="Arial Narrow"/>
        </w:rPr>
      </w:pPr>
      <w:r w:rsidRPr="00E71E86">
        <w:rPr>
          <w:rFonts w:ascii="Arial Narrow" w:eastAsia="Arial Narrow" w:hAnsi="Arial Narrow" w:cs="Arial Narrow"/>
        </w:rPr>
        <w:t>Objeto.</w:t>
      </w:r>
    </w:p>
    <w:p w14:paraId="0C4E0187" w14:textId="5AE5A2F3" w:rsidR="00E42907" w:rsidRPr="00E71E86" w:rsidRDefault="00564AFD">
      <w:pPr>
        <w:numPr>
          <w:ilvl w:val="0"/>
          <w:numId w:val="5"/>
        </w:numPr>
        <w:spacing w:after="0" w:line="276" w:lineRule="auto"/>
        <w:ind w:right="-136"/>
        <w:jc w:val="both"/>
        <w:rPr>
          <w:rFonts w:ascii="Arial Narrow" w:eastAsia="Arial Narrow" w:hAnsi="Arial Narrow" w:cs="Arial Narrow"/>
        </w:rPr>
      </w:pPr>
      <w:r w:rsidRPr="00E71E86">
        <w:rPr>
          <w:rFonts w:ascii="Arial Narrow" w:eastAsia="Arial Narrow" w:hAnsi="Arial Narrow" w:cs="Arial Narrow"/>
        </w:rPr>
        <w:t>Contenido del proyecto (resumen de c/u art)</w:t>
      </w:r>
      <w:r w:rsidR="008D20AE" w:rsidRPr="00E71E86">
        <w:rPr>
          <w:rFonts w:ascii="Arial Narrow" w:eastAsia="Arial Narrow" w:hAnsi="Arial Narrow" w:cs="Arial Narrow"/>
        </w:rPr>
        <w:t>.</w:t>
      </w:r>
    </w:p>
    <w:p w14:paraId="279D4D18" w14:textId="77777777" w:rsidR="00E42907" w:rsidRPr="00E71E86" w:rsidRDefault="00564AFD">
      <w:pPr>
        <w:numPr>
          <w:ilvl w:val="0"/>
          <w:numId w:val="5"/>
        </w:numPr>
        <w:spacing w:after="0" w:line="276" w:lineRule="auto"/>
        <w:ind w:right="-136"/>
        <w:jc w:val="both"/>
        <w:rPr>
          <w:rFonts w:ascii="Arial Narrow" w:eastAsia="Arial Narrow" w:hAnsi="Arial Narrow" w:cs="Arial Narrow"/>
        </w:rPr>
      </w:pPr>
      <w:r w:rsidRPr="00E71E86">
        <w:rPr>
          <w:rFonts w:ascii="Arial Narrow" w:eastAsia="Arial Narrow" w:hAnsi="Arial Narrow" w:cs="Arial Narrow"/>
        </w:rPr>
        <w:t>Marco Jurídico.</w:t>
      </w:r>
    </w:p>
    <w:p w14:paraId="58A35C45" w14:textId="6F8BA27E" w:rsidR="00E42907" w:rsidRPr="00E71E86" w:rsidRDefault="00564AFD">
      <w:pPr>
        <w:numPr>
          <w:ilvl w:val="0"/>
          <w:numId w:val="5"/>
        </w:numPr>
        <w:spacing w:after="0" w:line="276" w:lineRule="auto"/>
        <w:ind w:right="-136"/>
        <w:jc w:val="both"/>
        <w:rPr>
          <w:rFonts w:ascii="Arial Narrow" w:eastAsia="Arial Narrow" w:hAnsi="Arial Narrow" w:cs="Arial Narrow"/>
        </w:rPr>
      </w:pPr>
      <w:r w:rsidRPr="00E71E86">
        <w:rPr>
          <w:rFonts w:ascii="Arial Narrow" w:eastAsia="Arial Narrow" w:hAnsi="Arial Narrow" w:cs="Arial Narrow"/>
        </w:rPr>
        <w:t>Justificación del Proyecto de Ley</w:t>
      </w:r>
      <w:r w:rsidR="008D20AE" w:rsidRPr="00E71E86">
        <w:rPr>
          <w:rFonts w:ascii="Arial Narrow" w:eastAsia="Arial Narrow" w:hAnsi="Arial Narrow" w:cs="Arial Narrow"/>
        </w:rPr>
        <w:t>.</w:t>
      </w:r>
    </w:p>
    <w:p w14:paraId="0E17B902" w14:textId="4BB31EEB" w:rsidR="00E42907" w:rsidRPr="00E71E86" w:rsidRDefault="00564AFD">
      <w:pPr>
        <w:numPr>
          <w:ilvl w:val="0"/>
          <w:numId w:val="5"/>
        </w:numPr>
        <w:spacing w:after="0" w:line="276" w:lineRule="auto"/>
        <w:ind w:right="-136"/>
        <w:jc w:val="both"/>
        <w:rPr>
          <w:rFonts w:ascii="Arial Narrow" w:eastAsia="Arial Narrow" w:hAnsi="Arial Narrow" w:cs="Arial Narrow"/>
        </w:rPr>
      </w:pPr>
      <w:r w:rsidRPr="00E71E86">
        <w:rPr>
          <w:rFonts w:ascii="Arial Narrow" w:eastAsia="Arial Narrow" w:hAnsi="Arial Narrow" w:cs="Arial Narrow"/>
        </w:rPr>
        <w:t>Consideraci</w:t>
      </w:r>
      <w:r w:rsidR="008D20AE" w:rsidRPr="00E71E86">
        <w:rPr>
          <w:rFonts w:ascii="Arial Narrow" w:eastAsia="Arial Narrow" w:hAnsi="Arial Narrow" w:cs="Arial Narrow"/>
        </w:rPr>
        <w:t>ón</w:t>
      </w:r>
      <w:r w:rsidRPr="00E71E86">
        <w:rPr>
          <w:rFonts w:ascii="Arial Narrow" w:eastAsia="Arial Narrow" w:hAnsi="Arial Narrow" w:cs="Arial Narrow"/>
        </w:rPr>
        <w:t xml:space="preserve"> de</w:t>
      </w:r>
      <w:r w:rsidR="008D20AE" w:rsidRPr="00E71E86">
        <w:rPr>
          <w:rFonts w:ascii="Arial Narrow" w:eastAsia="Arial Narrow" w:hAnsi="Arial Narrow" w:cs="Arial Narrow"/>
        </w:rPr>
        <w:t>l</w:t>
      </w:r>
      <w:r w:rsidRPr="00E71E86">
        <w:rPr>
          <w:rFonts w:ascii="Arial Narrow" w:eastAsia="Arial Narrow" w:hAnsi="Arial Narrow" w:cs="Arial Narrow"/>
        </w:rPr>
        <w:t xml:space="preserve"> ponente</w:t>
      </w:r>
      <w:r w:rsidR="008D20AE" w:rsidRPr="00E71E86">
        <w:rPr>
          <w:rFonts w:ascii="Arial Narrow" w:eastAsia="Arial Narrow" w:hAnsi="Arial Narrow" w:cs="Arial Narrow"/>
        </w:rPr>
        <w:t>.</w:t>
      </w:r>
    </w:p>
    <w:p w14:paraId="3F213175" w14:textId="77777777" w:rsidR="00E42907" w:rsidRPr="00E71E86" w:rsidRDefault="00564AFD">
      <w:pPr>
        <w:numPr>
          <w:ilvl w:val="0"/>
          <w:numId w:val="5"/>
        </w:numPr>
        <w:spacing w:after="0" w:line="276" w:lineRule="auto"/>
        <w:ind w:right="-136"/>
        <w:jc w:val="both"/>
        <w:rPr>
          <w:rFonts w:ascii="Arial Narrow" w:eastAsia="Arial Narrow" w:hAnsi="Arial Narrow" w:cs="Arial Narrow"/>
        </w:rPr>
      </w:pPr>
      <w:r w:rsidRPr="00E71E86">
        <w:rPr>
          <w:rFonts w:ascii="Arial Narrow" w:eastAsia="Arial Narrow" w:hAnsi="Arial Narrow" w:cs="Arial Narrow"/>
        </w:rPr>
        <w:t>Pliego de modificaciones.</w:t>
      </w:r>
    </w:p>
    <w:p w14:paraId="77732407" w14:textId="77777777" w:rsidR="00E42907" w:rsidRPr="00E71E86" w:rsidRDefault="00564AFD">
      <w:pPr>
        <w:numPr>
          <w:ilvl w:val="0"/>
          <w:numId w:val="5"/>
        </w:numPr>
        <w:spacing w:after="0" w:line="276" w:lineRule="auto"/>
        <w:ind w:right="-136"/>
        <w:jc w:val="both"/>
        <w:rPr>
          <w:rFonts w:ascii="Arial Narrow" w:eastAsia="Arial Narrow" w:hAnsi="Arial Narrow" w:cs="Arial Narrow"/>
        </w:rPr>
      </w:pPr>
      <w:r w:rsidRPr="00E71E86">
        <w:rPr>
          <w:rFonts w:ascii="Arial Narrow" w:eastAsia="Arial Narrow" w:hAnsi="Arial Narrow" w:cs="Arial Narrow"/>
        </w:rPr>
        <w:t>Conflicto de intereses.</w:t>
      </w:r>
    </w:p>
    <w:p w14:paraId="173A082C" w14:textId="67ADE1C8" w:rsidR="00E42907" w:rsidRPr="00E71E86" w:rsidRDefault="007D6296">
      <w:pPr>
        <w:numPr>
          <w:ilvl w:val="0"/>
          <w:numId w:val="5"/>
        </w:numPr>
        <w:spacing w:after="0" w:line="276" w:lineRule="auto"/>
        <w:ind w:right="-136"/>
        <w:jc w:val="both"/>
        <w:rPr>
          <w:rFonts w:ascii="Arial Narrow" w:eastAsia="Arial Narrow" w:hAnsi="Arial Narrow" w:cs="Arial Narrow"/>
        </w:rPr>
      </w:pPr>
      <w:r>
        <w:rPr>
          <w:rFonts w:ascii="Arial Narrow" w:eastAsia="Arial Narrow" w:hAnsi="Arial Narrow" w:cs="Arial Narrow"/>
        </w:rPr>
        <w:t>Impacto Fiscal.</w:t>
      </w:r>
    </w:p>
    <w:p w14:paraId="28583B8E" w14:textId="36B9EB5E" w:rsidR="00E42907" w:rsidRDefault="007D6296">
      <w:pPr>
        <w:numPr>
          <w:ilvl w:val="0"/>
          <w:numId w:val="5"/>
        </w:numPr>
        <w:spacing w:after="0" w:line="276" w:lineRule="auto"/>
        <w:ind w:right="-136"/>
        <w:jc w:val="both"/>
        <w:rPr>
          <w:rFonts w:ascii="Arial Narrow" w:eastAsia="Arial Narrow" w:hAnsi="Arial Narrow" w:cs="Arial Narrow"/>
        </w:rPr>
      </w:pPr>
      <w:r>
        <w:rPr>
          <w:rFonts w:ascii="Arial Narrow" w:eastAsia="Arial Narrow" w:hAnsi="Arial Narrow" w:cs="Arial Narrow"/>
        </w:rPr>
        <w:t>Proposición.</w:t>
      </w:r>
    </w:p>
    <w:p w14:paraId="1587574F" w14:textId="4AFA87A1" w:rsidR="007D6296" w:rsidRPr="00E71E86" w:rsidRDefault="007D6296">
      <w:pPr>
        <w:numPr>
          <w:ilvl w:val="0"/>
          <w:numId w:val="5"/>
        </w:numPr>
        <w:spacing w:after="0" w:line="276" w:lineRule="auto"/>
        <w:ind w:right="-136"/>
        <w:jc w:val="both"/>
        <w:rPr>
          <w:rFonts w:ascii="Arial Narrow" w:eastAsia="Arial Narrow" w:hAnsi="Arial Narrow" w:cs="Arial Narrow"/>
        </w:rPr>
      </w:pPr>
      <w:r>
        <w:rPr>
          <w:rFonts w:ascii="Arial Narrow" w:eastAsia="Arial Narrow" w:hAnsi="Arial Narrow" w:cs="Arial Narrow"/>
        </w:rPr>
        <w:t>Texto propuesto para primer debate.</w:t>
      </w:r>
    </w:p>
    <w:p w14:paraId="5BF17992" w14:textId="77777777" w:rsidR="00E42907" w:rsidRPr="00E71E86" w:rsidRDefault="00E42907">
      <w:pPr>
        <w:spacing w:line="240" w:lineRule="auto"/>
        <w:ind w:left="720"/>
        <w:jc w:val="both"/>
        <w:rPr>
          <w:rFonts w:ascii="Arial Narrow" w:eastAsia="Arial Narrow" w:hAnsi="Arial Narrow" w:cs="Arial Narrow"/>
        </w:rPr>
      </w:pPr>
    </w:p>
    <w:p w14:paraId="59D1BEB6" w14:textId="77777777" w:rsidR="00E42907" w:rsidRPr="00E71E86" w:rsidRDefault="00564AFD">
      <w:pPr>
        <w:numPr>
          <w:ilvl w:val="3"/>
          <w:numId w:val="5"/>
        </w:numPr>
        <w:spacing w:after="0" w:line="240" w:lineRule="auto"/>
        <w:ind w:left="720"/>
        <w:jc w:val="both"/>
        <w:rPr>
          <w:rFonts w:ascii="Arial Narrow" w:eastAsia="Arial Narrow" w:hAnsi="Arial Narrow" w:cs="Arial Narrow"/>
          <w:b/>
          <w:bCs/>
        </w:rPr>
      </w:pPr>
      <w:r w:rsidRPr="00E71E86">
        <w:rPr>
          <w:rFonts w:ascii="Arial Narrow" w:eastAsia="Arial Narrow" w:hAnsi="Arial Narrow" w:cs="Arial Narrow"/>
          <w:b/>
          <w:bCs/>
        </w:rPr>
        <w:t>ANTECEDENTES DEL TRÁMITE LEGISLATIVOS</w:t>
      </w:r>
    </w:p>
    <w:p w14:paraId="5E8E42CD" w14:textId="77777777" w:rsidR="00E42907" w:rsidRPr="00E71E86" w:rsidRDefault="00E42907">
      <w:pPr>
        <w:rPr>
          <w:rFonts w:ascii="Arial Narrow" w:eastAsia="Arial Narrow" w:hAnsi="Arial Narrow" w:cs="Arial Narrow"/>
        </w:rPr>
      </w:pPr>
    </w:p>
    <w:p w14:paraId="12A5A7E3" w14:textId="67AC0CFC" w:rsidR="00E42907" w:rsidRPr="00E71E86" w:rsidRDefault="00564AFD">
      <w:pPr>
        <w:widowControl w:val="0"/>
        <w:spacing w:after="200"/>
        <w:ind w:right="-136"/>
        <w:jc w:val="both"/>
        <w:rPr>
          <w:rFonts w:ascii="Arial Narrow" w:eastAsia="Arial Narrow" w:hAnsi="Arial Narrow" w:cs="Arial Narrow"/>
        </w:rPr>
      </w:pPr>
      <w:r w:rsidRPr="00E71E86">
        <w:rPr>
          <w:rFonts w:ascii="Arial Narrow" w:eastAsia="Arial Narrow" w:hAnsi="Arial Narrow" w:cs="Arial Narrow"/>
        </w:rPr>
        <w:t xml:space="preserve">La presente iniciativa fue radicada el </w:t>
      </w:r>
      <w:r w:rsidR="00E56EA5" w:rsidRPr="00E71E86">
        <w:rPr>
          <w:rFonts w:ascii="Arial Narrow" w:eastAsia="Arial Narrow" w:hAnsi="Arial Narrow" w:cs="Arial Narrow"/>
        </w:rPr>
        <w:t>1</w:t>
      </w:r>
      <w:r w:rsidRPr="00E71E86">
        <w:rPr>
          <w:rFonts w:ascii="Arial Narrow" w:eastAsia="Arial Narrow" w:hAnsi="Arial Narrow" w:cs="Arial Narrow"/>
        </w:rPr>
        <w:t xml:space="preserve"> de </w:t>
      </w:r>
      <w:r w:rsidR="00E56EA5" w:rsidRPr="00E71E86">
        <w:rPr>
          <w:rFonts w:ascii="Arial Narrow" w:eastAsia="Arial Narrow" w:hAnsi="Arial Narrow" w:cs="Arial Narrow"/>
        </w:rPr>
        <w:t>septiembre</w:t>
      </w:r>
      <w:r w:rsidRPr="00E71E86">
        <w:rPr>
          <w:rFonts w:ascii="Arial Narrow" w:eastAsia="Arial Narrow" w:hAnsi="Arial Narrow" w:cs="Arial Narrow"/>
        </w:rPr>
        <w:t xml:space="preserve"> de 2026 en la Secretaría General de la Cámara de Representantes por </w:t>
      </w:r>
      <w:r w:rsidR="00E71E86" w:rsidRPr="00E71E86">
        <w:rPr>
          <w:rFonts w:ascii="Arial Narrow" w:eastAsia="Arial Narrow" w:hAnsi="Arial Narrow" w:cs="Arial Narrow"/>
        </w:rPr>
        <w:t>los</w:t>
      </w:r>
      <w:r w:rsidRPr="00E71E86">
        <w:rPr>
          <w:rFonts w:ascii="Arial Narrow" w:eastAsia="Arial Narrow" w:hAnsi="Arial Narrow" w:cs="Arial Narrow"/>
        </w:rPr>
        <w:t xml:space="preserve"> Honorable</w:t>
      </w:r>
      <w:r w:rsidR="00E71E86" w:rsidRPr="00E71E86">
        <w:rPr>
          <w:rFonts w:ascii="Arial Narrow" w:eastAsia="Arial Narrow" w:hAnsi="Arial Narrow" w:cs="Arial Narrow"/>
        </w:rPr>
        <w:t>s</w:t>
      </w:r>
      <w:r w:rsidRPr="00E71E86">
        <w:rPr>
          <w:rFonts w:ascii="Arial Narrow" w:eastAsia="Arial Narrow" w:hAnsi="Arial Narrow" w:cs="Arial Narrow"/>
        </w:rPr>
        <w:t xml:space="preserve"> Representante</w:t>
      </w:r>
      <w:r w:rsidR="00E71E86" w:rsidRPr="00E71E86">
        <w:rPr>
          <w:rFonts w:ascii="Arial Narrow" w:eastAsia="Arial Narrow" w:hAnsi="Arial Narrow" w:cs="Arial Narrow"/>
        </w:rPr>
        <w:t>s</w:t>
      </w:r>
      <w:r w:rsidRPr="00E71E86">
        <w:rPr>
          <w:rFonts w:ascii="Arial Narrow" w:eastAsia="Arial Narrow" w:hAnsi="Arial Narrow" w:cs="Arial Narrow"/>
        </w:rPr>
        <w:t xml:space="preserve"> Jaime</w:t>
      </w:r>
      <w:r w:rsidR="00E71E86" w:rsidRPr="00E71E86">
        <w:rPr>
          <w:rFonts w:ascii="Arial Narrow" w:eastAsia="Arial Narrow" w:hAnsi="Arial Narrow" w:cs="Arial Narrow"/>
        </w:rPr>
        <w:t xml:space="preserve"> Ignacio</w:t>
      </w:r>
      <w:r w:rsidRPr="00E71E86">
        <w:rPr>
          <w:rFonts w:ascii="Arial Narrow" w:eastAsia="Arial Narrow" w:hAnsi="Arial Narrow" w:cs="Arial Narrow"/>
        </w:rPr>
        <w:t xml:space="preserve"> Arizabaleta</w:t>
      </w:r>
      <w:r w:rsidR="00E71E86" w:rsidRPr="00E71E86">
        <w:rPr>
          <w:rFonts w:ascii="Arial Narrow" w:eastAsia="Arial Narrow" w:hAnsi="Arial Narrow" w:cs="Arial Narrow"/>
        </w:rPr>
        <w:t xml:space="preserve"> Fajardo</w:t>
      </w:r>
      <w:r w:rsidRPr="00E71E86">
        <w:rPr>
          <w:rFonts w:ascii="Arial Narrow" w:eastAsia="Arial Narrow" w:hAnsi="Arial Narrow" w:cs="Arial Narrow"/>
        </w:rPr>
        <w:t>,</w:t>
      </w:r>
      <w:r w:rsidR="00E71E86" w:rsidRPr="00E71E86">
        <w:rPr>
          <w:rFonts w:ascii="Arial Narrow" w:eastAsia="Arial Narrow" w:hAnsi="Arial Narrow" w:cs="Arial Narrow"/>
        </w:rPr>
        <w:t xml:space="preserve"> </w:t>
      </w:r>
      <w:r w:rsidR="00E71E86" w:rsidRPr="00AF0E7D">
        <w:rPr>
          <w:rFonts w:ascii="Arial Narrow" w:hAnsi="Arial Narrow" w:cs="Arial"/>
          <w:shd w:val="clear" w:color="auto" w:fill="FAFAFA"/>
        </w:rPr>
        <w:t>Julio César Triana Quintero</w:t>
      </w:r>
      <w:r w:rsidR="00E71E86" w:rsidRPr="00E71E86">
        <w:rPr>
          <w:rFonts w:ascii="Arial Narrow" w:hAnsi="Arial Narrow"/>
        </w:rPr>
        <w:t xml:space="preserve">, </w:t>
      </w:r>
      <w:r w:rsidR="00E71E86" w:rsidRPr="00AF0E7D">
        <w:rPr>
          <w:rFonts w:ascii="Arial Narrow" w:hAnsi="Arial Narrow" w:cs="Arial"/>
          <w:shd w:val="clear" w:color="auto" w:fill="FAFAFA"/>
        </w:rPr>
        <w:t>Daniel Felipe Briceño Montes</w:t>
      </w:r>
      <w:r w:rsidR="00E71E86" w:rsidRPr="00E71E86">
        <w:rPr>
          <w:rFonts w:ascii="Arial Narrow" w:hAnsi="Arial Narrow" w:cs="Arial"/>
          <w:shd w:val="clear" w:color="auto" w:fill="FAFAFA"/>
        </w:rPr>
        <w:t>,</w:t>
      </w:r>
      <w:r w:rsidR="00E71E86" w:rsidRPr="00E71E86">
        <w:rPr>
          <w:rFonts w:ascii="Arial Narrow" w:eastAsia="Arial Narrow" w:hAnsi="Arial Narrow" w:cs="Arial Narrow"/>
        </w:rPr>
        <w:t xml:space="preserve"> </w:t>
      </w:r>
      <w:r w:rsidR="00E71E86" w:rsidRPr="00AF0E7D">
        <w:rPr>
          <w:rFonts w:ascii="Arial Narrow" w:hAnsi="Arial Narrow" w:cs="Arial"/>
          <w:shd w:val="clear" w:color="auto" w:fill="FAFAFA"/>
        </w:rPr>
        <w:t>Andrés Felipe Guerra Hoyos</w:t>
      </w:r>
      <w:r w:rsidR="00E71E86" w:rsidRPr="00E71E86">
        <w:rPr>
          <w:rFonts w:ascii="Arial Narrow" w:hAnsi="Arial Narrow" w:cs="Arial"/>
          <w:shd w:val="clear" w:color="auto" w:fill="FAFAFA"/>
        </w:rPr>
        <w:t xml:space="preserve">, </w:t>
      </w:r>
      <w:r w:rsidR="00E71E86" w:rsidRPr="00AF0E7D">
        <w:rPr>
          <w:rFonts w:ascii="Arial Narrow" w:hAnsi="Arial Narrow" w:cs="Arial"/>
          <w:shd w:val="clear" w:color="auto" w:fill="FAFAFA"/>
        </w:rPr>
        <w:t>Guillermo Ignacio Alvira Acosta</w:t>
      </w:r>
      <w:r w:rsidR="00E71E86" w:rsidRPr="00E71E86">
        <w:rPr>
          <w:rFonts w:ascii="Arial Narrow" w:hAnsi="Arial Narrow" w:cs="Arial"/>
          <w:shd w:val="clear" w:color="auto" w:fill="FAFAFA"/>
        </w:rPr>
        <w:t xml:space="preserve">, </w:t>
      </w:r>
      <w:r w:rsidR="00E71E86" w:rsidRPr="00AF0E7D">
        <w:rPr>
          <w:rFonts w:ascii="Arial Narrow" w:hAnsi="Arial Narrow" w:cs="Arial"/>
          <w:shd w:val="clear" w:color="auto" w:fill="FAFAFA"/>
        </w:rPr>
        <w:t>Juan David Londoño Arango</w:t>
      </w:r>
      <w:r w:rsidR="00E71E86" w:rsidRPr="00E71E86">
        <w:rPr>
          <w:rFonts w:ascii="Arial Narrow" w:hAnsi="Arial Narrow" w:cs="Arial"/>
          <w:shd w:val="clear" w:color="auto" w:fill="FAFAFA"/>
        </w:rPr>
        <w:t xml:space="preserve">, </w:t>
      </w:r>
      <w:r w:rsidR="00E71E86" w:rsidRPr="00AF0E7D">
        <w:rPr>
          <w:rFonts w:ascii="Arial Narrow" w:hAnsi="Arial Narrow" w:cs="Arial"/>
          <w:shd w:val="clear" w:color="auto" w:fill="FAFAFA"/>
        </w:rPr>
        <w:t>Luis Eduardo Díaz Mateus</w:t>
      </w:r>
      <w:r w:rsidR="00E71E86" w:rsidRPr="00E71E86">
        <w:rPr>
          <w:rFonts w:ascii="Arial Narrow" w:hAnsi="Arial Narrow" w:cs="Arial"/>
          <w:shd w:val="clear" w:color="auto" w:fill="FAFAFA"/>
        </w:rPr>
        <w:t xml:space="preserve">, </w:t>
      </w:r>
      <w:r w:rsidR="00E71E86" w:rsidRPr="00AF0E7D">
        <w:rPr>
          <w:rFonts w:ascii="Arial Narrow" w:hAnsi="Arial Narrow" w:cs="Arial"/>
          <w:shd w:val="clear" w:color="auto" w:fill="FAFAFA"/>
        </w:rPr>
        <w:t xml:space="preserve">Miguel Ángel </w:t>
      </w:r>
      <w:r w:rsidR="00EC1A2B" w:rsidRPr="00AF0E7D">
        <w:rPr>
          <w:rFonts w:ascii="Arial Narrow" w:hAnsi="Arial Narrow" w:cs="Arial"/>
          <w:shd w:val="clear" w:color="auto" w:fill="FAFAFA"/>
        </w:rPr>
        <w:t>Pinto</w:t>
      </w:r>
      <w:r w:rsidR="00EC1A2B">
        <w:rPr>
          <w:rStyle w:val="Hipervnculo"/>
          <w:rFonts w:ascii="Arial Narrow" w:hAnsi="Arial Narrow" w:cs="Arial"/>
          <w:color w:val="auto"/>
          <w:u w:val="none"/>
          <w:shd w:val="clear" w:color="auto" w:fill="FAFAFA"/>
        </w:rPr>
        <w:t xml:space="preserve"> Rueda</w:t>
      </w:r>
      <w:r w:rsidR="00E71E86" w:rsidRPr="00E71E86">
        <w:rPr>
          <w:rFonts w:ascii="Arial Narrow" w:eastAsia="Arial Narrow" w:hAnsi="Arial Narrow" w:cs="Arial Narrow"/>
        </w:rPr>
        <w:t xml:space="preserve">, </w:t>
      </w:r>
      <w:r w:rsidRPr="00E71E86">
        <w:rPr>
          <w:rFonts w:ascii="Arial Narrow" w:eastAsia="Arial Narrow" w:hAnsi="Arial Narrow" w:cs="Arial Narrow"/>
        </w:rPr>
        <w:t xml:space="preserve">publicado en la gaceta del Congreso número </w:t>
      </w:r>
      <w:r w:rsidR="008D20AE" w:rsidRPr="00E71E86">
        <w:rPr>
          <w:rFonts w:ascii="Arial Narrow" w:eastAsia="Arial Narrow" w:hAnsi="Arial Narrow" w:cs="Arial Narrow"/>
        </w:rPr>
        <w:t xml:space="preserve">1265 </w:t>
      </w:r>
      <w:r w:rsidRPr="00E71E86">
        <w:rPr>
          <w:rFonts w:ascii="Arial Narrow" w:eastAsia="Arial Narrow" w:hAnsi="Arial Narrow" w:cs="Arial Narrow"/>
        </w:rPr>
        <w:t>de 2026.</w:t>
      </w:r>
    </w:p>
    <w:p w14:paraId="78267B24" w14:textId="509FDBF9" w:rsidR="00E42907" w:rsidRPr="00E71E86" w:rsidRDefault="00564AFD">
      <w:pPr>
        <w:widowControl w:val="0"/>
        <w:spacing w:after="200"/>
        <w:ind w:right="-136"/>
        <w:jc w:val="both"/>
        <w:rPr>
          <w:rFonts w:ascii="Arial Narrow" w:eastAsia="Arial Narrow" w:hAnsi="Arial Narrow" w:cs="Arial Narrow"/>
        </w:rPr>
      </w:pPr>
      <w:r w:rsidRPr="00E71E86">
        <w:rPr>
          <w:rFonts w:ascii="Arial Narrow" w:eastAsia="Arial Narrow" w:hAnsi="Arial Narrow" w:cs="Arial Narrow"/>
        </w:rPr>
        <w:t xml:space="preserve">El </w:t>
      </w:r>
      <w:r w:rsidR="008D20AE" w:rsidRPr="00E71E86">
        <w:rPr>
          <w:rFonts w:ascii="Arial Narrow" w:eastAsia="Arial Narrow" w:hAnsi="Arial Narrow" w:cs="Arial Narrow"/>
        </w:rPr>
        <w:t>22</w:t>
      </w:r>
      <w:r w:rsidRPr="00E71E86">
        <w:rPr>
          <w:rFonts w:ascii="Arial Narrow" w:eastAsia="Arial Narrow" w:hAnsi="Arial Narrow" w:cs="Arial Narrow"/>
        </w:rPr>
        <w:t xml:space="preserve"> de </w:t>
      </w:r>
      <w:r w:rsidR="00E71E86" w:rsidRPr="00E71E86">
        <w:rPr>
          <w:rFonts w:ascii="Arial Narrow" w:eastAsia="Arial Narrow" w:hAnsi="Arial Narrow" w:cs="Arial Narrow"/>
        </w:rPr>
        <w:t>septiembre</w:t>
      </w:r>
      <w:r w:rsidRPr="00E71E86">
        <w:rPr>
          <w:rFonts w:ascii="Arial Narrow" w:eastAsia="Arial Narrow" w:hAnsi="Arial Narrow" w:cs="Arial Narrow"/>
        </w:rPr>
        <w:t xml:space="preserve"> de 2026 la mesa directiva de la Comisión Primera Constitucional Permanente mediante oficio </w:t>
      </w:r>
      <w:r w:rsidR="00E71E86" w:rsidRPr="00E71E86">
        <w:rPr>
          <w:rFonts w:ascii="Arial Narrow" w:eastAsia="Arial Narrow" w:hAnsi="Arial Narrow" w:cs="Arial Narrow"/>
        </w:rPr>
        <w:t>C.P.C.P.3.1. – 0275 - 2026</w:t>
      </w:r>
      <w:r w:rsidRPr="00E71E86">
        <w:rPr>
          <w:rFonts w:ascii="Arial Narrow" w:eastAsia="Arial Narrow" w:hAnsi="Arial Narrow" w:cs="Arial Narrow"/>
        </w:rPr>
        <w:t xml:space="preserve"> designó como ponente </w:t>
      </w:r>
      <w:r w:rsidR="00E71E86" w:rsidRPr="00E71E86">
        <w:rPr>
          <w:rFonts w:ascii="Arial Narrow" w:eastAsia="Arial Narrow" w:hAnsi="Arial Narrow" w:cs="Arial Narrow"/>
        </w:rPr>
        <w:t xml:space="preserve">único </w:t>
      </w:r>
      <w:r w:rsidRPr="00E71E86">
        <w:rPr>
          <w:rFonts w:ascii="Arial Narrow" w:eastAsia="Arial Narrow" w:hAnsi="Arial Narrow" w:cs="Arial Narrow"/>
        </w:rPr>
        <w:t>al Honorable Representante Jaime Arizabaleta.</w:t>
      </w:r>
    </w:p>
    <w:p w14:paraId="774EFF73" w14:textId="77777777" w:rsidR="00E42907" w:rsidRPr="00E71E86" w:rsidRDefault="00564AFD">
      <w:pPr>
        <w:widowControl w:val="0"/>
        <w:spacing w:after="200"/>
        <w:ind w:right="-136"/>
        <w:jc w:val="both"/>
        <w:rPr>
          <w:rFonts w:ascii="Arial Narrow" w:eastAsia="Arial Narrow" w:hAnsi="Arial Narrow" w:cs="Arial Narrow"/>
        </w:rPr>
      </w:pPr>
      <w:r w:rsidRPr="00E71E86">
        <w:rPr>
          <w:rFonts w:ascii="Arial Narrow" w:eastAsia="Arial Narrow" w:hAnsi="Arial Narrow" w:cs="Arial Narrow"/>
          <w:b/>
          <w:bCs/>
        </w:rPr>
        <w:t xml:space="preserve">       2. OBJETO DEL PROYECTO</w:t>
      </w:r>
      <w:r w:rsidRPr="00E71E86">
        <w:rPr>
          <w:rFonts w:ascii="Arial Narrow" w:eastAsia="Arial Narrow" w:hAnsi="Arial Narrow" w:cs="Arial Narrow"/>
        </w:rPr>
        <w:t xml:space="preserve"> </w:t>
      </w:r>
    </w:p>
    <w:p w14:paraId="2E2883BF" w14:textId="7BA81403" w:rsidR="00E42907" w:rsidRPr="00E71E86" w:rsidRDefault="00E56EA5">
      <w:pPr>
        <w:pBdr>
          <w:top w:val="nil"/>
          <w:left w:val="nil"/>
          <w:bottom w:val="nil"/>
          <w:right w:val="nil"/>
          <w:between w:val="nil"/>
        </w:pBdr>
        <w:spacing w:after="0" w:line="240" w:lineRule="auto"/>
        <w:jc w:val="both"/>
        <w:rPr>
          <w:rFonts w:ascii="Arial Narrow" w:eastAsia="Arial Narrow" w:hAnsi="Arial Narrow" w:cs="Arial Narrow"/>
        </w:rPr>
      </w:pPr>
      <w:r w:rsidRPr="00E71E86">
        <w:rPr>
          <w:rFonts w:ascii="Arial Narrow" w:eastAsia="Arial Narrow" w:hAnsi="Arial Narrow" w:cs="Arial Narrow"/>
        </w:rPr>
        <w:t>Adoptar medidas para sancionar la comisión de acto vandálico valiéndose del ocultamiento de la identidad en el contexto de manifestaciones públicas, así como también modificar la pena imponible en el artículo 353A de la Ley 599 de 2000.</w:t>
      </w:r>
    </w:p>
    <w:p w14:paraId="63531266" w14:textId="77777777" w:rsidR="00E42907" w:rsidRPr="00E71E86" w:rsidRDefault="00E42907">
      <w:pPr>
        <w:jc w:val="both"/>
        <w:rPr>
          <w:rFonts w:ascii="Arial Narrow" w:eastAsia="Arial Narrow" w:hAnsi="Arial Narrow" w:cs="Arial Narrow"/>
          <w:b/>
          <w:bCs/>
        </w:rPr>
      </w:pPr>
    </w:p>
    <w:p w14:paraId="04F5AEFF" w14:textId="77777777" w:rsidR="00E42907" w:rsidRPr="00E71E86" w:rsidRDefault="00564AFD">
      <w:pPr>
        <w:jc w:val="both"/>
        <w:rPr>
          <w:rFonts w:ascii="Arial Narrow" w:eastAsia="Arial Narrow" w:hAnsi="Arial Narrow" w:cs="Arial Narrow"/>
          <w:b/>
          <w:bCs/>
        </w:rPr>
      </w:pPr>
      <w:r w:rsidRPr="00E71E86">
        <w:rPr>
          <w:rFonts w:ascii="Arial Narrow" w:eastAsia="Arial Narrow" w:hAnsi="Arial Narrow" w:cs="Arial Narrow"/>
          <w:b/>
          <w:bCs/>
        </w:rPr>
        <w:t xml:space="preserve">        3. CONTENIDO DEL PROYECTO</w:t>
      </w:r>
    </w:p>
    <w:p w14:paraId="3194B65C" w14:textId="088D90B7" w:rsidR="00E56EA5" w:rsidRPr="00E71E86" w:rsidRDefault="00E56EA5" w:rsidP="00E56EA5">
      <w:pPr>
        <w:pStyle w:val="Ttulo3"/>
        <w:shd w:val="clear" w:color="auto" w:fill="FFFFFF"/>
        <w:spacing w:after="0"/>
        <w:jc w:val="both"/>
        <w:rPr>
          <w:rFonts w:ascii="Arial Narrow" w:hAnsi="Arial Narrow" w:cs="Segoe UI"/>
          <w:b w:val="0"/>
          <w:bCs w:val="0"/>
          <w:sz w:val="22"/>
          <w:szCs w:val="22"/>
        </w:rPr>
      </w:pPr>
      <w:r w:rsidRPr="00E71E86">
        <w:rPr>
          <w:rFonts w:ascii="Arial Narrow" w:hAnsi="Arial Narrow" w:cs="Segoe UI"/>
          <w:b w:val="0"/>
          <w:bCs w:val="0"/>
          <w:sz w:val="22"/>
          <w:szCs w:val="22"/>
        </w:rPr>
        <w:lastRenderedPageBreak/>
        <w:t>Artículo 1. Objeto: Busca establecer medidas para</w:t>
      </w:r>
      <w:r w:rsidRPr="00E71E86">
        <w:rPr>
          <w:rFonts w:ascii="Arial Narrow" w:hAnsi="Arial Narrow" w:cs="Segoe UI"/>
          <w:sz w:val="22"/>
          <w:szCs w:val="22"/>
        </w:rPr>
        <w:t> </w:t>
      </w:r>
      <w:r w:rsidRPr="00E71E86">
        <w:rPr>
          <w:rStyle w:val="Textoennegrita"/>
          <w:rFonts w:ascii="Arial Narrow" w:hAnsi="Arial Narrow" w:cs="Segoe UI"/>
          <w:sz w:val="22"/>
          <w:szCs w:val="22"/>
        </w:rPr>
        <w:t>sancionar los actos vandálicos cometidos durante manifestaciones cuando se oculte deliberadamente la identidad</w:t>
      </w:r>
      <w:r w:rsidRPr="00E71E86">
        <w:rPr>
          <w:rFonts w:ascii="Arial Narrow" w:hAnsi="Arial Narrow" w:cs="Segoe UI"/>
          <w:b w:val="0"/>
          <w:bCs w:val="0"/>
          <w:sz w:val="22"/>
          <w:szCs w:val="22"/>
        </w:rPr>
        <w:t>. También pretende</w:t>
      </w:r>
      <w:r w:rsidRPr="00E71E86">
        <w:rPr>
          <w:rFonts w:ascii="Arial Narrow" w:hAnsi="Arial Narrow" w:cs="Segoe UI"/>
          <w:sz w:val="22"/>
          <w:szCs w:val="22"/>
        </w:rPr>
        <w:t> </w:t>
      </w:r>
      <w:r w:rsidRPr="00E71E86">
        <w:rPr>
          <w:rStyle w:val="Textoennegrita"/>
          <w:rFonts w:ascii="Arial Narrow" w:hAnsi="Arial Narrow" w:cs="Segoe UI"/>
          <w:sz w:val="22"/>
          <w:szCs w:val="22"/>
        </w:rPr>
        <w:t>modificar las penas por obstrucción de vías públicas</w:t>
      </w:r>
      <w:r w:rsidRPr="00E71E86">
        <w:rPr>
          <w:rFonts w:ascii="Arial Narrow" w:hAnsi="Arial Narrow" w:cs="Segoe UI"/>
          <w:sz w:val="22"/>
          <w:szCs w:val="22"/>
        </w:rPr>
        <w:t> </w:t>
      </w:r>
      <w:r w:rsidRPr="00E71E86">
        <w:rPr>
          <w:rFonts w:ascii="Arial Narrow" w:hAnsi="Arial Narrow" w:cs="Segoe UI"/>
          <w:b w:val="0"/>
          <w:bCs w:val="0"/>
          <w:sz w:val="22"/>
          <w:szCs w:val="22"/>
        </w:rPr>
        <w:t>previstas en el artículo 353A del Código Penal</w:t>
      </w:r>
    </w:p>
    <w:p w14:paraId="39F562C5" w14:textId="77777777" w:rsidR="00E56EA5" w:rsidRPr="00E71E86" w:rsidRDefault="00E56EA5" w:rsidP="00E56EA5"/>
    <w:p w14:paraId="0B41AD08" w14:textId="6A2F2490" w:rsidR="00E56EA5" w:rsidRPr="00E71E86" w:rsidRDefault="00E56EA5" w:rsidP="00E56EA5">
      <w:pPr>
        <w:pStyle w:val="Ttulo3"/>
        <w:shd w:val="clear" w:color="auto" w:fill="FFFFFF"/>
        <w:spacing w:after="0"/>
        <w:jc w:val="both"/>
        <w:rPr>
          <w:rFonts w:ascii="Arial Narrow" w:hAnsi="Arial Narrow" w:cs="Segoe UI"/>
          <w:b w:val="0"/>
          <w:bCs w:val="0"/>
          <w:sz w:val="22"/>
          <w:szCs w:val="22"/>
        </w:rPr>
      </w:pPr>
      <w:r w:rsidRPr="00E71E86">
        <w:rPr>
          <w:rFonts w:ascii="Arial Narrow" w:hAnsi="Arial Narrow" w:cs="Segoe UI"/>
          <w:b w:val="0"/>
          <w:bCs w:val="0"/>
          <w:sz w:val="22"/>
          <w:szCs w:val="22"/>
        </w:rPr>
        <w:t>Artículo 2. Definiciones: Establece las definiciones de los siguientes conceptos:</w:t>
      </w:r>
    </w:p>
    <w:p w14:paraId="7197C659" w14:textId="77777777" w:rsidR="00E56EA5" w:rsidRPr="00E71E86" w:rsidRDefault="00E56EA5" w:rsidP="00E56EA5">
      <w:pPr>
        <w:pStyle w:val="NormalWeb"/>
        <w:numPr>
          <w:ilvl w:val="0"/>
          <w:numId w:val="11"/>
        </w:numPr>
        <w:shd w:val="clear" w:color="auto" w:fill="FFFFFF"/>
        <w:spacing w:before="0" w:beforeAutospacing="0" w:after="0" w:afterAutospacing="0"/>
        <w:jc w:val="both"/>
        <w:rPr>
          <w:rFonts w:ascii="Arial Narrow" w:hAnsi="Arial Narrow" w:cs="Segoe UI"/>
          <w:sz w:val="22"/>
          <w:szCs w:val="22"/>
        </w:rPr>
      </w:pPr>
      <w:r w:rsidRPr="00E71E86">
        <w:rPr>
          <w:rStyle w:val="Textoennegrita"/>
          <w:rFonts w:ascii="Arial Narrow" w:hAnsi="Arial Narrow" w:cs="Segoe UI"/>
          <w:b w:val="0"/>
          <w:bCs w:val="0"/>
          <w:sz w:val="22"/>
          <w:szCs w:val="22"/>
        </w:rPr>
        <w:t>Ocultamiento de identidad:</w:t>
      </w:r>
      <w:r w:rsidRPr="00E71E86">
        <w:rPr>
          <w:rFonts w:ascii="Arial Narrow" w:hAnsi="Arial Narrow" w:cs="Segoe UI"/>
          <w:sz w:val="22"/>
          <w:szCs w:val="22"/>
        </w:rPr>
        <w:t> Define como ocultamiento el uso deliberado de máscaras, pasamontañas, prendas u otros elementos para dificultar la identificación de quien comete un acto vandálico.</w:t>
      </w:r>
    </w:p>
    <w:p w14:paraId="66A1383E" w14:textId="77777777" w:rsidR="00E56EA5" w:rsidRPr="00E71E86" w:rsidRDefault="00E56EA5" w:rsidP="00E56EA5">
      <w:pPr>
        <w:pStyle w:val="NormalWeb"/>
        <w:numPr>
          <w:ilvl w:val="0"/>
          <w:numId w:val="11"/>
        </w:numPr>
        <w:shd w:val="clear" w:color="auto" w:fill="FFFFFF"/>
        <w:spacing w:before="0" w:beforeAutospacing="0" w:after="0" w:afterAutospacing="0"/>
        <w:jc w:val="both"/>
        <w:rPr>
          <w:rFonts w:ascii="Arial Narrow" w:hAnsi="Arial Narrow" w:cs="Segoe UI"/>
          <w:sz w:val="22"/>
          <w:szCs w:val="22"/>
        </w:rPr>
      </w:pPr>
      <w:r w:rsidRPr="00E71E86">
        <w:rPr>
          <w:rStyle w:val="Textoennegrita"/>
          <w:rFonts w:ascii="Arial Narrow" w:hAnsi="Arial Narrow" w:cs="Segoe UI"/>
          <w:b w:val="0"/>
          <w:bCs w:val="0"/>
          <w:sz w:val="22"/>
          <w:szCs w:val="22"/>
        </w:rPr>
        <w:t>Acto vandálico:</w:t>
      </w:r>
      <w:r w:rsidRPr="00E71E86">
        <w:rPr>
          <w:rFonts w:ascii="Arial Narrow" w:hAnsi="Arial Narrow" w:cs="Segoe UI"/>
          <w:sz w:val="22"/>
          <w:szCs w:val="22"/>
        </w:rPr>
        <w:t> Considera acto vandálico las conductas intencionales realizadas durante o aprovechando una manifestación que impliquen destruir, incendiar o dañar gravemente bienes, ocupar violentamente inmuebles o ejercer violencia física contra personas.</w:t>
      </w:r>
    </w:p>
    <w:p w14:paraId="51F7A2BA" w14:textId="2D9A9722" w:rsidR="00E56EA5" w:rsidRPr="00E71E86" w:rsidRDefault="00E56EA5" w:rsidP="00E56EA5">
      <w:pPr>
        <w:pStyle w:val="NormalWeb"/>
        <w:numPr>
          <w:ilvl w:val="0"/>
          <w:numId w:val="11"/>
        </w:numPr>
        <w:shd w:val="clear" w:color="auto" w:fill="FFFFFF"/>
        <w:spacing w:before="0" w:beforeAutospacing="0" w:after="0" w:afterAutospacing="0"/>
        <w:jc w:val="both"/>
        <w:rPr>
          <w:rFonts w:ascii="Arial Narrow" w:hAnsi="Arial Narrow" w:cs="Segoe UI"/>
          <w:sz w:val="22"/>
          <w:szCs w:val="22"/>
        </w:rPr>
      </w:pPr>
      <w:r w:rsidRPr="00E71E86">
        <w:rPr>
          <w:rStyle w:val="Textoennegrita"/>
          <w:rFonts w:ascii="Arial Narrow" w:hAnsi="Arial Narrow" w:cs="Segoe UI"/>
          <w:b w:val="0"/>
          <w:bCs w:val="0"/>
          <w:sz w:val="22"/>
          <w:szCs w:val="22"/>
        </w:rPr>
        <w:t>Artefactos o elementos peligrosos de fabricación artesanal:</w:t>
      </w:r>
      <w:r w:rsidRPr="00E71E86">
        <w:rPr>
          <w:rFonts w:ascii="Arial Narrow" w:hAnsi="Arial Narrow" w:cs="Segoe UI"/>
          <w:sz w:val="22"/>
          <w:szCs w:val="22"/>
        </w:rPr>
        <w:t> Define los objetos o sustancias improvisados o modificados para causar lesiones, dañar bienes, alterar gravemente el orden público o facilitar delitos durante manifestaciones, incluyendo explosivos artesanales, bombas incendiarias y sustancias corrosivas.</w:t>
      </w:r>
    </w:p>
    <w:p w14:paraId="1EA4BFA2" w14:textId="77777777" w:rsidR="00E56EA5" w:rsidRPr="00E71E86" w:rsidRDefault="00E56EA5" w:rsidP="00447341">
      <w:pPr>
        <w:pStyle w:val="NormalWeb"/>
        <w:shd w:val="clear" w:color="auto" w:fill="FFFFFF"/>
        <w:spacing w:before="0" w:beforeAutospacing="0" w:after="0" w:afterAutospacing="0"/>
        <w:ind w:left="360"/>
        <w:jc w:val="both"/>
        <w:rPr>
          <w:rFonts w:ascii="Arial Narrow" w:hAnsi="Arial Narrow" w:cs="Segoe UI"/>
          <w:sz w:val="22"/>
          <w:szCs w:val="22"/>
        </w:rPr>
      </w:pPr>
    </w:p>
    <w:p w14:paraId="3E72B93C" w14:textId="1051FFA7" w:rsidR="00E56EA5" w:rsidRPr="00E71E86" w:rsidRDefault="00E56EA5" w:rsidP="00447341">
      <w:pPr>
        <w:pStyle w:val="Ttulo3"/>
        <w:shd w:val="clear" w:color="auto" w:fill="FFFFFF"/>
        <w:spacing w:after="0"/>
        <w:jc w:val="both"/>
        <w:rPr>
          <w:rFonts w:ascii="Arial Narrow" w:hAnsi="Arial Narrow" w:cs="Segoe UI"/>
          <w:b w:val="0"/>
          <w:bCs w:val="0"/>
          <w:sz w:val="22"/>
          <w:szCs w:val="22"/>
        </w:rPr>
      </w:pPr>
      <w:r w:rsidRPr="00E71E86">
        <w:rPr>
          <w:rFonts w:ascii="Arial Narrow" w:hAnsi="Arial Narrow" w:cs="Segoe UI"/>
          <w:b w:val="0"/>
          <w:bCs w:val="0"/>
          <w:sz w:val="22"/>
          <w:szCs w:val="22"/>
        </w:rPr>
        <w:t>Artículo 3</w:t>
      </w:r>
      <w:r w:rsidR="00447341" w:rsidRPr="00E71E86">
        <w:rPr>
          <w:rFonts w:ascii="Arial Narrow" w:hAnsi="Arial Narrow" w:cs="Segoe UI"/>
          <w:b w:val="0"/>
          <w:bCs w:val="0"/>
          <w:sz w:val="22"/>
          <w:szCs w:val="22"/>
        </w:rPr>
        <w:t>.</w:t>
      </w:r>
      <w:r w:rsidRPr="00E71E86">
        <w:rPr>
          <w:rFonts w:ascii="Arial Narrow" w:hAnsi="Arial Narrow" w:cs="Segoe UI"/>
          <w:b w:val="0"/>
          <w:bCs w:val="0"/>
          <w:sz w:val="22"/>
          <w:szCs w:val="22"/>
        </w:rPr>
        <w:t xml:space="preserve"> Crea un nuevo delito </w:t>
      </w:r>
      <w:r w:rsidR="008E7FB2" w:rsidRPr="00E71E86">
        <w:rPr>
          <w:rFonts w:ascii="Arial Narrow" w:hAnsi="Arial Narrow" w:cs="Segoe UI"/>
          <w:b w:val="0"/>
          <w:bCs w:val="0"/>
          <w:sz w:val="22"/>
          <w:szCs w:val="22"/>
        </w:rPr>
        <w:t xml:space="preserve">que se adiciona a la Ley 599 del 200 denominado: </w:t>
      </w:r>
      <w:r w:rsidRPr="00E71E86">
        <w:rPr>
          <w:rFonts w:ascii="Arial Narrow" w:hAnsi="Arial Narrow" w:cs="Segoe UI"/>
          <w:b w:val="0"/>
          <w:bCs w:val="0"/>
          <w:sz w:val="22"/>
          <w:szCs w:val="22"/>
        </w:rPr>
        <w:t>Acto vandálico mediante el ocultamiento de identidad</w:t>
      </w:r>
      <w:r w:rsidR="00447341" w:rsidRPr="00E71E86">
        <w:rPr>
          <w:rFonts w:ascii="Arial Narrow" w:hAnsi="Arial Narrow" w:cs="Segoe UI"/>
          <w:b w:val="0"/>
          <w:bCs w:val="0"/>
          <w:sz w:val="22"/>
          <w:szCs w:val="22"/>
        </w:rPr>
        <w:t xml:space="preserve"> durante una manifestación pacífica, e</w:t>
      </w:r>
      <w:r w:rsidRPr="00E71E86">
        <w:rPr>
          <w:rFonts w:ascii="Arial Narrow" w:hAnsi="Arial Narrow" w:cs="Segoe UI"/>
          <w:b w:val="0"/>
          <w:bCs w:val="0"/>
          <w:sz w:val="22"/>
          <w:szCs w:val="22"/>
        </w:rPr>
        <w:t>stablece una pena de</w:t>
      </w:r>
      <w:r w:rsidRPr="00E71E86">
        <w:rPr>
          <w:rFonts w:ascii="Arial Narrow" w:hAnsi="Arial Narrow" w:cs="Segoe UI"/>
          <w:sz w:val="22"/>
          <w:szCs w:val="22"/>
        </w:rPr>
        <w:t> </w:t>
      </w:r>
      <w:r w:rsidRPr="00E71E86">
        <w:rPr>
          <w:rStyle w:val="Textoennegrita"/>
          <w:rFonts w:ascii="Arial Narrow" w:hAnsi="Arial Narrow" w:cs="Segoe UI"/>
          <w:sz w:val="22"/>
          <w:szCs w:val="22"/>
        </w:rPr>
        <w:t>54 a 96 meses de prisión</w:t>
      </w:r>
      <w:r w:rsidRPr="00E71E86">
        <w:rPr>
          <w:rFonts w:ascii="Arial Narrow" w:hAnsi="Arial Narrow" w:cs="Segoe UI"/>
          <w:sz w:val="22"/>
          <w:szCs w:val="22"/>
        </w:rPr>
        <w:t> </w:t>
      </w:r>
      <w:r w:rsidRPr="00E71E86">
        <w:rPr>
          <w:rFonts w:ascii="Arial Narrow" w:hAnsi="Arial Narrow" w:cs="Segoe UI"/>
          <w:b w:val="0"/>
          <w:bCs w:val="0"/>
          <w:sz w:val="22"/>
          <w:szCs w:val="22"/>
        </w:rPr>
        <w:t>y multa de</w:t>
      </w:r>
      <w:r w:rsidRPr="00E71E86">
        <w:rPr>
          <w:rFonts w:ascii="Arial Narrow" w:hAnsi="Arial Narrow" w:cs="Segoe UI"/>
          <w:sz w:val="22"/>
          <w:szCs w:val="22"/>
        </w:rPr>
        <w:t> </w:t>
      </w:r>
      <w:r w:rsidRPr="00E71E86">
        <w:rPr>
          <w:rStyle w:val="Textoennegrita"/>
          <w:rFonts w:ascii="Arial Narrow" w:hAnsi="Arial Narrow" w:cs="Segoe UI"/>
          <w:sz w:val="22"/>
          <w:szCs w:val="22"/>
        </w:rPr>
        <w:t>50 a 200 salarios mínimos</w:t>
      </w:r>
      <w:r w:rsidRPr="00E71E86">
        <w:rPr>
          <w:rFonts w:ascii="Arial Narrow" w:hAnsi="Arial Narrow" w:cs="Segoe UI"/>
          <w:sz w:val="22"/>
          <w:szCs w:val="22"/>
        </w:rPr>
        <w:t>.</w:t>
      </w:r>
      <w:r w:rsidR="00447341" w:rsidRPr="00E71E86">
        <w:rPr>
          <w:rFonts w:ascii="Arial Narrow" w:hAnsi="Arial Narrow" w:cs="Segoe UI"/>
          <w:sz w:val="22"/>
          <w:szCs w:val="22"/>
        </w:rPr>
        <w:t xml:space="preserve"> </w:t>
      </w:r>
      <w:r w:rsidRPr="00E71E86">
        <w:rPr>
          <w:rFonts w:ascii="Arial Narrow" w:hAnsi="Arial Narrow" w:cs="Segoe UI"/>
          <w:b w:val="0"/>
          <w:bCs w:val="0"/>
          <w:sz w:val="22"/>
          <w:szCs w:val="22"/>
        </w:rPr>
        <w:t>Además, la pena aumenta entre</w:t>
      </w:r>
      <w:r w:rsidRPr="00E71E86">
        <w:rPr>
          <w:rFonts w:ascii="Arial Narrow" w:hAnsi="Arial Narrow" w:cs="Segoe UI"/>
          <w:sz w:val="22"/>
          <w:szCs w:val="22"/>
        </w:rPr>
        <w:t> </w:t>
      </w:r>
      <w:r w:rsidRPr="00E71E86">
        <w:rPr>
          <w:rStyle w:val="Textoennegrita"/>
          <w:rFonts w:ascii="Arial Narrow" w:hAnsi="Arial Narrow" w:cs="Segoe UI"/>
          <w:sz w:val="22"/>
          <w:szCs w:val="22"/>
        </w:rPr>
        <w:t>la mitad y dos terceras partes</w:t>
      </w:r>
      <w:r w:rsidRPr="00E71E86">
        <w:rPr>
          <w:rFonts w:ascii="Arial Narrow" w:hAnsi="Arial Narrow" w:cs="Segoe UI"/>
          <w:sz w:val="22"/>
          <w:szCs w:val="22"/>
        </w:rPr>
        <w:t> </w:t>
      </w:r>
      <w:r w:rsidRPr="00E71E86">
        <w:rPr>
          <w:rFonts w:ascii="Arial Narrow" w:hAnsi="Arial Narrow" w:cs="Segoe UI"/>
          <w:b w:val="0"/>
          <w:bCs w:val="0"/>
          <w:sz w:val="22"/>
          <w:szCs w:val="22"/>
        </w:rPr>
        <w:t>cuando se utilicen elementos peligrosos o cuando el ataque afecte lugares especialmente protegidos, como colegios, hospitales, organismos de socorro, bienes culturales o servicios públicos esenciales.</w:t>
      </w:r>
    </w:p>
    <w:p w14:paraId="61679678" w14:textId="77777777" w:rsidR="00E71E86" w:rsidRPr="00E71E86" w:rsidRDefault="00E71E86" w:rsidP="00447341">
      <w:pPr>
        <w:pStyle w:val="Ttulo3"/>
        <w:shd w:val="clear" w:color="auto" w:fill="FFFFFF"/>
        <w:spacing w:after="0"/>
        <w:jc w:val="both"/>
        <w:rPr>
          <w:rFonts w:ascii="Arial Narrow" w:hAnsi="Arial Narrow" w:cs="Segoe UI"/>
          <w:b w:val="0"/>
          <w:bCs w:val="0"/>
          <w:sz w:val="22"/>
          <w:szCs w:val="22"/>
        </w:rPr>
      </w:pPr>
    </w:p>
    <w:p w14:paraId="6F8A3333" w14:textId="4092F902" w:rsidR="00E56EA5" w:rsidRPr="00E71E86" w:rsidRDefault="00E56EA5" w:rsidP="00447341">
      <w:pPr>
        <w:pStyle w:val="Ttulo3"/>
        <w:shd w:val="clear" w:color="auto" w:fill="FFFFFF"/>
        <w:spacing w:after="0"/>
        <w:jc w:val="both"/>
        <w:rPr>
          <w:rFonts w:ascii="Arial Narrow" w:hAnsi="Arial Narrow" w:cs="Segoe UI"/>
          <w:b w:val="0"/>
          <w:bCs w:val="0"/>
          <w:sz w:val="22"/>
          <w:szCs w:val="22"/>
        </w:rPr>
      </w:pPr>
      <w:r w:rsidRPr="00E71E86">
        <w:rPr>
          <w:rFonts w:ascii="Arial Narrow" w:hAnsi="Arial Narrow" w:cs="Segoe UI"/>
          <w:b w:val="0"/>
          <w:bCs w:val="0"/>
          <w:sz w:val="22"/>
          <w:szCs w:val="22"/>
        </w:rPr>
        <w:t xml:space="preserve">Artículo 4. </w:t>
      </w:r>
      <w:r w:rsidR="00447341" w:rsidRPr="00E71E86">
        <w:rPr>
          <w:rFonts w:ascii="Arial Narrow" w:hAnsi="Arial Narrow" w:cs="Segoe UI"/>
          <w:b w:val="0"/>
          <w:bCs w:val="0"/>
          <w:sz w:val="22"/>
          <w:szCs w:val="22"/>
        </w:rPr>
        <w:t xml:space="preserve">Denominado: </w:t>
      </w:r>
      <w:r w:rsidRPr="00E71E86">
        <w:rPr>
          <w:rFonts w:ascii="Arial Narrow" w:hAnsi="Arial Narrow" w:cs="Segoe UI"/>
          <w:b w:val="0"/>
          <w:bCs w:val="0"/>
          <w:sz w:val="22"/>
          <w:szCs w:val="22"/>
        </w:rPr>
        <w:t>Obstrucción a vías públicas que afecten el orden público</w:t>
      </w:r>
      <w:r w:rsidR="00447341" w:rsidRPr="00E71E86">
        <w:rPr>
          <w:rFonts w:ascii="Arial Narrow" w:hAnsi="Arial Narrow" w:cs="Segoe UI"/>
          <w:b w:val="0"/>
          <w:bCs w:val="0"/>
          <w:sz w:val="22"/>
          <w:szCs w:val="22"/>
        </w:rPr>
        <w:t xml:space="preserve">: </w:t>
      </w:r>
      <w:r w:rsidRPr="00E71E86">
        <w:rPr>
          <w:rFonts w:ascii="Arial Narrow" w:hAnsi="Arial Narrow" w:cs="Segoe UI"/>
          <w:b w:val="0"/>
          <w:bCs w:val="0"/>
          <w:sz w:val="22"/>
          <w:szCs w:val="22"/>
        </w:rPr>
        <w:t>Modifica el delito de obstrucción de vías y sanciona a quien </w:t>
      </w:r>
      <w:r w:rsidRPr="00E71E86">
        <w:rPr>
          <w:rStyle w:val="Textoennegrita"/>
          <w:rFonts w:ascii="Arial Narrow" w:hAnsi="Arial Narrow" w:cs="Segoe UI"/>
          <w:sz w:val="22"/>
          <w:szCs w:val="22"/>
        </w:rPr>
        <w:t>incite, dirija, obligue o facilite</w:t>
      </w:r>
      <w:r w:rsidRPr="00E71E86">
        <w:rPr>
          <w:rFonts w:ascii="Arial Narrow" w:hAnsi="Arial Narrow" w:cs="Segoe UI"/>
          <w:b w:val="0"/>
          <w:bCs w:val="0"/>
          <w:sz w:val="22"/>
          <w:szCs w:val="22"/>
        </w:rPr>
        <w:t> una obstrucción realizada por medios ilícitos cuando esta afecte gravemente la vida, salud pública, seguridad alimentaria, medio ambiente o derecho al trabajo.</w:t>
      </w:r>
    </w:p>
    <w:p w14:paraId="23DB0C69" w14:textId="77777777" w:rsidR="00E56EA5" w:rsidRPr="00E71E86" w:rsidRDefault="00E56EA5" w:rsidP="00E56EA5">
      <w:pPr>
        <w:pStyle w:val="NormalWeb"/>
        <w:shd w:val="clear" w:color="auto" w:fill="FFFFFF"/>
        <w:spacing w:before="0" w:beforeAutospacing="0" w:after="0" w:afterAutospacing="0"/>
        <w:jc w:val="both"/>
        <w:rPr>
          <w:rFonts w:ascii="Arial Narrow" w:hAnsi="Arial Narrow" w:cs="Segoe UI"/>
          <w:sz w:val="22"/>
          <w:szCs w:val="22"/>
        </w:rPr>
      </w:pPr>
      <w:r w:rsidRPr="00E71E86">
        <w:rPr>
          <w:rFonts w:ascii="Arial Narrow" w:hAnsi="Arial Narrow" w:cs="Segoe UI"/>
          <w:sz w:val="22"/>
          <w:szCs w:val="22"/>
        </w:rPr>
        <w:t>La conducta tendría una pena de </w:t>
      </w:r>
      <w:r w:rsidRPr="00E71E86">
        <w:rPr>
          <w:rStyle w:val="Textoennegrita"/>
          <w:rFonts w:ascii="Arial Narrow" w:hAnsi="Arial Narrow" w:cs="Segoe UI"/>
          <w:b w:val="0"/>
          <w:bCs w:val="0"/>
          <w:sz w:val="22"/>
          <w:szCs w:val="22"/>
        </w:rPr>
        <w:t>54 a 96 meses de prisión</w:t>
      </w:r>
      <w:r w:rsidRPr="00E71E86">
        <w:rPr>
          <w:rFonts w:ascii="Arial Narrow" w:hAnsi="Arial Narrow" w:cs="Segoe UI"/>
          <w:sz w:val="22"/>
          <w:szCs w:val="22"/>
        </w:rPr>
        <w:t>, multa de </w:t>
      </w:r>
      <w:r w:rsidRPr="00E71E86">
        <w:rPr>
          <w:rStyle w:val="Textoennegrita"/>
          <w:rFonts w:ascii="Arial Narrow" w:hAnsi="Arial Narrow" w:cs="Segoe UI"/>
          <w:b w:val="0"/>
          <w:bCs w:val="0"/>
          <w:sz w:val="22"/>
          <w:szCs w:val="22"/>
        </w:rPr>
        <w:t>50 a 200 salarios mínimos</w:t>
      </w:r>
      <w:r w:rsidRPr="00E71E86">
        <w:rPr>
          <w:rFonts w:ascii="Arial Narrow" w:hAnsi="Arial Narrow" w:cs="Segoe UI"/>
          <w:sz w:val="22"/>
          <w:szCs w:val="22"/>
        </w:rPr>
        <w:t> e inhabilidad para ejercer derechos y funciones públicas durante el mismo término de la prisión. El parágrafo excluye las movilizaciones realizadas con permiso de la autoridad competente bajo el artículo 37 de la Constitución.</w:t>
      </w:r>
    </w:p>
    <w:p w14:paraId="43A69ECF" w14:textId="77777777" w:rsidR="00447341" w:rsidRPr="00E71E86" w:rsidRDefault="00447341" w:rsidP="00E56EA5">
      <w:pPr>
        <w:pStyle w:val="Ttulo3"/>
        <w:shd w:val="clear" w:color="auto" w:fill="FFFFFF"/>
        <w:spacing w:after="0"/>
        <w:jc w:val="both"/>
        <w:rPr>
          <w:rFonts w:ascii="Arial Narrow" w:hAnsi="Arial Narrow" w:cs="Segoe UI"/>
          <w:sz w:val="22"/>
          <w:szCs w:val="22"/>
        </w:rPr>
      </w:pPr>
    </w:p>
    <w:p w14:paraId="04C1EB47" w14:textId="5EA0C2C3" w:rsidR="00E56EA5" w:rsidRPr="00E71E86" w:rsidRDefault="00E56EA5" w:rsidP="00447341">
      <w:pPr>
        <w:pStyle w:val="Ttulo3"/>
        <w:shd w:val="clear" w:color="auto" w:fill="FFFFFF"/>
        <w:spacing w:after="0"/>
        <w:jc w:val="both"/>
        <w:rPr>
          <w:rFonts w:ascii="Arial Narrow" w:hAnsi="Arial Narrow" w:cs="Segoe UI"/>
          <w:b w:val="0"/>
          <w:bCs w:val="0"/>
          <w:sz w:val="22"/>
          <w:szCs w:val="22"/>
        </w:rPr>
      </w:pPr>
      <w:r w:rsidRPr="00E71E86">
        <w:rPr>
          <w:rFonts w:ascii="Arial Narrow" w:hAnsi="Arial Narrow" w:cs="Segoe UI"/>
          <w:b w:val="0"/>
          <w:bCs w:val="0"/>
          <w:sz w:val="22"/>
          <w:szCs w:val="22"/>
        </w:rPr>
        <w:t>Artículo 5. Vigencia y derogatorias</w:t>
      </w:r>
      <w:r w:rsidR="00447341" w:rsidRPr="00E71E86">
        <w:rPr>
          <w:rFonts w:ascii="Arial Narrow" w:hAnsi="Arial Narrow" w:cs="Segoe UI"/>
          <w:b w:val="0"/>
          <w:bCs w:val="0"/>
          <w:sz w:val="22"/>
          <w:szCs w:val="22"/>
        </w:rPr>
        <w:t xml:space="preserve">: </w:t>
      </w:r>
      <w:r w:rsidRPr="00E71E86">
        <w:rPr>
          <w:rFonts w:ascii="Arial Narrow" w:hAnsi="Arial Narrow" w:cs="Segoe UI"/>
          <w:b w:val="0"/>
          <w:bCs w:val="0"/>
          <w:sz w:val="22"/>
          <w:szCs w:val="22"/>
        </w:rPr>
        <w:t>Establece que la ley comenzaría a regir</w:t>
      </w:r>
      <w:r w:rsidRPr="00E71E86">
        <w:rPr>
          <w:rFonts w:ascii="Arial Narrow" w:hAnsi="Arial Narrow" w:cs="Segoe UI"/>
          <w:sz w:val="22"/>
          <w:szCs w:val="22"/>
        </w:rPr>
        <w:t> </w:t>
      </w:r>
      <w:r w:rsidRPr="00E71E86">
        <w:rPr>
          <w:rStyle w:val="Textoennegrita"/>
          <w:rFonts w:ascii="Arial Narrow" w:hAnsi="Arial Narrow" w:cs="Segoe UI"/>
          <w:sz w:val="22"/>
          <w:szCs w:val="22"/>
        </w:rPr>
        <w:t>desde su promulgación</w:t>
      </w:r>
      <w:r w:rsidRPr="00E71E86">
        <w:rPr>
          <w:rFonts w:ascii="Arial Narrow" w:hAnsi="Arial Narrow" w:cs="Segoe UI"/>
          <w:b w:val="0"/>
          <w:bCs w:val="0"/>
          <w:sz w:val="22"/>
          <w:szCs w:val="22"/>
        </w:rPr>
        <w:t>. También dispone que quedan derogadas las normas anteriores que resulten incompatibles con esta nueva ley.</w:t>
      </w:r>
    </w:p>
    <w:p w14:paraId="5A802AFC" w14:textId="77777777" w:rsidR="00E42907" w:rsidRPr="00E71E86" w:rsidRDefault="00E42907">
      <w:pPr>
        <w:spacing w:line="276" w:lineRule="auto"/>
        <w:jc w:val="both"/>
        <w:rPr>
          <w:rFonts w:ascii="Arial Narrow" w:eastAsia="Arial Narrow" w:hAnsi="Arial Narrow" w:cs="Arial Narrow"/>
        </w:rPr>
      </w:pPr>
    </w:p>
    <w:p w14:paraId="0480E638" w14:textId="77777777" w:rsidR="00922C29" w:rsidRPr="00E71E86" w:rsidRDefault="00922C29" w:rsidP="00922C29">
      <w:pPr>
        <w:spacing w:line="240" w:lineRule="auto"/>
        <w:jc w:val="both"/>
        <w:rPr>
          <w:rFonts w:ascii="Arial Narrow" w:eastAsia="Arial Narrow" w:hAnsi="Arial Narrow" w:cs="Arial Narrow"/>
          <w:b/>
          <w:bCs/>
        </w:rPr>
      </w:pPr>
      <w:r w:rsidRPr="00E71E86">
        <w:rPr>
          <w:rFonts w:ascii="Arial Narrow" w:eastAsia="Arial Narrow" w:hAnsi="Arial Narrow" w:cs="Arial Narrow"/>
          <w:b/>
          <w:bCs/>
        </w:rPr>
        <w:t>4. MARCO JURÍDICO</w:t>
      </w:r>
    </w:p>
    <w:p w14:paraId="600C9B2E" w14:textId="77777777" w:rsidR="00922C29" w:rsidRPr="00E71E86" w:rsidRDefault="00922C29" w:rsidP="00922C29">
      <w:pPr>
        <w:pStyle w:val="Ttulo3"/>
        <w:spacing w:before="280"/>
        <w:jc w:val="both"/>
        <w:rPr>
          <w:rFonts w:ascii="Arial Narrow" w:eastAsia="Arial Narrow" w:hAnsi="Arial Narrow" w:cs="Arial Narrow"/>
          <w:b w:val="0"/>
          <w:bCs w:val="0"/>
          <w:sz w:val="22"/>
          <w:szCs w:val="22"/>
        </w:rPr>
      </w:pPr>
      <w:bookmarkStart w:id="0" w:name="_heading=h.l77tt1vohzzj" w:colFirst="0" w:colLast="0"/>
      <w:bookmarkEnd w:id="0"/>
      <w:r w:rsidRPr="00E71E86">
        <w:rPr>
          <w:rFonts w:ascii="Arial Narrow" w:eastAsia="Arial Narrow" w:hAnsi="Arial Narrow" w:cs="Arial Narrow"/>
          <w:sz w:val="22"/>
          <w:szCs w:val="22"/>
        </w:rPr>
        <w:t>4.1 Fundamento constitucional</w:t>
      </w:r>
    </w:p>
    <w:p w14:paraId="5EAA0D53" w14:textId="77777777" w:rsidR="00922C29" w:rsidRPr="00E71E86" w:rsidRDefault="00922C29" w:rsidP="00922C29">
      <w:pPr>
        <w:spacing w:before="240" w:after="240" w:line="240" w:lineRule="auto"/>
        <w:jc w:val="both"/>
        <w:rPr>
          <w:rFonts w:ascii="Arial Narrow" w:eastAsia="Arial Narrow" w:hAnsi="Arial Narrow" w:cs="Arial Narrow"/>
        </w:rPr>
      </w:pPr>
      <w:r w:rsidRPr="00E71E86">
        <w:rPr>
          <w:rFonts w:ascii="Arial Narrow" w:eastAsia="Arial Narrow" w:hAnsi="Arial Narrow" w:cs="Arial Narrow"/>
        </w:rPr>
        <w:t xml:space="preserve">El marco constitucional del proyecto se estructura sobre dos ejes: i) protección reforzada de la protesta pacífica; y </w:t>
      </w:r>
      <w:proofErr w:type="spellStart"/>
      <w:r w:rsidRPr="00E71E86">
        <w:rPr>
          <w:rFonts w:ascii="Arial Narrow" w:eastAsia="Arial Narrow" w:hAnsi="Arial Narrow" w:cs="Arial Narrow"/>
        </w:rPr>
        <w:t>ii</w:t>
      </w:r>
      <w:proofErr w:type="spellEnd"/>
      <w:r w:rsidRPr="00E71E86">
        <w:rPr>
          <w:rFonts w:ascii="Arial Narrow" w:eastAsia="Arial Narrow" w:hAnsi="Arial Narrow" w:cs="Arial Narrow"/>
        </w:rPr>
        <w:t>) deber estatal de proteger la vida, la convivencia, los bienes públicos y privados, la seguridad y los derechos de terceros.</w:t>
      </w:r>
    </w:p>
    <w:p w14:paraId="3CCE0C48" w14:textId="77777777" w:rsidR="00922C29" w:rsidRPr="00E71E86" w:rsidRDefault="00922C29" w:rsidP="00922C29">
      <w:pPr>
        <w:spacing w:before="240" w:after="240" w:line="240" w:lineRule="auto"/>
        <w:jc w:val="both"/>
        <w:rPr>
          <w:rFonts w:ascii="Arial Narrow" w:eastAsia="Arial Narrow" w:hAnsi="Arial Narrow" w:cs="Arial Narrow"/>
        </w:rPr>
      </w:pPr>
      <w:r w:rsidRPr="00E71E86">
        <w:rPr>
          <w:rFonts w:ascii="Arial Narrow" w:eastAsia="Arial Narrow" w:hAnsi="Arial Narrow" w:cs="Arial Narrow"/>
        </w:rPr>
        <w:t xml:space="preserve">En primer lugar, los artículos 1 y 2 de la Constitución sirven como fundamento general: Colombia es un Estado social de derecho fundado, entre otros, en la prevalencia del interés general, y son fines esenciales del Estado garantizar la efectividad de los derechos, </w:t>
      </w:r>
      <w:r w:rsidRPr="00E71E86">
        <w:rPr>
          <w:rFonts w:ascii="Arial Narrow" w:eastAsia="Arial Narrow" w:hAnsi="Arial Narrow" w:cs="Arial Narrow"/>
          <w:b/>
          <w:bCs/>
        </w:rPr>
        <w:t>asegurar la convivencia pacífica</w:t>
      </w:r>
      <w:r w:rsidRPr="00E71E86">
        <w:rPr>
          <w:rFonts w:ascii="Arial Narrow" w:eastAsia="Arial Narrow" w:hAnsi="Arial Narrow" w:cs="Arial Narrow"/>
        </w:rPr>
        <w:t xml:space="preserve"> y proteger a todas las personas en su vida, honra, bienes, creencias y demás derechos y libertades.</w:t>
      </w:r>
    </w:p>
    <w:p w14:paraId="47BA0BE9" w14:textId="77777777" w:rsidR="00922C29" w:rsidRPr="00E71E86" w:rsidRDefault="00922C29" w:rsidP="00922C29">
      <w:pPr>
        <w:spacing w:before="240" w:after="240" w:line="240" w:lineRule="auto"/>
        <w:jc w:val="both"/>
        <w:rPr>
          <w:rFonts w:ascii="Arial Narrow" w:eastAsia="Arial Narrow" w:hAnsi="Arial Narrow" w:cs="Arial Narrow"/>
        </w:rPr>
      </w:pPr>
      <w:r w:rsidRPr="00E71E86">
        <w:rPr>
          <w:rFonts w:ascii="Arial Narrow" w:eastAsia="Arial Narrow" w:hAnsi="Arial Narrow" w:cs="Arial Narrow"/>
        </w:rPr>
        <w:lastRenderedPageBreak/>
        <w:t xml:space="preserve">En segundo lugar, en nuestra Constitución encontramos que, el artículo 20 protege la libertad de expresión; el artículo 37 protege la reunión y manifestación pública pacífica; y el artículo 40 reconoce la participación ciudadana en la conformación, ejercicio y control del poder político. </w:t>
      </w:r>
    </w:p>
    <w:p w14:paraId="4767B6BF" w14:textId="77777777" w:rsidR="00922C29" w:rsidRPr="00E71E86" w:rsidRDefault="00922C29" w:rsidP="00922C29">
      <w:pPr>
        <w:spacing w:before="240" w:after="240" w:line="240" w:lineRule="auto"/>
        <w:jc w:val="both"/>
        <w:rPr>
          <w:rFonts w:ascii="Arial Narrow" w:eastAsia="Arial Narrow" w:hAnsi="Arial Narrow" w:cs="Arial Narrow"/>
        </w:rPr>
      </w:pPr>
      <w:r w:rsidRPr="00E71E86">
        <w:rPr>
          <w:rFonts w:ascii="Arial Narrow" w:eastAsia="Arial Narrow" w:hAnsi="Arial Narrow" w:cs="Arial Narrow"/>
        </w:rPr>
        <w:t>En tercer lugar, el artículo 29 de la Constitución impone el debido proceso, la presunción de inocencia, la legalidad penal y la prohibición de juzgar a una persona sino conforme a leyes preexistentes al acto que se le imputa. En cuarto lugar, los artículos 58 y 82 resultan pertinentes porque protegen la propiedad privada, la función social de la propiedad, el espacio público y su destinación al uso común. Bajo ese marco, el legislador puede proteger penalmente bienes públicos, infraestructura de transporte, bienes de uso público, bienes de utilidad social, patrimonio cultural y propiedad privada.</w:t>
      </w:r>
    </w:p>
    <w:p w14:paraId="70DA93B4" w14:textId="77777777" w:rsidR="00922C29" w:rsidRPr="00E71E86" w:rsidRDefault="00922C29" w:rsidP="00922C29">
      <w:pPr>
        <w:pStyle w:val="Ttulo3"/>
        <w:spacing w:before="280"/>
        <w:jc w:val="both"/>
        <w:rPr>
          <w:rFonts w:ascii="Arial Narrow" w:eastAsia="Arial Narrow" w:hAnsi="Arial Narrow" w:cs="Arial Narrow"/>
          <w:b w:val="0"/>
          <w:bCs w:val="0"/>
          <w:sz w:val="22"/>
          <w:szCs w:val="22"/>
        </w:rPr>
      </w:pPr>
      <w:bookmarkStart w:id="1" w:name="_heading=h.ock17q1r4o94" w:colFirst="0" w:colLast="0"/>
      <w:bookmarkEnd w:id="1"/>
      <w:r w:rsidRPr="00E71E86">
        <w:rPr>
          <w:rFonts w:ascii="Arial Narrow" w:eastAsia="Arial Narrow" w:hAnsi="Arial Narrow" w:cs="Arial Narrow"/>
          <w:sz w:val="22"/>
          <w:szCs w:val="22"/>
        </w:rPr>
        <w:t>4.2. Bloque de constitucionalidad y estándares convencionales</w:t>
      </w:r>
    </w:p>
    <w:p w14:paraId="0C6143D3" w14:textId="77777777" w:rsidR="00922C29" w:rsidRPr="00E71E86" w:rsidRDefault="00922C29" w:rsidP="00922C29">
      <w:pPr>
        <w:spacing w:before="240" w:after="240" w:line="240" w:lineRule="auto"/>
        <w:jc w:val="both"/>
        <w:rPr>
          <w:rFonts w:ascii="Arial Narrow" w:eastAsia="Arial Narrow" w:hAnsi="Arial Narrow" w:cs="Arial Narrow"/>
        </w:rPr>
      </w:pPr>
      <w:r w:rsidRPr="00E71E86">
        <w:rPr>
          <w:rFonts w:ascii="Arial Narrow" w:eastAsia="Arial Narrow" w:hAnsi="Arial Narrow" w:cs="Arial Narrow"/>
        </w:rPr>
        <w:t>El artículo 93 de la Constitución integra al parámetro de control constitucional los tratados internacionales sobre derechos humanos ratificados por Colombia. En esta materia son relevantes la Convención Americana sobre Derechos Humanos y el Pacto Internacional de Derechos Civiles y Políticos.</w:t>
      </w:r>
    </w:p>
    <w:p w14:paraId="0A73AAA1" w14:textId="77777777" w:rsidR="00922C29" w:rsidRPr="00E71E86" w:rsidRDefault="00922C29" w:rsidP="00922C29">
      <w:pPr>
        <w:spacing w:before="240" w:after="240" w:line="240" w:lineRule="auto"/>
        <w:jc w:val="both"/>
        <w:rPr>
          <w:rFonts w:ascii="Arial Narrow" w:eastAsia="Arial Narrow" w:hAnsi="Arial Narrow" w:cs="Arial Narrow"/>
        </w:rPr>
      </w:pPr>
      <w:r w:rsidRPr="00E71E86">
        <w:rPr>
          <w:rFonts w:ascii="Arial Narrow" w:eastAsia="Arial Narrow" w:hAnsi="Arial Narrow" w:cs="Arial Narrow"/>
        </w:rPr>
        <w:t>La Convención Americana protege la libertad de expresión en su artículo 13 y admite responsabilidades ulteriores fijadas por Ley cuando sean necesarias para proteger derechos de terceros, seguridad nacional, orden público, salud o moral públicas. También reconoce en el artículo 15 el derecho de reunión pacífica y sin armas, permitiendo restricciones legales necesarias en una sociedad democrática por razones de seguridad nacional, seguridad o tranquilidad públicas, orden público, salud o moral públicas, o derechos y libertades de los demás.</w:t>
      </w:r>
    </w:p>
    <w:p w14:paraId="1265A614" w14:textId="77777777" w:rsidR="00922C29" w:rsidRPr="00E71E86" w:rsidRDefault="00922C29" w:rsidP="00922C29">
      <w:pPr>
        <w:spacing w:before="240" w:after="240" w:line="240" w:lineRule="auto"/>
        <w:jc w:val="both"/>
        <w:rPr>
          <w:rFonts w:ascii="Arial Narrow" w:eastAsia="Arial Narrow" w:hAnsi="Arial Narrow" w:cs="Arial Narrow"/>
        </w:rPr>
      </w:pPr>
      <w:r w:rsidRPr="00E71E86">
        <w:rPr>
          <w:rFonts w:ascii="Arial Narrow" w:eastAsia="Arial Narrow" w:hAnsi="Arial Narrow" w:cs="Arial Narrow"/>
        </w:rPr>
        <w:t>El Comité de Derechos Humanos de Naciones Unidas, en la Observación General No. 37 sobre el artículo 21 del PIDCP, ha indicado que el derecho de reunión pacífica no se ejerce mediante violencia; además, señala que la violencia suele implicar uso de fuerza física contra otras personas que pueda causar lesiones, muerte o daños graves a bienes. Ese estándar permite diferenciar entre manifestantes pacíficos protegidos y autores de actos violentos o destructivos que salen del ámbito protegido por el derecho de reunión.</w:t>
      </w:r>
    </w:p>
    <w:p w14:paraId="60A0FA98" w14:textId="77777777" w:rsidR="00922C29" w:rsidRPr="00E71E86" w:rsidRDefault="00922C29" w:rsidP="00922C29">
      <w:pPr>
        <w:spacing w:before="240" w:after="240" w:line="240" w:lineRule="auto"/>
        <w:jc w:val="both"/>
        <w:rPr>
          <w:rFonts w:ascii="Arial Narrow" w:eastAsia="Arial Narrow" w:hAnsi="Arial Narrow" w:cs="Arial Narrow"/>
        </w:rPr>
      </w:pPr>
      <w:r w:rsidRPr="00E71E86">
        <w:rPr>
          <w:rFonts w:ascii="Arial Narrow" w:eastAsia="Arial Narrow" w:hAnsi="Arial Narrow" w:cs="Arial Narrow"/>
          <w:highlight w:val="white"/>
        </w:rPr>
        <w:t>La Corte Constitucional ha reconocido que los derechos de reunión y manifestación pública y pacífica deben interpretarse de conformidad con los instrumentos internacionales que integran el bloque de constitucionalidad. En la Sentencia C-223 de 2017, M.P. Alberto Rojas Ríos, la Corporación examinó el alcance constitucional del derecho de reunión y manifestación y destacó su relación con el artículo 15 de la Convención Americana sobre Derechos Humanos y el artículo 21 del Pacto Internacional de Derechos Civiles y Políticos. En este sentido, la Corte reiteró que la protección constitucional se encuentra vinculada al carácter pacífico y sin armas de las reuniones y manifestaciones, y que las restricciones a su ejercicio deben estar previstas en la Ley y satisfacer las exigencias de necesidad, proporcionalidad y respeto por el contenido esencial del derecho.</w:t>
      </w:r>
      <w:r w:rsidRPr="00E71E86">
        <w:rPr>
          <w:rFonts w:ascii="Arial Narrow" w:eastAsia="Arial Narrow" w:hAnsi="Arial Narrow" w:cs="Arial Narrow"/>
        </w:rPr>
        <w:t xml:space="preserve"> </w:t>
      </w:r>
    </w:p>
    <w:p w14:paraId="1ABA954D" w14:textId="77777777" w:rsidR="00922C29" w:rsidRPr="00E71E86" w:rsidRDefault="00922C29" w:rsidP="00922C29">
      <w:pPr>
        <w:pStyle w:val="Ttulo3"/>
        <w:spacing w:before="280"/>
        <w:jc w:val="both"/>
        <w:rPr>
          <w:rFonts w:ascii="Arial Narrow" w:eastAsia="Arial Narrow" w:hAnsi="Arial Narrow" w:cs="Arial Narrow"/>
          <w:b w:val="0"/>
          <w:bCs w:val="0"/>
          <w:sz w:val="22"/>
          <w:szCs w:val="22"/>
          <w:highlight w:val="white"/>
        </w:rPr>
      </w:pPr>
      <w:bookmarkStart w:id="2" w:name="_heading=h.r5i0duplma7s" w:colFirst="0" w:colLast="0"/>
      <w:bookmarkEnd w:id="2"/>
      <w:r w:rsidRPr="00E71E86">
        <w:rPr>
          <w:rFonts w:ascii="Arial Narrow" w:eastAsia="Arial Narrow" w:hAnsi="Arial Narrow" w:cs="Arial Narrow"/>
          <w:sz w:val="22"/>
          <w:szCs w:val="22"/>
          <w:highlight w:val="white"/>
        </w:rPr>
        <w:t>4.3 Marco legal penal vigente.</w:t>
      </w:r>
    </w:p>
    <w:p w14:paraId="02FE7D06" w14:textId="77777777" w:rsidR="00922C29" w:rsidRPr="00E71E86" w:rsidRDefault="00922C29" w:rsidP="00922C29">
      <w:pPr>
        <w:spacing w:before="240" w:after="240" w:line="240" w:lineRule="auto"/>
        <w:jc w:val="both"/>
        <w:rPr>
          <w:rFonts w:ascii="Arial Narrow" w:eastAsia="Arial Narrow" w:hAnsi="Arial Narrow" w:cs="Arial Narrow"/>
          <w:highlight w:val="white"/>
        </w:rPr>
      </w:pPr>
      <w:r w:rsidRPr="00E71E86">
        <w:rPr>
          <w:rFonts w:ascii="Arial Narrow" w:eastAsia="Arial Narrow" w:hAnsi="Arial Narrow" w:cs="Arial Narrow"/>
          <w:highlight w:val="white"/>
        </w:rPr>
        <w:t xml:space="preserve">El Código Penal colombiano contiene tipos aplicables a conductas que, en lenguaje común, suelen denominarse “acto vandálico”. El artículo 265 sanciona el daño en bien ajeno, consistente en destruir, inutilizar, hacer desaparecer o dañar de cualquier modo bien ajeno, mueble o inmueble. El artículo 266 prevé circunstancias de agravación cuando el daño recae, entre otros, sobre objetos de interés científico, histórico, asistencial, </w:t>
      </w:r>
      <w:r w:rsidRPr="00E71E86">
        <w:rPr>
          <w:rFonts w:ascii="Arial Narrow" w:eastAsia="Arial Narrow" w:hAnsi="Arial Narrow" w:cs="Arial Narrow"/>
          <w:highlight w:val="white"/>
        </w:rPr>
        <w:lastRenderedPageBreak/>
        <w:t>educativo, cultural o artístico, bienes de uso público, bienes de utilidad social o bienes del patrimonio cultural de la Nación.</w:t>
      </w:r>
    </w:p>
    <w:p w14:paraId="780EFEAE" w14:textId="77777777" w:rsidR="00922C29" w:rsidRPr="00E71E86" w:rsidRDefault="00922C29" w:rsidP="00922C29">
      <w:pPr>
        <w:spacing w:before="240" w:after="240" w:line="240" w:lineRule="auto"/>
        <w:jc w:val="both"/>
        <w:rPr>
          <w:rFonts w:ascii="Arial Narrow" w:eastAsia="Arial Narrow" w:hAnsi="Arial Narrow" w:cs="Arial Narrow"/>
          <w:highlight w:val="white"/>
        </w:rPr>
      </w:pPr>
      <w:r w:rsidRPr="00E71E86">
        <w:rPr>
          <w:rFonts w:ascii="Arial Narrow" w:eastAsia="Arial Narrow" w:hAnsi="Arial Narrow" w:cs="Arial Narrow"/>
          <w:highlight w:val="white"/>
        </w:rPr>
        <w:t>También existen tipos penales conexos que pueden activarse en escenarios de violencia durante protestas: incendio, artículo 350; daño en obras de utilidad social, artículo 351; obstrucción a vías públicas que afecten el orden público, artículo 353A; empleo o lanzamiento de sustancias u objetos peligrosos, artículo 359; fabricación, tráfico, porte o tenencia de armas de fuego, accesorios, partes o municiones, artículo 365; fabricación, tráfico y porte de armas, municiones de uso restringido, de uso privativo de las Fuerzas Armadas o explosivos, artículo 366; y violencia contra servidor público, artículo 429. La Fiscalía, en la Directiva 001 de 2024, identificó precisamente varios de esos delitos como hipótesis que pueden presentarse en contextos de protesta cuando se supera el ámbito de la manifestación pacífica.</w:t>
      </w:r>
    </w:p>
    <w:p w14:paraId="724D5F8F" w14:textId="77777777" w:rsidR="00922C29" w:rsidRPr="00E71E86" w:rsidRDefault="00922C29" w:rsidP="00922C29">
      <w:pPr>
        <w:spacing w:before="240" w:after="240" w:line="240" w:lineRule="auto"/>
        <w:jc w:val="both"/>
        <w:rPr>
          <w:rFonts w:ascii="Arial Narrow" w:eastAsia="Arial Narrow" w:hAnsi="Arial Narrow" w:cs="Arial Narrow"/>
          <w:highlight w:val="white"/>
        </w:rPr>
      </w:pPr>
      <w:r w:rsidRPr="00E71E86">
        <w:rPr>
          <w:rFonts w:ascii="Arial Narrow" w:eastAsia="Arial Narrow" w:hAnsi="Arial Narrow" w:cs="Arial Narrow"/>
          <w:highlight w:val="white"/>
        </w:rPr>
        <w:t>El antecedente normativo más importante para este proyecto es el artículo 353B del Código Penal, adicionado por la Ley 2197 de 2022, que contempla agravación cuando en la obstrucción a vías públicas se emplean máscaras o elementos similares que sirvan para ocultar la identidad o dificultarla. Este antecedente demuestra que el legislador ya ha considerado jurídicamente relevante el ocultamiento de identidad cuando acompaña la comisión de una conducta punible, pero no autoriza a castigar el simple uso de elementos de cobertura facial.</w:t>
      </w:r>
    </w:p>
    <w:p w14:paraId="1D57D595" w14:textId="77777777" w:rsidR="00922C29" w:rsidRPr="00E71E86" w:rsidRDefault="00922C29" w:rsidP="00922C29">
      <w:pPr>
        <w:spacing w:before="240" w:after="240" w:line="240" w:lineRule="auto"/>
        <w:jc w:val="both"/>
        <w:rPr>
          <w:rFonts w:ascii="Arial Narrow" w:eastAsia="Arial Narrow" w:hAnsi="Arial Narrow" w:cs="Arial Narrow"/>
          <w:highlight w:val="white"/>
        </w:rPr>
      </w:pPr>
      <w:r w:rsidRPr="00E71E86">
        <w:rPr>
          <w:rFonts w:ascii="Arial Narrow" w:eastAsia="Arial Narrow" w:hAnsi="Arial Narrow" w:cs="Arial Narrow"/>
          <w:highlight w:val="white"/>
        </w:rPr>
        <w:t xml:space="preserve">Sin embargo, aunque el Código Penal sanciona individualmente diversas conductas comúnmente denominadas “acto vandálico” y contempla agravantes relacionadas con el ocultamiento en supuestos específicos, no existe actualmente un tipo penal autónomo que tipifique, de manera expresa y general, la comisión de tales actos mediante el ocultamiento deliberado de la identidad en el contexto de manifestaciones públicas. La regulación vigente es fragmentaria y exige acudir a los delitos subyacentes y, cuando proceda, a las circunstancias de agravación previstas en la Ley; por ello, la iniciativa pretende establecer un tratamiento penal específico, sin convertir el simple uso de máscaras o elementos de cobertura facial en delito. </w:t>
      </w:r>
    </w:p>
    <w:p w14:paraId="4DA96682" w14:textId="77777777" w:rsidR="00922C29" w:rsidRPr="00E71E86" w:rsidRDefault="00922C29" w:rsidP="00922C29">
      <w:pPr>
        <w:spacing w:before="240" w:after="240" w:line="240" w:lineRule="auto"/>
        <w:jc w:val="both"/>
        <w:rPr>
          <w:rFonts w:ascii="Arial Narrow" w:eastAsia="Arial Narrow" w:hAnsi="Arial Narrow" w:cs="Arial Narrow"/>
        </w:rPr>
      </w:pPr>
      <w:r w:rsidRPr="00E71E86">
        <w:rPr>
          <w:rFonts w:ascii="Arial Narrow" w:eastAsia="Arial Narrow" w:hAnsi="Arial Narrow" w:cs="Arial Narrow"/>
          <w:highlight w:val="white"/>
        </w:rPr>
        <w:t xml:space="preserve">Ahora bien, </w:t>
      </w:r>
      <w:r w:rsidRPr="00E71E86">
        <w:rPr>
          <w:rFonts w:ascii="Arial Narrow" w:eastAsia="Arial Narrow" w:hAnsi="Arial Narrow" w:cs="Arial Narrow"/>
        </w:rPr>
        <w:t>La incorporación del artículo 353C en el Título XII del Libro II del Código Penal, correspondiente a los delitos contra la seguridad pública, se justifica en que las conductas que se pretenden sancionar no se limitan a afectar bienes jurídicos de carácter individual, sino que tienen la capacidad de alterar la tranquilidad, la convivencia y el normal desarrollo de las actividades de la comunidad. La Corte Constitucional ha señalado que la seguridad pública se lesiona cuando “se altera la tranquilidad en la comunidad y se genera desconfianza colectiva para el ejercicio de las actividades ordinarias”.</w:t>
      </w:r>
    </w:p>
    <w:p w14:paraId="76CE5799" w14:textId="77777777" w:rsidR="00922C29" w:rsidRPr="00E71E86" w:rsidRDefault="00922C29" w:rsidP="00922C29">
      <w:pPr>
        <w:spacing w:before="240" w:after="240" w:line="240" w:lineRule="auto"/>
        <w:jc w:val="both"/>
        <w:rPr>
          <w:rFonts w:ascii="Arial Narrow" w:eastAsia="Arial Narrow" w:hAnsi="Arial Narrow" w:cs="Arial Narrow"/>
        </w:rPr>
      </w:pPr>
      <w:r w:rsidRPr="00E71E86">
        <w:rPr>
          <w:rFonts w:ascii="Arial Narrow" w:eastAsia="Arial Narrow" w:hAnsi="Arial Narrow" w:cs="Arial Narrow"/>
        </w:rPr>
        <w:t>En este sentido, el acto vandálico cometido en el marco de manifestaciones públicas y aprovechando deliberadamente el ocultamiento de la identidad pueden generar una afectación colectiva que trasciende el daño concreto ocasionado a personas o bienes determinados. Por ello, resulta jurídicamente coherente ubicar el artículo 353C dentro de los delitos contra la seguridad pública, pues su finalidad es proteger a la comunidad frente a conductas que, bajo estas circunstancias, pueden perturbar la tranquilidad y el normal desarrollo de la vida social, sin criminalizar el derecho fundamental a la reunión y manifestación pública ni el simple uso de elementos para cubrir el rostro.</w:t>
      </w:r>
    </w:p>
    <w:p w14:paraId="650388A2" w14:textId="77777777" w:rsidR="00922C29" w:rsidRPr="00E71E86" w:rsidRDefault="00922C29" w:rsidP="00922C29">
      <w:pPr>
        <w:shd w:val="clear" w:color="auto" w:fill="FFFFFF"/>
        <w:spacing w:after="60" w:line="240" w:lineRule="auto"/>
        <w:jc w:val="both"/>
        <w:rPr>
          <w:rFonts w:ascii="Arial Narrow" w:eastAsia="Arial Narrow" w:hAnsi="Arial Narrow" w:cs="Arial Narrow"/>
        </w:rPr>
      </w:pPr>
      <w:r w:rsidRPr="00E71E86">
        <w:rPr>
          <w:rFonts w:ascii="Arial Narrow" w:eastAsia="Arial Narrow" w:hAnsi="Arial Narrow" w:cs="Arial Narrow"/>
        </w:rPr>
        <w:t xml:space="preserve">La propuesta se estructura bajo los principios propios de un derecho penal de acto, y no de un derecho penal de autor. El reproche penal no recae sobre las características personales del individuo, sus ideas, su forma de vestir, su participación en una manifestación pública ni sobre el simple hecho de ocultar su identidad. Por el contrario, la responsabilidad surge exclusivamente de la realización de una conducta concreta, exteriorizada y </w:t>
      </w:r>
      <w:r w:rsidRPr="00E71E86">
        <w:rPr>
          <w:rFonts w:ascii="Arial Narrow" w:eastAsia="Arial Narrow" w:hAnsi="Arial Narrow" w:cs="Arial Narrow"/>
        </w:rPr>
        <w:lastRenderedPageBreak/>
        <w:t>jurídicamente relevante, consistente en cometer acto vandálico aprovechándose deliberadamente del ocultamiento de la identidad en el contexto de una manifestación pública.</w:t>
      </w:r>
    </w:p>
    <w:p w14:paraId="539D9906" w14:textId="77777777" w:rsidR="00922C29" w:rsidRPr="00E71E86" w:rsidRDefault="00922C29" w:rsidP="00922C29">
      <w:pPr>
        <w:shd w:val="clear" w:color="auto" w:fill="FFFFFF"/>
        <w:spacing w:before="240" w:after="0" w:line="240" w:lineRule="auto"/>
        <w:jc w:val="both"/>
        <w:rPr>
          <w:rFonts w:ascii="Arial Narrow" w:eastAsia="Arial Narrow" w:hAnsi="Arial Narrow" w:cs="Arial Narrow"/>
        </w:rPr>
      </w:pPr>
      <w:r w:rsidRPr="00E71E86">
        <w:rPr>
          <w:rFonts w:ascii="Arial Narrow" w:eastAsia="Arial Narrow" w:hAnsi="Arial Narrow" w:cs="Arial Narrow"/>
        </w:rPr>
        <w:t>En consecuencia, el artículo 353C no pretende establecer una presunción de peligrosidad respecto de quienes utilizan elementos para cubrir su rostro, ni atribuir responsabilidad penal por las condiciones personales del autor. La norma exige la concurrencia de elementos objetivos y verificables de la conducta, de manera que se sanciona el acto efectivamente realizado y no a la persona por lo que es o representa. Esta delimitación resulta fundamental para garantizar los principios de legalidad, culpabilidad y responsabilidad por el acto, al tiempo que permite diferenciar el ejercicio legítimo de la protesta de aquellas conductas que, en su desarrollo, lesionan bienes jurídicos protegidos por el derecho penal.</w:t>
      </w:r>
    </w:p>
    <w:bookmarkStart w:id="3" w:name="_heading=h.mr5qvdknyobl" w:colFirst="0" w:colLast="0" w:displacedByCustomXml="next"/>
    <w:bookmarkEnd w:id="3" w:displacedByCustomXml="next"/>
    <w:sdt>
      <w:sdtPr>
        <w:tag w:val="goog_rdk_2"/>
        <w:id w:val="-1157972204"/>
      </w:sdtPr>
      <w:sdtEndPr/>
      <w:sdtContent>
        <w:p w14:paraId="600463C7" w14:textId="77777777" w:rsidR="00922C29" w:rsidRPr="00E71E86" w:rsidRDefault="00922C29" w:rsidP="00922C29">
          <w:pPr>
            <w:pStyle w:val="Ttulo3"/>
            <w:spacing w:before="280"/>
            <w:jc w:val="both"/>
            <w:rPr>
              <w:rFonts w:ascii="Arial Narrow" w:eastAsia="Arial Narrow" w:hAnsi="Arial Narrow" w:cs="Arial Narrow"/>
              <w:b w:val="0"/>
              <w:bCs w:val="0"/>
              <w:sz w:val="22"/>
              <w:szCs w:val="22"/>
            </w:rPr>
          </w:pPr>
          <w:r w:rsidRPr="00E71E86">
            <w:rPr>
              <w:rFonts w:ascii="Arial Narrow" w:eastAsia="Arial Narrow" w:hAnsi="Arial Narrow" w:cs="Arial Narrow"/>
              <w:sz w:val="22"/>
              <w:szCs w:val="22"/>
            </w:rPr>
            <w:t>4.4 Jurisprudencia constitucional aplicable.</w:t>
          </w:r>
        </w:p>
      </w:sdtContent>
    </w:sdt>
    <w:p w14:paraId="2374B903" w14:textId="613FCC63" w:rsidR="00922C29" w:rsidRPr="00E71E86" w:rsidRDefault="00922C29" w:rsidP="00922C29">
      <w:pPr>
        <w:spacing w:before="240" w:after="240" w:line="240" w:lineRule="auto"/>
        <w:jc w:val="both"/>
        <w:rPr>
          <w:rFonts w:ascii="Arial Narrow" w:eastAsia="Arial Narrow" w:hAnsi="Arial Narrow" w:cs="Arial Narrow"/>
        </w:rPr>
      </w:pPr>
      <w:r w:rsidRPr="00E71E86">
        <w:rPr>
          <w:rFonts w:ascii="Arial Narrow" w:eastAsia="Arial Narrow" w:hAnsi="Arial Narrow" w:cs="Arial Narrow"/>
        </w:rPr>
        <w:t>La Sentencia C-742 de 2012, expediente D-8991, M.P, María Victoria Calle Correa, la Corte Constitucional analizó el delito de obstrucción a vías públicas que afecten el orden público y precisó que la protesta no puede ser criminalizada por la sola ocupación temporal del espacio público. Para que exista delito debe acreditarse una afectación concreta a bienes jurídicos como la vida humana, la salud pública, la seguridad alimentaria, el medio ambiente o el derecho al trabajo.</w:t>
      </w:r>
    </w:p>
    <w:p w14:paraId="0EF49A0F" w14:textId="0828AEE9" w:rsidR="003B70AC" w:rsidRPr="00E71E86" w:rsidRDefault="00922C29" w:rsidP="00922C29">
      <w:pPr>
        <w:spacing w:before="240" w:after="240" w:line="240" w:lineRule="auto"/>
        <w:jc w:val="both"/>
        <w:rPr>
          <w:rFonts w:ascii="Arial Narrow" w:eastAsia="Arial Narrow" w:hAnsi="Arial Narrow" w:cs="Arial Narrow"/>
        </w:rPr>
      </w:pPr>
      <w:r w:rsidRPr="00E71E86">
        <w:rPr>
          <w:rFonts w:ascii="Arial Narrow" w:eastAsia="Arial Narrow" w:hAnsi="Arial Narrow" w:cs="Arial Narrow"/>
        </w:rPr>
        <w:t>La Sentencia C-014 de 2023, expediente D-14677 AC, M.P, María Victoria Calle Correa es el precedente más específico sobre ocultamiento de identidad. La Corte estudió la Ley 2197 de 2022 y aceptó la agravación por uso de máscaras o elementos similares en el delito de obstrucción a vías públicas, pero bajo una lectura estricta: el uso del elemento debe tener relevancia penal cuando se emplea para ocultar la identidad o dificultarla, con incidencia en la persecución penal.</w:t>
      </w:r>
    </w:p>
    <w:p w14:paraId="1BCAE355" w14:textId="7C233EB8" w:rsidR="00A1252C" w:rsidRPr="00E71E86" w:rsidRDefault="00A1252C" w:rsidP="00922C29">
      <w:pPr>
        <w:spacing w:before="240" w:after="240" w:line="240" w:lineRule="auto"/>
        <w:jc w:val="both"/>
        <w:rPr>
          <w:rFonts w:ascii="Arial Narrow" w:eastAsia="Arial Narrow" w:hAnsi="Arial Narrow" w:cs="Arial Narrow"/>
        </w:rPr>
      </w:pPr>
      <w:r w:rsidRPr="00E71E86">
        <w:rPr>
          <w:rFonts w:ascii="Arial Narrow" w:eastAsia="Arial Narrow" w:hAnsi="Arial Narrow" w:cs="Arial Narrow"/>
        </w:rPr>
        <w:t>La Sentencia T-227</w:t>
      </w:r>
      <w:r w:rsidR="00C70513" w:rsidRPr="00E71E86">
        <w:rPr>
          <w:rFonts w:ascii="Arial Narrow" w:eastAsia="Arial Narrow" w:hAnsi="Arial Narrow" w:cs="Arial Narrow"/>
        </w:rPr>
        <w:t xml:space="preserve"> </w:t>
      </w:r>
      <w:r w:rsidR="00C70513" w:rsidRPr="00E71E86">
        <w:rPr>
          <w:rFonts w:ascii="Arial Narrow" w:hAnsi="Arial Narrow"/>
        </w:rPr>
        <w:t>expediente T-10.611.925, M.P, Diana Constanza Fajardo Rivera, 5 de junio de 2025. reiteró que participar anónimamente, cubrirse el rostro o utilizar capuchas puede formar parte del ejercicio legítimo de la libertad de expresión y de la protesta pacífica. Este pronunciamiento no impide la iniciativa legislativa; por el contrario, delimita su contenido constitucionalmente admisible: el ocultamiento legítimo debe permanecer protegido, mientras que su utilización funcional y deliberada para cometer delitos puede recibir una respuesta penal diferenciada.</w:t>
      </w:r>
    </w:p>
    <w:p w14:paraId="36EEDCBA" w14:textId="77777777" w:rsidR="00C70513" w:rsidRPr="00C70513" w:rsidRDefault="00C70513" w:rsidP="00C70513">
      <w:pPr>
        <w:spacing w:before="100" w:beforeAutospacing="1" w:after="100" w:afterAutospacing="1" w:line="240" w:lineRule="auto"/>
        <w:jc w:val="both"/>
        <w:rPr>
          <w:rFonts w:ascii="Arial Narrow" w:eastAsia="Times New Roman" w:hAnsi="Arial Narrow" w:cs="Times New Roman"/>
          <w:lang w:eastAsia="es-CO"/>
        </w:rPr>
      </w:pPr>
      <w:r w:rsidRPr="00C70513">
        <w:rPr>
          <w:rFonts w:ascii="Arial Narrow" w:eastAsia="Times New Roman" w:hAnsi="Arial Narrow" w:cs="Times New Roman"/>
          <w:lang w:eastAsia="es-CO"/>
        </w:rPr>
        <w:t>La Sentencia del Consejo de Estado, Sección Tercera, Subsección B, de 15 de julio de 2026, expediente 50001-23-33-000-2019-00211-02 (74.455), M.P. Fredy Ibarra Martínez, constituye un antecedente reciente frente a los límites del derecho a la protesta. En esta providencia, el Consejo de Estado reiteró que, si bien la protesta constituye un derecho fundamental y un mecanismo legítimo de participación democrática, su ejercicio debe armonizarse con los derechos de terceros y con los demás bienes jurídicos protegidos por el ordenamiento. En consecuencia, cuando las actuaciones desarrolladas en el marco de una manifestación exceden el ámbito propio de la protesta y generan afectaciones jurídicamente relevantes, pueden producir consecuencias jurídicas para quienes resulten responsables. (Consejo de Estado, Sección Tercera, Subsección B, Sentencia del 15 de julio de 2026, Rad. 50001-23-33-000-2019-00211-02 (74.455), M.P. Fredy Ibarra Martínez).</w:t>
      </w:r>
    </w:p>
    <w:p w14:paraId="6790123C" w14:textId="102B562A" w:rsidR="00AE6EF4" w:rsidRPr="00C70513" w:rsidRDefault="00C70513" w:rsidP="00C70513">
      <w:pPr>
        <w:spacing w:before="100" w:beforeAutospacing="1" w:after="100" w:afterAutospacing="1" w:line="240" w:lineRule="auto"/>
        <w:jc w:val="both"/>
        <w:rPr>
          <w:rFonts w:ascii="Arial Narrow" w:eastAsia="Times New Roman" w:hAnsi="Arial Narrow" w:cs="Times New Roman"/>
          <w:lang w:eastAsia="es-CO"/>
        </w:rPr>
      </w:pPr>
      <w:r w:rsidRPr="00C70513">
        <w:rPr>
          <w:rFonts w:ascii="Arial Narrow" w:eastAsia="Times New Roman" w:hAnsi="Arial Narrow" w:cs="Times New Roman"/>
          <w:lang w:eastAsia="es-CO"/>
        </w:rPr>
        <w:t xml:space="preserve">Este precedente resulta pertinente para la presente iniciativa, pues reafirma que la protección constitucional de la protesta no puede entenderse como una habilitación para afectar de manera ilegítima los derechos de otras personas o desarrollar conductas violentas o ilícitas. La existencia de límites al ejercicio de este derecho no </w:t>
      </w:r>
      <w:r w:rsidRPr="00C70513">
        <w:rPr>
          <w:rFonts w:ascii="Arial Narrow" w:eastAsia="Times New Roman" w:hAnsi="Arial Narrow" w:cs="Times New Roman"/>
          <w:lang w:eastAsia="es-CO"/>
        </w:rPr>
        <w:lastRenderedPageBreak/>
        <w:t>implica desconocer su importancia dentro del Estado Social de Derecho, sino garantizar su armonización con la protección de la vida, la integridad, la propiedad, el trabajo y demás bienes jurídicos constitucionalmente protegidos. En este sentido, el proyecto busca establecer una respuesta jurídica diferenciada frente a quienes, excediendo el ámbito de la protesta pacífica, ejecuten actos violentos o gravemente destructivos y utilicen deliberadamente el ocultamiento de su identidad para dificultar su identificación, sin afectar a quienes ejercen legítimamente el derecho fundamental a la manifestación pública y pacífica.</w:t>
      </w:r>
    </w:p>
    <w:p w14:paraId="1DB99E4A" w14:textId="77777777" w:rsidR="00E42907" w:rsidRPr="00E71E86" w:rsidRDefault="00564AFD">
      <w:pPr>
        <w:spacing w:line="276" w:lineRule="auto"/>
        <w:jc w:val="both"/>
        <w:rPr>
          <w:rFonts w:ascii="Arial Narrow" w:eastAsia="Arial Narrow" w:hAnsi="Arial Narrow" w:cs="Arial Narrow"/>
          <w:b/>
          <w:bCs/>
        </w:rPr>
      </w:pPr>
      <w:r w:rsidRPr="00E71E86">
        <w:rPr>
          <w:rFonts w:ascii="Arial Narrow" w:eastAsia="Arial Narrow" w:hAnsi="Arial Narrow" w:cs="Arial Narrow"/>
          <w:b/>
          <w:bCs/>
        </w:rPr>
        <w:t>5. JUSTIFICACIÓN DEL PROYECTO DE LEY</w:t>
      </w:r>
    </w:p>
    <w:p w14:paraId="74FA5140" w14:textId="1E3D0A4D" w:rsidR="00E42907" w:rsidRPr="00E71E86" w:rsidRDefault="00564AFD">
      <w:pPr>
        <w:spacing w:before="240" w:after="240" w:line="276" w:lineRule="auto"/>
        <w:jc w:val="both"/>
        <w:rPr>
          <w:rFonts w:ascii="Arial Narrow" w:eastAsia="Arial Narrow" w:hAnsi="Arial Narrow" w:cs="Arial Narrow"/>
        </w:rPr>
      </w:pPr>
      <w:r w:rsidRPr="00E71E86">
        <w:rPr>
          <w:rFonts w:ascii="Arial Narrow" w:eastAsia="Arial Narrow" w:hAnsi="Arial Narrow" w:cs="Arial Narrow"/>
        </w:rPr>
        <w:t xml:space="preserve">El presente proyecto de ley responde a la necesidad de establecer una regulación penal específica frente al fenómeno de la utilización del ocultamiento de identidad como mecanismo para facilitar la comisión de actos vandálicos durante manifestaciones públicas. La iniciativa no pretende sancionar el uso de capuchas, máscaras o elementos similares como manifestación individual de autonomía o como expresión propia dentro de escenarios colectivos, sino aquellos eventos en los cuales dichos elementos son empleados deliberadamente para impedir la identificación de responsables, favorecer la ejecución de </w:t>
      </w:r>
      <w:r w:rsidR="008D20AE" w:rsidRPr="00E71E86">
        <w:rPr>
          <w:rFonts w:ascii="Arial Narrow" w:eastAsia="Arial Narrow" w:hAnsi="Arial Narrow" w:cs="Arial Narrow"/>
        </w:rPr>
        <w:t>actos delincuenciales</w:t>
      </w:r>
      <w:r w:rsidRPr="00E71E86">
        <w:rPr>
          <w:rFonts w:ascii="Arial Narrow" w:eastAsia="Arial Narrow" w:hAnsi="Arial Narrow" w:cs="Arial Narrow"/>
        </w:rPr>
        <w:t xml:space="preserve"> y generar condiciones de impunidad frente a afectaciones contra la vida, la integridad personal, el patrimonio público y privado</w:t>
      </w:r>
      <w:r w:rsidR="008D20AE" w:rsidRPr="00E71E86">
        <w:rPr>
          <w:rFonts w:ascii="Arial Narrow" w:eastAsia="Arial Narrow" w:hAnsi="Arial Narrow" w:cs="Arial Narrow"/>
        </w:rPr>
        <w:t xml:space="preserve">, </w:t>
      </w:r>
      <w:r w:rsidRPr="00E71E86">
        <w:rPr>
          <w:rFonts w:ascii="Arial Narrow" w:eastAsia="Arial Narrow" w:hAnsi="Arial Narrow" w:cs="Arial Narrow"/>
        </w:rPr>
        <w:t>la seguridad ciudadana</w:t>
      </w:r>
      <w:r w:rsidR="008D20AE" w:rsidRPr="00E71E86">
        <w:rPr>
          <w:rFonts w:ascii="Arial Narrow" w:eastAsia="Arial Narrow" w:hAnsi="Arial Narrow" w:cs="Arial Narrow"/>
        </w:rPr>
        <w:t>, entre otros.</w:t>
      </w:r>
    </w:p>
    <w:p w14:paraId="420BF252" w14:textId="271DCA6D" w:rsidR="00E42907" w:rsidRPr="00E71E86" w:rsidRDefault="00564AFD">
      <w:pPr>
        <w:spacing w:before="240" w:after="240" w:line="276" w:lineRule="auto"/>
        <w:jc w:val="both"/>
        <w:rPr>
          <w:rFonts w:ascii="Arial Narrow" w:eastAsia="Arial Narrow" w:hAnsi="Arial Narrow" w:cs="Arial Narrow"/>
        </w:rPr>
      </w:pPr>
      <w:r w:rsidRPr="00E71E86">
        <w:rPr>
          <w:rFonts w:ascii="Arial Narrow" w:eastAsia="Arial Narrow" w:hAnsi="Arial Narrow" w:cs="Arial Narrow"/>
        </w:rPr>
        <w:t>La problemática objeto de regulación se encuentra relacionada con una modalidad específica de criminalidad circunstancial en la cual algunos individuos aprovechan escenarios legítimos de concentración ciudadana para ejecutar conductas violentas bajo condiciones de anonimato. El ocultamiento de identidad, cuando es utilizado con una finalidad delictiva, genera una afectación adicional al ejercicio de la función investigativa del Estado, debido a que dificulta la individualización de los responsables y reduce la capacidad institucional para garantizar una respuesta efectiva frente a daños ocasionados a la comunidad.</w:t>
      </w:r>
    </w:p>
    <w:p w14:paraId="5F5C072F" w14:textId="77777777" w:rsidR="00E42907" w:rsidRPr="00E71E86" w:rsidRDefault="00564AFD">
      <w:pPr>
        <w:spacing w:before="240" w:after="240" w:line="276" w:lineRule="auto"/>
        <w:jc w:val="both"/>
        <w:rPr>
          <w:rFonts w:ascii="Arial Narrow" w:eastAsia="Arial Narrow" w:hAnsi="Arial Narrow" w:cs="Arial Narrow"/>
        </w:rPr>
      </w:pPr>
      <w:r w:rsidRPr="00E71E86">
        <w:rPr>
          <w:rFonts w:ascii="Arial Narrow" w:eastAsia="Arial Narrow" w:hAnsi="Arial Narrow" w:cs="Arial Narrow"/>
        </w:rPr>
        <w:t>Desde la perspectiva del derecho penal, el uso de elementos destinados a ocultar la identidad constituye un factor que puede incrementar la capacidad del sujeto activo para ejecutar la conducta punible y evadir la acción de las autoridades. En este sentido, la presente iniciativa se fundamenta en el principio de protección de bienes jurídicos, entendido como la facultad del Estado para intervenir mediante el derecho penal cuando determinadas conductas afectan intereses esenciales para la convivencia social. Como lo ha señalado la Corte Constitucional, el legislador cuenta con un margen de configuración en materia penal para establecer conductas punibles y circunstancias de agravación cuando estas respondan a criterios de razonabilidad, proporcionalidad y protección constitucional.</w:t>
      </w:r>
    </w:p>
    <w:p w14:paraId="688C7648" w14:textId="77777777" w:rsidR="00E42907" w:rsidRPr="00E71E86" w:rsidRDefault="00564AFD">
      <w:pPr>
        <w:spacing w:before="240" w:after="240" w:line="276" w:lineRule="auto"/>
        <w:jc w:val="both"/>
        <w:rPr>
          <w:rFonts w:ascii="Arial Narrow" w:eastAsia="Arial Narrow" w:hAnsi="Arial Narrow" w:cs="Arial Narrow"/>
        </w:rPr>
      </w:pPr>
      <w:r w:rsidRPr="00E71E86">
        <w:rPr>
          <w:rFonts w:ascii="Arial Narrow" w:eastAsia="Arial Narrow" w:hAnsi="Arial Narrow" w:cs="Arial Narrow"/>
        </w:rPr>
        <w:t>La Corte Constitucional, mediante la Sentencia C-365 de 2012, reconoció que corresponde al Congreso de la República definir la política criminal del Estado y establecer los comportamientos que requieren una respuesta penal, siempre que las medidas adoptadas respeten los límites constitucionales. En consecuencia, la creación de un tipo penal autónomo relacionado con actos vandálicos cometidos mediante ocultamiento de identidad constituye una herramienta legítima de política criminal dirigida a responder frente a una modalidad específica de afectación del orden público.</w:t>
      </w:r>
    </w:p>
    <w:p w14:paraId="6FA28AAF" w14:textId="77777777" w:rsidR="00E42907" w:rsidRPr="00E71E86" w:rsidRDefault="00564AFD">
      <w:pPr>
        <w:spacing w:before="240" w:after="240" w:line="276" w:lineRule="auto"/>
        <w:jc w:val="both"/>
        <w:rPr>
          <w:rFonts w:ascii="Arial Narrow" w:eastAsia="Arial Narrow" w:hAnsi="Arial Narrow" w:cs="Arial Narrow"/>
        </w:rPr>
      </w:pPr>
      <w:r w:rsidRPr="00E71E86">
        <w:rPr>
          <w:rFonts w:ascii="Arial Narrow" w:eastAsia="Arial Narrow" w:hAnsi="Arial Narrow" w:cs="Arial Narrow"/>
        </w:rPr>
        <w:lastRenderedPageBreak/>
        <w:t>Asimismo, la Corte Constitucional ha señalado que la protección constitucional de las libertades individuales no puede comprender aquellas actuaciones que instrumentalizan derechos fundamentales para cometer delitos. En la Sentencia C-309 de 1997, la Corporación reiteró que ningún derecho fundamental es absoluto y que su ejercicio encuentra límites en los derechos de los demás, el orden jurídico y el interés general. Bajo esta premisa, el uso de una capucha o elemento de ocultamiento de identidad puede encontrarse protegido cuando responde a una expresión personal legítima; sin embargo, pierde dicha protección constitucional cuando se convierte en un medio para facilitar ataques contra personas, bienes o infraestructura pública.</w:t>
      </w:r>
    </w:p>
    <w:p w14:paraId="49AF564E" w14:textId="77777777" w:rsidR="00E42907" w:rsidRPr="00E71E86" w:rsidRDefault="00564AFD">
      <w:pPr>
        <w:spacing w:before="240" w:after="240" w:line="276" w:lineRule="auto"/>
        <w:jc w:val="both"/>
        <w:rPr>
          <w:rFonts w:ascii="Arial Narrow" w:eastAsia="Arial Narrow" w:hAnsi="Arial Narrow" w:cs="Arial Narrow"/>
        </w:rPr>
      </w:pPr>
      <w:r w:rsidRPr="00E71E86">
        <w:rPr>
          <w:rFonts w:ascii="Arial Narrow" w:eastAsia="Arial Narrow" w:hAnsi="Arial Narrow" w:cs="Arial Narrow"/>
        </w:rPr>
        <w:t>La necesidad de esta regulación también se fundamenta en la protección del orden constitucional y la seguridad ciudadana. Los actos vandálicos ejecutados bajo anonimato afectan no solamente bienes materiales, sino también la confianza ciudadana en las instituciones, la capacidad del Estado para garantizar la convivencia pacífica y el normal funcionamiento de servicios esenciales. Por ello, resulta necesario que el ordenamiento jurídico contemple una respuesta diferenciada frente a quienes utilizan mecanismos de ocultamiento de identidad para aumentar su capacidad ofensiva o dificultar la acción de la justicia.</w:t>
      </w:r>
    </w:p>
    <w:p w14:paraId="668EDC67" w14:textId="77777777" w:rsidR="00E42907" w:rsidRPr="00E71E86" w:rsidRDefault="00564AFD">
      <w:pPr>
        <w:spacing w:before="240" w:after="240" w:line="276" w:lineRule="auto"/>
        <w:jc w:val="both"/>
        <w:rPr>
          <w:rFonts w:ascii="Arial Narrow" w:eastAsia="Arial Narrow" w:hAnsi="Arial Narrow" w:cs="Arial Narrow"/>
        </w:rPr>
      </w:pPr>
      <w:r w:rsidRPr="00E71E86">
        <w:rPr>
          <w:rFonts w:ascii="Arial Narrow" w:eastAsia="Arial Narrow" w:hAnsi="Arial Narrow" w:cs="Arial Narrow"/>
        </w:rPr>
        <w:t>En el ámbito internacional, los estándares de derechos humanos reconocen que los Estados pueden adoptar medidas legislativas orientadas a proteger la seguridad pública y los derechos de terceros frente a conductas violentas desarrolladas durante reuniones o manifestaciones. El artículo 21 del Pacto Internacional de Derechos Civiles y Políticos, incorporado al ordenamiento colombiano mediante la Ley 74 de 1968, establece que el derecho de reunión pacífica puede estar sujeto a restricciones legales necesarias para proteger la seguridad pública, el orden público y los derechos y libertades de los demás. De igual manera, el artículo 15 de la Convención Americana sobre Derechos Humanos, aprobada mediante la Ley 16 de 1972, reconoce límites legítimos al derecho de reunión cuando sea necesario garantizar una sociedad democrática.</w:t>
      </w:r>
    </w:p>
    <w:p w14:paraId="11AA551B" w14:textId="77777777" w:rsidR="00E42907" w:rsidRPr="00E71E86" w:rsidRDefault="00564AFD">
      <w:pPr>
        <w:spacing w:before="240" w:after="240" w:line="276" w:lineRule="auto"/>
        <w:jc w:val="both"/>
        <w:rPr>
          <w:rFonts w:ascii="Arial Narrow" w:eastAsia="Arial Narrow" w:hAnsi="Arial Narrow" w:cs="Arial Narrow"/>
        </w:rPr>
      </w:pPr>
      <w:r w:rsidRPr="00E71E86">
        <w:rPr>
          <w:rFonts w:ascii="Arial Narrow" w:eastAsia="Arial Narrow" w:hAnsi="Arial Narrow" w:cs="Arial Narrow"/>
        </w:rPr>
        <w:t>En este contexto, la presente iniciativa legislativa busca establecer una herramienta jurídica proporcional frente a una conducta concreta: la utilización del ocultamiento de identidad como medio para ejecutar actos vandálicos. La finalidad del proyecto no es criminalizar la protesta social ni establecer una prohibición general sobre el uso de prendas que cubran el rostro, sino impedir que el anonimato sea utilizado como una ventaja para cometer delitos y afectar bienes jurídicos fundamentales.</w:t>
      </w:r>
    </w:p>
    <w:p w14:paraId="4E8F9FAF" w14:textId="69953431" w:rsidR="00E42907" w:rsidRDefault="00564AFD">
      <w:pPr>
        <w:spacing w:before="240" w:after="240" w:line="276" w:lineRule="auto"/>
        <w:jc w:val="both"/>
        <w:rPr>
          <w:rFonts w:ascii="Arial Narrow" w:eastAsia="Arial Narrow" w:hAnsi="Arial Narrow" w:cs="Arial Narrow"/>
        </w:rPr>
      </w:pPr>
      <w:r w:rsidRPr="00E71E86">
        <w:rPr>
          <w:rFonts w:ascii="Arial Narrow" w:eastAsia="Arial Narrow" w:hAnsi="Arial Narrow" w:cs="Arial Narrow"/>
        </w:rPr>
        <w:t>La incorporación de este nuevo tipo penal permitirá fortalecer la capacidad de respuesta del Estado frente a conductas que comprometen la seguridad ciudadana y la convivencia democrática, garantizando al mismo tiempo una protección efectiva del derecho fundamental a la protesta pacífica. De esta manera, el proyecto busca consolidar un equilibrio constitucional entre libertad y responsabilidad, asegurando que los espacios de participación democrática no sean utilizados como escenarios para la comisión de actos violentos bajo mecanismos de ocultamiento de identidad.</w:t>
      </w:r>
    </w:p>
    <w:p w14:paraId="1C0018B7" w14:textId="4AC0E0F3" w:rsidR="00AE6EF4" w:rsidRDefault="00AE6EF4">
      <w:pPr>
        <w:spacing w:before="240" w:after="240" w:line="276" w:lineRule="auto"/>
        <w:jc w:val="both"/>
        <w:rPr>
          <w:rFonts w:ascii="Arial Narrow" w:eastAsia="Arial Narrow" w:hAnsi="Arial Narrow" w:cs="Arial Narrow"/>
        </w:rPr>
      </w:pPr>
    </w:p>
    <w:p w14:paraId="64829428" w14:textId="77777777" w:rsidR="00AE6EF4" w:rsidRPr="00E71E86" w:rsidRDefault="00AE6EF4">
      <w:pPr>
        <w:spacing w:before="240" w:after="240" w:line="276" w:lineRule="auto"/>
        <w:jc w:val="both"/>
        <w:rPr>
          <w:rFonts w:ascii="Arial Narrow" w:eastAsia="Arial Narrow" w:hAnsi="Arial Narrow" w:cs="Arial Narrow"/>
        </w:rPr>
      </w:pPr>
    </w:p>
    <w:p w14:paraId="76EDE339" w14:textId="77777777" w:rsidR="00E42907" w:rsidRPr="00E71E86" w:rsidRDefault="00564AFD">
      <w:pPr>
        <w:spacing w:before="240" w:after="240" w:line="240" w:lineRule="auto"/>
        <w:jc w:val="both"/>
        <w:rPr>
          <w:rFonts w:ascii="Arial Narrow" w:eastAsia="Arial Narrow" w:hAnsi="Arial Narrow" w:cs="Arial Narrow"/>
        </w:rPr>
      </w:pPr>
      <w:r w:rsidRPr="00E71E86">
        <w:rPr>
          <w:rFonts w:ascii="Arial Narrow" w:eastAsia="Arial Narrow" w:hAnsi="Arial Narrow" w:cs="Arial Narrow"/>
          <w:b/>
          <w:bCs/>
        </w:rPr>
        <w:lastRenderedPageBreak/>
        <w:t>5.1 Casos reportados por razón de acto vandálicos con uso de capuchas en manifestaciones en el ejercicio pacifico de la protesta en Colombia 2021-2026</w:t>
      </w:r>
    </w:p>
    <w:p w14:paraId="1F32FC11" w14:textId="77777777" w:rsidR="00E42907" w:rsidRPr="00E71E86" w:rsidRDefault="00564AFD">
      <w:pPr>
        <w:spacing w:before="240" w:after="240"/>
        <w:jc w:val="both"/>
        <w:rPr>
          <w:rFonts w:ascii="Arial Narrow" w:eastAsia="Arial Narrow" w:hAnsi="Arial Narrow" w:cs="Arial Narrow"/>
        </w:rPr>
      </w:pPr>
      <w:r w:rsidRPr="00E71E86">
        <w:rPr>
          <w:rFonts w:ascii="Arial Narrow" w:eastAsia="Arial Narrow" w:hAnsi="Arial Narrow" w:cs="Arial Narrow"/>
        </w:rPr>
        <w:t>En Colombia, durante el periodo comprendido entre 2021 y 2026, se desarrollaron diversas jornadas de protesta social amparadas por el derecho fundamental a la reunión y manifestación pública. No obstante, en algunas de estas movilizaciones, autoridades y entidades territoriales reportaron la ocurrencia de hechos vandálicos cometidos por determinados individuos que utilizaron elementos de ocultamiento de identidad, como capuchas o máscaras, con el propósito de dificultar su identificación durante la comisión de conductas que afectaron bienes públicos, infraestructura urbana y derechos de terceros.</w:t>
      </w:r>
    </w:p>
    <w:p w14:paraId="01FCE37C" w14:textId="77777777" w:rsidR="00E42907" w:rsidRPr="00E71E86" w:rsidRDefault="00564AFD">
      <w:pPr>
        <w:spacing w:before="240" w:after="240"/>
        <w:jc w:val="both"/>
        <w:rPr>
          <w:rFonts w:ascii="Arial Narrow" w:eastAsia="Arial Narrow" w:hAnsi="Arial Narrow" w:cs="Arial Narrow"/>
          <w:u w:val="single"/>
        </w:rPr>
      </w:pPr>
      <w:r w:rsidRPr="00E71E86">
        <w:rPr>
          <w:rFonts w:ascii="Arial Narrow" w:eastAsia="Arial Narrow" w:hAnsi="Arial Narrow" w:cs="Arial Narrow"/>
          <w:b/>
          <w:bCs/>
        </w:rPr>
        <w:t>Paro Nacional de 2021:</w:t>
      </w:r>
      <w:r w:rsidRPr="00E71E86">
        <w:rPr>
          <w:rFonts w:ascii="Arial Narrow" w:eastAsia="Arial Narrow" w:hAnsi="Arial Narrow" w:cs="Arial Narrow"/>
        </w:rPr>
        <w:t xml:space="preserve"> En el marco de las movilizaciones sociales iniciadas en abril de 2021, distintas autoridades reportaron que, pese al carácter ciudadano y pacífico de gran parte de las jornadas de protesta, en algunos puntos del país se presentaron hechos aislados de vandalismo, incluyendo daños a bienes públicos y privados, ataques contra infraestructura y afectaciones al orden público. La Policía Nacional informó capturas e investigaciones por conductas como daño en bien ajeno, obstrucción de vías públicas y violencia contra servidor público ocurridas durante algunas jornadas de manifestación.</w:t>
      </w:r>
      <w:r w:rsidRPr="00E71E86">
        <w:rPr>
          <w:rFonts w:ascii="Arial Narrow" w:eastAsia="Arial Narrow" w:hAnsi="Arial Narrow" w:cs="Arial Narrow"/>
        </w:rPr>
        <w:br/>
      </w:r>
      <w:hyperlink r:id="rId9">
        <w:r w:rsidRPr="00E71E86">
          <w:rPr>
            <w:rFonts w:ascii="Arial Narrow" w:eastAsia="Arial Narrow" w:hAnsi="Arial Narrow" w:cs="Arial Narrow"/>
            <w:u w:val="single"/>
          </w:rPr>
          <w:t>https://www.policia.gov.co/noticia/van-185-capturas-por-hechos-vandalicos-delictivos-los-ultimos-dias</w:t>
        </w:r>
      </w:hyperlink>
    </w:p>
    <w:p w14:paraId="5DAFAE36" w14:textId="77777777" w:rsidR="00E42907" w:rsidRPr="00E71E86" w:rsidRDefault="00564AFD">
      <w:pPr>
        <w:spacing w:before="240" w:after="240"/>
        <w:jc w:val="both"/>
        <w:rPr>
          <w:rFonts w:ascii="Arial Narrow" w:eastAsia="Arial Narrow" w:hAnsi="Arial Narrow" w:cs="Arial Narrow"/>
          <w:u w:val="single"/>
        </w:rPr>
      </w:pPr>
      <w:r w:rsidRPr="00E71E86">
        <w:rPr>
          <w:rFonts w:ascii="Arial Narrow" w:eastAsia="Arial Narrow" w:hAnsi="Arial Narrow" w:cs="Arial Narrow"/>
          <w:b/>
          <w:bCs/>
        </w:rPr>
        <w:t>Manifestaciones del 1 de mayo de 2024 en Bogotá:</w:t>
      </w:r>
      <w:r w:rsidRPr="00E71E86">
        <w:rPr>
          <w:rFonts w:ascii="Arial Narrow" w:eastAsia="Arial Narrow" w:hAnsi="Arial Narrow" w:cs="Arial Narrow"/>
        </w:rPr>
        <w:t xml:space="preserve"> Durante una jornada de movilización social desarrollada en la capital del país, autoridades y medios de comunicación reportaron que algunos participantes encapuchados realizaron actos vandálicos contra bienes públicos y privados, incluyendo daños a buses del Sistema Integrado de Transporte Público (SITP) y afectaciones a fachadas en el centro de la ciudad. Estos hechos fueron diferenciados del ejercicio legítimo de la protesta pacífica.</w:t>
      </w:r>
      <w:r w:rsidRPr="00E71E86">
        <w:rPr>
          <w:rFonts w:ascii="Arial Narrow" w:eastAsia="Arial Narrow" w:hAnsi="Arial Narrow" w:cs="Arial Narrow"/>
        </w:rPr>
        <w:br/>
      </w:r>
      <w:hyperlink r:id="rId10">
        <w:r w:rsidRPr="00E71E86">
          <w:rPr>
            <w:rFonts w:ascii="Arial Narrow" w:eastAsia="Arial Narrow" w:hAnsi="Arial Narrow" w:cs="Arial Narrow"/>
            <w:u w:val="single"/>
          </w:rPr>
          <w:t>https://www.noticiascaracol.com/colombia/bogota/actos-vandalicos-de-encapuchados-durante-marchas-del-1-de-mayo-en-bogota-rg10</w:t>
        </w:r>
      </w:hyperlink>
    </w:p>
    <w:p w14:paraId="37BB473B" w14:textId="77777777" w:rsidR="00E42907" w:rsidRPr="00E71E86" w:rsidRDefault="00564AFD">
      <w:pPr>
        <w:spacing w:before="240" w:after="240"/>
        <w:jc w:val="both"/>
        <w:rPr>
          <w:rFonts w:ascii="Arial Narrow" w:eastAsia="Arial Narrow" w:hAnsi="Arial Narrow" w:cs="Arial Narrow"/>
          <w:u w:val="single"/>
        </w:rPr>
      </w:pPr>
      <w:r w:rsidRPr="00E71E86">
        <w:rPr>
          <w:rFonts w:ascii="Arial Narrow" w:eastAsia="Arial Narrow" w:hAnsi="Arial Narrow" w:cs="Arial Narrow"/>
          <w:b/>
          <w:bCs/>
        </w:rPr>
        <w:t>Hechos relacionados con grupos investigados por actos violentos en Bogotá (2024-2025):</w:t>
      </w:r>
      <w:r w:rsidRPr="00E71E86">
        <w:rPr>
          <w:rFonts w:ascii="Arial Narrow" w:eastAsia="Arial Narrow" w:hAnsi="Arial Narrow" w:cs="Arial Narrow"/>
        </w:rPr>
        <w:t xml:space="preserve"> Autoridades judiciales reportaron investigaciones contra personas señaladas de participar en hechos violentos durante manifestaciones públicas. Según los reportes oficiales, algunos individuos utilizaban capuchas, máscaras y otros elementos para evitar su identificación, además de emplear artefactos peligrosos artesanales contra infraestructura pública, estaciones de transporte y miembros de la Fuerza Pública.</w:t>
      </w:r>
      <w:r w:rsidRPr="00E71E86">
        <w:rPr>
          <w:rFonts w:ascii="Arial Narrow" w:eastAsia="Arial Narrow" w:hAnsi="Arial Narrow" w:cs="Arial Narrow"/>
        </w:rPr>
        <w:br/>
      </w:r>
      <w:hyperlink r:id="rId11">
        <w:r w:rsidRPr="00E71E86">
          <w:rPr>
            <w:rFonts w:ascii="Arial Narrow" w:eastAsia="Arial Narrow" w:hAnsi="Arial Narrow" w:cs="Arial Narrow"/>
            <w:u w:val="single"/>
          </w:rPr>
          <w:t>https://www.policia.gov.co/noticia/cayeron-los-ppp-responsables-16-actos-violentos-en-bogota</w:t>
        </w:r>
      </w:hyperlink>
    </w:p>
    <w:p w14:paraId="26A86559" w14:textId="77777777" w:rsidR="00E42907" w:rsidRPr="00E71E86" w:rsidRDefault="00564AFD">
      <w:pPr>
        <w:spacing w:before="240" w:after="240"/>
        <w:jc w:val="both"/>
        <w:rPr>
          <w:rFonts w:ascii="Arial Narrow" w:eastAsia="Arial Narrow" w:hAnsi="Arial Narrow" w:cs="Arial Narrow"/>
          <w:u w:val="single"/>
        </w:rPr>
      </w:pPr>
      <w:r w:rsidRPr="00E71E86">
        <w:rPr>
          <w:rFonts w:ascii="Arial Narrow" w:eastAsia="Arial Narrow" w:hAnsi="Arial Narrow" w:cs="Arial Narrow"/>
          <w:b/>
          <w:bCs/>
        </w:rPr>
        <w:t>Manifestaciones en Bogotá de 2026:</w:t>
      </w:r>
      <w:r w:rsidRPr="00E71E86">
        <w:rPr>
          <w:rFonts w:ascii="Arial Narrow" w:eastAsia="Arial Narrow" w:hAnsi="Arial Narrow" w:cs="Arial Narrow"/>
        </w:rPr>
        <w:t xml:space="preserve"> En jornadas de movilización realizadas durante 2026, autoridades distritales reportaron afectaciones al mobiliario urbano, estaciones de transporte, establecimientos comerciales y otros bienes públicos y privados, atribuidas a algunos participantes encapuchados que habrían utilizado elementos para ocultar su identidad durante los hechos vandálicos.</w:t>
      </w:r>
      <w:r w:rsidRPr="00E71E86">
        <w:rPr>
          <w:rFonts w:ascii="Arial Narrow" w:eastAsia="Arial Narrow" w:hAnsi="Arial Narrow" w:cs="Arial Narrow"/>
        </w:rPr>
        <w:br/>
      </w:r>
      <w:hyperlink r:id="rId12">
        <w:r w:rsidRPr="00E71E86">
          <w:rPr>
            <w:rFonts w:ascii="Arial Narrow" w:eastAsia="Arial Narrow" w:hAnsi="Arial Narrow" w:cs="Arial Narrow"/>
            <w:u w:val="single"/>
          </w:rPr>
          <w:t>https://dadep.gov.co/noticias/bogota-rechaza-actos-de-vandalismo-que-afectaron-el-mobiliario-publico-en-marchas</w:t>
        </w:r>
      </w:hyperlink>
    </w:p>
    <w:p w14:paraId="2544C2AD" w14:textId="77777777" w:rsidR="00E42907" w:rsidRPr="00E71E86" w:rsidRDefault="00564AFD">
      <w:pPr>
        <w:spacing w:before="240" w:after="240"/>
        <w:jc w:val="both"/>
        <w:rPr>
          <w:rFonts w:ascii="Arial Narrow" w:eastAsia="Arial Narrow" w:hAnsi="Arial Narrow" w:cs="Arial Narrow"/>
          <w:sz w:val="23"/>
          <w:szCs w:val="23"/>
        </w:rPr>
      </w:pPr>
      <w:r w:rsidRPr="00E71E86">
        <w:rPr>
          <w:rFonts w:ascii="Arial Narrow" w:eastAsia="Arial Narrow" w:hAnsi="Arial Narrow" w:cs="Arial Narrow"/>
        </w:rPr>
        <w:t xml:space="preserve">Estos antecedentes evidencian una problemática jurídica específica: aunque el uso de elementos como capuchas o máscaras puede encontrarse relacionado con expresiones individuales de autonomía, identidad o participación dentro de una manifestación, </w:t>
      </w:r>
      <w:r w:rsidRPr="00E71E86">
        <w:rPr>
          <w:rFonts w:ascii="Arial Narrow" w:eastAsia="Arial Narrow" w:hAnsi="Arial Narrow" w:cs="Arial Narrow"/>
          <w:b/>
          <w:bCs/>
        </w:rPr>
        <w:t xml:space="preserve">su utilización como mecanismo para facilitar la comisión de </w:t>
      </w:r>
      <w:r w:rsidRPr="00E71E86">
        <w:rPr>
          <w:rFonts w:ascii="Arial Narrow" w:eastAsia="Arial Narrow" w:hAnsi="Arial Narrow" w:cs="Arial Narrow"/>
          <w:b/>
          <w:bCs/>
        </w:rPr>
        <w:lastRenderedPageBreak/>
        <w:t>delitos genera una tensión constitucional frente a otros bienes jurídicos como la vida, la integridad personal, la seguridad ciudadana, el patrimonio público y privado y la convivencia pacífica</w:t>
      </w:r>
      <w:r w:rsidRPr="00E71E86">
        <w:rPr>
          <w:rFonts w:ascii="Arial Narrow" w:eastAsia="Arial Narrow" w:hAnsi="Arial Narrow" w:cs="Arial Narrow"/>
        </w:rPr>
        <w:t>. En consecuencia, el presente proyecto de ley busca establecer una respuesta penal frente al uso instrumental del ocultamiento de identidad cuando este sea empleado para facilitar actos vandálicos, sin afectar el ejercicio legítimo del derecho fundamental a la protesta pacífica.</w:t>
      </w:r>
    </w:p>
    <w:p w14:paraId="1618C955" w14:textId="07FCEF9F" w:rsidR="00A1252C" w:rsidRPr="00E71E86" w:rsidRDefault="00564AFD" w:rsidP="00A1252C">
      <w:pPr>
        <w:spacing w:before="312"/>
        <w:ind w:right="17"/>
        <w:jc w:val="both"/>
        <w:rPr>
          <w:rFonts w:ascii="Arial Narrow" w:eastAsia="Arial Narrow" w:hAnsi="Arial Narrow" w:cs="Arial Narrow"/>
          <w:b/>
          <w:bCs/>
        </w:rPr>
      </w:pPr>
      <w:r w:rsidRPr="00E71E86">
        <w:rPr>
          <w:rFonts w:ascii="Arial Narrow" w:eastAsia="Arial Narrow" w:hAnsi="Arial Narrow" w:cs="Arial Narrow"/>
          <w:b/>
          <w:bCs/>
        </w:rPr>
        <w:t>6. CONSIDERACIÓN DE</w:t>
      </w:r>
      <w:r w:rsidR="00A1252C" w:rsidRPr="00E71E86">
        <w:rPr>
          <w:rFonts w:ascii="Arial Narrow" w:eastAsia="Arial Narrow" w:hAnsi="Arial Narrow" w:cs="Arial Narrow"/>
          <w:b/>
          <w:bCs/>
        </w:rPr>
        <w:t>L</w:t>
      </w:r>
      <w:r w:rsidRPr="00E71E86">
        <w:rPr>
          <w:rFonts w:ascii="Arial Narrow" w:eastAsia="Arial Narrow" w:hAnsi="Arial Narrow" w:cs="Arial Narrow"/>
          <w:b/>
          <w:bCs/>
        </w:rPr>
        <w:t xml:space="preserve"> PONENTE</w:t>
      </w:r>
      <w:r w:rsidR="00A1252C" w:rsidRPr="00E71E86">
        <w:rPr>
          <w:rFonts w:ascii="Arial Narrow" w:eastAsia="Arial Narrow" w:hAnsi="Arial Narrow" w:cs="Arial Narrow"/>
          <w:b/>
          <w:bCs/>
        </w:rPr>
        <w:t>.</w:t>
      </w:r>
    </w:p>
    <w:p w14:paraId="6DF2D873" w14:textId="0F539F73" w:rsidR="00A1252C" w:rsidRPr="00A1252C" w:rsidRDefault="00A1252C" w:rsidP="00A1252C">
      <w:pPr>
        <w:spacing w:before="312"/>
        <w:ind w:right="17"/>
        <w:jc w:val="both"/>
        <w:rPr>
          <w:rFonts w:ascii="Arial Narrow" w:eastAsia="Arial Narrow" w:hAnsi="Arial Narrow" w:cs="Arial Narrow"/>
          <w:b/>
          <w:bCs/>
        </w:rPr>
      </w:pPr>
      <w:r w:rsidRPr="00A1252C">
        <w:rPr>
          <w:rFonts w:ascii="Arial Narrow" w:eastAsia="Times New Roman" w:hAnsi="Arial Narrow" w:cs="Times New Roman"/>
          <w:lang w:eastAsia="es-CO"/>
        </w:rPr>
        <w:t>Como ponente del presente proyecto de ley, considero que la iniciativa sometida a consideración del Congreso de la República responde a una problemática concreta que ha sido evidenciada en diferentes jornadas de manifestación pública en Colombia: la ocurrencia de actos violentos, daños contra bienes públicos y privados, afectaciones a infraestructura esencial y agresiones contra personas que, en determinados casos, han sido ejecutados por individuos que utilizan elementos destinados a ocultar o dificultar su identificación. El propósito de la iniciativa no es restringir el derecho fundamental a la reunión, manifestación pública y protesta pacífica, sino establecer herramientas jurídicas que permitan diferenciar el ejercicio legítimo de estos derechos de aquellas conductas que, bajo el contexto de una movilización, exceden claramente sus límites constitucionales y legales.</w:t>
      </w:r>
    </w:p>
    <w:p w14:paraId="1866AD50" w14:textId="0D816568" w:rsidR="00A1252C" w:rsidRPr="00A1252C" w:rsidRDefault="00A1252C" w:rsidP="00A1252C">
      <w:pPr>
        <w:spacing w:before="100" w:beforeAutospacing="1" w:after="100" w:afterAutospacing="1" w:line="240" w:lineRule="auto"/>
        <w:jc w:val="both"/>
        <w:rPr>
          <w:rFonts w:ascii="Arial Narrow" w:eastAsia="Times New Roman" w:hAnsi="Arial Narrow" w:cs="Times New Roman"/>
          <w:lang w:eastAsia="es-CO"/>
        </w:rPr>
      </w:pPr>
      <w:r w:rsidRPr="00A1252C">
        <w:rPr>
          <w:rFonts w:ascii="Arial Narrow" w:eastAsia="Times New Roman" w:hAnsi="Arial Narrow" w:cs="Times New Roman"/>
          <w:lang w:eastAsia="es-CO"/>
        </w:rPr>
        <w:t xml:space="preserve">La Corte Constitucional ha señalado que los derechos de reunión y manifestación pública y pacífica constituyen pilares de la democracia participativa y se encuentran estrechamente relacionados con la libertad de expresión y la participación ciudadana. </w:t>
      </w:r>
      <w:r w:rsidRPr="00A1252C">
        <w:rPr>
          <w:rFonts w:ascii="Arial Narrow" w:eastAsia="Times New Roman" w:hAnsi="Arial Narrow" w:cs="Times New Roman"/>
          <w:b/>
          <w:bCs/>
          <w:lang w:eastAsia="es-CO"/>
        </w:rPr>
        <w:t>Sin embargo,</w:t>
      </w:r>
      <w:r w:rsidRPr="00A1252C">
        <w:rPr>
          <w:rFonts w:ascii="Arial Narrow" w:eastAsia="Times New Roman" w:hAnsi="Arial Narrow" w:cs="Times New Roman"/>
          <w:lang w:eastAsia="es-CO"/>
        </w:rPr>
        <w:t xml:space="preserve"> la misma Corte ha precisado que la protección constitucional está condicionada al carácter pacífico de la manifestación y que las reuniones violentas o aquellas cuyo objetivo sea la comisión de delitos se encuentran fuera del ámbito material de protección del artículo 37 de la Constitución. En la Sentencia C-009 de 2018, la Corte sostuvo que “sólo la protesta social pacífica goza de protección constitucional” y explicó que las manifestaciones violentas y los objetivos ilícitos no hacen parte del ámbito protegido por este derecho. (Corte Constitucional, Sentencia C-009 de 2018).</w:t>
      </w:r>
    </w:p>
    <w:p w14:paraId="3613A184" w14:textId="7EBE5DDD" w:rsidR="00A1252C" w:rsidRPr="00A1252C" w:rsidRDefault="00A1252C" w:rsidP="00A1252C">
      <w:pPr>
        <w:spacing w:before="100" w:beforeAutospacing="1" w:after="100" w:afterAutospacing="1" w:line="240" w:lineRule="auto"/>
        <w:jc w:val="both"/>
        <w:rPr>
          <w:rFonts w:ascii="Arial Narrow" w:eastAsia="Times New Roman" w:hAnsi="Arial Narrow" w:cs="Times New Roman"/>
          <w:lang w:eastAsia="es-CO"/>
        </w:rPr>
      </w:pPr>
      <w:r w:rsidRPr="00A1252C">
        <w:rPr>
          <w:rFonts w:ascii="Arial Narrow" w:eastAsia="Times New Roman" w:hAnsi="Arial Narrow" w:cs="Times New Roman"/>
          <w:lang w:eastAsia="es-CO"/>
        </w:rPr>
        <w:t xml:space="preserve">Desde esta perspectiva, el presente proyecto parte de una premisa que considero esencial: </w:t>
      </w:r>
      <w:r w:rsidRPr="00A1252C">
        <w:rPr>
          <w:rFonts w:ascii="Arial Narrow" w:eastAsia="Times New Roman" w:hAnsi="Arial Narrow" w:cs="Times New Roman"/>
          <w:b/>
          <w:bCs/>
          <w:lang w:eastAsia="es-CO"/>
        </w:rPr>
        <w:t>no puede confundirse la protesta pacífica con los actos delincuenciales cometidos dentro del contexto de una manifestación</w:t>
      </w:r>
      <w:r w:rsidRPr="00A1252C">
        <w:rPr>
          <w:rFonts w:ascii="Arial Narrow" w:eastAsia="Times New Roman" w:hAnsi="Arial Narrow" w:cs="Times New Roman"/>
          <w:lang w:eastAsia="es-CO"/>
        </w:rPr>
        <w:t xml:space="preserve">. Una persona que participa pacíficamente en una movilización ejerce un derecho constitucional; una persona que, aprovechando la concentración de ciudadanos, destruye deliberadamente bienes, utiliza artefactos peligrosos, incendia infraestructura, agrede físicamente a otras personas o ejecuta otras conductas penalmente relevantes </w:t>
      </w:r>
      <w:r w:rsidRPr="00A1252C">
        <w:rPr>
          <w:rFonts w:ascii="Arial Narrow" w:eastAsia="Times New Roman" w:hAnsi="Arial Narrow" w:cs="Times New Roman"/>
          <w:b/>
          <w:bCs/>
          <w:lang w:eastAsia="es-CO"/>
        </w:rPr>
        <w:t>está desarrollando una conducta diferente, que debe ser individualmente investigada y, de ser procedente, sancionada conforme a la ley</w:t>
      </w:r>
      <w:r w:rsidRPr="00E71E86">
        <w:rPr>
          <w:rFonts w:ascii="Arial Narrow" w:eastAsia="Times New Roman" w:hAnsi="Arial Narrow" w:cs="Times New Roman"/>
          <w:b/>
          <w:bCs/>
          <w:lang w:eastAsia="es-CO"/>
        </w:rPr>
        <w:t xml:space="preserve"> penal.</w:t>
      </w:r>
    </w:p>
    <w:p w14:paraId="2A281B6C" w14:textId="1B829BCF" w:rsidR="00A1252C" w:rsidRPr="00A1252C" w:rsidRDefault="00A1252C" w:rsidP="00A1252C">
      <w:pPr>
        <w:spacing w:before="100" w:beforeAutospacing="1" w:after="100" w:afterAutospacing="1" w:line="240" w:lineRule="auto"/>
        <w:jc w:val="both"/>
        <w:rPr>
          <w:rFonts w:ascii="Arial Narrow" w:eastAsia="Times New Roman" w:hAnsi="Arial Narrow" w:cs="Times New Roman"/>
          <w:lang w:eastAsia="es-CO"/>
        </w:rPr>
      </w:pPr>
      <w:r w:rsidRPr="00A1252C">
        <w:rPr>
          <w:rFonts w:ascii="Arial Narrow" w:eastAsia="Times New Roman" w:hAnsi="Arial Narrow" w:cs="Times New Roman"/>
          <w:lang w:eastAsia="es-CO"/>
        </w:rPr>
        <w:t xml:space="preserve">Esta diferenciación adquiere especial relevancia cuando el autor de la conducta </w:t>
      </w:r>
      <w:r w:rsidR="005A6B76" w:rsidRPr="00E71E86">
        <w:rPr>
          <w:rFonts w:ascii="Arial Narrow" w:eastAsia="Times New Roman" w:hAnsi="Arial Narrow" w:cs="Times New Roman"/>
          <w:lang w:eastAsia="es-CO"/>
        </w:rPr>
        <w:t xml:space="preserve">vandálica </w:t>
      </w:r>
      <w:r w:rsidRPr="00A1252C">
        <w:rPr>
          <w:rFonts w:ascii="Arial Narrow" w:eastAsia="Times New Roman" w:hAnsi="Arial Narrow" w:cs="Times New Roman"/>
          <w:lang w:eastAsia="es-CO"/>
        </w:rPr>
        <w:t>utiliza deliberadamente una capucha, máscara, pasamontañas u otro elemento con la finalidad de ocultar su identidad y dificultar su posterior individualización. El ordenamiento jurídico colombiano ya reconoce esta circunstancia. El artículo 353B del Código Penal, incorporado por la Ley 2197 de 2022, establece como circunstancia de agravación punitiva el empleo de máscaras o elementos similares que sirvan para ocultar la identidad o dificultarla cuando se configura el delito de obstrucción a vías públicas que afecten el orden público. (Ley 599 de 2000, art. 353B).</w:t>
      </w:r>
    </w:p>
    <w:p w14:paraId="5FB0C93C" w14:textId="77777777" w:rsidR="00A1252C" w:rsidRPr="00A1252C" w:rsidRDefault="00A1252C" w:rsidP="00A1252C">
      <w:pPr>
        <w:spacing w:before="100" w:beforeAutospacing="1" w:after="100" w:afterAutospacing="1" w:line="240" w:lineRule="auto"/>
        <w:jc w:val="both"/>
        <w:rPr>
          <w:rFonts w:ascii="Arial Narrow" w:eastAsia="Times New Roman" w:hAnsi="Arial Narrow" w:cs="Times New Roman"/>
          <w:lang w:eastAsia="es-CO"/>
        </w:rPr>
      </w:pPr>
      <w:r w:rsidRPr="00A1252C">
        <w:rPr>
          <w:rFonts w:ascii="Arial Narrow" w:eastAsia="Times New Roman" w:hAnsi="Arial Narrow" w:cs="Times New Roman"/>
          <w:lang w:eastAsia="es-CO"/>
        </w:rPr>
        <w:lastRenderedPageBreak/>
        <w:t>La constitucionalidad de esta regulación fue examinada directamente por la Corte Constitucional en la Sentencia C-014 de 2023. En dicha providencia, la Corte consideró que el agravante puede ser constitucionalmente admisible cuando el ocultamiento de identidad se encuentra vinculado con la comisión del delito y tiene como propósito dificultar o impedir la identificación del responsable. La Corte explicó que el elemento subjetivo de la disposición consiste precisamente en que el sujeto utilice el elemento de ocultamiento con la intención de dificultar o impedir el ejercicio de la acción penal en su contra. (Corte Constitucional, Sentencia C-014 de 2023).</w:t>
      </w:r>
    </w:p>
    <w:p w14:paraId="51EB5471" w14:textId="77777777" w:rsidR="00A1252C" w:rsidRPr="00A1252C" w:rsidRDefault="00A1252C" w:rsidP="00A1252C">
      <w:pPr>
        <w:spacing w:before="100" w:beforeAutospacing="1" w:after="100" w:afterAutospacing="1" w:line="240" w:lineRule="auto"/>
        <w:jc w:val="both"/>
        <w:rPr>
          <w:rFonts w:ascii="Arial Narrow" w:eastAsia="Times New Roman" w:hAnsi="Arial Narrow" w:cs="Times New Roman"/>
          <w:lang w:eastAsia="es-CO"/>
        </w:rPr>
      </w:pPr>
      <w:r w:rsidRPr="00A1252C">
        <w:rPr>
          <w:rFonts w:ascii="Arial Narrow" w:eastAsia="Times New Roman" w:hAnsi="Arial Narrow" w:cs="Times New Roman"/>
          <w:lang w:eastAsia="es-CO"/>
        </w:rPr>
        <w:t>Por lo anterior, considero que la importancia del presente proyecto radica precisamente en establecer una diferenciación jurídica clara entre quien utiliza una prenda para cubrir su rostro dentro de una manifestación pacífica y quien, en cambio, utiliza deliberadamente el ocultamiento de su identidad mientras ejecuta una conducta violenta o gravemente destructiva. El proyecto no parte de una presunción según la cual una persona encapuchada sea necesariamente delincuente; por el contrario</w:t>
      </w:r>
      <w:r w:rsidRPr="00A1252C">
        <w:rPr>
          <w:rFonts w:ascii="Arial Narrow" w:eastAsia="Times New Roman" w:hAnsi="Arial Narrow" w:cs="Times New Roman"/>
          <w:b/>
          <w:bCs/>
          <w:lang w:eastAsia="es-CO"/>
        </w:rPr>
        <w:t>, exige la existencia de una conducta delictiva y una relación entre el ocultamiento de identidad y la comisión de dicha conducta.</w:t>
      </w:r>
    </w:p>
    <w:p w14:paraId="4C1343D3" w14:textId="77777777" w:rsidR="00A1252C" w:rsidRPr="00A1252C" w:rsidRDefault="00A1252C" w:rsidP="00A1252C">
      <w:pPr>
        <w:spacing w:before="100" w:beforeAutospacing="1" w:after="100" w:afterAutospacing="1" w:line="240" w:lineRule="auto"/>
        <w:jc w:val="both"/>
        <w:rPr>
          <w:rFonts w:ascii="Arial Narrow" w:eastAsia="Times New Roman" w:hAnsi="Arial Narrow" w:cs="Times New Roman"/>
          <w:lang w:eastAsia="es-CO"/>
        </w:rPr>
      </w:pPr>
      <w:r w:rsidRPr="00A1252C">
        <w:rPr>
          <w:rFonts w:ascii="Arial Narrow" w:eastAsia="Times New Roman" w:hAnsi="Arial Narrow" w:cs="Times New Roman"/>
          <w:lang w:eastAsia="es-CO"/>
        </w:rPr>
        <w:t>La necesidad de contar con instrumentos adecuados frente a este fenómeno se encuentra respaldada por antecedentes concretos ocurridos en el país. Durante las jornadas de manifestación de 2021, la Policía Nacional informó que, para el 30 de abril de ese año, se habían producido 185 capturas relacionadas con hechos vandálicos y delictivos ocurridos en el marco de las movilizaciones, principalmente por daño en bien ajeno, obstrucción de vías públicas, hurto y ataque a servidor público. La misma institución precisó que la mayoría de las jornadas de manifestación pública y pacífica habían transcurrido con normalidad, lo cual resulta especialmente importante para la presente iniciativa, pues evidencia que la respuesta estatal debe dirigirse contra los responsables de conductas concretas y no contra la totalidad de quienes ejercen el derecho a la protesta. (Policía Nacional de Colombia, 30 de abril de 2021).</w:t>
      </w:r>
    </w:p>
    <w:p w14:paraId="1A1DC827" w14:textId="77777777" w:rsidR="00A1252C" w:rsidRPr="00A1252C" w:rsidRDefault="00A1252C" w:rsidP="00A1252C">
      <w:pPr>
        <w:spacing w:before="100" w:beforeAutospacing="1" w:after="100" w:afterAutospacing="1" w:line="240" w:lineRule="auto"/>
        <w:jc w:val="both"/>
        <w:rPr>
          <w:rFonts w:ascii="Arial Narrow" w:eastAsia="Times New Roman" w:hAnsi="Arial Narrow" w:cs="Times New Roman"/>
          <w:lang w:eastAsia="es-CO"/>
        </w:rPr>
      </w:pPr>
      <w:r w:rsidRPr="00A1252C">
        <w:rPr>
          <w:rFonts w:ascii="Arial Narrow" w:eastAsia="Times New Roman" w:hAnsi="Arial Narrow" w:cs="Times New Roman"/>
          <w:lang w:eastAsia="es-CO"/>
        </w:rPr>
        <w:t>Existen, además, casos específicos en los cuales las autoridades documentaron la participación de personas encapuchadas en hechos de violencia y destrucción. El 23 de junio de 2021, la Secretaría Distrital de Gobierno de Bogotá informó que durante una jornada de movilizaciones un grupo de personas encapuchadas vandalizó el Portal de Suba mediante el lanzamiento de piedras y bombas incendiarias, ocasionando la ruptura de ventanales e intentando prender fuego a las instalaciones del sistema de transporte. La autoridad distrital informó igualmente que una persona fue capturada y puesta a disposición de la Fiscalía. (Secretaría Distrital de Gobierno de Bogotá, 24 de junio de 2021).</w:t>
      </w:r>
    </w:p>
    <w:p w14:paraId="03943320" w14:textId="69829E27" w:rsidR="00A1252C" w:rsidRPr="00A1252C" w:rsidRDefault="00A1252C" w:rsidP="00A1252C">
      <w:pPr>
        <w:spacing w:before="100" w:beforeAutospacing="1" w:after="100" w:afterAutospacing="1" w:line="240" w:lineRule="auto"/>
        <w:jc w:val="both"/>
        <w:rPr>
          <w:rFonts w:ascii="Arial Narrow" w:eastAsia="Times New Roman" w:hAnsi="Arial Narrow" w:cs="Times New Roman"/>
          <w:lang w:eastAsia="es-CO"/>
        </w:rPr>
      </w:pPr>
      <w:r w:rsidRPr="00A1252C">
        <w:rPr>
          <w:rFonts w:ascii="Arial Narrow" w:eastAsia="Times New Roman" w:hAnsi="Arial Narrow" w:cs="Times New Roman"/>
          <w:lang w:eastAsia="es-CO"/>
        </w:rPr>
        <w:t>De igual manera, durante las movilizaciones del 26 de mayo de 2021, la Secretaría Distrital de Gobierno informó que en el Portal de las Américas algunas personas encapuchadas rompieron las rejas de acceso, atacaron los ventanales del ingreso peatonal y vandalizaron y prendieron fuego al interior del Super</w:t>
      </w:r>
      <w:r w:rsidR="00E71E86" w:rsidRPr="00E71E86">
        <w:rPr>
          <w:rFonts w:ascii="Arial Narrow" w:eastAsia="Times New Roman" w:hAnsi="Arial Narrow" w:cs="Times New Roman"/>
          <w:lang w:eastAsia="es-CO"/>
        </w:rPr>
        <w:t xml:space="preserve"> </w:t>
      </w:r>
      <w:r w:rsidRPr="00A1252C">
        <w:rPr>
          <w:rFonts w:ascii="Arial Narrow" w:eastAsia="Times New Roman" w:hAnsi="Arial Narrow" w:cs="Times New Roman"/>
          <w:lang w:eastAsia="es-CO"/>
        </w:rPr>
        <w:t>CADE. Según la información oficial, ocho personas fueron detenidas y trasladadas a la URI de Kennedy por conductas que comprendían asonada, lanzamiento de objetos contundentes y daño en bien público. (Secretaría Distrital de Gobierno de Bogotá, 26 de mayo de 2021).</w:t>
      </w:r>
    </w:p>
    <w:p w14:paraId="6779F384" w14:textId="5E046424" w:rsidR="00A1252C" w:rsidRPr="00A1252C" w:rsidRDefault="00A1252C" w:rsidP="00A1252C">
      <w:pPr>
        <w:spacing w:before="100" w:beforeAutospacing="1" w:after="100" w:afterAutospacing="1" w:line="240" w:lineRule="auto"/>
        <w:jc w:val="both"/>
        <w:rPr>
          <w:rFonts w:ascii="Arial Narrow" w:eastAsia="Times New Roman" w:hAnsi="Arial Narrow" w:cs="Times New Roman"/>
          <w:lang w:eastAsia="es-CO"/>
        </w:rPr>
      </w:pPr>
      <w:r w:rsidRPr="00A1252C">
        <w:rPr>
          <w:rFonts w:ascii="Arial Narrow" w:eastAsia="Times New Roman" w:hAnsi="Arial Narrow" w:cs="Times New Roman"/>
          <w:lang w:eastAsia="es-CO"/>
        </w:rPr>
        <w:t>Los efectos de estos hechos no se limitaron a los daños materiales producidos durante las jornadas de movilización. En el caso del Portal de las Américas, por ejemplo, el Distrito informó posteriormente que el Super</w:t>
      </w:r>
      <w:r w:rsidR="00E71E86" w:rsidRPr="00E71E86">
        <w:rPr>
          <w:rFonts w:ascii="Arial Narrow" w:eastAsia="Times New Roman" w:hAnsi="Arial Narrow" w:cs="Times New Roman"/>
          <w:lang w:eastAsia="es-CO"/>
        </w:rPr>
        <w:t xml:space="preserve"> </w:t>
      </w:r>
      <w:r w:rsidRPr="00A1252C">
        <w:rPr>
          <w:rFonts w:ascii="Arial Narrow" w:eastAsia="Times New Roman" w:hAnsi="Arial Narrow" w:cs="Times New Roman"/>
          <w:lang w:eastAsia="es-CO"/>
        </w:rPr>
        <w:t>CADE tuvo que permanecer cerrado para adelantar reparaciones derivadas de los daños ocasionados durante los actos vandálicos. Asimismo, la Unidad Administrativa Especial de Servicios Públicos informó que la vandalización de luminarias y de un transformador produjo la interrupción del alumbrado público en el sector, afectando aproximadamente 200 luminarias. (Bogotá.gov.co, mayo de 2021).</w:t>
      </w:r>
    </w:p>
    <w:p w14:paraId="4C800531" w14:textId="77777777" w:rsidR="00A1252C" w:rsidRPr="00A1252C" w:rsidRDefault="00A1252C" w:rsidP="00A1252C">
      <w:pPr>
        <w:spacing w:before="100" w:beforeAutospacing="1" w:after="100" w:afterAutospacing="1" w:line="240" w:lineRule="auto"/>
        <w:jc w:val="both"/>
        <w:rPr>
          <w:rFonts w:ascii="Arial Narrow" w:eastAsia="Times New Roman" w:hAnsi="Arial Narrow" w:cs="Times New Roman"/>
          <w:lang w:eastAsia="es-CO"/>
        </w:rPr>
      </w:pPr>
      <w:r w:rsidRPr="00A1252C">
        <w:rPr>
          <w:rFonts w:ascii="Arial Narrow" w:eastAsia="Times New Roman" w:hAnsi="Arial Narrow" w:cs="Times New Roman"/>
          <w:lang w:eastAsia="es-CO"/>
        </w:rPr>
        <w:lastRenderedPageBreak/>
        <w:t>Estos antecedentes permiten identificar la relevancia de proteger determinados bienes que, por su naturaleza, tienen una importancia especial para la sociedad. Por ello, el proyecto contempla una consecuencia más gravosa cuando se utilicen artefactos peligrosos de fabricación artesanal, explosivos o sustancias corrosivas, o cuando las conductas recaigan sobre establecimientos educativos, instituciones prestadoras de servicios de salud, organismos de socorro, bienes de interés cultural o infraestructura destinada a servicios públicos esenciales. La razón de esta diferenciación no se encuentra únicamente en el valor económico de los bienes afectados, sino en las consecuencias que su destrucción puede generar sobre derechos fundamentales y sobre la prestación de servicios indispensables para la ciudadanía.</w:t>
      </w:r>
    </w:p>
    <w:p w14:paraId="6653F467" w14:textId="77777777" w:rsidR="00A1252C" w:rsidRPr="00A1252C" w:rsidRDefault="00A1252C" w:rsidP="00A1252C">
      <w:pPr>
        <w:spacing w:before="100" w:beforeAutospacing="1" w:after="100" w:afterAutospacing="1" w:line="240" w:lineRule="auto"/>
        <w:jc w:val="both"/>
        <w:rPr>
          <w:rFonts w:ascii="Arial Narrow" w:eastAsia="Times New Roman" w:hAnsi="Arial Narrow" w:cs="Times New Roman"/>
          <w:lang w:eastAsia="es-CO"/>
        </w:rPr>
      </w:pPr>
      <w:r w:rsidRPr="00A1252C">
        <w:rPr>
          <w:rFonts w:ascii="Arial Narrow" w:eastAsia="Times New Roman" w:hAnsi="Arial Narrow" w:cs="Times New Roman"/>
          <w:lang w:eastAsia="es-CO"/>
        </w:rPr>
        <w:t>Considero igualmente importante señalar que el proyecto encuentra un antecedente directo en la legislación penal vigente. El artículo 353A del Código Penal ya sanciona la obstrucción a vías públicas que afecten el orden público cuando se realiza mediante medios ilícitos y se genera afectación sobre bienes jurídicos como la vida humana, la salud pública, la seguridad alimentaria, el medio ambiente o el derecho al trabajo. El artículo 353B, a su vez, contempla como circunstancia de agravación el empleo de máscaras o elementos similares para ocultar o dificultar la identidad. (Ley 599 de 2000, arts. 353A y 353B).</w:t>
      </w:r>
    </w:p>
    <w:p w14:paraId="3DD3F7D3" w14:textId="4F38272C" w:rsidR="00A1252C" w:rsidRPr="00E71E86" w:rsidRDefault="00A1252C" w:rsidP="00A1252C">
      <w:pPr>
        <w:spacing w:before="100" w:beforeAutospacing="1" w:after="100" w:afterAutospacing="1" w:line="240" w:lineRule="auto"/>
        <w:jc w:val="both"/>
        <w:rPr>
          <w:rFonts w:ascii="Arial Narrow" w:eastAsia="Times New Roman" w:hAnsi="Arial Narrow" w:cs="Times New Roman"/>
          <w:b/>
          <w:bCs/>
          <w:lang w:eastAsia="es-CO"/>
        </w:rPr>
      </w:pPr>
      <w:r w:rsidRPr="00A1252C">
        <w:rPr>
          <w:rFonts w:ascii="Arial Narrow" w:eastAsia="Times New Roman" w:hAnsi="Arial Narrow" w:cs="Times New Roman"/>
          <w:lang w:eastAsia="es-CO"/>
        </w:rPr>
        <w:t xml:space="preserve">En este sentido, la iniciativa que se presenta constituye un desarrollo de una línea de política criminal que ya existe dentro del ordenamiento jurídico colombiano. No se pretende crear una relación artificial entre protesta y delito, </w:t>
      </w:r>
      <w:r w:rsidRPr="00A1252C">
        <w:rPr>
          <w:rFonts w:ascii="Arial Narrow" w:eastAsia="Times New Roman" w:hAnsi="Arial Narrow" w:cs="Times New Roman"/>
          <w:b/>
          <w:bCs/>
          <w:lang w:eastAsia="es-CO"/>
        </w:rPr>
        <w:t>sino reconocer que determinadas conductas delictivas pueden desarrollarse dentro del contexto de una manifestación y que, cuando el autor utiliza deliberadamente el ocultamiento de identidad para dificultar su individualización, dicha circunstancia puede tener relevancia para la respuesta penal.</w:t>
      </w:r>
    </w:p>
    <w:p w14:paraId="3C722393" w14:textId="6E5DDE2E" w:rsidR="00C70513" w:rsidRPr="00C70513" w:rsidRDefault="00C70513" w:rsidP="00C70513">
      <w:pPr>
        <w:spacing w:before="100" w:beforeAutospacing="1" w:after="100" w:afterAutospacing="1" w:line="240" w:lineRule="auto"/>
        <w:jc w:val="both"/>
        <w:rPr>
          <w:rFonts w:ascii="Arial Narrow" w:eastAsia="Times New Roman" w:hAnsi="Arial Narrow" w:cs="Times New Roman"/>
          <w:lang w:eastAsia="es-CO"/>
        </w:rPr>
      </w:pPr>
      <w:r w:rsidRPr="00E71E86">
        <w:rPr>
          <w:rFonts w:ascii="Arial Narrow" w:eastAsia="Times New Roman" w:hAnsi="Arial Narrow" w:cs="Times New Roman"/>
          <w:lang w:eastAsia="es-CO"/>
        </w:rPr>
        <w:t>Adicional, resulta</w:t>
      </w:r>
      <w:r w:rsidRPr="00C70513">
        <w:rPr>
          <w:rFonts w:ascii="Arial Narrow" w:eastAsia="Times New Roman" w:hAnsi="Arial Narrow" w:cs="Times New Roman"/>
          <w:lang w:eastAsia="es-CO"/>
        </w:rPr>
        <w:t xml:space="preserve"> pertinente destacar </w:t>
      </w:r>
      <w:r w:rsidRPr="00C70513">
        <w:rPr>
          <w:rFonts w:ascii="Arial Narrow" w:eastAsia="Times New Roman" w:hAnsi="Arial Narrow" w:cs="Times New Roman"/>
          <w:b/>
          <w:bCs/>
          <w:lang w:eastAsia="es-CO"/>
        </w:rPr>
        <w:t>un antecedente reciente del Consejo de Estado que reafirma la necesidad de establecer límites jurídicos claros frente a actuaciones que, aun desarrollándose en el contexto de una protesta social, terminan afectando de manera directa derechos de terceros y bienes jurídicos constitucionalmente protegidos.</w:t>
      </w:r>
      <w:r w:rsidRPr="00C70513">
        <w:rPr>
          <w:rFonts w:ascii="Arial Narrow" w:eastAsia="Times New Roman" w:hAnsi="Arial Narrow" w:cs="Times New Roman"/>
          <w:lang w:eastAsia="es-CO"/>
        </w:rPr>
        <w:t xml:space="preserve"> El 31 de agosto de 2026, el Consejo de Estado informó la decisión mediante la cual declaró patrimonialmente responsables a la Corporación Comunitaria Juntas de Acción Comunal Área de Influencia Directa San Isidro de </w:t>
      </w:r>
      <w:proofErr w:type="spellStart"/>
      <w:r w:rsidRPr="00C70513">
        <w:rPr>
          <w:rFonts w:ascii="Arial Narrow" w:eastAsia="Times New Roman" w:hAnsi="Arial Narrow" w:cs="Times New Roman"/>
          <w:lang w:eastAsia="es-CO"/>
        </w:rPr>
        <w:t>Chichimene</w:t>
      </w:r>
      <w:proofErr w:type="spellEnd"/>
      <w:r w:rsidRPr="00C70513">
        <w:rPr>
          <w:rFonts w:ascii="Arial Narrow" w:eastAsia="Times New Roman" w:hAnsi="Arial Narrow" w:cs="Times New Roman"/>
          <w:lang w:eastAsia="es-CO"/>
        </w:rPr>
        <w:t xml:space="preserve"> (CJAID) y a su expresidenta, condenándolas solidariamente a reparar los perjuicios económicos ocasionados a Ecopetrol como consecuencia de los bloqueos realizados en la Estación </w:t>
      </w:r>
      <w:proofErr w:type="spellStart"/>
      <w:r w:rsidRPr="00C70513">
        <w:rPr>
          <w:rFonts w:ascii="Arial Narrow" w:eastAsia="Times New Roman" w:hAnsi="Arial Narrow" w:cs="Times New Roman"/>
          <w:lang w:eastAsia="es-CO"/>
        </w:rPr>
        <w:t>Chichimene</w:t>
      </w:r>
      <w:proofErr w:type="spellEnd"/>
      <w:r w:rsidRPr="00C70513">
        <w:rPr>
          <w:rFonts w:ascii="Arial Narrow" w:eastAsia="Times New Roman" w:hAnsi="Arial Narrow" w:cs="Times New Roman"/>
          <w:lang w:eastAsia="es-CO"/>
        </w:rPr>
        <w:t>, ubicada en Acacías, Meta. Los hechos objeto del proceso tuvieron lugar entre el 31 de julio y el 15 de agosto de 2017, periodo durante el cual se bloquearon los accesos a la estación, se restringió el ingreso de trabajadores y contratistas y se dificultó el traslado de maquinaria e insumos necesarios para el desarrollo de las operaciones. (Consejo de Estado, 31 de agosto de 2026).</w:t>
      </w:r>
    </w:p>
    <w:p w14:paraId="01CB8CA2" w14:textId="77777777" w:rsidR="00C70513" w:rsidRPr="00C70513" w:rsidRDefault="00C70513" w:rsidP="00C70513">
      <w:pPr>
        <w:spacing w:before="100" w:beforeAutospacing="1" w:after="100" w:afterAutospacing="1" w:line="240" w:lineRule="auto"/>
        <w:jc w:val="both"/>
        <w:rPr>
          <w:rFonts w:ascii="Arial Narrow" w:eastAsia="Times New Roman" w:hAnsi="Arial Narrow" w:cs="Times New Roman"/>
          <w:lang w:eastAsia="es-CO"/>
        </w:rPr>
      </w:pPr>
      <w:r w:rsidRPr="00C70513">
        <w:rPr>
          <w:rFonts w:ascii="Arial Narrow" w:eastAsia="Times New Roman" w:hAnsi="Arial Narrow" w:cs="Times New Roman"/>
          <w:lang w:eastAsia="es-CO"/>
        </w:rPr>
        <w:t xml:space="preserve">Esta decisión resulta especialmente relevante para el análisis del presente proyecto, en la medida en que el Consejo de Estado reconoció que el ejercicio del derecho a la protesta debe armonizarse con los demás derechos y bienes jurídicos protegidos por el ordenamiento constitucional. En el caso concreto, </w:t>
      </w:r>
      <w:r w:rsidRPr="00C70513">
        <w:rPr>
          <w:rFonts w:ascii="Arial Narrow" w:eastAsia="Times New Roman" w:hAnsi="Arial Narrow" w:cs="Times New Roman"/>
          <w:b/>
          <w:bCs/>
          <w:lang w:eastAsia="es-CO"/>
        </w:rPr>
        <w:t>la Corporación determinó que las actuaciones desarrolladas excedieron los límites del derecho a la protesta, debido a que produjeron una afectación directa sobre el derecho de propiedad y sobre el normal desarrollo de la actividad económica de la empresa afectada. El Consejo de Estado señaló que la protesta fue utilizada como mecanismo de presión que excedió su función constitucional y democrática al generar una afectación directa sobre derechos de terceros</w:t>
      </w:r>
      <w:r w:rsidRPr="00C70513">
        <w:rPr>
          <w:rFonts w:ascii="Arial Narrow" w:eastAsia="Times New Roman" w:hAnsi="Arial Narrow" w:cs="Times New Roman"/>
          <w:lang w:eastAsia="es-CO"/>
        </w:rPr>
        <w:t>. (Consejo de Estado, 31 de agosto de 2026).</w:t>
      </w:r>
    </w:p>
    <w:p w14:paraId="78DEC83D" w14:textId="77777777" w:rsidR="00C70513" w:rsidRPr="00C70513" w:rsidRDefault="00C70513" w:rsidP="00C70513">
      <w:pPr>
        <w:spacing w:before="100" w:beforeAutospacing="1" w:after="100" w:afterAutospacing="1" w:line="240" w:lineRule="auto"/>
        <w:jc w:val="both"/>
        <w:rPr>
          <w:rFonts w:ascii="Arial Narrow" w:eastAsia="Times New Roman" w:hAnsi="Arial Narrow" w:cs="Times New Roman"/>
          <w:lang w:eastAsia="es-CO"/>
        </w:rPr>
      </w:pPr>
      <w:r w:rsidRPr="00C70513">
        <w:rPr>
          <w:rFonts w:ascii="Arial Narrow" w:eastAsia="Times New Roman" w:hAnsi="Arial Narrow" w:cs="Times New Roman"/>
          <w:lang w:eastAsia="es-CO"/>
        </w:rPr>
        <w:t xml:space="preserve">La importancia de este precedente para la iniciativa que se somete a consideración del Congreso radica en que permite reafirmar que la protección constitucional de la protesta no supone una autorización para afectar </w:t>
      </w:r>
      <w:r w:rsidRPr="00C70513">
        <w:rPr>
          <w:rFonts w:ascii="Arial Narrow" w:eastAsia="Times New Roman" w:hAnsi="Arial Narrow" w:cs="Times New Roman"/>
          <w:lang w:eastAsia="es-CO"/>
        </w:rPr>
        <w:lastRenderedPageBreak/>
        <w:t>indiscriminadamente los derechos de terceros ni para desarrollar conductas que trasciendan los límites propios de una manifestación pacífica. El derecho a la protesta constituye un elemento esencial de la democracia y debe ser protegido por las instituciones; sin embargo, su ejercicio debe coexistir con la protección de la vida, la integridad personal, la propiedad, el derecho al trabajo, la prestación de servicios esenciales y los demás derechos reconocidos por la Constitución.</w:t>
      </w:r>
    </w:p>
    <w:p w14:paraId="15B4BE82" w14:textId="77777777" w:rsidR="00C70513" w:rsidRPr="00C70513" w:rsidRDefault="00C70513" w:rsidP="00C70513">
      <w:pPr>
        <w:spacing w:before="100" w:beforeAutospacing="1" w:after="100" w:afterAutospacing="1" w:line="240" w:lineRule="auto"/>
        <w:jc w:val="both"/>
        <w:rPr>
          <w:rFonts w:ascii="Arial Narrow" w:eastAsia="Times New Roman" w:hAnsi="Arial Narrow" w:cs="Times New Roman"/>
          <w:lang w:eastAsia="es-CO"/>
        </w:rPr>
      </w:pPr>
      <w:r w:rsidRPr="00C70513">
        <w:rPr>
          <w:rFonts w:ascii="Arial Narrow" w:eastAsia="Times New Roman" w:hAnsi="Arial Narrow" w:cs="Times New Roman"/>
          <w:lang w:eastAsia="es-CO"/>
        </w:rPr>
        <w:t>El pronunciamiento del Consejo de Estado adquiere especial relevancia si se analiza conjuntamente con la jurisprudencia de la Corte Constitucional. Mientras la Corte Constitucional ha establecido que las manifestaciones violentas y aquellas orientadas a la comisión de delitos se encuentran fuera del ámbito material de protección del artículo 37 de la Constitución, el Consejo de Estado ha mostrado, desde el ámbito de la responsabilidad patrimonial, que las actuaciones desarrolladas en el contexto de una protesta pueden generar consecuencias jurídicas cuando producen una afectación demostrada sobre los derechos de terceros. (Corte Constitucional, Sentencia C-009 de 2018; Consejo de Estado, 31 de agosto de 2026).</w:t>
      </w:r>
    </w:p>
    <w:p w14:paraId="51FD2C76" w14:textId="77777777" w:rsidR="00C70513" w:rsidRPr="00C70513" w:rsidRDefault="00C70513" w:rsidP="00C70513">
      <w:pPr>
        <w:spacing w:before="100" w:beforeAutospacing="1" w:after="100" w:afterAutospacing="1" w:line="240" w:lineRule="auto"/>
        <w:jc w:val="both"/>
        <w:rPr>
          <w:rFonts w:ascii="Arial Narrow" w:eastAsia="Times New Roman" w:hAnsi="Arial Narrow" w:cs="Times New Roman"/>
          <w:lang w:eastAsia="es-CO"/>
        </w:rPr>
      </w:pPr>
      <w:r w:rsidRPr="00C70513">
        <w:rPr>
          <w:rFonts w:ascii="Arial Narrow" w:eastAsia="Times New Roman" w:hAnsi="Arial Narrow" w:cs="Times New Roman"/>
          <w:lang w:eastAsia="es-CO"/>
        </w:rPr>
        <w:t>Este marco jurisprudencial permite sustentar la necesidad de que el ordenamiento jurídico cuente con instrumentos adecuados para responder frente a aquellas conductas que exceden el ejercicio legítimo de la protesta. El presente proyecto se ubica precisamente dentro de esa necesidad de diferenciación: no busca sancionar la manifestación pública, ni la expresión de inconformidades sociales, políticas o económicas, sino establecer consecuencias jurídicas frente a quienes, en el contexto de una movilización, ejecuten deliberadamente actos violentos o gravemente destructivos y, adicionalmente, utilicen mecanismos de ocultamiento de identidad para dificultar su identificación.</w:t>
      </w:r>
    </w:p>
    <w:p w14:paraId="58596B34" w14:textId="797282C1" w:rsidR="007D6296" w:rsidRPr="00E71E86" w:rsidRDefault="00A1252C" w:rsidP="00C70513">
      <w:pPr>
        <w:spacing w:before="100" w:beforeAutospacing="1" w:after="100" w:afterAutospacing="1" w:line="240" w:lineRule="auto"/>
        <w:jc w:val="both"/>
        <w:rPr>
          <w:rFonts w:ascii="Arial Narrow" w:eastAsia="Times New Roman" w:hAnsi="Arial Narrow" w:cs="Times New Roman"/>
          <w:lang w:eastAsia="es-CO"/>
        </w:rPr>
      </w:pPr>
      <w:r w:rsidRPr="00A1252C">
        <w:rPr>
          <w:rFonts w:ascii="Arial Narrow" w:eastAsia="Times New Roman" w:hAnsi="Arial Narrow" w:cs="Times New Roman"/>
          <w:lang w:eastAsia="es-CO"/>
        </w:rPr>
        <w:t>Por las anteriores consideraciones, estimo que el proyecto cuenta con fundamentos constitucionales, legales y materiales suficientes para continuar su trámite legislativo, bajo el entendido de que su aplicación deberá dirigirse exclusivamente contra quienes incurran individualmente en las conductas definidas por la ley y no contra quienes ejerzan legítimamente el derecho fundamental a la protesta pacífica. La iniciativa busca, en últimas, establecer una respuesta jurídica frente a quienes traspasan los límites constitucionales de la manifestación y utilizan el anonimato como mecanismo para facilitar la comisión de actos violentos o dificultar la acción de la justicia, preservando al mismo tiempo el carácter fundamental de la protesta pacífica dentro de nuestro sistema democrático.</w:t>
      </w:r>
      <w:bookmarkStart w:id="4" w:name="_heading=h.6qzpablf7lme" w:colFirst="0" w:colLast="0"/>
      <w:bookmarkEnd w:id="4"/>
    </w:p>
    <w:p w14:paraId="79739E83" w14:textId="77777777" w:rsidR="00E42907" w:rsidRPr="00E71E86" w:rsidRDefault="00564AFD">
      <w:pPr>
        <w:spacing w:line="240" w:lineRule="auto"/>
        <w:jc w:val="both"/>
        <w:rPr>
          <w:rFonts w:ascii="Arial Narrow" w:eastAsia="Arial Narrow" w:hAnsi="Arial Narrow" w:cs="Arial Narrow"/>
          <w:b/>
          <w:bCs/>
        </w:rPr>
      </w:pPr>
      <w:r w:rsidRPr="00E71E86">
        <w:rPr>
          <w:rFonts w:ascii="Arial Narrow" w:eastAsia="Arial Narrow" w:hAnsi="Arial Narrow" w:cs="Arial Narrow"/>
          <w:b/>
          <w:bCs/>
        </w:rPr>
        <w:t>7. PLIEGO DE MODIFICACIONES.</w:t>
      </w:r>
    </w:p>
    <w:p w14:paraId="38EC7B30" w14:textId="15B68117" w:rsidR="00A1252C" w:rsidRDefault="00A1252C" w:rsidP="00A1252C">
      <w:pPr>
        <w:spacing w:line="240" w:lineRule="auto"/>
        <w:jc w:val="both"/>
        <w:rPr>
          <w:rFonts w:ascii="Arial Narrow" w:eastAsia="Arial Narrow" w:hAnsi="Arial Narrow" w:cs="Arial Narrow"/>
        </w:rPr>
      </w:pPr>
      <w:r w:rsidRPr="00E71E86">
        <w:rPr>
          <w:rFonts w:ascii="Arial Narrow" w:eastAsia="Arial Narrow" w:hAnsi="Arial Narrow" w:cs="Arial Narrow"/>
        </w:rPr>
        <w:t>El presente Proyecto de Ley no contempla modificaciones.</w:t>
      </w:r>
      <w:r w:rsidR="00564AFD" w:rsidRPr="00E71E86">
        <w:rPr>
          <w:rFonts w:ascii="Arial Narrow" w:eastAsia="Arial Narrow" w:hAnsi="Arial Narrow" w:cs="Arial Narrow"/>
        </w:rPr>
        <w:t xml:space="preserve"> </w:t>
      </w:r>
    </w:p>
    <w:p w14:paraId="1582FD4A" w14:textId="77777777" w:rsidR="007D6296" w:rsidRPr="00E71E86" w:rsidRDefault="007D6296" w:rsidP="00A1252C">
      <w:pPr>
        <w:spacing w:line="240" w:lineRule="auto"/>
        <w:jc w:val="both"/>
        <w:rPr>
          <w:rFonts w:ascii="Arial Narrow" w:eastAsia="Arial Narrow" w:hAnsi="Arial Narrow" w:cs="Arial Narrow"/>
        </w:rPr>
      </w:pPr>
    </w:p>
    <w:p w14:paraId="76D1AA01" w14:textId="77777777" w:rsidR="00E42907" w:rsidRPr="00E71E86" w:rsidRDefault="00564AFD">
      <w:pPr>
        <w:spacing w:line="240" w:lineRule="auto"/>
        <w:jc w:val="both"/>
        <w:rPr>
          <w:rFonts w:ascii="Arial Narrow" w:eastAsia="Arial Narrow" w:hAnsi="Arial Narrow" w:cs="Arial Narrow"/>
          <w:b/>
          <w:bCs/>
        </w:rPr>
      </w:pPr>
      <w:r w:rsidRPr="00E71E86">
        <w:rPr>
          <w:rFonts w:ascii="Arial Narrow" w:eastAsia="Arial Narrow" w:hAnsi="Arial Narrow" w:cs="Arial Narrow"/>
          <w:b/>
          <w:bCs/>
        </w:rPr>
        <w:t>8. CONFLICTO DE INTERÉS: </w:t>
      </w:r>
    </w:p>
    <w:p w14:paraId="6473D682" w14:textId="77777777" w:rsidR="00E42907" w:rsidRPr="00E71E86" w:rsidRDefault="00564AFD">
      <w:pPr>
        <w:spacing w:before="256" w:line="220" w:lineRule="auto"/>
        <w:ind w:right="48"/>
        <w:jc w:val="both"/>
        <w:rPr>
          <w:rFonts w:ascii="Arial Narrow" w:eastAsia="Arial Narrow" w:hAnsi="Arial Narrow" w:cs="Arial Narrow"/>
        </w:rPr>
      </w:pPr>
      <w:r w:rsidRPr="00E71E86">
        <w:rPr>
          <w:rFonts w:ascii="Arial Narrow" w:eastAsia="Arial Narrow" w:hAnsi="Arial Narrow" w:cs="Arial Narrow"/>
        </w:rPr>
        <w:t>El artículo 286 de la Ley 5 de 1992, modificado por el artículo 1 de la ley 2003 de 2019, establece el régimen de conflicto de interés de los congresistas, en los siguientes términos:</w:t>
      </w:r>
    </w:p>
    <w:p w14:paraId="4AF921E7" w14:textId="77777777" w:rsidR="00E42907" w:rsidRPr="00E71E86" w:rsidRDefault="00564AFD">
      <w:pPr>
        <w:spacing w:line="213" w:lineRule="auto"/>
        <w:ind w:right="48" w:hanging="15"/>
        <w:jc w:val="both"/>
        <w:rPr>
          <w:rFonts w:ascii="Arial Narrow" w:eastAsia="Arial Narrow" w:hAnsi="Arial Narrow" w:cs="Arial Narrow"/>
        </w:rPr>
      </w:pPr>
      <w:r w:rsidRPr="00E71E86">
        <w:rPr>
          <w:rFonts w:ascii="Arial Narrow" w:eastAsia="Arial Narrow" w:hAnsi="Arial Narrow" w:cs="Arial Narrow"/>
          <w:b/>
          <w:bCs/>
          <w:i/>
          <w:iCs/>
        </w:rPr>
        <w:t>"</w:t>
      </w:r>
      <w:r w:rsidRPr="00E71E86">
        <w:rPr>
          <w:rFonts w:ascii="Arial Narrow" w:eastAsia="Arial Narrow" w:hAnsi="Arial Narrow" w:cs="Arial Narrow"/>
          <w:b/>
          <w:bCs/>
        </w:rPr>
        <w:t>Artículo 286</w:t>
      </w:r>
      <w:r w:rsidRPr="00E71E86">
        <w:rPr>
          <w:rFonts w:ascii="Arial Narrow" w:eastAsia="Arial Narrow" w:hAnsi="Arial Narrow" w:cs="Arial Narrow"/>
          <w:b/>
          <w:bCs/>
          <w:i/>
          <w:iCs/>
        </w:rPr>
        <w:t>. Régimen de conflicto de interés de los congresistas”</w:t>
      </w:r>
      <w:r w:rsidRPr="00E71E86">
        <w:rPr>
          <w:rFonts w:ascii="Arial Narrow" w:eastAsia="Arial Narrow" w:hAnsi="Arial Narrow" w:cs="Arial Narrow"/>
          <w:b/>
          <w:bCs/>
        </w:rPr>
        <w:t xml:space="preserve">. </w:t>
      </w:r>
      <w:r w:rsidRPr="00E71E86">
        <w:rPr>
          <w:rFonts w:ascii="Arial Narrow" w:eastAsia="Arial Narrow" w:hAnsi="Arial Narrow" w:cs="Arial Narrow"/>
          <w:i/>
          <w:iCs/>
        </w:rPr>
        <w:t xml:space="preserve">Todos los congresistas deberán declarar los </w:t>
      </w:r>
      <w:r w:rsidRPr="00E71E86">
        <w:rPr>
          <w:rFonts w:ascii="Arial Narrow" w:eastAsia="Arial Narrow" w:hAnsi="Arial Narrow" w:cs="Arial Narrow"/>
        </w:rPr>
        <w:t xml:space="preserve">conflictos de </w:t>
      </w:r>
      <w:r w:rsidRPr="00E71E86">
        <w:rPr>
          <w:rFonts w:ascii="Arial Narrow" w:eastAsia="Arial Narrow" w:hAnsi="Arial Narrow" w:cs="Arial Narrow"/>
          <w:i/>
          <w:iCs/>
        </w:rPr>
        <w:t>intereses que pudieran surgir en el ejercicio</w:t>
      </w:r>
      <w:r w:rsidRPr="00E71E86">
        <w:rPr>
          <w:rFonts w:ascii="Arial Narrow" w:eastAsia="Arial Narrow" w:hAnsi="Arial Narrow" w:cs="Arial Narrow"/>
        </w:rPr>
        <w:t xml:space="preserve"> </w:t>
      </w:r>
      <w:r w:rsidRPr="00E71E86">
        <w:rPr>
          <w:rFonts w:ascii="Arial Narrow" w:eastAsia="Arial Narrow" w:hAnsi="Arial Narrow" w:cs="Arial Narrow"/>
          <w:i/>
          <w:iCs/>
        </w:rPr>
        <w:t xml:space="preserve">de </w:t>
      </w:r>
      <w:r w:rsidRPr="00E71E86">
        <w:rPr>
          <w:rFonts w:ascii="Arial Narrow" w:eastAsia="Arial Narrow" w:hAnsi="Arial Narrow" w:cs="Arial Narrow"/>
        </w:rPr>
        <w:t>sus funciones.</w:t>
      </w:r>
    </w:p>
    <w:p w14:paraId="52966B3E" w14:textId="77777777" w:rsidR="00E42907" w:rsidRPr="00E71E86" w:rsidRDefault="00564AFD">
      <w:pPr>
        <w:spacing w:line="213" w:lineRule="auto"/>
        <w:ind w:right="48" w:hanging="15"/>
        <w:jc w:val="both"/>
        <w:rPr>
          <w:rFonts w:ascii="Arial Narrow" w:eastAsia="Arial Narrow" w:hAnsi="Arial Narrow" w:cs="Arial Narrow"/>
          <w:b/>
          <w:bCs/>
          <w:i/>
          <w:iCs/>
        </w:rPr>
      </w:pPr>
      <w:r w:rsidRPr="00E71E86">
        <w:rPr>
          <w:rFonts w:ascii="Arial Narrow" w:eastAsia="Arial Narrow" w:hAnsi="Arial Narrow" w:cs="Arial Narrow"/>
          <w:i/>
          <w:iCs/>
        </w:rPr>
        <w:t>Se entiende como conflicto de interés una situación donde la discusión o votación de un proyecto de ley o acto legislativo o artículo, pueda resultar en un beneficio particular, actual y directo a favor del congresista.</w:t>
      </w:r>
    </w:p>
    <w:p w14:paraId="6F9CF892" w14:textId="77777777" w:rsidR="00E42907" w:rsidRPr="00E71E86" w:rsidRDefault="00564AFD">
      <w:pPr>
        <w:widowControl w:val="0"/>
        <w:numPr>
          <w:ilvl w:val="0"/>
          <w:numId w:val="6"/>
        </w:numPr>
        <w:pBdr>
          <w:top w:val="nil"/>
          <w:left w:val="nil"/>
          <w:bottom w:val="nil"/>
          <w:right w:val="nil"/>
          <w:between w:val="nil"/>
        </w:pBdr>
        <w:spacing w:after="0" w:line="213" w:lineRule="auto"/>
        <w:ind w:left="284" w:right="48" w:hanging="252"/>
        <w:jc w:val="both"/>
        <w:rPr>
          <w:i/>
          <w:iCs/>
        </w:rPr>
      </w:pPr>
      <w:r w:rsidRPr="00E71E86">
        <w:rPr>
          <w:rFonts w:ascii="Arial Narrow" w:eastAsia="Arial Narrow" w:hAnsi="Arial Narrow" w:cs="Arial Narrow"/>
          <w:b/>
          <w:bCs/>
          <w:i/>
          <w:iCs/>
        </w:rPr>
        <w:lastRenderedPageBreak/>
        <w:t>Beneficio Particular:</w:t>
      </w:r>
      <w:r w:rsidRPr="00E71E86">
        <w:rPr>
          <w:rFonts w:ascii="Arial Narrow" w:eastAsia="Arial Narrow" w:hAnsi="Arial Narrow" w:cs="Arial Narrow"/>
          <w:i/>
          <w:iCs/>
        </w:rPr>
        <w:t xml:space="preserve"> Aquel que otorga un privilegio o genera ganancias o crea indemnizaciones económicas o elimina obligaciones a favor del congresista de las que no gozan el resto de los ciudadanos. Modifique normas que afecten investigaciones penales, disciplinarias, fiscales o administrativas a las que se encuentre formalmente vinculado.</w:t>
      </w:r>
    </w:p>
    <w:p w14:paraId="73F8EB14" w14:textId="77777777" w:rsidR="00E42907" w:rsidRPr="00E71E86" w:rsidRDefault="00E42907">
      <w:pPr>
        <w:pBdr>
          <w:top w:val="nil"/>
          <w:left w:val="nil"/>
          <w:bottom w:val="nil"/>
          <w:right w:val="nil"/>
          <w:between w:val="nil"/>
        </w:pBdr>
        <w:spacing w:line="213" w:lineRule="auto"/>
        <w:ind w:left="1243" w:right="687"/>
        <w:rPr>
          <w:rFonts w:ascii="Arial Narrow" w:eastAsia="Arial Narrow" w:hAnsi="Arial Narrow" w:cs="Arial Narrow"/>
          <w:i/>
          <w:iCs/>
        </w:rPr>
      </w:pPr>
    </w:p>
    <w:p w14:paraId="2F5F49A4" w14:textId="77777777" w:rsidR="00E42907" w:rsidRPr="00E71E86" w:rsidRDefault="00564AFD">
      <w:pPr>
        <w:widowControl w:val="0"/>
        <w:numPr>
          <w:ilvl w:val="0"/>
          <w:numId w:val="6"/>
        </w:numPr>
        <w:pBdr>
          <w:top w:val="nil"/>
          <w:left w:val="nil"/>
          <w:bottom w:val="nil"/>
          <w:right w:val="nil"/>
          <w:between w:val="nil"/>
        </w:pBdr>
        <w:spacing w:after="0" w:line="213" w:lineRule="auto"/>
        <w:ind w:left="284" w:right="48" w:hanging="284"/>
        <w:jc w:val="both"/>
        <w:rPr>
          <w:i/>
          <w:iCs/>
        </w:rPr>
      </w:pPr>
      <w:r w:rsidRPr="00E71E86">
        <w:rPr>
          <w:rFonts w:ascii="Arial Narrow" w:eastAsia="Arial Narrow" w:hAnsi="Arial Narrow" w:cs="Arial Narrow"/>
          <w:b/>
          <w:bCs/>
          <w:i/>
          <w:iCs/>
        </w:rPr>
        <w:t>Beneficio actual:</w:t>
      </w:r>
      <w:r w:rsidRPr="00E71E86">
        <w:rPr>
          <w:rFonts w:ascii="Arial Narrow" w:eastAsia="Arial Narrow" w:hAnsi="Arial Narrow" w:cs="Arial Narrow"/>
          <w:i/>
          <w:iCs/>
        </w:rPr>
        <w:t xml:space="preserve"> Aquel que efectivamente se configura en las circunstancias presentes y existentes al momento en el que el congresista participa de la decisión.</w:t>
      </w:r>
    </w:p>
    <w:p w14:paraId="7598D74A" w14:textId="77777777" w:rsidR="00E42907" w:rsidRPr="00E71E86" w:rsidRDefault="00E42907">
      <w:pPr>
        <w:pBdr>
          <w:top w:val="nil"/>
          <w:left w:val="nil"/>
          <w:bottom w:val="nil"/>
          <w:right w:val="nil"/>
          <w:between w:val="nil"/>
        </w:pBdr>
        <w:ind w:left="720"/>
        <w:rPr>
          <w:rFonts w:ascii="Arial Narrow" w:eastAsia="Arial Narrow" w:hAnsi="Arial Narrow" w:cs="Arial Narrow"/>
          <w:i/>
          <w:iCs/>
        </w:rPr>
      </w:pPr>
    </w:p>
    <w:p w14:paraId="0388335D" w14:textId="77777777" w:rsidR="00E42907" w:rsidRPr="00E71E86" w:rsidRDefault="00564AFD">
      <w:pPr>
        <w:widowControl w:val="0"/>
        <w:numPr>
          <w:ilvl w:val="0"/>
          <w:numId w:val="6"/>
        </w:numPr>
        <w:pBdr>
          <w:top w:val="nil"/>
          <w:left w:val="nil"/>
          <w:bottom w:val="nil"/>
          <w:right w:val="nil"/>
          <w:between w:val="nil"/>
        </w:pBdr>
        <w:spacing w:after="0" w:line="213" w:lineRule="auto"/>
        <w:ind w:left="284" w:right="48" w:hanging="284"/>
        <w:jc w:val="both"/>
        <w:rPr>
          <w:i/>
          <w:iCs/>
        </w:rPr>
      </w:pPr>
      <w:r w:rsidRPr="00E71E86">
        <w:rPr>
          <w:rFonts w:ascii="Arial Narrow" w:eastAsia="Arial Narrow" w:hAnsi="Arial Narrow" w:cs="Arial Narrow"/>
          <w:b/>
          <w:bCs/>
          <w:i/>
          <w:iCs/>
        </w:rPr>
        <w:t>Beneficio directo:</w:t>
      </w:r>
      <w:r w:rsidRPr="00E71E86">
        <w:rPr>
          <w:rFonts w:ascii="Arial Narrow" w:eastAsia="Arial Narrow" w:hAnsi="Arial Narrow" w:cs="Arial Narrow"/>
          <w:i/>
          <w:iCs/>
        </w:rPr>
        <w:t xml:space="preserve">  Aquel que se produzca de manera específica respecto del congresista, de su cónyuge, compañero o compañera permanente, o parientes dentro del segundo grado de consanguinidad, segundo de afinidad o primero civil.</w:t>
      </w:r>
    </w:p>
    <w:p w14:paraId="1B272578" w14:textId="77777777" w:rsidR="00E42907" w:rsidRPr="00E71E86" w:rsidRDefault="00E42907">
      <w:pPr>
        <w:spacing w:before="188" w:line="213" w:lineRule="auto"/>
        <w:ind w:right="48" w:firstLine="7"/>
        <w:jc w:val="both"/>
        <w:rPr>
          <w:rFonts w:ascii="Arial Narrow" w:eastAsia="Arial Narrow" w:hAnsi="Arial Narrow" w:cs="Arial Narrow"/>
          <w:i/>
          <w:iCs/>
        </w:rPr>
      </w:pPr>
    </w:p>
    <w:p w14:paraId="47D5264A" w14:textId="77777777" w:rsidR="00E42907" w:rsidRPr="00E71E86" w:rsidRDefault="00564AFD">
      <w:pPr>
        <w:spacing w:before="188" w:line="213" w:lineRule="auto"/>
        <w:ind w:right="48" w:firstLine="7"/>
        <w:jc w:val="both"/>
        <w:rPr>
          <w:rFonts w:ascii="Arial Narrow" w:eastAsia="Arial Narrow" w:hAnsi="Arial Narrow" w:cs="Arial Narrow"/>
          <w:i/>
          <w:iCs/>
        </w:rPr>
      </w:pPr>
      <w:r w:rsidRPr="00E71E86">
        <w:rPr>
          <w:rFonts w:ascii="Arial Narrow" w:eastAsia="Arial Narrow" w:hAnsi="Arial Narrow" w:cs="Arial Narrow"/>
          <w:i/>
          <w:iCs/>
        </w:rPr>
        <w:t>De conformidad con la jurisprudencia del Consejo de Estado y la Corte Constitucional, para que se configure el conflicto de intereses como causal de pérdida de investidura deben presentarse las siguientes condiciones o supuestos:</w:t>
      </w:r>
    </w:p>
    <w:p w14:paraId="572AB97A" w14:textId="77777777" w:rsidR="00E42907" w:rsidRPr="00E71E86" w:rsidRDefault="00564AFD">
      <w:pPr>
        <w:widowControl w:val="0"/>
        <w:numPr>
          <w:ilvl w:val="1"/>
          <w:numId w:val="6"/>
        </w:numPr>
        <w:pBdr>
          <w:top w:val="nil"/>
          <w:left w:val="nil"/>
          <w:bottom w:val="nil"/>
          <w:right w:val="nil"/>
          <w:between w:val="nil"/>
        </w:pBdr>
        <w:tabs>
          <w:tab w:val="left" w:pos="1843"/>
        </w:tabs>
        <w:spacing w:before="226" w:after="0" w:line="240" w:lineRule="auto"/>
        <w:ind w:left="1843" w:hanging="850"/>
        <w:jc w:val="both"/>
        <w:rPr>
          <w:rFonts w:ascii="Arial Narrow" w:eastAsia="Arial Narrow" w:hAnsi="Arial Narrow" w:cs="Arial Narrow"/>
        </w:rPr>
      </w:pPr>
      <w:r w:rsidRPr="00E71E86">
        <w:rPr>
          <w:rFonts w:ascii="Arial Narrow" w:eastAsia="Arial Narrow" w:hAnsi="Arial Narrow" w:cs="Arial Narrow"/>
          <w:i/>
          <w:iCs/>
        </w:rPr>
        <w:t>Que existe un interés directo, particular y actual: moral o económico.</w:t>
      </w:r>
    </w:p>
    <w:p w14:paraId="1D1A59EF" w14:textId="77777777" w:rsidR="00E42907" w:rsidRPr="00E71E86" w:rsidRDefault="00564AFD">
      <w:pPr>
        <w:widowControl w:val="0"/>
        <w:numPr>
          <w:ilvl w:val="1"/>
          <w:numId w:val="6"/>
        </w:numPr>
        <w:pBdr>
          <w:top w:val="nil"/>
          <w:left w:val="nil"/>
          <w:bottom w:val="nil"/>
          <w:right w:val="nil"/>
          <w:between w:val="nil"/>
        </w:pBdr>
        <w:tabs>
          <w:tab w:val="left" w:pos="1843"/>
          <w:tab w:val="left" w:pos="7227"/>
        </w:tabs>
        <w:spacing w:before="14" w:after="0" w:line="288" w:lineRule="auto"/>
        <w:ind w:left="1843" w:right="752" w:hanging="850"/>
        <w:jc w:val="both"/>
        <w:rPr>
          <w:rFonts w:ascii="Arial Narrow" w:eastAsia="Arial Narrow" w:hAnsi="Arial Narrow" w:cs="Arial Narrow"/>
        </w:rPr>
      </w:pPr>
      <w:r w:rsidRPr="00E71E86">
        <w:rPr>
          <w:rFonts w:ascii="Arial Narrow" w:eastAsia="Arial Narrow" w:hAnsi="Arial Narrow" w:cs="Arial Narrow"/>
          <w:i/>
          <w:iCs/>
        </w:rPr>
        <w:t>Que el congresista no manifieste su impedimento o pesar de que exista un interés directo en la decisión que se ha de tomar</w:t>
      </w:r>
    </w:p>
    <w:p w14:paraId="16F8ECC9" w14:textId="77777777" w:rsidR="00E42907" w:rsidRPr="00E71E86" w:rsidRDefault="00564AFD">
      <w:pPr>
        <w:widowControl w:val="0"/>
        <w:numPr>
          <w:ilvl w:val="1"/>
          <w:numId w:val="6"/>
        </w:numPr>
        <w:pBdr>
          <w:top w:val="nil"/>
          <w:left w:val="nil"/>
          <w:bottom w:val="nil"/>
          <w:right w:val="nil"/>
          <w:between w:val="nil"/>
        </w:pBdr>
        <w:spacing w:before="14" w:after="0" w:line="288" w:lineRule="auto"/>
        <w:ind w:left="1843" w:right="48" w:hanging="850"/>
        <w:jc w:val="both"/>
        <w:rPr>
          <w:rFonts w:ascii="Arial Narrow" w:eastAsia="Arial Narrow" w:hAnsi="Arial Narrow" w:cs="Arial Narrow"/>
        </w:rPr>
      </w:pPr>
      <w:r w:rsidRPr="00E71E86">
        <w:rPr>
          <w:rFonts w:ascii="Arial Narrow" w:eastAsia="Arial Narrow" w:hAnsi="Arial Narrow" w:cs="Arial Narrow"/>
          <w:i/>
          <w:iCs/>
        </w:rPr>
        <w:t>Que el congresista no haya sido separado del asunto mediante recusación</w:t>
      </w:r>
    </w:p>
    <w:p w14:paraId="66A08F05" w14:textId="77777777" w:rsidR="00E42907" w:rsidRPr="00E71E86" w:rsidRDefault="00564AFD">
      <w:pPr>
        <w:widowControl w:val="0"/>
        <w:numPr>
          <w:ilvl w:val="1"/>
          <w:numId w:val="6"/>
        </w:numPr>
        <w:pBdr>
          <w:top w:val="nil"/>
          <w:left w:val="nil"/>
          <w:bottom w:val="nil"/>
          <w:right w:val="nil"/>
          <w:between w:val="nil"/>
        </w:pBdr>
        <w:tabs>
          <w:tab w:val="left" w:pos="1843"/>
          <w:tab w:val="left" w:pos="7227"/>
        </w:tabs>
        <w:spacing w:before="14" w:after="0" w:line="288" w:lineRule="auto"/>
        <w:ind w:left="1843" w:right="48" w:hanging="850"/>
        <w:jc w:val="both"/>
        <w:rPr>
          <w:rFonts w:ascii="Arial Narrow" w:eastAsia="Arial Narrow" w:hAnsi="Arial Narrow" w:cs="Arial Narrow"/>
        </w:rPr>
      </w:pPr>
      <w:r w:rsidRPr="00E71E86">
        <w:rPr>
          <w:rFonts w:ascii="Arial Narrow" w:eastAsia="Arial Narrow" w:hAnsi="Arial Narrow" w:cs="Arial Narrow"/>
          <w:i/>
          <w:iCs/>
        </w:rPr>
        <w:t>Que el congresista haya participado en los debates y/o haya votado</w:t>
      </w:r>
    </w:p>
    <w:p w14:paraId="389B8EE7" w14:textId="77777777" w:rsidR="00E42907" w:rsidRPr="00E71E86" w:rsidRDefault="00564AFD">
      <w:pPr>
        <w:widowControl w:val="0"/>
        <w:numPr>
          <w:ilvl w:val="1"/>
          <w:numId w:val="6"/>
        </w:numPr>
        <w:pBdr>
          <w:top w:val="nil"/>
          <w:left w:val="nil"/>
          <w:bottom w:val="nil"/>
          <w:right w:val="nil"/>
          <w:between w:val="nil"/>
        </w:pBdr>
        <w:tabs>
          <w:tab w:val="left" w:pos="1843"/>
          <w:tab w:val="left" w:pos="7227"/>
        </w:tabs>
        <w:spacing w:before="14" w:after="0" w:line="288" w:lineRule="auto"/>
        <w:ind w:left="1843" w:right="48" w:hanging="850"/>
        <w:jc w:val="both"/>
        <w:rPr>
          <w:rFonts w:ascii="Arial Narrow" w:eastAsia="Arial Narrow" w:hAnsi="Arial Narrow" w:cs="Arial Narrow"/>
        </w:rPr>
      </w:pPr>
      <w:r w:rsidRPr="00E71E86">
        <w:rPr>
          <w:rFonts w:ascii="Arial Narrow" w:eastAsia="Arial Narrow" w:hAnsi="Arial Narrow" w:cs="Arial Narrow"/>
          <w:i/>
          <w:iCs/>
        </w:rPr>
        <w:t>Que la participación del congresista se haya producido en relación con el trámite de leyes o de cualquier otro asunto sometido a su conocimiento</w:t>
      </w:r>
    </w:p>
    <w:p w14:paraId="42C616D3" w14:textId="77777777" w:rsidR="00E42907" w:rsidRPr="00E71E86" w:rsidRDefault="00E42907">
      <w:pPr>
        <w:tabs>
          <w:tab w:val="left" w:pos="1843"/>
        </w:tabs>
        <w:spacing w:line="218" w:lineRule="auto"/>
        <w:ind w:left="1843" w:right="688" w:hanging="850"/>
        <w:jc w:val="both"/>
        <w:rPr>
          <w:rFonts w:ascii="Arial Narrow" w:eastAsia="Arial Narrow" w:hAnsi="Arial Narrow" w:cs="Arial Narrow"/>
          <w:i/>
          <w:iCs/>
        </w:rPr>
      </w:pPr>
    </w:p>
    <w:p w14:paraId="44666D80" w14:textId="77777777" w:rsidR="00E42907" w:rsidRPr="00E71E86" w:rsidRDefault="00564AFD">
      <w:pPr>
        <w:widowControl w:val="0"/>
        <w:pBdr>
          <w:top w:val="nil"/>
          <w:left w:val="nil"/>
          <w:bottom w:val="nil"/>
          <w:right w:val="nil"/>
          <w:between w:val="nil"/>
        </w:pBdr>
        <w:spacing w:before="203" w:line="223" w:lineRule="auto"/>
        <w:ind w:right="48" w:firstLine="2"/>
        <w:jc w:val="both"/>
        <w:rPr>
          <w:rFonts w:ascii="Arial Narrow" w:eastAsia="Arial Narrow" w:hAnsi="Arial Narrow" w:cs="Arial Narrow"/>
        </w:rPr>
      </w:pPr>
      <w:r w:rsidRPr="00E71E86">
        <w:rPr>
          <w:rFonts w:ascii="Arial Narrow" w:eastAsia="Arial Narrow" w:hAnsi="Arial Narrow" w:cs="Arial Narrow"/>
        </w:rPr>
        <w:t>De igual forma la Sentencia SU-S79 de 2017, estableció que no es suficiente con la acreditación del factor objetivo del conflicto de intereses, es decir, que exista una relación de consanguinidad entre el congresista y un familiar que pueda percibir un eventual beneficio. Deben ser dotadas de contenido de acuerdo con las circunstancias específicas del caso concreto. Lo anterior hace notar, que la razón de ser del régimen de conflictos de interés parlamentario, es preservar la rectitud de la conducta de los congresistas, que deben actuar siempre consultando la justicia y el bien común, como manda el artículo 133 de la Constitución.</w:t>
      </w:r>
    </w:p>
    <w:p w14:paraId="2883A0F7" w14:textId="77777777" w:rsidR="00E42907" w:rsidRPr="00E71E86" w:rsidRDefault="00564AFD">
      <w:pPr>
        <w:spacing w:line="218" w:lineRule="auto"/>
        <w:ind w:right="48" w:hanging="5"/>
        <w:jc w:val="both"/>
        <w:rPr>
          <w:rFonts w:ascii="Arial Narrow" w:eastAsia="Arial Narrow" w:hAnsi="Arial Narrow" w:cs="Arial Narrow"/>
        </w:rPr>
      </w:pPr>
      <w:r w:rsidRPr="00E71E86">
        <w:rPr>
          <w:rFonts w:ascii="Arial Narrow" w:eastAsia="Arial Narrow" w:hAnsi="Arial Narrow" w:cs="Arial Narrow"/>
        </w:rPr>
        <w:t>Por todo lo anterior, los ponentes consideran que el proyecto de ley que se pone a consideración en el presente documento, no genera conflicto de interés, debido a que no crea beneficios particulares, actuales o directos para los congresistas, ni para sus familiares en los grados de consanguinidad establecidos en la ley.</w:t>
      </w:r>
    </w:p>
    <w:p w14:paraId="25ADF6C7" w14:textId="6B8D83D8" w:rsidR="00F77D9F" w:rsidRDefault="00564AFD" w:rsidP="00F77D9F">
      <w:pPr>
        <w:widowControl w:val="0"/>
        <w:pBdr>
          <w:top w:val="nil"/>
          <w:left w:val="nil"/>
          <w:bottom w:val="nil"/>
          <w:right w:val="nil"/>
          <w:between w:val="nil"/>
        </w:pBdr>
        <w:spacing w:before="268" w:line="223" w:lineRule="auto"/>
        <w:ind w:right="48" w:firstLine="2"/>
        <w:jc w:val="both"/>
        <w:rPr>
          <w:rFonts w:ascii="Arial Narrow" w:eastAsia="Arial Narrow" w:hAnsi="Arial Narrow" w:cs="Arial Narrow"/>
        </w:rPr>
      </w:pPr>
      <w:r w:rsidRPr="00E71E86">
        <w:rPr>
          <w:rFonts w:ascii="Arial Narrow" w:eastAsia="Arial Narrow" w:hAnsi="Arial Narrow" w:cs="Arial Narrow"/>
        </w:rPr>
        <w:t>En suma, se considera que este proyecto se enmarca en lo dispuesto por el literal a del artículo primero de la Ley 2003 de 2019 sobre las hipótesis de cuando se entiende que no hay conflicto de interés; no obstante, es pertinente aclarar que los conflictos de interés son personales y corresponde a cada Congresista evaluarlos y declararlos si es necesario.</w:t>
      </w:r>
    </w:p>
    <w:p w14:paraId="2F07ECE8" w14:textId="5E184870" w:rsidR="007D6296" w:rsidRDefault="007D6296" w:rsidP="00F77D9F">
      <w:pPr>
        <w:widowControl w:val="0"/>
        <w:pBdr>
          <w:top w:val="nil"/>
          <w:left w:val="nil"/>
          <w:bottom w:val="nil"/>
          <w:right w:val="nil"/>
          <w:between w:val="nil"/>
        </w:pBdr>
        <w:spacing w:before="268" w:line="223" w:lineRule="auto"/>
        <w:ind w:right="48" w:firstLine="2"/>
        <w:jc w:val="both"/>
        <w:rPr>
          <w:rFonts w:ascii="Arial Narrow" w:eastAsia="Arial Narrow" w:hAnsi="Arial Narrow" w:cs="Arial Narrow"/>
        </w:rPr>
      </w:pPr>
    </w:p>
    <w:p w14:paraId="11F0A933" w14:textId="77777777" w:rsidR="007D6296" w:rsidRDefault="007D6296" w:rsidP="007D6296">
      <w:pPr>
        <w:widowControl w:val="0"/>
        <w:pBdr>
          <w:top w:val="nil"/>
          <w:left w:val="nil"/>
          <w:bottom w:val="nil"/>
          <w:right w:val="nil"/>
          <w:between w:val="nil"/>
        </w:pBdr>
        <w:spacing w:before="268" w:line="223" w:lineRule="auto"/>
        <w:ind w:right="48"/>
        <w:jc w:val="both"/>
        <w:rPr>
          <w:rFonts w:ascii="Arial Narrow" w:eastAsia="Arial Narrow" w:hAnsi="Arial Narrow" w:cs="Arial Narrow"/>
        </w:rPr>
      </w:pPr>
    </w:p>
    <w:p w14:paraId="7B5D73B7" w14:textId="390F104A" w:rsidR="00AE6EF4" w:rsidRPr="007D6296" w:rsidRDefault="007D6296" w:rsidP="007D6296">
      <w:pPr>
        <w:widowControl w:val="0"/>
        <w:pBdr>
          <w:top w:val="nil"/>
          <w:left w:val="nil"/>
          <w:bottom w:val="nil"/>
          <w:right w:val="nil"/>
          <w:between w:val="nil"/>
        </w:pBdr>
        <w:spacing w:before="268" w:line="223" w:lineRule="auto"/>
        <w:ind w:right="48"/>
        <w:jc w:val="both"/>
        <w:rPr>
          <w:rFonts w:ascii="Arial Narrow" w:eastAsia="Arial Narrow" w:hAnsi="Arial Narrow" w:cs="Arial Narrow"/>
          <w:b/>
          <w:bCs/>
        </w:rPr>
      </w:pPr>
      <w:r w:rsidRPr="007D6296">
        <w:rPr>
          <w:rFonts w:ascii="Arial Narrow" w:eastAsia="Arial Narrow" w:hAnsi="Arial Narrow" w:cs="Arial Narrow"/>
          <w:b/>
          <w:bCs/>
        </w:rPr>
        <w:lastRenderedPageBreak/>
        <w:t xml:space="preserve">9. </w:t>
      </w:r>
      <w:r>
        <w:rPr>
          <w:rFonts w:ascii="Arial Narrow" w:eastAsia="Arial Narrow" w:hAnsi="Arial Narrow" w:cs="Arial Narrow"/>
          <w:b/>
          <w:bCs/>
        </w:rPr>
        <w:t>IMPACTO FISCAL</w:t>
      </w:r>
    </w:p>
    <w:p w14:paraId="3CBA331B" w14:textId="77777777" w:rsidR="007D6296" w:rsidRPr="00CF17A9" w:rsidRDefault="007D6296" w:rsidP="007D6296">
      <w:pPr>
        <w:pStyle w:val="NormalWeb"/>
        <w:shd w:val="clear" w:color="auto" w:fill="FCFCFC"/>
        <w:spacing w:before="0" w:beforeAutospacing="0" w:after="0" w:afterAutospacing="0"/>
        <w:jc w:val="both"/>
        <w:rPr>
          <w:rFonts w:ascii="Arial Narrow" w:hAnsi="Arial Narrow" w:cs="Segoe UI"/>
          <w:color w:val="0D0D0D"/>
          <w:sz w:val="22"/>
          <w:szCs w:val="22"/>
        </w:rPr>
      </w:pPr>
      <w:r w:rsidRPr="00CF17A9">
        <w:rPr>
          <w:rFonts w:ascii="Arial Narrow" w:hAnsi="Arial Narrow" w:cs="Segoe UI"/>
          <w:color w:val="0D0D0D"/>
          <w:sz w:val="22"/>
          <w:szCs w:val="22"/>
        </w:rPr>
        <w:t>El presente proyecto de ley es una iniciativa de carácter </w:t>
      </w:r>
      <w:r w:rsidRPr="00CF17A9">
        <w:rPr>
          <w:rStyle w:val="Textoennegrita"/>
          <w:rFonts w:ascii="Arial Narrow" w:hAnsi="Arial Narrow" w:cs="Segoe UI"/>
          <w:color w:val="0D0D0D"/>
          <w:sz w:val="22"/>
          <w:szCs w:val="22"/>
        </w:rPr>
        <w:t>penal y de política criminal</w:t>
      </w:r>
      <w:r w:rsidRPr="00CF17A9">
        <w:rPr>
          <w:rFonts w:ascii="Arial Narrow" w:hAnsi="Arial Narrow" w:cs="Segoe UI"/>
          <w:color w:val="0D0D0D"/>
          <w:sz w:val="22"/>
          <w:szCs w:val="22"/>
        </w:rPr>
        <w:t> que no contempla la creación de nuevas entidades, dependencias, plantas de personal, programas administrativos ni apropiaciones presupuestales específicas a cargo de la Nación. La iniciativa tiene por objeto adicionar un nuevo tipo penal a la </w:t>
      </w:r>
      <w:r w:rsidRPr="00CF17A9">
        <w:rPr>
          <w:rStyle w:val="Textoennegrita"/>
          <w:rFonts w:ascii="Arial Narrow" w:hAnsi="Arial Narrow" w:cs="Segoe UI"/>
          <w:color w:val="0D0D0D"/>
          <w:sz w:val="22"/>
          <w:szCs w:val="22"/>
        </w:rPr>
        <w:t>Ley 599 de 2000 – Código Penal</w:t>
      </w:r>
      <w:r w:rsidRPr="00CF17A9">
        <w:rPr>
          <w:rFonts w:ascii="Arial Narrow" w:hAnsi="Arial Narrow" w:cs="Segoe UI"/>
          <w:color w:val="0D0D0D"/>
          <w:sz w:val="22"/>
          <w:szCs w:val="22"/>
        </w:rPr>
        <w:t>, relacionado con el uso del ocultamiento de identidad como medio para facilitar la comisión de conductas delictivas en el contexto de manifestaciones, reuniones, movilizaciones o concentraciones públicas, así como modificar la consecuencia punitiva prevista en el artículo 353A del mismo Código.</w:t>
      </w:r>
    </w:p>
    <w:p w14:paraId="4E47600F" w14:textId="77777777" w:rsidR="007D6296" w:rsidRPr="00CF17A9" w:rsidRDefault="007D6296" w:rsidP="007D6296">
      <w:pPr>
        <w:pStyle w:val="NormalWeb"/>
        <w:shd w:val="clear" w:color="auto" w:fill="FCFCFC"/>
        <w:spacing w:before="0" w:beforeAutospacing="0" w:after="0" w:afterAutospacing="0"/>
        <w:jc w:val="both"/>
        <w:rPr>
          <w:rFonts w:ascii="Arial Narrow" w:hAnsi="Arial Narrow" w:cs="Segoe UI"/>
          <w:color w:val="0D0D0D"/>
          <w:sz w:val="22"/>
          <w:szCs w:val="22"/>
        </w:rPr>
      </w:pPr>
      <w:r w:rsidRPr="00CF17A9">
        <w:rPr>
          <w:rFonts w:ascii="Arial Narrow" w:hAnsi="Arial Narrow" w:cs="Segoe UI"/>
          <w:color w:val="0D0D0D"/>
          <w:sz w:val="22"/>
          <w:szCs w:val="22"/>
        </w:rPr>
        <w:t>De conformidad con el </w:t>
      </w:r>
      <w:r w:rsidRPr="00CF17A9">
        <w:rPr>
          <w:rStyle w:val="Textoennegrita"/>
          <w:rFonts w:ascii="Arial Narrow" w:hAnsi="Arial Narrow" w:cs="Segoe UI"/>
          <w:color w:val="0D0D0D"/>
          <w:sz w:val="22"/>
          <w:szCs w:val="22"/>
        </w:rPr>
        <w:t>artículo 7 de la Ley 819 de 2003</w:t>
      </w:r>
      <w:r w:rsidRPr="00CF17A9">
        <w:rPr>
          <w:rFonts w:ascii="Arial Narrow" w:hAnsi="Arial Narrow" w:cs="Segoe UI"/>
          <w:b/>
          <w:bCs/>
          <w:color w:val="0D0D0D"/>
          <w:sz w:val="22"/>
          <w:szCs w:val="22"/>
        </w:rPr>
        <w:t>,</w:t>
      </w:r>
      <w:r w:rsidRPr="00CF17A9">
        <w:rPr>
          <w:rFonts w:ascii="Arial Narrow" w:hAnsi="Arial Narrow" w:cs="Segoe UI"/>
          <w:color w:val="0D0D0D"/>
          <w:sz w:val="22"/>
          <w:szCs w:val="22"/>
        </w:rPr>
        <w:t xml:space="preserve"> los proyectos de ley que ordenen gasto público o concedan beneficios tributarios deben hacer explícito su impacto fiscal y ser compatibles con el Marco Fiscal de Mediano Plazo. En el presente caso, la iniciativa </w:t>
      </w:r>
      <w:r w:rsidRPr="00CF17A9">
        <w:rPr>
          <w:rStyle w:val="Textoennegrita"/>
          <w:rFonts w:ascii="Arial Narrow" w:hAnsi="Arial Narrow" w:cs="Segoe UI"/>
          <w:color w:val="0D0D0D"/>
          <w:sz w:val="22"/>
          <w:szCs w:val="22"/>
        </w:rPr>
        <w:t>no ordena directamente la creación de gasto público, no establece beneficios tributarios ni dispone la creación de una nueva estructura administrativa</w:t>
      </w:r>
      <w:r w:rsidRPr="00CF17A9">
        <w:rPr>
          <w:rFonts w:ascii="Arial Narrow" w:hAnsi="Arial Narrow" w:cs="Segoe UI"/>
          <w:color w:val="0D0D0D"/>
          <w:sz w:val="22"/>
          <w:szCs w:val="22"/>
        </w:rPr>
        <w:t>, razón por la cual su implementación se desarrollará a través de las competencias y capacidades institucionales existentes.</w:t>
      </w:r>
    </w:p>
    <w:p w14:paraId="0BA03ECD" w14:textId="77777777" w:rsidR="007D6296" w:rsidRPr="00CF17A9" w:rsidRDefault="007D6296" w:rsidP="007D6296">
      <w:pPr>
        <w:pStyle w:val="NormalWeb"/>
        <w:shd w:val="clear" w:color="auto" w:fill="FCFCFC"/>
        <w:spacing w:before="0" w:beforeAutospacing="0" w:after="0" w:afterAutospacing="0"/>
        <w:jc w:val="both"/>
        <w:rPr>
          <w:rFonts w:ascii="Arial Narrow" w:hAnsi="Arial Narrow" w:cs="Segoe UI"/>
          <w:color w:val="0D0D0D"/>
          <w:sz w:val="22"/>
          <w:szCs w:val="22"/>
        </w:rPr>
      </w:pPr>
      <w:r w:rsidRPr="00CF17A9">
        <w:rPr>
          <w:rFonts w:ascii="Arial Narrow" w:hAnsi="Arial Narrow" w:cs="Segoe UI"/>
          <w:color w:val="0D0D0D"/>
          <w:sz w:val="22"/>
          <w:szCs w:val="22"/>
        </w:rPr>
        <w:t>El presente proyecto de ley es una iniciativa de carácter </w:t>
      </w:r>
      <w:r w:rsidRPr="00CF17A9">
        <w:rPr>
          <w:rStyle w:val="Textoennegrita"/>
          <w:rFonts w:ascii="Arial Narrow" w:hAnsi="Arial Narrow" w:cs="Segoe UI"/>
          <w:color w:val="0D0D0D"/>
          <w:sz w:val="22"/>
          <w:szCs w:val="22"/>
        </w:rPr>
        <w:t>penal y de política criminal</w:t>
      </w:r>
      <w:r w:rsidRPr="00CF17A9">
        <w:rPr>
          <w:rFonts w:ascii="Arial Narrow" w:hAnsi="Arial Narrow" w:cs="Segoe UI"/>
          <w:color w:val="0D0D0D"/>
          <w:sz w:val="22"/>
          <w:szCs w:val="22"/>
        </w:rPr>
        <w:t> que no contempla la creación de nuevas entidades, dependencias, plantas de personal, programas administrativos ni apropiaciones presupuestales específicas a cargo de la Nación. La iniciativa tiene por objeto adicionar un nuevo tipo penal a la </w:t>
      </w:r>
      <w:r w:rsidRPr="00CF17A9">
        <w:rPr>
          <w:rStyle w:val="Textoennegrita"/>
          <w:rFonts w:ascii="Arial Narrow" w:hAnsi="Arial Narrow" w:cs="Segoe UI"/>
          <w:color w:val="0D0D0D"/>
          <w:sz w:val="22"/>
          <w:szCs w:val="22"/>
        </w:rPr>
        <w:t>Ley 599 de 2000 – Código Penal</w:t>
      </w:r>
      <w:r w:rsidRPr="00CF17A9">
        <w:rPr>
          <w:rFonts w:ascii="Arial Narrow" w:hAnsi="Arial Narrow" w:cs="Segoe UI"/>
          <w:color w:val="0D0D0D"/>
          <w:sz w:val="22"/>
          <w:szCs w:val="22"/>
        </w:rPr>
        <w:t>, relacionado con el uso del ocultamiento de identidad como medio para facilitar la comisión de conductas delictivas en el contexto de manifestaciones, reuniones, movilizaciones o concentraciones públicas, así como modificar la consecuencia punitiva prevista en el artículo 353A del mismo Código.</w:t>
      </w:r>
    </w:p>
    <w:p w14:paraId="1DF13736" w14:textId="64793D9D" w:rsidR="00AE6EF4" w:rsidRDefault="007D6296" w:rsidP="007D6296">
      <w:pPr>
        <w:pStyle w:val="NormalWeb"/>
        <w:shd w:val="clear" w:color="auto" w:fill="FCFCFC"/>
        <w:spacing w:before="0" w:beforeAutospacing="0" w:after="0" w:afterAutospacing="0"/>
        <w:jc w:val="both"/>
        <w:rPr>
          <w:rFonts w:ascii="Arial Narrow" w:hAnsi="Arial Narrow" w:cs="Segoe UI"/>
          <w:color w:val="0D0D0D"/>
          <w:sz w:val="22"/>
          <w:szCs w:val="22"/>
        </w:rPr>
      </w:pPr>
      <w:r w:rsidRPr="00CF17A9">
        <w:rPr>
          <w:rFonts w:ascii="Arial Narrow" w:hAnsi="Arial Narrow" w:cs="Segoe UI"/>
          <w:color w:val="0D0D0D"/>
          <w:sz w:val="22"/>
          <w:szCs w:val="22"/>
        </w:rPr>
        <w:t>De conformidad con el </w:t>
      </w:r>
      <w:r w:rsidRPr="00CF17A9">
        <w:rPr>
          <w:rStyle w:val="Textoennegrita"/>
          <w:rFonts w:ascii="Arial Narrow" w:hAnsi="Arial Narrow" w:cs="Segoe UI"/>
          <w:color w:val="0D0D0D"/>
          <w:sz w:val="22"/>
          <w:szCs w:val="22"/>
        </w:rPr>
        <w:t>artículo 7 de la Ley 819 de 2003</w:t>
      </w:r>
      <w:r w:rsidRPr="00CF17A9">
        <w:rPr>
          <w:rFonts w:ascii="Arial Narrow" w:hAnsi="Arial Narrow" w:cs="Segoe UI"/>
          <w:b/>
          <w:bCs/>
          <w:color w:val="0D0D0D"/>
          <w:sz w:val="22"/>
          <w:szCs w:val="22"/>
        </w:rPr>
        <w:t>,</w:t>
      </w:r>
      <w:r w:rsidRPr="00CF17A9">
        <w:rPr>
          <w:rFonts w:ascii="Arial Narrow" w:hAnsi="Arial Narrow" w:cs="Segoe UI"/>
          <w:color w:val="0D0D0D"/>
          <w:sz w:val="22"/>
          <w:szCs w:val="22"/>
        </w:rPr>
        <w:t xml:space="preserve"> los proyectos de ley que ordenen gasto público o concedan beneficios tributarios deben hacer explícito su impacto fiscal y ser compatibles con el Marco Fiscal de Mediano Plazo. En el presente caso, la iniciativa </w:t>
      </w:r>
      <w:r w:rsidRPr="00CF17A9">
        <w:rPr>
          <w:rStyle w:val="Textoennegrita"/>
          <w:rFonts w:ascii="Arial Narrow" w:hAnsi="Arial Narrow" w:cs="Segoe UI"/>
          <w:color w:val="0D0D0D"/>
          <w:sz w:val="22"/>
          <w:szCs w:val="22"/>
        </w:rPr>
        <w:t>no ordena directamente la creación de gasto público, no establece beneficios tributarios ni dispone la creación de una nueva estructura administrativa</w:t>
      </w:r>
      <w:r w:rsidRPr="00CF17A9">
        <w:rPr>
          <w:rFonts w:ascii="Arial Narrow" w:hAnsi="Arial Narrow" w:cs="Segoe UI"/>
          <w:color w:val="0D0D0D"/>
          <w:sz w:val="22"/>
          <w:szCs w:val="22"/>
        </w:rPr>
        <w:t>, razón por la cual su implementación se desarrollará a través de las competencias y capacidades institucionales existentes.</w:t>
      </w:r>
    </w:p>
    <w:p w14:paraId="1A3DA11B" w14:textId="77777777" w:rsidR="007D6296" w:rsidRPr="007D6296" w:rsidRDefault="007D6296" w:rsidP="007D6296">
      <w:pPr>
        <w:pStyle w:val="NormalWeb"/>
        <w:shd w:val="clear" w:color="auto" w:fill="FCFCFC"/>
        <w:spacing w:before="0" w:beforeAutospacing="0" w:after="0" w:afterAutospacing="0"/>
        <w:jc w:val="both"/>
        <w:rPr>
          <w:rFonts w:ascii="Arial Narrow" w:hAnsi="Arial Narrow" w:cs="Segoe UI"/>
          <w:color w:val="0D0D0D"/>
          <w:sz w:val="22"/>
          <w:szCs w:val="22"/>
        </w:rPr>
      </w:pPr>
    </w:p>
    <w:p w14:paraId="3ED463BB" w14:textId="6DFA3709" w:rsidR="00E42907" w:rsidRPr="00E71E86" w:rsidRDefault="007D6296">
      <w:pPr>
        <w:spacing w:line="240" w:lineRule="auto"/>
        <w:jc w:val="both"/>
        <w:rPr>
          <w:rFonts w:ascii="Arial Narrow" w:eastAsia="Arial Narrow" w:hAnsi="Arial Narrow" w:cs="Arial Narrow"/>
          <w:b/>
          <w:bCs/>
          <w:sz w:val="23"/>
          <w:szCs w:val="23"/>
        </w:rPr>
      </w:pPr>
      <w:r>
        <w:rPr>
          <w:rFonts w:ascii="Arial Narrow" w:eastAsia="Arial Narrow" w:hAnsi="Arial Narrow" w:cs="Arial Narrow"/>
          <w:b/>
          <w:bCs/>
          <w:sz w:val="23"/>
          <w:szCs w:val="23"/>
        </w:rPr>
        <w:t>10</w:t>
      </w:r>
      <w:r w:rsidR="00564AFD" w:rsidRPr="00E71E86">
        <w:rPr>
          <w:rFonts w:ascii="Arial Narrow" w:eastAsia="Arial Narrow" w:hAnsi="Arial Narrow" w:cs="Arial Narrow"/>
          <w:b/>
          <w:bCs/>
          <w:sz w:val="23"/>
          <w:szCs w:val="23"/>
        </w:rPr>
        <w:t xml:space="preserve">. PROPOSICIÓN </w:t>
      </w:r>
    </w:p>
    <w:p w14:paraId="265467DB" w14:textId="77777777" w:rsidR="007D6296" w:rsidRDefault="00564AFD" w:rsidP="007D6296">
      <w:pPr>
        <w:pBdr>
          <w:top w:val="nil"/>
          <w:left w:val="nil"/>
          <w:bottom w:val="nil"/>
          <w:right w:val="nil"/>
          <w:between w:val="nil"/>
        </w:pBdr>
        <w:spacing w:after="0" w:line="240" w:lineRule="auto"/>
        <w:jc w:val="both"/>
        <w:rPr>
          <w:rFonts w:ascii="Arial Narrow" w:eastAsia="Arial Narrow" w:hAnsi="Arial Narrow" w:cs="Arial Narrow"/>
          <w:sz w:val="23"/>
          <w:szCs w:val="23"/>
        </w:rPr>
      </w:pPr>
      <w:r w:rsidRPr="00E71E86">
        <w:rPr>
          <w:rFonts w:ascii="Arial Narrow" w:eastAsia="Arial Narrow" w:hAnsi="Arial Narrow" w:cs="Arial Narrow"/>
          <w:sz w:val="23"/>
          <w:szCs w:val="23"/>
        </w:rPr>
        <w:t>Con base en las anteriores consideraciones, presentamos ponencia positiva y solicitamos</w:t>
      </w:r>
      <w:r w:rsidR="00F777C6" w:rsidRPr="00E71E86">
        <w:rPr>
          <w:rFonts w:ascii="Arial Narrow" w:eastAsia="Arial Narrow" w:hAnsi="Arial Narrow" w:cs="Arial Narrow"/>
          <w:sz w:val="23"/>
          <w:szCs w:val="23"/>
        </w:rPr>
        <w:t xml:space="preserve"> </w:t>
      </w:r>
      <w:r w:rsidRPr="00E71E86">
        <w:rPr>
          <w:rFonts w:ascii="Arial Narrow" w:eastAsia="Arial Narrow" w:hAnsi="Arial Narrow" w:cs="Arial Narrow"/>
          <w:sz w:val="23"/>
          <w:szCs w:val="23"/>
        </w:rPr>
        <w:t xml:space="preserve">respetuosamente a la Comisión </w:t>
      </w:r>
      <w:r w:rsidR="001D4AD1" w:rsidRPr="00E71E86">
        <w:rPr>
          <w:rFonts w:ascii="Arial Narrow" w:eastAsia="Arial Narrow" w:hAnsi="Arial Narrow" w:cs="Arial Narrow"/>
          <w:sz w:val="23"/>
          <w:szCs w:val="23"/>
        </w:rPr>
        <w:t>Primera</w:t>
      </w:r>
      <w:r w:rsidRPr="00E71E86">
        <w:rPr>
          <w:rFonts w:ascii="Arial Narrow" w:eastAsia="Arial Narrow" w:hAnsi="Arial Narrow" w:cs="Arial Narrow"/>
          <w:sz w:val="23"/>
          <w:szCs w:val="23"/>
        </w:rPr>
        <w:t xml:space="preserve"> de la Cámara de Representantes, dar trámite para primer debate al Proyecto de Ley No. </w:t>
      </w:r>
      <w:r w:rsidR="00E71E86" w:rsidRPr="00E71E86">
        <w:rPr>
          <w:rFonts w:ascii="Arial Narrow" w:eastAsia="Arial Narrow" w:hAnsi="Arial Narrow" w:cs="Arial Narrow"/>
          <w:sz w:val="23"/>
          <w:szCs w:val="23"/>
        </w:rPr>
        <w:t>309</w:t>
      </w:r>
      <w:r w:rsidRPr="00E71E86">
        <w:rPr>
          <w:rFonts w:ascii="Arial Narrow" w:eastAsia="Arial Narrow" w:hAnsi="Arial Narrow" w:cs="Arial Narrow"/>
          <w:sz w:val="23"/>
          <w:szCs w:val="23"/>
        </w:rPr>
        <w:t xml:space="preserve"> de 2026, Cámara,</w:t>
      </w:r>
      <w:r w:rsidR="008D20AE" w:rsidRPr="00E71E86">
        <w:rPr>
          <w:rFonts w:ascii="Arial Narrow" w:eastAsia="Arial Narrow" w:hAnsi="Arial Narrow" w:cs="Arial Narrow"/>
          <w:sz w:val="23"/>
          <w:szCs w:val="23"/>
        </w:rPr>
        <w:t xml:space="preserve"> </w:t>
      </w:r>
      <w:r w:rsidR="00E71E86" w:rsidRPr="00E71E86">
        <w:rPr>
          <w:rFonts w:ascii="Arial Narrow" w:hAnsi="Arial Narrow"/>
          <w:b/>
          <w:bCs/>
          <w:i/>
          <w:iCs/>
        </w:rPr>
        <w:t>“Por medio de la cual se modifican y adicionan disposiciones de la Ley 599 de 2000, con el fin de sancionar la utilización del ocultamiento de identidad para facilitar la comisión de acto vandálico en el contexto de manifestaciones públicas, y se dictan otras disposiciones - Ley Anti Capuchos”,</w:t>
      </w:r>
      <w:r w:rsidR="007D6296">
        <w:rPr>
          <w:rFonts w:ascii="Arial Narrow" w:eastAsia="Arial Narrow" w:hAnsi="Arial Narrow" w:cs="Arial Narrow"/>
          <w:sz w:val="23"/>
          <w:szCs w:val="23"/>
        </w:rPr>
        <w:t xml:space="preserve"> conforme al </w:t>
      </w:r>
      <w:r w:rsidRPr="00E71E86">
        <w:rPr>
          <w:rFonts w:ascii="Arial Narrow" w:eastAsia="Arial Narrow" w:hAnsi="Arial Narrow" w:cs="Arial Narrow"/>
          <w:sz w:val="23"/>
          <w:szCs w:val="23"/>
        </w:rPr>
        <w:t>texto propuesto</w:t>
      </w:r>
      <w:r w:rsidR="007D6296">
        <w:rPr>
          <w:rFonts w:ascii="Arial Narrow" w:eastAsia="Arial Narrow" w:hAnsi="Arial Narrow" w:cs="Arial Narrow"/>
          <w:sz w:val="23"/>
          <w:szCs w:val="23"/>
        </w:rPr>
        <w:t>.</w:t>
      </w:r>
    </w:p>
    <w:p w14:paraId="01CFCAF7" w14:textId="77777777" w:rsidR="007D6296" w:rsidRDefault="007D6296" w:rsidP="007D6296">
      <w:pPr>
        <w:pBdr>
          <w:top w:val="nil"/>
          <w:left w:val="nil"/>
          <w:bottom w:val="nil"/>
          <w:right w:val="nil"/>
          <w:between w:val="nil"/>
        </w:pBdr>
        <w:spacing w:after="0" w:line="240" w:lineRule="auto"/>
        <w:jc w:val="both"/>
        <w:rPr>
          <w:rFonts w:ascii="Arial Narrow" w:eastAsia="Arial Narrow" w:hAnsi="Arial Narrow" w:cs="Arial Narrow"/>
          <w:sz w:val="23"/>
          <w:szCs w:val="23"/>
        </w:rPr>
      </w:pPr>
    </w:p>
    <w:p w14:paraId="78778382" w14:textId="0F210BD6" w:rsidR="00FC63FF" w:rsidRPr="007D6296" w:rsidRDefault="00564AFD" w:rsidP="007D6296">
      <w:pPr>
        <w:pBdr>
          <w:top w:val="nil"/>
          <w:left w:val="nil"/>
          <w:bottom w:val="nil"/>
          <w:right w:val="nil"/>
          <w:between w:val="nil"/>
        </w:pBdr>
        <w:spacing w:after="0" w:line="240" w:lineRule="auto"/>
        <w:jc w:val="both"/>
        <w:rPr>
          <w:rFonts w:ascii="Arial Narrow" w:eastAsia="Arial Narrow" w:hAnsi="Arial Narrow" w:cs="Arial Narrow"/>
          <w:b/>
          <w:bCs/>
          <w:i/>
          <w:iCs/>
        </w:rPr>
      </w:pPr>
      <w:r w:rsidRPr="00E71E86">
        <w:rPr>
          <w:rFonts w:ascii="Arial Narrow" w:eastAsia="Arial Narrow" w:hAnsi="Arial Narrow" w:cs="Arial Narrow"/>
          <w:sz w:val="23"/>
          <w:szCs w:val="23"/>
        </w:rPr>
        <w:t>Cordialmente,</w:t>
      </w:r>
    </w:p>
    <w:p w14:paraId="3466E0D2" w14:textId="1BAA1E61" w:rsidR="007D6296" w:rsidRDefault="007D6296">
      <w:pPr>
        <w:ind w:right="-136"/>
        <w:jc w:val="both"/>
        <w:rPr>
          <w:rFonts w:ascii="Arial Narrow" w:eastAsia="Arial Narrow" w:hAnsi="Arial Narrow" w:cs="Arial Narrow"/>
          <w:sz w:val="23"/>
          <w:szCs w:val="23"/>
        </w:rPr>
      </w:pPr>
    </w:p>
    <w:p w14:paraId="685C2F01" w14:textId="77777777" w:rsidR="007D6296" w:rsidRPr="00E71E86" w:rsidRDefault="007D6296">
      <w:pPr>
        <w:ind w:right="-136"/>
        <w:jc w:val="both"/>
        <w:rPr>
          <w:rFonts w:ascii="Arial Narrow" w:eastAsia="Arial Narrow" w:hAnsi="Arial Narrow" w:cs="Arial Narrow"/>
          <w:sz w:val="23"/>
          <w:szCs w:val="23"/>
        </w:rPr>
      </w:pPr>
    </w:p>
    <w:p w14:paraId="6D8F5356" w14:textId="543021A1" w:rsidR="00E42907" w:rsidRPr="00E71E86" w:rsidRDefault="00F77D9F">
      <w:pPr>
        <w:pBdr>
          <w:top w:val="nil"/>
          <w:left w:val="nil"/>
          <w:bottom w:val="nil"/>
          <w:right w:val="nil"/>
          <w:between w:val="nil"/>
        </w:pBdr>
        <w:spacing w:after="0" w:line="240" w:lineRule="auto"/>
        <w:jc w:val="both"/>
        <w:rPr>
          <w:rFonts w:ascii="Arial Narrow" w:eastAsia="Arial Narrow" w:hAnsi="Arial Narrow" w:cs="Arial Narrow"/>
          <w:b/>
          <w:bCs/>
        </w:rPr>
      </w:pPr>
      <w:r w:rsidRPr="00E71E86">
        <w:rPr>
          <w:rFonts w:ascii="Arial Narrow" w:eastAsia="Arial Narrow" w:hAnsi="Arial Narrow" w:cs="Arial Narrow"/>
          <w:b/>
          <w:bCs/>
        </w:rPr>
        <w:t xml:space="preserve">Jaime Ignacio Arizabaleta </w:t>
      </w:r>
    </w:p>
    <w:p w14:paraId="5586FF58" w14:textId="762D4FEA" w:rsidR="00F77D9F" w:rsidRPr="00E71E86" w:rsidRDefault="00F77D9F">
      <w:pPr>
        <w:pBdr>
          <w:top w:val="nil"/>
          <w:left w:val="nil"/>
          <w:bottom w:val="nil"/>
          <w:right w:val="nil"/>
          <w:between w:val="nil"/>
        </w:pBdr>
        <w:spacing w:after="0" w:line="240" w:lineRule="auto"/>
        <w:jc w:val="both"/>
        <w:rPr>
          <w:rFonts w:ascii="Arial Narrow" w:eastAsia="Arial Narrow" w:hAnsi="Arial Narrow" w:cs="Arial Narrow"/>
          <w:b/>
          <w:bCs/>
        </w:rPr>
      </w:pPr>
      <w:r w:rsidRPr="00E71E86">
        <w:rPr>
          <w:rFonts w:ascii="Arial Narrow" w:eastAsia="Arial Narrow" w:hAnsi="Arial Narrow" w:cs="Arial Narrow"/>
          <w:b/>
          <w:bCs/>
        </w:rPr>
        <w:t>Representante a la Cámara</w:t>
      </w:r>
    </w:p>
    <w:p w14:paraId="12D30475" w14:textId="77777777" w:rsidR="007D6296" w:rsidRDefault="00F77D9F" w:rsidP="00F77D9F">
      <w:pPr>
        <w:pBdr>
          <w:top w:val="nil"/>
          <w:left w:val="nil"/>
          <w:bottom w:val="nil"/>
          <w:right w:val="nil"/>
          <w:between w:val="nil"/>
        </w:pBdr>
        <w:spacing w:after="0" w:line="240" w:lineRule="auto"/>
        <w:jc w:val="both"/>
        <w:rPr>
          <w:rFonts w:ascii="Arial Narrow" w:eastAsia="Arial Narrow" w:hAnsi="Arial Narrow" w:cs="Arial Narrow"/>
          <w:b/>
          <w:bCs/>
        </w:rPr>
      </w:pPr>
      <w:r w:rsidRPr="00E71E86">
        <w:rPr>
          <w:rFonts w:ascii="Arial Narrow" w:eastAsia="Arial Narrow" w:hAnsi="Arial Narrow" w:cs="Arial Narrow"/>
          <w:b/>
          <w:bCs/>
        </w:rPr>
        <w:t>Centro Democráti</w:t>
      </w:r>
      <w:r w:rsidR="007D6296">
        <w:rPr>
          <w:rFonts w:ascii="Arial Narrow" w:eastAsia="Arial Narrow" w:hAnsi="Arial Narrow" w:cs="Arial Narrow"/>
          <w:b/>
          <w:bCs/>
        </w:rPr>
        <w:t>co</w:t>
      </w:r>
    </w:p>
    <w:p w14:paraId="5F4A02DC" w14:textId="32DAE6BF" w:rsidR="00E42907" w:rsidRPr="007D6296" w:rsidRDefault="00564AFD" w:rsidP="00F77D9F">
      <w:pPr>
        <w:pBdr>
          <w:top w:val="nil"/>
          <w:left w:val="nil"/>
          <w:bottom w:val="nil"/>
          <w:right w:val="nil"/>
          <w:between w:val="nil"/>
        </w:pBdr>
        <w:spacing w:after="0" w:line="240" w:lineRule="auto"/>
        <w:jc w:val="both"/>
        <w:rPr>
          <w:rFonts w:ascii="Arial Narrow" w:eastAsia="Arial Narrow" w:hAnsi="Arial Narrow" w:cs="Arial Narrow"/>
          <w:b/>
          <w:bCs/>
        </w:rPr>
      </w:pPr>
      <w:r w:rsidRPr="00E71E86">
        <w:rPr>
          <w:rFonts w:ascii="Arial Narrow" w:eastAsia="Arial Narrow" w:hAnsi="Arial Narrow" w:cs="Arial Narrow"/>
          <w:b/>
          <w:bCs/>
        </w:rPr>
        <w:lastRenderedPageBreak/>
        <w:t>1</w:t>
      </w:r>
      <w:r w:rsidR="007D6296">
        <w:rPr>
          <w:rFonts w:ascii="Arial Narrow" w:eastAsia="Arial Narrow" w:hAnsi="Arial Narrow" w:cs="Arial Narrow"/>
          <w:b/>
          <w:bCs/>
        </w:rPr>
        <w:t>1</w:t>
      </w:r>
      <w:r w:rsidRPr="00E71E86">
        <w:rPr>
          <w:rFonts w:ascii="Arial Narrow" w:eastAsia="Arial Narrow" w:hAnsi="Arial Narrow" w:cs="Arial Narrow"/>
          <w:b/>
          <w:bCs/>
        </w:rPr>
        <w:t>. TEXTO PROPUESTO PARA PRIMER DEBATE AL PROYECTO DE LEY No. 023 DE 2026, CÁMARA</w:t>
      </w:r>
      <w:r w:rsidR="00F77D9F" w:rsidRPr="00E71E86">
        <w:rPr>
          <w:rFonts w:ascii="Arial Narrow" w:eastAsia="Arial Narrow" w:hAnsi="Arial Narrow" w:cs="Arial Narrow"/>
          <w:b/>
          <w:bCs/>
        </w:rPr>
        <w:t>.</w:t>
      </w:r>
    </w:p>
    <w:p w14:paraId="6EAA7323" w14:textId="77777777" w:rsidR="00E71E86" w:rsidRPr="00E71E86" w:rsidRDefault="00E71E86">
      <w:pPr>
        <w:ind w:right="-136"/>
        <w:jc w:val="center"/>
        <w:rPr>
          <w:rFonts w:ascii="Arial Narrow" w:hAnsi="Arial Narrow"/>
          <w:b/>
          <w:bCs/>
          <w:i/>
          <w:iCs/>
        </w:rPr>
      </w:pPr>
    </w:p>
    <w:p w14:paraId="2A2243C3" w14:textId="77777777" w:rsidR="00E71E86" w:rsidRPr="00E71E86" w:rsidRDefault="00E71E86">
      <w:pPr>
        <w:ind w:right="-136"/>
        <w:jc w:val="center"/>
        <w:rPr>
          <w:rFonts w:ascii="Arial Narrow" w:hAnsi="Arial Narrow"/>
          <w:b/>
          <w:bCs/>
          <w:i/>
          <w:iCs/>
        </w:rPr>
      </w:pPr>
      <w:r w:rsidRPr="00E71E86">
        <w:rPr>
          <w:rFonts w:ascii="Arial Narrow" w:hAnsi="Arial Narrow"/>
          <w:b/>
          <w:bCs/>
          <w:i/>
          <w:iCs/>
        </w:rPr>
        <w:t>“Por medio de la cual se modifican y adicionan disposiciones de la Ley 599 de 2000, con el fin de sancionar la utilización del ocultamiento de identidad para facilitar la comisión de acto vandálico en el contexto de manifestaciones públicas, y se dictan otras disposiciones - Ley Anti Capuchos”.</w:t>
      </w:r>
    </w:p>
    <w:p w14:paraId="2E120EC1" w14:textId="7F8E6076" w:rsidR="00E42907" w:rsidRPr="00E71E86" w:rsidRDefault="00564AFD">
      <w:pPr>
        <w:ind w:right="-136"/>
        <w:jc w:val="center"/>
        <w:rPr>
          <w:rFonts w:ascii="Arial Narrow" w:eastAsia="Arial Narrow" w:hAnsi="Arial Narrow" w:cs="Arial Narrow"/>
          <w:b/>
          <w:bCs/>
        </w:rPr>
      </w:pPr>
      <w:r w:rsidRPr="00E71E86">
        <w:rPr>
          <w:rFonts w:ascii="Arial Narrow" w:eastAsia="Arial Narrow" w:hAnsi="Arial Narrow" w:cs="Arial Narrow"/>
          <w:b/>
          <w:bCs/>
        </w:rPr>
        <w:t>EL CONGRESO DE COLOMBIA</w:t>
      </w:r>
    </w:p>
    <w:p w14:paraId="2E6C88AE" w14:textId="32159F07" w:rsidR="00F07F56" w:rsidRPr="00E71E86" w:rsidRDefault="00564AFD" w:rsidP="008D20AE">
      <w:pPr>
        <w:ind w:right="-136"/>
        <w:jc w:val="center"/>
        <w:rPr>
          <w:rFonts w:ascii="Arial Narrow" w:eastAsia="Arial Narrow" w:hAnsi="Arial Narrow" w:cs="Arial Narrow"/>
          <w:b/>
          <w:bCs/>
        </w:rPr>
      </w:pPr>
      <w:r w:rsidRPr="00E71E86">
        <w:rPr>
          <w:rFonts w:ascii="Arial Narrow" w:eastAsia="Arial Narrow" w:hAnsi="Arial Narrow" w:cs="Arial Narrow"/>
          <w:b/>
          <w:bCs/>
        </w:rPr>
        <w:t>DECRETA:</w:t>
      </w:r>
    </w:p>
    <w:p w14:paraId="02828F9C" w14:textId="5CF562DB" w:rsidR="008D20AE" w:rsidRPr="00E71E86" w:rsidRDefault="008D20AE" w:rsidP="008D20AE">
      <w:pPr>
        <w:ind w:right="-136"/>
        <w:jc w:val="center"/>
        <w:rPr>
          <w:rFonts w:ascii="Arial Narrow" w:hAnsi="Arial Narrow"/>
          <w:b/>
          <w:bCs/>
        </w:rPr>
      </w:pPr>
      <w:r w:rsidRPr="00E71E86">
        <w:rPr>
          <w:rFonts w:ascii="Arial Narrow" w:hAnsi="Arial Narrow"/>
          <w:b/>
          <w:bCs/>
        </w:rPr>
        <w:t>“Por medio de la cual se modifican y adicionan disposiciones de la Ley 599 de 2000, con el fin de sancionar la utilización del ocultamiento de identidad para facilitar la comisión de acto vandálico en el contexto de manifestaciones públicas, y se dictan otras disposiciones - Ley Anti Capuchos.”</w:t>
      </w:r>
    </w:p>
    <w:p w14:paraId="4CDE41BA" w14:textId="7755933A" w:rsidR="008D20AE" w:rsidRPr="00E71E86" w:rsidRDefault="008D20AE" w:rsidP="008D20AE">
      <w:pPr>
        <w:ind w:right="-136"/>
        <w:jc w:val="both"/>
        <w:rPr>
          <w:rFonts w:ascii="Arial Narrow" w:hAnsi="Arial Narrow"/>
        </w:rPr>
      </w:pPr>
      <w:r w:rsidRPr="00E71E86">
        <w:rPr>
          <w:rFonts w:ascii="Arial Narrow" w:hAnsi="Arial Narrow"/>
        </w:rPr>
        <w:t xml:space="preserve">Artículo 1°. Objeto. La presente Ley tiene por objeto adoptar medidas para sancionar la comisión de acto vandálico valiéndose del ocultamiento de la identidad en el contexto de manifestaciones </w:t>
      </w:r>
      <w:proofErr w:type="gramStart"/>
      <w:r w:rsidRPr="00E71E86">
        <w:rPr>
          <w:rFonts w:ascii="Arial Narrow" w:hAnsi="Arial Narrow"/>
        </w:rPr>
        <w:t>públicas</w:t>
      </w:r>
      <w:proofErr w:type="gramEnd"/>
      <w:r w:rsidRPr="00E71E86">
        <w:rPr>
          <w:rFonts w:ascii="Arial Narrow" w:hAnsi="Arial Narrow"/>
        </w:rPr>
        <w:t xml:space="preserve"> así como también modificar la pena imponible en el artículo 353A de la Ley 599 de 2000.</w:t>
      </w:r>
    </w:p>
    <w:p w14:paraId="5FED17E3" w14:textId="77777777" w:rsidR="008D20AE" w:rsidRPr="00E71E86" w:rsidRDefault="008D20AE" w:rsidP="008D20AE">
      <w:pPr>
        <w:ind w:right="-136"/>
        <w:jc w:val="both"/>
        <w:rPr>
          <w:rFonts w:ascii="Arial Narrow" w:hAnsi="Arial Narrow"/>
        </w:rPr>
      </w:pPr>
      <w:r w:rsidRPr="00E71E86">
        <w:rPr>
          <w:rFonts w:ascii="Arial Narrow" w:hAnsi="Arial Narrow"/>
        </w:rPr>
        <w:t>Artículo 2°. Definiciones. Para todos los efectos de la presente Ley, se entenderá por:</w:t>
      </w:r>
    </w:p>
    <w:p w14:paraId="32FE85C2" w14:textId="695E40E9" w:rsidR="008D20AE" w:rsidRPr="00E71E86" w:rsidRDefault="008D20AE" w:rsidP="008D20AE">
      <w:pPr>
        <w:ind w:right="-136"/>
        <w:jc w:val="both"/>
        <w:rPr>
          <w:rFonts w:ascii="Arial Narrow" w:hAnsi="Arial Narrow"/>
        </w:rPr>
      </w:pPr>
      <w:r w:rsidRPr="00E71E86">
        <w:rPr>
          <w:rFonts w:ascii="Arial Narrow" w:hAnsi="Arial Narrow"/>
        </w:rPr>
        <w:t xml:space="preserve"> ● Ocultamiento de identidad: Utilización deliberada de prendas, máscaras, pasamontañas, elementos u otros medios similares destinados a impedir o dificultar la identificación de una persona con ocasión a la comisión de acto vandálico. </w:t>
      </w:r>
    </w:p>
    <w:p w14:paraId="78FDBFE9" w14:textId="77777777" w:rsidR="008D20AE" w:rsidRPr="00E71E86" w:rsidRDefault="008D20AE" w:rsidP="008D20AE">
      <w:pPr>
        <w:ind w:right="-136"/>
        <w:jc w:val="both"/>
        <w:rPr>
          <w:rFonts w:ascii="Arial Narrow" w:hAnsi="Arial Narrow"/>
        </w:rPr>
      </w:pPr>
      <w:r w:rsidRPr="00E71E86">
        <w:rPr>
          <w:rFonts w:ascii="Arial Narrow" w:hAnsi="Arial Narrow"/>
        </w:rPr>
        <w:t xml:space="preserve">● Acto vandálico: Toda conducta dolosa ejecutada con ocasión de una manifestación pública, reunión, movilización o concentración pública, y/o </w:t>
      </w:r>
      <w:proofErr w:type="gramStart"/>
      <w:r w:rsidRPr="00E71E86">
        <w:rPr>
          <w:rFonts w:ascii="Arial Narrow" w:hAnsi="Arial Narrow"/>
        </w:rPr>
        <w:t>que</w:t>
      </w:r>
      <w:proofErr w:type="gramEnd"/>
      <w:r w:rsidRPr="00E71E86">
        <w:rPr>
          <w:rFonts w:ascii="Arial Narrow" w:hAnsi="Arial Narrow"/>
        </w:rPr>
        <w:t xml:space="preserve"> aprovechando su desarrollo, consista en destruir, incendiar, inutilizar o deteriorar de manera grave bienes públicos o privados, invadir u ocupar violentamente bienes inmuebles o establecimientos; o ejercer violencia física contra una o más personas. </w:t>
      </w:r>
    </w:p>
    <w:p w14:paraId="28FE00BF" w14:textId="03A85FF8" w:rsidR="008D20AE" w:rsidRPr="00E71E86" w:rsidRDefault="008D20AE" w:rsidP="008D20AE">
      <w:pPr>
        <w:ind w:right="-136"/>
        <w:jc w:val="both"/>
        <w:rPr>
          <w:rFonts w:ascii="Arial Narrow" w:hAnsi="Arial Narrow"/>
        </w:rPr>
      </w:pPr>
      <w:r w:rsidRPr="00E71E86">
        <w:rPr>
          <w:rFonts w:ascii="Arial Narrow" w:hAnsi="Arial Narrow"/>
        </w:rPr>
        <w:t>● Artefactos o elementos peligrosos de fabricación artesanal: Todo objeto, sustancia, elemento o instrumento elaborado, adaptado o improvisado con la finalidad de causar lesiones a las personas, afectar bienes públicos o privados, alterar gravemente el orden público o facilitar la comisión de conductas punibles durante manifestaciones públicas. Comprende, entre otros, artefactos explosivos artesanales, bombas incendiarias, sustancias corrosivas y objetos modificados con capacidad ofensiva.</w:t>
      </w:r>
    </w:p>
    <w:p w14:paraId="6FDA14A9" w14:textId="77777777" w:rsidR="008D20AE" w:rsidRPr="00E71E86" w:rsidRDefault="008D20AE" w:rsidP="008D20AE">
      <w:pPr>
        <w:ind w:right="-136"/>
        <w:jc w:val="both"/>
        <w:rPr>
          <w:rFonts w:ascii="Arial Narrow" w:hAnsi="Arial Narrow"/>
        </w:rPr>
      </w:pPr>
      <w:r w:rsidRPr="00E71E86">
        <w:rPr>
          <w:rFonts w:ascii="Arial Narrow" w:hAnsi="Arial Narrow"/>
        </w:rPr>
        <w:t xml:space="preserve">Artículo 3°. Adiciónese al Libro II, Parte Especial, Título XII, Delitos contra la Seguridad Pública, de la Ley 599 de 2000, el siguiente artículo 353C, el cual quedará así: </w:t>
      </w:r>
    </w:p>
    <w:p w14:paraId="64715C28" w14:textId="77777777" w:rsidR="008D20AE" w:rsidRPr="00E71E86" w:rsidRDefault="008D20AE" w:rsidP="008D20AE">
      <w:pPr>
        <w:ind w:right="-136"/>
        <w:jc w:val="both"/>
        <w:rPr>
          <w:rFonts w:ascii="Arial Narrow" w:hAnsi="Arial Narrow"/>
        </w:rPr>
      </w:pPr>
      <w:r w:rsidRPr="00E71E86">
        <w:rPr>
          <w:rFonts w:ascii="Arial Narrow" w:hAnsi="Arial Narrow"/>
        </w:rPr>
        <w:t xml:space="preserve">“Artículo 353C. Acto vandálico mediante el ocultamiento de identidad. El que cometa acto vandálico aprovechándose del ocultamiento de su identidad, con ocasión de una manifestación pública, reunión, movilización o concentración pública, o aprovechando su desarrollo incurrirá en pena de prisión de cincuenta y cuatro meses (54) a noventa y seis (96) meses y multa de cincuenta (50) a doscientos (200) salarios mínimos legales mensuales vigentes. </w:t>
      </w:r>
    </w:p>
    <w:p w14:paraId="712CC872" w14:textId="77777777" w:rsidR="008D20AE" w:rsidRPr="00E71E86" w:rsidRDefault="008D20AE" w:rsidP="008D20AE">
      <w:pPr>
        <w:ind w:right="-136"/>
        <w:jc w:val="both"/>
        <w:rPr>
          <w:rFonts w:ascii="Arial Narrow" w:hAnsi="Arial Narrow"/>
        </w:rPr>
      </w:pPr>
      <w:r w:rsidRPr="00E71E86">
        <w:rPr>
          <w:rFonts w:ascii="Arial Narrow" w:hAnsi="Arial Narrow"/>
        </w:rPr>
        <w:t xml:space="preserve">La pena imponible para la conducta descrita en este artículo se aumentará de la mitad a las dos terceras partes, si la conducta la realiza así: </w:t>
      </w:r>
    </w:p>
    <w:p w14:paraId="0DC801C1" w14:textId="77777777" w:rsidR="008D20AE" w:rsidRPr="00E71E86" w:rsidRDefault="008D20AE" w:rsidP="008D20AE">
      <w:pPr>
        <w:ind w:right="-136"/>
        <w:jc w:val="both"/>
        <w:rPr>
          <w:rFonts w:ascii="Arial Narrow" w:hAnsi="Arial Narrow"/>
        </w:rPr>
      </w:pPr>
      <w:r w:rsidRPr="00E71E86">
        <w:rPr>
          <w:rFonts w:ascii="Arial Narrow" w:hAnsi="Arial Narrow"/>
        </w:rPr>
        <w:lastRenderedPageBreak/>
        <w:t xml:space="preserve">1. Se utilicen artefactos o elementos peligrosos de fabricación artesanal, explosivos, sustancias corrosivas o cualquier otro medio idóneo para causar grave daño a las personas o a los bienes públicos y privados. </w:t>
      </w:r>
    </w:p>
    <w:p w14:paraId="59C2B140" w14:textId="5E12AEC7" w:rsidR="008D20AE" w:rsidRPr="00E71E86" w:rsidRDefault="008D20AE" w:rsidP="008D20AE">
      <w:pPr>
        <w:ind w:right="-136"/>
        <w:jc w:val="both"/>
        <w:rPr>
          <w:rFonts w:ascii="Arial Narrow" w:hAnsi="Arial Narrow"/>
        </w:rPr>
      </w:pPr>
      <w:r w:rsidRPr="00E71E86">
        <w:rPr>
          <w:rFonts w:ascii="Arial Narrow" w:hAnsi="Arial Narrow"/>
        </w:rPr>
        <w:t>2. La conducta recae sobre establecimientos educativos, instituciones prestadoras de servicios de salud, instalaciones de los organismos de socorro, bienes de interés cultural, infraestructura de servicios públicos esenciales.</w:t>
      </w:r>
    </w:p>
    <w:p w14:paraId="6328C16D" w14:textId="77777777" w:rsidR="008D20AE" w:rsidRPr="00E71E86" w:rsidRDefault="008D20AE" w:rsidP="008D20AE">
      <w:pPr>
        <w:ind w:right="-136"/>
        <w:jc w:val="both"/>
        <w:rPr>
          <w:rFonts w:ascii="Arial Narrow" w:hAnsi="Arial Narrow"/>
        </w:rPr>
      </w:pPr>
      <w:r w:rsidRPr="00E71E86">
        <w:rPr>
          <w:rFonts w:ascii="Arial Narrow" w:hAnsi="Arial Narrow"/>
        </w:rPr>
        <w:t xml:space="preserve">Artículo 4°. Modifíquese el artículo 353A de la Ley 599 del 2000, el cual quedará así: </w:t>
      </w:r>
    </w:p>
    <w:p w14:paraId="50490CE3" w14:textId="77777777" w:rsidR="00E71E86" w:rsidRPr="00E71E86" w:rsidRDefault="008D20AE" w:rsidP="008D20AE">
      <w:pPr>
        <w:ind w:right="-136"/>
        <w:jc w:val="both"/>
        <w:rPr>
          <w:rFonts w:ascii="Arial Narrow" w:hAnsi="Arial Narrow"/>
        </w:rPr>
      </w:pPr>
      <w:r w:rsidRPr="00E71E86">
        <w:rPr>
          <w:rFonts w:ascii="Arial Narrow" w:hAnsi="Arial Narrow"/>
        </w:rPr>
        <w:t>“Artículo 353A. Obstrucción a vías públicas que afecten el orden público</w:t>
      </w:r>
      <w:r w:rsidR="00E71E86" w:rsidRPr="00E71E86">
        <w:rPr>
          <w:rFonts w:ascii="Arial Narrow" w:hAnsi="Arial Narrow"/>
        </w:rPr>
        <w:t>.</w:t>
      </w:r>
    </w:p>
    <w:p w14:paraId="5B0A56DA" w14:textId="77777777" w:rsidR="00E71E86" w:rsidRPr="00E71E86" w:rsidRDefault="008D20AE" w:rsidP="008D20AE">
      <w:pPr>
        <w:ind w:right="-136"/>
        <w:jc w:val="both"/>
        <w:rPr>
          <w:rFonts w:ascii="Arial Narrow" w:hAnsi="Arial Narrow"/>
        </w:rPr>
      </w:pPr>
      <w:r w:rsidRPr="00E71E86">
        <w:rPr>
          <w:rFonts w:ascii="Arial Narrow" w:hAnsi="Arial Narrow"/>
        </w:rPr>
        <w:t xml:space="preserve"> El que por medios ilícitos incite, dirija, constriña o proporcione los medios para obstaculizar de manera temporal o permanente, selectiva o general, las vías o la infraestructura de transporte de tal manera que atente contra la vida humana, la salud pública, la seguridad alimentaria, el medio ambiente o el derecho al trabajo, incurrirá en prisión de cincuenta y cuatro meses (54) a noventa y seis meses (96) y multa de cincuenta (50) a doscientos (200) salarios mínimos legales mensuales vigentes y pérdida de inhabilidad de derechos y funciones públicas por el mismo término de la pena de prisión. </w:t>
      </w:r>
    </w:p>
    <w:p w14:paraId="7EC8E3A8" w14:textId="1D8038A8" w:rsidR="008D20AE" w:rsidRPr="00E71E86" w:rsidRDefault="008D20AE" w:rsidP="008D20AE">
      <w:pPr>
        <w:ind w:right="-136"/>
        <w:jc w:val="both"/>
        <w:rPr>
          <w:rFonts w:ascii="Arial Narrow" w:hAnsi="Arial Narrow"/>
        </w:rPr>
      </w:pPr>
      <w:r w:rsidRPr="00E71E86">
        <w:rPr>
          <w:rFonts w:ascii="Arial Narrow" w:hAnsi="Arial Narrow"/>
        </w:rPr>
        <w:t xml:space="preserve">PARÁGRAFO. Se excluyen del presente artículo las movilizaciones realizadas con permiso de la autoridad competente en el marco del artículo 37 de la Constitución Política. </w:t>
      </w:r>
    </w:p>
    <w:p w14:paraId="6D764D9C" w14:textId="7DA64BC2" w:rsidR="008D20AE" w:rsidRPr="00E71E86" w:rsidRDefault="008D20AE" w:rsidP="008D20AE">
      <w:pPr>
        <w:ind w:right="-136"/>
        <w:jc w:val="both"/>
        <w:rPr>
          <w:rFonts w:ascii="Arial Narrow" w:eastAsia="Arial Narrow" w:hAnsi="Arial Narrow" w:cs="Arial Narrow"/>
          <w:b/>
          <w:bCs/>
        </w:rPr>
      </w:pPr>
      <w:r w:rsidRPr="00E71E86">
        <w:rPr>
          <w:rFonts w:ascii="Arial Narrow" w:hAnsi="Arial Narrow"/>
        </w:rPr>
        <w:t>Artículo 5°. Vigencia y derogatorias. La presen</w:t>
      </w:r>
      <w:r w:rsidR="00E71E86" w:rsidRPr="00E71E86">
        <w:rPr>
          <w:rFonts w:ascii="Arial Narrow" w:hAnsi="Arial Narrow"/>
        </w:rPr>
        <w:t>te Ley rige a partir de la fecha de su promulgación y deroga todas las disposiciones que le sean contrarias.</w:t>
      </w:r>
    </w:p>
    <w:p w14:paraId="0420D6D7" w14:textId="77777777" w:rsidR="00F77D9F" w:rsidRPr="00E71E86" w:rsidRDefault="00F77D9F">
      <w:pPr>
        <w:ind w:right="-136"/>
        <w:jc w:val="both"/>
        <w:rPr>
          <w:rFonts w:ascii="Arial Narrow" w:eastAsia="Arial Narrow" w:hAnsi="Arial Narrow" w:cs="Arial Narrow"/>
        </w:rPr>
      </w:pPr>
      <w:bookmarkStart w:id="5" w:name="_heading=h.3awmd4uq3s1e" w:colFirst="0" w:colLast="0"/>
      <w:bookmarkEnd w:id="5"/>
    </w:p>
    <w:p w14:paraId="0ABEC76E" w14:textId="7ADE9858" w:rsidR="00E42907" w:rsidRPr="00E71E86" w:rsidRDefault="00564AFD">
      <w:pPr>
        <w:ind w:right="-136"/>
        <w:jc w:val="both"/>
        <w:rPr>
          <w:rFonts w:ascii="Arial Narrow" w:eastAsia="Arial Narrow" w:hAnsi="Arial Narrow" w:cs="Arial Narrow"/>
        </w:rPr>
      </w:pPr>
      <w:r w:rsidRPr="00E71E86">
        <w:rPr>
          <w:rFonts w:ascii="Arial Narrow" w:eastAsia="Arial Narrow" w:hAnsi="Arial Narrow" w:cs="Arial Narrow"/>
        </w:rPr>
        <w:t>Cordialmente,</w:t>
      </w:r>
    </w:p>
    <w:p w14:paraId="74FD7186" w14:textId="445EB287" w:rsidR="00AE6EF4" w:rsidRDefault="00AE6EF4">
      <w:pPr>
        <w:ind w:right="-136"/>
        <w:jc w:val="both"/>
        <w:rPr>
          <w:rFonts w:ascii="Arial Narrow" w:eastAsia="Arial Narrow" w:hAnsi="Arial Narrow" w:cs="Arial Narrow"/>
          <w:b/>
          <w:bCs/>
        </w:rPr>
      </w:pPr>
    </w:p>
    <w:p w14:paraId="7FF3BD74" w14:textId="77777777" w:rsidR="007D6296" w:rsidRPr="00E71E86" w:rsidRDefault="007D6296">
      <w:pPr>
        <w:ind w:right="-136"/>
        <w:jc w:val="both"/>
        <w:rPr>
          <w:rFonts w:ascii="Arial Narrow" w:eastAsia="Arial Narrow" w:hAnsi="Arial Narrow" w:cs="Arial Narrow"/>
          <w:b/>
          <w:bCs/>
        </w:rPr>
      </w:pPr>
    </w:p>
    <w:p w14:paraId="502714F9" w14:textId="529CDD46" w:rsidR="00E42907" w:rsidRPr="00E71E86" w:rsidRDefault="00F07F56">
      <w:pPr>
        <w:pBdr>
          <w:top w:val="nil"/>
          <w:left w:val="nil"/>
          <w:bottom w:val="nil"/>
          <w:right w:val="nil"/>
          <w:between w:val="nil"/>
        </w:pBdr>
        <w:spacing w:after="0" w:line="240" w:lineRule="auto"/>
        <w:jc w:val="both"/>
        <w:rPr>
          <w:rFonts w:ascii="Arial Narrow" w:eastAsia="Arial Narrow" w:hAnsi="Arial Narrow" w:cs="Arial Narrow"/>
          <w:b/>
          <w:bCs/>
        </w:rPr>
      </w:pPr>
      <w:r w:rsidRPr="00E71E86">
        <w:rPr>
          <w:rFonts w:ascii="Arial Narrow" w:eastAsia="Arial Narrow" w:hAnsi="Arial Narrow" w:cs="Arial Narrow"/>
          <w:b/>
          <w:bCs/>
        </w:rPr>
        <w:t>Jaime Ignacio Arizabaleta</w:t>
      </w:r>
    </w:p>
    <w:p w14:paraId="66E1A1D7" w14:textId="5493C915" w:rsidR="00F07F56" w:rsidRPr="00E71E86" w:rsidRDefault="00F07F56">
      <w:pPr>
        <w:pBdr>
          <w:top w:val="nil"/>
          <w:left w:val="nil"/>
          <w:bottom w:val="nil"/>
          <w:right w:val="nil"/>
          <w:between w:val="nil"/>
        </w:pBdr>
        <w:spacing w:after="0" w:line="240" w:lineRule="auto"/>
        <w:jc w:val="both"/>
        <w:rPr>
          <w:rFonts w:ascii="Arial Narrow" w:eastAsia="Arial Narrow" w:hAnsi="Arial Narrow" w:cs="Arial Narrow"/>
          <w:b/>
          <w:bCs/>
        </w:rPr>
      </w:pPr>
      <w:r w:rsidRPr="00E71E86">
        <w:rPr>
          <w:rFonts w:ascii="Arial Narrow" w:eastAsia="Arial Narrow" w:hAnsi="Arial Narrow" w:cs="Arial Narrow"/>
          <w:b/>
          <w:bCs/>
        </w:rPr>
        <w:t>Representante a la Cámara</w:t>
      </w:r>
    </w:p>
    <w:p w14:paraId="44960E5C" w14:textId="7D3C62AD" w:rsidR="00F07F56" w:rsidRPr="00E71E86" w:rsidRDefault="00F07F56">
      <w:pPr>
        <w:pBdr>
          <w:top w:val="nil"/>
          <w:left w:val="nil"/>
          <w:bottom w:val="nil"/>
          <w:right w:val="nil"/>
          <w:between w:val="nil"/>
        </w:pBdr>
        <w:spacing w:after="0" w:line="240" w:lineRule="auto"/>
        <w:jc w:val="both"/>
        <w:rPr>
          <w:rFonts w:ascii="Arial Narrow" w:eastAsia="Arial Narrow" w:hAnsi="Arial Narrow" w:cs="Arial Narrow"/>
          <w:b/>
          <w:bCs/>
        </w:rPr>
      </w:pPr>
      <w:r w:rsidRPr="00E71E86">
        <w:rPr>
          <w:rFonts w:ascii="Arial Narrow" w:eastAsia="Arial Narrow" w:hAnsi="Arial Narrow" w:cs="Arial Narrow"/>
          <w:b/>
          <w:bCs/>
        </w:rPr>
        <w:t>Centro Democrático</w:t>
      </w:r>
    </w:p>
    <w:p w14:paraId="4940FF91" w14:textId="0D25AEB4" w:rsidR="00F07F56" w:rsidRDefault="00F07F56">
      <w:pPr>
        <w:pBdr>
          <w:top w:val="nil"/>
          <w:left w:val="nil"/>
          <w:bottom w:val="nil"/>
          <w:right w:val="nil"/>
          <w:between w:val="nil"/>
        </w:pBdr>
        <w:spacing w:after="0" w:line="240" w:lineRule="auto"/>
        <w:jc w:val="both"/>
        <w:rPr>
          <w:rFonts w:ascii="Arial Narrow" w:eastAsia="Arial Narrow" w:hAnsi="Arial Narrow" w:cs="Arial Narrow"/>
          <w:b/>
          <w:bCs/>
        </w:rPr>
      </w:pPr>
    </w:p>
    <w:p w14:paraId="79ABE32A" w14:textId="77777777" w:rsidR="00CA1064" w:rsidRPr="00E71E86" w:rsidRDefault="00CA1064">
      <w:pPr>
        <w:pBdr>
          <w:top w:val="nil"/>
          <w:left w:val="nil"/>
          <w:bottom w:val="nil"/>
          <w:right w:val="nil"/>
          <w:between w:val="nil"/>
        </w:pBdr>
        <w:spacing w:after="0" w:line="240" w:lineRule="auto"/>
        <w:jc w:val="both"/>
        <w:rPr>
          <w:rFonts w:ascii="Arial Narrow" w:eastAsia="Arial Narrow" w:hAnsi="Arial Narrow" w:cs="Arial Narrow"/>
          <w:b/>
          <w:bCs/>
        </w:rPr>
      </w:pPr>
    </w:p>
    <w:sectPr w:rsidR="00CA1064" w:rsidRPr="00E71E86">
      <w:headerReference w:type="default" r:id="rId13"/>
      <w:footerReference w:type="default" r:id="rId14"/>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91CD4" w14:textId="77777777" w:rsidR="00FE7BE2" w:rsidRDefault="00FE7BE2">
      <w:pPr>
        <w:spacing w:after="0" w:line="240" w:lineRule="auto"/>
      </w:pPr>
      <w:r>
        <w:separator/>
      </w:r>
    </w:p>
  </w:endnote>
  <w:endnote w:type="continuationSeparator" w:id="0">
    <w:p w14:paraId="7CC9AE48" w14:textId="77777777" w:rsidR="00FE7BE2" w:rsidRDefault="00FE7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C78B293E-BBCE-4E49-9047-7473B301D72E}"/>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Bold r:id="rId2" w:fontKey="{FDC0F406-3362-41D2-8D24-C714445FE131}"/>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4B517F40-C1B4-4318-8EBC-42A73F199E35}"/>
    <w:embedBold r:id="rId4" w:fontKey="{CAD3C990-8788-4CCB-B5B1-A93E40B09CED}"/>
    <w:embedItalic r:id="rId5" w:fontKey="{CCD6A309-DB8A-4DE8-9DCD-845BE183616E}"/>
    <w:embedBoldItalic r:id="rId6" w:fontKey="{01F5EE88-49DE-479B-9D3A-FB986BB5EFFB}"/>
  </w:font>
  <w:font w:name="Georgia">
    <w:panose1 w:val="02040502050405020303"/>
    <w:charset w:val="00"/>
    <w:family w:val="roman"/>
    <w:pitch w:val="variable"/>
    <w:sig w:usb0="00000287" w:usb1="00000000" w:usb2="00000000" w:usb3="00000000" w:csb0="0000009F" w:csb1="00000000"/>
    <w:embedItalic r:id="rId7" w:fontKey="{73EE83A7-D96F-4D07-A55D-D9FDB70E169A}"/>
  </w:font>
  <w:font w:name="Arial Narrow">
    <w:panose1 w:val="020B0606020202030204"/>
    <w:charset w:val="00"/>
    <w:family w:val="swiss"/>
    <w:pitch w:val="variable"/>
    <w:sig w:usb0="00000287" w:usb1="00000800" w:usb2="00000000" w:usb3="00000000" w:csb0="0000009F" w:csb1="00000000"/>
    <w:embedRegular r:id="rId8" w:fontKey="{45207557-A295-4099-BDB8-62838F4AF269}"/>
    <w:embedBold r:id="rId9" w:fontKey="{8119A62F-DEDC-4A20-ABF6-E0DBF7D56956}"/>
    <w:embedItalic r:id="rId10" w:fontKey="{ACBA9ADE-54F4-4791-B373-4BBFA47C1607}"/>
    <w:embedBoldItalic r:id="rId11" w:fontKey="{FCCE4743-AB72-41C2-85A6-C2C3621883C1}"/>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2" w:fontKey="{7FBFC222-8E5C-489C-A6F8-80BD5926B1F3}"/>
    <w:embedBold r:id="rId13" w:fontKey="{F4DA9219-EC70-4AAF-BE7C-0FA129829E25}"/>
  </w:font>
  <w:font w:name="Cambria">
    <w:panose1 w:val="02040503050406030204"/>
    <w:charset w:val="00"/>
    <w:family w:val="roman"/>
    <w:pitch w:val="variable"/>
    <w:sig w:usb0="E00006FF" w:usb1="420024FF" w:usb2="02000000" w:usb3="00000000" w:csb0="0000019F" w:csb1="00000000"/>
    <w:embedRegular r:id="rId14" w:fontKey="{103F1DDF-695B-45FA-8697-77376E1DDA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306881"/>
      <w:docPartObj>
        <w:docPartGallery w:val="Page Numbers (Bottom of Page)"/>
        <w:docPartUnique/>
      </w:docPartObj>
    </w:sdtPr>
    <w:sdtEndPr/>
    <w:sdtContent>
      <w:p w14:paraId="332A3CF5" w14:textId="77777777" w:rsidR="00AE6EF4" w:rsidRDefault="00AE6EF4">
        <w:pPr>
          <w:pStyle w:val="Piedepgina"/>
          <w:jc w:val="right"/>
        </w:pPr>
      </w:p>
      <w:p w14:paraId="6B3106E4" w14:textId="0A49CA5F" w:rsidR="00AE6EF4" w:rsidRDefault="00AE6EF4" w:rsidP="00AE6EF4">
        <w:pPr>
          <w:pStyle w:val="Piedepgina"/>
        </w:pPr>
        <w:r>
          <w:tab/>
        </w:r>
        <w:r>
          <w:tab/>
        </w:r>
        <w:r>
          <w:fldChar w:fldCharType="begin"/>
        </w:r>
        <w:r>
          <w:instrText>PAGE   \* MERGEFORMAT</w:instrText>
        </w:r>
        <w:r>
          <w:fldChar w:fldCharType="separate"/>
        </w:r>
        <w:r>
          <w:rPr>
            <w:lang w:val="es-ES"/>
          </w:rPr>
          <w:t>2</w:t>
        </w:r>
        <w:r>
          <w:fldChar w:fldCharType="end"/>
        </w:r>
      </w:p>
    </w:sdtContent>
  </w:sdt>
  <w:p w14:paraId="29D89227" w14:textId="77777777" w:rsidR="00AE6EF4" w:rsidRDefault="00AE6EF4" w:rsidP="00AE6EF4">
    <w:pPr>
      <w:tabs>
        <w:tab w:val="left" w:pos="714"/>
      </w:tabs>
      <w:spacing w:after="0" w:line="240" w:lineRule="auto"/>
      <w:jc w:val="center"/>
      <w:rPr>
        <w:rFonts w:ascii="Arial Narrow" w:hAnsi="Arial Narrow"/>
        <w:noProof/>
        <w:sz w:val="20"/>
        <w:szCs w:val="20"/>
      </w:rPr>
    </w:pPr>
  </w:p>
  <w:p w14:paraId="746BBC01" w14:textId="77777777" w:rsidR="00AE6EF4" w:rsidRDefault="00AE6EF4" w:rsidP="00AE6EF4">
    <w:pPr>
      <w:tabs>
        <w:tab w:val="left" w:pos="714"/>
      </w:tabs>
      <w:spacing w:after="0" w:line="240" w:lineRule="auto"/>
      <w:jc w:val="center"/>
      <w:rPr>
        <w:rFonts w:ascii="Arial Narrow" w:hAnsi="Arial Narrow"/>
        <w:noProof/>
        <w:sz w:val="20"/>
        <w:szCs w:val="20"/>
      </w:rPr>
    </w:pPr>
    <w:r w:rsidRPr="00437E4B">
      <w:rPr>
        <w:rFonts w:ascii="Arial Narrow" w:hAnsi="Arial Narrow"/>
        <w:noProof/>
        <w:sz w:val="20"/>
        <w:szCs w:val="20"/>
      </w:rPr>
      <w:drawing>
        <wp:anchor distT="0" distB="0" distL="114300" distR="114300" simplePos="0" relativeHeight="251662336" behindDoc="1" locked="0" layoutInCell="1" allowOverlap="1" wp14:anchorId="54D53761" wp14:editId="12BA6E1D">
          <wp:simplePos x="0" y="0"/>
          <wp:positionH relativeFrom="margin">
            <wp:align>left</wp:align>
          </wp:positionH>
          <wp:positionV relativeFrom="paragraph">
            <wp:posOffset>12700</wp:posOffset>
          </wp:positionV>
          <wp:extent cx="5400040" cy="79375"/>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79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186A66" w14:textId="77777777" w:rsidR="00AE6EF4" w:rsidRPr="00437E4B" w:rsidRDefault="00AE6EF4" w:rsidP="00AE6EF4">
    <w:pPr>
      <w:tabs>
        <w:tab w:val="left" w:pos="714"/>
      </w:tabs>
      <w:spacing w:after="0" w:line="240" w:lineRule="auto"/>
      <w:jc w:val="center"/>
      <w:rPr>
        <w:rFonts w:ascii="Arial Narrow" w:hAnsi="Arial Narrow"/>
        <w:noProof/>
        <w:sz w:val="20"/>
        <w:szCs w:val="20"/>
      </w:rPr>
    </w:pPr>
    <w:r w:rsidRPr="00437E4B">
      <w:rPr>
        <w:rFonts w:ascii="Arial Narrow" w:hAnsi="Arial Narrow"/>
        <w:noProof/>
        <w:sz w:val="20"/>
        <w:szCs w:val="20"/>
      </w:rPr>
      <w:drawing>
        <wp:anchor distT="0" distB="0" distL="114300" distR="114300" simplePos="0" relativeHeight="251661312" behindDoc="1" locked="0" layoutInCell="1" allowOverlap="1" wp14:anchorId="151F1B44" wp14:editId="6565B32D">
          <wp:simplePos x="0" y="0"/>
          <wp:positionH relativeFrom="column">
            <wp:posOffset>-3175</wp:posOffset>
          </wp:positionH>
          <wp:positionV relativeFrom="paragraph">
            <wp:posOffset>9278620</wp:posOffset>
          </wp:positionV>
          <wp:extent cx="5400040" cy="79375"/>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79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7E4B">
      <w:rPr>
        <w:rFonts w:ascii="Arial Narrow" w:hAnsi="Arial Narrow"/>
        <w:noProof/>
        <w:sz w:val="20"/>
        <w:szCs w:val="20"/>
      </w:rPr>
      <w:drawing>
        <wp:anchor distT="0" distB="0" distL="114300" distR="114300" simplePos="0" relativeHeight="251660288" behindDoc="1" locked="0" layoutInCell="1" allowOverlap="1" wp14:anchorId="0997BD63" wp14:editId="1D4931FE">
          <wp:simplePos x="0" y="0"/>
          <wp:positionH relativeFrom="column">
            <wp:posOffset>-3175</wp:posOffset>
          </wp:positionH>
          <wp:positionV relativeFrom="paragraph">
            <wp:posOffset>9278620</wp:posOffset>
          </wp:positionV>
          <wp:extent cx="5400040" cy="7937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79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7E4B">
      <w:rPr>
        <w:rFonts w:ascii="Arial Narrow" w:hAnsi="Arial Narrow"/>
        <w:noProof/>
        <w:sz w:val="20"/>
        <w:szCs w:val="20"/>
      </w:rPr>
      <w:drawing>
        <wp:anchor distT="0" distB="0" distL="114300" distR="114300" simplePos="0" relativeHeight="251659264" behindDoc="1" locked="0" layoutInCell="1" allowOverlap="1" wp14:anchorId="1C0FAB80" wp14:editId="20331941">
          <wp:simplePos x="0" y="0"/>
          <wp:positionH relativeFrom="column">
            <wp:posOffset>-3175</wp:posOffset>
          </wp:positionH>
          <wp:positionV relativeFrom="paragraph">
            <wp:posOffset>9278620</wp:posOffset>
          </wp:positionV>
          <wp:extent cx="5400040" cy="79375"/>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79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7E4B">
      <w:rPr>
        <w:rFonts w:ascii="Arial Narrow" w:hAnsi="Arial Narrow"/>
        <w:noProof/>
        <w:sz w:val="20"/>
        <w:szCs w:val="20"/>
      </w:rPr>
      <w:t>Carrera 7 N° 8 – 68 Ed. Nuevo del Congreso – PBX: (+57) 60 1 3904050 – Email:</w:t>
    </w:r>
    <w:r>
      <w:rPr>
        <w:rFonts w:ascii="Arial Narrow" w:hAnsi="Arial Narrow"/>
        <w:noProof/>
        <w:sz w:val="20"/>
        <w:szCs w:val="20"/>
      </w:rPr>
      <w:t xml:space="preserve"> jaime.arizabaleta@camara.gov.co</w:t>
    </w:r>
  </w:p>
  <w:p w14:paraId="2ED6D868" w14:textId="05F541F5" w:rsidR="00AE6EF4" w:rsidRPr="00AE6EF4" w:rsidRDefault="00AE6EF4" w:rsidP="00AE6EF4">
    <w:pPr>
      <w:tabs>
        <w:tab w:val="left" w:pos="714"/>
      </w:tabs>
      <w:spacing w:after="0" w:line="240" w:lineRule="auto"/>
      <w:jc w:val="center"/>
      <w:rPr>
        <w:rFonts w:ascii="Arial Narrow" w:hAnsi="Arial Narrow"/>
        <w:noProof/>
        <w:sz w:val="20"/>
        <w:szCs w:val="20"/>
      </w:rPr>
    </w:pPr>
    <w:r w:rsidRPr="00437E4B">
      <w:rPr>
        <w:rFonts w:ascii="Arial Narrow" w:hAnsi="Arial Narrow"/>
        <w:noProof/>
        <w:sz w:val="20"/>
        <w:szCs w:val="20"/>
      </w:rPr>
      <w:t>Bogota D.C.</w:t>
    </w:r>
    <w:r w:rsidRPr="00AE6EF4">
      <w:rPr>
        <w:rFonts w:ascii="Arial Narrow" w:hAnsi="Arial Narrow"/>
        <w:noProof/>
        <w:sz w:val="20"/>
        <w:szCs w:val="20"/>
      </w:rPr>
      <w:fldChar w:fldCharType="begin"/>
    </w:r>
    <w:r w:rsidRPr="00AE6EF4">
      <w:rPr>
        <w:rFonts w:ascii="Arial Narrow" w:hAnsi="Arial Narrow"/>
        <w:noProof/>
        <w:sz w:val="20"/>
        <w:szCs w:val="20"/>
      </w:rPr>
      <w:instrText>PAGE   \* MERGEFORMAT</w:instrText>
    </w:r>
    <w:r w:rsidRPr="00AE6EF4">
      <w:rPr>
        <w:rFonts w:ascii="Arial Narrow" w:hAnsi="Arial Narrow"/>
        <w:noProof/>
        <w:sz w:val="20"/>
        <w:szCs w:val="20"/>
      </w:rPr>
      <w:fldChar w:fldCharType="separate"/>
    </w:r>
    <w:r>
      <w:rPr>
        <w:rFonts w:ascii="Arial Narrow" w:hAnsi="Arial Narrow"/>
        <w:noProof/>
        <w:sz w:val="20"/>
        <w:szCs w:val="20"/>
      </w:rPr>
      <w:t>1</w:t>
    </w:r>
    <w:r w:rsidRPr="00AE6EF4">
      <w:rPr>
        <w:rFonts w:ascii="Arial Narrow" w:hAnsi="Arial Narrow"/>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7A474" w14:textId="77777777" w:rsidR="00FE7BE2" w:rsidRDefault="00FE7BE2">
      <w:pPr>
        <w:spacing w:after="0" w:line="240" w:lineRule="auto"/>
      </w:pPr>
      <w:r>
        <w:separator/>
      </w:r>
    </w:p>
  </w:footnote>
  <w:footnote w:type="continuationSeparator" w:id="0">
    <w:p w14:paraId="0DF3FD21" w14:textId="77777777" w:rsidR="00FE7BE2" w:rsidRDefault="00FE7B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183B9" w14:textId="4143E0E3" w:rsidR="00E42907" w:rsidRDefault="00564AFD">
    <w:pPr>
      <w:tabs>
        <w:tab w:val="center" w:pos="4419"/>
        <w:tab w:val="right" w:pos="8838"/>
      </w:tabs>
      <w:spacing w:after="0" w:line="240" w:lineRule="auto"/>
      <w:jc w:val="right"/>
      <w:rPr>
        <w:color w:val="000000"/>
      </w:rPr>
    </w:pPr>
    <w:r>
      <w:rPr>
        <w:noProof/>
      </w:rPr>
      <w:drawing>
        <wp:inline distT="0" distB="0" distL="0" distR="0" wp14:anchorId="11BF0B9B" wp14:editId="07E2F043">
          <wp:extent cx="2145665" cy="85979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45665" cy="85979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526CC"/>
    <w:multiLevelType w:val="multilevel"/>
    <w:tmpl w:val="2C8A22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5C13D4"/>
    <w:multiLevelType w:val="multilevel"/>
    <w:tmpl w:val="B5F61068"/>
    <w:lvl w:ilvl="0">
      <w:start w:val="1"/>
      <w:numFmt w:val="lowerLetter"/>
      <w:lvlText w:val="%1)"/>
      <w:lvlJc w:val="left"/>
      <w:pPr>
        <w:ind w:left="1243" w:hanging="253"/>
      </w:pPr>
      <w:rPr>
        <w:rFonts w:ascii="Tahoma" w:eastAsia="Tahoma" w:hAnsi="Tahoma" w:cs="Tahoma"/>
        <w:b/>
        <w:bCs/>
        <w:sz w:val="24"/>
        <w:szCs w:val="24"/>
      </w:rPr>
    </w:lvl>
    <w:lvl w:ilvl="1">
      <w:start w:val="1"/>
      <w:numFmt w:val="lowerRoman"/>
      <w:lvlText w:val="(%2)"/>
      <w:lvlJc w:val="left"/>
      <w:pPr>
        <w:ind w:left="2335" w:hanging="721"/>
      </w:pPr>
      <w:rPr>
        <w:i/>
        <w:iCs/>
      </w:rPr>
    </w:lvl>
    <w:lvl w:ilvl="2">
      <w:numFmt w:val="bullet"/>
      <w:lvlText w:val="•"/>
      <w:lvlJc w:val="left"/>
      <w:pPr>
        <w:ind w:left="3313" w:hanging="720"/>
      </w:pPr>
    </w:lvl>
    <w:lvl w:ilvl="3">
      <w:numFmt w:val="bullet"/>
      <w:lvlText w:val="•"/>
      <w:lvlJc w:val="left"/>
      <w:pPr>
        <w:ind w:left="4286" w:hanging="721"/>
      </w:pPr>
    </w:lvl>
    <w:lvl w:ilvl="4">
      <w:numFmt w:val="bullet"/>
      <w:lvlText w:val="•"/>
      <w:lvlJc w:val="left"/>
      <w:pPr>
        <w:ind w:left="5260" w:hanging="721"/>
      </w:pPr>
    </w:lvl>
    <w:lvl w:ilvl="5">
      <w:numFmt w:val="bullet"/>
      <w:lvlText w:val="•"/>
      <w:lvlJc w:val="left"/>
      <w:pPr>
        <w:ind w:left="6233" w:hanging="721"/>
      </w:pPr>
    </w:lvl>
    <w:lvl w:ilvl="6">
      <w:numFmt w:val="bullet"/>
      <w:lvlText w:val="•"/>
      <w:lvlJc w:val="left"/>
      <w:pPr>
        <w:ind w:left="7206" w:hanging="721"/>
      </w:pPr>
    </w:lvl>
    <w:lvl w:ilvl="7">
      <w:numFmt w:val="bullet"/>
      <w:lvlText w:val="•"/>
      <w:lvlJc w:val="left"/>
      <w:pPr>
        <w:ind w:left="8180" w:hanging="721"/>
      </w:pPr>
    </w:lvl>
    <w:lvl w:ilvl="8">
      <w:numFmt w:val="bullet"/>
      <w:lvlText w:val="•"/>
      <w:lvlJc w:val="left"/>
      <w:pPr>
        <w:ind w:left="9153" w:hanging="721"/>
      </w:pPr>
    </w:lvl>
  </w:abstractNum>
  <w:abstractNum w:abstractNumId="2" w15:restartNumberingAfterBreak="0">
    <w:nsid w:val="10123AF7"/>
    <w:multiLevelType w:val="multilevel"/>
    <w:tmpl w:val="9022DE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4C4B03"/>
    <w:multiLevelType w:val="multilevel"/>
    <w:tmpl w:val="0F8C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D5212B"/>
    <w:multiLevelType w:val="multilevel"/>
    <w:tmpl w:val="37AAEF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0DF1C01"/>
    <w:multiLevelType w:val="multilevel"/>
    <w:tmpl w:val="0B5E58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A174C7E"/>
    <w:multiLevelType w:val="multilevel"/>
    <w:tmpl w:val="7F043A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BF869E1"/>
    <w:multiLevelType w:val="multilevel"/>
    <w:tmpl w:val="7794D9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70019F3"/>
    <w:multiLevelType w:val="hybridMultilevel"/>
    <w:tmpl w:val="E4DC46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789D5ED8"/>
    <w:multiLevelType w:val="multilevel"/>
    <w:tmpl w:val="84FE9466"/>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0" w15:restartNumberingAfterBreak="0">
    <w:nsid w:val="79074D6B"/>
    <w:multiLevelType w:val="multilevel"/>
    <w:tmpl w:val="B1824B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5"/>
  </w:num>
  <w:num w:numId="2">
    <w:abstractNumId w:val="4"/>
  </w:num>
  <w:num w:numId="3">
    <w:abstractNumId w:val="2"/>
  </w:num>
  <w:num w:numId="4">
    <w:abstractNumId w:val="7"/>
  </w:num>
  <w:num w:numId="5">
    <w:abstractNumId w:val="10"/>
  </w:num>
  <w:num w:numId="6">
    <w:abstractNumId w:val="1"/>
  </w:num>
  <w:num w:numId="7">
    <w:abstractNumId w:val="9"/>
  </w:num>
  <w:num w:numId="8">
    <w:abstractNumId w:val="0"/>
  </w:num>
  <w:num w:numId="9">
    <w:abstractNumId w:val="6"/>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907"/>
    <w:rsid w:val="001266A6"/>
    <w:rsid w:val="001D4AD1"/>
    <w:rsid w:val="00227818"/>
    <w:rsid w:val="002C74DD"/>
    <w:rsid w:val="003B70AC"/>
    <w:rsid w:val="00447341"/>
    <w:rsid w:val="00564AFD"/>
    <w:rsid w:val="005A6B76"/>
    <w:rsid w:val="005A6FFD"/>
    <w:rsid w:val="00626FB4"/>
    <w:rsid w:val="006C00B4"/>
    <w:rsid w:val="006E2E6B"/>
    <w:rsid w:val="007D6296"/>
    <w:rsid w:val="007D7F35"/>
    <w:rsid w:val="00830819"/>
    <w:rsid w:val="008D20AE"/>
    <w:rsid w:val="008E7FB2"/>
    <w:rsid w:val="00922C29"/>
    <w:rsid w:val="00980CD3"/>
    <w:rsid w:val="009C2FDA"/>
    <w:rsid w:val="00A1252C"/>
    <w:rsid w:val="00A570B5"/>
    <w:rsid w:val="00AE6EF4"/>
    <w:rsid w:val="00AF0E7D"/>
    <w:rsid w:val="00B032BD"/>
    <w:rsid w:val="00BA234A"/>
    <w:rsid w:val="00C70513"/>
    <w:rsid w:val="00C756F8"/>
    <w:rsid w:val="00CA1064"/>
    <w:rsid w:val="00D7772F"/>
    <w:rsid w:val="00D81C84"/>
    <w:rsid w:val="00E42907"/>
    <w:rsid w:val="00E56EA5"/>
    <w:rsid w:val="00E71E86"/>
    <w:rsid w:val="00EC1A2B"/>
    <w:rsid w:val="00F07F56"/>
    <w:rsid w:val="00F777C6"/>
    <w:rsid w:val="00F77D9F"/>
    <w:rsid w:val="00FC63FF"/>
    <w:rsid w:val="00FE7BE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078598"/>
  <w15:docId w15:val="{A4204622-18A6-6345-9C29-E9A21FF71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MX"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unhideWhenUsed/>
    <w:qFormat/>
    <w:pPr>
      <w:keepNext/>
      <w:keepLines/>
      <w:spacing w:before="360" w:after="80"/>
      <w:outlineLvl w:val="1"/>
    </w:pPr>
    <w:rPr>
      <w:b/>
      <w:bCs/>
      <w:sz w:val="36"/>
      <w:szCs w:val="36"/>
    </w:rPr>
  </w:style>
  <w:style w:type="paragraph" w:styleId="Ttulo3">
    <w:name w:val="heading 3"/>
    <w:basedOn w:val="Normal"/>
    <w:next w:val="Normal"/>
    <w:uiPriority w:val="9"/>
    <w:unhideWhenUsed/>
    <w:qFormat/>
    <w:pPr>
      <w:spacing w:line="240" w:lineRule="auto"/>
      <w:outlineLvl w:val="2"/>
    </w:pPr>
    <w:rPr>
      <w:rFonts w:ascii="Times New Roman" w:eastAsia="Times New Roman" w:hAnsi="Times New Roman" w:cs="Times New Roman"/>
      <w:b/>
      <w:bCs/>
      <w:sz w:val="27"/>
      <w:szCs w:val="27"/>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Encabezado">
    <w:name w:val="header"/>
    <w:basedOn w:val="Normal"/>
    <w:link w:val="EncabezadoCar"/>
    <w:uiPriority w:val="99"/>
    <w:unhideWhenUsed/>
    <w:rsid w:val="00F07F5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07F56"/>
  </w:style>
  <w:style w:type="paragraph" w:styleId="Piedepgina">
    <w:name w:val="footer"/>
    <w:basedOn w:val="Normal"/>
    <w:link w:val="PiedepginaCar"/>
    <w:uiPriority w:val="99"/>
    <w:unhideWhenUsed/>
    <w:rsid w:val="00F07F5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07F56"/>
  </w:style>
  <w:style w:type="paragraph" w:styleId="NormalWeb">
    <w:name w:val="Normal (Web)"/>
    <w:basedOn w:val="Normal"/>
    <w:uiPriority w:val="99"/>
    <w:unhideWhenUsed/>
    <w:rsid w:val="00F07F56"/>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F07F56"/>
    <w:pPr>
      <w:ind w:left="720"/>
      <w:contextualSpacing/>
    </w:pPr>
  </w:style>
  <w:style w:type="character" w:styleId="Hipervnculo">
    <w:name w:val="Hyperlink"/>
    <w:basedOn w:val="Fuentedeprrafopredeter"/>
    <w:uiPriority w:val="99"/>
    <w:unhideWhenUsed/>
    <w:rsid w:val="00626FB4"/>
    <w:rPr>
      <w:color w:val="0000FF" w:themeColor="hyperlink"/>
      <w:u w:val="single"/>
    </w:rPr>
  </w:style>
  <w:style w:type="character" w:styleId="Mencinsinresolver">
    <w:name w:val="Unresolved Mention"/>
    <w:basedOn w:val="Fuentedeprrafopredeter"/>
    <w:uiPriority w:val="99"/>
    <w:semiHidden/>
    <w:unhideWhenUsed/>
    <w:rsid w:val="00626FB4"/>
    <w:rPr>
      <w:color w:val="605E5C"/>
      <w:shd w:val="clear" w:color="auto" w:fill="E1DFDD"/>
    </w:rPr>
  </w:style>
  <w:style w:type="character" w:styleId="Textoennegrita">
    <w:name w:val="Strong"/>
    <w:basedOn w:val="Fuentedeprrafopredeter"/>
    <w:uiPriority w:val="22"/>
    <w:qFormat/>
    <w:rsid w:val="00E56EA5"/>
    <w:rPr>
      <w:b/>
      <w:bCs/>
    </w:rPr>
  </w:style>
  <w:style w:type="paragraph" w:customStyle="1" w:styleId="isselectedend">
    <w:name w:val="isselectedend"/>
    <w:basedOn w:val="Normal"/>
    <w:rsid w:val="00C70513"/>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22805">
      <w:bodyDiv w:val="1"/>
      <w:marLeft w:val="0"/>
      <w:marRight w:val="0"/>
      <w:marTop w:val="0"/>
      <w:marBottom w:val="0"/>
      <w:divBdr>
        <w:top w:val="none" w:sz="0" w:space="0" w:color="auto"/>
        <w:left w:val="none" w:sz="0" w:space="0" w:color="auto"/>
        <w:bottom w:val="none" w:sz="0" w:space="0" w:color="auto"/>
        <w:right w:val="none" w:sz="0" w:space="0" w:color="auto"/>
      </w:divBdr>
    </w:div>
    <w:div w:id="662860001">
      <w:bodyDiv w:val="1"/>
      <w:marLeft w:val="0"/>
      <w:marRight w:val="0"/>
      <w:marTop w:val="0"/>
      <w:marBottom w:val="0"/>
      <w:divBdr>
        <w:top w:val="none" w:sz="0" w:space="0" w:color="auto"/>
        <w:left w:val="none" w:sz="0" w:space="0" w:color="auto"/>
        <w:bottom w:val="none" w:sz="0" w:space="0" w:color="auto"/>
        <w:right w:val="none" w:sz="0" w:space="0" w:color="auto"/>
      </w:divBdr>
    </w:div>
    <w:div w:id="974876472">
      <w:bodyDiv w:val="1"/>
      <w:marLeft w:val="0"/>
      <w:marRight w:val="0"/>
      <w:marTop w:val="0"/>
      <w:marBottom w:val="0"/>
      <w:divBdr>
        <w:top w:val="none" w:sz="0" w:space="0" w:color="auto"/>
        <w:left w:val="none" w:sz="0" w:space="0" w:color="auto"/>
        <w:bottom w:val="none" w:sz="0" w:space="0" w:color="auto"/>
        <w:right w:val="none" w:sz="0" w:space="0" w:color="auto"/>
      </w:divBdr>
    </w:div>
    <w:div w:id="1246960730">
      <w:bodyDiv w:val="1"/>
      <w:marLeft w:val="0"/>
      <w:marRight w:val="0"/>
      <w:marTop w:val="0"/>
      <w:marBottom w:val="0"/>
      <w:divBdr>
        <w:top w:val="none" w:sz="0" w:space="0" w:color="auto"/>
        <w:left w:val="none" w:sz="0" w:space="0" w:color="auto"/>
        <w:bottom w:val="none" w:sz="0" w:space="0" w:color="auto"/>
        <w:right w:val="none" w:sz="0" w:space="0" w:color="auto"/>
      </w:divBdr>
    </w:div>
    <w:div w:id="1328243354">
      <w:bodyDiv w:val="1"/>
      <w:marLeft w:val="0"/>
      <w:marRight w:val="0"/>
      <w:marTop w:val="0"/>
      <w:marBottom w:val="0"/>
      <w:divBdr>
        <w:top w:val="none" w:sz="0" w:space="0" w:color="auto"/>
        <w:left w:val="none" w:sz="0" w:space="0" w:color="auto"/>
        <w:bottom w:val="none" w:sz="0" w:space="0" w:color="auto"/>
        <w:right w:val="none" w:sz="0" w:space="0" w:color="auto"/>
      </w:divBdr>
    </w:div>
    <w:div w:id="1345748844">
      <w:bodyDiv w:val="1"/>
      <w:marLeft w:val="0"/>
      <w:marRight w:val="0"/>
      <w:marTop w:val="0"/>
      <w:marBottom w:val="0"/>
      <w:divBdr>
        <w:top w:val="none" w:sz="0" w:space="0" w:color="auto"/>
        <w:left w:val="none" w:sz="0" w:space="0" w:color="auto"/>
        <w:bottom w:val="none" w:sz="0" w:space="0" w:color="auto"/>
        <w:right w:val="none" w:sz="0" w:space="0" w:color="auto"/>
      </w:divBdr>
    </w:div>
    <w:div w:id="2022004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dadep.gov.co/noticias/bogota-rechaza-actos-de-vandalismo-que-afectaron-el-mobiliario-publico-en-marcha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olicia.gov.co/noticia/cayeron-los-ppp-responsables-16-actos-violentos-en-bogota?utm_source=chatgpt.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noticiascaracol.com/colombia/bogota/actos-vandalicos-de-encapuchados-durante-marchas-del-1-de-mayo-en-bogota-rg10?utm_source=chatgpt.com" TargetMode="External"/><Relationship Id="rId4" Type="http://schemas.openxmlformats.org/officeDocument/2006/relationships/styles" Target="styles.xml"/><Relationship Id="rId9" Type="http://schemas.openxmlformats.org/officeDocument/2006/relationships/hyperlink" Target="https://www.policia.gov.co/noticia/van-185-capturas-por-hechos-vandalicos-delictivos-los-ultimos-dias?utm_source=chatgpt.com"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FfVevBhNooSYpqfYqfLM19O/9Q==">CgMxLjAaHgoBMBIZChcICVITChF0YWJsZS5rb3gzdWpqNGt1YxofCgExEhoKGAgJUhQKEnRhYmxlLnRlaTZqbzhhOGFpbhofCgEyEhoKGAgJUhQKEnRhYmxlLjU5ZGJtOTU0MmVtMzIOaC42cXpwYWJsZjdsbWUyDmgucnd1NXc5Y3I2ODBxMg5oLno2MTBubmlobDN3NzIOaC5teDZhbno0a3hxOWIyDmguM2F3bWQ0dXEzczFlOAByITFsSnNYdW1xNmRkU0xPaVRaUklpdEIxUTZEeWRIb0dCc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B6E1F70-F133-44A6-8EE6-EBABB9CF0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8336</Words>
  <Characters>45854</Characters>
  <Application>Microsoft Office Word</Application>
  <DocSecurity>0</DocSecurity>
  <Lines>382</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Samira Gomez Ojeda</dc:creator>
  <cp:lastModifiedBy>Jaime Ignacio Arizabaleta Fajardo</cp:lastModifiedBy>
  <cp:revision>2</cp:revision>
  <cp:lastPrinted>2026-09-23T19:45:00Z</cp:lastPrinted>
  <dcterms:created xsi:type="dcterms:W3CDTF">2026-09-23T20:11:00Z</dcterms:created>
  <dcterms:modified xsi:type="dcterms:W3CDTF">2026-09-23T20:11:00Z</dcterms:modified>
</cp:coreProperties>
</file>