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1F8E6" w14:textId="77777777" w:rsidR="00887A5A" w:rsidRDefault="00887A5A" w:rsidP="00F46FB9">
      <w:pPr>
        <w:spacing w:after="360"/>
        <w:jc w:val="both"/>
        <w:rPr>
          <w:rFonts w:ascii="Arial" w:hAnsi="Arial" w:cs="Arial"/>
          <w:color w:val="000000" w:themeColor="text1"/>
        </w:rPr>
      </w:pPr>
    </w:p>
    <w:p w14:paraId="65111594" w14:textId="0D1A5F98" w:rsidR="004F7CD0" w:rsidRPr="00342443" w:rsidRDefault="00EC7642" w:rsidP="00F46FB9">
      <w:pPr>
        <w:spacing w:after="360"/>
        <w:jc w:val="both"/>
        <w:rPr>
          <w:rFonts w:ascii="Arial" w:hAnsi="Arial" w:cs="Arial"/>
          <w:color w:val="000000" w:themeColor="text1"/>
        </w:rPr>
      </w:pPr>
      <w:r w:rsidRPr="00342443">
        <w:rPr>
          <w:rFonts w:ascii="Arial" w:hAnsi="Arial" w:cs="Arial"/>
          <w:color w:val="000000" w:themeColor="text1"/>
        </w:rPr>
        <w:t>Bogotá D.C., 22</w:t>
      </w:r>
      <w:r w:rsidR="00974B3E" w:rsidRPr="00342443">
        <w:rPr>
          <w:rFonts w:ascii="Arial" w:hAnsi="Arial" w:cs="Arial"/>
          <w:color w:val="000000" w:themeColor="text1"/>
        </w:rPr>
        <w:t xml:space="preserve"> de septiembre de 2026.</w:t>
      </w:r>
    </w:p>
    <w:p w14:paraId="7234AEA0" w14:textId="77777777" w:rsidR="00887A5A" w:rsidRDefault="00887A5A" w:rsidP="00F46FB9">
      <w:pPr>
        <w:spacing w:after="40"/>
        <w:jc w:val="both"/>
        <w:rPr>
          <w:rFonts w:ascii="Arial" w:hAnsi="Arial" w:cs="Arial"/>
          <w:color w:val="000000" w:themeColor="text1"/>
        </w:rPr>
      </w:pPr>
    </w:p>
    <w:p w14:paraId="5B75BD35" w14:textId="5D466F9C" w:rsidR="004F7CD0" w:rsidRPr="00342443" w:rsidRDefault="00974B3E" w:rsidP="00F46FB9">
      <w:pPr>
        <w:spacing w:after="40"/>
        <w:jc w:val="both"/>
        <w:rPr>
          <w:rFonts w:ascii="Arial" w:hAnsi="Arial" w:cs="Arial"/>
          <w:color w:val="000000" w:themeColor="text1"/>
        </w:rPr>
      </w:pPr>
      <w:r w:rsidRPr="00342443">
        <w:rPr>
          <w:rFonts w:ascii="Arial" w:hAnsi="Arial" w:cs="Arial"/>
          <w:color w:val="000000" w:themeColor="text1"/>
        </w:rPr>
        <w:t>Honorable Representante</w:t>
      </w:r>
    </w:p>
    <w:p w14:paraId="4EE8906A" w14:textId="77777777" w:rsidR="004F7CD0" w:rsidRPr="00342443" w:rsidRDefault="00974B3E" w:rsidP="00F46FB9">
      <w:pPr>
        <w:spacing w:after="40"/>
        <w:jc w:val="both"/>
        <w:rPr>
          <w:rFonts w:ascii="Arial" w:hAnsi="Arial" w:cs="Arial"/>
          <w:color w:val="000000" w:themeColor="text1"/>
        </w:rPr>
      </w:pPr>
      <w:r w:rsidRPr="00342443">
        <w:rPr>
          <w:rFonts w:ascii="Arial" w:hAnsi="Arial" w:cs="Arial"/>
          <w:b/>
          <w:bCs/>
          <w:color w:val="000000" w:themeColor="text1"/>
        </w:rPr>
        <w:t>JOSÉ JAIME USCÁTEGUI PASTRANA</w:t>
      </w:r>
    </w:p>
    <w:p w14:paraId="4AF91D81" w14:textId="77777777" w:rsidR="004F7CD0" w:rsidRPr="00342443" w:rsidRDefault="00974B3E" w:rsidP="00F46FB9">
      <w:pPr>
        <w:spacing w:after="40"/>
        <w:jc w:val="both"/>
        <w:rPr>
          <w:rFonts w:ascii="Arial" w:hAnsi="Arial" w:cs="Arial"/>
          <w:color w:val="000000" w:themeColor="text1"/>
        </w:rPr>
      </w:pPr>
      <w:r w:rsidRPr="00342443">
        <w:rPr>
          <w:rFonts w:ascii="Arial" w:hAnsi="Arial" w:cs="Arial"/>
          <w:color w:val="000000" w:themeColor="text1"/>
        </w:rPr>
        <w:t>Presidente Comisión Primera Constitucional Permanente</w:t>
      </w:r>
    </w:p>
    <w:p w14:paraId="29E0ACB7" w14:textId="7F78E93D" w:rsidR="00EC7642" w:rsidRPr="00342443" w:rsidRDefault="00FB7DDF" w:rsidP="00F46FB9">
      <w:pPr>
        <w:spacing w:after="360"/>
        <w:jc w:val="both"/>
        <w:rPr>
          <w:rFonts w:ascii="Arial" w:hAnsi="Arial" w:cs="Arial"/>
          <w:color w:val="000000" w:themeColor="text1"/>
        </w:rPr>
      </w:pPr>
      <w:r>
        <w:rPr>
          <w:rFonts w:ascii="Arial" w:hAnsi="Arial" w:cs="Arial"/>
          <w:color w:val="000000" w:themeColor="text1"/>
        </w:rPr>
        <w:t xml:space="preserve">H. </w:t>
      </w:r>
      <w:r w:rsidR="00974B3E" w:rsidRPr="00342443">
        <w:rPr>
          <w:rFonts w:ascii="Arial" w:hAnsi="Arial" w:cs="Arial"/>
          <w:color w:val="000000" w:themeColor="text1"/>
        </w:rPr>
        <w:t>Cámara de Representantes</w:t>
      </w:r>
      <w:r w:rsidR="00EC7642" w:rsidRPr="00342443">
        <w:rPr>
          <w:rFonts w:ascii="Arial" w:hAnsi="Arial" w:cs="Arial"/>
          <w:color w:val="000000" w:themeColor="text1"/>
        </w:rPr>
        <w:t>.</w:t>
      </w:r>
    </w:p>
    <w:p w14:paraId="2B4EBFC6"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b/>
          <w:bCs/>
          <w:color w:val="000000" w:themeColor="text1"/>
        </w:rPr>
        <w:t>Referencia: Informe de Ponencia</w:t>
      </w:r>
      <w:r w:rsidR="00B51132" w:rsidRPr="00342443">
        <w:rPr>
          <w:rFonts w:ascii="Arial" w:hAnsi="Arial" w:cs="Arial"/>
          <w:b/>
          <w:bCs/>
          <w:color w:val="000000" w:themeColor="text1"/>
        </w:rPr>
        <w:t xml:space="preserve"> Positiva</w:t>
      </w:r>
      <w:r w:rsidRPr="00342443">
        <w:rPr>
          <w:rFonts w:ascii="Arial" w:hAnsi="Arial" w:cs="Arial"/>
          <w:b/>
          <w:bCs/>
          <w:color w:val="000000" w:themeColor="text1"/>
        </w:rPr>
        <w:t xml:space="preserve"> para Primer Debate</w:t>
      </w:r>
      <w:r w:rsidR="00790D6E" w:rsidRPr="00342443">
        <w:rPr>
          <w:rFonts w:ascii="Arial" w:hAnsi="Arial" w:cs="Arial"/>
          <w:b/>
          <w:bCs/>
          <w:color w:val="000000" w:themeColor="text1"/>
        </w:rPr>
        <w:t xml:space="preserve"> (Primera Vuelta)</w:t>
      </w:r>
      <w:r w:rsidRPr="00342443">
        <w:rPr>
          <w:rFonts w:ascii="Arial" w:hAnsi="Arial" w:cs="Arial"/>
          <w:b/>
          <w:bCs/>
          <w:color w:val="000000" w:themeColor="text1"/>
        </w:rPr>
        <w:t xml:space="preserve"> al Proyecto de Acto Legislativo No. 244 de 2026 Cámara, “Por el cual se otorga la calidad de Distrito Especial del Conocimiento, la Sostenibilidad y la Innovación a la ciudad de Manizales y se dictan otras disposiciones”.</w:t>
      </w:r>
    </w:p>
    <w:p w14:paraId="6BF598F9"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Honorable Representante,</w:t>
      </w:r>
    </w:p>
    <w:p w14:paraId="47FA704F" w14:textId="77777777" w:rsidR="004F7CD0" w:rsidRPr="00342443" w:rsidRDefault="004F7CD0" w:rsidP="00F46FB9">
      <w:pPr>
        <w:spacing w:after="120"/>
        <w:jc w:val="both"/>
        <w:rPr>
          <w:rFonts w:ascii="Arial" w:hAnsi="Arial" w:cs="Arial"/>
          <w:color w:val="000000" w:themeColor="text1"/>
        </w:rPr>
      </w:pPr>
    </w:p>
    <w:p w14:paraId="6DB3573F"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 xml:space="preserve">De conformidad con la designación realizada por la Honorable Mesa Directiva de la Comisión Primera Constitucional Permanente de la Cámara de Representantes, y en cumplimiento de lo dispuesto en la Constitución Política y en la Ley 5ª de 1992, rindo Informe de PONENCIA POSITIVA para Primer Debate </w:t>
      </w:r>
      <w:r w:rsidR="009F4F17" w:rsidRPr="00342443">
        <w:rPr>
          <w:rFonts w:ascii="Arial" w:hAnsi="Arial" w:cs="Arial"/>
          <w:color w:val="000000" w:themeColor="text1"/>
        </w:rPr>
        <w:t xml:space="preserve">(Primera Vuelta) </w:t>
      </w:r>
      <w:r w:rsidR="00DE7877" w:rsidRPr="00342443">
        <w:rPr>
          <w:rFonts w:ascii="Arial" w:hAnsi="Arial" w:cs="Arial"/>
          <w:color w:val="000000" w:themeColor="text1"/>
        </w:rPr>
        <w:t>al</w:t>
      </w:r>
      <w:r w:rsidRPr="00342443">
        <w:rPr>
          <w:rFonts w:ascii="Arial" w:hAnsi="Arial" w:cs="Arial"/>
          <w:color w:val="000000" w:themeColor="text1"/>
        </w:rPr>
        <w:t xml:space="preserve"> Proyecto de Acto Leg</w:t>
      </w:r>
      <w:r w:rsidR="00DE7877" w:rsidRPr="00342443">
        <w:rPr>
          <w:rFonts w:ascii="Arial" w:hAnsi="Arial" w:cs="Arial"/>
          <w:color w:val="000000" w:themeColor="text1"/>
        </w:rPr>
        <w:t>islativo No. 244 de 2026 Cámara</w:t>
      </w:r>
      <w:r w:rsidRPr="00342443">
        <w:rPr>
          <w:rFonts w:ascii="Arial" w:hAnsi="Arial" w:cs="Arial"/>
          <w:color w:val="000000" w:themeColor="text1"/>
        </w:rPr>
        <w:t xml:space="preserve"> “Por el cual se otorga la calidad de Distrito Especial del Conocimiento, la Sostenibilidad y la Innovación a la ciudad de Manizales y se dictan otras disposiciones”.</w:t>
      </w:r>
    </w:p>
    <w:p w14:paraId="1426EFD8" w14:textId="77777777" w:rsidR="009354DB" w:rsidRDefault="009354DB" w:rsidP="00F46FB9">
      <w:pPr>
        <w:spacing w:after="120" w:line="276" w:lineRule="auto"/>
        <w:jc w:val="both"/>
        <w:rPr>
          <w:rFonts w:ascii="Arial" w:hAnsi="Arial" w:cs="Arial"/>
          <w:color w:val="000000" w:themeColor="text1"/>
        </w:rPr>
      </w:pPr>
    </w:p>
    <w:p w14:paraId="34CBF0EF"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Atentamente,</w:t>
      </w:r>
    </w:p>
    <w:p w14:paraId="0EE6D4E6" w14:textId="77777777" w:rsidR="004F7CD0" w:rsidRDefault="004F7CD0" w:rsidP="00F46FB9">
      <w:pPr>
        <w:spacing w:after="480"/>
        <w:jc w:val="both"/>
        <w:rPr>
          <w:rFonts w:ascii="Arial" w:hAnsi="Arial" w:cs="Arial"/>
          <w:color w:val="000000" w:themeColor="text1"/>
        </w:rPr>
      </w:pPr>
    </w:p>
    <w:p w14:paraId="48822763" w14:textId="77777777" w:rsidR="009354DB" w:rsidRPr="00342443" w:rsidRDefault="009354DB" w:rsidP="00F46FB9">
      <w:pPr>
        <w:spacing w:after="480"/>
        <w:jc w:val="both"/>
        <w:rPr>
          <w:rFonts w:ascii="Arial" w:hAnsi="Arial" w:cs="Arial"/>
          <w:color w:val="000000" w:themeColor="text1"/>
        </w:rPr>
      </w:pPr>
    </w:p>
    <w:p w14:paraId="442DE4C5" w14:textId="2F3F5A0B" w:rsidR="004F7CD0" w:rsidRPr="00342443" w:rsidRDefault="00974B3E" w:rsidP="00AB52BA">
      <w:pPr>
        <w:spacing w:after="0"/>
        <w:jc w:val="center"/>
        <w:rPr>
          <w:rFonts w:ascii="Arial" w:hAnsi="Arial" w:cs="Arial"/>
          <w:color w:val="000000" w:themeColor="text1"/>
        </w:rPr>
      </w:pPr>
      <w:r w:rsidRPr="00342443">
        <w:rPr>
          <w:rFonts w:ascii="Arial" w:hAnsi="Arial" w:cs="Arial"/>
          <w:b/>
          <w:bCs/>
          <w:color w:val="000000" w:themeColor="text1"/>
        </w:rPr>
        <w:t>MANUEL</w:t>
      </w:r>
      <w:r w:rsidR="00887A5A">
        <w:rPr>
          <w:rFonts w:ascii="Arial" w:hAnsi="Arial" w:cs="Arial"/>
          <w:b/>
          <w:bCs/>
          <w:color w:val="000000" w:themeColor="text1"/>
        </w:rPr>
        <w:t xml:space="preserve"> ORLANDO CORREA BEDOYA.</w:t>
      </w:r>
    </w:p>
    <w:p w14:paraId="2FAE314F" w14:textId="77777777" w:rsidR="004F7CD0" w:rsidRPr="00342443" w:rsidRDefault="00974B3E" w:rsidP="00AB52BA">
      <w:pPr>
        <w:spacing w:after="0"/>
        <w:jc w:val="center"/>
        <w:rPr>
          <w:rFonts w:ascii="Arial" w:hAnsi="Arial" w:cs="Arial"/>
          <w:color w:val="000000" w:themeColor="text1"/>
        </w:rPr>
      </w:pPr>
      <w:r w:rsidRPr="00342443">
        <w:rPr>
          <w:rFonts w:ascii="Arial" w:hAnsi="Arial" w:cs="Arial"/>
          <w:color w:val="000000" w:themeColor="text1"/>
        </w:rPr>
        <w:t>Representante a la Cámara por el Departamento de Caldas</w:t>
      </w:r>
    </w:p>
    <w:p w14:paraId="48A67213" w14:textId="77777777" w:rsidR="004F7CD0" w:rsidRPr="00342443" w:rsidRDefault="00974B3E" w:rsidP="00AB52BA">
      <w:pPr>
        <w:spacing w:after="0"/>
        <w:jc w:val="center"/>
        <w:rPr>
          <w:rFonts w:ascii="Arial" w:hAnsi="Arial" w:cs="Arial"/>
          <w:color w:val="000000" w:themeColor="text1"/>
        </w:rPr>
      </w:pPr>
      <w:r w:rsidRPr="00342443">
        <w:rPr>
          <w:rFonts w:ascii="Arial" w:hAnsi="Arial" w:cs="Arial"/>
          <w:color w:val="000000" w:themeColor="text1"/>
        </w:rPr>
        <w:t>Ponente Único</w:t>
      </w:r>
    </w:p>
    <w:p w14:paraId="34731C98" w14:textId="77777777" w:rsidR="004F7CD0" w:rsidRPr="00342443" w:rsidRDefault="00974B3E" w:rsidP="00F46FB9">
      <w:pPr>
        <w:jc w:val="both"/>
        <w:rPr>
          <w:rFonts w:ascii="Arial" w:hAnsi="Arial" w:cs="Arial"/>
          <w:color w:val="000000" w:themeColor="text1"/>
        </w:rPr>
      </w:pPr>
      <w:r w:rsidRPr="00342443">
        <w:rPr>
          <w:rFonts w:ascii="Arial" w:hAnsi="Arial" w:cs="Arial"/>
          <w:color w:val="000000" w:themeColor="text1"/>
        </w:rPr>
        <w:br w:type="page"/>
      </w:r>
    </w:p>
    <w:p w14:paraId="39CF7EB3" w14:textId="77777777" w:rsidR="00447268" w:rsidRDefault="00447268" w:rsidP="00F46FB9">
      <w:pPr>
        <w:spacing w:after="80"/>
        <w:jc w:val="both"/>
        <w:rPr>
          <w:rFonts w:ascii="Arial" w:hAnsi="Arial" w:cs="Arial"/>
          <w:b/>
          <w:bCs/>
          <w:color w:val="000000" w:themeColor="text1"/>
        </w:rPr>
      </w:pPr>
    </w:p>
    <w:p w14:paraId="3F1CB6F4" w14:textId="5BE6A186" w:rsidR="004F7CD0" w:rsidRPr="00342443" w:rsidRDefault="00974B3E" w:rsidP="00F46FB9">
      <w:pPr>
        <w:spacing w:after="80"/>
        <w:jc w:val="both"/>
        <w:rPr>
          <w:rFonts w:ascii="Arial" w:hAnsi="Arial" w:cs="Arial"/>
          <w:i/>
          <w:iCs/>
          <w:color w:val="000000" w:themeColor="text1"/>
        </w:rPr>
      </w:pPr>
      <w:r w:rsidRPr="00342443">
        <w:rPr>
          <w:rFonts w:ascii="Arial" w:hAnsi="Arial" w:cs="Arial"/>
          <w:b/>
          <w:bCs/>
          <w:color w:val="000000" w:themeColor="text1"/>
        </w:rPr>
        <w:t>INFORME DE PONENCIA PARA PRIMER DEBATE AL</w:t>
      </w:r>
      <w:r w:rsidR="00F46FB9" w:rsidRPr="00342443">
        <w:rPr>
          <w:rFonts w:ascii="Arial" w:hAnsi="Arial" w:cs="Arial"/>
          <w:color w:val="000000" w:themeColor="text1"/>
        </w:rPr>
        <w:t xml:space="preserve"> </w:t>
      </w:r>
      <w:r w:rsidRPr="00342443">
        <w:rPr>
          <w:rFonts w:ascii="Arial" w:hAnsi="Arial" w:cs="Arial"/>
          <w:b/>
          <w:bCs/>
          <w:color w:val="000000" w:themeColor="text1"/>
        </w:rPr>
        <w:t>PROYECTO DE ACTO LEGISLATIVO No. 244 DE 2026 CÁMARA</w:t>
      </w:r>
      <w:r w:rsidR="00F46FB9" w:rsidRPr="00342443">
        <w:rPr>
          <w:rFonts w:ascii="Arial" w:hAnsi="Arial" w:cs="Arial"/>
          <w:color w:val="000000" w:themeColor="text1"/>
        </w:rPr>
        <w:t xml:space="preserve"> </w:t>
      </w:r>
      <w:r w:rsidRPr="00342443">
        <w:rPr>
          <w:rFonts w:ascii="Arial" w:hAnsi="Arial" w:cs="Arial"/>
          <w:i/>
          <w:iCs/>
          <w:color w:val="000000" w:themeColor="text1"/>
        </w:rPr>
        <w:t>“Por el cual se otorga la calidad de Distrito Especial del Conocimiento, la Sostenibilidad y la Innovación a la ciudad de Manizales y se dictan otras disposiciones”</w:t>
      </w:r>
      <w:r w:rsidR="00F46FB9" w:rsidRPr="00342443">
        <w:rPr>
          <w:rFonts w:ascii="Arial" w:hAnsi="Arial" w:cs="Arial"/>
          <w:i/>
          <w:iCs/>
          <w:color w:val="000000" w:themeColor="text1"/>
        </w:rPr>
        <w:t>.</w:t>
      </w:r>
    </w:p>
    <w:p w14:paraId="4BA39046" w14:textId="77777777" w:rsidR="00F46FB9" w:rsidRPr="00342443" w:rsidRDefault="00F46FB9" w:rsidP="00F46FB9">
      <w:pPr>
        <w:spacing w:after="80"/>
        <w:jc w:val="both"/>
        <w:rPr>
          <w:rFonts w:ascii="Arial" w:hAnsi="Arial" w:cs="Arial"/>
          <w:color w:val="000000" w:themeColor="text1"/>
        </w:rPr>
      </w:pPr>
    </w:p>
    <w:tbl>
      <w:tblPr>
        <w:tblStyle w:val="Tablaconcuadrcula"/>
        <w:tblW w:w="0" w:type="auto"/>
        <w:tblLook w:val="04A0" w:firstRow="1" w:lastRow="0" w:firstColumn="1" w:lastColumn="0" w:noHBand="0" w:noVBand="1"/>
      </w:tblPr>
      <w:tblGrid>
        <w:gridCol w:w="2263"/>
        <w:gridCol w:w="7087"/>
      </w:tblGrid>
      <w:tr w:rsidR="00342443" w:rsidRPr="00342443" w14:paraId="2B609317" w14:textId="77777777" w:rsidTr="002966B5">
        <w:tc>
          <w:tcPr>
            <w:tcW w:w="2263" w:type="dxa"/>
          </w:tcPr>
          <w:p w14:paraId="5CE29AE7" w14:textId="77777777" w:rsidR="007F644F" w:rsidRPr="00342443" w:rsidRDefault="007F644F" w:rsidP="002966B5">
            <w:pPr>
              <w:spacing w:after="80"/>
              <w:jc w:val="center"/>
              <w:rPr>
                <w:rFonts w:ascii="Arial" w:hAnsi="Arial" w:cs="Arial"/>
                <w:b/>
                <w:color w:val="000000" w:themeColor="text1"/>
              </w:rPr>
            </w:pPr>
            <w:r w:rsidRPr="00342443">
              <w:rPr>
                <w:rFonts w:ascii="Arial" w:hAnsi="Arial" w:cs="Arial"/>
                <w:b/>
                <w:color w:val="000000" w:themeColor="text1"/>
              </w:rPr>
              <w:t>Número del Proyecto de Acto Legislativo</w:t>
            </w:r>
          </w:p>
        </w:tc>
        <w:tc>
          <w:tcPr>
            <w:tcW w:w="7087" w:type="dxa"/>
          </w:tcPr>
          <w:p w14:paraId="73B60D4E" w14:textId="77777777" w:rsidR="00447268" w:rsidRDefault="00447268" w:rsidP="002966B5">
            <w:pPr>
              <w:spacing w:after="80"/>
              <w:jc w:val="center"/>
              <w:rPr>
                <w:rFonts w:ascii="Arial" w:hAnsi="Arial" w:cs="Arial"/>
                <w:b/>
                <w:color w:val="000000" w:themeColor="text1"/>
              </w:rPr>
            </w:pPr>
          </w:p>
          <w:p w14:paraId="7C5D8913" w14:textId="683C7DE1" w:rsidR="007F644F" w:rsidRPr="00342443" w:rsidRDefault="007F644F" w:rsidP="002966B5">
            <w:pPr>
              <w:spacing w:after="80"/>
              <w:jc w:val="center"/>
              <w:rPr>
                <w:rFonts w:ascii="Arial" w:hAnsi="Arial" w:cs="Arial"/>
                <w:b/>
                <w:color w:val="000000" w:themeColor="text1"/>
              </w:rPr>
            </w:pPr>
            <w:r w:rsidRPr="00342443">
              <w:rPr>
                <w:rFonts w:ascii="Arial" w:hAnsi="Arial" w:cs="Arial"/>
                <w:b/>
                <w:color w:val="000000" w:themeColor="text1"/>
              </w:rPr>
              <w:t>244 de 2026</w:t>
            </w:r>
          </w:p>
        </w:tc>
      </w:tr>
      <w:tr w:rsidR="00342443" w:rsidRPr="00342443" w14:paraId="5A045C52" w14:textId="77777777" w:rsidTr="002966B5">
        <w:tc>
          <w:tcPr>
            <w:tcW w:w="2263" w:type="dxa"/>
          </w:tcPr>
          <w:p w14:paraId="12E4F7BF" w14:textId="77777777" w:rsidR="00447268" w:rsidRDefault="00447268" w:rsidP="002966B5">
            <w:pPr>
              <w:spacing w:after="80"/>
              <w:jc w:val="center"/>
              <w:rPr>
                <w:rFonts w:ascii="Arial" w:hAnsi="Arial" w:cs="Arial"/>
                <w:b/>
                <w:color w:val="000000" w:themeColor="text1"/>
              </w:rPr>
            </w:pPr>
          </w:p>
          <w:p w14:paraId="32F7B67E" w14:textId="2A29711C" w:rsidR="007F644F" w:rsidRPr="00342443" w:rsidRDefault="007F644F" w:rsidP="002966B5">
            <w:pPr>
              <w:spacing w:after="80"/>
              <w:jc w:val="center"/>
              <w:rPr>
                <w:rFonts w:ascii="Arial" w:hAnsi="Arial" w:cs="Arial"/>
                <w:b/>
                <w:color w:val="000000" w:themeColor="text1"/>
              </w:rPr>
            </w:pPr>
            <w:r w:rsidRPr="00342443">
              <w:rPr>
                <w:rFonts w:ascii="Arial" w:hAnsi="Arial" w:cs="Arial"/>
                <w:b/>
                <w:color w:val="000000" w:themeColor="text1"/>
              </w:rPr>
              <w:t>Título</w:t>
            </w:r>
          </w:p>
        </w:tc>
        <w:tc>
          <w:tcPr>
            <w:tcW w:w="7087" w:type="dxa"/>
          </w:tcPr>
          <w:p w14:paraId="6420D125" w14:textId="77777777" w:rsidR="007F644F" w:rsidRPr="00342443" w:rsidRDefault="007F644F" w:rsidP="00F46FB9">
            <w:pPr>
              <w:spacing w:after="80"/>
              <w:jc w:val="both"/>
              <w:rPr>
                <w:rFonts w:ascii="Arial" w:hAnsi="Arial" w:cs="Arial"/>
                <w:color w:val="000000" w:themeColor="text1"/>
              </w:rPr>
            </w:pPr>
            <w:r w:rsidRPr="00342443">
              <w:rPr>
                <w:rFonts w:ascii="Arial" w:hAnsi="Arial" w:cs="Arial"/>
                <w:iCs/>
                <w:color w:val="000000" w:themeColor="text1"/>
              </w:rPr>
              <w:t>“Por el cual se otorga la calidad de Distrito Especial del Conocimiento, la Sostenibilidad y la Innovación a la ciudad de Manizales y se dictan otras disposiciones”.</w:t>
            </w:r>
          </w:p>
        </w:tc>
      </w:tr>
      <w:tr w:rsidR="00342443" w:rsidRPr="00342443" w14:paraId="63D51240" w14:textId="77777777" w:rsidTr="002966B5">
        <w:tc>
          <w:tcPr>
            <w:tcW w:w="2263" w:type="dxa"/>
          </w:tcPr>
          <w:p w14:paraId="4549BFC6" w14:textId="77777777" w:rsidR="00447268" w:rsidRDefault="00447268" w:rsidP="002966B5">
            <w:pPr>
              <w:spacing w:after="80"/>
              <w:jc w:val="center"/>
              <w:rPr>
                <w:rFonts w:ascii="Arial" w:hAnsi="Arial" w:cs="Arial"/>
                <w:b/>
                <w:color w:val="000000" w:themeColor="text1"/>
              </w:rPr>
            </w:pPr>
          </w:p>
          <w:p w14:paraId="7456947F" w14:textId="7501132E" w:rsidR="007F644F" w:rsidRPr="00342443" w:rsidRDefault="00C302BC" w:rsidP="002966B5">
            <w:pPr>
              <w:spacing w:after="80"/>
              <w:jc w:val="center"/>
              <w:rPr>
                <w:rFonts w:ascii="Arial" w:hAnsi="Arial" w:cs="Arial"/>
                <w:b/>
                <w:color w:val="000000" w:themeColor="text1"/>
              </w:rPr>
            </w:pPr>
            <w:r w:rsidRPr="00342443">
              <w:rPr>
                <w:rFonts w:ascii="Arial" w:hAnsi="Arial" w:cs="Arial"/>
                <w:b/>
                <w:color w:val="000000" w:themeColor="text1"/>
              </w:rPr>
              <w:t>Autores.</w:t>
            </w:r>
          </w:p>
        </w:tc>
        <w:tc>
          <w:tcPr>
            <w:tcW w:w="7087" w:type="dxa"/>
          </w:tcPr>
          <w:p w14:paraId="388BBCC1" w14:textId="77777777" w:rsidR="007F644F" w:rsidRPr="00342443" w:rsidRDefault="00557A01" w:rsidP="00F46FB9">
            <w:pPr>
              <w:spacing w:after="80"/>
              <w:jc w:val="both"/>
              <w:rPr>
                <w:rFonts w:ascii="Arial" w:hAnsi="Arial" w:cs="Arial"/>
                <w:color w:val="000000" w:themeColor="text1"/>
              </w:rPr>
            </w:pPr>
            <w:r w:rsidRPr="00342443">
              <w:rPr>
                <w:rFonts w:ascii="Arial" w:hAnsi="Arial" w:cs="Arial"/>
                <w:color w:val="000000" w:themeColor="text1"/>
              </w:rPr>
              <w:t>Daniel Felipe Briceño Montes, David Gerardo Cote Rodríguez, Delcy Esperanza Isaza Buenaventura, Eimy Julieth Suarez González, Franklin Del Cristo Lozano De La Ossa, Germán Rogelio Rozo Anís, Guillermo León Blanco Valencia, Jaime Ignacio Arizabaleta Fajardo, Juan Manuel Londoño Jaramillo, Manuel Orlando Correa Bedoya, Oscar Fabian Espinosa Torres, Wilder Iberson Escobar Ortiz</w:t>
            </w:r>
            <w:r w:rsidR="00500AF9" w:rsidRPr="00342443">
              <w:rPr>
                <w:rFonts w:ascii="Arial" w:hAnsi="Arial" w:cs="Arial"/>
                <w:color w:val="000000" w:themeColor="text1"/>
              </w:rPr>
              <w:t>, Martha Isabel Ruiz Solera</w:t>
            </w:r>
            <w:r w:rsidR="00895E11" w:rsidRPr="00342443">
              <w:rPr>
                <w:rFonts w:ascii="Arial" w:hAnsi="Arial" w:cs="Arial"/>
                <w:color w:val="000000" w:themeColor="text1"/>
              </w:rPr>
              <w:t>, Andrés Felipe Guerra Hoyos</w:t>
            </w:r>
            <w:r w:rsidR="0037462C" w:rsidRPr="00342443">
              <w:rPr>
                <w:rFonts w:ascii="Arial" w:hAnsi="Arial" w:cs="Arial"/>
                <w:color w:val="000000" w:themeColor="text1"/>
              </w:rPr>
              <w:t>.</w:t>
            </w:r>
          </w:p>
        </w:tc>
      </w:tr>
      <w:tr w:rsidR="00342443" w:rsidRPr="00342443" w14:paraId="08AA762F" w14:textId="77777777" w:rsidTr="002966B5">
        <w:tc>
          <w:tcPr>
            <w:tcW w:w="2263" w:type="dxa"/>
          </w:tcPr>
          <w:p w14:paraId="002A0ECD" w14:textId="77777777" w:rsidR="007F644F" w:rsidRPr="00342443" w:rsidRDefault="0037462C" w:rsidP="002966B5">
            <w:pPr>
              <w:spacing w:after="80"/>
              <w:jc w:val="center"/>
              <w:rPr>
                <w:rFonts w:ascii="Arial" w:hAnsi="Arial" w:cs="Arial"/>
                <w:b/>
                <w:color w:val="000000" w:themeColor="text1"/>
              </w:rPr>
            </w:pPr>
            <w:r w:rsidRPr="00342443">
              <w:rPr>
                <w:rFonts w:ascii="Arial" w:hAnsi="Arial" w:cs="Arial"/>
                <w:b/>
                <w:color w:val="000000" w:themeColor="text1"/>
              </w:rPr>
              <w:t>Ponentes</w:t>
            </w:r>
          </w:p>
        </w:tc>
        <w:tc>
          <w:tcPr>
            <w:tcW w:w="7087" w:type="dxa"/>
          </w:tcPr>
          <w:p w14:paraId="68867103" w14:textId="77777777" w:rsidR="007F644F" w:rsidRPr="00342443" w:rsidRDefault="0037462C" w:rsidP="00F46FB9">
            <w:pPr>
              <w:spacing w:after="80"/>
              <w:jc w:val="both"/>
              <w:rPr>
                <w:rFonts w:ascii="Arial" w:hAnsi="Arial" w:cs="Arial"/>
                <w:color w:val="000000" w:themeColor="text1"/>
              </w:rPr>
            </w:pPr>
            <w:r w:rsidRPr="00342443">
              <w:rPr>
                <w:rFonts w:ascii="Arial" w:hAnsi="Arial" w:cs="Arial"/>
                <w:color w:val="000000" w:themeColor="text1"/>
              </w:rPr>
              <w:t>Honorable Representante Manuel Orlando Correa Bedoya</w:t>
            </w:r>
          </w:p>
        </w:tc>
      </w:tr>
      <w:tr w:rsidR="00342443" w:rsidRPr="00342443" w14:paraId="6F1E74B2" w14:textId="77777777" w:rsidTr="002966B5">
        <w:tc>
          <w:tcPr>
            <w:tcW w:w="2263" w:type="dxa"/>
          </w:tcPr>
          <w:p w14:paraId="0E848EC4" w14:textId="77777777" w:rsidR="007F644F" w:rsidRPr="00342443" w:rsidRDefault="0037462C" w:rsidP="002966B5">
            <w:pPr>
              <w:spacing w:after="80"/>
              <w:jc w:val="center"/>
              <w:rPr>
                <w:rFonts w:ascii="Arial" w:hAnsi="Arial" w:cs="Arial"/>
                <w:b/>
                <w:color w:val="000000" w:themeColor="text1"/>
              </w:rPr>
            </w:pPr>
            <w:r w:rsidRPr="00342443">
              <w:rPr>
                <w:rFonts w:ascii="Arial" w:hAnsi="Arial" w:cs="Arial"/>
                <w:b/>
                <w:color w:val="000000" w:themeColor="text1"/>
              </w:rPr>
              <w:t>Ponencia</w:t>
            </w:r>
          </w:p>
        </w:tc>
        <w:tc>
          <w:tcPr>
            <w:tcW w:w="7087" w:type="dxa"/>
          </w:tcPr>
          <w:p w14:paraId="0E65B6B2" w14:textId="77777777" w:rsidR="007F644F" w:rsidRPr="00342443" w:rsidRDefault="0037462C" w:rsidP="00F46FB9">
            <w:pPr>
              <w:spacing w:after="80"/>
              <w:jc w:val="both"/>
              <w:rPr>
                <w:rFonts w:ascii="Arial" w:hAnsi="Arial" w:cs="Arial"/>
                <w:color w:val="000000" w:themeColor="text1"/>
              </w:rPr>
            </w:pPr>
            <w:r w:rsidRPr="00342443">
              <w:rPr>
                <w:rFonts w:ascii="Arial" w:hAnsi="Arial" w:cs="Arial"/>
                <w:color w:val="000000" w:themeColor="text1"/>
              </w:rPr>
              <w:t>Positiva</w:t>
            </w:r>
          </w:p>
        </w:tc>
      </w:tr>
    </w:tbl>
    <w:p w14:paraId="7E6FCD0B" w14:textId="77777777" w:rsidR="007F644F" w:rsidRPr="00342443" w:rsidRDefault="007F644F" w:rsidP="00F46FB9">
      <w:pPr>
        <w:spacing w:after="80"/>
        <w:jc w:val="both"/>
        <w:rPr>
          <w:rFonts w:ascii="Arial" w:hAnsi="Arial" w:cs="Arial"/>
          <w:color w:val="000000" w:themeColor="text1"/>
        </w:rPr>
      </w:pPr>
    </w:p>
    <w:p w14:paraId="221A0CEB" w14:textId="77777777" w:rsidR="002966B5" w:rsidRPr="00342443" w:rsidRDefault="002966B5" w:rsidP="00F46FB9">
      <w:pPr>
        <w:spacing w:after="80"/>
        <w:jc w:val="both"/>
        <w:rPr>
          <w:rFonts w:ascii="Arial" w:hAnsi="Arial" w:cs="Arial"/>
          <w:color w:val="000000" w:themeColor="text1"/>
        </w:rPr>
      </w:pPr>
    </w:p>
    <w:p w14:paraId="5C6E58D4" w14:textId="77777777" w:rsidR="002966B5" w:rsidRPr="00342443" w:rsidRDefault="002966B5" w:rsidP="00F46FB9">
      <w:pPr>
        <w:spacing w:after="80"/>
        <w:jc w:val="both"/>
        <w:rPr>
          <w:rFonts w:ascii="Arial" w:hAnsi="Arial" w:cs="Arial"/>
          <w:color w:val="000000" w:themeColor="text1"/>
        </w:rPr>
      </w:pPr>
    </w:p>
    <w:p w14:paraId="1052A578" w14:textId="77777777" w:rsidR="002966B5" w:rsidRPr="00342443" w:rsidRDefault="002966B5" w:rsidP="00F46FB9">
      <w:pPr>
        <w:spacing w:after="80"/>
        <w:jc w:val="both"/>
        <w:rPr>
          <w:rFonts w:ascii="Arial" w:hAnsi="Arial" w:cs="Arial"/>
          <w:color w:val="000000" w:themeColor="text1"/>
        </w:rPr>
      </w:pPr>
    </w:p>
    <w:p w14:paraId="4DA2A803" w14:textId="77777777" w:rsidR="002966B5" w:rsidRPr="00342443" w:rsidRDefault="002966B5" w:rsidP="00F46FB9">
      <w:pPr>
        <w:spacing w:after="80"/>
        <w:jc w:val="both"/>
        <w:rPr>
          <w:rFonts w:ascii="Arial" w:hAnsi="Arial" w:cs="Arial"/>
          <w:color w:val="000000" w:themeColor="text1"/>
        </w:rPr>
      </w:pPr>
    </w:p>
    <w:p w14:paraId="74145680" w14:textId="77777777" w:rsidR="002966B5" w:rsidRPr="00342443" w:rsidRDefault="002966B5" w:rsidP="00F46FB9">
      <w:pPr>
        <w:spacing w:after="80"/>
        <w:jc w:val="both"/>
        <w:rPr>
          <w:rFonts w:ascii="Arial" w:hAnsi="Arial" w:cs="Arial"/>
          <w:color w:val="000000" w:themeColor="text1"/>
        </w:rPr>
      </w:pPr>
    </w:p>
    <w:p w14:paraId="4B475D6B" w14:textId="77777777" w:rsidR="002966B5" w:rsidRPr="00342443" w:rsidRDefault="002966B5" w:rsidP="00F46FB9">
      <w:pPr>
        <w:spacing w:after="80"/>
        <w:jc w:val="both"/>
        <w:rPr>
          <w:rFonts w:ascii="Arial" w:hAnsi="Arial" w:cs="Arial"/>
          <w:color w:val="000000" w:themeColor="text1"/>
        </w:rPr>
      </w:pPr>
    </w:p>
    <w:p w14:paraId="0BD7A186" w14:textId="77777777" w:rsidR="002966B5" w:rsidRPr="00342443" w:rsidRDefault="002966B5" w:rsidP="00F46FB9">
      <w:pPr>
        <w:spacing w:after="80"/>
        <w:jc w:val="both"/>
        <w:rPr>
          <w:rFonts w:ascii="Arial" w:hAnsi="Arial" w:cs="Arial"/>
          <w:color w:val="000000" w:themeColor="text1"/>
        </w:rPr>
      </w:pPr>
    </w:p>
    <w:p w14:paraId="6A5C4860" w14:textId="77777777" w:rsidR="002966B5" w:rsidRPr="00342443" w:rsidRDefault="002966B5" w:rsidP="00F46FB9">
      <w:pPr>
        <w:spacing w:after="80"/>
        <w:jc w:val="both"/>
        <w:rPr>
          <w:rFonts w:ascii="Arial" w:hAnsi="Arial" w:cs="Arial"/>
          <w:color w:val="000000" w:themeColor="text1"/>
        </w:rPr>
      </w:pPr>
    </w:p>
    <w:p w14:paraId="71517BA4" w14:textId="77777777" w:rsidR="002966B5" w:rsidRPr="00342443" w:rsidRDefault="002966B5" w:rsidP="00F46FB9">
      <w:pPr>
        <w:spacing w:after="80"/>
        <w:jc w:val="both"/>
        <w:rPr>
          <w:rFonts w:ascii="Arial" w:hAnsi="Arial" w:cs="Arial"/>
          <w:color w:val="000000" w:themeColor="text1"/>
        </w:rPr>
      </w:pPr>
    </w:p>
    <w:p w14:paraId="5E012A94" w14:textId="77777777" w:rsidR="002966B5" w:rsidRPr="00342443" w:rsidRDefault="002966B5" w:rsidP="00F46FB9">
      <w:pPr>
        <w:spacing w:after="80"/>
        <w:jc w:val="both"/>
        <w:rPr>
          <w:rFonts w:ascii="Arial" w:hAnsi="Arial" w:cs="Arial"/>
          <w:color w:val="000000" w:themeColor="text1"/>
        </w:rPr>
      </w:pPr>
    </w:p>
    <w:p w14:paraId="6DCB4E19" w14:textId="77777777" w:rsidR="002966B5" w:rsidRPr="00342443" w:rsidRDefault="002966B5" w:rsidP="00F46FB9">
      <w:pPr>
        <w:spacing w:after="80"/>
        <w:jc w:val="both"/>
        <w:rPr>
          <w:rFonts w:ascii="Arial" w:hAnsi="Arial" w:cs="Arial"/>
          <w:color w:val="000000" w:themeColor="text1"/>
        </w:rPr>
      </w:pPr>
    </w:p>
    <w:p w14:paraId="2B800939" w14:textId="77777777" w:rsidR="002966B5" w:rsidRPr="00342443" w:rsidRDefault="002966B5" w:rsidP="00F46FB9">
      <w:pPr>
        <w:spacing w:after="80"/>
        <w:jc w:val="both"/>
        <w:rPr>
          <w:rFonts w:ascii="Arial" w:hAnsi="Arial" w:cs="Arial"/>
          <w:color w:val="000000" w:themeColor="text1"/>
        </w:rPr>
      </w:pPr>
    </w:p>
    <w:p w14:paraId="69EE9829" w14:textId="77777777" w:rsidR="002966B5" w:rsidRPr="00342443" w:rsidRDefault="002966B5" w:rsidP="00F46FB9">
      <w:pPr>
        <w:spacing w:after="80"/>
        <w:jc w:val="both"/>
        <w:rPr>
          <w:rFonts w:ascii="Arial" w:hAnsi="Arial" w:cs="Arial"/>
          <w:color w:val="000000" w:themeColor="text1"/>
        </w:rPr>
      </w:pPr>
    </w:p>
    <w:sdt>
      <w:sdtPr>
        <w:rPr>
          <w:rFonts w:ascii="Arial" w:hAnsi="Arial" w:cs="Arial"/>
          <w:b w:val="0"/>
          <w:bCs w:val="0"/>
          <w:color w:val="000000" w:themeColor="text1"/>
          <w:sz w:val="24"/>
          <w:szCs w:val="24"/>
        </w:rPr>
        <w:id w:val="-444306789"/>
        <w:docPartObj>
          <w:docPartGallery w:val="Table of Contents"/>
          <w:docPartUnique/>
        </w:docPartObj>
      </w:sdtPr>
      <w:sdtEndPr/>
      <w:sdtContent>
        <w:p w14:paraId="34D8CE75" w14:textId="77777777" w:rsidR="00DE6BD4" w:rsidRDefault="00DE6BD4" w:rsidP="00DA5100">
          <w:pPr>
            <w:pStyle w:val="TtuloTDC"/>
            <w:jc w:val="both"/>
            <w:rPr>
              <w:rFonts w:ascii="Arial" w:hAnsi="Arial" w:cs="Arial"/>
              <w:b w:val="0"/>
              <w:bCs w:val="0"/>
              <w:color w:val="000000" w:themeColor="text1"/>
              <w:sz w:val="24"/>
              <w:szCs w:val="24"/>
            </w:rPr>
          </w:pPr>
        </w:p>
        <w:p w14:paraId="01504F8A" w14:textId="34E31D77" w:rsidR="002966B5" w:rsidRPr="00DA5100" w:rsidRDefault="00DE6BD4" w:rsidP="00DA5100">
          <w:pPr>
            <w:pStyle w:val="TtuloTDC"/>
            <w:jc w:val="both"/>
            <w:rPr>
              <w:rFonts w:ascii="Arial" w:hAnsi="Arial" w:cs="Arial"/>
              <w:color w:val="000000" w:themeColor="text1"/>
              <w:sz w:val="24"/>
              <w:szCs w:val="24"/>
            </w:rPr>
          </w:pPr>
          <w:r w:rsidRPr="00DA5100">
            <w:rPr>
              <w:rFonts w:ascii="Arial" w:hAnsi="Arial" w:cs="Arial"/>
              <w:color w:val="000000" w:themeColor="text1"/>
              <w:sz w:val="24"/>
              <w:szCs w:val="24"/>
            </w:rPr>
            <w:t>CONTENIDO</w:t>
          </w:r>
        </w:p>
        <w:p w14:paraId="0108112B" w14:textId="0B8FB35E" w:rsidR="00DA5100" w:rsidRPr="00DA5100" w:rsidRDefault="002966B5" w:rsidP="00DA5100">
          <w:pPr>
            <w:pStyle w:val="TDC2"/>
            <w:tabs>
              <w:tab w:val="right" w:leader="dot" w:pos="9350"/>
            </w:tabs>
            <w:jc w:val="both"/>
            <w:rPr>
              <w:rFonts w:ascii="Arial" w:eastAsiaTheme="minorEastAsia" w:hAnsi="Arial" w:cs="Arial"/>
              <w:noProof/>
              <w:sz w:val="22"/>
              <w:szCs w:val="22"/>
              <w:lang w:val="es-CO"/>
            </w:rPr>
          </w:pPr>
          <w:r w:rsidRPr="00DA5100">
            <w:rPr>
              <w:rFonts w:ascii="Arial" w:hAnsi="Arial" w:cs="Arial"/>
              <w:color w:val="000000" w:themeColor="text1"/>
            </w:rPr>
            <w:fldChar w:fldCharType="begin"/>
          </w:r>
          <w:r w:rsidRPr="00DA5100">
            <w:rPr>
              <w:rFonts w:ascii="Arial" w:hAnsi="Arial" w:cs="Arial"/>
              <w:color w:val="000000" w:themeColor="text1"/>
            </w:rPr>
            <w:instrText xml:space="preserve"> TOC \o "1-3" \h \z \u </w:instrText>
          </w:r>
          <w:r w:rsidRPr="00DA5100">
            <w:rPr>
              <w:rFonts w:ascii="Arial" w:hAnsi="Arial" w:cs="Arial"/>
              <w:color w:val="000000" w:themeColor="text1"/>
            </w:rPr>
            <w:fldChar w:fldCharType="separate"/>
          </w:r>
          <w:hyperlink w:anchor="_Toc240894025" w:history="1">
            <w:r w:rsidR="00DA5100" w:rsidRPr="00DA5100">
              <w:rPr>
                <w:rStyle w:val="Hipervnculo"/>
                <w:rFonts w:ascii="Arial" w:hAnsi="Arial" w:cs="Arial"/>
                <w:noProof/>
              </w:rPr>
              <w:t>I. OBJETO DEL PROYECTO</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_Toc240894025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4</w:t>
            </w:r>
            <w:r w:rsidR="00DA5100" w:rsidRPr="00DA5100">
              <w:rPr>
                <w:rFonts w:ascii="Arial" w:hAnsi="Arial" w:cs="Arial"/>
                <w:noProof/>
                <w:webHidden/>
              </w:rPr>
              <w:fldChar w:fldCharType="end"/>
            </w:r>
          </w:hyperlink>
        </w:p>
        <w:p w14:paraId="2D873C4C" w14:textId="04B97C6B" w:rsidR="00DA5100" w:rsidRPr="00DA5100" w:rsidRDefault="005D103B" w:rsidP="00DA5100">
          <w:pPr>
            <w:pStyle w:val="TDC2"/>
            <w:tabs>
              <w:tab w:val="right" w:leader="dot" w:pos="9350"/>
            </w:tabs>
            <w:jc w:val="both"/>
            <w:rPr>
              <w:rFonts w:ascii="Arial" w:eastAsiaTheme="minorEastAsia" w:hAnsi="Arial" w:cs="Arial"/>
              <w:noProof/>
              <w:sz w:val="22"/>
              <w:szCs w:val="22"/>
              <w:lang w:val="es-CO"/>
            </w:rPr>
          </w:pPr>
          <w:hyperlink w:anchor="_Toc240894026" w:history="1">
            <w:r w:rsidR="00DA5100" w:rsidRPr="00DA5100">
              <w:rPr>
                <w:rStyle w:val="Hipervnculo"/>
                <w:rFonts w:ascii="Arial" w:hAnsi="Arial" w:cs="Arial"/>
                <w:noProof/>
              </w:rPr>
              <w:t>II. ANTECEDENTES</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_Toc240894026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5</w:t>
            </w:r>
            <w:r w:rsidR="00DA5100" w:rsidRPr="00DA5100">
              <w:rPr>
                <w:rFonts w:ascii="Arial" w:hAnsi="Arial" w:cs="Arial"/>
                <w:noProof/>
                <w:webHidden/>
              </w:rPr>
              <w:fldChar w:fldCharType="end"/>
            </w:r>
          </w:hyperlink>
        </w:p>
        <w:p w14:paraId="3820EBE3" w14:textId="6410BF73" w:rsidR="00DA5100" w:rsidRPr="00DA5100" w:rsidRDefault="005D103B" w:rsidP="00DA5100">
          <w:pPr>
            <w:pStyle w:val="TDC3"/>
            <w:tabs>
              <w:tab w:val="right" w:leader="dot" w:pos="9350"/>
            </w:tabs>
            <w:jc w:val="both"/>
            <w:rPr>
              <w:rFonts w:ascii="Arial" w:eastAsiaTheme="minorEastAsia" w:hAnsi="Arial" w:cs="Arial"/>
              <w:noProof/>
              <w:sz w:val="22"/>
              <w:szCs w:val="22"/>
              <w:lang w:val="es-CO"/>
            </w:rPr>
          </w:pPr>
          <w:hyperlink w:anchor="_Toc240894027" w:history="1">
            <w:r w:rsidR="00DA5100" w:rsidRPr="00DA5100">
              <w:rPr>
                <w:rStyle w:val="Hipervnculo"/>
                <w:rFonts w:ascii="Arial" w:hAnsi="Arial" w:cs="Arial"/>
                <w:noProof/>
              </w:rPr>
              <w:t>2.1 Histórico de la iniciativa.</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_Toc240894027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5</w:t>
            </w:r>
            <w:r w:rsidR="00DA5100" w:rsidRPr="00DA5100">
              <w:rPr>
                <w:rFonts w:ascii="Arial" w:hAnsi="Arial" w:cs="Arial"/>
                <w:noProof/>
                <w:webHidden/>
              </w:rPr>
              <w:fldChar w:fldCharType="end"/>
            </w:r>
          </w:hyperlink>
        </w:p>
        <w:p w14:paraId="62063E77" w14:textId="5CB7C74B" w:rsidR="00DA5100" w:rsidRPr="00DA5100" w:rsidRDefault="005D103B" w:rsidP="00DA5100">
          <w:pPr>
            <w:pStyle w:val="TDC2"/>
            <w:tabs>
              <w:tab w:val="right" w:leader="dot" w:pos="9350"/>
            </w:tabs>
            <w:jc w:val="both"/>
            <w:rPr>
              <w:rFonts w:ascii="Arial" w:eastAsiaTheme="minorEastAsia" w:hAnsi="Arial" w:cs="Arial"/>
              <w:noProof/>
              <w:sz w:val="22"/>
              <w:szCs w:val="22"/>
              <w:lang w:val="es-CO"/>
            </w:rPr>
          </w:pPr>
          <w:hyperlink w:anchor="_Toc240894028" w:history="1">
            <w:r w:rsidR="00DA5100" w:rsidRPr="00DA5100">
              <w:rPr>
                <w:rStyle w:val="Hipervnculo"/>
                <w:rFonts w:ascii="Arial" w:hAnsi="Arial" w:cs="Arial"/>
                <w:noProof/>
              </w:rPr>
              <w:t>III. JUSTIFICACIÓN DEL PROYECTO</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_Toc240894028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6</w:t>
            </w:r>
            <w:r w:rsidR="00DA5100" w:rsidRPr="00DA5100">
              <w:rPr>
                <w:rFonts w:ascii="Arial" w:hAnsi="Arial" w:cs="Arial"/>
                <w:noProof/>
                <w:webHidden/>
              </w:rPr>
              <w:fldChar w:fldCharType="end"/>
            </w:r>
          </w:hyperlink>
        </w:p>
        <w:p w14:paraId="2497390B" w14:textId="78C43F6C" w:rsidR="00DA5100" w:rsidRPr="00DA5100" w:rsidRDefault="005D103B" w:rsidP="00DA5100">
          <w:pPr>
            <w:pStyle w:val="TDC3"/>
            <w:tabs>
              <w:tab w:val="right" w:leader="dot" w:pos="9350"/>
            </w:tabs>
            <w:jc w:val="both"/>
            <w:rPr>
              <w:rFonts w:ascii="Arial" w:eastAsiaTheme="minorEastAsia" w:hAnsi="Arial" w:cs="Arial"/>
              <w:noProof/>
              <w:sz w:val="22"/>
              <w:szCs w:val="22"/>
              <w:lang w:val="es-CO"/>
            </w:rPr>
          </w:pPr>
          <w:hyperlink w:anchor="_Toc240894029" w:history="1">
            <w:r w:rsidR="00DA5100" w:rsidRPr="00DA5100">
              <w:rPr>
                <w:rStyle w:val="Hipervnculo"/>
                <w:rFonts w:ascii="Arial" w:hAnsi="Arial" w:cs="Arial"/>
                <w:noProof/>
              </w:rPr>
              <w:t>3.1. Finalidad pública y fundamento constitucional</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_Toc240894029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7</w:t>
            </w:r>
            <w:r w:rsidR="00DA5100" w:rsidRPr="00DA5100">
              <w:rPr>
                <w:rFonts w:ascii="Arial" w:hAnsi="Arial" w:cs="Arial"/>
                <w:noProof/>
                <w:webHidden/>
              </w:rPr>
              <w:fldChar w:fldCharType="end"/>
            </w:r>
          </w:hyperlink>
        </w:p>
        <w:p w14:paraId="58741E5B" w14:textId="7C0889EF" w:rsidR="00DA5100" w:rsidRPr="00DA5100" w:rsidRDefault="005D103B" w:rsidP="00DA5100">
          <w:pPr>
            <w:pStyle w:val="TDC3"/>
            <w:tabs>
              <w:tab w:val="right" w:leader="dot" w:pos="9350"/>
            </w:tabs>
            <w:jc w:val="both"/>
            <w:rPr>
              <w:rFonts w:ascii="Arial" w:eastAsiaTheme="minorEastAsia" w:hAnsi="Arial" w:cs="Arial"/>
              <w:noProof/>
              <w:sz w:val="22"/>
              <w:szCs w:val="22"/>
              <w:lang w:val="es-CO"/>
            </w:rPr>
          </w:pPr>
          <w:hyperlink w:anchor="_Toc240894030" w:history="1">
            <w:r w:rsidR="00DA5100" w:rsidRPr="00DA5100">
              <w:rPr>
                <w:rStyle w:val="Hipervnculo"/>
                <w:rFonts w:ascii="Arial" w:hAnsi="Arial" w:cs="Arial"/>
                <w:noProof/>
              </w:rPr>
              <w:t>3.2. El ecosistema de conocimiento e innovación de Manizales y su área metropolitana</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_Toc240894030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8</w:t>
            </w:r>
            <w:r w:rsidR="00DA5100" w:rsidRPr="00DA5100">
              <w:rPr>
                <w:rFonts w:ascii="Arial" w:hAnsi="Arial" w:cs="Arial"/>
                <w:noProof/>
                <w:webHidden/>
              </w:rPr>
              <w:fldChar w:fldCharType="end"/>
            </w:r>
          </w:hyperlink>
        </w:p>
        <w:p w14:paraId="79BD6E35" w14:textId="2382A6E1" w:rsidR="00DA5100" w:rsidRPr="00DA5100" w:rsidRDefault="005D103B" w:rsidP="00DA5100">
          <w:pPr>
            <w:pStyle w:val="TDC3"/>
            <w:tabs>
              <w:tab w:val="right" w:leader="dot" w:pos="9350"/>
            </w:tabs>
            <w:jc w:val="both"/>
            <w:rPr>
              <w:rFonts w:ascii="Arial" w:eastAsiaTheme="minorEastAsia" w:hAnsi="Arial" w:cs="Arial"/>
              <w:noProof/>
              <w:sz w:val="22"/>
              <w:szCs w:val="22"/>
              <w:lang w:val="es-CO"/>
            </w:rPr>
          </w:pPr>
          <w:hyperlink w:anchor="_Toc240894031" w:history="1">
            <w:r w:rsidR="00DA5100" w:rsidRPr="00DA5100">
              <w:rPr>
                <w:rStyle w:val="Hipervnculo"/>
                <w:rFonts w:ascii="Arial" w:hAnsi="Arial" w:cs="Arial"/>
                <w:noProof/>
              </w:rPr>
              <w:t>3.3. Complemento técnico: el respaldo del Análisis MIT REAP para Caldas</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_Toc240894031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9</w:t>
            </w:r>
            <w:r w:rsidR="00DA5100" w:rsidRPr="00DA5100">
              <w:rPr>
                <w:rFonts w:ascii="Arial" w:hAnsi="Arial" w:cs="Arial"/>
                <w:noProof/>
                <w:webHidden/>
              </w:rPr>
              <w:fldChar w:fldCharType="end"/>
            </w:r>
          </w:hyperlink>
        </w:p>
        <w:p w14:paraId="7339EFB2" w14:textId="107D3311" w:rsidR="00DA5100" w:rsidRPr="00DA5100" w:rsidRDefault="005D103B" w:rsidP="00DA5100">
          <w:pPr>
            <w:pStyle w:val="TDC3"/>
            <w:tabs>
              <w:tab w:val="right" w:leader="dot" w:pos="9350"/>
            </w:tabs>
            <w:jc w:val="both"/>
            <w:rPr>
              <w:rFonts w:ascii="Arial" w:eastAsiaTheme="minorEastAsia" w:hAnsi="Arial" w:cs="Arial"/>
              <w:noProof/>
              <w:sz w:val="22"/>
              <w:szCs w:val="22"/>
              <w:lang w:val="es-CO"/>
            </w:rPr>
          </w:pPr>
          <w:hyperlink w:anchor="_Toc240894032" w:history="1">
            <w:r w:rsidR="00DA5100" w:rsidRPr="00DA5100">
              <w:rPr>
                <w:rStyle w:val="Hipervnculo"/>
                <w:rFonts w:ascii="Arial" w:hAnsi="Arial" w:cs="Arial"/>
                <w:noProof/>
              </w:rPr>
              <w:t>3.4. Complemento técnico: el Documento Técnico de la Política Pública de CTeI de Caldas (CINDE, 2022-2032) y la Ordenanza No. 952 de 2023</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_Toc240894032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10</w:t>
            </w:r>
            <w:r w:rsidR="00DA5100" w:rsidRPr="00DA5100">
              <w:rPr>
                <w:rFonts w:ascii="Arial" w:hAnsi="Arial" w:cs="Arial"/>
                <w:noProof/>
                <w:webHidden/>
              </w:rPr>
              <w:fldChar w:fldCharType="end"/>
            </w:r>
          </w:hyperlink>
        </w:p>
        <w:p w14:paraId="10AD7707" w14:textId="232B6D41" w:rsidR="00DA5100" w:rsidRPr="00DA5100" w:rsidRDefault="005D103B" w:rsidP="00DA5100">
          <w:pPr>
            <w:pStyle w:val="TDC3"/>
            <w:tabs>
              <w:tab w:val="right" w:leader="dot" w:pos="9350"/>
            </w:tabs>
            <w:jc w:val="both"/>
            <w:rPr>
              <w:rFonts w:ascii="Arial" w:eastAsiaTheme="minorEastAsia" w:hAnsi="Arial" w:cs="Arial"/>
              <w:noProof/>
              <w:sz w:val="22"/>
              <w:szCs w:val="22"/>
              <w:lang w:val="es-CO"/>
            </w:rPr>
          </w:pPr>
          <w:hyperlink w:anchor="_Toc240894033" w:history="1">
            <w:r w:rsidR="00DA5100" w:rsidRPr="00DA5100">
              <w:rPr>
                <w:rStyle w:val="Hipervnculo"/>
                <w:rFonts w:ascii="Arial" w:hAnsi="Arial" w:cs="Arial"/>
                <w:noProof/>
              </w:rPr>
              <w:t>3.5. El pilar de sostenibilidad territorial</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_Toc240894033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11</w:t>
            </w:r>
            <w:r w:rsidR="00DA5100" w:rsidRPr="00DA5100">
              <w:rPr>
                <w:rFonts w:ascii="Arial" w:hAnsi="Arial" w:cs="Arial"/>
                <w:noProof/>
                <w:webHidden/>
              </w:rPr>
              <w:fldChar w:fldCharType="end"/>
            </w:r>
          </w:hyperlink>
        </w:p>
        <w:p w14:paraId="69BC08A7" w14:textId="47695C33" w:rsidR="00DA5100" w:rsidRPr="00DA5100" w:rsidRDefault="005D103B" w:rsidP="00DA5100">
          <w:pPr>
            <w:pStyle w:val="TDC3"/>
            <w:tabs>
              <w:tab w:val="right" w:leader="dot" w:pos="9350"/>
            </w:tabs>
            <w:jc w:val="both"/>
            <w:rPr>
              <w:rFonts w:ascii="Arial" w:eastAsiaTheme="minorEastAsia" w:hAnsi="Arial" w:cs="Arial"/>
              <w:noProof/>
              <w:sz w:val="22"/>
              <w:szCs w:val="22"/>
              <w:lang w:val="es-CO"/>
            </w:rPr>
          </w:pPr>
          <w:hyperlink w:anchor="_Toc240894034" w:history="1">
            <w:r w:rsidR="00DA5100" w:rsidRPr="00DA5100">
              <w:rPr>
                <w:rStyle w:val="Hipervnculo"/>
                <w:rFonts w:ascii="Arial" w:hAnsi="Arial" w:cs="Arial"/>
                <w:noProof/>
              </w:rPr>
              <w:t>3.6. Beneficios y ventajas del régimen de distrito especial</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_Toc240894034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13</w:t>
            </w:r>
            <w:r w:rsidR="00DA5100" w:rsidRPr="00DA5100">
              <w:rPr>
                <w:rFonts w:ascii="Arial" w:hAnsi="Arial" w:cs="Arial"/>
                <w:noProof/>
                <w:webHidden/>
              </w:rPr>
              <w:fldChar w:fldCharType="end"/>
            </w:r>
          </w:hyperlink>
        </w:p>
        <w:p w14:paraId="6DA4E8F3" w14:textId="79E33575" w:rsidR="00DA5100" w:rsidRPr="00DA5100" w:rsidRDefault="005D103B" w:rsidP="00DA5100">
          <w:pPr>
            <w:pStyle w:val="TDC3"/>
            <w:tabs>
              <w:tab w:val="right" w:leader="dot" w:pos="9350"/>
            </w:tabs>
            <w:jc w:val="both"/>
            <w:rPr>
              <w:rFonts w:ascii="Arial" w:eastAsiaTheme="minorEastAsia" w:hAnsi="Arial" w:cs="Arial"/>
              <w:noProof/>
              <w:sz w:val="22"/>
              <w:szCs w:val="22"/>
              <w:lang w:val="es-CO"/>
            </w:rPr>
          </w:pPr>
          <w:hyperlink w:anchor="_Toc240894035" w:history="1">
            <w:r w:rsidR="00DA5100" w:rsidRPr="00DA5100">
              <w:rPr>
                <w:rStyle w:val="Hipervnculo"/>
                <w:rFonts w:ascii="Arial" w:hAnsi="Arial" w:cs="Arial"/>
                <w:noProof/>
              </w:rPr>
              <w:t>3.7. Alcance territorial y encadenamientos regionales</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_Toc240894035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14</w:t>
            </w:r>
            <w:r w:rsidR="00DA5100" w:rsidRPr="00DA5100">
              <w:rPr>
                <w:rFonts w:ascii="Arial" w:hAnsi="Arial" w:cs="Arial"/>
                <w:noProof/>
                <w:webHidden/>
              </w:rPr>
              <w:fldChar w:fldCharType="end"/>
            </w:r>
          </w:hyperlink>
        </w:p>
        <w:p w14:paraId="6A899CE6" w14:textId="77FB0D42" w:rsidR="00DA5100" w:rsidRPr="00DA5100" w:rsidRDefault="005D103B" w:rsidP="00DA5100">
          <w:pPr>
            <w:pStyle w:val="TDC3"/>
            <w:tabs>
              <w:tab w:val="right" w:leader="dot" w:pos="9350"/>
            </w:tabs>
            <w:jc w:val="both"/>
            <w:rPr>
              <w:rFonts w:ascii="Arial" w:eastAsiaTheme="minorEastAsia" w:hAnsi="Arial" w:cs="Arial"/>
              <w:noProof/>
              <w:sz w:val="22"/>
              <w:szCs w:val="22"/>
              <w:lang w:val="es-CO"/>
            </w:rPr>
          </w:pPr>
          <w:hyperlink w:anchor="_Toc240894036" w:history="1">
            <w:r w:rsidR="00DA5100" w:rsidRPr="00DA5100">
              <w:rPr>
                <w:rStyle w:val="Hipervnculo"/>
                <w:rFonts w:ascii="Arial" w:hAnsi="Arial" w:cs="Arial"/>
                <w:noProof/>
              </w:rPr>
              <w:t>3.8. Oportunidad, conveniencia y coherencia con la política pública</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_Toc240894036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16</w:t>
            </w:r>
            <w:r w:rsidR="00DA5100" w:rsidRPr="00DA5100">
              <w:rPr>
                <w:rFonts w:ascii="Arial" w:hAnsi="Arial" w:cs="Arial"/>
                <w:noProof/>
                <w:webHidden/>
              </w:rPr>
              <w:fldChar w:fldCharType="end"/>
            </w:r>
          </w:hyperlink>
        </w:p>
        <w:p w14:paraId="3C550FAD" w14:textId="1862DA7E" w:rsidR="00DA5100" w:rsidRPr="00DA5100" w:rsidRDefault="005D103B" w:rsidP="00DA5100">
          <w:pPr>
            <w:pStyle w:val="TDC2"/>
            <w:tabs>
              <w:tab w:val="right" w:leader="dot" w:pos="9350"/>
            </w:tabs>
            <w:jc w:val="both"/>
            <w:rPr>
              <w:rFonts w:ascii="Arial" w:eastAsiaTheme="minorEastAsia" w:hAnsi="Arial" w:cs="Arial"/>
              <w:noProof/>
              <w:sz w:val="22"/>
              <w:szCs w:val="22"/>
              <w:lang w:val="es-CO"/>
            </w:rPr>
          </w:pPr>
          <w:hyperlink w:anchor="_Toc240894037" w:history="1">
            <w:r w:rsidR="00DA5100" w:rsidRPr="00DA5100">
              <w:rPr>
                <w:rStyle w:val="Hipervnculo"/>
                <w:rFonts w:ascii="Arial" w:hAnsi="Arial" w:cs="Arial"/>
                <w:noProof/>
              </w:rPr>
              <w:t>IV. TRÁMITE DEL PROYECTO</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_Toc240894037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17</w:t>
            </w:r>
            <w:r w:rsidR="00DA5100" w:rsidRPr="00DA5100">
              <w:rPr>
                <w:rFonts w:ascii="Arial" w:hAnsi="Arial" w:cs="Arial"/>
                <w:noProof/>
                <w:webHidden/>
              </w:rPr>
              <w:fldChar w:fldCharType="end"/>
            </w:r>
          </w:hyperlink>
        </w:p>
        <w:p w14:paraId="26473DCF" w14:textId="6D2E290E" w:rsidR="00DA5100" w:rsidRPr="00DA5100" w:rsidRDefault="005D103B" w:rsidP="00DA5100">
          <w:pPr>
            <w:pStyle w:val="TDC2"/>
            <w:tabs>
              <w:tab w:val="right" w:leader="dot" w:pos="9350"/>
            </w:tabs>
            <w:jc w:val="both"/>
            <w:rPr>
              <w:rFonts w:ascii="Arial" w:eastAsiaTheme="minorEastAsia" w:hAnsi="Arial" w:cs="Arial"/>
              <w:noProof/>
              <w:sz w:val="22"/>
              <w:szCs w:val="22"/>
              <w:lang w:val="es-CO"/>
            </w:rPr>
          </w:pPr>
          <w:hyperlink w:anchor="_Toc240894038" w:history="1">
            <w:r w:rsidR="00DA5100" w:rsidRPr="00DA5100">
              <w:rPr>
                <w:rStyle w:val="Hipervnculo"/>
                <w:rFonts w:ascii="Arial" w:hAnsi="Arial" w:cs="Arial"/>
                <w:noProof/>
              </w:rPr>
              <w:t>V. CONFLICTO DE INTERÉS</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_Toc240894038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18</w:t>
            </w:r>
            <w:r w:rsidR="00DA5100" w:rsidRPr="00DA5100">
              <w:rPr>
                <w:rFonts w:ascii="Arial" w:hAnsi="Arial" w:cs="Arial"/>
                <w:noProof/>
                <w:webHidden/>
              </w:rPr>
              <w:fldChar w:fldCharType="end"/>
            </w:r>
          </w:hyperlink>
        </w:p>
        <w:p w14:paraId="161AFF80" w14:textId="119970F6" w:rsidR="00DA5100" w:rsidRPr="00DA5100" w:rsidRDefault="005D103B" w:rsidP="00DA5100">
          <w:pPr>
            <w:pStyle w:val="TDC2"/>
            <w:tabs>
              <w:tab w:val="right" w:leader="dot" w:pos="9350"/>
            </w:tabs>
            <w:jc w:val="both"/>
            <w:rPr>
              <w:rFonts w:ascii="Arial" w:eastAsiaTheme="minorEastAsia" w:hAnsi="Arial" w:cs="Arial"/>
              <w:noProof/>
              <w:sz w:val="22"/>
              <w:szCs w:val="22"/>
              <w:lang w:val="es-CO"/>
            </w:rPr>
          </w:pPr>
          <w:hyperlink w:anchor="_Toc240894039" w:history="1">
            <w:r w:rsidR="00DA5100" w:rsidRPr="00DA5100">
              <w:rPr>
                <w:rStyle w:val="Hipervnculo"/>
                <w:rFonts w:ascii="Arial" w:hAnsi="Arial" w:cs="Arial"/>
                <w:noProof/>
              </w:rPr>
              <w:t>VI. IMPACTO FISCAL</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_Toc240894039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20</w:t>
            </w:r>
            <w:r w:rsidR="00DA5100" w:rsidRPr="00DA5100">
              <w:rPr>
                <w:rFonts w:ascii="Arial" w:hAnsi="Arial" w:cs="Arial"/>
                <w:noProof/>
                <w:webHidden/>
              </w:rPr>
              <w:fldChar w:fldCharType="end"/>
            </w:r>
          </w:hyperlink>
        </w:p>
        <w:p w14:paraId="24C8880D" w14:textId="014FC94A" w:rsidR="00DA5100" w:rsidRPr="00DA5100" w:rsidRDefault="005D103B" w:rsidP="00DA5100">
          <w:pPr>
            <w:pStyle w:val="TDC2"/>
            <w:tabs>
              <w:tab w:val="right" w:leader="dot" w:pos="9350"/>
            </w:tabs>
            <w:jc w:val="both"/>
            <w:rPr>
              <w:rFonts w:ascii="Arial" w:eastAsiaTheme="minorEastAsia" w:hAnsi="Arial" w:cs="Arial"/>
              <w:noProof/>
              <w:sz w:val="22"/>
              <w:szCs w:val="22"/>
              <w:lang w:val="es-CO"/>
            </w:rPr>
          </w:pPr>
          <w:hyperlink w:anchor="_Toc240894040" w:history="1">
            <w:r w:rsidR="00DA5100" w:rsidRPr="00DA5100">
              <w:rPr>
                <w:rStyle w:val="Hipervnculo"/>
                <w:rFonts w:ascii="Arial" w:hAnsi="Arial" w:cs="Arial"/>
                <w:noProof/>
              </w:rPr>
              <w:t>VII. PLIEGO DE MODIFICACIONES</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_Toc240894040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21</w:t>
            </w:r>
            <w:r w:rsidR="00DA5100" w:rsidRPr="00DA5100">
              <w:rPr>
                <w:rFonts w:ascii="Arial" w:hAnsi="Arial" w:cs="Arial"/>
                <w:noProof/>
                <w:webHidden/>
              </w:rPr>
              <w:fldChar w:fldCharType="end"/>
            </w:r>
          </w:hyperlink>
        </w:p>
        <w:p w14:paraId="3C181731" w14:textId="6276DA91" w:rsidR="00DA5100" w:rsidRPr="00DA5100" w:rsidRDefault="005D103B" w:rsidP="00DA5100">
          <w:pPr>
            <w:pStyle w:val="TDC2"/>
            <w:tabs>
              <w:tab w:val="right" w:leader="dot" w:pos="9350"/>
            </w:tabs>
            <w:jc w:val="both"/>
            <w:rPr>
              <w:rFonts w:ascii="Arial" w:eastAsiaTheme="minorEastAsia" w:hAnsi="Arial" w:cs="Arial"/>
              <w:noProof/>
              <w:sz w:val="22"/>
              <w:szCs w:val="22"/>
              <w:lang w:val="es-CO"/>
            </w:rPr>
          </w:pPr>
          <w:hyperlink w:anchor="_Toc240894041" w:history="1">
            <w:r w:rsidR="00DA5100" w:rsidRPr="00DA5100">
              <w:rPr>
                <w:rStyle w:val="Hipervnculo"/>
                <w:rFonts w:ascii="Arial" w:hAnsi="Arial" w:cs="Arial"/>
                <w:noProof/>
              </w:rPr>
              <w:t>VIII. PROPOSICIÓN</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_Toc240894041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21</w:t>
            </w:r>
            <w:r w:rsidR="00DA5100" w:rsidRPr="00DA5100">
              <w:rPr>
                <w:rFonts w:ascii="Arial" w:hAnsi="Arial" w:cs="Arial"/>
                <w:noProof/>
                <w:webHidden/>
              </w:rPr>
              <w:fldChar w:fldCharType="end"/>
            </w:r>
          </w:hyperlink>
        </w:p>
        <w:p w14:paraId="033E7CAF" w14:textId="4D5302F8" w:rsidR="00DA5100" w:rsidRPr="00DA5100" w:rsidRDefault="005D103B" w:rsidP="00DA5100">
          <w:pPr>
            <w:pStyle w:val="TDC2"/>
            <w:tabs>
              <w:tab w:val="right" w:leader="dot" w:pos="9350"/>
            </w:tabs>
            <w:jc w:val="both"/>
            <w:rPr>
              <w:rFonts w:ascii="Arial" w:eastAsiaTheme="minorEastAsia" w:hAnsi="Arial" w:cs="Arial"/>
              <w:noProof/>
              <w:sz w:val="22"/>
              <w:szCs w:val="22"/>
              <w:lang w:val="es-CO"/>
            </w:rPr>
          </w:pPr>
          <w:hyperlink w:anchor="_Toc240894042" w:history="1">
            <w:r w:rsidR="00DA5100" w:rsidRPr="00DA5100">
              <w:rPr>
                <w:rStyle w:val="Hipervnculo"/>
                <w:rFonts w:ascii="Arial" w:hAnsi="Arial" w:cs="Arial"/>
                <w:noProof/>
              </w:rPr>
              <w:t>IX. TEXTO PROPUESTO PARA PRIMER DEBATE.</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_Toc240894042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22</w:t>
            </w:r>
            <w:r w:rsidR="00DA5100" w:rsidRPr="00DA5100">
              <w:rPr>
                <w:rFonts w:ascii="Arial" w:hAnsi="Arial" w:cs="Arial"/>
                <w:noProof/>
                <w:webHidden/>
              </w:rPr>
              <w:fldChar w:fldCharType="end"/>
            </w:r>
          </w:hyperlink>
        </w:p>
        <w:p w14:paraId="0F41FCCD" w14:textId="6626837A" w:rsidR="00DA5100" w:rsidRPr="00DA5100" w:rsidRDefault="005D103B" w:rsidP="00DA5100">
          <w:pPr>
            <w:pStyle w:val="TDC2"/>
            <w:tabs>
              <w:tab w:val="right" w:leader="dot" w:pos="9350"/>
            </w:tabs>
            <w:jc w:val="both"/>
            <w:rPr>
              <w:rFonts w:ascii="Arial" w:eastAsiaTheme="minorEastAsia" w:hAnsi="Arial" w:cs="Arial"/>
              <w:noProof/>
              <w:sz w:val="22"/>
              <w:szCs w:val="22"/>
              <w:lang w:val="es-CO"/>
            </w:rPr>
          </w:pPr>
          <w:hyperlink w:anchor="_Toc240894043" w:history="1">
            <w:r w:rsidR="00DA5100" w:rsidRPr="00DA5100">
              <w:rPr>
                <w:rStyle w:val="Hipervnculo"/>
                <w:rFonts w:ascii="Arial" w:hAnsi="Arial" w:cs="Arial"/>
                <w:noProof/>
              </w:rPr>
              <w:t>X. BIBLIOGRAFÍA.</w:t>
            </w:r>
            <w:r w:rsidR="00DA5100" w:rsidRPr="00DA5100">
              <w:rPr>
                <w:rFonts w:ascii="Arial" w:hAnsi="Arial" w:cs="Arial"/>
                <w:noProof/>
                <w:webHidden/>
              </w:rPr>
              <w:tab/>
            </w:r>
            <w:r w:rsidR="00DA5100" w:rsidRPr="00DA5100">
              <w:rPr>
                <w:rFonts w:ascii="Arial" w:hAnsi="Arial" w:cs="Arial"/>
                <w:noProof/>
                <w:webHidden/>
              </w:rPr>
              <w:fldChar w:fldCharType="begin"/>
            </w:r>
            <w:r w:rsidR="00DA5100" w:rsidRPr="00DA5100">
              <w:rPr>
                <w:rFonts w:ascii="Arial" w:hAnsi="Arial" w:cs="Arial"/>
                <w:noProof/>
                <w:webHidden/>
              </w:rPr>
              <w:instrText xml:space="preserve"> PAGEREF _Toc240894043 \h </w:instrText>
            </w:r>
            <w:r w:rsidR="00DA5100" w:rsidRPr="00DA5100">
              <w:rPr>
                <w:rFonts w:ascii="Arial" w:hAnsi="Arial" w:cs="Arial"/>
                <w:noProof/>
                <w:webHidden/>
              </w:rPr>
            </w:r>
            <w:r w:rsidR="00DA5100" w:rsidRPr="00DA5100">
              <w:rPr>
                <w:rFonts w:ascii="Arial" w:hAnsi="Arial" w:cs="Arial"/>
                <w:noProof/>
                <w:webHidden/>
              </w:rPr>
              <w:fldChar w:fldCharType="separate"/>
            </w:r>
            <w:r w:rsidR="00833DB0">
              <w:rPr>
                <w:rFonts w:ascii="Arial" w:hAnsi="Arial" w:cs="Arial"/>
                <w:noProof/>
                <w:webHidden/>
              </w:rPr>
              <w:t>23</w:t>
            </w:r>
            <w:r w:rsidR="00DA5100" w:rsidRPr="00DA5100">
              <w:rPr>
                <w:rFonts w:ascii="Arial" w:hAnsi="Arial" w:cs="Arial"/>
                <w:noProof/>
                <w:webHidden/>
              </w:rPr>
              <w:fldChar w:fldCharType="end"/>
            </w:r>
          </w:hyperlink>
        </w:p>
        <w:p w14:paraId="718BF2EE" w14:textId="77777777" w:rsidR="002966B5" w:rsidRPr="00342443" w:rsidRDefault="002966B5" w:rsidP="00DA5100">
          <w:pPr>
            <w:jc w:val="both"/>
            <w:rPr>
              <w:rFonts w:ascii="Arial" w:hAnsi="Arial" w:cs="Arial"/>
              <w:color w:val="000000" w:themeColor="text1"/>
            </w:rPr>
          </w:pPr>
          <w:r w:rsidRPr="00DA5100">
            <w:rPr>
              <w:rFonts w:ascii="Arial" w:hAnsi="Arial" w:cs="Arial"/>
              <w:b/>
              <w:bCs/>
              <w:color w:val="000000" w:themeColor="text1"/>
            </w:rPr>
            <w:fldChar w:fldCharType="end"/>
          </w:r>
        </w:p>
      </w:sdtContent>
    </w:sdt>
    <w:p w14:paraId="20F3769F" w14:textId="77777777" w:rsidR="002966B5" w:rsidRDefault="002966B5" w:rsidP="00F46FB9">
      <w:pPr>
        <w:spacing w:after="80"/>
        <w:jc w:val="both"/>
        <w:rPr>
          <w:rFonts w:ascii="Arial" w:hAnsi="Arial" w:cs="Arial"/>
          <w:color w:val="000000" w:themeColor="text1"/>
        </w:rPr>
      </w:pPr>
    </w:p>
    <w:p w14:paraId="371A6371" w14:textId="77777777" w:rsidR="00342443" w:rsidRDefault="00342443" w:rsidP="00F46FB9">
      <w:pPr>
        <w:spacing w:after="80"/>
        <w:jc w:val="both"/>
        <w:rPr>
          <w:rFonts w:ascii="Arial" w:hAnsi="Arial" w:cs="Arial"/>
          <w:color w:val="000000" w:themeColor="text1"/>
        </w:rPr>
      </w:pPr>
    </w:p>
    <w:p w14:paraId="0A65A9F0" w14:textId="77777777" w:rsidR="00342443" w:rsidRDefault="00342443" w:rsidP="00F46FB9">
      <w:pPr>
        <w:spacing w:after="80"/>
        <w:jc w:val="both"/>
        <w:rPr>
          <w:rFonts w:ascii="Arial" w:hAnsi="Arial" w:cs="Arial"/>
          <w:color w:val="000000" w:themeColor="text1"/>
        </w:rPr>
      </w:pPr>
    </w:p>
    <w:p w14:paraId="79352564" w14:textId="77777777" w:rsidR="00342443" w:rsidRDefault="00342443" w:rsidP="00F46FB9">
      <w:pPr>
        <w:spacing w:after="80"/>
        <w:jc w:val="both"/>
        <w:rPr>
          <w:rFonts w:ascii="Arial" w:hAnsi="Arial" w:cs="Arial"/>
          <w:color w:val="000000" w:themeColor="text1"/>
        </w:rPr>
      </w:pPr>
    </w:p>
    <w:p w14:paraId="06E858EE" w14:textId="77777777" w:rsidR="00342443" w:rsidRDefault="00342443" w:rsidP="00F46FB9">
      <w:pPr>
        <w:spacing w:after="80"/>
        <w:jc w:val="both"/>
        <w:rPr>
          <w:rFonts w:ascii="Arial" w:hAnsi="Arial" w:cs="Arial"/>
          <w:color w:val="000000" w:themeColor="text1"/>
        </w:rPr>
      </w:pPr>
    </w:p>
    <w:p w14:paraId="1AA84FA5" w14:textId="77777777" w:rsidR="00342443" w:rsidRDefault="00342443" w:rsidP="00F46FB9">
      <w:pPr>
        <w:spacing w:after="80"/>
        <w:jc w:val="both"/>
        <w:rPr>
          <w:rFonts w:ascii="Arial" w:hAnsi="Arial" w:cs="Arial"/>
          <w:color w:val="000000" w:themeColor="text1"/>
        </w:rPr>
      </w:pPr>
    </w:p>
    <w:p w14:paraId="460434B9" w14:textId="77777777" w:rsidR="00342443" w:rsidRDefault="00342443" w:rsidP="00F46FB9">
      <w:pPr>
        <w:spacing w:after="80"/>
        <w:jc w:val="both"/>
        <w:rPr>
          <w:rFonts w:ascii="Arial" w:hAnsi="Arial" w:cs="Arial"/>
          <w:color w:val="000000" w:themeColor="text1"/>
        </w:rPr>
      </w:pPr>
    </w:p>
    <w:p w14:paraId="2A67777F" w14:textId="77777777" w:rsidR="00342443" w:rsidRDefault="00342443" w:rsidP="00F46FB9">
      <w:pPr>
        <w:spacing w:after="80"/>
        <w:jc w:val="both"/>
        <w:rPr>
          <w:rFonts w:ascii="Arial" w:hAnsi="Arial" w:cs="Arial"/>
          <w:color w:val="000000" w:themeColor="text1"/>
        </w:rPr>
      </w:pPr>
    </w:p>
    <w:p w14:paraId="5E601841" w14:textId="77777777" w:rsidR="00342443" w:rsidRDefault="00342443" w:rsidP="00F46FB9">
      <w:pPr>
        <w:spacing w:after="80"/>
        <w:jc w:val="both"/>
        <w:rPr>
          <w:rFonts w:ascii="Arial" w:hAnsi="Arial" w:cs="Arial"/>
          <w:color w:val="000000" w:themeColor="text1"/>
        </w:rPr>
      </w:pPr>
    </w:p>
    <w:p w14:paraId="278F5CA4" w14:textId="77777777" w:rsidR="00342443" w:rsidRDefault="00342443" w:rsidP="00F46FB9">
      <w:pPr>
        <w:spacing w:after="80"/>
        <w:jc w:val="both"/>
        <w:rPr>
          <w:rFonts w:ascii="Arial" w:hAnsi="Arial" w:cs="Arial"/>
          <w:color w:val="000000" w:themeColor="text1"/>
        </w:rPr>
      </w:pPr>
    </w:p>
    <w:p w14:paraId="41E1D00D" w14:textId="77777777" w:rsidR="00342443" w:rsidRPr="00342443" w:rsidRDefault="00342443" w:rsidP="00F46FB9">
      <w:pPr>
        <w:spacing w:after="80"/>
        <w:jc w:val="both"/>
        <w:rPr>
          <w:rFonts w:ascii="Arial" w:hAnsi="Arial" w:cs="Arial"/>
          <w:color w:val="000000" w:themeColor="text1"/>
        </w:rPr>
      </w:pPr>
    </w:p>
    <w:p w14:paraId="0EF75FB6" w14:textId="77777777" w:rsidR="004F7CD0" w:rsidRPr="00342443" w:rsidRDefault="00974B3E" w:rsidP="002966B5">
      <w:pPr>
        <w:pStyle w:val="Ttulo2"/>
        <w:rPr>
          <w:rFonts w:ascii="Arial" w:hAnsi="Arial" w:cs="Arial"/>
          <w:color w:val="000000" w:themeColor="text1"/>
          <w:sz w:val="24"/>
          <w:szCs w:val="24"/>
        </w:rPr>
      </w:pPr>
      <w:bookmarkStart w:id="0" w:name="_Toc240894025"/>
      <w:r w:rsidRPr="00342443">
        <w:rPr>
          <w:rFonts w:ascii="Arial" w:hAnsi="Arial" w:cs="Arial"/>
          <w:color w:val="000000" w:themeColor="text1"/>
          <w:sz w:val="24"/>
          <w:szCs w:val="24"/>
        </w:rPr>
        <w:t>I. OBJETO DEL PROYECTO</w:t>
      </w:r>
      <w:bookmarkEnd w:id="0"/>
    </w:p>
    <w:p w14:paraId="431F8C8E"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 xml:space="preserve">El presente Proyecto de Acto Legislativo tiene por objeto otorgar a la ciudad de Manizales la calidad de Distrito Especial del Conocimiento, la Sostenibilidad y la Innovación, mediante las siguientes disposiciones: la adición de un inciso al artículo 328 de la Constitución Política, en virtud del cual la ciudad se organiza como Distrito Especial del Conocimiento, la Sostenibilidad y la Innovación; la adición de un inciso al artículo 356 </w:t>
      </w:r>
      <w:r w:rsidR="00715301" w:rsidRPr="00342443">
        <w:rPr>
          <w:rFonts w:ascii="Arial" w:hAnsi="Arial" w:cs="Arial"/>
          <w:color w:val="000000" w:themeColor="text1"/>
        </w:rPr>
        <w:t>ibídem</w:t>
      </w:r>
      <w:r w:rsidRPr="00342443">
        <w:rPr>
          <w:rFonts w:ascii="Arial" w:hAnsi="Arial" w:cs="Arial"/>
          <w:color w:val="000000" w:themeColor="text1"/>
        </w:rPr>
        <w:t>, que incorpora a la ciudad al régimen constitucional de competencias, participaciones y organización territorial de los distritos; el mandato al Congreso de la República de expedir, dentro de los seis (6) meses siguientes a la promulgación del acto legislativo, la ley que desarrolle su régimen especial; y la disposición según la cual el acto legislativo rige a partir de su promulgación.</w:t>
      </w:r>
    </w:p>
    <w:p w14:paraId="2C5FE959" w14:textId="77777777" w:rsidR="0093260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En desarrollo de su objeto, el articulado se compone de cuatro (4) artículos.</w:t>
      </w:r>
    </w:p>
    <w:p w14:paraId="7687B2ED" w14:textId="77777777" w:rsidR="0093260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 xml:space="preserve"> El artículo primero adiciona al artículo 328 de la Constitución la organización de Manizales como Distrito Especial del Conocimiento, la Sostenibilidad y la Innovación, y su parágrafo faculta a los municipios integrantes del Área Metropolitana del Centro Sur de Caldas y a otros municipios del departamento de Caldas para beneficiarse de los incentivos del Distrito, de conformidad con la ley que lo reglamente, sin que se afecten sus funciones, competencias, recursos ni autonomía territorial. </w:t>
      </w:r>
    </w:p>
    <w:p w14:paraId="4EE825C2" w14:textId="77777777" w:rsidR="0093260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 xml:space="preserve">El artículo segundo adiciona al artículo 356 de la Constitución la incorporación de la ciudad al régimen distrital de competencias y participaciones territoriales, y su parágrafo la faculta para crear mecanismos adicionales de promoción y desarrollo del Distrito, incluida la creación de un fondo de desarrollo distrital para el financiamiento de los proyectos. </w:t>
      </w:r>
    </w:p>
    <w:p w14:paraId="3AFD6077"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 xml:space="preserve">El artículo tercero dispone que dentro de los seis (6) meses siguientes a la promulgación el Congreso de la República expedirá la ley que desarrolle el régimen especial del Distrito. El artículo cuarto </w:t>
      </w:r>
      <w:r w:rsidR="00A53966" w:rsidRPr="00342443">
        <w:rPr>
          <w:rFonts w:ascii="Arial" w:hAnsi="Arial" w:cs="Arial"/>
          <w:color w:val="000000" w:themeColor="text1"/>
        </w:rPr>
        <w:t>es</w:t>
      </w:r>
      <w:r w:rsidR="00A53966">
        <w:rPr>
          <w:rFonts w:ascii="Arial" w:hAnsi="Arial" w:cs="Arial"/>
          <w:color w:val="000000" w:themeColor="text1"/>
        </w:rPr>
        <w:t>table</w:t>
      </w:r>
      <w:r w:rsidR="00A53966" w:rsidRPr="00342443">
        <w:rPr>
          <w:rFonts w:ascii="Arial" w:hAnsi="Arial" w:cs="Arial"/>
          <w:color w:val="000000" w:themeColor="text1"/>
        </w:rPr>
        <w:t>ce</w:t>
      </w:r>
      <w:r w:rsidRPr="00342443">
        <w:rPr>
          <w:rFonts w:ascii="Arial" w:hAnsi="Arial" w:cs="Arial"/>
          <w:color w:val="000000" w:themeColor="text1"/>
        </w:rPr>
        <w:t xml:space="preserve"> la vigencia del acto legislativo a partir de la fecha de su promulgación.</w:t>
      </w:r>
    </w:p>
    <w:p w14:paraId="256A78AB"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La iniciativa constituye una reforma a la Constitución Política tramitada por la vía del acto legislativo, en los términos de los artículos 374 y 375 de la Carta, y se orienta a dotar de personería institucional propia a un ecosistema científico, tecnológico y ambiental ya consolidado en el territorio, reconociéndole su vocación de conocimiento, sostenibilidad e innovación frente a la organización territorial del Estado.</w:t>
      </w:r>
    </w:p>
    <w:p w14:paraId="00A3FDE2" w14:textId="77777777" w:rsidR="00F46FB9" w:rsidRDefault="00F46FB9" w:rsidP="00F46FB9">
      <w:pPr>
        <w:spacing w:after="120" w:line="276" w:lineRule="auto"/>
        <w:jc w:val="both"/>
        <w:rPr>
          <w:rFonts w:ascii="Arial" w:hAnsi="Arial" w:cs="Arial"/>
          <w:color w:val="000000" w:themeColor="text1"/>
        </w:rPr>
      </w:pPr>
    </w:p>
    <w:p w14:paraId="2E4F7EB3" w14:textId="77777777" w:rsidR="00932603" w:rsidRDefault="00932603" w:rsidP="00F46FB9">
      <w:pPr>
        <w:spacing w:after="120" w:line="276" w:lineRule="auto"/>
        <w:jc w:val="both"/>
        <w:rPr>
          <w:rFonts w:ascii="Arial" w:hAnsi="Arial" w:cs="Arial"/>
          <w:color w:val="000000" w:themeColor="text1"/>
        </w:rPr>
      </w:pPr>
    </w:p>
    <w:p w14:paraId="3ABC6A54" w14:textId="77777777" w:rsidR="00932603" w:rsidRDefault="00932603" w:rsidP="00F46FB9">
      <w:pPr>
        <w:spacing w:after="120" w:line="276" w:lineRule="auto"/>
        <w:jc w:val="both"/>
        <w:rPr>
          <w:rFonts w:ascii="Arial" w:hAnsi="Arial" w:cs="Arial"/>
          <w:color w:val="000000" w:themeColor="text1"/>
        </w:rPr>
      </w:pPr>
    </w:p>
    <w:p w14:paraId="6947DA90" w14:textId="77777777" w:rsidR="004F7CD0" w:rsidRPr="00342443" w:rsidRDefault="00974B3E" w:rsidP="002966B5">
      <w:pPr>
        <w:pStyle w:val="Ttulo2"/>
        <w:rPr>
          <w:rFonts w:ascii="Arial" w:hAnsi="Arial" w:cs="Arial"/>
          <w:color w:val="000000" w:themeColor="text1"/>
          <w:sz w:val="24"/>
          <w:szCs w:val="24"/>
        </w:rPr>
      </w:pPr>
      <w:bookmarkStart w:id="1" w:name="_Toc240894026"/>
      <w:r w:rsidRPr="00342443">
        <w:rPr>
          <w:rFonts w:ascii="Arial" w:hAnsi="Arial" w:cs="Arial"/>
          <w:color w:val="000000" w:themeColor="text1"/>
          <w:sz w:val="24"/>
          <w:szCs w:val="24"/>
        </w:rPr>
        <w:t>II. ANTECEDENTES</w:t>
      </w:r>
      <w:bookmarkEnd w:id="1"/>
    </w:p>
    <w:p w14:paraId="0498B7C2" w14:textId="77777777" w:rsidR="0054202A" w:rsidRDefault="0054202A" w:rsidP="00F46FB9">
      <w:pPr>
        <w:spacing w:after="120" w:line="276" w:lineRule="auto"/>
        <w:jc w:val="both"/>
        <w:rPr>
          <w:rFonts w:ascii="Arial" w:hAnsi="Arial" w:cs="Arial"/>
          <w:color w:val="000000" w:themeColor="text1"/>
        </w:rPr>
      </w:pPr>
    </w:p>
    <w:p w14:paraId="71CE4119" w14:textId="77777777" w:rsidR="0054202A" w:rsidRPr="0054202A" w:rsidRDefault="0054202A" w:rsidP="0054202A">
      <w:pPr>
        <w:pStyle w:val="Ttulo3"/>
        <w:jc w:val="both"/>
        <w:rPr>
          <w:rFonts w:ascii="Arial" w:hAnsi="Arial" w:cs="Arial"/>
          <w:color w:val="000000" w:themeColor="text1"/>
        </w:rPr>
      </w:pPr>
      <w:bookmarkStart w:id="2" w:name="_Toc240894027"/>
      <w:r w:rsidRPr="0054202A">
        <w:rPr>
          <w:rFonts w:ascii="Arial" w:hAnsi="Arial" w:cs="Arial"/>
          <w:color w:val="000000" w:themeColor="text1"/>
        </w:rPr>
        <w:t>2.1 Histórico de la iniciativa.</w:t>
      </w:r>
      <w:bookmarkEnd w:id="2"/>
      <w:r w:rsidRPr="0054202A">
        <w:rPr>
          <w:rFonts w:ascii="Arial" w:hAnsi="Arial" w:cs="Arial"/>
          <w:color w:val="000000" w:themeColor="text1"/>
        </w:rPr>
        <w:t xml:space="preserve"> </w:t>
      </w:r>
    </w:p>
    <w:p w14:paraId="10A4620F" w14:textId="77777777" w:rsidR="0054202A" w:rsidRPr="0054202A" w:rsidRDefault="0054202A" w:rsidP="004053A5">
      <w:pPr>
        <w:spacing w:after="120" w:line="240" w:lineRule="auto"/>
        <w:jc w:val="both"/>
        <w:rPr>
          <w:rFonts w:ascii="Arial" w:eastAsia="Times New Roman" w:hAnsi="Arial" w:cs="Arial"/>
          <w:color w:val="000000" w:themeColor="text1"/>
          <w:lang w:val="es-CO"/>
        </w:rPr>
      </w:pPr>
      <w:r w:rsidRPr="0054202A">
        <w:rPr>
          <w:rFonts w:ascii="Arial" w:eastAsia="Times New Roman" w:hAnsi="Arial" w:cs="Arial"/>
          <w:color w:val="000000" w:themeColor="text1"/>
          <w:lang w:val="es-CO"/>
        </w:rPr>
        <w:t>La iniciativa legislativa orientada a otorgar al municipio de Manizales la categoría de Distrito Especial (Eje del Conocimiento) cuenta con una sólida y continuada trayectoria de discusión y trámite en el Congreso de la República, reflejando el compromiso sostenido de las bancadas parlamentarias con el desarrollo territorial, educativo y científico de la región. A continuación, se detalla la evolución cronológica y las respectivas referencias de radicación de los proyectos de acto legislativo que han antecedido a la presente iniciativa:</w:t>
      </w:r>
    </w:p>
    <w:p w14:paraId="0D52843D" w14:textId="77777777" w:rsidR="0054202A" w:rsidRPr="0054202A" w:rsidRDefault="0054202A" w:rsidP="004053A5">
      <w:pPr>
        <w:numPr>
          <w:ilvl w:val="0"/>
          <w:numId w:val="4"/>
        </w:numPr>
        <w:spacing w:after="120" w:line="240" w:lineRule="auto"/>
        <w:ind w:left="0" w:firstLine="0"/>
        <w:jc w:val="both"/>
        <w:rPr>
          <w:rFonts w:ascii="Arial" w:eastAsia="Times New Roman" w:hAnsi="Arial" w:cs="Arial"/>
          <w:color w:val="000000" w:themeColor="text1"/>
          <w:lang w:val="es-CO"/>
        </w:rPr>
      </w:pPr>
      <w:r w:rsidRPr="0054202A">
        <w:rPr>
          <w:rFonts w:ascii="Arial" w:eastAsia="Times New Roman" w:hAnsi="Arial" w:cs="Arial"/>
          <w:bCs/>
          <w:color w:val="000000" w:themeColor="text1"/>
          <w:lang w:val="es-CO"/>
        </w:rPr>
        <w:t>AÑO 2022 – I</w:t>
      </w:r>
      <w:r w:rsidR="0019336E">
        <w:rPr>
          <w:rFonts w:ascii="Arial" w:eastAsia="Times New Roman" w:hAnsi="Arial" w:cs="Arial"/>
          <w:bCs/>
          <w:color w:val="000000" w:themeColor="text1"/>
          <w:lang w:val="es-CO"/>
        </w:rPr>
        <w:t>mpulso inicial y estructuración</w:t>
      </w:r>
      <w:r w:rsidR="00EC76A8" w:rsidRPr="009F7F5F">
        <w:rPr>
          <w:rFonts w:ascii="Arial" w:eastAsia="Times New Roman" w:hAnsi="Arial" w:cs="Arial"/>
          <w:color w:val="000000" w:themeColor="text1"/>
          <w:lang w:val="es-CO"/>
        </w:rPr>
        <w:t xml:space="preserve"> </w:t>
      </w:r>
      <w:r w:rsidRPr="0054202A">
        <w:rPr>
          <w:rFonts w:ascii="Arial" w:eastAsia="Times New Roman" w:hAnsi="Arial" w:cs="Arial"/>
          <w:color w:val="000000" w:themeColor="text1"/>
          <w:lang w:val="es-CO"/>
        </w:rPr>
        <w:t>La propuesta comenzó a estructurarse y recibir un respaldo político</w:t>
      </w:r>
      <w:r w:rsidR="0019336E">
        <w:rPr>
          <w:rFonts w:ascii="Arial" w:eastAsia="Times New Roman" w:hAnsi="Arial" w:cs="Arial"/>
          <w:color w:val="000000" w:themeColor="text1"/>
          <w:lang w:val="es-CO"/>
        </w:rPr>
        <w:t xml:space="preserve"> a través del </w:t>
      </w:r>
      <w:r w:rsidR="0019336E" w:rsidRPr="0054202A">
        <w:rPr>
          <w:rFonts w:ascii="Arial" w:eastAsia="Times New Roman" w:hAnsi="Arial" w:cs="Arial"/>
          <w:bCs/>
          <w:color w:val="000000" w:themeColor="text1"/>
          <w:lang w:val="es-CO"/>
        </w:rPr>
        <w:t>Proyecto de Acto Legislativo No</w:t>
      </w:r>
      <w:r w:rsidR="0019336E">
        <w:rPr>
          <w:rFonts w:ascii="Arial" w:eastAsia="Times New Roman" w:hAnsi="Arial" w:cs="Arial"/>
          <w:bCs/>
          <w:color w:val="000000" w:themeColor="text1"/>
          <w:lang w:val="es-CO"/>
        </w:rPr>
        <w:t xml:space="preserve"> 185 de 2022</w:t>
      </w:r>
      <w:r w:rsidR="00DA40FD">
        <w:rPr>
          <w:rFonts w:ascii="Arial" w:eastAsia="Times New Roman" w:hAnsi="Arial" w:cs="Arial"/>
          <w:bCs/>
          <w:color w:val="000000" w:themeColor="text1"/>
          <w:lang w:val="es-CO"/>
        </w:rPr>
        <w:t xml:space="preserve"> radicado el 07 de septiembre</w:t>
      </w:r>
      <w:r w:rsidR="0019336E">
        <w:rPr>
          <w:rFonts w:ascii="Arial" w:eastAsia="Times New Roman" w:hAnsi="Arial" w:cs="Arial"/>
          <w:bCs/>
          <w:color w:val="000000" w:themeColor="text1"/>
          <w:lang w:val="es-CO"/>
        </w:rPr>
        <w:t>, y</w:t>
      </w:r>
      <w:r w:rsidR="00DA40FD">
        <w:rPr>
          <w:rFonts w:ascii="Arial" w:eastAsia="Times New Roman" w:hAnsi="Arial" w:cs="Arial"/>
          <w:bCs/>
          <w:color w:val="000000" w:themeColor="text1"/>
          <w:lang w:val="es-CO"/>
        </w:rPr>
        <w:t xml:space="preserve"> publicado en </w:t>
      </w:r>
      <w:r w:rsidR="0019336E">
        <w:rPr>
          <w:rFonts w:ascii="Arial" w:eastAsia="Times New Roman" w:hAnsi="Arial" w:cs="Arial"/>
          <w:bCs/>
          <w:color w:val="000000" w:themeColor="text1"/>
          <w:lang w:val="es-CO"/>
        </w:rPr>
        <w:t>gaceta 1075 de 13 de septiembre de 2022</w:t>
      </w:r>
      <w:r w:rsidR="00DA40FD">
        <w:rPr>
          <w:rFonts w:ascii="Arial" w:eastAsia="Times New Roman" w:hAnsi="Arial" w:cs="Arial"/>
          <w:bCs/>
          <w:color w:val="000000" w:themeColor="text1"/>
          <w:lang w:val="es-CO"/>
        </w:rPr>
        <w:t xml:space="preserve"> Cámara</w:t>
      </w:r>
      <w:r w:rsidR="0019336E">
        <w:rPr>
          <w:rFonts w:ascii="Arial" w:eastAsia="Times New Roman" w:hAnsi="Arial" w:cs="Arial"/>
          <w:bCs/>
          <w:color w:val="000000" w:themeColor="text1"/>
          <w:lang w:val="es-CO"/>
        </w:rPr>
        <w:t xml:space="preserve">; </w:t>
      </w:r>
      <w:r w:rsidRPr="0054202A">
        <w:rPr>
          <w:rFonts w:ascii="Arial" w:eastAsia="Times New Roman" w:hAnsi="Arial" w:cs="Arial"/>
          <w:color w:val="000000" w:themeColor="text1"/>
          <w:lang w:val="es-CO"/>
        </w:rPr>
        <w:t>particularmente en el seno de la Comisión Primera Constitucional Permanente, sentando las bases normativas y conceptuales para el reconocimiento especial de la ciudad.</w:t>
      </w:r>
    </w:p>
    <w:p w14:paraId="31A7C0C6" w14:textId="77777777" w:rsidR="0054202A" w:rsidRPr="0054202A" w:rsidRDefault="0054202A" w:rsidP="004053A5">
      <w:pPr>
        <w:numPr>
          <w:ilvl w:val="0"/>
          <w:numId w:val="4"/>
        </w:numPr>
        <w:spacing w:after="120" w:line="240" w:lineRule="auto"/>
        <w:ind w:left="0" w:firstLine="0"/>
        <w:jc w:val="both"/>
        <w:rPr>
          <w:rFonts w:ascii="Arial" w:eastAsia="Times New Roman" w:hAnsi="Arial" w:cs="Arial"/>
          <w:color w:val="000000" w:themeColor="text1"/>
          <w:lang w:val="es-CO"/>
        </w:rPr>
      </w:pPr>
      <w:r w:rsidRPr="0054202A">
        <w:rPr>
          <w:rFonts w:ascii="Arial" w:eastAsia="Times New Roman" w:hAnsi="Arial" w:cs="Arial"/>
          <w:bCs/>
          <w:color w:val="000000" w:themeColor="text1"/>
          <w:lang w:val="es-CO"/>
        </w:rPr>
        <w:t>AÑO 2023 – Trámite formal en primera vuelta:</w:t>
      </w:r>
      <w:r w:rsidR="00EC76A8" w:rsidRPr="009F7F5F">
        <w:rPr>
          <w:rFonts w:ascii="Arial" w:eastAsia="Times New Roman" w:hAnsi="Arial" w:cs="Arial"/>
          <w:color w:val="000000" w:themeColor="text1"/>
          <w:lang w:val="es-CO"/>
        </w:rPr>
        <w:t xml:space="preserve"> </w:t>
      </w:r>
      <w:r w:rsidRPr="0054202A">
        <w:rPr>
          <w:rFonts w:ascii="Arial" w:eastAsia="Times New Roman" w:hAnsi="Arial" w:cs="Arial"/>
          <w:color w:val="000000" w:themeColor="text1"/>
          <w:lang w:val="es-CO"/>
        </w:rPr>
        <w:t xml:space="preserve">Se materializó la radicación e inicio formal del trámite legislativo bajo el </w:t>
      </w:r>
      <w:r w:rsidRPr="0054202A">
        <w:rPr>
          <w:rFonts w:ascii="Arial" w:eastAsia="Times New Roman" w:hAnsi="Arial" w:cs="Arial"/>
          <w:bCs/>
          <w:color w:val="000000" w:themeColor="text1"/>
          <w:lang w:val="es-CO"/>
        </w:rPr>
        <w:t xml:space="preserve">Proyecto de Acto Legislativo No. </w:t>
      </w:r>
      <w:r w:rsidRPr="009F7F5F">
        <w:rPr>
          <w:rFonts w:ascii="Arial" w:eastAsia="Times New Roman" w:hAnsi="Arial" w:cs="Arial"/>
          <w:bCs/>
          <w:color w:val="000000" w:themeColor="text1"/>
          <w:lang w:val="es-CO"/>
        </w:rPr>
        <w:t>033 de 2023 Cámara</w:t>
      </w:r>
      <w:r w:rsidRPr="009F7F5F">
        <w:rPr>
          <w:rFonts w:ascii="Arial" w:eastAsia="Times New Roman" w:hAnsi="Arial" w:cs="Arial"/>
          <w:color w:val="000000" w:themeColor="text1"/>
          <w:lang w:val="es-CO"/>
        </w:rPr>
        <w:t xml:space="preserve">, el cual fue oficialmente publicado y dado a conocer al Congreso en la </w:t>
      </w:r>
      <w:r w:rsidRPr="009F7F5F">
        <w:rPr>
          <w:rFonts w:ascii="Arial" w:eastAsia="Times New Roman" w:hAnsi="Arial" w:cs="Arial"/>
          <w:bCs/>
          <w:color w:val="000000" w:themeColor="text1"/>
          <w:lang w:val="es-CO"/>
        </w:rPr>
        <w:t>Gaceta del Congreso No.</w:t>
      </w:r>
      <w:r w:rsidRPr="0054202A">
        <w:rPr>
          <w:rFonts w:ascii="Arial" w:eastAsia="Times New Roman" w:hAnsi="Arial" w:cs="Arial"/>
          <w:bCs/>
          <w:color w:val="000000" w:themeColor="text1"/>
          <w:lang w:val="es-CO"/>
        </w:rPr>
        <w:t xml:space="preserve"> </w:t>
      </w:r>
      <w:r w:rsidRPr="009F7F5F">
        <w:rPr>
          <w:rFonts w:ascii="Arial" w:eastAsia="Times New Roman" w:hAnsi="Arial" w:cs="Arial"/>
          <w:bCs/>
          <w:color w:val="000000" w:themeColor="text1"/>
          <w:lang w:val="es-CO"/>
        </w:rPr>
        <w:t xml:space="preserve">963 de </w:t>
      </w:r>
      <w:r w:rsidR="0016658A" w:rsidRPr="009F7F5F">
        <w:rPr>
          <w:rFonts w:ascii="Arial" w:eastAsia="Times New Roman" w:hAnsi="Arial" w:cs="Arial"/>
          <w:bCs/>
          <w:color w:val="000000" w:themeColor="text1"/>
          <w:lang w:val="es-CO"/>
        </w:rPr>
        <w:t>2023</w:t>
      </w:r>
      <w:r w:rsidR="0016658A" w:rsidRPr="009F7F5F">
        <w:rPr>
          <w:rFonts w:ascii="Arial" w:eastAsia="Times New Roman" w:hAnsi="Arial" w:cs="Arial"/>
          <w:color w:val="000000" w:themeColor="text1"/>
          <w:lang w:val="es-CO"/>
        </w:rPr>
        <w:t xml:space="preserve"> </w:t>
      </w:r>
      <w:r w:rsidR="0016658A">
        <w:rPr>
          <w:rFonts w:ascii="Arial" w:eastAsia="Times New Roman" w:hAnsi="Arial" w:cs="Arial"/>
          <w:color w:val="000000" w:themeColor="text1"/>
          <w:lang w:val="es-CO"/>
        </w:rPr>
        <w:t xml:space="preserve">publicada el </w:t>
      </w:r>
      <w:r w:rsidRPr="009F7F5F">
        <w:rPr>
          <w:rFonts w:ascii="Arial" w:eastAsia="Times New Roman" w:hAnsi="Arial" w:cs="Arial"/>
          <w:color w:val="000000" w:themeColor="text1"/>
          <w:lang w:val="es-CO"/>
        </w:rPr>
        <w:t>25 de julio de 2023), profundizando en la exposición de motivos sobre las potencialidades académicas, científicas y de innovación de la ciudad.</w:t>
      </w:r>
      <w:r w:rsidRPr="0054202A">
        <w:rPr>
          <w:rFonts w:ascii="Arial" w:eastAsia="Times New Roman" w:hAnsi="Arial" w:cs="Arial"/>
          <w:color w:val="000000" w:themeColor="text1"/>
          <w:lang w:val="es-CO"/>
        </w:rPr>
        <w:t xml:space="preserve"> </w:t>
      </w:r>
    </w:p>
    <w:p w14:paraId="0B9B30A4" w14:textId="77777777" w:rsidR="0054202A" w:rsidRPr="0054202A" w:rsidRDefault="00932603" w:rsidP="004053A5">
      <w:pPr>
        <w:numPr>
          <w:ilvl w:val="0"/>
          <w:numId w:val="4"/>
        </w:numPr>
        <w:spacing w:after="120" w:line="240" w:lineRule="auto"/>
        <w:ind w:left="0" w:firstLine="0"/>
        <w:jc w:val="both"/>
        <w:rPr>
          <w:rFonts w:ascii="Arial" w:eastAsia="Times New Roman" w:hAnsi="Arial" w:cs="Arial"/>
          <w:color w:val="000000" w:themeColor="text1"/>
          <w:lang w:val="es-CO"/>
        </w:rPr>
      </w:pPr>
      <w:r>
        <w:rPr>
          <w:rFonts w:ascii="Arial" w:eastAsia="Times New Roman" w:hAnsi="Arial" w:cs="Arial"/>
          <w:bCs/>
          <w:color w:val="000000" w:themeColor="text1"/>
          <w:lang w:val="es-CO"/>
        </w:rPr>
        <w:t xml:space="preserve">AÑO 2024 – </w:t>
      </w:r>
      <w:r w:rsidR="00EC76A8" w:rsidRPr="009F7F5F">
        <w:rPr>
          <w:rFonts w:ascii="Arial" w:eastAsia="Times New Roman" w:hAnsi="Arial" w:cs="Arial"/>
          <w:color w:val="000000" w:themeColor="text1"/>
          <w:lang w:val="es-CO"/>
        </w:rPr>
        <w:t xml:space="preserve"> </w:t>
      </w:r>
      <w:r w:rsidR="0054202A" w:rsidRPr="0054202A">
        <w:rPr>
          <w:rFonts w:ascii="Arial" w:eastAsia="Times New Roman" w:hAnsi="Arial" w:cs="Arial"/>
          <w:color w:val="000000" w:themeColor="text1"/>
          <w:lang w:val="es-CO"/>
        </w:rPr>
        <w:t xml:space="preserve">El proceso continuó su curso institucional mediante el </w:t>
      </w:r>
      <w:r w:rsidR="0054202A" w:rsidRPr="0054202A">
        <w:rPr>
          <w:rFonts w:ascii="Arial" w:eastAsia="Times New Roman" w:hAnsi="Arial" w:cs="Arial"/>
          <w:bCs/>
          <w:color w:val="000000" w:themeColor="text1"/>
          <w:lang w:val="es-CO"/>
        </w:rPr>
        <w:t>Proyecto de Acto Legislativo No. 019 de 2024 Senado</w:t>
      </w:r>
      <w:r w:rsidR="00595F4A" w:rsidRPr="00595F4A">
        <w:rPr>
          <w:rFonts w:ascii="Arial" w:eastAsia="Times New Roman" w:hAnsi="Arial" w:cs="Arial"/>
          <w:color w:val="000000" w:themeColor="text1"/>
          <w:lang w:val="es-CO"/>
        </w:rPr>
        <w:t xml:space="preserve"> </w:t>
      </w:r>
      <w:r w:rsidR="00AA0CD7">
        <w:rPr>
          <w:rFonts w:ascii="Arial" w:eastAsia="Times New Roman" w:hAnsi="Arial" w:cs="Arial"/>
          <w:color w:val="000000" w:themeColor="text1"/>
          <w:lang w:val="es-CO"/>
        </w:rPr>
        <w:t>-</w:t>
      </w:r>
      <w:r w:rsidR="00595F4A">
        <w:rPr>
          <w:rFonts w:ascii="Arial" w:eastAsia="Times New Roman" w:hAnsi="Arial" w:cs="Arial"/>
          <w:color w:val="000000" w:themeColor="text1"/>
          <w:lang w:val="es-CO"/>
        </w:rPr>
        <w:t xml:space="preserve"> </w:t>
      </w:r>
      <w:r w:rsidR="00595F4A" w:rsidRPr="0054202A">
        <w:rPr>
          <w:rFonts w:ascii="Arial" w:eastAsia="Times New Roman" w:hAnsi="Arial" w:cs="Arial"/>
          <w:bCs/>
          <w:color w:val="000000" w:themeColor="text1"/>
          <w:lang w:val="es-CO"/>
        </w:rPr>
        <w:t>Proyecto de Acto Legislativo</w:t>
      </w:r>
      <w:r w:rsidR="00595F4A">
        <w:rPr>
          <w:rFonts w:ascii="Arial" w:eastAsia="Times New Roman" w:hAnsi="Arial" w:cs="Arial"/>
          <w:color w:val="000000" w:themeColor="text1"/>
          <w:lang w:val="es-CO"/>
        </w:rPr>
        <w:t xml:space="preserve"> 449 Cámara</w:t>
      </w:r>
      <w:r w:rsidR="0054202A" w:rsidRPr="0054202A">
        <w:rPr>
          <w:rFonts w:ascii="Arial" w:eastAsia="Times New Roman" w:hAnsi="Arial" w:cs="Arial"/>
          <w:color w:val="000000" w:themeColor="text1"/>
          <w:lang w:val="es-CO"/>
        </w:rPr>
        <w:t>, cuyos textos y ponencias iniciales se publicaron formalmente en el pr</w:t>
      </w:r>
      <w:r w:rsidR="00595F4A">
        <w:rPr>
          <w:rFonts w:ascii="Arial" w:eastAsia="Times New Roman" w:hAnsi="Arial" w:cs="Arial"/>
          <w:color w:val="000000" w:themeColor="text1"/>
          <w:lang w:val="es-CO"/>
        </w:rPr>
        <w:t xml:space="preserve">imer semestre de la legislatura, </w:t>
      </w:r>
      <w:r w:rsidR="0054202A" w:rsidRPr="0054202A">
        <w:rPr>
          <w:rFonts w:ascii="Arial" w:eastAsia="Times New Roman" w:hAnsi="Arial" w:cs="Arial"/>
          <w:color w:val="000000" w:themeColor="text1"/>
          <w:lang w:val="es-CO"/>
        </w:rPr>
        <w:t xml:space="preserve">(con actuaciones destacadas en la </w:t>
      </w:r>
      <w:r w:rsidR="0054202A" w:rsidRPr="0054202A">
        <w:rPr>
          <w:rFonts w:ascii="Arial" w:eastAsia="Times New Roman" w:hAnsi="Arial" w:cs="Arial"/>
          <w:bCs/>
          <w:color w:val="000000" w:themeColor="text1"/>
          <w:lang w:val="es-CO"/>
        </w:rPr>
        <w:t>Ga</w:t>
      </w:r>
      <w:r w:rsidR="0054202A" w:rsidRPr="009F7F5F">
        <w:rPr>
          <w:rFonts w:ascii="Arial" w:eastAsia="Times New Roman" w:hAnsi="Arial" w:cs="Arial"/>
          <w:bCs/>
          <w:color w:val="000000" w:themeColor="text1"/>
          <w:lang w:val="es-CO"/>
        </w:rPr>
        <w:t>ceta del Congreso No. 431 del 1</w:t>
      </w:r>
      <w:r w:rsidR="003108B3">
        <w:rPr>
          <w:rFonts w:ascii="Arial" w:eastAsia="Times New Roman" w:hAnsi="Arial" w:cs="Arial"/>
          <w:bCs/>
          <w:color w:val="000000" w:themeColor="text1"/>
          <w:lang w:val="es-CO"/>
        </w:rPr>
        <w:t>7</w:t>
      </w:r>
      <w:r w:rsidR="0054202A" w:rsidRPr="009F7F5F">
        <w:rPr>
          <w:rFonts w:ascii="Arial" w:eastAsia="Times New Roman" w:hAnsi="Arial" w:cs="Arial"/>
          <w:bCs/>
          <w:color w:val="000000" w:themeColor="text1"/>
          <w:lang w:val="es-CO"/>
        </w:rPr>
        <w:t xml:space="preserve"> de abril</w:t>
      </w:r>
      <w:r w:rsidR="0054202A" w:rsidRPr="0054202A">
        <w:rPr>
          <w:rFonts w:ascii="Arial" w:eastAsia="Times New Roman" w:hAnsi="Arial" w:cs="Arial"/>
          <w:bCs/>
          <w:color w:val="000000" w:themeColor="text1"/>
          <w:lang w:val="es-CO"/>
        </w:rPr>
        <w:t xml:space="preserve"> de 2024</w:t>
      </w:r>
      <w:r w:rsidR="003108B3">
        <w:rPr>
          <w:rFonts w:ascii="Arial" w:eastAsia="Times New Roman" w:hAnsi="Arial" w:cs="Arial"/>
          <w:bCs/>
          <w:color w:val="000000" w:themeColor="text1"/>
          <w:lang w:val="es-CO"/>
        </w:rPr>
        <w:t>)</w:t>
      </w:r>
      <w:r>
        <w:rPr>
          <w:rFonts w:ascii="Arial" w:eastAsia="Times New Roman" w:hAnsi="Arial" w:cs="Arial"/>
          <w:bCs/>
          <w:color w:val="000000" w:themeColor="text1"/>
          <w:lang w:val="es-CO"/>
        </w:rPr>
        <w:t>.</w:t>
      </w:r>
    </w:p>
    <w:p w14:paraId="5BA5CCB5" w14:textId="77777777" w:rsidR="0054202A" w:rsidRPr="0054202A" w:rsidRDefault="0054202A" w:rsidP="004053A5">
      <w:pPr>
        <w:numPr>
          <w:ilvl w:val="0"/>
          <w:numId w:val="4"/>
        </w:numPr>
        <w:spacing w:after="120" w:line="240" w:lineRule="auto"/>
        <w:ind w:left="0" w:firstLine="0"/>
        <w:jc w:val="both"/>
        <w:rPr>
          <w:rFonts w:ascii="Arial" w:eastAsia="Times New Roman" w:hAnsi="Arial" w:cs="Arial"/>
          <w:color w:val="000000" w:themeColor="text1"/>
          <w:lang w:val="es-CO"/>
        </w:rPr>
      </w:pPr>
      <w:r w:rsidRPr="0054202A">
        <w:rPr>
          <w:rFonts w:ascii="Arial" w:eastAsia="Times New Roman" w:hAnsi="Arial" w:cs="Arial"/>
          <w:bCs/>
          <w:color w:val="000000" w:themeColor="text1"/>
          <w:lang w:val="es-CO"/>
        </w:rPr>
        <w:t>AÑO 2025 – Reintroducción y ajuste de la propuesta:</w:t>
      </w:r>
      <w:r w:rsidR="00EC76A8" w:rsidRPr="009F7F5F">
        <w:rPr>
          <w:rFonts w:ascii="Arial" w:eastAsia="Times New Roman" w:hAnsi="Arial" w:cs="Arial"/>
          <w:color w:val="000000" w:themeColor="text1"/>
          <w:lang w:val="es-CO"/>
        </w:rPr>
        <w:t xml:space="preserve"> </w:t>
      </w:r>
      <w:r w:rsidRPr="0054202A">
        <w:rPr>
          <w:rFonts w:ascii="Arial" w:eastAsia="Times New Roman" w:hAnsi="Arial" w:cs="Arial"/>
          <w:color w:val="000000" w:themeColor="text1"/>
          <w:lang w:val="es-CO"/>
        </w:rPr>
        <w:t xml:space="preserve">Con el propósito de actualizar y optimizar el alcance jurídico del articulado frente a las dinámicas de ordenamiento territorial nacional, se reintrodujo y radicó formalmente la iniciativa bajo el </w:t>
      </w:r>
      <w:r w:rsidRPr="0054202A">
        <w:rPr>
          <w:rFonts w:ascii="Arial" w:eastAsia="Times New Roman" w:hAnsi="Arial" w:cs="Arial"/>
          <w:bCs/>
          <w:color w:val="000000" w:themeColor="text1"/>
          <w:lang w:val="es-CO"/>
        </w:rPr>
        <w:t xml:space="preserve">Proyecto de Acto Legislativo No. </w:t>
      </w:r>
      <w:r w:rsidRPr="009F7F5F">
        <w:rPr>
          <w:rFonts w:ascii="Arial" w:eastAsia="Times New Roman" w:hAnsi="Arial" w:cs="Arial"/>
          <w:bCs/>
          <w:color w:val="000000" w:themeColor="text1"/>
          <w:lang w:val="es-CO"/>
        </w:rPr>
        <w:t>29 de 2025 Senado</w:t>
      </w:r>
      <w:r w:rsidRPr="009F7F5F">
        <w:rPr>
          <w:rFonts w:ascii="Arial" w:eastAsia="Times New Roman" w:hAnsi="Arial" w:cs="Arial"/>
          <w:color w:val="000000" w:themeColor="text1"/>
          <w:lang w:val="es-CO"/>
        </w:rPr>
        <w:t xml:space="preserve">, publicado oficialmente en la </w:t>
      </w:r>
      <w:r w:rsidRPr="009F7F5F">
        <w:rPr>
          <w:rFonts w:ascii="Arial" w:eastAsia="Times New Roman" w:hAnsi="Arial" w:cs="Arial"/>
          <w:bCs/>
          <w:color w:val="000000" w:themeColor="text1"/>
          <w:lang w:val="es-CO"/>
        </w:rPr>
        <w:t>Gaceta del Congreso No.</w:t>
      </w:r>
      <w:r w:rsidRPr="0054202A">
        <w:rPr>
          <w:rFonts w:ascii="Arial" w:eastAsia="Times New Roman" w:hAnsi="Arial" w:cs="Arial"/>
          <w:bCs/>
          <w:color w:val="000000" w:themeColor="text1"/>
          <w:lang w:val="es-CO"/>
        </w:rPr>
        <w:t xml:space="preserve"> </w:t>
      </w:r>
      <w:r w:rsidRPr="009F7F5F">
        <w:rPr>
          <w:rFonts w:ascii="Arial" w:eastAsia="Times New Roman" w:hAnsi="Arial" w:cs="Arial"/>
          <w:bCs/>
          <w:color w:val="000000" w:themeColor="text1"/>
          <w:lang w:val="es-CO"/>
        </w:rPr>
        <w:t xml:space="preserve">306 de 2025 el </w:t>
      </w:r>
      <w:r w:rsidR="00F02CD4" w:rsidRPr="009F7F5F">
        <w:rPr>
          <w:rFonts w:ascii="Arial" w:eastAsia="Times New Roman" w:hAnsi="Arial" w:cs="Arial"/>
          <w:bCs/>
          <w:color w:val="000000" w:themeColor="text1"/>
          <w:lang w:val="es-CO"/>
        </w:rPr>
        <w:t>18</w:t>
      </w:r>
      <w:r w:rsidRPr="009F7F5F">
        <w:rPr>
          <w:rFonts w:ascii="Arial" w:eastAsia="Times New Roman" w:hAnsi="Arial" w:cs="Arial"/>
          <w:bCs/>
          <w:color w:val="000000" w:themeColor="text1"/>
          <w:lang w:val="es-CO"/>
        </w:rPr>
        <w:t xml:space="preserve"> de marzo de 2025</w:t>
      </w:r>
      <w:r w:rsidRPr="009F7F5F">
        <w:rPr>
          <w:rFonts w:ascii="Arial" w:eastAsia="Times New Roman" w:hAnsi="Arial" w:cs="Arial"/>
          <w:color w:val="000000" w:themeColor="text1"/>
          <w:lang w:val="es-CO"/>
        </w:rPr>
        <w:t>.</w:t>
      </w:r>
      <w:r w:rsidRPr="0054202A">
        <w:rPr>
          <w:rFonts w:ascii="Arial" w:eastAsia="Times New Roman" w:hAnsi="Arial" w:cs="Arial"/>
          <w:color w:val="000000" w:themeColor="text1"/>
          <w:lang w:val="es-CO"/>
        </w:rPr>
        <w:t xml:space="preserve"> </w:t>
      </w:r>
    </w:p>
    <w:p w14:paraId="02AB2063" w14:textId="77777777" w:rsidR="0054202A" w:rsidRDefault="0054202A" w:rsidP="004053A5">
      <w:pPr>
        <w:numPr>
          <w:ilvl w:val="0"/>
          <w:numId w:val="4"/>
        </w:numPr>
        <w:spacing w:after="120" w:line="240" w:lineRule="auto"/>
        <w:ind w:left="0" w:firstLine="0"/>
        <w:jc w:val="both"/>
        <w:rPr>
          <w:rFonts w:ascii="Arial" w:eastAsia="Times New Roman" w:hAnsi="Arial" w:cs="Arial"/>
          <w:color w:val="000000" w:themeColor="text1"/>
          <w:lang w:val="es-CO"/>
        </w:rPr>
      </w:pPr>
      <w:r w:rsidRPr="0054202A">
        <w:rPr>
          <w:rFonts w:ascii="Arial" w:eastAsia="Times New Roman" w:hAnsi="Arial" w:cs="Arial"/>
          <w:bCs/>
          <w:color w:val="000000" w:themeColor="text1"/>
          <w:lang w:val="es-CO"/>
        </w:rPr>
        <w:t>AÑO 2026 – Continuación del impulso parlamentario:</w:t>
      </w:r>
      <w:r w:rsidR="00EC76A8" w:rsidRPr="009F7F5F">
        <w:rPr>
          <w:rFonts w:ascii="Arial" w:eastAsia="Times New Roman" w:hAnsi="Arial" w:cs="Arial"/>
          <w:color w:val="000000" w:themeColor="text1"/>
          <w:lang w:val="es-CO"/>
        </w:rPr>
        <w:t xml:space="preserve"> </w:t>
      </w:r>
      <w:r w:rsidRPr="0054202A">
        <w:rPr>
          <w:rFonts w:ascii="Arial" w:eastAsia="Times New Roman" w:hAnsi="Arial" w:cs="Arial"/>
          <w:color w:val="000000" w:themeColor="text1"/>
          <w:lang w:val="es-CO"/>
        </w:rPr>
        <w:t xml:space="preserve">Dando estricta continuidad a la voluntad institucional de dotar a Manizales de este estatus diferencial, el debate se reactivó en la presente vigencia mediante el </w:t>
      </w:r>
      <w:r w:rsidRPr="0054202A">
        <w:rPr>
          <w:rFonts w:ascii="Arial" w:eastAsia="Times New Roman" w:hAnsi="Arial" w:cs="Arial"/>
          <w:bCs/>
          <w:color w:val="000000" w:themeColor="text1"/>
          <w:lang w:val="es-CO"/>
        </w:rPr>
        <w:t>Proyecto de Acto Legislativo No. 14 de 2026 Senado</w:t>
      </w:r>
      <w:r w:rsidR="00DE7D65">
        <w:rPr>
          <w:rFonts w:ascii="Arial" w:eastAsia="Times New Roman" w:hAnsi="Arial" w:cs="Arial"/>
          <w:color w:val="000000" w:themeColor="text1"/>
          <w:lang w:val="es-CO"/>
        </w:rPr>
        <w:t xml:space="preserve"> </w:t>
      </w:r>
      <w:r w:rsidRPr="0054202A">
        <w:rPr>
          <w:rFonts w:ascii="Arial" w:eastAsia="Times New Roman" w:hAnsi="Arial" w:cs="Arial"/>
          <w:color w:val="000000" w:themeColor="text1"/>
          <w:lang w:val="es-CO"/>
        </w:rPr>
        <w:t xml:space="preserve">el cual fue radicado </w:t>
      </w:r>
      <w:r w:rsidR="00DE7D65">
        <w:rPr>
          <w:rFonts w:ascii="Arial" w:eastAsia="Times New Roman" w:hAnsi="Arial" w:cs="Arial"/>
          <w:color w:val="000000" w:themeColor="text1"/>
          <w:lang w:val="es-CO"/>
        </w:rPr>
        <w:t>el 14 de abril</w:t>
      </w:r>
      <w:r w:rsidR="00DE7D65" w:rsidRPr="0054202A">
        <w:rPr>
          <w:rFonts w:ascii="Arial" w:eastAsia="Times New Roman" w:hAnsi="Arial" w:cs="Arial"/>
          <w:color w:val="000000" w:themeColor="text1"/>
          <w:lang w:val="es-CO"/>
        </w:rPr>
        <w:t xml:space="preserve"> </w:t>
      </w:r>
      <w:r w:rsidRPr="0054202A">
        <w:rPr>
          <w:rFonts w:ascii="Arial" w:eastAsia="Times New Roman" w:hAnsi="Arial" w:cs="Arial"/>
          <w:color w:val="000000" w:themeColor="text1"/>
          <w:lang w:val="es-CO"/>
        </w:rPr>
        <w:t xml:space="preserve">y publicado en la </w:t>
      </w:r>
      <w:r w:rsidRPr="0054202A">
        <w:rPr>
          <w:rFonts w:ascii="Arial" w:eastAsia="Times New Roman" w:hAnsi="Arial" w:cs="Arial"/>
          <w:bCs/>
          <w:color w:val="000000" w:themeColor="text1"/>
          <w:lang w:val="es-CO"/>
        </w:rPr>
        <w:t>Gaceta del Congreso No. 430 del 6 de mayo de 2026</w:t>
      </w:r>
      <w:r w:rsidRPr="0054202A">
        <w:rPr>
          <w:rFonts w:ascii="Arial" w:eastAsia="Times New Roman" w:hAnsi="Arial" w:cs="Arial"/>
          <w:color w:val="000000" w:themeColor="text1"/>
          <w:lang w:val="es-CO"/>
        </w:rPr>
        <w:t>, consolidando los insumos técnicos, fiscales y jurídicos acumulados en los años precedentes.</w:t>
      </w:r>
    </w:p>
    <w:p w14:paraId="7A062744" w14:textId="77777777" w:rsidR="00DA369E" w:rsidRPr="0054202A" w:rsidRDefault="00DA369E" w:rsidP="00DA369E">
      <w:pPr>
        <w:spacing w:after="120" w:line="240" w:lineRule="auto"/>
        <w:jc w:val="both"/>
        <w:rPr>
          <w:rFonts w:ascii="Arial" w:eastAsia="Times New Roman" w:hAnsi="Arial" w:cs="Arial"/>
          <w:color w:val="000000" w:themeColor="text1"/>
          <w:lang w:val="es-CO"/>
        </w:rPr>
      </w:pPr>
      <w:r>
        <w:rPr>
          <w:rFonts w:ascii="Arial" w:eastAsia="Times New Roman" w:hAnsi="Arial" w:cs="Arial"/>
          <w:color w:val="000000" w:themeColor="text1"/>
          <w:lang w:val="es-CO"/>
        </w:rPr>
        <w:t>Los proyectos Actos Legislativos de los años anteriormente referenciados fueron archivados por tránsito de legislatura, articulo 190 ley 5 de 1992.</w:t>
      </w:r>
    </w:p>
    <w:p w14:paraId="591D4979" w14:textId="77777777" w:rsidR="0054202A" w:rsidRDefault="0054202A" w:rsidP="002D4ED9"/>
    <w:p w14:paraId="53989BC5"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 xml:space="preserve">El Proyecto de Acto Legislativo No. 244 de </w:t>
      </w:r>
      <w:r w:rsidR="001C4EFE" w:rsidRPr="00342443">
        <w:rPr>
          <w:rFonts w:ascii="Arial" w:hAnsi="Arial" w:cs="Arial"/>
          <w:color w:val="000000" w:themeColor="text1"/>
        </w:rPr>
        <w:t>2026</w:t>
      </w:r>
      <w:r w:rsidR="001C4EFE">
        <w:rPr>
          <w:rFonts w:ascii="Arial" w:hAnsi="Arial" w:cs="Arial"/>
          <w:color w:val="000000" w:themeColor="text1"/>
        </w:rPr>
        <w:t xml:space="preserve"> </w:t>
      </w:r>
      <w:r w:rsidR="001C4EFE" w:rsidRPr="00342443">
        <w:rPr>
          <w:rFonts w:ascii="Arial" w:hAnsi="Arial" w:cs="Arial"/>
          <w:color w:val="000000" w:themeColor="text1"/>
        </w:rPr>
        <w:t>Cámara</w:t>
      </w:r>
      <w:r w:rsidRPr="00342443">
        <w:rPr>
          <w:rFonts w:ascii="Arial" w:hAnsi="Arial" w:cs="Arial"/>
          <w:color w:val="000000" w:themeColor="text1"/>
        </w:rPr>
        <w:t xml:space="preserve"> fue radicado el 18 de agosto de 2026, junto con su exposición de motivos, y fue remitido a la Comisión Primera Constitucional Permanente de la Cámara de Representantes, cuya Mesa Directiva designó ponente único para primer debate. </w:t>
      </w:r>
      <w:r w:rsidR="00F41E7C">
        <w:rPr>
          <w:rFonts w:ascii="Arial" w:hAnsi="Arial" w:cs="Arial"/>
          <w:color w:val="000000" w:themeColor="text1"/>
        </w:rPr>
        <w:t>El proyecto fue presentado</w:t>
      </w:r>
      <w:r w:rsidRPr="00342443">
        <w:rPr>
          <w:rFonts w:ascii="Arial" w:hAnsi="Arial" w:cs="Arial"/>
          <w:color w:val="000000" w:themeColor="text1"/>
        </w:rPr>
        <w:t xml:space="preserve"> a iniciativa de miembros del Congreso de la República, ejerciendo la facultad constitucional prevista en el artículo 375 de la Constitución Política.</w:t>
      </w:r>
    </w:p>
    <w:p w14:paraId="209CB53A"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La iniciativa se inscribe en la línea legislativa de los distritos temáticos consolidada en el ordenamiento constitucional y legal. La categoría de distrito especial está reconocida por el artículo 286 de la Constitución Política, que incluye a los distritos entre las entidades territoriales, y por el artículo 322, que consagra su régimen político, fiscal y administrativo especial. La Ley 1617 de 2013 expidió el régimen de los Distritos Especiales con el objetivo de dotarlos de las facultades, instrumentos y recursos que su condición especial demanda. El precedente más reciente y directamente pertinente es el del Distrito Especial de Ciencia, Tecnología e Innovación de Medellín, organizado mediante el Acto Legislativo 01 de 2021 y desarrollado por la Ley 2286 de 2023, que replica el esquema que el presente proyecto adapta a la vocación específica de Manizales: el conocimiento, la sostenibilidad y la innovación.</w:t>
      </w:r>
    </w:p>
    <w:p w14:paraId="36E131AF"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El bloque normativo que respalda la iniciativa comprende, además, las Leyes 1004 de 2005 (zonas francas), 1834 de 2017 (Ley Naranja), 1581 de 2012 (protección de datos personales) y 819 de 2003 (responsabilidad y transparencia fiscal), así como el marco del Sistema Nacional de Ciencia, Tecnología e Innovación (SNCTeI) y la Política Pública Nacional de Ciencia, Tecnología e Innovación 2022-2031</w:t>
      </w:r>
      <w:r w:rsidR="00225AC6" w:rsidRPr="00225AC6">
        <w:rPr>
          <w:rFonts w:ascii="Arial" w:hAnsi="Arial" w:cs="Arial"/>
          <w:color w:val="000000" w:themeColor="text1"/>
        </w:rPr>
        <w:t xml:space="preserve"> busca servir como hoja de ruta decenal para el desarrollo sostenible del país a través del Ministerio de Ciencia Tecnología e Innovación</w:t>
      </w:r>
      <w:r w:rsidRPr="00342443">
        <w:rPr>
          <w:rFonts w:ascii="Arial" w:hAnsi="Arial" w:cs="Arial"/>
          <w:color w:val="000000" w:themeColor="text1"/>
        </w:rPr>
        <w:t>.</w:t>
      </w:r>
    </w:p>
    <w:p w14:paraId="783BE894"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En el plano territorial, soportan la iniciativa el Análisis del Regional Entrepreneurship Acceleration Program (REAP) del Instituto Tecnológico de Massachusetts (MIT) para el Departamento de Caldas (Cohorte 8); el Documento Técnico “Lineamiento para una Política Pública de Ciencia, Tecnología, Innovación y Educación para el Departamento de Caldas” (2022-2032), elaborado por la Fundación CINDE con la Secretaría de Desarrollo, Empleo e Innovación de Caldas; la Ordenanza No. 952 de 2023 de la Asamblea Departamental de Caldas, por medio de la cual se adopta la Política Pública de Ciencia, Tecnología e Innovación del departamento para el periodo 2023-2033; y los insumos de la Misión de Sabios por Caldas 2020-2021.</w:t>
      </w:r>
    </w:p>
    <w:p w14:paraId="2D566616" w14:textId="77777777" w:rsidR="00F46FB9" w:rsidRPr="00342443" w:rsidRDefault="00F46FB9" w:rsidP="00F46FB9">
      <w:pPr>
        <w:spacing w:after="120" w:line="276" w:lineRule="auto"/>
        <w:jc w:val="both"/>
        <w:rPr>
          <w:rFonts w:ascii="Arial" w:hAnsi="Arial" w:cs="Arial"/>
          <w:color w:val="000000" w:themeColor="text1"/>
        </w:rPr>
      </w:pPr>
    </w:p>
    <w:p w14:paraId="66971841" w14:textId="77777777" w:rsidR="004F7CD0" w:rsidRPr="00342443" w:rsidRDefault="00974B3E" w:rsidP="002966B5">
      <w:pPr>
        <w:pStyle w:val="Ttulo2"/>
        <w:rPr>
          <w:rFonts w:ascii="Arial" w:hAnsi="Arial" w:cs="Arial"/>
          <w:color w:val="000000" w:themeColor="text1"/>
          <w:sz w:val="24"/>
          <w:szCs w:val="24"/>
        </w:rPr>
      </w:pPr>
      <w:bookmarkStart w:id="3" w:name="_Toc240894028"/>
      <w:r w:rsidRPr="00342443">
        <w:rPr>
          <w:rFonts w:ascii="Arial" w:hAnsi="Arial" w:cs="Arial"/>
          <w:color w:val="000000" w:themeColor="text1"/>
          <w:sz w:val="24"/>
          <w:szCs w:val="24"/>
        </w:rPr>
        <w:t>III. JUSTIFICACIÓN DEL PROYECTO</w:t>
      </w:r>
      <w:bookmarkEnd w:id="3"/>
    </w:p>
    <w:p w14:paraId="4D8A73A4"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 xml:space="preserve">La exposición de motivos del proyecto desarrolla, con rigor, las razones de necesidad y utilidad pública de la reforma, que esta ponencia acoge y reproduce, complementándolas </w:t>
      </w:r>
      <w:r w:rsidRPr="00342443">
        <w:rPr>
          <w:rFonts w:ascii="Arial" w:hAnsi="Arial" w:cs="Arial"/>
          <w:color w:val="000000" w:themeColor="text1"/>
        </w:rPr>
        <w:lastRenderedPageBreak/>
        <w:t>con la evidencia del Análisis MIT REAP y del Documento Técnico de la Política Pública de CTeI de Caldas. Su propósito es demostrar que la calidad distrital no es una aspiración abstracta, sino la coronación institucional de un ecosistema real, medible y reconocido nacional e internacionalmente.</w:t>
      </w:r>
    </w:p>
    <w:p w14:paraId="53834859" w14:textId="77777777" w:rsidR="00F46FB9" w:rsidRPr="00342443" w:rsidRDefault="00F46FB9" w:rsidP="00F46FB9">
      <w:pPr>
        <w:spacing w:after="120" w:line="276" w:lineRule="auto"/>
        <w:jc w:val="both"/>
        <w:rPr>
          <w:rFonts w:ascii="Arial" w:hAnsi="Arial" w:cs="Arial"/>
          <w:color w:val="000000" w:themeColor="text1"/>
        </w:rPr>
      </w:pPr>
    </w:p>
    <w:p w14:paraId="6E7B5C24" w14:textId="77777777" w:rsidR="004F7CD0" w:rsidRPr="00342443" w:rsidRDefault="00974B3E" w:rsidP="002966B5">
      <w:pPr>
        <w:pStyle w:val="Ttulo3"/>
        <w:rPr>
          <w:rFonts w:ascii="Arial" w:hAnsi="Arial" w:cs="Arial"/>
          <w:color w:val="000000" w:themeColor="text1"/>
        </w:rPr>
      </w:pPr>
      <w:bookmarkStart w:id="4" w:name="_Toc240894029"/>
      <w:r w:rsidRPr="00342443">
        <w:rPr>
          <w:rFonts w:ascii="Arial" w:hAnsi="Arial" w:cs="Arial"/>
          <w:color w:val="000000" w:themeColor="text1"/>
        </w:rPr>
        <w:t>3.1. Finalidad pública y fundamento constitucional</w:t>
      </w:r>
      <w:bookmarkEnd w:id="4"/>
    </w:p>
    <w:p w14:paraId="0D8ABACE" w14:textId="77777777" w:rsidR="00176754" w:rsidRPr="00342443" w:rsidRDefault="00974B3E" w:rsidP="00F46FB9">
      <w:pPr>
        <w:pStyle w:val="x1yc453h"/>
        <w:jc w:val="both"/>
        <w:rPr>
          <w:rFonts w:ascii="Arial" w:hAnsi="Arial" w:cs="Arial"/>
          <w:color w:val="000000" w:themeColor="text1"/>
        </w:rPr>
      </w:pPr>
      <w:r w:rsidRPr="00342443">
        <w:rPr>
          <w:rFonts w:ascii="Arial" w:hAnsi="Arial" w:cs="Arial"/>
          <w:color w:val="000000" w:themeColor="text1"/>
        </w:rPr>
        <w:t xml:space="preserve">La finalidad pública superior de la iniciativa radica en sofisticar la matriz productiva de Colombia, transitando de un modelo extractivo hacia una economía del conocimiento caracterizada por bienes y servicios de alto valor agregado. La creación del Distrito posiciona a la región en la competitividad internacional, aprovechando la membresía de Manizales </w:t>
      </w:r>
      <w:r w:rsidR="00176754" w:rsidRPr="00342443">
        <w:rPr>
          <w:rFonts w:ascii="Arial" w:hAnsi="Arial" w:cs="Arial"/>
          <w:color w:val="000000" w:themeColor="text1"/>
        </w:rPr>
        <w:t>a la</w:t>
      </w:r>
      <w:r w:rsidR="00176754" w:rsidRPr="00342443">
        <w:rPr>
          <w:rStyle w:val="apple-converted-space"/>
          <w:rFonts w:ascii="Arial" w:hAnsi="Arial" w:cs="Arial"/>
          <w:color w:val="000000" w:themeColor="text1"/>
        </w:rPr>
        <w:t> </w:t>
      </w:r>
      <w:r w:rsidR="00176754" w:rsidRPr="00342443">
        <w:rPr>
          <w:rStyle w:val="Textoennegrita"/>
          <w:rFonts w:ascii="Arial" w:hAnsi="Arial" w:cs="Arial"/>
          <w:color w:val="000000" w:themeColor="text1"/>
        </w:rPr>
        <w:t>Red Mundial de</w:t>
      </w:r>
      <w:r w:rsidR="00176754" w:rsidRPr="00342443">
        <w:rPr>
          <w:rStyle w:val="apple-converted-space"/>
          <w:rFonts w:ascii="Arial" w:hAnsi="Arial" w:cs="Arial"/>
          <w:b/>
          <w:bCs/>
          <w:color w:val="000000" w:themeColor="text1"/>
        </w:rPr>
        <w:t> </w:t>
      </w:r>
      <w:r w:rsidR="00176754" w:rsidRPr="00342443">
        <w:rPr>
          <w:rStyle w:val="Textoennegrita"/>
          <w:rFonts w:ascii="Arial" w:hAnsi="Arial" w:cs="Arial"/>
          <w:color w:val="000000" w:themeColor="text1"/>
        </w:rPr>
        <w:t>Ciudades del Aprendizaje</w:t>
      </w:r>
      <w:r w:rsidR="00176754" w:rsidRPr="00342443">
        <w:rPr>
          <w:rStyle w:val="apple-converted-space"/>
          <w:rFonts w:ascii="Arial" w:hAnsi="Arial" w:cs="Arial"/>
          <w:b/>
          <w:bCs/>
          <w:color w:val="000000" w:themeColor="text1"/>
        </w:rPr>
        <w:t> </w:t>
      </w:r>
      <w:r w:rsidR="00176754" w:rsidRPr="00342443">
        <w:rPr>
          <w:rStyle w:val="Textoennegrita"/>
          <w:rFonts w:ascii="Arial" w:hAnsi="Arial" w:cs="Arial"/>
          <w:color w:val="000000" w:themeColor="text1"/>
        </w:rPr>
        <w:t xml:space="preserve">de la UNESCO, </w:t>
      </w:r>
      <w:r w:rsidR="00176754" w:rsidRPr="00342443">
        <w:rPr>
          <w:rStyle w:val="Textoennegrita"/>
          <w:rFonts w:ascii="Arial" w:hAnsi="Arial" w:cs="Arial"/>
          <w:b w:val="0"/>
          <w:bCs w:val="0"/>
          <w:color w:val="000000" w:themeColor="text1"/>
        </w:rPr>
        <w:t>el cual</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refleja el compromiso</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de la ciudad</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con el desarrollo</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permanente de capacidades</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humanas, la generación</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y circulación de</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conocimiento y la</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construcción de ecosistemas</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que favorecen el</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aprendizaje, la creatividad y</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la innovación. A</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ello se suma</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su desempeño en el</w:t>
      </w:r>
      <w:r w:rsidR="00176754" w:rsidRPr="00342443">
        <w:rPr>
          <w:rStyle w:val="apple-converted-space"/>
          <w:rFonts w:ascii="Arial" w:hAnsi="Arial" w:cs="Arial"/>
          <w:color w:val="000000" w:themeColor="text1"/>
        </w:rPr>
        <w:t> </w:t>
      </w:r>
      <w:r w:rsidR="00176754" w:rsidRPr="00342443">
        <w:rPr>
          <w:rStyle w:val="Textoennegrita"/>
          <w:rFonts w:ascii="Arial" w:hAnsi="Arial" w:cs="Arial"/>
          <w:color w:val="000000" w:themeColor="text1"/>
        </w:rPr>
        <w:t>Índice GEIAL para</w:t>
      </w:r>
      <w:r w:rsidR="00176754" w:rsidRPr="00342443">
        <w:rPr>
          <w:rStyle w:val="apple-converted-space"/>
          <w:rFonts w:ascii="Arial" w:hAnsi="Arial" w:cs="Arial"/>
          <w:b/>
          <w:bCs/>
          <w:color w:val="000000" w:themeColor="text1"/>
        </w:rPr>
        <w:t> </w:t>
      </w:r>
      <w:r w:rsidR="00176754" w:rsidRPr="00342443">
        <w:rPr>
          <w:rStyle w:val="Textoennegrita"/>
          <w:rFonts w:ascii="Arial" w:hAnsi="Arial" w:cs="Arial"/>
          <w:color w:val="000000" w:themeColor="text1"/>
        </w:rPr>
        <w:t>ciudades intermedias de</w:t>
      </w:r>
      <w:r w:rsidR="00176754" w:rsidRPr="00342443">
        <w:rPr>
          <w:rStyle w:val="apple-converted-space"/>
          <w:rFonts w:ascii="Arial" w:hAnsi="Arial" w:cs="Arial"/>
          <w:b/>
          <w:bCs/>
          <w:color w:val="000000" w:themeColor="text1"/>
        </w:rPr>
        <w:t> </w:t>
      </w:r>
      <w:r w:rsidR="00176754" w:rsidRPr="00342443">
        <w:rPr>
          <w:rStyle w:val="Textoennegrita"/>
          <w:rFonts w:ascii="Arial" w:hAnsi="Arial" w:cs="Arial"/>
          <w:color w:val="000000" w:themeColor="text1"/>
        </w:rPr>
        <w:t>América Latina</w:t>
      </w:r>
      <w:r w:rsidR="00176754" w:rsidRPr="00342443">
        <w:rPr>
          <w:rFonts w:ascii="Arial" w:hAnsi="Arial" w:cs="Arial"/>
          <w:color w:val="000000" w:themeColor="text1"/>
        </w:rPr>
        <w:t>, que permite aproximarse a las</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condiciones del entorno</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empresarial, emprendedor</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e innovador de</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las ciudades y a</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su capacidad para</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generar dinámicas de</w:t>
      </w:r>
      <w:r w:rsidR="00176754" w:rsidRPr="00342443">
        <w:rPr>
          <w:rStyle w:val="apple-converted-space"/>
          <w:rFonts w:ascii="Arial" w:hAnsi="Arial" w:cs="Arial"/>
          <w:color w:val="000000" w:themeColor="text1"/>
        </w:rPr>
        <w:t> </w:t>
      </w:r>
      <w:r w:rsidR="00176754" w:rsidRPr="00342443">
        <w:rPr>
          <w:rFonts w:ascii="Arial" w:hAnsi="Arial" w:cs="Arial"/>
          <w:color w:val="000000" w:themeColor="text1"/>
        </w:rPr>
        <w:t>desarrollo económico.</w:t>
      </w:r>
    </w:p>
    <w:p w14:paraId="1E2D2FB4" w14:textId="77777777" w:rsidR="004F7CD0" w:rsidRPr="00342443" w:rsidRDefault="00176754" w:rsidP="00F46FB9">
      <w:pPr>
        <w:pStyle w:val="x1yc453h"/>
        <w:jc w:val="both"/>
        <w:rPr>
          <w:rFonts w:ascii="Arial" w:hAnsi="Arial" w:cs="Arial"/>
          <w:color w:val="000000" w:themeColor="text1"/>
        </w:rPr>
      </w:pPr>
      <w:r w:rsidRPr="00342443">
        <w:rPr>
          <w:rFonts w:ascii="Arial" w:hAnsi="Arial" w:cs="Arial"/>
          <w:color w:val="000000" w:themeColor="text1"/>
        </w:rPr>
        <w:t>De igual manera,</w:t>
      </w:r>
      <w:r w:rsidRPr="00342443">
        <w:rPr>
          <w:rStyle w:val="apple-converted-space"/>
          <w:rFonts w:ascii="Arial" w:hAnsi="Arial" w:cs="Arial"/>
          <w:color w:val="000000" w:themeColor="text1"/>
        </w:rPr>
        <w:t> </w:t>
      </w:r>
      <w:r w:rsidRPr="00342443">
        <w:rPr>
          <w:rStyle w:val="Textoennegrita"/>
          <w:rFonts w:ascii="Arial" w:hAnsi="Arial" w:cs="Arial"/>
          <w:color w:val="000000" w:themeColor="text1"/>
        </w:rPr>
        <w:t>Manizales fue reconocida</w:t>
      </w:r>
      <w:r w:rsidRPr="00342443">
        <w:rPr>
          <w:rStyle w:val="apple-converted-space"/>
          <w:rFonts w:ascii="Arial" w:hAnsi="Arial" w:cs="Arial"/>
          <w:b/>
          <w:bCs/>
          <w:color w:val="000000" w:themeColor="text1"/>
        </w:rPr>
        <w:t> </w:t>
      </w:r>
      <w:r w:rsidRPr="00342443">
        <w:rPr>
          <w:rStyle w:val="Textoennegrita"/>
          <w:rFonts w:ascii="Arial" w:hAnsi="Arial" w:cs="Arial"/>
          <w:color w:val="000000" w:themeColor="text1"/>
        </w:rPr>
        <w:t>con el Premio</w:t>
      </w:r>
      <w:r w:rsidRPr="00342443">
        <w:rPr>
          <w:rStyle w:val="apple-converted-space"/>
          <w:rFonts w:ascii="Arial" w:hAnsi="Arial" w:cs="Arial"/>
          <w:b/>
          <w:bCs/>
          <w:color w:val="000000" w:themeColor="text1"/>
        </w:rPr>
        <w:t> </w:t>
      </w:r>
      <w:r w:rsidRPr="00342443">
        <w:rPr>
          <w:rStyle w:val="Textoennegrita"/>
          <w:rFonts w:ascii="Arial" w:hAnsi="Arial" w:cs="Arial"/>
          <w:color w:val="000000" w:themeColor="text1"/>
        </w:rPr>
        <w:t>ONU-Hábitat LATAM</w:t>
      </w:r>
      <w:r w:rsidRPr="00342443">
        <w:rPr>
          <w:rStyle w:val="apple-converted-space"/>
          <w:rFonts w:ascii="Arial" w:hAnsi="Arial" w:cs="Arial"/>
          <w:b/>
          <w:bCs/>
          <w:color w:val="000000" w:themeColor="text1"/>
        </w:rPr>
        <w:t> </w:t>
      </w:r>
      <w:r w:rsidRPr="00342443">
        <w:rPr>
          <w:rStyle w:val="Textoennegrita"/>
          <w:rFonts w:ascii="Arial" w:hAnsi="Arial" w:cs="Arial"/>
          <w:color w:val="000000" w:themeColor="text1"/>
        </w:rPr>
        <w:t>2025 en la categoría</w:t>
      </w:r>
      <w:r w:rsidRPr="00342443">
        <w:rPr>
          <w:rStyle w:val="apple-converted-space"/>
          <w:rFonts w:ascii="Arial" w:hAnsi="Arial" w:cs="Arial"/>
          <w:b/>
          <w:bCs/>
          <w:color w:val="000000" w:themeColor="text1"/>
        </w:rPr>
        <w:t> </w:t>
      </w:r>
      <w:r w:rsidRPr="00342443">
        <w:rPr>
          <w:rStyle w:val="Textoennegrita"/>
          <w:rFonts w:ascii="Arial" w:hAnsi="Arial" w:cs="Arial"/>
          <w:color w:val="000000" w:themeColor="text1"/>
        </w:rPr>
        <w:t>“Ciudades para la</w:t>
      </w:r>
      <w:r w:rsidRPr="00342443">
        <w:rPr>
          <w:rStyle w:val="apple-converted-space"/>
          <w:rFonts w:ascii="Arial" w:hAnsi="Arial" w:cs="Arial"/>
          <w:b/>
          <w:bCs/>
          <w:color w:val="000000" w:themeColor="text1"/>
        </w:rPr>
        <w:t> </w:t>
      </w:r>
      <w:r w:rsidRPr="00342443">
        <w:rPr>
          <w:rStyle w:val="Textoennegrita"/>
          <w:rFonts w:ascii="Arial" w:hAnsi="Arial" w:cs="Arial"/>
          <w:color w:val="000000" w:themeColor="text1"/>
        </w:rPr>
        <w:t>Vida”</w:t>
      </w:r>
      <w:r w:rsidRPr="00342443">
        <w:rPr>
          <w:rFonts w:ascii="Arial" w:hAnsi="Arial" w:cs="Arial"/>
          <w:color w:val="000000" w:themeColor="text1"/>
        </w:rPr>
        <w:t>, reconocimiento que adquiere</w:t>
      </w:r>
      <w:r w:rsidRPr="00342443">
        <w:rPr>
          <w:rStyle w:val="apple-converted-space"/>
          <w:rFonts w:ascii="Arial" w:hAnsi="Arial" w:cs="Arial"/>
          <w:color w:val="000000" w:themeColor="text1"/>
        </w:rPr>
        <w:t> </w:t>
      </w:r>
      <w:r w:rsidRPr="00342443">
        <w:rPr>
          <w:rFonts w:ascii="Arial" w:hAnsi="Arial" w:cs="Arial"/>
          <w:color w:val="000000" w:themeColor="text1"/>
        </w:rPr>
        <w:t>especial relevancia para</w:t>
      </w:r>
      <w:r w:rsidRPr="00342443">
        <w:rPr>
          <w:rStyle w:val="apple-converted-space"/>
          <w:rFonts w:ascii="Arial" w:hAnsi="Arial" w:cs="Arial"/>
          <w:color w:val="000000" w:themeColor="text1"/>
        </w:rPr>
        <w:t> </w:t>
      </w:r>
      <w:r w:rsidRPr="00342443">
        <w:rPr>
          <w:rFonts w:ascii="Arial" w:hAnsi="Arial" w:cs="Arial"/>
          <w:color w:val="000000" w:themeColor="text1"/>
        </w:rPr>
        <w:t>esta iniciativa, dado</w:t>
      </w:r>
      <w:r w:rsidRPr="00342443">
        <w:rPr>
          <w:rStyle w:val="apple-converted-space"/>
          <w:rFonts w:ascii="Arial" w:hAnsi="Arial" w:cs="Arial"/>
          <w:color w:val="000000" w:themeColor="text1"/>
        </w:rPr>
        <w:t> </w:t>
      </w:r>
      <w:r w:rsidRPr="00342443">
        <w:rPr>
          <w:rFonts w:ascii="Arial" w:hAnsi="Arial" w:cs="Arial"/>
          <w:color w:val="000000" w:themeColor="text1"/>
        </w:rPr>
        <w:t>que su evaluación</w:t>
      </w:r>
      <w:r w:rsidRPr="00342443">
        <w:rPr>
          <w:rStyle w:val="apple-converted-space"/>
          <w:rFonts w:ascii="Arial" w:hAnsi="Arial" w:cs="Arial"/>
          <w:color w:val="000000" w:themeColor="text1"/>
        </w:rPr>
        <w:t> </w:t>
      </w:r>
      <w:r w:rsidRPr="00342443">
        <w:rPr>
          <w:rFonts w:ascii="Arial" w:hAnsi="Arial" w:cs="Arial"/>
          <w:color w:val="000000" w:themeColor="text1"/>
        </w:rPr>
        <w:t>se fundamenta en</w:t>
      </w:r>
      <w:r w:rsidRPr="00342443">
        <w:rPr>
          <w:rStyle w:val="apple-converted-space"/>
          <w:rFonts w:ascii="Arial" w:hAnsi="Arial" w:cs="Arial"/>
          <w:color w:val="000000" w:themeColor="text1"/>
        </w:rPr>
        <w:t> </w:t>
      </w:r>
      <w:r w:rsidRPr="00342443">
        <w:rPr>
          <w:rFonts w:ascii="Arial" w:hAnsi="Arial" w:cs="Arial"/>
          <w:color w:val="000000" w:themeColor="text1"/>
        </w:rPr>
        <w:t>un conjunto amplio</w:t>
      </w:r>
      <w:r w:rsidRPr="00342443">
        <w:rPr>
          <w:rStyle w:val="apple-converted-space"/>
          <w:rFonts w:ascii="Arial" w:hAnsi="Arial" w:cs="Arial"/>
          <w:color w:val="000000" w:themeColor="text1"/>
        </w:rPr>
        <w:t> </w:t>
      </w:r>
      <w:r w:rsidRPr="00342443">
        <w:rPr>
          <w:rFonts w:ascii="Arial" w:hAnsi="Arial" w:cs="Arial"/>
          <w:color w:val="000000" w:themeColor="text1"/>
        </w:rPr>
        <w:t>de indicadores asociados</w:t>
      </w:r>
      <w:r w:rsidRPr="00342443">
        <w:rPr>
          <w:rStyle w:val="apple-converted-space"/>
          <w:rFonts w:ascii="Arial" w:hAnsi="Arial" w:cs="Arial"/>
          <w:color w:val="000000" w:themeColor="text1"/>
        </w:rPr>
        <w:t> </w:t>
      </w:r>
      <w:r w:rsidRPr="00342443">
        <w:rPr>
          <w:rFonts w:ascii="Arial" w:hAnsi="Arial" w:cs="Arial"/>
          <w:color w:val="000000" w:themeColor="text1"/>
        </w:rPr>
        <w:t>a los</w:t>
      </w:r>
      <w:r w:rsidRPr="00342443">
        <w:rPr>
          <w:rStyle w:val="apple-converted-space"/>
          <w:rFonts w:ascii="Arial" w:hAnsi="Arial" w:cs="Arial"/>
          <w:color w:val="000000" w:themeColor="text1"/>
        </w:rPr>
        <w:t> </w:t>
      </w:r>
      <w:r w:rsidRPr="00342443">
        <w:rPr>
          <w:rStyle w:val="Textoennegrita"/>
          <w:rFonts w:ascii="Arial" w:hAnsi="Arial" w:cs="Arial"/>
          <w:color w:val="000000" w:themeColor="text1"/>
        </w:rPr>
        <w:t>17 Objetivos de Desarrollo</w:t>
      </w:r>
      <w:r w:rsidRPr="00342443">
        <w:rPr>
          <w:rStyle w:val="apple-converted-space"/>
          <w:rFonts w:ascii="Arial" w:hAnsi="Arial" w:cs="Arial"/>
          <w:b/>
          <w:bCs/>
          <w:color w:val="000000" w:themeColor="text1"/>
        </w:rPr>
        <w:t> </w:t>
      </w:r>
      <w:r w:rsidRPr="00342443">
        <w:rPr>
          <w:rStyle w:val="Textoennegrita"/>
          <w:rFonts w:ascii="Arial" w:hAnsi="Arial" w:cs="Arial"/>
          <w:color w:val="000000" w:themeColor="text1"/>
        </w:rPr>
        <w:t>Sostenible (ODS)</w:t>
      </w:r>
      <w:r w:rsidRPr="00342443">
        <w:rPr>
          <w:rFonts w:ascii="Arial" w:hAnsi="Arial" w:cs="Arial"/>
          <w:color w:val="000000" w:themeColor="text1"/>
        </w:rPr>
        <w:t>. Estos</w:t>
      </w:r>
      <w:r w:rsidRPr="00342443">
        <w:rPr>
          <w:rStyle w:val="apple-converted-space"/>
          <w:rFonts w:ascii="Arial" w:hAnsi="Arial" w:cs="Arial"/>
          <w:color w:val="000000" w:themeColor="text1"/>
        </w:rPr>
        <w:t> </w:t>
      </w:r>
      <w:r w:rsidRPr="00342443">
        <w:rPr>
          <w:rFonts w:ascii="Arial" w:hAnsi="Arial" w:cs="Arial"/>
          <w:color w:val="000000" w:themeColor="text1"/>
        </w:rPr>
        <w:t xml:space="preserve">indicadores </w:t>
      </w:r>
      <w:r w:rsidRPr="00342443">
        <w:rPr>
          <w:rStyle w:val="Textoennegrita"/>
          <w:rFonts w:ascii="Arial" w:hAnsi="Arial" w:cs="Arial"/>
          <w:color w:val="000000" w:themeColor="text1"/>
        </w:rPr>
        <w:t>incorporan dimensiones</w:t>
      </w:r>
      <w:r w:rsidRPr="00342443">
        <w:rPr>
          <w:rStyle w:val="apple-converted-space"/>
          <w:rFonts w:ascii="Arial" w:hAnsi="Arial" w:cs="Arial"/>
          <w:b/>
          <w:bCs/>
          <w:color w:val="000000" w:themeColor="text1"/>
        </w:rPr>
        <w:t> </w:t>
      </w:r>
      <w:r w:rsidRPr="00342443">
        <w:rPr>
          <w:rStyle w:val="Textoennegrita"/>
          <w:rFonts w:ascii="Arial" w:hAnsi="Arial" w:cs="Arial"/>
          <w:color w:val="000000" w:themeColor="text1"/>
        </w:rPr>
        <w:t>estrechamente relacionadas</w:t>
      </w:r>
      <w:r w:rsidRPr="00342443">
        <w:rPr>
          <w:rStyle w:val="apple-converted-space"/>
          <w:rFonts w:ascii="Arial" w:hAnsi="Arial" w:cs="Arial"/>
          <w:b/>
          <w:bCs/>
          <w:color w:val="000000" w:themeColor="text1"/>
        </w:rPr>
        <w:t> </w:t>
      </w:r>
      <w:r w:rsidRPr="00342443">
        <w:rPr>
          <w:rStyle w:val="Textoennegrita"/>
          <w:rFonts w:ascii="Arial" w:hAnsi="Arial" w:cs="Arial"/>
          <w:color w:val="000000" w:themeColor="text1"/>
        </w:rPr>
        <w:t>con las condiciones</w:t>
      </w:r>
      <w:r w:rsidRPr="00342443">
        <w:rPr>
          <w:rStyle w:val="apple-converted-space"/>
          <w:rFonts w:ascii="Arial" w:hAnsi="Arial" w:cs="Arial"/>
          <w:b/>
          <w:bCs/>
          <w:color w:val="000000" w:themeColor="text1"/>
        </w:rPr>
        <w:t> </w:t>
      </w:r>
      <w:r w:rsidRPr="00342443">
        <w:rPr>
          <w:rStyle w:val="Textoennegrita"/>
          <w:rFonts w:ascii="Arial" w:hAnsi="Arial" w:cs="Arial"/>
          <w:color w:val="000000" w:themeColor="text1"/>
        </w:rPr>
        <w:t>que hacen posible</w:t>
      </w:r>
      <w:r w:rsidRPr="00342443">
        <w:rPr>
          <w:rStyle w:val="apple-converted-space"/>
          <w:rFonts w:ascii="Arial" w:hAnsi="Arial" w:cs="Arial"/>
          <w:b/>
          <w:bCs/>
          <w:color w:val="000000" w:themeColor="text1"/>
        </w:rPr>
        <w:t> </w:t>
      </w:r>
      <w:r w:rsidRPr="00342443">
        <w:rPr>
          <w:rStyle w:val="Textoennegrita"/>
          <w:rFonts w:ascii="Arial" w:hAnsi="Arial" w:cs="Arial"/>
          <w:color w:val="000000" w:themeColor="text1"/>
        </w:rPr>
        <w:t>y sostenible la</w:t>
      </w:r>
      <w:r w:rsidRPr="00342443">
        <w:rPr>
          <w:rStyle w:val="apple-converted-space"/>
          <w:rFonts w:ascii="Arial" w:hAnsi="Arial" w:cs="Arial"/>
          <w:b/>
          <w:bCs/>
          <w:color w:val="000000" w:themeColor="text1"/>
        </w:rPr>
        <w:t> </w:t>
      </w:r>
      <w:r w:rsidRPr="00342443">
        <w:rPr>
          <w:rStyle w:val="Textoennegrita"/>
          <w:rFonts w:ascii="Arial" w:hAnsi="Arial" w:cs="Arial"/>
          <w:color w:val="000000" w:themeColor="text1"/>
        </w:rPr>
        <w:t>innovación territorial</w:t>
      </w:r>
      <w:r w:rsidRPr="00342443">
        <w:rPr>
          <w:rFonts w:ascii="Arial" w:hAnsi="Arial" w:cs="Arial"/>
          <w:color w:val="000000" w:themeColor="text1"/>
        </w:rPr>
        <w:t>, tales como la</w:t>
      </w:r>
      <w:r w:rsidRPr="00342443">
        <w:rPr>
          <w:rStyle w:val="apple-converted-space"/>
          <w:rFonts w:ascii="Arial" w:hAnsi="Arial" w:cs="Arial"/>
          <w:color w:val="000000" w:themeColor="text1"/>
        </w:rPr>
        <w:t> </w:t>
      </w:r>
      <w:r w:rsidRPr="00342443">
        <w:rPr>
          <w:rFonts w:ascii="Arial" w:hAnsi="Arial" w:cs="Arial"/>
          <w:color w:val="000000" w:themeColor="text1"/>
        </w:rPr>
        <w:t>educación y el</w:t>
      </w:r>
      <w:r w:rsidRPr="00342443">
        <w:rPr>
          <w:rStyle w:val="apple-converted-space"/>
          <w:rFonts w:ascii="Arial" w:hAnsi="Arial" w:cs="Arial"/>
          <w:color w:val="000000" w:themeColor="text1"/>
        </w:rPr>
        <w:t> </w:t>
      </w:r>
      <w:r w:rsidRPr="00342443">
        <w:rPr>
          <w:rFonts w:ascii="Arial" w:hAnsi="Arial" w:cs="Arial"/>
          <w:color w:val="000000" w:themeColor="text1"/>
        </w:rPr>
        <w:t>desarrollo de capacidades, el crecimiento económico</w:t>
      </w:r>
      <w:r w:rsidRPr="00342443">
        <w:rPr>
          <w:rStyle w:val="apple-converted-space"/>
          <w:rFonts w:ascii="Arial" w:hAnsi="Arial" w:cs="Arial"/>
          <w:color w:val="000000" w:themeColor="text1"/>
        </w:rPr>
        <w:t> </w:t>
      </w:r>
      <w:r w:rsidRPr="00342443">
        <w:rPr>
          <w:rFonts w:ascii="Arial" w:hAnsi="Arial" w:cs="Arial"/>
          <w:color w:val="000000" w:themeColor="text1"/>
        </w:rPr>
        <w:t>y el empleo, la infraestructura, la</w:t>
      </w:r>
      <w:r w:rsidRPr="00342443">
        <w:rPr>
          <w:rStyle w:val="apple-converted-space"/>
          <w:rFonts w:ascii="Arial" w:hAnsi="Arial" w:cs="Arial"/>
          <w:color w:val="000000" w:themeColor="text1"/>
        </w:rPr>
        <w:t> </w:t>
      </w:r>
      <w:r w:rsidRPr="00342443">
        <w:rPr>
          <w:rFonts w:ascii="Arial" w:hAnsi="Arial" w:cs="Arial"/>
          <w:color w:val="000000" w:themeColor="text1"/>
        </w:rPr>
        <w:t>sostenibilidad, la inclusión, la calidad institucional</w:t>
      </w:r>
      <w:r w:rsidRPr="00342443">
        <w:rPr>
          <w:rStyle w:val="apple-converted-space"/>
          <w:rFonts w:ascii="Arial" w:hAnsi="Arial" w:cs="Arial"/>
          <w:color w:val="000000" w:themeColor="text1"/>
        </w:rPr>
        <w:t> </w:t>
      </w:r>
      <w:r w:rsidRPr="00342443">
        <w:rPr>
          <w:rFonts w:ascii="Arial" w:hAnsi="Arial" w:cs="Arial"/>
          <w:color w:val="000000" w:themeColor="text1"/>
        </w:rPr>
        <w:t>y la construcción</w:t>
      </w:r>
      <w:r w:rsidRPr="00342443">
        <w:rPr>
          <w:rStyle w:val="apple-converted-space"/>
          <w:rFonts w:ascii="Arial" w:hAnsi="Arial" w:cs="Arial"/>
          <w:color w:val="000000" w:themeColor="text1"/>
        </w:rPr>
        <w:t> </w:t>
      </w:r>
      <w:r w:rsidRPr="00342443">
        <w:rPr>
          <w:rFonts w:ascii="Arial" w:hAnsi="Arial" w:cs="Arial"/>
          <w:color w:val="000000" w:themeColor="text1"/>
        </w:rPr>
        <w:t>de ciudades resilientes</w:t>
      </w:r>
      <w:r w:rsidRPr="00342443">
        <w:rPr>
          <w:rStyle w:val="apple-converted-space"/>
          <w:rFonts w:ascii="Arial" w:hAnsi="Arial" w:cs="Arial"/>
          <w:color w:val="000000" w:themeColor="text1"/>
        </w:rPr>
        <w:t> </w:t>
      </w:r>
      <w:r w:rsidRPr="00342443">
        <w:rPr>
          <w:rFonts w:ascii="Arial" w:hAnsi="Arial" w:cs="Arial"/>
          <w:color w:val="000000" w:themeColor="text1"/>
        </w:rPr>
        <w:t>y con mejores</w:t>
      </w:r>
      <w:r w:rsidRPr="00342443">
        <w:rPr>
          <w:rStyle w:val="apple-converted-space"/>
          <w:rFonts w:ascii="Arial" w:hAnsi="Arial" w:cs="Arial"/>
          <w:color w:val="000000" w:themeColor="text1"/>
        </w:rPr>
        <w:t> </w:t>
      </w:r>
      <w:r w:rsidRPr="00342443">
        <w:rPr>
          <w:rFonts w:ascii="Arial" w:hAnsi="Arial" w:cs="Arial"/>
          <w:color w:val="000000" w:themeColor="text1"/>
        </w:rPr>
        <w:t>condiciones de vida.</w:t>
      </w:r>
    </w:p>
    <w:p w14:paraId="468BCF14"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La creación del Distrito no es un privilegio territorial, sino un mandato derivado de la cláusula de Estado Social de Derecho y de los artículos 70, 71, 79 y 80 de la Constitución Política: la falta de una ley de régimen especial constituye una barrera estructural que impide al Estado cumplir con su deber imperativo de fomentar la ciencia, la tecnología y la protección ambiental integrada.</w:t>
      </w:r>
    </w:p>
    <w:p w14:paraId="7C93FF10"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Existe, además, la necesidad de superar la rigidez del esquema municipal ordinario para dotar a un ecosistema científico ya constituido de personería institucional propia y de herramientas jurídicas multinivel. El desarrollo científico, tecnológico y ambiental de Manizales y su conurbación metropolitana enfrenta una marcada fragmentación institucional y financiera: entidades como BIOS, FUTURA y CENICAFÉ operan de forma independiente y dispersa, lo que se traduce en fragmentación financiera y en la ausencia de un vector institucional común.</w:t>
      </w:r>
    </w:p>
    <w:p w14:paraId="54AD0FFB" w14:textId="77777777" w:rsidR="004F7CD0" w:rsidRPr="00342443" w:rsidRDefault="00974B3E" w:rsidP="00F46FB9">
      <w:pPr>
        <w:spacing w:after="120" w:line="276" w:lineRule="auto"/>
        <w:jc w:val="both"/>
        <w:rPr>
          <w:rFonts w:ascii="Arial" w:hAnsi="Arial" w:cs="Arial"/>
          <w:i/>
          <w:iCs/>
          <w:color w:val="000000" w:themeColor="text1"/>
        </w:rPr>
      </w:pPr>
      <w:r w:rsidRPr="00342443">
        <w:rPr>
          <w:rFonts w:ascii="Arial" w:hAnsi="Arial" w:cs="Arial"/>
          <w:b/>
          <w:bCs/>
          <w:i/>
          <w:iCs/>
          <w:color w:val="000000" w:themeColor="text1"/>
        </w:rPr>
        <w:lastRenderedPageBreak/>
        <w:t>El marco normativo ordinario resulta insuficiente</w:t>
      </w:r>
      <w:r w:rsidRPr="00342443">
        <w:rPr>
          <w:rFonts w:ascii="Arial" w:hAnsi="Arial" w:cs="Arial"/>
          <w:i/>
          <w:iCs/>
          <w:color w:val="000000" w:themeColor="text1"/>
        </w:rPr>
        <w:t xml:space="preserve"> para resolver este desafío: las </w:t>
      </w:r>
      <w:r w:rsidRPr="00342443">
        <w:rPr>
          <w:rFonts w:ascii="Arial" w:hAnsi="Arial" w:cs="Arial"/>
          <w:b/>
          <w:bCs/>
          <w:i/>
          <w:iCs/>
          <w:color w:val="000000" w:themeColor="text1"/>
        </w:rPr>
        <w:t>competencias municipales tradicionales fueron concebidas para administrar servicios públicos, movilidad local, ordenamiento urbano</w:t>
      </w:r>
      <w:r w:rsidRPr="00342443">
        <w:rPr>
          <w:rFonts w:ascii="Arial" w:hAnsi="Arial" w:cs="Arial"/>
          <w:i/>
          <w:iCs/>
          <w:color w:val="000000" w:themeColor="text1"/>
        </w:rPr>
        <w:t xml:space="preserve"> e infraestructura básica, pero </w:t>
      </w:r>
      <w:r w:rsidRPr="00342443">
        <w:rPr>
          <w:rFonts w:ascii="Arial" w:hAnsi="Arial" w:cs="Arial"/>
          <w:b/>
          <w:bCs/>
          <w:i/>
          <w:iCs/>
          <w:color w:val="000000" w:themeColor="text1"/>
        </w:rPr>
        <w:t xml:space="preserve">no fueron diseñadas para gestionar simultáneamente ecosistemas regionales de innovación, inteligencia artificial e </w:t>
      </w:r>
      <w:r w:rsidRPr="00342443">
        <w:rPr>
          <w:rFonts w:ascii="Arial" w:hAnsi="Arial" w:cs="Arial"/>
          <w:b/>
          <w:bCs/>
          <w:color w:val="000000" w:themeColor="text1"/>
        </w:rPr>
        <w:t>infraestructura científica compartida.</w:t>
      </w:r>
    </w:p>
    <w:p w14:paraId="0E4B041A"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 xml:space="preserve">La distritalización es, en consecuencia, la solución institucional idónea: </w:t>
      </w:r>
      <w:r w:rsidRPr="00342443">
        <w:rPr>
          <w:rFonts w:ascii="Arial" w:hAnsi="Arial" w:cs="Arial"/>
          <w:b/>
          <w:bCs/>
          <w:color w:val="000000" w:themeColor="text1"/>
        </w:rPr>
        <w:t>la calidad distrital otorga al ecosistema científico, tecnológico y ambiental de Manizales una personería institucional propia, supera la dispersión administrativa y financiera y habilita un régimen especial acorde con su vocación.</w:t>
      </w:r>
    </w:p>
    <w:p w14:paraId="6EE90CD8" w14:textId="77777777" w:rsidR="00F46FB9" w:rsidRPr="00342443" w:rsidRDefault="00F46FB9" w:rsidP="00F46FB9">
      <w:pPr>
        <w:spacing w:after="120" w:line="276" w:lineRule="auto"/>
        <w:jc w:val="both"/>
        <w:rPr>
          <w:rFonts w:ascii="Arial" w:hAnsi="Arial" w:cs="Arial"/>
          <w:color w:val="000000" w:themeColor="text1"/>
        </w:rPr>
      </w:pPr>
    </w:p>
    <w:p w14:paraId="7D9EAB88" w14:textId="77777777" w:rsidR="004F7CD0" w:rsidRPr="00342443" w:rsidRDefault="00974B3E" w:rsidP="005F09D8">
      <w:pPr>
        <w:pStyle w:val="Ttulo3"/>
        <w:jc w:val="both"/>
        <w:rPr>
          <w:rFonts w:ascii="Arial" w:hAnsi="Arial" w:cs="Arial"/>
          <w:color w:val="000000" w:themeColor="text1"/>
        </w:rPr>
      </w:pPr>
      <w:bookmarkStart w:id="5" w:name="_Toc240894030"/>
      <w:r w:rsidRPr="00342443">
        <w:rPr>
          <w:rFonts w:ascii="Arial" w:hAnsi="Arial" w:cs="Arial"/>
          <w:color w:val="000000" w:themeColor="text1"/>
        </w:rPr>
        <w:t>3.2. El ecosistema de conocimiento e innovación de Manizales y su área metropolitana</w:t>
      </w:r>
      <w:bookmarkEnd w:id="5"/>
    </w:p>
    <w:p w14:paraId="4B27845B" w14:textId="77777777" w:rsidR="008C3AC5" w:rsidRPr="00342443" w:rsidRDefault="008C3AC5" w:rsidP="0049377B">
      <w:pPr>
        <w:pStyle w:val="NormalWeb"/>
        <w:jc w:val="both"/>
        <w:rPr>
          <w:rFonts w:ascii="Arial" w:hAnsi="Arial" w:cs="Arial"/>
          <w:color w:val="000000" w:themeColor="text1"/>
        </w:rPr>
      </w:pPr>
      <w:r w:rsidRPr="00342443">
        <w:rPr>
          <w:rFonts w:ascii="Arial" w:hAnsi="Arial" w:cs="Arial"/>
          <w:color w:val="000000" w:themeColor="text1"/>
        </w:rPr>
        <w:t>El Distrito se asienta sobre un ecosistema real y medible, cuyo núcleo es el Sistema Universitario de Manizales (SUMA), que agrupa nueve (9) instituciones de educación superior —entre ellas la Universidad Nacional de Colombia Sede Manizales, la Universidad de Caldas, la Universidad Autónoma de Manizales y la Universidad Católica de Manizales— con una población cercana a los 70.000 estudiantes universitarios,</w:t>
      </w:r>
      <w:r w:rsidRPr="00342443">
        <w:rPr>
          <w:rStyle w:val="apple-converted-space"/>
          <w:rFonts w:ascii="Arial" w:hAnsi="Arial" w:cs="Arial"/>
          <w:color w:val="000000" w:themeColor="text1"/>
        </w:rPr>
        <w:t> </w:t>
      </w:r>
      <w:r w:rsidRPr="00342443">
        <w:rPr>
          <w:rFonts w:ascii="Arial" w:hAnsi="Arial" w:cs="Arial"/>
          <w:b/>
          <w:bCs/>
          <w:color w:val="000000" w:themeColor="text1"/>
        </w:rPr>
        <w:t>el nodo educativo más denso del país fuera de las grandes capitales</w:t>
      </w:r>
      <w:r w:rsidRPr="00342443">
        <w:rPr>
          <w:rFonts w:ascii="Arial" w:hAnsi="Arial" w:cs="Arial"/>
          <w:color w:val="000000" w:themeColor="text1"/>
        </w:rPr>
        <w:t>. Sobre ese núcleo operan:</w:t>
      </w:r>
      <w:r w:rsidRPr="00342443">
        <w:rPr>
          <w:rStyle w:val="apple-converted-space"/>
          <w:rFonts w:ascii="Arial" w:hAnsi="Arial" w:cs="Arial"/>
          <w:color w:val="000000" w:themeColor="text1"/>
        </w:rPr>
        <w:t> </w:t>
      </w:r>
      <w:r w:rsidRPr="00342443">
        <w:rPr>
          <w:rFonts w:ascii="Arial" w:hAnsi="Arial" w:cs="Arial"/>
          <w:b/>
          <w:bCs/>
          <w:color w:val="000000" w:themeColor="text1"/>
        </w:rPr>
        <w:t xml:space="preserve">FUTURA, parque científico, tecnológico y de innovación de Caldas ubicado en Villamaría, con 9.790 m² construidos y una inversión acumulada de $42.500 millones de pesos, que registra más de 31 empresas con solicitud formal de instalación, de base tecnológica e industrias 4.0, y alberga un Hub de Ciberseguridad con </w:t>
      </w:r>
      <w:proofErr w:type="spellStart"/>
      <w:r w:rsidRPr="00342443">
        <w:rPr>
          <w:rFonts w:ascii="Arial" w:hAnsi="Arial" w:cs="Arial"/>
          <w:b/>
          <w:bCs/>
          <w:color w:val="000000" w:themeColor="text1"/>
        </w:rPr>
        <w:t>Cyber</w:t>
      </w:r>
      <w:proofErr w:type="spellEnd"/>
      <w:r w:rsidRPr="00342443">
        <w:rPr>
          <w:rFonts w:ascii="Arial" w:hAnsi="Arial" w:cs="Arial"/>
          <w:b/>
          <w:bCs/>
          <w:color w:val="000000" w:themeColor="text1"/>
        </w:rPr>
        <w:t xml:space="preserve"> </w:t>
      </w:r>
      <w:proofErr w:type="spellStart"/>
      <w:r w:rsidRPr="00342443">
        <w:rPr>
          <w:rFonts w:ascii="Arial" w:hAnsi="Arial" w:cs="Arial"/>
          <w:b/>
          <w:bCs/>
          <w:color w:val="000000" w:themeColor="text1"/>
        </w:rPr>
        <w:t>Range</w:t>
      </w:r>
      <w:proofErr w:type="spellEnd"/>
      <w:r w:rsidRPr="00342443">
        <w:rPr>
          <w:rFonts w:ascii="Arial" w:hAnsi="Arial" w:cs="Arial"/>
          <w:b/>
          <w:bCs/>
          <w:color w:val="000000" w:themeColor="text1"/>
        </w:rPr>
        <w:t xml:space="preserve"> y un Security </w:t>
      </w:r>
      <w:proofErr w:type="spellStart"/>
      <w:r w:rsidRPr="00342443">
        <w:rPr>
          <w:rFonts w:ascii="Arial" w:hAnsi="Arial" w:cs="Arial"/>
          <w:b/>
          <w:bCs/>
          <w:color w:val="000000" w:themeColor="text1"/>
        </w:rPr>
        <w:t>Operations</w:t>
      </w:r>
      <w:proofErr w:type="spellEnd"/>
      <w:r w:rsidRPr="00342443">
        <w:rPr>
          <w:rFonts w:ascii="Arial" w:hAnsi="Arial" w:cs="Arial"/>
          <w:b/>
          <w:bCs/>
          <w:color w:val="000000" w:themeColor="text1"/>
        </w:rPr>
        <w:t xml:space="preserve"> Center (SOC) air-</w:t>
      </w:r>
      <w:proofErr w:type="spellStart"/>
      <w:r w:rsidRPr="00342443">
        <w:rPr>
          <w:rFonts w:ascii="Arial" w:hAnsi="Arial" w:cs="Arial"/>
          <w:b/>
          <w:bCs/>
          <w:color w:val="000000" w:themeColor="text1"/>
        </w:rPr>
        <w:t>gapped</w:t>
      </w:r>
      <w:proofErr w:type="spellEnd"/>
      <w:r w:rsidRPr="00342443">
        <w:rPr>
          <w:rFonts w:ascii="Arial" w:hAnsi="Arial" w:cs="Arial"/>
          <w:color w:val="000000" w:themeColor="text1"/>
        </w:rPr>
        <w:t>;</w:t>
      </w:r>
      <w:r w:rsidRPr="00342443">
        <w:rPr>
          <w:rStyle w:val="apple-converted-space"/>
          <w:rFonts w:ascii="Arial" w:hAnsi="Arial" w:cs="Arial"/>
          <w:color w:val="000000" w:themeColor="text1"/>
        </w:rPr>
        <w:t> </w:t>
      </w:r>
      <w:r w:rsidRPr="00342443">
        <w:rPr>
          <w:rFonts w:ascii="Arial" w:hAnsi="Arial" w:cs="Arial"/>
          <w:b/>
          <w:bCs/>
          <w:color w:val="000000" w:themeColor="text1"/>
        </w:rPr>
        <w:t>BIOS Colombia, único centro público de supercomputación y analítica de datos biológicos del país, que actúa como articulador del inventario de datos del SUMA con la infraestructura de FUTURA y como puente tecnológico para el procesamiento de datos de biodiversidad</w:t>
      </w:r>
      <w:r w:rsidRPr="00342443">
        <w:rPr>
          <w:rFonts w:ascii="Arial" w:hAnsi="Arial" w:cs="Arial"/>
          <w:color w:val="000000" w:themeColor="text1"/>
        </w:rPr>
        <w:t>; y</w:t>
      </w:r>
      <w:r w:rsidRPr="00342443">
        <w:rPr>
          <w:rStyle w:val="apple-converted-space"/>
          <w:rFonts w:ascii="Arial" w:hAnsi="Arial" w:cs="Arial"/>
          <w:color w:val="000000" w:themeColor="text1"/>
        </w:rPr>
        <w:t> </w:t>
      </w:r>
      <w:r w:rsidRPr="00342443">
        <w:rPr>
          <w:rFonts w:ascii="Arial" w:hAnsi="Arial" w:cs="Arial"/>
          <w:b/>
          <w:bCs/>
          <w:color w:val="000000" w:themeColor="text1"/>
        </w:rPr>
        <w:t>CENICAFÉ, centro con más de 80 años de investigación científica continua aplicada a la agroindustria cafetera, desarrollador de las variedades Castillo y Cenicafé 1, distribuidas en América Latina y África, articulado con el Paisaje Cultural Cafetero de la UNESCO y orientado a la bioeconomía y la agricultura regenerativa</w:t>
      </w:r>
      <w:r w:rsidRPr="00342443">
        <w:rPr>
          <w:rFonts w:ascii="Arial" w:hAnsi="Arial" w:cs="Arial"/>
          <w:color w:val="000000" w:themeColor="text1"/>
        </w:rPr>
        <w:t>.</w:t>
      </w:r>
    </w:p>
    <w:p w14:paraId="460D6BF4" w14:textId="77777777" w:rsidR="008C3AC5" w:rsidRPr="00342443" w:rsidRDefault="008C3AC5" w:rsidP="0049377B">
      <w:pPr>
        <w:pStyle w:val="NormalWeb"/>
        <w:jc w:val="both"/>
        <w:rPr>
          <w:rFonts w:ascii="Arial" w:hAnsi="Arial" w:cs="Arial"/>
          <w:color w:val="000000" w:themeColor="text1"/>
        </w:rPr>
      </w:pPr>
      <w:r w:rsidRPr="00342443">
        <w:rPr>
          <w:rFonts w:ascii="Arial" w:hAnsi="Arial" w:cs="Arial"/>
          <w:color w:val="000000" w:themeColor="text1"/>
        </w:rPr>
        <w:t>El capital humano certificado por el Ministerio de Ciencia, Tecnología e Innovación (Min</w:t>
      </w:r>
      <w:r w:rsidR="005F09D8">
        <w:rPr>
          <w:rFonts w:ascii="Arial" w:hAnsi="Arial" w:cs="Arial"/>
          <w:color w:val="000000" w:themeColor="text1"/>
        </w:rPr>
        <w:t xml:space="preserve"> </w:t>
      </w:r>
      <w:r w:rsidRPr="00342443">
        <w:rPr>
          <w:rFonts w:ascii="Arial" w:hAnsi="Arial" w:cs="Arial"/>
          <w:color w:val="000000" w:themeColor="text1"/>
        </w:rPr>
        <w:t>Ciencias)</w:t>
      </w:r>
      <w:r w:rsidRPr="00342443">
        <w:rPr>
          <w:rStyle w:val="apple-converted-space"/>
          <w:rFonts w:ascii="Arial" w:hAnsi="Arial" w:cs="Arial"/>
          <w:color w:val="000000" w:themeColor="text1"/>
        </w:rPr>
        <w:t> </w:t>
      </w:r>
      <w:r w:rsidRPr="00342443">
        <w:rPr>
          <w:rFonts w:ascii="Arial" w:hAnsi="Arial" w:cs="Arial"/>
          <w:b/>
          <w:bCs/>
          <w:color w:val="000000" w:themeColor="text1"/>
        </w:rPr>
        <w:t>comprende 630 investigadores reconocidos, de los cuales 339 cuentan con formación doctoral (PhD); 168 grupos de investigación categorizados; y 30 patentes de invención concedidas o en trámite, soportadas en las instituciones de educación superior</w:t>
      </w:r>
      <w:r w:rsidRPr="00342443">
        <w:rPr>
          <w:rFonts w:ascii="Arial" w:hAnsi="Arial" w:cs="Arial"/>
          <w:color w:val="000000" w:themeColor="text1"/>
        </w:rPr>
        <w:t>. A ello se suman</w:t>
      </w:r>
      <w:r w:rsidRPr="00342443">
        <w:rPr>
          <w:rStyle w:val="apple-converted-space"/>
          <w:rFonts w:ascii="Arial" w:hAnsi="Arial" w:cs="Arial"/>
          <w:color w:val="000000" w:themeColor="text1"/>
        </w:rPr>
        <w:t> </w:t>
      </w:r>
      <w:r w:rsidRPr="00342443">
        <w:rPr>
          <w:rFonts w:ascii="Arial" w:hAnsi="Arial" w:cs="Arial"/>
          <w:b/>
          <w:bCs/>
          <w:color w:val="000000" w:themeColor="text1"/>
        </w:rPr>
        <w:t>señales de futuro de primer nivel</w:t>
      </w:r>
      <w:r w:rsidRPr="00342443">
        <w:rPr>
          <w:rFonts w:ascii="Arial" w:hAnsi="Arial" w:cs="Arial"/>
          <w:color w:val="000000" w:themeColor="text1"/>
        </w:rPr>
        <w:t>: la ciudad fue sede del encuentro “Manizales IA” y la Universidad de Caldas</w:t>
      </w:r>
      <w:r w:rsidRPr="00342443">
        <w:rPr>
          <w:rStyle w:val="apple-converted-space"/>
          <w:rFonts w:ascii="Arial" w:hAnsi="Arial" w:cs="Arial"/>
          <w:color w:val="000000" w:themeColor="text1"/>
        </w:rPr>
        <w:t> </w:t>
      </w:r>
      <w:r w:rsidRPr="00342443">
        <w:rPr>
          <w:rFonts w:ascii="Arial" w:hAnsi="Arial" w:cs="Arial"/>
          <w:b/>
          <w:bCs/>
          <w:color w:val="000000" w:themeColor="text1"/>
        </w:rPr>
        <w:t>creó la primera Facultad de Inteligencia Artificial de América Latina, hecho que proyecta a la región como polo iberoamericano de la inteligencia artificial</w:t>
      </w:r>
      <w:r w:rsidRPr="00342443">
        <w:rPr>
          <w:rFonts w:ascii="Arial" w:hAnsi="Arial" w:cs="Arial"/>
          <w:color w:val="000000" w:themeColor="text1"/>
        </w:rPr>
        <w:t>.</w:t>
      </w:r>
    </w:p>
    <w:p w14:paraId="0BF341C4"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lastRenderedPageBreak/>
        <w:t>Los indicadores nacionales e internacionales de competitividad, emprendimiento e innovación confirman el posicionamiento del ecosistema:</w:t>
      </w:r>
    </w:p>
    <w:p w14:paraId="0E2EB2AE" w14:textId="75B45FB6" w:rsidR="004F7CD0" w:rsidRPr="00342443" w:rsidRDefault="004F0BE8" w:rsidP="00F46FB9">
      <w:pPr>
        <w:pStyle w:val="Descripcin"/>
        <w:jc w:val="both"/>
        <w:rPr>
          <w:rFonts w:ascii="Arial" w:hAnsi="Arial" w:cs="Arial"/>
          <w:color w:val="000000" w:themeColor="text1"/>
          <w:sz w:val="24"/>
          <w:szCs w:val="24"/>
        </w:rPr>
      </w:pPr>
      <w:r>
        <w:rPr>
          <w:rFonts w:ascii="Arial" w:hAnsi="Arial" w:cs="Arial"/>
          <w:color w:val="000000" w:themeColor="text1"/>
          <w:sz w:val="24"/>
          <w:szCs w:val="24"/>
        </w:rPr>
        <w:t>Tabla</w:t>
      </w:r>
      <w:r w:rsidR="00974B3E" w:rsidRPr="00342443">
        <w:rPr>
          <w:rFonts w:ascii="Arial" w:hAnsi="Arial" w:cs="Arial"/>
          <w:color w:val="000000" w:themeColor="text1"/>
          <w:sz w:val="24"/>
          <w:szCs w:val="24"/>
        </w:rPr>
        <w:t xml:space="preserve"> </w:t>
      </w:r>
      <w:r w:rsidR="00974B3E" w:rsidRPr="00342443">
        <w:rPr>
          <w:rFonts w:ascii="Arial" w:hAnsi="Arial" w:cs="Arial"/>
          <w:color w:val="000000" w:themeColor="text1"/>
          <w:sz w:val="24"/>
          <w:szCs w:val="24"/>
        </w:rPr>
        <w:fldChar w:fldCharType="begin"/>
      </w:r>
      <w:r w:rsidR="00974B3E" w:rsidRPr="00342443">
        <w:rPr>
          <w:rFonts w:ascii="Arial" w:hAnsi="Arial" w:cs="Arial"/>
          <w:color w:val="000000" w:themeColor="text1"/>
          <w:sz w:val="24"/>
          <w:szCs w:val="24"/>
        </w:rPr>
        <w:instrText xml:space="preserve"> SEQ Table \* ARABIC </w:instrText>
      </w:r>
      <w:r w:rsidR="00974B3E" w:rsidRPr="00342443">
        <w:rPr>
          <w:rFonts w:ascii="Arial" w:hAnsi="Arial" w:cs="Arial"/>
          <w:color w:val="000000" w:themeColor="text1"/>
          <w:sz w:val="24"/>
          <w:szCs w:val="24"/>
        </w:rPr>
        <w:fldChar w:fldCharType="separate"/>
      </w:r>
      <w:r w:rsidR="00833DB0">
        <w:rPr>
          <w:rFonts w:ascii="Arial" w:hAnsi="Arial" w:cs="Arial"/>
          <w:noProof/>
          <w:color w:val="000000" w:themeColor="text1"/>
          <w:sz w:val="24"/>
          <w:szCs w:val="24"/>
        </w:rPr>
        <w:t>1</w:t>
      </w:r>
      <w:r w:rsidR="00974B3E" w:rsidRPr="00342443">
        <w:rPr>
          <w:rFonts w:ascii="Arial" w:hAnsi="Arial" w:cs="Arial"/>
          <w:color w:val="000000" w:themeColor="text1"/>
          <w:sz w:val="24"/>
          <w:szCs w:val="24"/>
        </w:rPr>
        <w:fldChar w:fldCharType="end"/>
      </w:r>
      <w:r w:rsidR="00974B3E" w:rsidRPr="00342443">
        <w:rPr>
          <w:rFonts w:ascii="Arial" w:hAnsi="Arial" w:cs="Arial"/>
          <w:color w:val="000000" w:themeColor="text1"/>
          <w:sz w:val="24"/>
          <w:szCs w:val="24"/>
        </w:rPr>
        <w:t>: Indicadores de competitividad del ecosistema de Manizales</w:t>
      </w:r>
    </w:p>
    <w:tbl>
      <w:tblPr>
        <w:tblStyle w:val="Tablaconcuadrcula"/>
        <w:tblW w:w="9360" w:type="dxa"/>
        <w:tblLayout w:type="fixed"/>
        <w:tblLook w:val="04A0" w:firstRow="1" w:lastRow="0" w:firstColumn="1" w:lastColumn="0" w:noHBand="0" w:noVBand="1"/>
      </w:tblPr>
      <w:tblGrid>
        <w:gridCol w:w="2736"/>
        <w:gridCol w:w="3744"/>
        <w:gridCol w:w="2880"/>
      </w:tblGrid>
      <w:tr w:rsidR="00342443" w:rsidRPr="00342443" w14:paraId="23026484" w14:textId="77777777">
        <w:trPr>
          <w:tblHeader/>
        </w:trPr>
        <w:tc>
          <w:tcPr>
            <w:tcW w:w="2736" w:type="dxa"/>
            <w:shd w:val="clear" w:color="auto" w:fill="F2F2F2"/>
          </w:tcPr>
          <w:p w14:paraId="308972B6"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b/>
                <w:bCs/>
                <w:color w:val="000000" w:themeColor="text1"/>
              </w:rPr>
              <w:t>Indicador</w:t>
            </w:r>
          </w:p>
        </w:tc>
        <w:tc>
          <w:tcPr>
            <w:tcW w:w="3744" w:type="dxa"/>
            <w:shd w:val="clear" w:color="auto" w:fill="F2F2F2"/>
          </w:tcPr>
          <w:p w14:paraId="24027E1F"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b/>
                <w:bCs/>
                <w:color w:val="000000" w:themeColor="text1"/>
              </w:rPr>
              <w:t>Resultado de Manizales y su Área Metropolitana</w:t>
            </w:r>
          </w:p>
        </w:tc>
        <w:tc>
          <w:tcPr>
            <w:tcW w:w="2880" w:type="dxa"/>
            <w:shd w:val="clear" w:color="auto" w:fill="F2F2F2"/>
          </w:tcPr>
          <w:p w14:paraId="0EAD221D"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b/>
                <w:bCs/>
                <w:color w:val="000000" w:themeColor="text1"/>
              </w:rPr>
              <w:t>Posición</w:t>
            </w:r>
          </w:p>
        </w:tc>
      </w:tr>
      <w:tr w:rsidR="00342443" w:rsidRPr="00342443" w14:paraId="31A3F8C5" w14:textId="77777777">
        <w:tc>
          <w:tcPr>
            <w:tcW w:w="2736" w:type="dxa"/>
          </w:tcPr>
          <w:p w14:paraId="2DD6D55A"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Índice de Competitividad de Ciudades (ICC 2025)</w:t>
            </w:r>
          </w:p>
        </w:tc>
        <w:tc>
          <w:tcPr>
            <w:tcW w:w="3744" w:type="dxa"/>
          </w:tcPr>
          <w:p w14:paraId="25C3966B"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Calificación global de 6,08 sobre 10 (redondeada a 6,1)</w:t>
            </w:r>
          </w:p>
        </w:tc>
        <w:tc>
          <w:tcPr>
            <w:tcW w:w="2880" w:type="dxa"/>
          </w:tcPr>
          <w:p w14:paraId="5B6E4D9A"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5.º lugar nacional; 1.º del Eje Cafetero por tercer año consecutivo</w:t>
            </w:r>
          </w:p>
        </w:tc>
      </w:tr>
      <w:tr w:rsidR="00342443" w:rsidRPr="00342443" w14:paraId="656B6039" w14:textId="77777777">
        <w:tc>
          <w:tcPr>
            <w:tcW w:w="2736" w:type="dxa"/>
          </w:tcPr>
          <w:p w14:paraId="7A8B5FA6"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Factor Ecosistema Innovador (ICC 2025)</w:t>
            </w:r>
          </w:p>
        </w:tc>
        <w:tc>
          <w:tcPr>
            <w:tcW w:w="3744" w:type="dxa"/>
          </w:tcPr>
          <w:p w14:paraId="4FE16B73"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Destacado desempeño en el pilar de Innovación y Dinámica de Patentes</w:t>
            </w:r>
          </w:p>
        </w:tc>
        <w:tc>
          <w:tcPr>
            <w:tcW w:w="2880" w:type="dxa"/>
          </w:tcPr>
          <w:p w14:paraId="15E3F645"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2.º lugar nacional</w:t>
            </w:r>
          </w:p>
        </w:tc>
      </w:tr>
      <w:tr w:rsidR="00342443" w:rsidRPr="00342443" w14:paraId="23373339" w14:textId="77777777">
        <w:tc>
          <w:tcPr>
            <w:tcW w:w="2736" w:type="dxa"/>
          </w:tcPr>
          <w:p w14:paraId="63575C85"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Pilares Instituciones, Adopción TIC, Educación Superior y Formación para el Trabajo, Mercado Laboral (ICC 2025)</w:t>
            </w:r>
          </w:p>
        </w:tc>
        <w:tc>
          <w:tcPr>
            <w:tcW w:w="3744" w:type="dxa"/>
          </w:tcPr>
          <w:p w14:paraId="29855726"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Desempeño sobresaliente</w:t>
            </w:r>
          </w:p>
        </w:tc>
        <w:tc>
          <w:tcPr>
            <w:tcW w:w="2880" w:type="dxa"/>
          </w:tcPr>
          <w:p w14:paraId="7B6D17CE"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Top 5 nacional</w:t>
            </w:r>
          </w:p>
        </w:tc>
      </w:tr>
      <w:tr w:rsidR="00342443" w:rsidRPr="00342443" w14:paraId="73D82848" w14:textId="77777777">
        <w:tc>
          <w:tcPr>
            <w:tcW w:w="2736" w:type="dxa"/>
          </w:tcPr>
          <w:p w14:paraId="17B4CF13"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GEIAL 2024 (Grupo de Ecosistemas Inteligentes de América Latina)</w:t>
            </w:r>
          </w:p>
        </w:tc>
        <w:tc>
          <w:tcPr>
            <w:tcW w:w="3744" w:type="dxa"/>
          </w:tcPr>
          <w:p w14:paraId="0E78DCAE"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Manizales en el radar de los ecosistemas de emprendimiento más sobresalientes de Latinoamérica</w:t>
            </w:r>
          </w:p>
        </w:tc>
        <w:tc>
          <w:tcPr>
            <w:tcW w:w="2880" w:type="dxa"/>
          </w:tcPr>
          <w:p w14:paraId="4DB6AB58"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Liderazgo en 8 de 11 indicadores para ciudades intermedias de América Latina</w:t>
            </w:r>
          </w:p>
        </w:tc>
      </w:tr>
      <w:tr w:rsidR="004F7CD0" w:rsidRPr="00342443" w14:paraId="55796F00" w14:textId="77777777">
        <w:tc>
          <w:tcPr>
            <w:tcW w:w="2736" w:type="dxa"/>
          </w:tcPr>
          <w:p w14:paraId="468E3FC7"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Red Mundial de Ciudades del Aprendizaje (UNESCO)</w:t>
            </w:r>
          </w:p>
        </w:tc>
        <w:tc>
          <w:tcPr>
            <w:tcW w:w="3744" w:type="dxa"/>
          </w:tcPr>
          <w:p w14:paraId="5A31853D"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Membresía activa de Manizales</w:t>
            </w:r>
          </w:p>
        </w:tc>
        <w:tc>
          <w:tcPr>
            <w:tcW w:w="2880" w:type="dxa"/>
          </w:tcPr>
          <w:p w14:paraId="38D16E18"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Reconocimiento internacional</w:t>
            </w:r>
          </w:p>
        </w:tc>
      </w:tr>
    </w:tbl>
    <w:p w14:paraId="2EA43C80" w14:textId="77777777" w:rsidR="004F7CD0" w:rsidRPr="00342443" w:rsidRDefault="004F7CD0" w:rsidP="00F46FB9">
      <w:pPr>
        <w:jc w:val="both"/>
        <w:rPr>
          <w:rFonts w:ascii="Arial" w:hAnsi="Arial" w:cs="Arial"/>
          <w:color w:val="000000" w:themeColor="text1"/>
        </w:rPr>
      </w:pPr>
    </w:p>
    <w:p w14:paraId="6DB1CABF" w14:textId="77777777" w:rsidR="004F7CD0" w:rsidRPr="00342443" w:rsidRDefault="004F7CD0" w:rsidP="00F46FB9">
      <w:pPr>
        <w:spacing w:after="40"/>
        <w:jc w:val="both"/>
        <w:rPr>
          <w:rFonts w:ascii="Arial" w:hAnsi="Arial" w:cs="Arial"/>
          <w:color w:val="000000" w:themeColor="text1"/>
        </w:rPr>
      </w:pPr>
    </w:p>
    <w:p w14:paraId="58BBEFD4" w14:textId="77777777" w:rsidR="004F7CD0" w:rsidRPr="00342443" w:rsidRDefault="00974B3E" w:rsidP="002966B5">
      <w:pPr>
        <w:pStyle w:val="Ttulo3"/>
        <w:rPr>
          <w:rFonts w:ascii="Arial" w:hAnsi="Arial" w:cs="Arial"/>
          <w:color w:val="000000" w:themeColor="text1"/>
        </w:rPr>
      </w:pPr>
      <w:bookmarkStart w:id="6" w:name="_Toc240894031"/>
      <w:r w:rsidRPr="00342443">
        <w:rPr>
          <w:rFonts w:ascii="Arial" w:hAnsi="Arial" w:cs="Arial"/>
          <w:color w:val="000000" w:themeColor="text1"/>
        </w:rPr>
        <w:t>3.3. Complemento técnico: el respaldo del Análisis MIT REAP para Caldas</w:t>
      </w:r>
      <w:bookmarkEnd w:id="6"/>
    </w:p>
    <w:p w14:paraId="3CEC8E54"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El Departamento de Caldas participó en la Cohorte 8 del Regional Entrepreneurship Acceleration Program (REAP) del Instituto Tecnológico de Massachusetts (MIT), programa que busca sofisticar el ecosistema local y transitar de un modelo de crecimiento empresarial tradicional hacia un ecosistema impulsado por la innovación (IDE). El diagnóstico cuantitativo arrojó los siguientes resultados:</w:t>
      </w:r>
    </w:p>
    <w:p w14:paraId="5A1CFF16" w14:textId="0E0C6349" w:rsidR="004F7CD0" w:rsidRPr="00342443" w:rsidRDefault="004F0BE8" w:rsidP="00F46FB9">
      <w:pPr>
        <w:pStyle w:val="Descripcin"/>
        <w:jc w:val="both"/>
        <w:rPr>
          <w:rFonts w:ascii="Arial" w:hAnsi="Arial" w:cs="Arial"/>
          <w:color w:val="000000" w:themeColor="text1"/>
          <w:sz w:val="24"/>
          <w:szCs w:val="24"/>
        </w:rPr>
      </w:pPr>
      <w:r>
        <w:rPr>
          <w:rFonts w:ascii="Arial" w:hAnsi="Arial" w:cs="Arial"/>
          <w:color w:val="000000" w:themeColor="text1"/>
          <w:sz w:val="24"/>
          <w:szCs w:val="24"/>
        </w:rPr>
        <w:t>Tabla</w:t>
      </w:r>
      <w:r w:rsidR="00974B3E" w:rsidRPr="00342443">
        <w:rPr>
          <w:rFonts w:ascii="Arial" w:hAnsi="Arial" w:cs="Arial"/>
          <w:color w:val="000000" w:themeColor="text1"/>
          <w:sz w:val="24"/>
          <w:szCs w:val="24"/>
        </w:rPr>
        <w:t xml:space="preserve"> </w:t>
      </w:r>
      <w:r w:rsidR="00974B3E" w:rsidRPr="00342443">
        <w:rPr>
          <w:rFonts w:ascii="Arial" w:hAnsi="Arial" w:cs="Arial"/>
          <w:color w:val="000000" w:themeColor="text1"/>
          <w:sz w:val="24"/>
          <w:szCs w:val="24"/>
        </w:rPr>
        <w:fldChar w:fldCharType="begin"/>
      </w:r>
      <w:r w:rsidR="00974B3E" w:rsidRPr="00342443">
        <w:rPr>
          <w:rFonts w:ascii="Arial" w:hAnsi="Arial" w:cs="Arial"/>
          <w:color w:val="000000" w:themeColor="text1"/>
          <w:sz w:val="24"/>
          <w:szCs w:val="24"/>
        </w:rPr>
        <w:instrText xml:space="preserve"> SEQ Table \* ARABIC </w:instrText>
      </w:r>
      <w:r w:rsidR="00974B3E" w:rsidRPr="00342443">
        <w:rPr>
          <w:rFonts w:ascii="Arial" w:hAnsi="Arial" w:cs="Arial"/>
          <w:color w:val="000000" w:themeColor="text1"/>
          <w:sz w:val="24"/>
          <w:szCs w:val="24"/>
        </w:rPr>
        <w:fldChar w:fldCharType="separate"/>
      </w:r>
      <w:r w:rsidR="00833DB0">
        <w:rPr>
          <w:rFonts w:ascii="Arial" w:hAnsi="Arial" w:cs="Arial"/>
          <w:noProof/>
          <w:color w:val="000000" w:themeColor="text1"/>
          <w:sz w:val="24"/>
          <w:szCs w:val="24"/>
        </w:rPr>
        <w:t>2</w:t>
      </w:r>
      <w:r w:rsidR="00974B3E" w:rsidRPr="00342443">
        <w:rPr>
          <w:rFonts w:ascii="Arial" w:hAnsi="Arial" w:cs="Arial"/>
          <w:color w:val="000000" w:themeColor="text1"/>
          <w:sz w:val="24"/>
          <w:szCs w:val="24"/>
        </w:rPr>
        <w:fldChar w:fldCharType="end"/>
      </w:r>
      <w:r w:rsidR="00974B3E" w:rsidRPr="00342443">
        <w:rPr>
          <w:rFonts w:ascii="Arial" w:hAnsi="Arial" w:cs="Arial"/>
          <w:color w:val="000000" w:themeColor="text1"/>
          <w:sz w:val="24"/>
          <w:szCs w:val="24"/>
        </w:rPr>
        <w:t>: Diagnóstico MIT REAP - Cohorte 8, Caldas</w:t>
      </w:r>
    </w:p>
    <w:tbl>
      <w:tblPr>
        <w:tblStyle w:val="Tablaconcuadrcula"/>
        <w:tblW w:w="9360" w:type="dxa"/>
        <w:tblLayout w:type="fixed"/>
        <w:tblLook w:val="04A0" w:firstRow="1" w:lastRow="0" w:firstColumn="1" w:lastColumn="0" w:noHBand="0" w:noVBand="1"/>
      </w:tblPr>
      <w:tblGrid>
        <w:gridCol w:w="2880"/>
        <w:gridCol w:w="3456"/>
        <w:gridCol w:w="3024"/>
      </w:tblGrid>
      <w:tr w:rsidR="00342443" w:rsidRPr="00342443" w14:paraId="5D838132" w14:textId="77777777">
        <w:trPr>
          <w:tblHeader/>
        </w:trPr>
        <w:tc>
          <w:tcPr>
            <w:tcW w:w="2880" w:type="dxa"/>
            <w:shd w:val="clear" w:color="auto" w:fill="F2F2F2"/>
          </w:tcPr>
          <w:p w14:paraId="2572CF47"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b/>
                <w:bCs/>
                <w:color w:val="000000" w:themeColor="text1"/>
              </w:rPr>
              <w:t>Indicador</w:t>
            </w:r>
          </w:p>
        </w:tc>
        <w:tc>
          <w:tcPr>
            <w:tcW w:w="3456" w:type="dxa"/>
            <w:shd w:val="clear" w:color="auto" w:fill="F2F2F2"/>
          </w:tcPr>
          <w:p w14:paraId="408699EE"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b/>
                <w:bCs/>
                <w:color w:val="000000" w:themeColor="text1"/>
              </w:rPr>
              <w:t>Valor de Caldas</w:t>
            </w:r>
          </w:p>
        </w:tc>
        <w:tc>
          <w:tcPr>
            <w:tcW w:w="3024" w:type="dxa"/>
            <w:shd w:val="clear" w:color="auto" w:fill="F2F2F2"/>
          </w:tcPr>
          <w:p w14:paraId="06CC0FB7"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b/>
                <w:bCs/>
                <w:color w:val="000000" w:themeColor="text1"/>
              </w:rPr>
              <w:t>Posición nacional</w:t>
            </w:r>
          </w:p>
        </w:tc>
      </w:tr>
      <w:tr w:rsidR="00342443" w:rsidRPr="00342443" w14:paraId="17187945" w14:textId="77777777">
        <w:tc>
          <w:tcPr>
            <w:tcW w:w="2880" w:type="dxa"/>
          </w:tcPr>
          <w:p w14:paraId="19005154"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Patentes por millón de habitantes</w:t>
            </w:r>
          </w:p>
        </w:tc>
        <w:tc>
          <w:tcPr>
            <w:tcW w:w="3456" w:type="dxa"/>
          </w:tcPr>
          <w:p w14:paraId="3C3CC827"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20</w:t>
            </w:r>
          </w:p>
        </w:tc>
        <w:tc>
          <w:tcPr>
            <w:tcW w:w="3024" w:type="dxa"/>
          </w:tcPr>
          <w:p w14:paraId="02D74255"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2.ª región de Colombia (2017)</w:t>
            </w:r>
          </w:p>
        </w:tc>
      </w:tr>
      <w:tr w:rsidR="00342443" w:rsidRPr="00342443" w14:paraId="346626DB" w14:textId="77777777">
        <w:tc>
          <w:tcPr>
            <w:tcW w:w="2880" w:type="dxa"/>
          </w:tcPr>
          <w:p w14:paraId="20F0FD00"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Investigadores en I+D por millón de habitantes</w:t>
            </w:r>
          </w:p>
        </w:tc>
        <w:tc>
          <w:tcPr>
            <w:tcW w:w="3456" w:type="dxa"/>
          </w:tcPr>
          <w:p w14:paraId="5826A491"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100</w:t>
            </w:r>
          </w:p>
        </w:tc>
        <w:tc>
          <w:tcPr>
            <w:tcW w:w="3024" w:type="dxa"/>
          </w:tcPr>
          <w:p w14:paraId="5D843806"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1.º</w:t>
            </w:r>
          </w:p>
        </w:tc>
      </w:tr>
      <w:tr w:rsidR="00342443" w:rsidRPr="00342443" w14:paraId="16DE80D8" w14:textId="77777777">
        <w:tc>
          <w:tcPr>
            <w:tcW w:w="2880" w:type="dxa"/>
          </w:tcPr>
          <w:p w14:paraId="4DED6FE2"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lastRenderedPageBreak/>
              <w:t>PhD activos en universidades</w:t>
            </w:r>
          </w:p>
        </w:tc>
        <w:tc>
          <w:tcPr>
            <w:tcW w:w="3456" w:type="dxa"/>
          </w:tcPr>
          <w:p w14:paraId="28EA0027"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Más de 300</w:t>
            </w:r>
          </w:p>
        </w:tc>
        <w:tc>
          <w:tcPr>
            <w:tcW w:w="3024" w:type="dxa"/>
          </w:tcPr>
          <w:p w14:paraId="3414A3D9"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w:t>
            </w:r>
          </w:p>
        </w:tc>
      </w:tr>
      <w:tr w:rsidR="00342443" w:rsidRPr="00342443" w14:paraId="531DB369" w14:textId="77777777">
        <w:tc>
          <w:tcPr>
            <w:tcW w:w="2880" w:type="dxa"/>
          </w:tcPr>
          <w:p w14:paraId="71019D1B"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Inversión en transferencia de tecnología</w:t>
            </w:r>
          </w:p>
        </w:tc>
        <w:tc>
          <w:tcPr>
            <w:tcW w:w="3456" w:type="dxa"/>
          </w:tcPr>
          <w:p w14:paraId="65F50F50"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w:t>
            </w:r>
          </w:p>
        </w:tc>
        <w:tc>
          <w:tcPr>
            <w:tcW w:w="3024" w:type="dxa"/>
          </w:tcPr>
          <w:p w14:paraId="05596FAB"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1.º</w:t>
            </w:r>
          </w:p>
        </w:tc>
      </w:tr>
      <w:tr w:rsidR="00342443" w:rsidRPr="00342443" w14:paraId="4EA0BCC8" w14:textId="77777777">
        <w:tc>
          <w:tcPr>
            <w:tcW w:w="2880" w:type="dxa"/>
          </w:tcPr>
          <w:p w14:paraId="35789724"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Índice Departamental de Innovación (IDIC)</w:t>
            </w:r>
          </w:p>
        </w:tc>
        <w:tc>
          <w:tcPr>
            <w:tcW w:w="3456" w:type="dxa"/>
          </w:tcPr>
          <w:p w14:paraId="6E4B0B4E"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44,28</w:t>
            </w:r>
          </w:p>
        </w:tc>
        <w:tc>
          <w:tcPr>
            <w:tcW w:w="3024" w:type="dxa"/>
          </w:tcPr>
          <w:p w14:paraId="4FFD9743"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7.º</w:t>
            </w:r>
          </w:p>
        </w:tc>
      </w:tr>
      <w:tr w:rsidR="00342443" w:rsidRPr="00342443" w14:paraId="7720F971" w14:textId="77777777">
        <w:tc>
          <w:tcPr>
            <w:tcW w:w="2880" w:type="dxa"/>
          </w:tcPr>
          <w:p w14:paraId="07771D86"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Productividad por empleado</w:t>
            </w:r>
          </w:p>
        </w:tc>
        <w:tc>
          <w:tcPr>
            <w:tcW w:w="3456" w:type="dxa"/>
          </w:tcPr>
          <w:p w14:paraId="7FB4617C"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$33,2 millones COP (nacional: $39,38 millones)</w:t>
            </w:r>
          </w:p>
        </w:tc>
        <w:tc>
          <w:tcPr>
            <w:tcW w:w="3024" w:type="dxa"/>
          </w:tcPr>
          <w:p w14:paraId="460CE103"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Brecha de productividad por cerrar</w:t>
            </w:r>
          </w:p>
        </w:tc>
      </w:tr>
      <w:tr w:rsidR="00342443" w:rsidRPr="00342443" w14:paraId="5C5FEA9A" w14:textId="77777777">
        <w:tc>
          <w:tcPr>
            <w:tcW w:w="2880" w:type="dxa"/>
          </w:tcPr>
          <w:p w14:paraId="470E5D96"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PIB departamental / PIB per cápita</w:t>
            </w:r>
          </w:p>
        </w:tc>
        <w:tc>
          <w:tcPr>
            <w:tcW w:w="3456" w:type="dxa"/>
          </w:tcPr>
          <w:p w14:paraId="0D290EF3"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US$5,3 mil millones / US$5.641</w:t>
            </w:r>
          </w:p>
        </w:tc>
        <w:tc>
          <w:tcPr>
            <w:tcW w:w="3024" w:type="dxa"/>
          </w:tcPr>
          <w:p w14:paraId="7B2F3061"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1,6%-1,7% del PIB nacional</w:t>
            </w:r>
          </w:p>
        </w:tc>
      </w:tr>
      <w:tr w:rsidR="004F7CD0" w:rsidRPr="00342443" w14:paraId="09912819" w14:textId="77777777">
        <w:tc>
          <w:tcPr>
            <w:tcW w:w="2880" w:type="dxa"/>
          </w:tcPr>
          <w:p w14:paraId="66B80F67"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Exportaciones</w:t>
            </w:r>
          </w:p>
        </w:tc>
        <w:tc>
          <w:tcPr>
            <w:tcW w:w="3456" w:type="dxa"/>
          </w:tcPr>
          <w:p w14:paraId="3E33CD1E"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US$468 millones</w:t>
            </w:r>
          </w:p>
        </w:tc>
        <w:tc>
          <w:tcPr>
            <w:tcW w:w="3024" w:type="dxa"/>
          </w:tcPr>
          <w:p w14:paraId="6450C48C"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70% café</w:t>
            </w:r>
          </w:p>
        </w:tc>
      </w:tr>
    </w:tbl>
    <w:p w14:paraId="20BBF684" w14:textId="77777777" w:rsidR="004F7CD0" w:rsidRPr="00342443" w:rsidRDefault="004F7CD0" w:rsidP="00F46FB9">
      <w:pPr>
        <w:jc w:val="both"/>
        <w:rPr>
          <w:rFonts w:ascii="Arial" w:hAnsi="Arial" w:cs="Arial"/>
          <w:color w:val="000000" w:themeColor="text1"/>
        </w:rPr>
      </w:pPr>
    </w:p>
    <w:p w14:paraId="65ECD89A" w14:textId="77777777" w:rsidR="004F7CD0" w:rsidRPr="00342443" w:rsidRDefault="004F7CD0" w:rsidP="00F46FB9">
      <w:pPr>
        <w:spacing w:after="40"/>
        <w:jc w:val="both"/>
        <w:rPr>
          <w:rFonts w:ascii="Arial" w:hAnsi="Arial" w:cs="Arial"/>
          <w:color w:val="000000" w:themeColor="text1"/>
        </w:rPr>
      </w:pPr>
    </w:p>
    <w:p w14:paraId="4A3E840E"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El diagnóstico REAP evidencia una alta Capacidad de Innovación (I-</w:t>
      </w:r>
      <w:proofErr w:type="spellStart"/>
      <w:r w:rsidRPr="00342443">
        <w:rPr>
          <w:rFonts w:ascii="Arial" w:hAnsi="Arial" w:cs="Arial"/>
          <w:color w:val="000000" w:themeColor="text1"/>
        </w:rPr>
        <w:t>Cap</w:t>
      </w:r>
      <w:proofErr w:type="spellEnd"/>
      <w:r w:rsidRPr="00342443">
        <w:rPr>
          <w:rFonts w:ascii="Arial" w:hAnsi="Arial" w:cs="Arial"/>
          <w:color w:val="000000" w:themeColor="text1"/>
        </w:rPr>
        <w:t>), soportada en la academia, y una Capacidad de Emprendimiento y Escalamiento (E-</w:t>
      </w:r>
      <w:proofErr w:type="spellStart"/>
      <w:r w:rsidRPr="00342443">
        <w:rPr>
          <w:rFonts w:ascii="Arial" w:hAnsi="Arial" w:cs="Arial"/>
          <w:color w:val="000000" w:themeColor="text1"/>
        </w:rPr>
        <w:t>Cap</w:t>
      </w:r>
      <w:proofErr w:type="spellEnd"/>
      <w:r w:rsidRPr="00342443">
        <w:rPr>
          <w:rFonts w:ascii="Arial" w:hAnsi="Arial" w:cs="Arial"/>
          <w:color w:val="000000" w:themeColor="text1"/>
        </w:rPr>
        <w:t>) que debe fortalecerse: las empresas crecen de manera lineal, sin escalamiento acelerado, con baja adopción tecnológica y desconexión entre la investigación universitaria y el sector productivo. El programa Manizales Más (2012-2019) demostró que la articulación público-privada produce resultados medibles: 120 Empresas de Alto Potencial (EAP), US$67 millones en ventas incrementales, 2.500 nuevos empleos formales y ventas totales por US$231 millones. La estrategia REAP definió como “Batalla Ganadora” (</w:t>
      </w:r>
      <w:proofErr w:type="spellStart"/>
      <w:r w:rsidRPr="00342443">
        <w:rPr>
          <w:rFonts w:ascii="Arial" w:hAnsi="Arial" w:cs="Arial"/>
          <w:color w:val="000000" w:themeColor="text1"/>
        </w:rPr>
        <w:t>Must</w:t>
      </w:r>
      <w:proofErr w:type="spellEnd"/>
      <w:r w:rsidRPr="00342443">
        <w:rPr>
          <w:rFonts w:ascii="Arial" w:hAnsi="Arial" w:cs="Arial"/>
          <w:color w:val="000000" w:themeColor="text1"/>
        </w:rPr>
        <w:t xml:space="preserve"> </w:t>
      </w:r>
      <w:proofErr w:type="spellStart"/>
      <w:r w:rsidRPr="00342443">
        <w:rPr>
          <w:rFonts w:ascii="Arial" w:hAnsi="Arial" w:cs="Arial"/>
          <w:color w:val="000000" w:themeColor="text1"/>
        </w:rPr>
        <w:t>Win</w:t>
      </w:r>
      <w:proofErr w:type="spellEnd"/>
      <w:r w:rsidRPr="00342443">
        <w:rPr>
          <w:rFonts w:ascii="Arial" w:hAnsi="Arial" w:cs="Arial"/>
          <w:color w:val="000000" w:themeColor="text1"/>
        </w:rPr>
        <w:t xml:space="preserve"> </w:t>
      </w:r>
      <w:proofErr w:type="spellStart"/>
      <w:r w:rsidRPr="00342443">
        <w:rPr>
          <w:rFonts w:ascii="Arial" w:hAnsi="Arial" w:cs="Arial"/>
          <w:color w:val="000000" w:themeColor="text1"/>
        </w:rPr>
        <w:t>Battle</w:t>
      </w:r>
      <w:proofErr w:type="spellEnd"/>
      <w:r w:rsidRPr="00342443">
        <w:rPr>
          <w:rFonts w:ascii="Arial" w:hAnsi="Arial" w:cs="Arial"/>
          <w:color w:val="000000" w:themeColor="text1"/>
        </w:rPr>
        <w:t xml:space="preserve"> - MWB) el desarrollo del talento humano en Caldas con mentalidad de perspectiva global y capacidad de innovación (MAGI), y diseñó las intervenciones </w:t>
      </w:r>
      <w:proofErr w:type="spellStart"/>
      <w:r w:rsidRPr="00342443">
        <w:rPr>
          <w:rFonts w:ascii="Arial" w:hAnsi="Arial" w:cs="Arial"/>
          <w:color w:val="000000" w:themeColor="text1"/>
        </w:rPr>
        <w:t>Design</w:t>
      </w:r>
      <w:proofErr w:type="spellEnd"/>
      <w:r w:rsidRPr="00342443">
        <w:rPr>
          <w:rFonts w:ascii="Arial" w:hAnsi="Arial" w:cs="Arial"/>
          <w:color w:val="000000" w:themeColor="text1"/>
        </w:rPr>
        <w:t xml:space="preserve"> Hub, Global </w:t>
      </w:r>
      <w:proofErr w:type="spellStart"/>
      <w:r w:rsidRPr="00342443">
        <w:rPr>
          <w:rFonts w:ascii="Arial" w:hAnsi="Arial" w:cs="Arial"/>
          <w:color w:val="000000" w:themeColor="text1"/>
        </w:rPr>
        <w:t>Fast</w:t>
      </w:r>
      <w:proofErr w:type="spellEnd"/>
      <w:r w:rsidRPr="00342443">
        <w:rPr>
          <w:rFonts w:ascii="Arial" w:hAnsi="Arial" w:cs="Arial"/>
          <w:color w:val="000000" w:themeColor="text1"/>
        </w:rPr>
        <w:t xml:space="preserve"> Track, Programa de Diáspora y Articulación Institucional. El marco del MIT concluye que el éxito regional depende de la colaboración entre el gobierno, la academia, las empresas y el capital de riesgo, integrando a la Comisión Regional de Competitividad e Innovación de Caldas (CRCI) y a la Red de Emprendimiento de Caldas (REC).</w:t>
      </w:r>
    </w:p>
    <w:p w14:paraId="5B5CED71" w14:textId="77777777" w:rsidR="004F7CD0" w:rsidRPr="00342443" w:rsidRDefault="00974B3E" w:rsidP="002966B5">
      <w:pPr>
        <w:pStyle w:val="Ttulo3"/>
        <w:rPr>
          <w:rFonts w:ascii="Arial" w:hAnsi="Arial" w:cs="Arial"/>
          <w:color w:val="000000" w:themeColor="text1"/>
        </w:rPr>
      </w:pPr>
      <w:bookmarkStart w:id="7" w:name="_Toc240894032"/>
      <w:r w:rsidRPr="00342443">
        <w:rPr>
          <w:rFonts w:ascii="Arial" w:hAnsi="Arial" w:cs="Arial"/>
          <w:color w:val="000000" w:themeColor="text1"/>
        </w:rPr>
        <w:t>3.4. Complemento técnico: el Documento Técnico de la Política Pública de CTeI de Caldas (CINDE, 2022-2032) y la Ordenanza No. 952 de 2023</w:t>
      </w:r>
      <w:bookmarkEnd w:id="7"/>
    </w:p>
    <w:p w14:paraId="170DF885" w14:textId="77777777" w:rsidR="008C3AC5" w:rsidRPr="00342443" w:rsidRDefault="008C3AC5" w:rsidP="008C3AC5">
      <w:pPr>
        <w:pStyle w:val="NormalWeb"/>
        <w:jc w:val="both"/>
        <w:rPr>
          <w:rFonts w:ascii="Arial" w:hAnsi="Arial" w:cs="Arial"/>
          <w:color w:val="000000" w:themeColor="text1"/>
        </w:rPr>
      </w:pPr>
      <w:r w:rsidRPr="00342443">
        <w:rPr>
          <w:rFonts w:ascii="Arial" w:hAnsi="Arial" w:cs="Arial"/>
          <w:color w:val="000000" w:themeColor="text1"/>
        </w:rPr>
        <w:t>El “Lineamiento para una Política Pública de Ciencia, Tecnología, Innovación y Educación para el Departamento de Caldas”, elaborado por la Fundación CINDE con la Secretaría de Desarrollo, Empleo e Innovación,</w:t>
      </w:r>
      <w:r w:rsidRPr="00342443">
        <w:rPr>
          <w:rStyle w:val="apple-converted-space"/>
          <w:rFonts w:ascii="Arial" w:hAnsi="Arial" w:cs="Arial"/>
          <w:color w:val="000000" w:themeColor="text1"/>
        </w:rPr>
        <w:t> </w:t>
      </w:r>
      <w:r w:rsidRPr="00342443">
        <w:rPr>
          <w:rFonts w:ascii="Arial" w:hAnsi="Arial" w:cs="Arial"/>
          <w:b/>
          <w:bCs/>
          <w:color w:val="000000" w:themeColor="text1"/>
        </w:rPr>
        <w:t>aporta el sustento programático y de gobernanza</w:t>
      </w:r>
      <w:r w:rsidRPr="00342443">
        <w:rPr>
          <w:rFonts w:ascii="Arial" w:hAnsi="Arial" w:cs="Arial"/>
          <w:color w:val="000000" w:themeColor="text1"/>
        </w:rPr>
        <w:t>. Su diagnóstico de financiación</w:t>
      </w:r>
      <w:r w:rsidRPr="00342443">
        <w:rPr>
          <w:rStyle w:val="apple-converted-space"/>
          <w:rFonts w:ascii="Arial" w:hAnsi="Arial" w:cs="Arial"/>
          <w:color w:val="000000" w:themeColor="text1"/>
        </w:rPr>
        <w:t> </w:t>
      </w:r>
      <w:r w:rsidRPr="00342443">
        <w:rPr>
          <w:rFonts w:ascii="Arial" w:hAnsi="Arial" w:cs="Arial"/>
          <w:b/>
          <w:bCs/>
          <w:color w:val="000000" w:themeColor="text1"/>
        </w:rPr>
        <w:t>evidencia que Caldas representa solo el 1,3% de la inversión nacional en ACTI y el 0,5% en I+D, con un gasto en I+D equivalente al 0,17% del PIB departamental, por debajo de los promedios nacionales de 2019 (0,73% del PIB para ACTI y 0,28% para I+D)</w:t>
      </w:r>
      <w:r w:rsidRPr="00342443">
        <w:rPr>
          <w:rFonts w:ascii="Arial" w:hAnsi="Arial" w:cs="Arial"/>
          <w:color w:val="000000" w:themeColor="text1"/>
        </w:rPr>
        <w:t>. La reforma distrital</w:t>
      </w:r>
      <w:r w:rsidRPr="00342443">
        <w:rPr>
          <w:rStyle w:val="apple-converted-space"/>
          <w:rFonts w:ascii="Arial" w:hAnsi="Arial" w:cs="Arial"/>
          <w:color w:val="000000" w:themeColor="text1"/>
        </w:rPr>
        <w:t> </w:t>
      </w:r>
      <w:r w:rsidRPr="00342443">
        <w:rPr>
          <w:rFonts w:ascii="Arial" w:hAnsi="Arial" w:cs="Arial"/>
          <w:b/>
          <w:bCs/>
          <w:color w:val="000000" w:themeColor="text1"/>
        </w:rPr>
        <w:t>opera como palanca para cerrar esta brecha de financiación</w:t>
      </w:r>
      <w:r w:rsidRPr="00342443">
        <w:rPr>
          <w:rFonts w:ascii="Arial" w:hAnsi="Arial" w:cs="Arial"/>
          <w:color w:val="000000" w:themeColor="text1"/>
        </w:rPr>
        <w:t>.</w:t>
      </w:r>
    </w:p>
    <w:p w14:paraId="0E03D272" w14:textId="77777777" w:rsidR="008C3AC5" w:rsidRPr="00342443" w:rsidRDefault="008C3AC5" w:rsidP="008C3AC5">
      <w:pPr>
        <w:pStyle w:val="NormalWeb"/>
        <w:jc w:val="both"/>
        <w:rPr>
          <w:rFonts w:ascii="Arial" w:hAnsi="Arial" w:cs="Arial"/>
          <w:color w:val="000000" w:themeColor="text1"/>
        </w:rPr>
      </w:pPr>
      <w:r w:rsidRPr="00342443">
        <w:rPr>
          <w:rFonts w:ascii="Arial" w:hAnsi="Arial" w:cs="Arial"/>
          <w:color w:val="000000" w:themeColor="text1"/>
        </w:rPr>
        <w:lastRenderedPageBreak/>
        <w:t>En materia de talento humano, Caldas</w:t>
      </w:r>
      <w:r w:rsidRPr="00342443">
        <w:rPr>
          <w:rStyle w:val="apple-converted-space"/>
          <w:rFonts w:ascii="Arial" w:hAnsi="Arial" w:cs="Arial"/>
          <w:color w:val="000000" w:themeColor="text1"/>
        </w:rPr>
        <w:t> </w:t>
      </w:r>
      <w:r w:rsidRPr="00342443">
        <w:rPr>
          <w:rFonts w:ascii="Arial" w:hAnsi="Arial" w:cs="Arial"/>
          <w:b/>
          <w:bCs/>
          <w:color w:val="000000" w:themeColor="text1"/>
        </w:rPr>
        <w:t>aporta el 3,5% de los investigadores del país; cuenta con 630 investigadores reconocidos por Min</w:t>
      </w:r>
      <w:r w:rsidR="005F09D8">
        <w:rPr>
          <w:rFonts w:ascii="Arial" w:hAnsi="Arial" w:cs="Arial"/>
          <w:b/>
          <w:bCs/>
          <w:color w:val="000000" w:themeColor="text1"/>
        </w:rPr>
        <w:t xml:space="preserve"> </w:t>
      </w:r>
      <w:r w:rsidRPr="00342443">
        <w:rPr>
          <w:rFonts w:ascii="Arial" w:hAnsi="Arial" w:cs="Arial"/>
          <w:b/>
          <w:bCs/>
          <w:color w:val="000000" w:themeColor="text1"/>
        </w:rPr>
        <w:t>Ciencias (407 mujeres y 223 hombres), y representa el 2,2% de la formación en especializaciones, el 3,4% en maestrías y el 4,3% en doctorados del nivel nacional</w:t>
      </w:r>
      <w:r w:rsidRPr="00342443">
        <w:rPr>
          <w:rFonts w:ascii="Arial" w:hAnsi="Arial" w:cs="Arial"/>
          <w:color w:val="000000" w:themeColor="text1"/>
        </w:rPr>
        <w:t>. Cuenta con</w:t>
      </w:r>
      <w:r w:rsidRPr="00342443">
        <w:rPr>
          <w:rStyle w:val="apple-converted-space"/>
          <w:rFonts w:ascii="Arial" w:hAnsi="Arial" w:cs="Arial"/>
          <w:color w:val="000000" w:themeColor="text1"/>
        </w:rPr>
        <w:t> </w:t>
      </w:r>
      <w:r w:rsidRPr="00342443">
        <w:rPr>
          <w:rFonts w:ascii="Arial" w:hAnsi="Arial" w:cs="Arial"/>
          <w:b/>
          <w:bCs/>
          <w:color w:val="000000" w:themeColor="text1"/>
        </w:rPr>
        <w:t>168 grupos de investigación clasificados (A1: 30; A: 45; B: 40; C: 49; reconocidos: 4)</w:t>
      </w:r>
      <w:r w:rsidRPr="00342443">
        <w:rPr>
          <w:rFonts w:ascii="Arial" w:hAnsi="Arial" w:cs="Arial"/>
          <w:color w:val="000000" w:themeColor="text1"/>
        </w:rPr>
        <w:t>. En 2020,</w:t>
      </w:r>
      <w:r w:rsidRPr="00342443">
        <w:rPr>
          <w:rStyle w:val="apple-converted-space"/>
          <w:rFonts w:ascii="Arial" w:hAnsi="Arial" w:cs="Arial"/>
          <w:color w:val="000000" w:themeColor="text1"/>
        </w:rPr>
        <w:t> </w:t>
      </w:r>
      <w:r w:rsidRPr="00342443">
        <w:rPr>
          <w:rFonts w:ascii="Arial" w:hAnsi="Arial" w:cs="Arial"/>
          <w:b/>
          <w:bCs/>
          <w:color w:val="000000" w:themeColor="text1"/>
        </w:rPr>
        <w:t>todas las patentes concedidas y en concesión del departamento estaban asociadas a investigaciones realizadas en instituciones de educación superior</w:t>
      </w:r>
      <w:r w:rsidRPr="00342443">
        <w:rPr>
          <w:rFonts w:ascii="Arial" w:hAnsi="Arial" w:cs="Arial"/>
          <w:color w:val="000000" w:themeColor="text1"/>
        </w:rPr>
        <w:t>, y en 2021</w:t>
      </w:r>
      <w:r w:rsidRPr="00342443">
        <w:rPr>
          <w:rStyle w:val="apple-converted-space"/>
          <w:rFonts w:ascii="Arial" w:hAnsi="Arial" w:cs="Arial"/>
          <w:color w:val="000000" w:themeColor="text1"/>
        </w:rPr>
        <w:t> </w:t>
      </w:r>
      <w:r w:rsidRPr="00342443">
        <w:rPr>
          <w:rFonts w:ascii="Arial" w:hAnsi="Arial" w:cs="Arial"/>
          <w:b/>
          <w:bCs/>
          <w:color w:val="000000" w:themeColor="text1"/>
        </w:rPr>
        <w:t>Caldas fue el tercer departamento con más registros de software</w:t>
      </w:r>
      <w:r w:rsidRPr="00342443">
        <w:rPr>
          <w:rFonts w:ascii="Arial" w:hAnsi="Arial" w:cs="Arial"/>
          <w:color w:val="000000" w:themeColor="text1"/>
        </w:rPr>
        <w:t>.</w:t>
      </w:r>
    </w:p>
    <w:p w14:paraId="43AD27DF" w14:textId="77777777" w:rsidR="008C3AC5" w:rsidRPr="00342443" w:rsidRDefault="008C3AC5" w:rsidP="008C3AC5">
      <w:pPr>
        <w:pStyle w:val="NormalWeb"/>
        <w:jc w:val="both"/>
        <w:rPr>
          <w:rFonts w:ascii="Arial" w:hAnsi="Arial" w:cs="Arial"/>
          <w:color w:val="000000" w:themeColor="text1"/>
        </w:rPr>
      </w:pPr>
      <w:r w:rsidRPr="00342443">
        <w:rPr>
          <w:rFonts w:ascii="Arial" w:hAnsi="Arial" w:cs="Arial"/>
          <w:color w:val="000000" w:themeColor="text1"/>
        </w:rPr>
        <w:t>El enfoque conceptual del Documento Técnico</w:t>
      </w:r>
      <w:r w:rsidRPr="00342443">
        <w:rPr>
          <w:rStyle w:val="apple-converted-space"/>
          <w:rFonts w:ascii="Arial" w:hAnsi="Arial" w:cs="Arial"/>
          <w:color w:val="000000" w:themeColor="text1"/>
        </w:rPr>
        <w:t> </w:t>
      </w:r>
      <w:r w:rsidRPr="00342443">
        <w:rPr>
          <w:rFonts w:ascii="Arial" w:hAnsi="Arial" w:cs="Arial"/>
          <w:b/>
          <w:bCs/>
          <w:color w:val="000000" w:themeColor="text1"/>
        </w:rPr>
        <w:t>se estructura en Políticas Orientadas por Misión (POM)</w:t>
      </w:r>
      <w:r w:rsidRPr="00342443">
        <w:rPr>
          <w:rFonts w:ascii="Arial" w:hAnsi="Arial" w:cs="Arial"/>
          <w:color w:val="000000" w:themeColor="text1"/>
        </w:rPr>
        <w:t>, con insumos de la Misión de Sabios por Caldas 2020-2021 y de la Política Pública Nacional de CTeI 2022-2031, y</w:t>
      </w:r>
      <w:r w:rsidRPr="00342443">
        <w:rPr>
          <w:rStyle w:val="apple-converted-space"/>
          <w:rFonts w:ascii="Arial" w:hAnsi="Arial" w:cs="Arial"/>
          <w:color w:val="000000" w:themeColor="text1"/>
        </w:rPr>
        <w:t> </w:t>
      </w:r>
      <w:r w:rsidRPr="00342443">
        <w:rPr>
          <w:rFonts w:ascii="Arial" w:hAnsi="Arial" w:cs="Arial"/>
          <w:b/>
          <w:bCs/>
          <w:color w:val="000000" w:themeColor="text1"/>
        </w:rPr>
        <w:t>siete ejes transversales: misionales (fomento a vocaciones, generación, uso y apropiación del conocimiento) y habilitantes (potencialidades regionales, factores dinamizadores y recursos financieros)</w:t>
      </w:r>
      <w:r w:rsidRPr="00342443">
        <w:rPr>
          <w:rFonts w:ascii="Arial" w:hAnsi="Arial" w:cs="Arial"/>
          <w:color w:val="000000" w:themeColor="text1"/>
        </w:rPr>
        <w:t>. Define</w:t>
      </w:r>
      <w:r w:rsidRPr="00342443">
        <w:rPr>
          <w:rStyle w:val="apple-converted-space"/>
          <w:rFonts w:ascii="Arial" w:hAnsi="Arial" w:cs="Arial"/>
          <w:color w:val="000000" w:themeColor="text1"/>
        </w:rPr>
        <w:t> </w:t>
      </w:r>
      <w:r w:rsidRPr="00342443">
        <w:rPr>
          <w:rFonts w:ascii="Arial" w:hAnsi="Arial" w:cs="Arial"/>
          <w:b/>
          <w:bCs/>
          <w:color w:val="000000" w:themeColor="text1"/>
        </w:rPr>
        <w:t>tres misiones emblemáticas: M.E.1 “Caldas territorio biointeligente y sostenible”; M.E.2 “Caldas hacia un nuevo modelo productivo, sostenible y equitativo” en perspectiva de economía circular; y M.E.3 “Caldas educada, saludable, científica e innovadora”, con horizontes de corto (1 a 3 años), mediano (3 a 5 años) y largo plazo (5 a 10 años)</w:t>
      </w:r>
      <w:r w:rsidRPr="00342443">
        <w:rPr>
          <w:rFonts w:ascii="Arial" w:hAnsi="Arial" w:cs="Arial"/>
          <w:color w:val="000000" w:themeColor="text1"/>
        </w:rPr>
        <w:t>.</w:t>
      </w:r>
    </w:p>
    <w:p w14:paraId="64DF6249" w14:textId="77777777" w:rsidR="008C3AC5" w:rsidRPr="00342443" w:rsidRDefault="008C3AC5" w:rsidP="008C3AC5">
      <w:pPr>
        <w:pStyle w:val="NormalWeb"/>
        <w:jc w:val="both"/>
        <w:rPr>
          <w:rFonts w:ascii="Arial" w:hAnsi="Arial" w:cs="Arial"/>
          <w:color w:val="000000" w:themeColor="text1"/>
        </w:rPr>
      </w:pPr>
      <w:r w:rsidRPr="00342443">
        <w:rPr>
          <w:rFonts w:ascii="Arial" w:hAnsi="Arial" w:cs="Arial"/>
          <w:color w:val="000000" w:themeColor="text1"/>
        </w:rPr>
        <w:t>En cuanto a la gobernanza,</w:t>
      </w:r>
      <w:r w:rsidRPr="00342443">
        <w:rPr>
          <w:rStyle w:val="apple-converted-space"/>
          <w:rFonts w:ascii="Arial" w:hAnsi="Arial" w:cs="Arial"/>
          <w:color w:val="000000" w:themeColor="text1"/>
        </w:rPr>
        <w:t> </w:t>
      </w:r>
      <w:r w:rsidRPr="00342443">
        <w:rPr>
          <w:rFonts w:ascii="Arial" w:hAnsi="Arial" w:cs="Arial"/>
          <w:b/>
          <w:bCs/>
          <w:color w:val="000000" w:themeColor="text1"/>
        </w:rPr>
        <w:t>el modelo es de Triple Hélice (Universidad, Empresa y Estado) con la sociedad caldense en el centro; el Consejo Departamental de Ciencia, Tecnología e Innovación (CODECTI) como instancia asesora; seis (6) comités subregionales y 27 comités municipales de Educación, Ciencia, Tecnología e Innovación; y actores como el SUMA, la Universidad de Caldas, la Universidad Nacional Sede Manizales, la Gobernación de Caldas, la Cámara de Comercio de Manizales, NeuroCity, Manizales Más, Manizales Innova, BIOS, AGROSAVIA y CENICAFÉ</w:t>
      </w:r>
      <w:r w:rsidRPr="00342443">
        <w:rPr>
          <w:rFonts w:ascii="Arial" w:hAnsi="Arial" w:cs="Arial"/>
          <w:color w:val="000000" w:themeColor="text1"/>
        </w:rPr>
        <w:t>. La financiación prevista</w:t>
      </w:r>
      <w:r w:rsidRPr="00342443">
        <w:rPr>
          <w:rStyle w:val="apple-converted-space"/>
          <w:rFonts w:ascii="Arial" w:hAnsi="Arial" w:cs="Arial"/>
          <w:color w:val="000000" w:themeColor="text1"/>
        </w:rPr>
        <w:t> </w:t>
      </w:r>
      <w:r w:rsidRPr="00342443">
        <w:rPr>
          <w:rFonts w:ascii="Arial" w:hAnsi="Arial" w:cs="Arial"/>
          <w:b/>
          <w:bCs/>
          <w:color w:val="000000" w:themeColor="text1"/>
        </w:rPr>
        <w:t xml:space="preserve">comprende el Sistema General de Regalías (Asignación de Ciencia, Tecnología e Innovación, equivalente al 10% de las regalías), recursos propios del territorio, alianzas público-privadas, cooperación internacional, banca de desarrollo y convocatorias nacionales de </w:t>
      </w:r>
      <w:r w:rsidR="004C3B3B" w:rsidRPr="00342443">
        <w:rPr>
          <w:rFonts w:ascii="Arial" w:hAnsi="Arial" w:cs="Arial"/>
          <w:b/>
          <w:bCs/>
          <w:color w:val="000000" w:themeColor="text1"/>
        </w:rPr>
        <w:t>Min Ciencias</w:t>
      </w:r>
      <w:r w:rsidRPr="00342443">
        <w:rPr>
          <w:rFonts w:ascii="Arial" w:hAnsi="Arial" w:cs="Arial"/>
          <w:b/>
          <w:bCs/>
          <w:color w:val="000000" w:themeColor="text1"/>
        </w:rPr>
        <w:t xml:space="preserve"> y del DNP</w:t>
      </w:r>
      <w:r w:rsidRPr="00342443">
        <w:rPr>
          <w:rFonts w:ascii="Arial" w:hAnsi="Arial" w:cs="Arial"/>
          <w:color w:val="000000" w:themeColor="text1"/>
        </w:rPr>
        <w:t>.</w:t>
      </w:r>
    </w:p>
    <w:p w14:paraId="68CA8746" w14:textId="77777777" w:rsidR="008C3AC5" w:rsidRPr="00342443" w:rsidRDefault="008C3AC5" w:rsidP="008C3AC5">
      <w:pPr>
        <w:pStyle w:val="NormalWeb"/>
        <w:jc w:val="both"/>
        <w:rPr>
          <w:rFonts w:ascii="Arial" w:hAnsi="Arial" w:cs="Arial"/>
          <w:color w:val="000000" w:themeColor="text1"/>
        </w:rPr>
      </w:pPr>
      <w:r w:rsidRPr="00342443">
        <w:rPr>
          <w:rFonts w:ascii="Arial" w:hAnsi="Arial" w:cs="Arial"/>
          <w:color w:val="000000" w:themeColor="text1"/>
        </w:rPr>
        <w:t>Mediante comunicación oficial del 24 de abril de 2023, la Secretaría General de la Asamblea Departamental de Caldas remitió al Gobernador la</w:t>
      </w:r>
      <w:r w:rsidRPr="00342443">
        <w:rPr>
          <w:rStyle w:val="apple-converted-space"/>
          <w:rFonts w:ascii="Arial" w:hAnsi="Arial" w:cs="Arial"/>
          <w:color w:val="000000" w:themeColor="text1"/>
        </w:rPr>
        <w:t> </w:t>
      </w:r>
      <w:r w:rsidRPr="00342443">
        <w:rPr>
          <w:rFonts w:ascii="Arial" w:hAnsi="Arial" w:cs="Arial"/>
          <w:b/>
          <w:bCs/>
          <w:color w:val="000000" w:themeColor="text1"/>
        </w:rPr>
        <w:t>Ordenanza No. 952, por medio de la cual se adopta la Política Pública de Ciencia, Tecnología e Innovación del departamento para el periodo 2023-2033</w:t>
      </w:r>
      <w:r w:rsidRPr="00342443">
        <w:rPr>
          <w:rFonts w:ascii="Arial" w:hAnsi="Arial" w:cs="Arial"/>
          <w:color w:val="000000" w:themeColor="text1"/>
        </w:rPr>
        <w:t>. Este acto</w:t>
      </w:r>
      <w:r w:rsidRPr="00342443">
        <w:rPr>
          <w:rStyle w:val="apple-converted-space"/>
          <w:rFonts w:ascii="Arial" w:hAnsi="Arial" w:cs="Arial"/>
          <w:color w:val="000000" w:themeColor="text1"/>
        </w:rPr>
        <w:t> </w:t>
      </w:r>
      <w:r w:rsidRPr="00342443">
        <w:rPr>
          <w:rFonts w:ascii="Arial" w:hAnsi="Arial" w:cs="Arial"/>
          <w:b/>
          <w:bCs/>
          <w:color w:val="000000" w:themeColor="text1"/>
        </w:rPr>
        <w:t>confirma la voluntad política institucional de sostener la agenda de CTeI como política de Estado territorial</w:t>
      </w:r>
      <w:r w:rsidRPr="00342443">
        <w:rPr>
          <w:rFonts w:ascii="Arial" w:hAnsi="Arial" w:cs="Arial"/>
          <w:color w:val="000000" w:themeColor="text1"/>
        </w:rPr>
        <w:t>. La coexistencia del nivel departamental (política adoptada por ordenanza) y del nivel distrital (régimen constitucional especial)</w:t>
      </w:r>
      <w:r w:rsidRPr="00342443">
        <w:rPr>
          <w:rStyle w:val="apple-converted-space"/>
          <w:rFonts w:ascii="Arial" w:hAnsi="Arial" w:cs="Arial"/>
          <w:color w:val="000000" w:themeColor="text1"/>
        </w:rPr>
        <w:t> </w:t>
      </w:r>
      <w:r w:rsidRPr="00342443">
        <w:rPr>
          <w:rFonts w:ascii="Arial" w:hAnsi="Arial" w:cs="Arial"/>
          <w:b/>
          <w:bCs/>
          <w:color w:val="000000" w:themeColor="text1"/>
        </w:rPr>
        <w:t>es complementaria y no excluyente</w:t>
      </w:r>
      <w:r w:rsidRPr="00342443">
        <w:rPr>
          <w:rFonts w:ascii="Arial" w:hAnsi="Arial" w:cs="Arial"/>
          <w:color w:val="000000" w:themeColor="text1"/>
        </w:rPr>
        <w:t>.</w:t>
      </w:r>
    </w:p>
    <w:p w14:paraId="3CB472D4" w14:textId="77777777" w:rsidR="00F46FB9" w:rsidRPr="00342443" w:rsidRDefault="00F46FB9" w:rsidP="00F46FB9">
      <w:pPr>
        <w:spacing w:after="120" w:line="276" w:lineRule="auto"/>
        <w:jc w:val="both"/>
        <w:rPr>
          <w:rFonts w:ascii="Arial" w:hAnsi="Arial" w:cs="Arial"/>
          <w:color w:val="000000" w:themeColor="text1"/>
          <w:lang w:val="es-CO"/>
        </w:rPr>
      </w:pPr>
    </w:p>
    <w:p w14:paraId="71A60628" w14:textId="77777777" w:rsidR="004F7CD0" w:rsidRPr="00342443" w:rsidRDefault="00974B3E" w:rsidP="002966B5">
      <w:pPr>
        <w:pStyle w:val="Ttulo3"/>
        <w:rPr>
          <w:rFonts w:ascii="Arial" w:hAnsi="Arial" w:cs="Arial"/>
          <w:color w:val="000000" w:themeColor="text1"/>
        </w:rPr>
      </w:pPr>
      <w:bookmarkStart w:id="8" w:name="_Toc240894033"/>
      <w:r w:rsidRPr="00342443">
        <w:rPr>
          <w:rFonts w:ascii="Arial" w:hAnsi="Arial" w:cs="Arial"/>
          <w:color w:val="000000" w:themeColor="text1"/>
        </w:rPr>
        <w:t>3.5. El pilar de sostenibilidad territorial</w:t>
      </w:r>
      <w:bookmarkEnd w:id="8"/>
    </w:p>
    <w:p w14:paraId="09470FE4" w14:textId="77777777" w:rsidR="006A3535" w:rsidRPr="00342443" w:rsidRDefault="006A3535" w:rsidP="006A3535">
      <w:pPr>
        <w:pStyle w:val="NormalWeb"/>
        <w:jc w:val="both"/>
        <w:rPr>
          <w:rFonts w:ascii="Arial" w:hAnsi="Arial" w:cs="Arial"/>
          <w:color w:val="000000" w:themeColor="text1"/>
        </w:rPr>
      </w:pPr>
      <w:r w:rsidRPr="00342443">
        <w:rPr>
          <w:rFonts w:ascii="Arial" w:hAnsi="Arial" w:cs="Arial"/>
          <w:color w:val="000000" w:themeColor="text1"/>
        </w:rPr>
        <w:t xml:space="preserve">La exposición de motivos desarrolla el pilar de sostenibilidad territorial bajo el título “Biodiversidad, Transición Energética y Reconocimiento Ciudad para la Vida”, con los </w:t>
      </w:r>
      <w:r w:rsidRPr="00342443">
        <w:rPr>
          <w:rFonts w:ascii="Arial" w:hAnsi="Arial" w:cs="Arial"/>
          <w:color w:val="000000" w:themeColor="text1"/>
        </w:rPr>
        <w:lastRenderedPageBreak/>
        <w:t>siguientes contenidos, que esta ponencia reproduce. Más allá de la Red de Ecoparques de Manizales (oficialmente compuesta por tres parques), el análisis del sistema ecológico y turístico de la ciudad</w:t>
      </w:r>
      <w:r w:rsidRPr="00342443">
        <w:rPr>
          <w:rStyle w:val="apple-converted-space"/>
          <w:rFonts w:ascii="Arial" w:hAnsi="Arial" w:cs="Arial"/>
          <w:color w:val="000000" w:themeColor="text1"/>
        </w:rPr>
        <w:t> </w:t>
      </w:r>
      <w:r w:rsidRPr="00342443">
        <w:rPr>
          <w:rFonts w:ascii="Arial" w:hAnsi="Arial" w:cs="Arial"/>
          <w:b/>
          <w:bCs/>
          <w:color w:val="000000" w:themeColor="text1"/>
        </w:rPr>
        <w:t>revela un anillo de siete (7) grandes áreas naturales que la rodean y que conforman el corredor ecológico del futuro Distrito</w:t>
      </w:r>
      <w:r w:rsidRPr="00342443">
        <w:rPr>
          <w:rFonts w:ascii="Arial" w:hAnsi="Arial" w:cs="Arial"/>
          <w:color w:val="000000" w:themeColor="text1"/>
        </w:rPr>
        <w:t>: Los Yarumos; Los Alcázares-Arenillo; Bosque Popular El Prado; Recinto del Pensamiento; Reserva Natural Río Blanco; Bosques de la Pradera; y el sector Manizales-Villamaría del Parque Nacional Natural Los Nevados. Este corredor</w:t>
      </w:r>
      <w:r w:rsidRPr="00342443">
        <w:rPr>
          <w:rStyle w:val="apple-converted-space"/>
          <w:rFonts w:ascii="Arial" w:hAnsi="Arial" w:cs="Arial"/>
          <w:color w:val="000000" w:themeColor="text1"/>
        </w:rPr>
        <w:t> </w:t>
      </w:r>
      <w:r w:rsidRPr="00342443">
        <w:rPr>
          <w:rFonts w:ascii="Arial" w:hAnsi="Arial" w:cs="Arial"/>
          <w:b/>
          <w:bCs/>
          <w:color w:val="000000" w:themeColor="text1"/>
        </w:rPr>
        <w:t>conecta bosques andinos, reservas privadas y ecosistemas de páramo, y constituye la infraestructura ecológica sobre la que se asienta la vocación ambiental del Distrito</w:t>
      </w:r>
      <w:r w:rsidRPr="00342443">
        <w:rPr>
          <w:rFonts w:ascii="Arial" w:hAnsi="Arial" w:cs="Arial"/>
          <w:color w:val="000000" w:themeColor="text1"/>
        </w:rPr>
        <w:t>.</w:t>
      </w:r>
    </w:p>
    <w:p w14:paraId="06394BEA" w14:textId="77777777" w:rsidR="006A3535" w:rsidRPr="00342443" w:rsidRDefault="006A3535" w:rsidP="006A3535">
      <w:pPr>
        <w:pStyle w:val="NormalWeb"/>
        <w:jc w:val="both"/>
        <w:rPr>
          <w:rFonts w:ascii="Arial" w:hAnsi="Arial" w:cs="Arial"/>
          <w:color w:val="000000" w:themeColor="text1"/>
        </w:rPr>
      </w:pPr>
      <w:r w:rsidRPr="00342443">
        <w:rPr>
          <w:rFonts w:ascii="Arial" w:hAnsi="Arial" w:cs="Arial"/>
          <w:color w:val="000000" w:themeColor="text1"/>
        </w:rPr>
        <w:t xml:space="preserve">Caldas registra más de 800 especies de aves, una de las mayores densidades ornitológicas del planeta: solo en el </w:t>
      </w:r>
      <w:r w:rsidR="009F6DC7" w:rsidRPr="00342443">
        <w:rPr>
          <w:rFonts w:ascii="Arial" w:hAnsi="Arial" w:cs="Arial"/>
          <w:color w:val="000000" w:themeColor="text1"/>
        </w:rPr>
        <w:t>Eco parque</w:t>
      </w:r>
      <w:r w:rsidRPr="00342443">
        <w:rPr>
          <w:rFonts w:ascii="Arial" w:hAnsi="Arial" w:cs="Arial"/>
          <w:color w:val="000000" w:themeColor="text1"/>
        </w:rPr>
        <w:t xml:space="preserve"> Los Alcázares se han documentado más de 176 especies residentes y migratorias. Esta biodiversidad</w:t>
      </w:r>
      <w:r w:rsidRPr="00342443">
        <w:rPr>
          <w:rStyle w:val="apple-converted-space"/>
          <w:rFonts w:ascii="Arial" w:hAnsi="Arial" w:cs="Arial"/>
          <w:color w:val="000000" w:themeColor="text1"/>
        </w:rPr>
        <w:t> </w:t>
      </w:r>
      <w:r w:rsidRPr="00342443">
        <w:rPr>
          <w:rFonts w:ascii="Arial" w:hAnsi="Arial" w:cs="Arial"/>
          <w:b/>
          <w:bCs/>
          <w:color w:val="000000" w:themeColor="text1"/>
        </w:rPr>
        <w:t>no es un inventario estático: es la base de investigación del nodo BIOS, que procesa datos de biodiversidad mediante supercomputación para la ciencia nacional</w:t>
      </w:r>
      <w:r w:rsidRPr="00342443">
        <w:rPr>
          <w:rFonts w:ascii="Arial" w:hAnsi="Arial" w:cs="Arial"/>
          <w:color w:val="000000" w:themeColor="text1"/>
        </w:rPr>
        <w:t>.</w:t>
      </w:r>
    </w:p>
    <w:p w14:paraId="5F21F851" w14:textId="77777777" w:rsidR="006A3535" w:rsidRPr="00342443" w:rsidRDefault="006A3535" w:rsidP="006A3535">
      <w:pPr>
        <w:pStyle w:val="NormalWeb"/>
        <w:jc w:val="both"/>
        <w:rPr>
          <w:rFonts w:ascii="Arial" w:hAnsi="Arial" w:cs="Arial"/>
          <w:color w:val="000000" w:themeColor="text1"/>
        </w:rPr>
      </w:pPr>
      <w:r w:rsidRPr="00342443">
        <w:rPr>
          <w:rFonts w:ascii="Arial" w:hAnsi="Arial" w:cs="Arial"/>
          <w:color w:val="000000" w:themeColor="text1"/>
        </w:rPr>
        <w:t>La caficultura caldense</w:t>
      </w:r>
      <w:r w:rsidRPr="00342443">
        <w:rPr>
          <w:rStyle w:val="apple-converted-space"/>
          <w:rFonts w:ascii="Arial" w:hAnsi="Arial" w:cs="Arial"/>
          <w:color w:val="000000" w:themeColor="text1"/>
        </w:rPr>
        <w:t> </w:t>
      </w:r>
      <w:r w:rsidRPr="00342443">
        <w:rPr>
          <w:rFonts w:ascii="Arial" w:hAnsi="Arial" w:cs="Arial"/>
          <w:b/>
          <w:bCs/>
          <w:color w:val="000000" w:themeColor="text1"/>
        </w:rPr>
        <w:t>opera como laboratorio vivo de economía circular: transformación de pulpa a compost, de mucílago a fertilizantes y de cascarilla a biomasa</w:t>
      </w:r>
      <w:r w:rsidRPr="00342443">
        <w:rPr>
          <w:rFonts w:ascii="Arial" w:hAnsi="Arial" w:cs="Arial"/>
          <w:color w:val="000000" w:themeColor="text1"/>
        </w:rPr>
        <w:t>. En articulación con CENICAFÉ y sus variedades resistentes (Castillo y Cenicafé 1),</w:t>
      </w:r>
      <w:r w:rsidRPr="00342443">
        <w:rPr>
          <w:rStyle w:val="apple-converted-space"/>
          <w:rFonts w:ascii="Arial" w:hAnsi="Arial" w:cs="Arial"/>
          <w:color w:val="000000" w:themeColor="text1"/>
        </w:rPr>
        <w:t> </w:t>
      </w:r>
      <w:r w:rsidRPr="00342443">
        <w:rPr>
          <w:rFonts w:ascii="Arial" w:hAnsi="Arial" w:cs="Arial"/>
          <w:b/>
          <w:bCs/>
          <w:color w:val="000000" w:themeColor="text1"/>
        </w:rPr>
        <w:t xml:space="preserve">se desarrollan aplicaciones de bioeconomía y agricultura regenerativa, con sensores </w:t>
      </w:r>
      <w:proofErr w:type="spellStart"/>
      <w:r w:rsidRPr="00342443">
        <w:rPr>
          <w:rFonts w:ascii="Arial" w:hAnsi="Arial" w:cs="Arial"/>
          <w:b/>
          <w:bCs/>
          <w:color w:val="000000" w:themeColor="text1"/>
        </w:rPr>
        <w:t>IoT</w:t>
      </w:r>
      <w:proofErr w:type="spellEnd"/>
      <w:r w:rsidRPr="00342443">
        <w:rPr>
          <w:rFonts w:ascii="Arial" w:hAnsi="Arial" w:cs="Arial"/>
          <w:b/>
          <w:bCs/>
          <w:color w:val="000000" w:themeColor="text1"/>
        </w:rPr>
        <w:t xml:space="preserve"> e inteligencia artificial, dentro del Paisaje Cultural Cafetero de la UNESCO</w:t>
      </w:r>
      <w:r w:rsidRPr="00342443">
        <w:rPr>
          <w:rFonts w:ascii="Arial" w:hAnsi="Arial" w:cs="Arial"/>
          <w:color w:val="000000" w:themeColor="text1"/>
        </w:rPr>
        <w:t>.</w:t>
      </w:r>
    </w:p>
    <w:p w14:paraId="354030FD" w14:textId="77777777" w:rsidR="006A3535" w:rsidRPr="00342443" w:rsidRDefault="006A3535" w:rsidP="006A3535">
      <w:pPr>
        <w:pStyle w:val="NormalWeb"/>
        <w:jc w:val="both"/>
        <w:rPr>
          <w:rFonts w:ascii="Arial" w:hAnsi="Arial" w:cs="Arial"/>
          <w:color w:val="000000" w:themeColor="text1"/>
        </w:rPr>
      </w:pPr>
      <w:r w:rsidRPr="00342443">
        <w:rPr>
          <w:rFonts w:ascii="Arial" w:hAnsi="Arial" w:cs="Arial"/>
          <w:color w:val="000000" w:themeColor="text1"/>
        </w:rPr>
        <w:t>El desarrollo territorial</w:t>
      </w:r>
      <w:r w:rsidRPr="00342443">
        <w:rPr>
          <w:rStyle w:val="apple-converted-space"/>
          <w:rFonts w:ascii="Arial" w:hAnsi="Arial" w:cs="Arial"/>
          <w:color w:val="000000" w:themeColor="text1"/>
        </w:rPr>
        <w:t> </w:t>
      </w:r>
      <w:r w:rsidRPr="00342443">
        <w:rPr>
          <w:rFonts w:ascii="Arial" w:hAnsi="Arial" w:cs="Arial"/>
          <w:b/>
          <w:bCs/>
          <w:color w:val="000000" w:themeColor="text1"/>
        </w:rPr>
        <w:t>cuenta con validación de estándar global</w:t>
      </w:r>
      <w:r w:rsidRPr="00342443">
        <w:rPr>
          <w:rFonts w:ascii="Arial" w:hAnsi="Arial" w:cs="Arial"/>
          <w:color w:val="000000" w:themeColor="text1"/>
        </w:rPr>
        <w:t>: Manizales</w:t>
      </w:r>
      <w:r w:rsidRPr="00342443">
        <w:rPr>
          <w:rStyle w:val="apple-converted-space"/>
          <w:rFonts w:ascii="Arial" w:hAnsi="Arial" w:cs="Arial"/>
          <w:color w:val="000000" w:themeColor="text1"/>
        </w:rPr>
        <w:t> </w:t>
      </w:r>
      <w:r w:rsidRPr="00342443">
        <w:rPr>
          <w:rFonts w:ascii="Arial" w:hAnsi="Arial" w:cs="Arial"/>
          <w:b/>
          <w:bCs/>
          <w:color w:val="000000" w:themeColor="text1"/>
        </w:rPr>
        <w:t>recibió el Premio ONU-Hábitat LATAM 2025 en la categoría “Ciudades para la Vida”, tras una rigurosa evaluación técnica entre más de 15.000 ciudades de la región, fundamentada en la medición de 85 indicadores vinculados a los 17 Objetivos de Desarrollo Sostenible (ODS)</w:t>
      </w:r>
      <w:r w:rsidRPr="00342443">
        <w:rPr>
          <w:rFonts w:ascii="Arial" w:hAnsi="Arial" w:cs="Arial"/>
          <w:color w:val="000000" w:themeColor="text1"/>
        </w:rPr>
        <w:t>. Manizales</w:t>
      </w:r>
      <w:r w:rsidRPr="00342443">
        <w:rPr>
          <w:rStyle w:val="apple-converted-space"/>
          <w:rFonts w:ascii="Arial" w:hAnsi="Arial" w:cs="Arial"/>
          <w:color w:val="000000" w:themeColor="text1"/>
        </w:rPr>
        <w:t> </w:t>
      </w:r>
      <w:r w:rsidRPr="00342443">
        <w:rPr>
          <w:rFonts w:ascii="Arial" w:hAnsi="Arial" w:cs="Arial"/>
          <w:b/>
          <w:bCs/>
          <w:color w:val="000000" w:themeColor="text1"/>
        </w:rPr>
        <w:t>fue la única ciudad colombiana en clasificar a la fase final y resultar ganadora dentro de la categoría de ciudades de 100.000 a 500.000 habitantes</w:t>
      </w:r>
      <w:r w:rsidRPr="00342443">
        <w:rPr>
          <w:rFonts w:ascii="Arial" w:hAnsi="Arial" w:cs="Arial"/>
          <w:color w:val="000000" w:themeColor="text1"/>
        </w:rPr>
        <w:t>.</w:t>
      </w:r>
    </w:p>
    <w:p w14:paraId="7AA43385" w14:textId="77777777" w:rsidR="006A3535" w:rsidRPr="00342443" w:rsidRDefault="006A3535" w:rsidP="006A3535">
      <w:pPr>
        <w:pStyle w:val="NormalWeb"/>
        <w:jc w:val="both"/>
        <w:rPr>
          <w:rFonts w:ascii="Arial" w:hAnsi="Arial" w:cs="Arial"/>
          <w:color w:val="000000" w:themeColor="text1"/>
        </w:rPr>
      </w:pPr>
      <w:r w:rsidRPr="00342443">
        <w:rPr>
          <w:rFonts w:ascii="Arial" w:hAnsi="Arial" w:cs="Arial"/>
          <w:color w:val="000000" w:themeColor="text1"/>
        </w:rPr>
        <w:t>En materia de descarbonización y movilidad sostenible, el Sistema de Cable Aéreo de Manizales</w:t>
      </w:r>
      <w:r w:rsidRPr="00342443">
        <w:rPr>
          <w:rStyle w:val="apple-converted-space"/>
          <w:rFonts w:ascii="Arial" w:hAnsi="Arial" w:cs="Arial"/>
          <w:color w:val="000000" w:themeColor="text1"/>
        </w:rPr>
        <w:t> </w:t>
      </w:r>
      <w:r w:rsidRPr="00342443">
        <w:rPr>
          <w:rFonts w:ascii="Arial" w:hAnsi="Arial" w:cs="Arial"/>
          <w:b/>
          <w:bCs/>
          <w:color w:val="000000" w:themeColor="text1"/>
        </w:rPr>
        <w:t>se posiciona como referente de transporte público masivo de cero emisiones</w:t>
      </w:r>
      <w:r w:rsidRPr="00342443">
        <w:rPr>
          <w:rFonts w:ascii="Arial" w:hAnsi="Arial" w:cs="Arial"/>
          <w:color w:val="000000" w:themeColor="text1"/>
        </w:rPr>
        <w:t>: con un flujo promedio de 17.300 pasajeros diarios a lo largo de sus tres líneas interconectadas,</w:t>
      </w:r>
      <w:r w:rsidRPr="00342443">
        <w:rPr>
          <w:rStyle w:val="apple-converted-space"/>
          <w:rFonts w:ascii="Arial" w:hAnsi="Arial" w:cs="Arial"/>
          <w:color w:val="000000" w:themeColor="text1"/>
        </w:rPr>
        <w:t> </w:t>
      </w:r>
      <w:r w:rsidRPr="00342443">
        <w:rPr>
          <w:rFonts w:ascii="Arial" w:hAnsi="Arial" w:cs="Arial"/>
          <w:b/>
          <w:bCs/>
          <w:color w:val="000000" w:themeColor="text1"/>
        </w:rPr>
        <w:t>cuenta con la certificación del Sello de Energía Verde de EPM, que garantiza que el 100% de su operación proviene de fuentes eléctricas renovables, y evita la emisión directa de aproximadamente 720 toneladas anuales de dióxido de carbono (CO2)</w:t>
      </w:r>
      <w:r w:rsidRPr="00342443">
        <w:rPr>
          <w:rFonts w:ascii="Arial" w:hAnsi="Arial" w:cs="Arial"/>
          <w:color w:val="000000" w:themeColor="text1"/>
        </w:rPr>
        <w:t>.</w:t>
      </w:r>
    </w:p>
    <w:p w14:paraId="08597ED0" w14:textId="77777777" w:rsidR="006A3535" w:rsidRPr="00342443" w:rsidRDefault="006A3535" w:rsidP="006A3535">
      <w:pPr>
        <w:pStyle w:val="NormalWeb"/>
        <w:jc w:val="both"/>
        <w:rPr>
          <w:rFonts w:ascii="Arial" w:hAnsi="Arial" w:cs="Arial"/>
          <w:color w:val="000000" w:themeColor="text1"/>
        </w:rPr>
      </w:pPr>
      <w:r w:rsidRPr="00342443">
        <w:rPr>
          <w:rFonts w:ascii="Arial" w:hAnsi="Arial" w:cs="Arial"/>
          <w:color w:val="000000" w:themeColor="text1"/>
        </w:rPr>
        <w:t>La exposición de motivos subraya, finalmente, que la gobernanza ambiental de Manizales</w:t>
      </w:r>
      <w:r w:rsidRPr="00342443">
        <w:rPr>
          <w:rStyle w:val="apple-converted-space"/>
          <w:rFonts w:ascii="Arial" w:hAnsi="Arial" w:cs="Arial"/>
          <w:color w:val="000000" w:themeColor="text1"/>
        </w:rPr>
        <w:t> </w:t>
      </w:r>
      <w:r w:rsidRPr="00342443">
        <w:rPr>
          <w:rFonts w:ascii="Arial" w:hAnsi="Arial" w:cs="Arial"/>
          <w:b/>
          <w:bCs/>
          <w:color w:val="000000" w:themeColor="text1"/>
        </w:rPr>
        <w:t>ya funciona en la práctica: corredores ecológicos, ecoparques, gestión de la biodiversidad, movilidad limpia y certificaciones internacionales operan bajo esquemas institucionales existentes</w:t>
      </w:r>
      <w:r w:rsidRPr="00342443">
        <w:rPr>
          <w:rFonts w:ascii="Arial" w:hAnsi="Arial" w:cs="Arial"/>
          <w:color w:val="000000" w:themeColor="text1"/>
        </w:rPr>
        <w:t>. El Distrito</w:t>
      </w:r>
      <w:r w:rsidRPr="00342443">
        <w:rPr>
          <w:rStyle w:val="apple-converted-space"/>
          <w:rFonts w:ascii="Arial" w:hAnsi="Arial" w:cs="Arial"/>
          <w:color w:val="000000" w:themeColor="text1"/>
        </w:rPr>
        <w:t> </w:t>
      </w:r>
      <w:r w:rsidRPr="00342443">
        <w:rPr>
          <w:rFonts w:ascii="Arial" w:hAnsi="Arial" w:cs="Arial"/>
          <w:b/>
          <w:bCs/>
          <w:color w:val="000000" w:themeColor="text1"/>
        </w:rPr>
        <w:t>no crea desde cero esta capacidad: la dota de personería institucional propia y de las herramientas jurídicas multinivel que su sostenibilidad exige</w:t>
      </w:r>
      <w:r w:rsidRPr="00342443">
        <w:rPr>
          <w:rFonts w:ascii="Arial" w:hAnsi="Arial" w:cs="Arial"/>
          <w:color w:val="000000" w:themeColor="text1"/>
        </w:rPr>
        <w:t>.</w:t>
      </w:r>
    </w:p>
    <w:p w14:paraId="6C62B106" w14:textId="77777777" w:rsidR="004F7CD0" w:rsidRPr="00342443" w:rsidRDefault="00974B3E" w:rsidP="002966B5">
      <w:pPr>
        <w:pStyle w:val="Ttulo3"/>
        <w:rPr>
          <w:rFonts w:ascii="Arial" w:hAnsi="Arial" w:cs="Arial"/>
          <w:color w:val="000000" w:themeColor="text1"/>
        </w:rPr>
      </w:pPr>
      <w:bookmarkStart w:id="9" w:name="_Toc240894034"/>
      <w:r w:rsidRPr="00342443">
        <w:rPr>
          <w:rFonts w:ascii="Arial" w:hAnsi="Arial" w:cs="Arial"/>
          <w:color w:val="000000" w:themeColor="text1"/>
        </w:rPr>
        <w:lastRenderedPageBreak/>
        <w:t>3.6. Beneficios y ventajas del régimen de distrito especial</w:t>
      </w:r>
      <w:bookmarkEnd w:id="9"/>
    </w:p>
    <w:p w14:paraId="212E2D9D"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El régimen de distrito especial no es una categoría honorífica: es un instrumento jurídico-institucional con beneficios concretos, verificables y de alcance territorial, que esta ponencia expone para ilustrar el valor de la reforma:</w:t>
      </w:r>
    </w:p>
    <w:p w14:paraId="0398B263" w14:textId="595F0BBE" w:rsidR="004F7CD0" w:rsidRPr="00342443" w:rsidRDefault="00A2132A" w:rsidP="00F46FB9">
      <w:pPr>
        <w:pStyle w:val="Descripcin"/>
        <w:jc w:val="both"/>
        <w:rPr>
          <w:rFonts w:ascii="Arial" w:hAnsi="Arial" w:cs="Arial"/>
          <w:color w:val="000000" w:themeColor="text1"/>
          <w:sz w:val="24"/>
          <w:szCs w:val="24"/>
        </w:rPr>
      </w:pPr>
      <w:r>
        <w:rPr>
          <w:rFonts w:ascii="Arial" w:hAnsi="Arial" w:cs="Arial"/>
          <w:color w:val="000000" w:themeColor="text1"/>
          <w:sz w:val="24"/>
          <w:szCs w:val="24"/>
        </w:rPr>
        <w:t>Tabla</w:t>
      </w:r>
      <w:r w:rsidR="00974B3E" w:rsidRPr="00342443">
        <w:rPr>
          <w:rFonts w:ascii="Arial" w:hAnsi="Arial" w:cs="Arial"/>
          <w:color w:val="000000" w:themeColor="text1"/>
          <w:sz w:val="24"/>
          <w:szCs w:val="24"/>
        </w:rPr>
        <w:t xml:space="preserve"> </w:t>
      </w:r>
      <w:r w:rsidR="00974B3E" w:rsidRPr="00342443">
        <w:rPr>
          <w:rFonts w:ascii="Arial" w:hAnsi="Arial" w:cs="Arial"/>
          <w:color w:val="000000" w:themeColor="text1"/>
          <w:sz w:val="24"/>
          <w:szCs w:val="24"/>
        </w:rPr>
        <w:fldChar w:fldCharType="begin"/>
      </w:r>
      <w:r w:rsidR="00974B3E" w:rsidRPr="00342443">
        <w:rPr>
          <w:rFonts w:ascii="Arial" w:hAnsi="Arial" w:cs="Arial"/>
          <w:color w:val="000000" w:themeColor="text1"/>
          <w:sz w:val="24"/>
          <w:szCs w:val="24"/>
        </w:rPr>
        <w:instrText xml:space="preserve"> SEQ Table \* ARABIC </w:instrText>
      </w:r>
      <w:r w:rsidR="00974B3E" w:rsidRPr="00342443">
        <w:rPr>
          <w:rFonts w:ascii="Arial" w:hAnsi="Arial" w:cs="Arial"/>
          <w:color w:val="000000" w:themeColor="text1"/>
          <w:sz w:val="24"/>
          <w:szCs w:val="24"/>
        </w:rPr>
        <w:fldChar w:fldCharType="separate"/>
      </w:r>
      <w:r w:rsidR="00833DB0">
        <w:rPr>
          <w:rFonts w:ascii="Arial" w:hAnsi="Arial" w:cs="Arial"/>
          <w:noProof/>
          <w:color w:val="000000" w:themeColor="text1"/>
          <w:sz w:val="24"/>
          <w:szCs w:val="24"/>
        </w:rPr>
        <w:t>3</w:t>
      </w:r>
      <w:r w:rsidR="00974B3E" w:rsidRPr="00342443">
        <w:rPr>
          <w:rFonts w:ascii="Arial" w:hAnsi="Arial" w:cs="Arial"/>
          <w:color w:val="000000" w:themeColor="text1"/>
          <w:sz w:val="24"/>
          <w:szCs w:val="24"/>
        </w:rPr>
        <w:fldChar w:fldCharType="end"/>
      </w:r>
      <w:r w:rsidR="00974B3E" w:rsidRPr="00342443">
        <w:rPr>
          <w:rFonts w:ascii="Arial" w:hAnsi="Arial" w:cs="Arial"/>
          <w:color w:val="000000" w:themeColor="text1"/>
          <w:sz w:val="24"/>
          <w:szCs w:val="24"/>
        </w:rPr>
        <w:t>: Beneficios del régimen de distrito especial</w:t>
      </w:r>
    </w:p>
    <w:tbl>
      <w:tblPr>
        <w:tblStyle w:val="Tablaconcuadrcula"/>
        <w:tblW w:w="9360" w:type="dxa"/>
        <w:tblLayout w:type="fixed"/>
        <w:tblLook w:val="04A0" w:firstRow="1" w:lastRow="0" w:firstColumn="1" w:lastColumn="0" w:noHBand="0" w:noVBand="1"/>
      </w:tblPr>
      <w:tblGrid>
        <w:gridCol w:w="2448"/>
        <w:gridCol w:w="3024"/>
        <w:gridCol w:w="3888"/>
      </w:tblGrid>
      <w:tr w:rsidR="00342443" w:rsidRPr="00342443" w14:paraId="17F90DAD" w14:textId="77777777">
        <w:trPr>
          <w:tblHeader/>
        </w:trPr>
        <w:tc>
          <w:tcPr>
            <w:tcW w:w="2448" w:type="dxa"/>
            <w:shd w:val="clear" w:color="auto" w:fill="F2F2F2"/>
          </w:tcPr>
          <w:p w14:paraId="140024FC"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b/>
                <w:bCs/>
                <w:color w:val="000000" w:themeColor="text1"/>
              </w:rPr>
              <w:t>Beneficio o ventaja</w:t>
            </w:r>
          </w:p>
        </w:tc>
        <w:tc>
          <w:tcPr>
            <w:tcW w:w="3024" w:type="dxa"/>
            <w:shd w:val="clear" w:color="auto" w:fill="F2F2F2"/>
          </w:tcPr>
          <w:p w14:paraId="649780AE"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b/>
                <w:bCs/>
                <w:color w:val="000000" w:themeColor="text1"/>
              </w:rPr>
              <w:t>Fundamento normativo</w:t>
            </w:r>
          </w:p>
        </w:tc>
        <w:tc>
          <w:tcPr>
            <w:tcW w:w="3888" w:type="dxa"/>
            <w:shd w:val="clear" w:color="auto" w:fill="F2F2F2"/>
          </w:tcPr>
          <w:p w14:paraId="233088B3"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b/>
                <w:bCs/>
                <w:color w:val="000000" w:themeColor="text1"/>
              </w:rPr>
              <w:t>Efecto esperado para Manizales, Caldas y la región</w:t>
            </w:r>
          </w:p>
        </w:tc>
      </w:tr>
      <w:tr w:rsidR="00342443" w:rsidRPr="00342443" w14:paraId="4882E684" w14:textId="77777777">
        <w:tc>
          <w:tcPr>
            <w:tcW w:w="2448" w:type="dxa"/>
          </w:tcPr>
          <w:p w14:paraId="488E66BC"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Personería institucional propia del ecosistema científico</w:t>
            </w:r>
          </w:p>
        </w:tc>
        <w:tc>
          <w:tcPr>
            <w:tcW w:w="3024" w:type="dxa"/>
          </w:tcPr>
          <w:p w14:paraId="1A081FAD"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Artículo 322 C.P.; Ley 1617 de 2013</w:t>
            </w:r>
          </w:p>
        </w:tc>
        <w:tc>
          <w:tcPr>
            <w:tcW w:w="3888" w:type="dxa"/>
          </w:tcPr>
          <w:p w14:paraId="44B40078"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Supera la fragmentación institucional y financiera: SUMA, FUTURA, BIOS y CENICAFÉ operan hoy dispersos; el Distrito les da un vector institucional común</w:t>
            </w:r>
          </w:p>
        </w:tc>
      </w:tr>
      <w:tr w:rsidR="00342443" w:rsidRPr="00342443" w14:paraId="2BA40774" w14:textId="77777777">
        <w:tc>
          <w:tcPr>
            <w:tcW w:w="2448" w:type="dxa"/>
          </w:tcPr>
          <w:p w14:paraId="60D23782"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Facultades, instrumentos y recursos especiales</w:t>
            </w:r>
          </w:p>
        </w:tc>
        <w:tc>
          <w:tcPr>
            <w:tcW w:w="3024" w:type="dxa"/>
          </w:tcPr>
          <w:p w14:paraId="7BA86318"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Ley 1617 de 2013</w:t>
            </w:r>
          </w:p>
        </w:tc>
        <w:tc>
          <w:tcPr>
            <w:tcW w:w="3888" w:type="dxa"/>
          </w:tcPr>
          <w:p w14:paraId="05EE8D01"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Régimen político, fiscal y administrativo adaptado a la vocación del territorio, sin el corsé del esquema municipal ordinario</w:t>
            </w:r>
          </w:p>
        </w:tc>
      </w:tr>
      <w:tr w:rsidR="00342443" w:rsidRPr="00342443" w14:paraId="43BC5124" w14:textId="77777777">
        <w:tc>
          <w:tcPr>
            <w:tcW w:w="2448" w:type="dxa"/>
          </w:tcPr>
          <w:p w14:paraId="4EBEA76F"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Competencias de gasto y régimen de participaciones propio</w:t>
            </w:r>
          </w:p>
        </w:tc>
        <w:tc>
          <w:tcPr>
            <w:tcW w:w="3024" w:type="dxa"/>
          </w:tcPr>
          <w:p w14:paraId="032A334E"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Artículo 356 C.P. (adición propuesta); Acto Legislativo 03 de 2024</w:t>
            </w:r>
          </w:p>
        </w:tc>
        <w:tc>
          <w:tcPr>
            <w:tcW w:w="3888" w:type="dxa"/>
          </w:tcPr>
          <w:p w14:paraId="04FEF2FC"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Incorporación al régimen constitucional de competencias y participaciones territoriales, con las mismas competencias que los municipios y las especiales del distrito</w:t>
            </w:r>
          </w:p>
        </w:tc>
      </w:tr>
      <w:tr w:rsidR="00342443" w:rsidRPr="00342443" w14:paraId="6976D0E2" w14:textId="77777777">
        <w:tc>
          <w:tcPr>
            <w:tcW w:w="2448" w:type="dxa"/>
          </w:tcPr>
          <w:p w14:paraId="2A81A744"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Precedente normativo validado</w:t>
            </w:r>
          </w:p>
        </w:tc>
        <w:tc>
          <w:tcPr>
            <w:tcW w:w="3024" w:type="dxa"/>
          </w:tcPr>
          <w:p w14:paraId="4AFA940D"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Acto Legislativo 01 de 2021; Ley 2286 de 2023 (Medellín)</w:t>
            </w:r>
          </w:p>
        </w:tc>
        <w:tc>
          <w:tcPr>
            <w:tcW w:w="3888" w:type="dxa"/>
          </w:tcPr>
          <w:p w14:paraId="0A0E80FB"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Seguridad jurídica para el trámite y para la ley reglamentaria posterior</w:t>
            </w:r>
          </w:p>
        </w:tc>
      </w:tr>
      <w:tr w:rsidR="00342443" w:rsidRPr="00342443" w14:paraId="5DCB2DC7" w14:textId="77777777">
        <w:tc>
          <w:tcPr>
            <w:tcW w:w="2448" w:type="dxa"/>
          </w:tcPr>
          <w:p w14:paraId="0E3854AF"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Atracción de inversión privada y capital de riesgo</w:t>
            </w:r>
          </w:p>
        </w:tc>
        <w:tc>
          <w:tcPr>
            <w:tcW w:w="3024" w:type="dxa"/>
          </w:tcPr>
          <w:p w14:paraId="2215643D"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MIT REAP: el éxito regional depende de la colaboración con el capital de riesgo</w:t>
            </w:r>
          </w:p>
        </w:tc>
        <w:tc>
          <w:tcPr>
            <w:tcW w:w="3888" w:type="dxa"/>
          </w:tcPr>
          <w:p w14:paraId="29B34783"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 xml:space="preserve">Señal institucional de largo plazo que atrae startups, fondos de capital de riesgo, empresas </w:t>
            </w:r>
            <w:r w:rsidR="009749D0" w:rsidRPr="00342443">
              <w:rPr>
                <w:rFonts w:ascii="Arial" w:hAnsi="Arial" w:cs="Arial"/>
                <w:color w:val="000000" w:themeColor="text1"/>
              </w:rPr>
              <w:t>Deep</w:t>
            </w:r>
            <w:r w:rsidRPr="00342443">
              <w:rPr>
                <w:rFonts w:ascii="Arial" w:hAnsi="Arial" w:cs="Arial"/>
                <w:color w:val="000000" w:themeColor="text1"/>
              </w:rPr>
              <w:t xml:space="preserve"> tech y multilaterales</w:t>
            </w:r>
          </w:p>
        </w:tc>
      </w:tr>
      <w:tr w:rsidR="00342443" w:rsidRPr="00342443" w14:paraId="4CAA481A" w14:textId="77777777">
        <w:tc>
          <w:tcPr>
            <w:tcW w:w="2448" w:type="dxa"/>
          </w:tcPr>
          <w:p w14:paraId="56A8062E"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Instrumentos de fomento y de financiación de la innovación</w:t>
            </w:r>
          </w:p>
        </w:tc>
        <w:tc>
          <w:tcPr>
            <w:tcW w:w="3024" w:type="dxa"/>
          </w:tcPr>
          <w:p w14:paraId="0701F937"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Ley 1004 de 2005 (zonas francas); Ley 1834 de 2017 (Ley Naranja); SGR - Asignación CTI (10%)</w:t>
            </w:r>
          </w:p>
        </w:tc>
        <w:tc>
          <w:tcPr>
            <w:tcW w:w="3888" w:type="dxa"/>
          </w:tcPr>
          <w:p w14:paraId="71C27909"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Zonas francas científico-tecnológicas, incentivos a industrias creativas y culturales, canalización de regalías a CTeI</w:t>
            </w:r>
          </w:p>
        </w:tc>
      </w:tr>
      <w:tr w:rsidR="00342443" w:rsidRPr="00342443" w14:paraId="73C22C85" w14:textId="77777777">
        <w:tc>
          <w:tcPr>
            <w:tcW w:w="2448" w:type="dxa"/>
          </w:tcPr>
          <w:p w14:paraId="3B9CF4C6"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Atracción y retención de talento global</w:t>
            </w:r>
          </w:p>
        </w:tc>
        <w:tc>
          <w:tcPr>
            <w:tcW w:w="3024" w:type="dxa"/>
          </w:tcPr>
          <w:p w14:paraId="0F6715EA"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Batalla Ganadora MAGI (MIT REAP); Programa de Diáspora</w:t>
            </w:r>
          </w:p>
        </w:tc>
        <w:tc>
          <w:tcPr>
            <w:tcW w:w="3888" w:type="dxa"/>
          </w:tcPr>
          <w:p w14:paraId="00C07E84"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Retención de los más de 300 PhD y de los 70.000 estudiantes; vinculación de la diáspora científica caldense</w:t>
            </w:r>
          </w:p>
        </w:tc>
      </w:tr>
      <w:tr w:rsidR="00342443" w:rsidRPr="00342443" w14:paraId="0A59408E" w14:textId="77777777">
        <w:tc>
          <w:tcPr>
            <w:tcW w:w="2448" w:type="dxa"/>
          </w:tcPr>
          <w:p w14:paraId="7B32EEB6"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Competitividad y reputación internacional</w:t>
            </w:r>
          </w:p>
        </w:tc>
        <w:tc>
          <w:tcPr>
            <w:tcW w:w="3024" w:type="dxa"/>
          </w:tcPr>
          <w:p w14:paraId="6BFCC65C"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ICC 2025; GEIAL 2024; UNESCO; ONU-Hábitat 2025</w:t>
            </w:r>
          </w:p>
        </w:tc>
        <w:tc>
          <w:tcPr>
            <w:tcW w:w="3888" w:type="dxa"/>
          </w:tcPr>
          <w:p w14:paraId="5B529634"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 xml:space="preserve">Posicionamiento global que multiplica cooperación </w:t>
            </w:r>
            <w:r w:rsidRPr="00342443">
              <w:rPr>
                <w:rFonts w:ascii="Arial" w:hAnsi="Arial" w:cs="Arial"/>
                <w:color w:val="000000" w:themeColor="text1"/>
              </w:rPr>
              <w:lastRenderedPageBreak/>
              <w:t>internacional, turismo científico y localización de inversión</w:t>
            </w:r>
          </w:p>
        </w:tc>
      </w:tr>
      <w:tr w:rsidR="00342443" w:rsidRPr="00342443" w14:paraId="7B01BB39" w14:textId="77777777">
        <w:tc>
          <w:tcPr>
            <w:tcW w:w="2448" w:type="dxa"/>
          </w:tcPr>
          <w:p w14:paraId="1D0E3E23"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lastRenderedPageBreak/>
              <w:t>Sostenibilidad como activo económico</w:t>
            </w:r>
          </w:p>
        </w:tc>
        <w:tc>
          <w:tcPr>
            <w:tcW w:w="3024" w:type="dxa"/>
          </w:tcPr>
          <w:p w14:paraId="4672812F"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Misiones Emblemáticas M.E.1 y M.E.2 (Documento Técnico); economía circular</w:t>
            </w:r>
          </w:p>
        </w:tc>
        <w:tc>
          <w:tcPr>
            <w:tcW w:w="3888" w:type="dxa"/>
          </w:tcPr>
          <w:p w14:paraId="31D2B1F4"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Bioeconomía, economía circular y transición energética como ejes del modelo productivo territorial</w:t>
            </w:r>
          </w:p>
        </w:tc>
      </w:tr>
      <w:tr w:rsidR="004F7CD0" w:rsidRPr="00342443" w14:paraId="3DD7A791" w14:textId="77777777">
        <w:tc>
          <w:tcPr>
            <w:tcW w:w="2448" w:type="dxa"/>
          </w:tcPr>
          <w:p w14:paraId="0C7874E5"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Transición de la matriz productiva</w:t>
            </w:r>
          </w:p>
        </w:tc>
        <w:tc>
          <w:tcPr>
            <w:tcW w:w="3024" w:type="dxa"/>
          </w:tcPr>
          <w:p w14:paraId="042919FC"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Exposición de Motivos: de modelo extractivo a economía del conocimiento</w:t>
            </w:r>
          </w:p>
        </w:tc>
        <w:tc>
          <w:tcPr>
            <w:tcW w:w="3888" w:type="dxa"/>
          </w:tcPr>
          <w:p w14:paraId="37D69324"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Bienes y servicios de alto valor agregado, soberanía tecnológica y empleo calificado</w:t>
            </w:r>
          </w:p>
        </w:tc>
      </w:tr>
    </w:tbl>
    <w:p w14:paraId="15443733" w14:textId="77777777" w:rsidR="004F7CD0" w:rsidRPr="00342443" w:rsidRDefault="004F7CD0" w:rsidP="00F46FB9">
      <w:pPr>
        <w:jc w:val="both"/>
        <w:rPr>
          <w:rFonts w:ascii="Arial" w:hAnsi="Arial" w:cs="Arial"/>
          <w:color w:val="000000" w:themeColor="text1"/>
        </w:rPr>
      </w:pPr>
    </w:p>
    <w:p w14:paraId="75066AFA"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 xml:space="preserve">Estas ventajas se materializan en el orden constitucional sin generar gasto directo: el acto legislativo </w:t>
      </w:r>
      <w:r w:rsidR="009F6DC7" w:rsidRPr="00342443">
        <w:rPr>
          <w:rFonts w:ascii="Arial" w:hAnsi="Arial" w:cs="Arial"/>
          <w:color w:val="000000" w:themeColor="text1"/>
        </w:rPr>
        <w:t>es</w:t>
      </w:r>
      <w:r w:rsidR="009F6DC7">
        <w:rPr>
          <w:rFonts w:ascii="Arial" w:hAnsi="Arial" w:cs="Arial"/>
          <w:color w:val="000000" w:themeColor="text1"/>
        </w:rPr>
        <w:t>table</w:t>
      </w:r>
      <w:r w:rsidR="009F6DC7" w:rsidRPr="00342443">
        <w:rPr>
          <w:rFonts w:ascii="Arial" w:hAnsi="Arial" w:cs="Arial"/>
          <w:color w:val="000000" w:themeColor="text1"/>
        </w:rPr>
        <w:t>ce</w:t>
      </w:r>
      <w:r w:rsidRPr="00342443">
        <w:rPr>
          <w:rFonts w:ascii="Arial" w:hAnsi="Arial" w:cs="Arial"/>
          <w:color w:val="000000" w:themeColor="text1"/>
        </w:rPr>
        <w:t xml:space="preserve"> un marco habilitante cuyo desarrollo corresponderá a la ley reglamentaria, en los términos del artículo 7 de la Ley 819 de 2003 y del principio de sostenibilidad fiscal.</w:t>
      </w:r>
    </w:p>
    <w:p w14:paraId="1242F5A7" w14:textId="77777777" w:rsidR="004F7CD0" w:rsidRPr="00342443" w:rsidRDefault="00974B3E" w:rsidP="002966B5">
      <w:pPr>
        <w:pStyle w:val="Ttulo3"/>
        <w:rPr>
          <w:rFonts w:ascii="Arial" w:hAnsi="Arial" w:cs="Arial"/>
          <w:color w:val="000000" w:themeColor="text1"/>
        </w:rPr>
      </w:pPr>
      <w:bookmarkStart w:id="10" w:name="_Toc240894035"/>
      <w:r w:rsidRPr="00342443">
        <w:rPr>
          <w:rFonts w:ascii="Arial" w:hAnsi="Arial" w:cs="Arial"/>
          <w:color w:val="000000" w:themeColor="text1"/>
        </w:rPr>
        <w:t>3.7. Alcance territorial y encadenamientos regionales</w:t>
      </w:r>
      <w:bookmarkEnd w:id="10"/>
    </w:p>
    <w:p w14:paraId="2DD6D2D3"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El proyecto no es una reforma exclusiva para la capital: su parágrafo dispone expresamente que los municipios integrantes del Área Metropolitana del Centro Sur de Caldas y otros municipios del departamento de Caldas estarán facultados para beneficiarse de los incentivos del Distrito Especial, de conformidad con la ley que lo reglamente, sin que se afecten sus funciones, competencias, recursos ni autonomía territorial. La mecánica de irradiación territorial prevista por la iniciativa es la siguiente:</w:t>
      </w:r>
    </w:p>
    <w:p w14:paraId="2562A340" w14:textId="77777777" w:rsidR="004F7CD0" w:rsidRPr="00342443" w:rsidRDefault="00974B3E" w:rsidP="00F46FB9">
      <w:pPr>
        <w:pStyle w:val="Prrafodelista"/>
        <w:numPr>
          <w:ilvl w:val="0"/>
          <w:numId w:val="1"/>
        </w:numPr>
        <w:spacing w:after="80" w:line="276" w:lineRule="auto"/>
        <w:jc w:val="both"/>
        <w:rPr>
          <w:rFonts w:ascii="Arial" w:hAnsi="Arial" w:cs="Arial"/>
          <w:color w:val="000000" w:themeColor="text1"/>
        </w:rPr>
      </w:pPr>
      <w:r w:rsidRPr="00342443">
        <w:rPr>
          <w:rFonts w:ascii="Arial" w:hAnsi="Arial" w:cs="Arial"/>
          <w:color w:val="000000" w:themeColor="text1"/>
        </w:rPr>
        <w:t>Villamaría accede a la extensión de beneficios de pleno derecho, por alojar la infraestructura física del nodo ancla FUTURA (parque científico, tecnológico y de innovación con 9.790 m² construidos y $42.500 millones invertidos).</w:t>
      </w:r>
    </w:p>
    <w:p w14:paraId="541D8360" w14:textId="77777777" w:rsidR="004F7CD0" w:rsidRPr="00342443" w:rsidRDefault="00974B3E" w:rsidP="00F46FB9">
      <w:pPr>
        <w:pStyle w:val="Prrafodelista"/>
        <w:numPr>
          <w:ilvl w:val="0"/>
          <w:numId w:val="1"/>
        </w:numPr>
        <w:spacing w:after="80" w:line="276" w:lineRule="auto"/>
        <w:jc w:val="both"/>
        <w:rPr>
          <w:rFonts w:ascii="Arial" w:hAnsi="Arial" w:cs="Arial"/>
          <w:color w:val="000000" w:themeColor="text1"/>
        </w:rPr>
      </w:pPr>
      <w:r w:rsidRPr="00342443">
        <w:rPr>
          <w:rFonts w:ascii="Arial" w:hAnsi="Arial" w:cs="Arial"/>
          <w:color w:val="000000" w:themeColor="text1"/>
        </w:rPr>
        <w:t>Chinchiná, Palestina y Neira acceden mediante adhesión voluntaria, expresada mediante acuerdo de sus respectivos Concejos Municipales, conforme a la ley reglamentaria.</w:t>
      </w:r>
    </w:p>
    <w:p w14:paraId="0B45CB67" w14:textId="77777777" w:rsidR="004F7CD0" w:rsidRPr="00342443" w:rsidRDefault="00974B3E" w:rsidP="00F46FB9">
      <w:pPr>
        <w:pStyle w:val="Prrafodelista"/>
        <w:numPr>
          <w:ilvl w:val="0"/>
          <w:numId w:val="1"/>
        </w:numPr>
        <w:spacing w:after="80" w:line="276" w:lineRule="auto"/>
        <w:jc w:val="both"/>
        <w:rPr>
          <w:rFonts w:ascii="Arial" w:hAnsi="Arial" w:cs="Arial"/>
          <w:color w:val="000000" w:themeColor="text1"/>
        </w:rPr>
      </w:pPr>
      <w:r w:rsidRPr="00342443">
        <w:rPr>
          <w:rFonts w:ascii="Arial" w:hAnsi="Arial" w:cs="Arial"/>
          <w:color w:val="000000" w:themeColor="text1"/>
        </w:rPr>
        <w:t>Los demás municipios de Caldas quedan facultados para beneficiarse de los incentivos del Distrito de acuerdo con la ley que lo reglamente, mediante arreglos de coordinación, Convenios Plan y concertación en la Junta Metropolitana para la ejecución de proyectos conjuntos y la gestión de exenciones e incentivos.</w:t>
      </w:r>
    </w:p>
    <w:p w14:paraId="0F98D383" w14:textId="77777777" w:rsidR="004F7CD0" w:rsidRPr="00342443" w:rsidRDefault="00974B3E" w:rsidP="00F46FB9">
      <w:pPr>
        <w:pStyle w:val="Prrafodelista"/>
        <w:numPr>
          <w:ilvl w:val="0"/>
          <w:numId w:val="1"/>
        </w:numPr>
        <w:spacing w:after="80" w:line="276" w:lineRule="auto"/>
        <w:jc w:val="both"/>
        <w:rPr>
          <w:rFonts w:ascii="Arial" w:hAnsi="Arial" w:cs="Arial"/>
          <w:color w:val="000000" w:themeColor="text1"/>
        </w:rPr>
      </w:pPr>
      <w:r w:rsidRPr="00342443">
        <w:rPr>
          <w:rFonts w:ascii="Arial" w:hAnsi="Arial" w:cs="Arial"/>
          <w:color w:val="000000" w:themeColor="text1"/>
        </w:rPr>
        <w:t>En todo caso, la reforma no afecta las funciones, competencias, recursos ni la autonomía territorial de ningún municipio, en acatamiento del artículo 287 de la Constitución Política.</w:t>
      </w:r>
    </w:p>
    <w:p w14:paraId="74F6F8B1"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 xml:space="preserve">Caldas está integrado por 27 municipios organizados en seis (6) subregiones. El Distrito Especial del Conocimiento, la Sostenibilidad y la Innovación se concibe como nodo del </w:t>
      </w:r>
      <w:r w:rsidRPr="00342443">
        <w:rPr>
          <w:rFonts w:ascii="Arial" w:hAnsi="Arial" w:cs="Arial"/>
          <w:color w:val="000000" w:themeColor="text1"/>
        </w:rPr>
        <w:lastRenderedPageBreak/>
        <w:t>sistema subregional, que irradia capacidades y beneficios hacia la totalidad del territorio departamental:</w:t>
      </w:r>
    </w:p>
    <w:p w14:paraId="41AF8FAB" w14:textId="6DDEA4AD" w:rsidR="004F7CD0" w:rsidRPr="00342443" w:rsidRDefault="004F0BE8" w:rsidP="00F46FB9">
      <w:pPr>
        <w:pStyle w:val="Descripcin"/>
        <w:jc w:val="both"/>
        <w:rPr>
          <w:rFonts w:ascii="Arial" w:hAnsi="Arial" w:cs="Arial"/>
          <w:color w:val="000000" w:themeColor="text1"/>
          <w:sz w:val="24"/>
          <w:szCs w:val="24"/>
        </w:rPr>
      </w:pPr>
      <w:r>
        <w:rPr>
          <w:rFonts w:ascii="Arial" w:hAnsi="Arial" w:cs="Arial"/>
          <w:color w:val="000000" w:themeColor="text1"/>
          <w:sz w:val="24"/>
          <w:szCs w:val="24"/>
        </w:rPr>
        <w:t>Tabla</w:t>
      </w:r>
      <w:r w:rsidR="00974B3E" w:rsidRPr="00342443">
        <w:rPr>
          <w:rFonts w:ascii="Arial" w:hAnsi="Arial" w:cs="Arial"/>
          <w:color w:val="000000" w:themeColor="text1"/>
          <w:sz w:val="24"/>
          <w:szCs w:val="24"/>
        </w:rPr>
        <w:t xml:space="preserve"> </w:t>
      </w:r>
      <w:r w:rsidR="00974B3E" w:rsidRPr="00342443">
        <w:rPr>
          <w:rFonts w:ascii="Arial" w:hAnsi="Arial" w:cs="Arial"/>
          <w:color w:val="000000" w:themeColor="text1"/>
          <w:sz w:val="24"/>
          <w:szCs w:val="24"/>
        </w:rPr>
        <w:fldChar w:fldCharType="begin"/>
      </w:r>
      <w:r w:rsidR="00974B3E" w:rsidRPr="00342443">
        <w:rPr>
          <w:rFonts w:ascii="Arial" w:hAnsi="Arial" w:cs="Arial"/>
          <w:color w:val="000000" w:themeColor="text1"/>
          <w:sz w:val="24"/>
          <w:szCs w:val="24"/>
        </w:rPr>
        <w:instrText xml:space="preserve"> SEQ Table \* ARABIC </w:instrText>
      </w:r>
      <w:r w:rsidR="00974B3E" w:rsidRPr="00342443">
        <w:rPr>
          <w:rFonts w:ascii="Arial" w:hAnsi="Arial" w:cs="Arial"/>
          <w:color w:val="000000" w:themeColor="text1"/>
          <w:sz w:val="24"/>
          <w:szCs w:val="24"/>
        </w:rPr>
        <w:fldChar w:fldCharType="separate"/>
      </w:r>
      <w:r w:rsidR="00833DB0">
        <w:rPr>
          <w:rFonts w:ascii="Arial" w:hAnsi="Arial" w:cs="Arial"/>
          <w:noProof/>
          <w:color w:val="000000" w:themeColor="text1"/>
          <w:sz w:val="24"/>
          <w:szCs w:val="24"/>
        </w:rPr>
        <w:t>4</w:t>
      </w:r>
      <w:r w:rsidR="00974B3E" w:rsidRPr="00342443">
        <w:rPr>
          <w:rFonts w:ascii="Arial" w:hAnsi="Arial" w:cs="Arial"/>
          <w:color w:val="000000" w:themeColor="text1"/>
          <w:sz w:val="24"/>
          <w:szCs w:val="24"/>
        </w:rPr>
        <w:fldChar w:fldCharType="end"/>
      </w:r>
      <w:r w:rsidR="00974B3E" w:rsidRPr="00342443">
        <w:rPr>
          <w:rFonts w:ascii="Arial" w:hAnsi="Arial" w:cs="Arial"/>
          <w:color w:val="000000" w:themeColor="text1"/>
          <w:sz w:val="24"/>
          <w:szCs w:val="24"/>
        </w:rPr>
        <w:t>: Los 27 municipios de Caldas y sus encadenamientos con el Distrito</w:t>
      </w:r>
    </w:p>
    <w:tbl>
      <w:tblPr>
        <w:tblStyle w:val="Tablaconcuadrcula"/>
        <w:tblW w:w="9360" w:type="dxa"/>
        <w:tblLayout w:type="fixed"/>
        <w:tblLook w:val="04A0" w:firstRow="1" w:lastRow="0" w:firstColumn="1" w:lastColumn="0" w:noHBand="0" w:noVBand="1"/>
      </w:tblPr>
      <w:tblGrid>
        <w:gridCol w:w="2016"/>
        <w:gridCol w:w="2880"/>
        <w:gridCol w:w="4464"/>
      </w:tblGrid>
      <w:tr w:rsidR="00342443" w:rsidRPr="00342443" w14:paraId="75005A27" w14:textId="77777777" w:rsidTr="00176754">
        <w:trPr>
          <w:tblHeader/>
        </w:trPr>
        <w:tc>
          <w:tcPr>
            <w:tcW w:w="2016" w:type="dxa"/>
            <w:shd w:val="clear" w:color="auto" w:fill="F2F2F2"/>
          </w:tcPr>
          <w:p w14:paraId="07276638"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b/>
                <w:bCs/>
                <w:color w:val="000000" w:themeColor="text1"/>
              </w:rPr>
              <w:t>Subregión</w:t>
            </w:r>
          </w:p>
        </w:tc>
        <w:tc>
          <w:tcPr>
            <w:tcW w:w="2880" w:type="dxa"/>
            <w:shd w:val="clear" w:color="auto" w:fill="F2F2F2"/>
          </w:tcPr>
          <w:p w14:paraId="0D8936AF"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b/>
                <w:bCs/>
                <w:color w:val="000000" w:themeColor="text1"/>
              </w:rPr>
              <w:t>Municipios</w:t>
            </w:r>
          </w:p>
        </w:tc>
        <w:tc>
          <w:tcPr>
            <w:tcW w:w="4464" w:type="dxa"/>
            <w:shd w:val="clear" w:color="auto" w:fill="F2F2F2"/>
          </w:tcPr>
          <w:p w14:paraId="64037DDC"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b/>
                <w:bCs/>
                <w:color w:val="000000" w:themeColor="text1"/>
              </w:rPr>
              <w:t>Vocación y encadenamiento con el Distrito</w:t>
            </w:r>
          </w:p>
        </w:tc>
      </w:tr>
      <w:tr w:rsidR="00342443" w:rsidRPr="00342443" w14:paraId="068FA667" w14:textId="77777777" w:rsidTr="00176754">
        <w:tc>
          <w:tcPr>
            <w:tcW w:w="2016" w:type="dxa"/>
          </w:tcPr>
          <w:p w14:paraId="298F8653"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Centro Sur</w:t>
            </w:r>
          </w:p>
        </w:tc>
        <w:tc>
          <w:tcPr>
            <w:tcW w:w="2880" w:type="dxa"/>
          </w:tcPr>
          <w:p w14:paraId="0220F73F"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Manizales, Villamaría, Chinchiná, Neira, Palestina</w:t>
            </w:r>
          </w:p>
        </w:tc>
        <w:tc>
          <w:tcPr>
            <w:tcW w:w="4464" w:type="dxa"/>
          </w:tcPr>
          <w:p w14:paraId="45B9DE3D"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Núcleo del Distrito: SUMA, FUTURA, BIOS, CENICAFÉ; nodo cafetero e industrial; Paisaje Cultural Cafetero UNESCO</w:t>
            </w:r>
          </w:p>
        </w:tc>
      </w:tr>
      <w:tr w:rsidR="00342443" w:rsidRPr="00342443" w14:paraId="0F344CC2" w14:textId="77777777" w:rsidTr="00176754">
        <w:tc>
          <w:tcPr>
            <w:tcW w:w="2016" w:type="dxa"/>
          </w:tcPr>
          <w:p w14:paraId="4FEF7889"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Norte</w:t>
            </w:r>
          </w:p>
        </w:tc>
        <w:tc>
          <w:tcPr>
            <w:tcW w:w="2880" w:type="dxa"/>
          </w:tcPr>
          <w:p w14:paraId="30F005AC"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 xml:space="preserve">Aguadas, </w:t>
            </w:r>
            <w:proofErr w:type="spellStart"/>
            <w:r w:rsidRPr="00342443">
              <w:rPr>
                <w:rFonts w:ascii="Arial" w:hAnsi="Arial" w:cs="Arial"/>
                <w:color w:val="000000" w:themeColor="text1"/>
              </w:rPr>
              <w:t>Aranzazu</w:t>
            </w:r>
            <w:proofErr w:type="spellEnd"/>
            <w:r w:rsidRPr="00342443">
              <w:rPr>
                <w:rFonts w:ascii="Arial" w:hAnsi="Arial" w:cs="Arial"/>
                <w:color w:val="000000" w:themeColor="text1"/>
              </w:rPr>
              <w:t>, Pácora, Salamina</w:t>
            </w:r>
          </w:p>
        </w:tc>
        <w:tc>
          <w:tcPr>
            <w:tcW w:w="4464" w:type="dxa"/>
          </w:tcPr>
          <w:p w14:paraId="03167287"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Patrimonio arquitectónico y tradición cafetera; turismo cultural y agroturismo conectado a la red de conocimiento</w:t>
            </w:r>
          </w:p>
        </w:tc>
      </w:tr>
      <w:tr w:rsidR="00342443" w:rsidRPr="00342443" w14:paraId="129AFDEF" w14:textId="77777777" w:rsidTr="00176754">
        <w:tc>
          <w:tcPr>
            <w:tcW w:w="2016" w:type="dxa"/>
          </w:tcPr>
          <w:p w14:paraId="64716C4B"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Alto Oriente</w:t>
            </w:r>
          </w:p>
        </w:tc>
        <w:tc>
          <w:tcPr>
            <w:tcW w:w="2880" w:type="dxa"/>
          </w:tcPr>
          <w:p w14:paraId="6E546477"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Manzanares, Marquetalia, Marulanda, Pensilvania</w:t>
            </w:r>
          </w:p>
        </w:tc>
        <w:tc>
          <w:tcPr>
            <w:tcW w:w="4464" w:type="dxa"/>
          </w:tcPr>
          <w:p w14:paraId="369F26A9"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Agroindustria, artesanías en madera y producción de lana; adopción tecnológica agropecuaria y formación para el trabajo</w:t>
            </w:r>
          </w:p>
        </w:tc>
      </w:tr>
      <w:tr w:rsidR="00342443" w:rsidRPr="00342443" w14:paraId="400ED7F7" w14:textId="77777777" w:rsidTr="00176754">
        <w:tc>
          <w:tcPr>
            <w:tcW w:w="2016" w:type="dxa"/>
          </w:tcPr>
          <w:p w14:paraId="5F0C79D0"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Alto Occidente</w:t>
            </w:r>
          </w:p>
        </w:tc>
        <w:tc>
          <w:tcPr>
            <w:tcW w:w="2880" w:type="dxa"/>
          </w:tcPr>
          <w:p w14:paraId="7CA9FF0B"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Filadelfia, La Merced, Marmato, Riosucio, Supía</w:t>
            </w:r>
          </w:p>
        </w:tc>
        <w:tc>
          <w:tcPr>
            <w:tcW w:w="4464" w:type="dxa"/>
          </w:tcPr>
          <w:p w14:paraId="20AA4B13"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Ecoturismo, esencia campesina, minería tradicional (Marmato, Supía) y vocación cafetera; diversificación productiva con ciencia y tecnología</w:t>
            </w:r>
          </w:p>
        </w:tc>
      </w:tr>
      <w:tr w:rsidR="00342443" w:rsidRPr="00342443" w14:paraId="6E69B5E1" w14:textId="77777777" w:rsidTr="00176754">
        <w:tc>
          <w:tcPr>
            <w:tcW w:w="2016" w:type="dxa"/>
          </w:tcPr>
          <w:p w14:paraId="14800430"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Bajo Occidente</w:t>
            </w:r>
          </w:p>
        </w:tc>
        <w:tc>
          <w:tcPr>
            <w:tcW w:w="2880" w:type="dxa"/>
          </w:tcPr>
          <w:p w14:paraId="0E2D56AB"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Anserma, Belalcázar, Risaralda, San José, Viterbo</w:t>
            </w:r>
          </w:p>
        </w:tc>
        <w:tc>
          <w:tcPr>
            <w:tcW w:w="4464" w:type="dxa"/>
          </w:tcPr>
          <w:p w14:paraId="7C629E8E"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 xml:space="preserve">Producción agropecuaria y cafetera, cañón del río Cauca; </w:t>
            </w:r>
            <w:proofErr w:type="spellStart"/>
            <w:r w:rsidRPr="00342443">
              <w:rPr>
                <w:rFonts w:ascii="Arial" w:hAnsi="Arial" w:cs="Arial"/>
                <w:color w:val="000000" w:themeColor="text1"/>
              </w:rPr>
              <w:t>agrologística</w:t>
            </w:r>
            <w:proofErr w:type="spellEnd"/>
            <w:r w:rsidRPr="00342443">
              <w:rPr>
                <w:rFonts w:ascii="Arial" w:hAnsi="Arial" w:cs="Arial"/>
                <w:color w:val="000000" w:themeColor="text1"/>
              </w:rPr>
              <w:t xml:space="preserve"> y bioeconomía regional</w:t>
            </w:r>
          </w:p>
        </w:tc>
      </w:tr>
      <w:tr w:rsidR="004F7CD0" w:rsidRPr="00342443" w14:paraId="15350C8F" w14:textId="77777777" w:rsidTr="00176754">
        <w:tc>
          <w:tcPr>
            <w:tcW w:w="2016" w:type="dxa"/>
          </w:tcPr>
          <w:p w14:paraId="68736229"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Magdalena Caldense</w:t>
            </w:r>
          </w:p>
        </w:tc>
        <w:tc>
          <w:tcPr>
            <w:tcW w:w="2880" w:type="dxa"/>
          </w:tcPr>
          <w:p w14:paraId="2D89AE9D"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La Dorada, Norcasia, Samaná, Victoria</w:t>
            </w:r>
          </w:p>
        </w:tc>
        <w:tc>
          <w:tcPr>
            <w:tcW w:w="4464" w:type="dxa"/>
          </w:tcPr>
          <w:p w14:paraId="15FC9035" w14:textId="77777777" w:rsidR="004F7CD0" w:rsidRPr="00342443" w:rsidRDefault="00974B3E" w:rsidP="00F46FB9">
            <w:pPr>
              <w:spacing w:after="0"/>
              <w:jc w:val="both"/>
              <w:rPr>
                <w:rFonts w:ascii="Arial" w:hAnsi="Arial" w:cs="Arial"/>
                <w:color w:val="000000" w:themeColor="text1"/>
              </w:rPr>
            </w:pPr>
            <w:r w:rsidRPr="00342443">
              <w:rPr>
                <w:rFonts w:ascii="Arial" w:hAnsi="Arial" w:cs="Arial"/>
                <w:color w:val="000000" w:themeColor="text1"/>
              </w:rPr>
              <w:t>Integración logística con el río Magdalena (La Dorada), agricultura y ganadería (Samaná, el municipio más extenso); energía e infraestructura</w:t>
            </w:r>
          </w:p>
        </w:tc>
      </w:tr>
    </w:tbl>
    <w:p w14:paraId="2F2F927B" w14:textId="77777777" w:rsidR="004F7CD0" w:rsidRPr="00342443" w:rsidRDefault="004F7CD0" w:rsidP="00F46FB9">
      <w:pPr>
        <w:jc w:val="both"/>
        <w:rPr>
          <w:rFonts w:ascii="Arial" w:hAnsi="Arial" w:cs="Arial"/>
          <w:color w:val="000000" w:themeColor="text1"/>
        </w:rPr>
      </w:pPr>
    </w:p>
    <w:p w14:paraId="4F134BEE" w14:textId="77777777" w:rsidR="00EF2044"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 xml:space="preserve">La calidad distrital produce beneficios que trascienden a Manizales y se irradian a todo Caldas y al Eje Cafetero. </w:t>
      </w:r>
    </w:p>
    <w:p w14:paraId="3254BBBC" w14:textId="77777777" w:rsidR="00EF2044" w:rsidRDefault="00974B3E" w:rsidP="00F46FB9">
      <w:pPr>
        <w:spacing w:after="120" w:line="276" w:lineRule="auto"/>
        <w:jc w:val="both"/>
        <w:rPr>
          <w:rFonts w:ascii="Arial" w:hAnsi="Arial" w:cs="Arial"/>
          <w:b/>
          <w:bCs/>
          <w:color w:val="000000" w:themeColor="text1"/>
        </w:rPr>
      </w:pPr>
      <w:r w:rsidRPr="00F054FB">
        <w:rPr>
          <w:rFonts w:ascii="Arial" w:hAnsi="Arial" w:cs="Arial"/>
          <w:b/>
          <w:bCs/>
          <w:i/>
          <w:iCs/>
          <w:color w:val="000000" w:themeColor="text1"/>
        </w:rPr>
        <w:t>Primero,</w:t>
      </w:r>
      <w:r w:rsidRPr="00342443">
        <w:rPr>
          <w:rFonts w:ascii="Arial" w:hAnsi="Arial" w:cs="Arial"/>
          <w:b/>
          <w:bCs/>
          <w:color w:val="000000" w:themeColor="text1"/>
        </w:rPr>
        <w:t xml:space="preserve"> reduce asimetrías subregionales: los incentivos distritales (régimen tributario especial, atracción de inversión, servicios científicos compartidos, formación de talento) estarán disponibles para los municipios que se adhieran, cerrando la brecha entre el centro y las subregiones. </w:t>
      </w:r>
    </w:p>
    <w:p w14:paraId="77B2DFB4" w14:textId="77777777" w:rsidR="00EF2044" w:rsidRDefault="00974B3E" w:rsidP="00F46FB9">
      <w:pPr>
        <w:spacing w:after="120" w:line="276" w:lineRule="auto"/>
        <w:jc w:val="both"/>
        <w:rPr>
          <w:rFonts w:ascii="Arial" w:hAnsi="Arial" w:cs="Arial"/>
          <w:color w:val="000000" w:themeColor="text1"/>
        </w:rPr>
      </w:pPr>
      <w:r w:rsidRPr="00F054FB">
        <w:rPr>
          <w:rFonts w:ascii="Arial" w:hAnsi="Arial" w:cs="Arial"/>
          <w:b/>
          <w:i/>
          <w:iCs/>
          <w:color w:val="000000" w:themeColor="text1"/>
        </w:rPr>
        <w:t>Segundo</w:t>
      </w:r>
      <w:r w:rsidRPr="00342443">
        <w:rPr>
          <w:rFonts w:ascii="Arial" w:hAnsi="Arial" w:cs="Arial"/>
          <w:color w:val="000000" w:themeColor="text1"/>
        </w:rPr>
        <w:t xml:space="preserve">, consolida la infraestructura científica compartida: FUTURA (Villamaría), BIOS (Manizales) y CENICAFÉ (Chinchiná) prestan servicios tecnológicos, de supercomputación y de investigación aplicada a empresas y productores de las seis subregiones: caficultores de Norte y Occidente, agroindustria de Alto Oriente, minería responsable de Alto Occidente y </w:t>
      </w:r>
      <w:proofErr w:type="spellStart"/>
      <w:r w:rsidRPr="00342443">
        <w:rPr>
          <w:rFonts w:ascii="Arial" w:hAnsi="Arial" w:cs="Arial"/>
          <w:color w:val="000000" w:themeColor="text1"/>
        </w:rPr>
        <w:t>agrologística</w:t>
      </w:r>
      <w:proofErr w:type="spellEnd"/>
      <w:r w:rsidRPr="00342443">
        <w:rPr>
          <w:rFonts w:ascii="Arial" w:hAnsi="Arial" w:cs="Arial"/>
          <w:color w:val="000000" w:themeColor="text1"/>
        </w:rPr>
        <w:t xml:space="preserve"> del Magdalena Caldense.</w:t>
      </w:r>
    </w:p>
    <w:p w14:paraId="243CF660" w14:textId="33539D1C" w:rsidR="00627107" w:rsidRDefault="00974B3E" w:rsidP="00F46FB9">
      <w:pPr>
        <w:spacing w:after="120" w:line="276" w:lineRule="auto"/>
        <w:jc w:val="both"/>
        <w:rPr>
          <w:rFonts w:ascii="Arial" w:hAnsi="Arial" w:cs="Arial"/>
          <w:b/>
          <w:bCs/>
          <w:color w:val="000000" w:themeColor="text1"/>
        </w:rPr>
      </w:pPr>
      <w:r w:rsidRPr="00F054FB">
        <w:rPr>
          <w:rFonts w:ascii="Arial" w:hAnsi="Arial" w:cs="Arial"/>
          <w:b/>
          <w:i/>
          <w:iCs/>
          <w:color w:val="000000" w:themeColor="text1"/>
        </w:rPr>
        <w:lastRenderedPageBreak/>
        <w:t>Tercero,</w:t>
      </w:r>
      <w:r w:rsidRPr="00342443">
        <w:rPr>
          <w:rFonts w:ascii="Arial" w:hAnsi="Arial" w:cs="Arial"/>
          <w:color w:val="000000" w:themeColor="text1"/>
        </w:rPr>
        <w:t xml:space="preserve"> </w:t>
      </w:r>
      <w:r w:rsidRPr="00342443">
        <w:rPr>
          <w:rFonts w:ascii="Arial" w:hAnsi="Arial" w:cs="Arial"/>
          <w:b/>
          <w:bCs/>
          <w:color w:val="000000" w:themeColor="text1"/>
        </w:rPr>
        <w:t>articula cadenas productivas de conocimiento: la Universidad Nacional Sede Manizales, la Universidad de Caldas y las demás IES del SUMA forman el talento que las subregiones requieren (especializaciones, maestrías y doctorados: 2,2%, 3,4% y 4,3% del nivel nacional, respectivamente), en articulación con los 27 comités municipales de Educación, Ciencia, Tecnología e Innovación previstos en el Documento Técnico.</w:t>
      </w:r>
    </w:p>
    <w:p w14:paraId="51C48FA0" w14:textId="77777777" w:rsidR="00627107" w:rsidRDefault="00974B3E" w:rsidP="00F46FB9">
      <w:pPr>
        <w:spacing w:after="120" w:line="276" w:lineRule="auto"/>
        <w:jc w:val="both"/>
        <w:rPr>
          <w:rFonts w:ascii="Arial" w:hAnsi="Arial" w:cs="Arial"/>
          <w:color w:val="000000" w:themeColor="text1"/>
        </w:rPr>
      </w:pPr>
      <w:r w:rsidRPr="00F054FB">
        <w:rPr>
          <w:rFonts w:ascii="Arial" w:hAnsi="Arial" w:cs="Arial"/>
          <w:b/>
          <w:i/>
          <w:iCs/>
          <w:color w:val="000000" w:themeColor="text1"/>
        </w:rPr>
        <w:t>Cuarto</w:t>
      </w:r>
      <w:r w:rsidRPr="00F054FB">
        <w:rPr>
          <w:rFonts w:ascii="Arial" w:hAnsi="Arial" w:cs="Arial"/>
          <w:i/>
          <w:iCs/>
          <w:color w:val="000000" w:themeColor="text1"/>
        </w:rPr>
        <w:t xml:space="preserve">, </w:t>
      </w:r>
      <w:r w:rsidRPr="00342443">
        <w:rPr>
          <w:rFonts w:ascii="Arial" w:hAnsi="Arial" w:cs="Arial"/>
          <w:b/>
          <w:bCs/>
          <w:color w:val="000000" w:themeColor="text1"/>
        </w:rPr>
        <w:t>estructura una gobernanza multinivel: el Distrito se articula con el CODECTI, la CRCI, la REC, los seis (6) comités subregionales y la Junta Metropolitana, evitando duplicidades y asegurando la complementariedad de los niveles departamental, metropolitano y municipal.</w:t>
      </w:r>
      <w:r w:rsidRPr="00342443">
        <w:rPr>
          <w:rFonts w:ascii="Arial" w:hAnsi="Arial" w:cs="Arial"/>
          <w:color w:val="000000" w:themeColor="text1"/>
        </w:rPr>
        <w:t xml:space="preserve"> </w:t>
      </w:r>
    </w:p>
    <w:p w14:paraId="7CC6C34A" w14:textId="77777777" w:rsidR="00627107" w:rsidRDefault="00974B3E" w:rsidP="00F46FB9">
      <w:pPr>
        <w:spacing w:after="120" w:line="276" w:lineRule="auto"/>
        <w:jc w:val="both"/>
        <w:rPr>
          <w:rFonts w:ascii="Arial" w:hAnsi="Arial" w:cs="Arial"/>
          <w:color w:val="000000" w:themeColor="text1"/>
        </w:rPr>
      </w:pPr>
      <w:r w:rsidRPr="00E875CC">
        <w:rPr>
          <w:rFonts w:ascii="Arial" w:hAnsi="Arial" w:cs="Arial"/>
          <w:b/>
          <w:i/>
          <w:iCs/>
          <w:color w:val="000000" w:themeColor="text1"/>
        </w:rPr>
        <w:t>Quinto,</w:t>
      </w:r>
      <w:r w:rsidRPr="00342443">
        <w:rPr>
          <w:rFonts w:ascii="Arial" w:hAnsi="Arial" w:cs="Arial"/>
          <w:color w:val="000000" w:themeColor="text1"/>
        </w:rPr>
        <w:t xml:space="preserve"> fortalece la competitividad del Eje Cafetero: el posicionamiento de Manizales (5.º nacional en competitividad, 1.º del Eje Cafetero por tres años consecutivos) jala al conjunto de la región, en línea con la vocación del Eje como territorio de conocimiento y sostenibilidad. </w:t>
      </w:r>
    </w:p>
    <w:p w14:paraId="703EE9BD" w14:textId="77777777" w:rsidR="00F46FB9" w:rsidRPr="00342443" w:rsidRDefault="00974B3E" w:rsidP="00F46FB9">
      <w:pPr>
        <w:spacing w:after="120" w:line="276" w:lineRule="auto"/>
        <w:jc w:val="both"/>
        <w:rPr>
          <w:rFonts w:ascii="Arial" w:hAnsi="Arial" w:cs="Arial"/>
          <w:b/>
          <w:bCs/>
          <w:color w:val="000000" w:themeColor="text1"/>
        </w:rPr>
      </w:pPr>
      <w:r w:rsidRPr="00E875CC">
        <w:rPr>
          <w:rFonts w:ascii="Arial" w:hAnsi="Arial" w:cs="Arial"/>
          <w:b/>
          <w:bCs/>
          <w:i/>
          <w:iCs/>
          <w:color w:val="000000" w:themeColor="text1"/>
        </w:rPr>
        <w:t>Y sexto</w:t>
      </w:r>
      <w:r w:rsidRPr="00342443">
        <w:rPr>
          <w:rFonts w:ascii="Arial" w:hAnsi="Arial" w:cs="Arial"/>
          <w:b/>
          <w:bCs/>
          <w:color w:val="000000" w:themeColor="text1"/>
        </w:rPr>
        <w:t xml:space="preserve">, impulsa el empleo y la productividad: el cierre de la brecha de productividad </w:t>
      </w:r>
      <w:r w:rsidRPr="00342443">
        <w:rPr>
          <w:rFonts w:ascii="Arial" w:hAnsi="Arial" w:cs="Arial"/>
          <w:color w:val="000000" w:themeColor="text1"/>
        </w:rPr>
        <w:t>($33,2 millones por empleado frente a $39,38 millones nacionales)</w:t>
      </w:r>
      <w:r w:rsidRPr="00342443">
        <w:rPr>
          <w:rFonts w:ascii="Arial" w:hAnsi="Arial" w:cs="Arial"/>
          <w:b/>
          <w:bCs/>
          <w:color w:val="000000" w:themeColor="text1"/>
        </w:rPr>
        <w:t xml:space="preserve"> </w:t>
      </w:r>
    </w:p>
    <w:p w14:paraId="3899DB3E" w14:textId="77777777" w:rsidR="004F7CD0" w:rsidRPr="00342443" w:rsidRDefault="00974B3E" w:rsidP="00F46FB9">
      <w:pPr>
        <w:spacing w:after="120" w:line="276" w:lineRule="auto"/>
        <w:jc w:val="both"/>
        <w:rPr>
          <w:rFonts w:ascii="Arial" w:hAnsi="Arial" w:cs="Arial"/>
          <w:b/>
          <w:bCs/>
          <w:color w:val="000000" w:themeColor="text1"/>
        </w:rPr>
      </w:pPr>
      <w:r w:rsidRPr="00342443">
        <w:rPr>
          <w:rFonts w:ascii="Arial" w:hAnsi="Arial" w:cs="Arial"/>
          <w:b/>
          <w:bCs/>
          <w:color w:val="000000" w:themeColor="text1"/>
        </w:rPr>
        <w:t>y la transición hacia un ecosistema impulsado por la innovación (IDE) generan empleo calificado para los 27 municipios.</w:t>
      </w:r>
    </w:p>
    <w:p w14:paraId="017C9C70" w14:textId="77777777" w:rsidR="004F7CD0" w:rsidRDefault="00974B3E" w:rsidP="00F46FB9">
      <w:pPr>
        <w:spacing w:after="120" w:line="276" w:lineRule="auto"/>
        <w:jc w:val="both"/>
        <w:rPr>
          <w:rFonts w:ascii="Arial" w:hAnsi="Arial" w:cs="Arial"/>
          <w:b/>
          <w:bCs/>
          <w:color w:val="000000" w:themeColor="text1"/>
        </w:rPr>
      </w:pPr>
      <w:r w:rsidRPr="00342443">
        <w:rPr>
          <w:rFonts w:ascii="Arial" w:hAnsi="Arial" w:cs="Arial"/>
          <w:color w:val="000000" w:themeColor="text1"/>
        </w:rPr>
        <w:t xml:space="preserve">El beneficio para la región es, </w:t>
      </w:r>
      <w:r w:rsidRPr="00342443">
        <w:rPr>
          <w:rFonts w:ascii="Arial" w:hAnsi="Arial" w:cs="Arial"/>
          <w:b/>
          <w:bCs/>
          <w:color w:val="000000" w:themeColor="text1"/>
        </w:rPr>
        <w:t>entonces, doble: los municipios se benefician directamente de los incentivos (vía adhesión voluntaria) e indirectamente de los efectos sistémicos del distrito (infraestructura compartida, talento, inversión y reputación), sin perder autonomía ni recursos.</w:t>
      </w:r>
    </w:p>
    <w:p w14:paraId="248A3008" w14:textId="77777777" w:rsidR="00627107" w:rsidRPr="00342443" w:rsidRDefault="00627107" w:rsidP="00F46FB9">
      <w:pPr>
        <w:spacing w:after="120" w:line="276" w:lineRule="auto"/>
        <w:jc w:val="both"/>
        <w:rPr>
          <w:rFonts w:ascii="Arial" w:hAnsi="Arial" w:cs="Arial"/>
          <w:color w:val="000000" w:themeColor="text1"/>
        </w:rPr>
      </w:pPr>
    </w:p>
    <w:p w14:paraId="6461775A" w14:textId="77777777" w:rsidR="004F7CD0" w:rsidRPr="00342443" w:rsidRDefault="00974B3E" w:rsidP="002966B5">
      <w:pPr>
        <w:pStyle w:val="Ttulo3"/>
        <w:rPr>
          <w:rFonts w:ascii="Arial" w:hAnsi="Arial" w:cs="Arial"/>
          <w:color w:val="000000" w:themeColor="text1"/>
        </w:rPr>
      </w:pPr>
      <w:bookmarkStart w:id="11" w:name="_Toc240894036"/>
      <w:r w:rsidRPr="00342443">
        <w:rPr>
          <w:rFonts w:ascii="Arial" w:hAnsi="Arial" w:cs="Arial"/>
          <w:color w:val="000000" w:themeColor="text1"/>
        </w:rPr>
        <w:t>3.8. Oportunidad, conveniencia y coherencia con la política pública</w:t>
      </w:r>
      <w:bookmarkEnd w:id="11"/>
    </w:p>
    <w:p w14:paraId="0A2C91E0"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Oportunidad. El régimen territorial colombiano está en redefinición: el Acto Legislativo 03 de 2024 reformó el artículo 356 de la Constitución en materia de competencias y recursos de las entidades territoriales, es</w:t>
      </w:r>
      <w:r w:rsidR="00627107">
        <w:rPr>
          <w:rFonts w:ascii="Arial" w:hAnsi="Arial" w:cs="Arial"/>
          <w:color w:val="000000" w:themeColor="text1"/>
        </w:rPr>
        <w:t>table</w:t>
      </w:r>
      <w:r w:rsidRPr="00342443">
        <w:rPr>
          <w:rFonts w:ascii="Arial" w:hAnsi="Arial" w:cs="Arial"/>
          <w:color w:val="000000" w:themeColor="text1"/>
        </w:rPr>
        <w:t>ciendo que los distritos tendrán las mismas competencias que los municipios y las demás reglas fijadas por la ley orgánica. La incorporación del nuevo distrito debe producirse en este escenario para que la reglamentación posterior lo incluya desde su origen. El precedente de Medellín (Acto Legislativo 01 de 2021 y Ley 2286 de 2023) ya configuró una doctrina legislativa para los distritos temáticos de ciencia, tecnología e innovación: Manizales puede transitar el mismo camino con menor incertidumbre jurídica y aprendizaje institucional de por medio. Manizales vive, además, una ventana de oportunidad de una a dos décadas: quinto lugar nacional de competitividad, segundo en ecosistema innovador, liderazgo en 8 de 11 indicadores GEIAL 2024 y reconocimiento ONU-Hábitat 2025, con brechas críticas de financiación (0,17% del PIB en I+D frente a 0,28% nacional) y de productividad (aproximadamente -15,7% frente al promedio nacional).</w:t>
      </w:r>
    </w:p>
    <w:p w14:paraId="6AE4F5D2"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lastRenderedPageBreak/>
        <w:t xml:space="preserve">Conveniencia. El régimen </w:t>
      </w:r>
      <w:r w:rsidRPr="00342443">
        <w:rPr>
          <w:rFonts w:ascii="Arial" w:hAnsi="Arial" w:cs="Arial"/>
          <w:b/>
          <w:bCs/>
          <w:color w:val="000000" w:themeColor="text1"/>
        </w:rPr>
        <w:t>de distrito especial es el instrumento idóneo y</w:t>
      </w:r>
      <w:r w:rsidRPr="00342443">
        <w:rPr>
          <w:rFonts w:ascii="Arial" w:hAnsi="Arial" w:cs="Arial"/>
          <w:color w:val="000000" w:themeColor="text1"/>
        </w:rPr>
        <w:t xml:space="preserve"> proporcionado: </w:t>
      </w:r>
      <w:r w:rsidRPr="00342443">
        <w:rPr>
          <w:rFonts w:ascii="Arial" w:hAnsi="Arial" w:cs="Arial"/>
          <w:b/>
          <w:bCs/>
          <w:color w:val="000000" w:themeColor="text1"/>
        </w:rPr>
        <w:t>dota al territorio de facultades, instrumentos</w:t>
      </w:r>
      <w:r w:rsidRPr="00342443">
        <w:rPr>
          <w:rFonts w:ascii="Arial" w:hAnsi="Arial" w:cs="Arial"/>
          <w:color w:val="000000" w:themeColor="text1"/>
        </w:rPr>
        <w:t xml:space="preserve"> y recursos (Ley 1617 de 2013), </w:t>
      </w:r>
      <w:r w:rsidRPr="00342443">
        <w:rPr>
          <w:rFonts w:ascii="Arial" w:hAnsi="Arial" w:cs="Arial"/>
          <w:b/>
          <w:bCs/>
          <w:color w:val="000000" w:themeColor="text1"/>
        </w:rPr>
        <w:t>permite adaptar el régimen político, fiscal y administrativo a la vocación específica</w:t>
      </w:r>
      <w:r w:rsidRPr="00342443">
        <w:rPr>
          <w:rFonts w:ascii="Arial" w:hAnsi="Arial" w:cs="Arial"/>
          <w:color w:val="000000" w:themeColor="text1"/>
        </w:rPr>
        <w:t xml:space="preserve"> (artículo 322 C.P.) y constituye </w:t>
      </w:r>
      <w:r w:rsidRPr="00342443">
        <w:rPr>
          <w:rFonts w:ascii="Arial" w:hAnsi="Arial" w:cs="Arial"/>
          <w:b/>
          <w:bCs/>
          <w:color w:val="000000" w:themeColor="text1"/>
        </w:rPr>
        <w:t>una señal institucional de largo plazo para la inversión privada, el talento, la cooperación internacional y el capital de riesgo.</w:t>
      </w:r>
      <w:r w:rsidRPr="00342443">
        <w:rPr>
          <w:rFonts w:ascii="Arial" w:hAnsi="Arial" w:cs="Arial"/>
          <w:color w:val="000000" w:themeColor="text1"/>
        </w:rPr>
        <w:t xml:space="preserve"> L</w:t>
      </w:r>
      <w:r w:rsidRPr="00342443">
        <w:rPr>
          <w:rFonts w:ascii="Arial" w:hAnsi="Arial" w:cs="Arial"/>
          <w:b/>
          <w:bCs/>
          <w:color w:val="000000" w:themeColor="text1"/>
        </w:rPr>
        <w:t>a iniciativa no suprime ni sustituye la política departamental vigente</w:t>
      </w:r>
      <w:r w:rsidRPr="00342443">
        <w:rPr>
          <w:rFonts w:ascii="Arial" w:hAnsi="Arial" w:cs="Arial"/>
          <w:color w:val="000000" w:themeColor="text1"/>
        </w:rPr>
        <w:t xml:space="preserve"> (Ordenanza 952 de 2023 y Documento Técnico 2022-2032): </w:t>
      </w:r>
      <w:r w:rsidRPr="00342443">
        <w:rPr>
          <w:rFonts w:ascii="Arial" w:hAnsi="Arial" w:cs="Arial"/>
          <w:b/>
          <w:bCs/>
          <w:color w:val="000000" w:themeColor="text1"/>
        </w:rPr>
        <w:t>la potencia, al jerarquizar constitucionalmente la agenda de conocimiento, sostenibilidad e innovación.</w:t>
      </w:r>
      <w:r w:rsidRPr="00342443">
        <w:rPr>
          <w:rFonts w:ascii="Arial" w:hAnsi="Arial" w:cs="Arial"/>
          <w:color w:val="000000" w:themeColor="text1"/>
        </w:rPr>
        <w:t xml:space="preserve"> Finalmente, el parágrafo del artículo primero, al extender los incentivos a los municipios del Área Metropolitana del Centro Sur y</w:t>
      </w:r>
      <w:r w:rsidRPr="00342443">
        <w:rPr>
          <w:rFonts w:ascii="Arial" w:hAnsi="Arial" w:cs="Arial"/>
          <w:b/>
          <w:bCs/>
          <w:color w:val="000000" w:themeColor="text1"/>
        </w:rPr>
        <w:t xml:space="preserve"> a otros municipios de Caldas, convierte al distrito en nodo de un sistema subregional,</w:t>
      </w:r>
      <w:r w:rsidRPr="00342443">
        <w:rPr>
          <w:rFonts w:ascii="Arial" w:hAnsi="Arial" w:cs="Arial"/>
          <w:color w:val="000000" w:themeColor="text1"/>
        </w:rPr>
        <w:t xml:space="preserve"> coherente con la gobernanza de los seis (6) comités subregionales del Documento Técnico y con la autonomía territorial (artículo 287 C.P.).</w:t>
      </w:r>
    </w:p>
    <w:p w14:paraId="6CB76303" w14:textId="77777777" w:rsidR="004F7CD0"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Coherencia con la política pública. La iniciativa es coherente con la Constitución Política: artículos 70 y 71 (ciencia y tecnología), 79 y 80 (ambiente sano y aprovechamiento de los recursos), 286 y 322 (entidades territoriales y régimen distrital especial), 319 (áreas metropolitanas), 328 y 356 (organización distrital y régimen territorial), y 374 y 375 (reforma constitucional). Con la ley: Ley 1617 de 2013 (régimen de distritos), Ley 2286 de 2023 (modelo de desarrollo del régimen distrital), Ley 819 de 2003 (responsabilidad fiscal), Ley 1004 de 2005 (zonas francas), Ley 1834 de 2017 (Ley Naranja), Ley 1581 de 2012 (protección de datos) y el marco del SNCTeI. Con la política nacional: Política Pública Nacional de CTeI 2022-2031 y las misiones de sabios. Con la política territorial: Misión de Sabios por Caldas 2020-2021, Documento Técnico CTeI 2022-2032 y Ordenanza No. 952 de 2023 (2023-2033), con sus misiones emblemáticas, metas e indicadores. Y con la agenda global: la triple vocación distrital (conocimiento, sostenibilidad e innovación) se alinea con los Objetivos de Desarrollo Sostenible, en particular educación de calidad, industria e innovación, ciudades y comunidades sostenibles y acción por el clima (los mismos 17 ODS que midió ONU-Hábitat 2025).</w:t>
      </w:r>
    </w:p>
    <w:p w14:paraId="525E4F51" w14:textId="77777777" w:rsidR="00627107" w:rsidRPr="00342443" w:rsidRDefault="00627107" w:rsidP="00F46FB9">
      <w:pPr>
        <w:spacing w:after="120" w:line="276" w:lineRule="auto"/>
        <w:jc w:val="both"/>
        <w:rPr>
          <w:rFonts w:ascii="Arial" w:hAnsi="Arial" w:cs="Arial"/>
          <w:color w:val="000000" w:themeColor="text1"/>
        </w:rPr>
      </w:pPr>
    </w:p>
    <w:p w14:paraId="0715BF8E" w14:textId="77777777" w:rsidR="004F7CD0" w:rsidRPr="00342443" w:rsidRDefault="00974B3E" w:rsidP="002966B5">
      <w:pPr>
        <w:pStyle w:val="Ttulo2"/>
        <w:rPr>
          <w:rFonts w:ascii="Arial" w:hAnsi="Arial" w:cs="Arial"/>
          <w:color w:val="000000" w:themeColor="text1"/>
          <w:sz w:val="24"/>
          <w:szCs w:val="24"/>
        </w:rPr>
      </w:pPr>
      <w:bookmarkStart w:id="12" w:name="_Toc240894037"/>
      <w:r w:rsidRPr="00342443">
        <w:rPr>
          <w:rFonts w:ascii="Arial" w:hAnsi="Arial" w:cs="Arial"/>
          <w:color w:val="000000" w:themeColor="text1"/>
          <w:sz w:val="24"/>
          <w:szCs w:val="24"/>
        </w:rPr>
        <w:t>IV. TRÁMITE DEL PROYECTO</w:t>
      </w:r>
      <w:bookmarkEnd w:id="12"/>
    </w:p>
    <w:p w14:paraId="686257FE" w14:textId="39059FEA"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 xml:space="preserve">El proyecto </w:t>
      </w:r>
      <w:r w:rsidR="0023777E">
        <w:rPr>
          <w:rFonts w:ascii="Arial" w:hAnsi="Arial" w:cs="Arial"/>
          <w:color w:val="000000" w:themeColor="text1"/>
        </w:rPr>
        <w:t xml:space="preserve">de acto legislativo </w:t>
      </w:r>
      <w:r w:rsidRPr="00342443">
        <w:rPr>
          <w:rFonts w:ascii="Arial" w:hAnsi="Arial" w:cs="Arial"/>
          <w:color w:val="000000" w:themeColor="text1"/>
        </w:rPr>
        <w:t>se tramita como reforma constitucional, de conformidad con los artículos 374 y 375 de la Constitución Política. Estos preceptos confieren al Congreso de la República la competencia para reformar la Carta mediante actos legislativos, a iniciativa —entre otros titulares— de diez (10) o más miembros del Congreso, y someten el trámite a la realización de dos (2) vueltas, cada una de las cuales surte debate en comisión constitucional permanente y en plenaria de cada Cámara, para un total de ocho (8) debates, con la correspondiente publicación en la Gaceta del Congreso.</w:t>
      </w:r>
    </w:p>
    <w:p w14:paraId="1FD687F6"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lastRenderedPageBreak/>
        <w:t>La jurisprudencia constitucional ha exigido la realización completa e integral de este procedimiento, de manera que la reforma constitucional solo puede surtirse por la vía del acto legislativo, sin mezclar trámites ni procedimientos (Sentencia C-222 de 1997 de la Corte Constitucional). Conforme a ello, el presente informe corresponde al primer debate de la primera vuelta, que se surte ante la Comisión Primera Constitucional Permanente de la Cámara de Representantes, en los términos de los artículos 150 y siguientes de la Ley 5ª de 1992 (contenido y trámite de las ponencias).</w:t>
      </w:r>
    </w:p>
    <w:p w14:paraId="042AB64C" w14:textId="77777777" w:rsidR="004F7CD0"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En esta iniciativa no se incluyen modificaciones al texto radicado: la ponencia es positiva y acoge íntegramente el articulado del proyecto, el cual se reproduce como texto propuesto para primer debate al final del presente informe.</w:t>
      </w:r>
    </w:p>
    <w:p w14:paraId="75A0317C" w14:textId="77777777" w:rsidR="00627107" w:rsidRPr="00342443" w:rsidRDefault="00627107" w:rsidP="00F46FB9">
      <w:pPr>
        <w:spacing w:after="120" w:line="276" w:lineRule="auto"/>
        <w:jc w:val="both"/>
        <w:rPr>
          <w:rFonts w:ascii="Arial" w:hAnsi="Arial" w:cs="Arial"/>
          <w:color w:val="000000" w:themeColor="text1"/>
        </w:rPr>
      </w:pPr>
    </w:p>
    <w:p w14:paraId="1D9764E0" w14:textId="77777777" w:rsidR="004F7CD0" w:rsidRPr="00342443" w:rsidRDefault="00974B3E" w:rsidP="002966B5">
      <w:pPr>
        <w:pStyle w:val="Ttulo2"/>
        <w:rPr>
          <w:rFonts w:ascii="Arial" w:hAnsi="Arial" w:cs="Arial"/>
          <w:color w:val="000000" w:themeColor="text1"/>
          <w:sz w:val="24"/>
          <w:szCs w:val="24"/>
        </w:rPr>
      </w:pPr>
      <w:bookmarkStart w:id="13" w:name="_Toc240894038"/>
      <w:r w:rsidRPr="00342443">
        <w:rPr>
          <w:rFonts w:ascii="Arial" w:hAnsi="Arial" w:cs="Arial"/>
          <w:color w:val="000000" w:themeColor="text1"/>
          <w:sz w:val="24"/>
          <w:szCs w:val="24"/>
        </w:rPr>
        <w:t>V. CONFLICTO DE INTERÉS</w:t>
      </w:r>
      <w:bookmarkEnd w:id="13"/>
    </w:p>
    <w:p w14:paraId="54059E8B" w14:textId="77777777" w:rsidR="001C40F7" w:rsidRPr="00342443" w:rsidRDefault="002313B0" w:rsidP="001C40F7">
      <w:pPr>
        <w:pStyle w:val="Textoindependiente"/>
        <w:spacing w:before="103" w:line="276" w:lineRule="auto"/>
        <w:ind w:right="302"/>
        <w:jc w:val="both"/>
        <w:rPr>
          <w:rFonts w:ascii="Arial" w:hAnsi="Arial" w:cs="Arial"/>
          <w:color w:val="000000" w:themeColor="text1"/>
          <w:sz w:val="24"/>
          <w:szCs w:val="24"/>
        </w:rPr>
      </w:pPr>
      <w:r>
        <w:rPr>
          <w:rFonts w:ascii="Arial" w:hAnsi="Arial" w:cs="Arial"/>
          <w:color w:val="000000" w:themeColor="text1"/>
          <w:sz w:val="24"/>
          <w:szCs w:val="24"/>
        </w:rPr>
        <w:t xml:space="preserve">El </w:t>
      </w:r>
      <w:r w:rsidR="001C40F7" w:rsidRPr="00342443">
        <w:rPr>
          <w:rFonts w:ascii="Arial" w:hAnsi="Arial" w:cs="Arial"/>
          <w:color w:val="000000" w:themeColor="text1"/>
          <w:sz w:val="24"/>
          <w:szCs w:val="24"/>
        </w:rPr>
        <w:t>Artículo 291 de la Ley 5 de 1992: De conformidad con el artículo 3 de la Ley 2003 de 2019, los autores y ponentes de la presente iniciativa legislativa deben incluir en la exposición de motivos un acápite en el que se describan las circunstancias o eventos que podrían generar un eventual conflicto de interés para su discusión y votación, en consonancia con el artículo 286 de la misma normatividad. Dichos señalamientos servirán como criterios orientadores para que los demás congresistas evalúen si incurren en alguna causal de impedimento, sin perjuicio de otras causales que el propio congresista pueda identificar.</w:t>
      </w:r>
    </w:p>
    <w:p w14:paraId="76A02B09" w14:textId="77777777" w:rsidR="001C40F7" w:rsidRPr="00342443" w:rsidRDefault="001C40F7" w:rsidP="001C40F7">
      <w:pPr>
        <w:pStyle w:val="Textoindependiente"/>
        <w:spacing w:before="103" w:line="276" w:lineRule="auto"/>
        <w:ind w:right="302"/>
        <w:jc w:val="both"/>
        <w:rPr>
          <w:rFonts w:ascii="Arial" w:hAnsi="Arial" w:cs="Arial"/>
          <w:color w:val="000000" w:themeColor="text1"/>
          <w:sz w:val="24"/>
          <w:szCs w:val="24"/>
        </w:rPr>
      </w:pPr>
      <w:r w:rsidRPr="00342443">
        <w:rPr>
          <w:rFonts w:ascii="Arial" w:hAnsi="Arial" w:cs="Arial"/>
          <w:color w:val="000000" w:themeColor="text1"/>
          <w:sz w:val="24"/>
          <w:szCs w:val="24"/>
        </w:rPr>
        <w:t>A continuación, se pondrán de presente los criterios que la Ley 2003 de 2019 contempla para hacer el análisis frente a los posibles impedimentos que se puedan presentar en razón a un conflicto de interés en el ejercicio de la función concrecional, entre ellas la legislativa.</w:t>
      </w:r>
    </w:p>
    <w:p w14:paraId="799FF1BA" w14:textId="77777777" w:rsidR="001C40F7" w:rsidRPr="00342443" w:rsidRDefault="001C40F7" w:rsidP="001C40F7">
      <w:pPr>
        <w:pStyle w:val="Textoindependiente"/>
        <w:spacing w:before="103" w:line="276" w:lineRule="auto"/>
        <w:ind w:right="302"/>
        <w:jc w:val="both"/>
        <w:rPr>
          <w:rFonts w:ascii="Arial" w:hAnsi="Arial" w:cs="Arial"/>
          <w:i/>
          <w:color w:val="000000" w:themeColor="text1"/>
          <w:sz w:val="24"/>
          <w:szCs w:val="24"/>
        </w:rPr>
      </w:pPr>
      <w:r w:rsidRPr="00342443">
        <w:rPr>
          <w:rFonts w:ascii="Arial" w:hAnsi="Arial" w:cs="Arial"/>
          <w:color w:val="000000" w:themeColor="text1"/>
          <w:sz w:val="24"/>
          <w:szCs w:val="24"/>
        </w:rPr>
        <w:t xml:space="preserve">“Artículo 1. El artículo 286 de la Ley 5 de 1992 quedará así: </w:t>
      </w:r>
      <w:r w:rsidRPr="00342443">
        <w:rPr>
          <w:rFonts w:ascii="Arial" w:hAnsi="Arial" w:cs="Arial"/>
          <w:i/>
          <w:color w:val="000000" w:themeColor="text1"/>
          <w:sz w:val="24"/>
          <w:szCs w:val="24"/>
        </w:rPr>
        <w:t>“ARTÍCULO 286. Régimen de conflicto de interés de los congresistas. Todos los congresistas deberán declarar los conflictos de intereses que pudieran surgir en ejercicio de sus funciones. Se entiende como conflicto de interés una situación donde la discusión o votación de un proyecto de ley o acto legislativo o artículo, pueda resultar en un beneficio particular, actual y directo a favor del congresista.</w:t>
      </w:r>
    </w:p>
    <w:p w14:paraId="08095759" w14:textId="77777777" w:rsidR="001C40F7" w:rsidRPr="00342443" w:rsidRDefault="001C40F7" w:rsidP="001C40F7">
      <w:pPr>
        <w:pStyle w:val="Textoindependiente"/>
        <w:spacing w:before="103" w:line="276" w:lineRule="auto"/>
        <w:ind w:right="302"/>
        <w:jc w:val="both"/>
        <w:rPr>
          <w:rFonts w:ascii="Arial" w:hAnsi="Arial" w:cs="Arial"/>
          <w:i/>
          <w:color w:val="000000" w:themeColor="text1"/>
          <w:sz w:val="24"/>
          <w:szCs w:val="24"/>
        </w:rPr>
      </w:pPr>
      <w:r w:rsidRPr="00342443">
        <w:rPr>
          <w:rFonts w:ascii="Arial" w:hAnsi="Arial" w:cs="Arial"/>
          <w:i/>
          <w:color w:val="000000" w:themeColor="text1"/>
          <w:sz w:val="24"/>
          <w:szCs w:val="24"/>
        </w:rPr>
        <w:t>a) Beneficio particular: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w:t>
      </w:r>
    </w:p>
    <w:p w14:paraId="69689EA9" w14:textId="77777777" w:rsidR="001C40F7" w:rsidRPr="00342443" w:rsidRDefault="001C40F7" w:rsidP="001C40F7">
      <w:pPr>
        <w:pStyle w:val="Textoindependiente"/>
        <w:spacing w:before="103" w:line="276" w:lineRule="auto"/>
        <w:ind w:right="302"/>
        <w:jc w:val="both"/>
        <w:rPr>
          <w:rFonts w:ascii="Arial" w:hAnsi="Arial" w:cs="Arial"/>
          <w:i/>
          <w:color w:val="000000" w:themeColor="text1"/>
          <w:sz w:val="24"/>
          <w:szCs w:val="24"/>
        </w:rPr>
      </w:pPr>
      <w:r w:rsidRPr="00342443">
        <w:rPr>
          <w:rFonts w:ascii="Arial" w:hAnsi="Arial" w:cs="Arial"/>
          <w:i/>
          <w:color w:val="000000" w:themeColor="text1"/>
          <w:sz w:val="24"/>
          <w:szCs w:val="24"/>
        </w:rPr>
        <w:t>b) Beneficio actual: aquel que efectivamente se configura en las circunstancias presentes y existentes al momento en el que el congresista participa de la decisión.</w:t>
      </w:r>
    </w:p>
    <w:p w14:paraId="6D9BB579" w14:textId="77777777" w:rsidR="001C40F7" w:rsidRPr="00342443" w:rsidRDefault="001C40F7" w:rsidP="001C40F7">
      <w:pPr>
        <w:pStyle w:val="Textoindependiente"/>
        <w:spacing w:before="103" w:line="276" w:lineRule="auto"/>
        <w:ind w:right="302"/>
        <w:jc w:val="both"/>
        <w:rPr>
          <w:rFonts w:ascii="Arial" w:hAnsi="Arial" w:cs="Arial"/>
          <w:i/>
          <w:color w:val="000000" w:themeColor="text1"/>
          <w:sz w:val="24"/>
          <w:szCs w:val="24"/>
        </w:rPr>
      </w:pPr>
      <w:r w:rsidRPr="00342443">
        <w:rPr>
          <w:rFonts w:ascii="Arial" w:hAnsi="Arial" w:cs="Arial"/>
          <w:i/>
          <w:color w:val="000000" w:themeColor="text1"/>
          <w:sz w:val="24"/>
          <w:szCs w:val="24"/>
        </w:rPr>
        <w:lastRenderedPageBreak/>
        <w:t>c) Beneficio directo: aquel que se produzca de forma específica respecto del congresista, de su cónyuge, compañero o compañera permanente, o parientes dentro del segundo grado de consanguinidad, segundo de afinidad o primero civil.</w:t>
      </w:r>
    </w:p>
    <w:p w14:paraId="098DDB5F" w14:textId="77777777" w:rsidR="001C40F7" w:rsidRPr="00342443" w:rsidRDefault="001C40F7" w:rsidP="001C40F7">
      <w:pPr>
        <w:pStyle w:val="Textoindependiente"/>
        <w:spacing w:before="103" w:line="276" w:lineRule="auto"/>
        <w:ind w:right="302"/>
        <w:jc w:val="both"/>
        <w:rPr>
          <w:rFonts w:ascii="Arial" w:hAnsi="Arial" w:cs="Arial"/>
          <w:i/>
          <w:color w:val="000000" w:themeColor="text1"/>
          <w:sz w:val="24"/>
          <w:szCs w:val="24"/>
        </w:rPr>
      </w:pPr>
      <w:r w:rsidRPr="00342443">
        <w:rPr>
          <w:rFonts w:ascii="Arial" w:hAnsi="Arial" w:cs="Arial"/>
          <w:i/>
          <w:color w:val="000000" w:themeColor="text1"/>
          <w:sz w:val="24"/>
          <w:szCs w:val="24"/>
        </w:rPr>
        <w:t>Para todos los efectos se entiende que no hay conflicto de interés en las siguientes circunstancias:</w:t>
      </w:r>
    </w:p>
    <w:p w14:paraId="22257B18" w14:textId="77777777" w:rsidR="001C40F7" w:rsidRPr="00342443" w:rsidRDefault="001C40F7" w:rsidP="001C40F7">
      <w:pPr>
        <w:pStyle w:val="Textoindependiente"/>
        <w:numPr>
          <w:ilvl w:val="0"/>
          <w:numId w:val="2"/>
        </w:numPr>
        <w:spacing w:before="103" w:line="276" w:lineRule="auto"/>
        <w:ind w:left="0" w:right="302" w:firstLine="0"/>
        <w:jc w:val="both"/>
        <w:rPr>
          <w:rFonts w:ascii="Arial" w:hAnsi="Arial" w:cs="Arial"/>
          <w:i/>
          <w:color w:val="000000" w:themeColor="text1"/>
          <w:sz w:val="24"/>
          <w:szCs w:val="24"/>
        </w:rPr>
      </w:pPr>
      <w:r w:rsidRPr="00342443">
        <w:rPr>
          <w:rFonts w:ascii="Arial" w:hAnsi="Arial" w:cs="Arial"/>
          <w:i/>
          <w:color w:val="000000" w:themeColor="text1"/>
          <w:sz w:val="24"/>
          <w:szCs w:val="24"/>
        </w:rPr>
        <w:t xml:space="preserve">Cuando el congresista participe, discuta, vote un proyecto de ley o de acto legislativo </w:t>
      </w:r>
    </w:p>
    <w:p w14:paraId="12F0084F" w14:textId="77777777" w:rsidR="001C40F7" w:rsidRPr="00342443" w:rsidRDefault="001C40F7" w:rsidP="001C40F7">
      <w:pPr>
        <w:pStyle w:val="Textoindependiente"/>
        <w:numPr>
          <w:ilvl w:val="0"/>
          <w:numId w:val="2"/>
        </w:numPr>
        <w:spacing w:before="103" w:line="276" w:lineRule="auto"/>
        <w:ind w:left="0" w:right="302" w:firstLine="0"/>
        <w:jc w:val="both"/>
        <w:rPr>
          <w:rFonts w:ascii="Arial" w:hAnsi="Arial" w:cs="Arial"/>
          <w:i/>
          <w:color w:val="000000" w:themeColor="text1"/>
          <w:sz w:val="24"/>
          <w:szCs w:val="24"/>
        </w:rPr>
      </w:pPr>
      <w:r w:rsidRPr="00342443">
        <w:rPr>
          <w:rFonts w:ascii="Arial" w:hAnsi="Arial" w:cs="Arial"/>
          <w:i/>
          <w:color w:val="000000" w:themeColor="text1"/>
          <w:sz w:val="24"/>
          <w:szCs w:val="24"/>
        </w:rPr>
        <w:t>que otorgue beneficios o cargos de carácter general, es decir cuando el interés del congresista coincide o se fusione con los intereses de los electores. (Negrilla propia)</w:t>
      </w:r>
    </w:p>
    <w:p w14:paraId="1D7B8835" w14:textId="77777777" w:rsidR="001C40F7" w:rsidRPr="00342443" w:rsidRDefault="001C40F7" w:rsidP="001C40F7">
      <w:pPr>
        <w:pStyle w:val="Textoindependiente"/>
        <w:spacing w:before="103" w:line="276" w:lineRule="auto"/>
        <w:ind w:right="302"/>
        <w:jc w:val="both"/>
        <w:rPr>
          <w:rFonts w:ascii="Arial" w:hAnsi="Arial" w:cs="Arial"/>
          <w:i/>
          <w:color w:val="000000" w:themeColor="text1"/>
          <w:sz w:val="24"/>
          <w:szCs w:val="24"/>
        </w:rPr>
      </w:pPr>
      <w:r w:rsidRPr="00342443">
        <w:rPr>
          <w:rFonts w:ascii="Arial" w:hAnsi="Arial" w:cs="Arial"/>
          <w:i/>
          <w:color w:val="000000" w:themeColor="text1"/>
          <w:sz w:val="24"/>
          <w:szCs w:val="24"/>
        </w:rPr>
        <w:t>b) Cuando el beneficio podría o no configurarse para el congresista en el futuro.</w:t>
      </w:r>
    </w:p>
    <w:p w14:paraId="27251400" w14:textId="77777777" w:rsidR="001C40F7" w:rsidRPr="00342443" w:rsidRDefault="001C40F7" w:rsidP="001C40F7">
      <w:pPr>
        <w:pStyle w:val="Textoindependiente"/>
        <w:spacing w:before="103" w:line="276" w:lineRule="auto"/>
        <w:ind w:right="302"/>
        <w:jc w:val="both"/>
        <w:rPr>
          <w:rFonts w:ascii="Arial" w:hAnsi="Arial" w:cs="Arial"/>
          <w:i/>
          <w:color w:val="000000" w:themeColor="text1"/>
          <w:sz w:val="24"/>
          <w:szCs w:val="24"/>
        </w:rPr>
      </w:pPr>
      <w:r w:rsidRPr="00342443">
        <w:rPr>
          <w:rFonts w:ascii="Arial" w:hAnsi="Arial" w:cs="Arial"/>
          <w:i/>
          <w:color w:val="000000" w:themeColor="text1"/>
          <w:sz w:val="24"/>
          <w:szCs w:val="24"/>
        </w:rPr>
        <w:t xml:space="preserve">c) Cuando el congresista participe, discuta o vote artículos de proyectos de ley o acto legislativo de carácter particular, que </w:t>
      </w:r>
      <w:r w:rsidR="00627107" w:rsidRPr="00342443">
        <w:rPr>
          <w:rFonts w:ascii="Arial" w:hAnsi="Arial" w:cs="Arial"/>
          <w:i/>
          <w:color w:val="000000" w:themeColor="text1"/>
          <w:sz w:val="24"/>
          <w:szCs w:val="24"/>
        </w:rPr>
        <w:t>es</w:t>
      </w:r>
      <w:r w:rsidR="00627107">
        <w:rPr>
          <w:rFonts w:ascii="Arial" w:hAnsi="Arial" w:cs="Arial"/>
          <w:i/>
          <w:color w:val="000000" w:themeColor="text1"/>
          <w:sz w:val="24"/>
          <w:szCs w:val="24"/>
        </w:rPr>
        <w:t>table</w:t>
      </w:r>
      <w:r w:rsidR="00627107" w:rsidRPr="00342443">
        <w:rPr>
          <w:rFonts w:ascii="Arial" w:hAnsi="Arial" w:cs="Arial"/>
          <w:i/>
          <w:color w:val="000000" w:themeColor="text1"/>
          <w:sz w:val="24"/>
          <w:szCs w:val="24"/>
        </w:rPr>
        <w:t>zcan</w:t>
      </w:r>
      <w:r w:rsidRPr="00342443">
        <w:rPr>
          <w:rFonts w:ascii="Arial" w:hAnsi="Arial" w:cs="Arial"/>
          <w:i/>
          <w:color w:val="000000" w:themeColor="text1"/>
          <w:sz w:val="24"/>
          <w:szCs w:val="24"/>
        </w:rPr>
        <w:t xml:space="preserve"> sanciones o disminuyan beneficios, en el cual, el congresista tiene un interés particular, actual y directo. El voto negativo no constituirá conflicto de interés cuando mantiene la normatividad vigente.</w:t>
      </w:r>
    </w:p>
    <w:p w14:paraId="547D070F" w14:textId="77777777" w:rsidR="001C40F7" w:rsidRPr="00342443" w:rsidRDefault="001C40F7" w:rsidP="001C40F7">
      <w:pPr>
        <w:pStyle w:val="Textoindependiente"/>
        <w:spacing w:before="103" w:line="276" w:lineRule="auto"/>
        <w:ind w:right="302"/>
        <w:jc w:val="both"/>
        <w:rPr>
          <w:rFonts w:ascii="Arial" w:hAnsi="Arial" w:cs="Arial"/>
          <w:i/>
          <w:color w:val="000000" w:themeColor="text1"/>
          <w:sz w:val="24"/>
          <w:szCs w:val="24"/>
        </w:rPr>
      </w:pPr>
      <w:r w:rsidRPr="00342443">
        <w:rPr>
          <w:rFonts w:ascii="Arial" w:hAnsi="Arial" w:cs="Arial"/>
          <w:i/>
          <w:color w:val="000000" w:themeColor="text1"/>
          <w:sz w:val="24"/>
          <w:szCs w:val="24"/>
        </w:rPr>
        <w:t>d) Cuando el congresista participe, discuta o vote artículos de proyectos de ley o acto legislativo de carácter particular, que regula un sector económico en el cual el congresista tiene un interés particular, actual y directo, siempre y cuando no genere beneficio particular, directo y actual.</w:t>
      </w:r>
    </w:p>
    <w:p w14:paraId="5B84BA17" w14:textId="77777777" w:rsidR="001C40F7" w:rsidRPr="00342443" w:rsidRDefault="001C40F7" w:rsidP="001C40F7">
      <w:pPr>
        <w:pStyle w:val="Textoindependiente"/>
        <w:spacing w:before="103" w:line="276" w:lineRule="auto"/>
        <w:ind w:right="302"/>
        <w:jc w:val="both"/>
        <w:rPr>
          <w:rFonts w:ascii="Arial" w:hAnsi="Arial" w:cs="Arial"/>
          <w:i/>
          <w:color w:val="000000" w:themeColor="text1"/>
          <w:sz w:val="24"/>
          <w:szCs w:val="24"/>
        </w:rPr>
      </w:pPr>
      <w:r w:rsidRPr="00342443">
        <w:rPr>
          <w:rFonts w:ascii="Arial" w:hAnsi="Arial" w:cs="Arial"/>
          <w:i/>
          <w:color w:val="000000" w:themeColor="text1"/>
          <w:sz w:val="24"/>
          <w:szCs w:val="24"/>
        </w:rPr>
        <w:t>e) Cuando el congresista participe, discuta o vote artículos de proyectos de ley o acto legislativo que tratan sobre los sectores económicos de quienes fueron financiadores de su campaña siempre y cuando no genere beneficio particular, directo y actual para el congresista. El congresista deberá hacer saber por escrito que el artículo o proyecto beneficia a financiadores de su campaña. Dicha manifestación no requerirá discusión ni votación.</w:t>
      </w:r>
    </w:p>
    <w:p w14:paraId="0DE3F6ED" w14:textId="77777777" w:rsidR="001C40F7" w:rsidRPr="00342443" w:rsidRDefault="001C40F7" w:rsidP="001C40F7">
      <w:pPr>
        <w:pStyle w:val="Textoindependiente"/>
        <w:spacing w:before="103" w:line="276" w:lineRule="auto"/>
        <w:ind w:right="302"/>
        <w:jc w:val="both"/>
        <w:rPr>
          <w:rFonts w:ascii="Arial" w:hAnsi="Arial" w:cs="Arial"/>
          <w:color w:val="000000" w:themeColor="text1"/>
          <w:sz w:val="24"/>
          <w:szCs w:val="24"/>
        </w:rPr>
      </w:pPr>
      <w:r w:rsidRPr="00342443">
        <w:rPr>
          <w:rFonts w:ascii="Arial" w:hAnsi="Arial" w:cs="Arial"/>
          <w:i/>
          <w:color w:val="000000" w:themeColor="text1"/>
          <w:sz w:val="24"/>
          <w:szCs w:val="24"/>
        </w:rPr>
        <w:t>f) Cuando el congresista participa en la elección de otros servidores públicos mediante el voto secreto. Se exceptúan los casos en que se presenten inhabilidades referidas al parentesco con los candidatos (...)”</w:t>
      </w:r>
      <w:r w:rsidRPr="00342443">
        <w:rPr>
          <w:rFonts w:ascii="Arial" w:hAnsi="Arial" w:cs="Arial"/>
          <w:color w:val="000000" w:themeColor="text1"/>
          <w:sz w:val="24"/>
          <w:szCs w:val="24"/>
        </w:rPr>
        <w:t xml:space="preserve">. </w:t>
      </w:r>
    </w:p>
    <w:p w14:paraId="7D848B28" w14:textId="77777777" w:rsidR="001C40F7" w:rsidRPr="00342443" w:rsidRDefault="001C40F7" w:rsidP="001C40F7">
      <w:pPr>
        <w:pStyle w:val="Textoindependiente"/>
        <w:spacing w:before="103" w:line="276" w:lineRule="auto"/>
        <w:ind w:right="302"/>
        <w:jc w:val="both"/>
        <w:rPr>
          <w:rFonts w:ascii="Arial" w:hAnsi="Arial" w:cs="Arial"/>
          <w:color w:val="000000" w:themeColor="text1"/>
          <w:sz w:val="24"/>
          <w:szCs w:val="24"/>
        </w:rPr>
      </w:pPr>
      <w:r w:rsidRPr="00342443">
        <w:rPr>
          <w:rFonts w:ascii="Arial" w:hAnsi="Arial" w:cs="Arial"/>
          <w:color w:val="000000" w:themeColor="text1"/>
          <w:sz w:val="24"/>
          <w:szCs w:val="24"/>
        </w:rPr>
        <w:t xml:space="preserve">En el mismo sentido, ha manifestado la Honorable Corte Constitucional, </w:t>
      </w:r>
      <w:r w:rsidRPr="00342443">
        <w:rPr>
          <w:rFonts w:ascii="Arial" w:hAnsi="Arial" w:cs="Arial"/>
          <w:i/>
          <w:color w:val="000000" w:themeColor="text1"/>
          <w:sz w:val="24"/>
          <w:szCs w:val="24"/>
        </w:rPr>
        <w:t xml:space="preserve">que el </w:t>
      </w:r>
      <w:r w:rsidR="004561D4" w:rsidRPr="00342443">
        <w:rPr>
          <w:rFonts w:ascii="Arial" w:hAnsi="Arial" w:cs="Arial"/>
          <w:i/>
          <w:color w:val="000000" w:themeColor="text1"/>
          <w:sz w:val="24"/>
          <w:szCs w:val="24"/>
        </w:rPr>
        <w:t>inevi</w:t>
      </w:r>
      <w:r w:rsidR="004561D4">
        <w:rPr>
          <w:rFonts w:ascii="Arial" w:hAnsi="Arial" w:cs="Arial"/>
          <w:i/>
          <w:color w:val="000000" w:themeColor="text1"/>
          <w:sz w:val="24"/>
          <w:szCs w:val="24"/>
        </w:rPr>
        <w:t>table</w:t>
      </w:r>
      <w:r w:rsidRPr="00342443">
        <w:rPr>
          <w:rFonts w:ascii="Arial" w:hAnsi="Arial" w:cs="Arial"/>
          <w:i/>
          <w:color w:val="000000" w:themeColor="text1"/>
          <w:sz w:val="24"/>
          <w:szCs w:val="24"/>
        </w:rPr>
        <w:t xml:space="preserve"> interés político que subyace a una reforma constitucional, al concurrir con los intereses generales, no configura un conflicto de interés:</w:t>
      </w:r>
      <w:r w:rsidRPr="00342443">
        <w:rPr>
          <w:rFonts w:ascii="Arial" w:hAnsi="Arial" w:cs="Arial"/>
          <w:color w:val="000000" w:themeColor="text1"/>
          <w:sz w:val="24"/>
          <w:szCs w:val="24"/>
        </w:rPr>
        <w:t xml:space="preserve"> En sentencia C 294 de 2021 </w:t>
      </w:r>
      <w:r w:rsidR="004561D4" w:rsidRPr="00342443">
        <w:rPr>
          <w:rFonts w:ascii="Arial" w:hAnsi="Arial" w:cs="Arial"/>
          <w:color w:val="000000" w:themeColor="text1"/>
          <w:sz w:val="24"/>
          <w:szCs w:val="24"/>
        </w:rPr>
        <w:t>es</w:t>
      </w:r>
      <w:r w:rsidR="004561D4">
        <w:rPr>
          <w:rFonts w:ascii="Arial" w:hAnsi="Arial" w:cs="Arial"/>
          <w:color w:val="000000" w:themeColor="text1"/>
          <w:sz w:val="24"/>
          <w:szCs w:val="24"/>
        </w:rPr>
        <w:t>table</w:t>
      </w:r>
      <w:r w:rsidR="004561D4" w:rsidRPr="00342443">
        <w:rPr>
          <w:rFonts w:ascii="Arial" w:hAnsi="Arial" w:cs="Arial"/>
          <w:color w:val="000000" w:themeColor="text1"/>
          <w:sz w:val="24"/>
          <w:szCs w:val="24"/>
        </w:rPr>
        <w:t>ció</w:t>
      </w:r>
      <w:r w:rsidRPr="00342443">
        <w:rPr>
          <w:rFonts w:ascii="Arial" w:hAnsi="Arial" w:cs="Arial"/>
          <w:color w:val="000000" w:themeColor="text1"/>
          <w:sz w:val="24"/>
          <w:szCs w:val="24"/>
        </w:rPr>
        <w:t xml:space="preserve"> lo siguiente:</w:t>
      </w:r>
    </w:p>
    <w:p w14:paraId="60DB6C0C" w14:textId="77777777" w:rsidR="001C40F7" w:rsidRPr="00342443" w:rsidRDefault="001C40F7" w:rsidP="001C40F7">
      <w:pPr>
        <w:pStyle w:val="Textoindependiente"/>
        <w:spacing w:before="103" w:line="276" w:lineRule="auto"/>
        <w:ind w:right="302"/>
        <w:jc w:val="both"/>
        <w:rPr>
          <w:rFonts w:ascii="Arial" w:hAnsi="Arial" w:cs="Arial"/>
          <w:i/>
          <w:color w:val="000000" w:themeColor="text1"/>
          <w:sz w:val="24"/>
          <w:szCs w:val="24"/>
        </w:rPr>
      </w:pPr>
      <w:r w:rsidRPr="00342443">
        <w:rPr>
          <w:rFonts w:ascii="Arial" w:hAnsi="Arial" w:cs="Arial"/>
          <w:i/>
          <w:color w:val="000000" w:themeColor="text1"/>
          <w:sz w:val="24"/>
          <w:szCs w:val="24"/>
        </w:rPr>
        <w:t xml:space="preserve">“La regla general es que no cabe plantear impedimentos o recusaciones por conflicto de intereses con motivo del trámite de una reforma constitucional; estas figuras únicamente son procedentes en casos excepcionales en los que aparezca claramente demostrada la existencia de un interés privado concurrente en cabeza de un miembro del Congreso. Como por regla general las reformas constitucionales afectan por igual </w:t>
      </w:r>
      <w:r w:rsidRPr="00342443">
        <w:rPr>
          <w:rFonts w:ascii="Arial" w:hAnsi="Arial" w:cs="Arial"/>
          <w:i/>
          <w:color w:val="000000" w:themeColor="text1"/>
          <w:sz w:val="24"/>
          <w:szCs w:val="24"/>
        </w:rPr>
        <w:lastRenderedPageBreak/>
        <w:t xml:space="preserve">a todos los colombianos, independientemente de su condición o no de parlamentario, es inusual que algún congresista se encuentre particularmente privileged o perjudicado por un acto legislativo, y que, por lo mismo, de él se predique un conflicto de intereses. No se deben confundir, de un lado, los intereses políticos - </w:t>
      </w:r>
      <w:proofErr w:type="spellStart"/>
      <w:r w:rsidRPr="00342443">
        <w:rPr>
          <w:rFonts w:ascii="Arial" w:hAnsi="Arial" w:cs="Arial"/>
          <w:i/>
          <w:color w:val="000000" w:themeColor="text1"/>
          <w:sz w:val="24"/>
          <w:szCs w:val="24"/>
        </w:rPr>
        <w:t>inevi</w:t>
      </w:r>
      <w:r w:rsidR="004F0BE8">
        <w:rPr>
          <w:rFonts w:ascii="Arial" w:hAnsi="Arial" w:cs="Arial"/>
          <w:i/>
          <w:color w:val="000000" w:themeColor="text1"/>
          <w:sz w:val="24"/>
          <w:szCs w:val="24"/>
        </w:rPr>
        <w:t>Tabla</w:t>
      </w:r>
      <w:r w:rsidRPr="00342443">
        <w:rPr>
          <w:rFonts w:ascii="Arial" w:hAnsi="Arial" w:cs="Arial"/>
          <w:i/>
          <w:color w:val="000000" w:themeColor="text1"/>
          <w:sz w:val="24"/>
          <w:szCs w:val="24"/>
        </w:rPr>
        <w:t>s</w:t>
      </w:r>
      <w:proofErr w:type="spellEnd"/>
      <w:r w:rsidRPr="00342443">
        <w:rPr>
          <w:rFonts w:ascii="Arial" w:hAnsi="Arial" w:cs="Arial"/>
          <w:i/>
          <w:color w:val="000000" w:themeColor="text1"/>
          <w:sz w:val="24"/>
          <w:szCs w:val="24"/>
        </w:rPr>
        <w:t xml:space="preserve"> en el ámbito parlamentario y sobre todo cuando se trata de reformar la Constitución- los cuales pueden concurrir con los intereses generales, con los denominados intereses meramente privados que, de otro lado, sí están excluidos por la figura del conflicto de intereses -tales como los intereses económicos particulares del congresista o los intereses meramente personales y subjetivos de orden no político-. De admitirse que los intereses políticos a favor o en contra de una reforma constitucional inhiben a los congresistas de participar en su tramitación, muchas normas de la Carta se tornarían irreformables o pétreas, como por ejemplo todas las normas sobre el Congreso de la República, las elecciones, los partidos, la relación entre el gobierno y la oposición y las entidades territoriales”</w:t>
      </w:r>
    </w:p>
    <w:p w14:paraId="5CCD0590" w14:textId="77777777" w:rsidR="001C40F7" w:rsidRDefault="001C40F7" w:rsidP="001C40F7">
      <w:pPr>
        <w:pStyle w:val="Textoindependiente"/>
        <w:spacing w:before="103" w:line="276" w:lineRule="auto"/>
        <w:ind w:right="302"/>
        <w:jc w:val="both"/>
        <w:rPr>
          <w:rFonts w:ascii="Arial" w:hAnsi="Arial" w:cs="Arial"/>
          <w:color w:val="000000" w:themeColor="text1"/>
          <w:sz w:val="24"/>
          <w:szCs w:val="24"/>
        </w:rPr>
      </w:pPr>
      <w:r w:rsidRPr="00342443">
        <w:rPr>
          <w:rFonts w:ascii="Arial" w:hAnsi="Arial" w:cs="Arial"/>
          <w:color w:val="000000" w:themeColor="text1"/>
          <w:sz w:val="24"/>
          <w:szCs w:val="24"/>
        </w:rPr>
        <w:t>De lo anterior se considera que, para la discusión y aprobación de este Proyecto de Acto Legislativo, no existen circunstancias que pudieran dar lugar a un eventual conflicto de interés por parte de los Honorables Congresistas, pues es una iniciativa de carácter general, impersonal y abstracta, con lo cual no se materializa una situación concreta que permita enmarcar un beneficio particular, directo ni actual. En todo caso, es pertinente aclarar que los conflictos de interés son personales y corresponde a cada Congresista evaluarlos.</w:t>
      </w:r>
    </w:p>
    <w:p w14:paraId="405B5328" w14:textId="77777777" w:rsidR="002313B0" w:rsidRPr="00342443" w:rsidRDefault="002313B0" w:rsidP="001C40F7">
      <w:pPr>
        <w:pStyle w:val="Textoindependiente"/>
        <w:spacing w:before="103" w:line="276" w:lineRule="auto"/>
        <w:ind w:right="302"/>
        <w:jc w:val="both"/>
        <w:rPr>
          <w:rFonts w:ascii="Arial" w:hAnsi="Arial" w:cs="Arial"/>
          <w:color w:val="000000" w:themeColor="text1"/>
          <w:sz w:val="24"/>
          <w:szCs w:val="24"/>
        </w:rPr>
      </w:pPr>
    </w:p>
    <w:p w14:paraId="0A920A50" w14:textId="77777777" w:rsidR="004F7CD0" w:rsidRPr="00342443" w:rsidRDefault="00974B3E" w:rsidP="002966B5">
      <w:pPr>
        <w:pStyle w:val="Ttulo2"/>
        <w:rPr>
          <w:rFonts w:ascii="Arial" w:hAnsi="Arial" w:cs="Arial"/>
          <w:color w:val="000000" w:themeColor="text1"/>
          <w:sz w:val="24"/>
          <w:szCs w:val="24"/>
        </w:rPr>
      </w:pPr>
      <w:bookmarkStart w:id="14" w:name="_Toc240894039"/>
      <w:r w:rsidRPr="00342443">
        <w:rPr>
          <w:rFonts w:ascii="Arial" w:hAnsi="Arial" w:cs="Arial"/>
          <w:color w:val="000000" w:themeColor="text1"/>
          <w:sz w:val="24"/>
          <w:szCs w:val="24"/>
        </w:rPr>
        <w:t>VI. IMPACTO FISCAL</w:t>
      </w:r>
      <w:bookmarkEnd w:id="14"/>
    </w:p>
    <w:p w14:paraId="1FA25E4E" w14:textId="77777777" w:rsidR="004F7CD0" w:rsidRPr="00342443"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Sobre el impacto fiscal de los proyectos de ley y actos legislativos, la Ley 819 de 2003, “por la cual se dictan normas orgánicas en materia de presupuesto, responsabilidad y transparencia fiscal y se dictan otras disposiciones”, dispone en su artículo séptimo que “el impacto fiscal de cualquier proyecto de ley, ordenanza o acuerdo, que ordene gasto o que otorgue beneficios tributarios, deberá hacerse explícito y deberá ser compatible con el Marco Fiscal de Mediano Plazo. Para estos propósitos, deberá incluirse expresamente en la exposición de motivos y en las ponencias de trámite respectivas los costos fiscales de la iniciativa y la fuente de ingreso adicional generada para el financiamiento de dicho costo”. En cumplimiento de dicho requisito, este apartado explica las razones por las que la iniciativa no genera impacto fiscal directo.</w:t>
      </w:r>
    </w:p>
    <w:p w14:paraId="33089580" w14:textId="77777777" w:rsidR="004F7CD0"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El proyecto de acto legislativo no genera por sí mismo impacto fiscal ni autoriza apropiaciones con cargo al Presupuesto General de la Nación: es</w:t>
      </w:r>
      <w:r w:rsidR="004561D4">
        <w:rPr>
          <w:rFonts w:ascii="Arial" w:hAnsi="Arial" w:cs="Arial"/>
          <w:color w:val="000000" w:themeColor="text1"/>
        </w:rPr>
        <w:t xml:space="preserve">tablece </w:t>
      </w:r>
      <w:r w:rsidRPr="00342443">
        <w:rPr>
          <w:rFonts w:ascii="Arial" w:hAnsi="Arial" w:cs="Arial"/>
          <w:color w:val="000000" w:themeColor="text1"/>
        </w:rPr>
        <w:t xml:space="preserve">un marco constitucional habilitante cuyo desarrollo corresponderá a la ley que reglamente el acto legislativo, en los términos de su artículo tercero. Dicha ley reglamentaria determinará las fuentes de financiación, los instrumentos de fomento y los mecanismos para la ejecución de las políticas y programas derivados de la reforma, en armonía con el </w:t>
      </w:r>
      <w:r w:rsidRPr="00342443">
        <w:rPr>
          <w:rFonts w:ascii="Arial" w:hAnsi="Arial" w:cs="Arial"/>
          <w:color w:val="000000" w:themeColor="text1"/>
        </w:rPr>
        <w:lastRenderedPageBreak/>
        <w:t>principio de sostenibilidad fiscal, el Marco Fiscal de Mediano Plazo, las disponibilidades presupuestales y las demás normas que regulan la materia. La iniciativa no crea obligaciones presupuestales automáticas ni compromete recursos públicos: cualquier medida con incidencia fiscal deberá ser objeto de desarrollo legal y sujetarse a las reglas constitucionales y legales que rigen la programación, aprobación y ejecución del gasto público, conforme al artículo 7 de la Ley 819 de 2003.</w:t>
      </w:r>
    </w:p>
    <w:p w14:paraId="6B5C2E0F" w14:textId="77777777" w:rsidR="00675ED3" w:rsidRPr="00342443" w:rsidRDefault="00675ED3" w:rsidP="00F46FB9">
      <w:pPr>
        <w:spacing w:after="120" w:line="276" w:lineRule="auto"/>
        <w:jc w:val="both"/>
        <w:rPr>
          <w:rFonts w:ascii="Arial" w:hAnsi="Arial" w:cs="Arial"/>
          <w:color w:val="000000" w:themeColor="text1"/>
        </w:rPr>
      </w:pPr>
    </w:p>
    <w:p w14:paraId="4A5FD821" w14:textId="77777777" w:rsidR="004F7CD0" w:rsidRPr="00342443" w:rsidRDefault="00974B3E" w:rsidP="002966B5">
      <w:pPr>
        <w:pStyle w:val="Ttulo2"/>
        <w:rPr>
          <w:rFonts w:ascii="Arial" w:hAnsi="Arial" w:cs="Arial"/>
          <w:color w:val="000000" w:themeColor="text1"/>
          <w:sz w:val="24"/>
          <w:szCs w:val="24"/>
        </w:rPr>
      </w:pPr>
      <w:bookmarkStart w:id="15" w:name="_Toc240894040"/>
      <w:r w:rsidRPr="00342443">
        <w:rPr>
          <w:rFonts w:ascii="Arial" w:hAnsi="Arial" w:cs="Arial"/>
          <w:color w:val="000000" w:themeColor="text1"/>
          <w:sz w:val="24"/>
          <w:szCs w:val="24"/>
        </w:rPr>
        <w:t>VII. PLIEGO DE MODIFICACIONES</w:t>
      </w:r>
      <w:bookmarkEnd w:id="15"/>
    </w:p>
    <w:p w14:paraId="59F34C5E" w14:textId="77777777" w:rsidR="004F7CD0" w:rsidRDefault="00974B3E" w:rsidP="00F46FB9">
      <w:pPr>
        <w:spacing w:after="120" w:line="276" w:lineRule="auto"/>
        <w:jc w:val="both"/>
        <w:rPr>
          <w:rFonts w:ascii="Arial" w:hAnsi="Arial" w:cs="Arial"/>
          <w:color w:val="000000" w:themeColor="text1"/>
        </w:rPr>
      </w:pPr>
      <w:r w:rsidRPr="00342443">
        <w:rPr>
          <w:rFonts w:ascii="Arial" w:hAnsi="Arial" w:cs="Arial"/>
          <w:color w:val="000000" w:themeColor="text1"/>
        </w:rPr>
        <w:t>La presente ponencia es positiva y no propone modificaciones al texto radicado del Proyecto de Acto Legislativo No. 244 de 2026 Cámara. En consecuencia, no se presenta pliego de modificaciones: el texto propuesto para primer debate que se anexa a continuación corresponde, en su integridad, al texto radicado, y se reproduce a efectos de dar cumplimiento a lo previsto en la Ley 5ª de 1992 sobre el contenido de las ponencias.</w:t>
      </w:r>
    </w:p>
    <w:p w14:paraId="65C59EF1" w14:textId="77777777" w:rsidR="00675ED3" w:rsidRPr="00342443" w:rsidRDefault="00675ED3" w:rsidP="00F46FB9">
      <w:pPr>
        <w:spacing w:after="120" w:line="276" w:lineRule="auto"/>
        <w:jc w:val="both"/>
        <w:rPr>
          <w:rFonts w:ascii="Arial" w:hAnsi="Arial" w:cs="Arial"/>
          <w:color w:val="000000" w:themeColor="text1"/>
        </w:rPr>
      </w:pPr>
    </w:p>
    <w:p w14:paraId="696F79DC" w14:textId="77777777" w:rsidR="004F7CD0" w:rsidRPr="00342443" w:rsidRDefault="00974B3E" w:rsidP="002966B5">
      <w:pPr>
        <w:pStyle w:val="Ttulo2"/>
        <w:rPr>
          <w:rFonts w:ascii="Arial" w:hAnsi="Arial" w:cs="Arial"/>
          <w:color w:val="000000" w:themeColor="text1"/>
          <w:sz w:val="24"/>
          <w:szCs w:val="24"/>
        </w:rPr>
      </w:pPr>
      <w:bookmarkStart w:id="16" w:name="_Toc240894041"/>
      <w:r w:rsidRPr="00342443">
        <w:rPr>
          <w:rFonts w:ascii="Arial" w:hAnsi="Arial" w:cs="Arial"/>
          <w:color w:val="000000" w:themeColor="text1"/>
          <w:sz w:val="24"/>
          <w:szCs w:val="24"/>
        </w:rPr>
        <w:t>VIII. PROPOSICIÓN</w:t>
      </w:r>
      <w:bookmarkEnd w:id="16"/>
    </w:p>
    <w:p w14:paraId="74A2E5DA" w14:textId="636E69E5" w:rsidR="004F7CD0" w:rsidRPr="002966B5" w:rsidRDefault="00974B3E" w:rsidP="00F46FB9">
      <w:pPr>
        <w:spacing w:after="120" w:line="276" w:lineRule="auto"/>
        <w:jc w:val="both"/>
        <w:rPr>
          <w:rFonts w:ascii="Arial" w:hAnsi="Arial" w:cs="Arial"/>
        </w:rPr>
      </w:pPr>
      <w:r w:rsidRPr="00342443">
        <w:rPr>
          <w:rFonts w:ascii="Arial" w:hAnsi="Arial" w:cs="Arial"/>
          <w:color w:val="000000" w:themeColor="text1"/>
        </w:rPr>
        <w:t>Por los argumentos expuestos anteriormente, presento ponencia positiva y solicito a los miembros de la Comisión Primera Constitucional Permanente de la Cámara de Representantes dar primer debate y aprobar el Proyecto de Acto Legislativo No. 244 de 2026 Cámara, “Por el cual se otorga la calidad de Distrito Especial del Conocimiento, la Sostenibilidad y la Innovación a la ciudad de Manizales y se dictan otras disposiciones”, conforme al texto propuesto</w:t>
      </w:r>
      <w:r w:rsidR="00CA3A1B">
        <w:rPr>
          <w:rFonts w:ascii="Arial" w:hAnsi="Arial" w:cs="Arial"/>
          <w:color w:val="000000" w:themeColor="text1"/>
        </w:rPr>
        <w:t>.</w:t>
      </w:r>
      <w:r w:rsidRPr="00342443">
        <w:rPr>
          <w:rFonts w:ascii="Arial" w:hAnsi="Arial" w:cs="Arial"/>
          <w:color w:val="000000" w:themeColor="text1"/>
        </w:rPr>
        <w:t xml:space="preserve"> </w:t>
      </w:r>
    </w:p>
    <w:p w14:paraId="2858E2D8" w14:textId="77777777" w:rsidR="00B46CF5" w:rsidRDefault="00B46CF5" w:rsidP="00F46FB9">
      <w:pPr>
        <w:spacing w:after="120" w:line="276" w:lineRule="auto"/>
        <w:jc w:val="both"/>
        <w:rPr>
          <w:rFonts w:ascii="Arial" w:hAnsi="Arial" w:cs="Arial"/>
        </w:rPr>
      </w:pPr>
    </w:p>
    <w:p w14:paraId="75033BAD" w14:textId="77777777" w:rsidR="004F7CD0" w:rsidRPr="002966B5" w:rsidRDefault="00974B3E" w:rsidP="00F46FB9">
      <w:pPr>
        <w:spacing w:after="120" w:line="276" w:lineRule="auto"/>
        <w:jc w:val="both"/>
        <w:rPr>
          <w:rFonts w:ascii="Arial" w:hAnsi="Arial" w:cs="Arial"/>
        </w:rPr>
      </w:pPr>
      <w:r w:rsidRPr="002966B5">
        <w:rPr>
          <w:rFonts w:ascii="Arial" w:hAnsi="Arial" w:cs="Arial"/>
        </w:rPr>
        <w:t>Atentamente,</w:t>
      </w:r>
    </w:p>
    <w:p w14:paraId="1815596E" w14:textId="77777777" w:rsidR="004F7CD0" w:rsidRDefault="004F7CD0" w:rsidP="00F46FB9">
      <w:pPr>
        <w:spacing w:after="480"/>
        <w:jc w:val="both"/>
        <w:rPr>
          <w:rFonts w:ascii="Arial" w:hAnsi="Arial" w:cs="Arial"/>
        </w:rPr>
      </w:pPr>
    </w:p>
    <w:p w14:paraId="061494ED" w14:textId="77777777" w:rsidR="00675ED3" w:rsidRPr="002966B5" w:rsidRDefault="00675ED3" w:rsidP="00F46FB9">
      <w:pPr>
        <w:spacing w:after="480"/>
        <w:jc w:val="both"/>
        <w:rPr>
          <w:rFonts w:ascii="Arial" w:hAnsi="Arial" w:cs="Arial"/>
        </w:rPr>
      </w:pPr>
    </w:p>
    <w:p w14:paraId="5EA1F1E8" w14:textId="29F74A77" w:rsidR="004F7CD0" w:rsidRPr="002966B5" w:rsidRDefault="00974B3E" w:rsidP="00AB52BA">
      <w:pPr>
        <w:spacing w:after="0"/>
        <w:jc w:val="center"/>
        <w:rPr>
          <w:rFonts w:ascii="Arial" w:hAnsi="Arial" w:cs="Arial"/>
        </w:rPr>
      </w:pPr>
      <w:r w:rsidRPr="002966B5">
        <w:rPr>
          <w:rFonts w:ascii="Arial" w:hAnsi="Arial" w:cs="Arial"/>
          <w:b/>
          <w:bCs/>
        </w:rPr>
        <w:t xml:space="preserve">MANUEL </w:t>
      </w:r>
      <w:r w:rsidR="006033EF">
        <w:rPr>
          <w:rFonts w:ascii="Arial" w:hAnsi="Arial" w:cs="Arial"/>
          <w:b/>
          <w:bCs/>
        </w:rPr>
        <w:t xml:space="preserve">ORLANDO </w:t>
      </w:r>
      <w:r w:rsidRPr="002966B5">
        <w:rPr>
          <w:rFonts w:ascii="Arial" w:hAnsi="Arial" w:cs="Arial"/>
          <w:b/>
          <w:bCs/>
        </w:rPr>
        <w:t>CORREA</w:t>
      </w:r>
      <w:r w:rsidR="006033EF">
        <w:rPr>
          <w:rFonts w:ascii="Arial" w:hAnsi="Arial" w:cs="Arial"/>
          <w:b/>
          <w:bCs/>
        </w:rPr>
        <w:t xml:space="preserve"> BEDOYA </w:t>
      </w:r>
    </w:p>
    <w:p w14:paraId="05CA38C3" w14:textId="77777777" w:rsidR="004F7CD0" w:rsidRPr="002966B5" w:rsidRDefault="00974B3E" w:rsidP="00AB52BA">
      <w:pPr>
        <w:spacing w:after="0"/>
        <w:jc w:val="center"/>
        <w:rPr>
          <w:rFonts w:ascii="Arial" w:hAnsi="Arial" w:cs="Arial"/>
        </w:rPr>
      </w:pPr>
      <w:r w:rsidRPr="002966B5">
        <w:rPr>
          <w:rFonts w:ascii="Arial" w:hAnsi="Arial" w:cs="Arial"/>
        </w:rPr>
        <w:t>Representante a la Cámara por el Departamento de Caldas</w:t>
      </w:r>
    </w:p>
    <w:p w14:paraId="39F03E66" w14:textId="77777777" w:rsidR="004F7CD0" w:rsidRPr="002966B5" w:rsidRDefault="00974B3E" w:rsidP="00AB52BA">
      <w:pPr>
        <w:spacing w:after="0"/>
        <w:jc w:val="center"/>
        <w:rPr>
          <w:rFonts w:ascii="Arial" w:hAnsi="Arial" w:cs="Arial"/>
        </w:rPr>
      </w:pPr>
      <w:r w:rsidRPr="002966B5">
        <w:rPr>
          <w:rFonts w:ascii="Arial" w:hAnsi="Arial" w:cs="Arial"/>
        </w:rPr>
        <w:t>Ponente Único</w:t>
      </w:r>
    </w:p>
    <w:p w14:paraId="50969350" w14:textId="77777777" w:rsidR="004F7CD0" w:rsidRPr="002966B5" w:rsidRDefault="00974B3E" w:rsidP="00F46FB9">
      <w:pPr>
        <w:jc w:val="both"/>
        <w:rPr>
          <w:rFonts w:ascii="Arial" w:hAnsi="Arial" w:cs="Arial"/>
        </w:rPr>
      </w:pPr>
      <w:r w:rsidRPr="002966B5">
        <w:rPr>
          <w:rFonts w:ascii="Arial" w:hAnsi="Arial" w:cs="Arial"/>
        </w:rPr>
        <w:br w:type="page"/>
      </w:r>
    </w:p>
    <w:p w14:paraId="3B9E501C" w14:textId="77777777" w:rsidR="004F7CD0" w:rsidRDefault="002966B5" w:rsidP="002966B5">
      <w:pPr>
        <w:pStyle w:val="Ttulo2"/>
        <w:rPr>
          <w:rFonts w:ascii="Arial" w:hAnsi="Arial" w:cs="Arial"/>
          <w:color w:val="000000" w:themeColor="text1"/>
          <w:sz w:val="24"/>
          <w:szCs w:val="24"/>
        </w:rPr>
      </w:pPr>
      <w:bookmarkStart w:id="17" w:name="_Toc240894042"/>
      <w:r w:rsidRPr="00342443">
        <w:rPr>
          <w:rFonts w:ascii="Arial" w:hAnsi="Arial" w:cs="Arial"/>
          <w:color w:val="000000" w:themeColor="text1"/>
          <w:sz w:val="24"/>
          <w:szCs w:val="24"/>
        </w:rPr>
        <w:lastRenderedPageBreak/>
        <w:t xml:space="preserve">IX. </w:t>
      </w:r>
      <w:r w:rsidR="00974B3E" w:rsidRPr="00342443">
        <w:rPr>
          <w:rFonts w:ascii="Arial" w:hAnsi="Arial" w:cs="Arial"/>
          <w:color w:val="000000" w:themeColor="text1"/>
          <w:sz w:val="24"/>
          <w:szCs w:val="24"/>
        </w:rPr>
        <w:t>TEXTO PROPUESTO PARA PRIMER DEBATE</w:t>
      </w:r>
      <w:r w:rsidRPr="00342443">
        <w:rPr>
          <w:rFonts w:ascii="Arial" w:hAnsi="Arial" w:cs="Arial"/>
          <w:color w:val="000000" w:themeColor="text1"/>
          <w:sz w:val="24"/>
          <w:szCs w:val="24"/>
        </w:rPr>
        <w:t>.</w:t>
      </w:r>
      <w:bookmarkEnd w:id="17"/>
    </w:p>
    <w:p w14:paraId="4374192A" w14:textId="77777777" w:rsidR="00675ED3" w:rsidRPr="00342443" w:rsidRDefault="00675ED3" w:rsidP="002966B5">
      <w:pPr>
        <w:pStyle w:val="Ttulo2"/>
        <w:rPr>
          <w:rFonts w:ascii="Arial" w:hAnsi="Arial" w:cs="Arial"/>
          <w:color w:val="000000" w:themeColor="text1"/>
          <w:sz w:val="24"/>
          <w:szCs w:val="24"/>
        </w:rPr>
      </w:pPr>
    </w:p>
    <w:p w14:paraId="57F635AD" w14:textId="77777777" w:rsidR="004F7CD0" w:rsidRPr="002966B5" w:rsidRDefault="00974B3E" w:rsidP="002966B5">
      <w:pPr>
        <w:spacing w:after="120"/>
        <w:jc w:val="both"/>
        <w:rPr>
          <w:rFonts w:ascii="Arial" w:hAnsi="Arial" w:cs="Arial"/>
        </w:rPr>
      </w:pPr>
      <w:r w:rsidRPr="002966B5">
        <w:rPr>
          <w:rFonts w:ascii="Arial" w:hAnsi="Arial" w:cs="Arial"/>
          <w:b/>
          <w:bCs/>
        </w:rPr>
        <w:t>PROYECTO DE ACTO LEGISLATIVO No. 244 DE 2026 CÁMARA</w:t>
      </w:r>
      <w:r w:rsidR="002966B5">
        <w:rPr>
          <w:rFonts w:ascii="Arial" w:hAnsi="Arial" w:cs="Arial"/>
        </w:rPr>
        <w:t xml:space="preserve"> </w:t>
      </w:r>
      <w:r w:rsidRPr="002966B5">
        <w:rPr>
          <w:rFonts w:ascii="Arial" w:hAnsi="Arial" w:cs="Arial"/>
          <w:b/>
          <w:bCs/>
          <w:i/>
          <w:iCs/>
        </w:rPr>
        <w:t>“POR EL CUAL SE OTORGA LA CALIDAD DE DISTRITO ESPECIAL DEL CONOCIMIENTO, LA SOSTENIBILIDAD Y LA INNOVACIÓN A LA CIUDAD DE MANIZALES Y SE DICTAN OTRAS DISPOSICIONES”</w:t>
      </w:r>
    </w:p>
    <w:p w14:paraId="1B760A63" w14:textId="77777777" w:rsidR="004F7CD0" w:rsidRPr="002966B5" w:rsidRDefault="00974B3E" w:rsidP="002966B5">
      <w:pPr>
        <w:spacing w:after="40"/>
        <w:jc w:val="center"/>
        <w:rPr>
          <w:rFonts w:ascii="Arial" w:hAnsi="Arial" w:cs="Arial"/>
        </w:rPr>
      </w:pPr>
      <w:r w:rsidRPr="002966B5">
        <w:rPr>
          <w:rFonts w:ascii="Arial" w:hAnsi="Arial" w:cs="Arial"/>
          <w:b/>
          <w:bCs/>
        </w:rPr>
        <w:t>EL CONGRESO DE COLOMBIA</w:t>
      </w:r>
    </w:p>
    <w:p w14:paraId="1A7937F5" w14:textId="77777777" w:rsidR="004F7CD0" w:rsidRPr="002966B5" w:rsidRDefault="00974B3E" w:rsidP="002966B5">
      <w:pPr>
        <w:spacing w:after="240"/>
        <w:jc w:val="center"/>
        <w:rPr>
          <w:rFonts w:ascii="Arial" w:hAnsi="Arial" w:cs="Arial"/>
        </w:rPr>
      </w:pPr>
      <w:r w:rsidRPr="002966B5">
        <w:rPr>
          <w:rFonts w:ascii="Arial" w:hAnsi="Arial" w:cs="Arial"/>
          <w:b/>
          <w:bCs/>
        </w:rPr>
        <w:t>DECRETA:</w:t>
      </w:r>
    </w:p>
    <w:p w14:paraId="37646A20" w14:textId="77777777" w:rsidR="004F7CD0" w:rsidRPr="002966B5" w:rsidRDefault="00974B3E" w:rsidP="00F46FB9">
      <w:pPr>
        <w:spacing w:after="120" w:line="276" w:lineRule="auto"/>
        <w:jc w:val="both"/>
        <w:rPr>
          <w:rFonts w:ascii="Arial" w:hAnsi="Arial" w:cs="Arial"/>
        </w:rPr>
      </w:pPr>
      <w:r w:rsidRPr="002966B5">
        <w:rPr>
          <w:rFonts w:ascii="Arial" w:hAnsi="Arial" w:cs="Arial"/>
          <w:b/>
          <w:bCs/>
        </w:rPr>
        <w:t xml:space="preserve">ARTÍCULO PRIMERO. </w:t>
      </w:r>
      <w:r w:rsidRPr="002966B5">
        <w:rPr>
          <w:rFonts w:ascii="Arial" w:hAnsi="Arial" w:cs="Arial"/>
        </w:rPr>
        <w:t>Adición al artículo 328 de la Constitución Política del siguiente tenor: “Artículo 328. (...) La ciudad de Manizales se organiza como Distrito Especial del Conocimiento, la Sostenibilidad y la Innovación”.</w:t>
      </w:r>
    </w:p>
    <w:p w14:paraId="22482957" w14:textId="77777777" w:rsidR="004F7CD0" w:rsidRPr="002966B5" w:rsidRDefault="00974B3E" w:rsidP="00F46FB9">
      <w:pPr>
        <w:spacing w:after="200" w:line="276" w:lineRule="auto"/>
        <w:jc w:val="both"/>
        <w:rPr>
          <w:rFonts w:ascii="Arial" w:hAnsi="Arial" w:cs="Arial"/>
        </w:rPr>
      </w:pPr>
      <w:r w:rsidRPr="002966B5">
        <w:rPr>
          <w:rFonts w:ascii="Arial" w:hAnsi="Arial" w:cs="Arial"/>
          <w:b/>
          <w:bCs/>
        </w:rPr>
        <w:t xml:space="preserve">PARÁGRAFO. </w:t>
      </w:r>
      <w:r w:rsidRPr="002966B5">
        <w:rPr>
          <w:rFonts w:ascii="Arial" w:hAnsi="Arial" w:cs="Arial"/>
        </w:rPr>
        <w:t>“Los municipios integrantes del Área Metropolitana del Centro Sur de Caldas y otros del departamento de Caldas estarán facultados para beneficiarse de los incentivos del Distrito Especial del Conocimiento, la Sostenibilidad y la Innovación de conformidad con la Ley que lo reglamente, y no se afectará sus funciones, competencias, recursos ni autonomía territorial”.</w:t>
      </w:r>
    </w:p>
    <w:p w14:paraId="4566AEAB" w14:textId="77777777" w:rsidR="004F7CD0" w:rsidRPr="002966B5" w:rsidRDefault="00974B3E" w:rsidP="00F46FB9">
      <w:pPr>
        <w:spacing w:after="120" w:line="276" w:lineRule="auto"/>
        <w:jc w:val="both"/>
        <w:rPr>
          <w:rFonts w:ascii="Arial" w:hAnsi="Arial" w:cs="Arial"/>
        </w:rPr>
      </w:pPr>
      <w:r w:rsidRPr="002966B5">
        <w:rPr>
          <w:rFonts w:ascii="Arial" w:hAnsi="Arial" w:cs="Arial"/>
          <w:b/>
          <w:bCs/>
        </w:rPr>
        <w:t xml:space="preserve">ARTÍCULO SEGUNDO. </w:t>
      </w:r>
      <w:r w:rsidRPr="002966B5">
        <w:rPr>
          <w:rFonts w:ascii="Arial" w:hAnsi="Arial" w:cs="Arial"/>
        </w:rPr>
        <w:t>Adición al artículo 356 de la Constitución Política, del siguiente tenor: “Artículo 356. (...) La ciudad de Manizales se organiza como Distrito Especial del Conocimiento, la Sostenibilidad y la Innovación. Su régimen político, fiscal y administrativo será el que determine la Constitución y la ley especial que para el efecto se expida”.</w:t>
      </w:r>
    </w:p>
    <w:p w14:paraId="0F47BB94" w14:textId="77777777" w:rsidR="004F7CD0" w:rsidRPr="002966B5" w:rsidRDefault="00974B3E" w:rsidP="00F46FB9">
      <w:pPr>
        <w:spacing w:after="200" w:line="276" w:lineRule="auto"/>
        <w:jc w:val="both"/>
        <w:rPr>
          <w:rFonts w:ascii="Arial" w:hAnsi="Arial" w:cs="Arial"/>
        </w:rPr>
      </w:pPr>
      <w:r w:rsidRPr="002966B5">
        <w:rPr>
          <w:rFonts w:ascii="Arial" w:hAnsi="Arial" w:cs="Arial"/>
          <w:b/>
          <w:bCs/>
        </w:rPr>
        <w:t xml:space="preserve">PARÁGRAFO. </w:t>
      </w:r>
      <w:r w:rsidRPr="002966B5">
        <w:rPr>
          <w:rFonts w:ascii="Arial" w:hAnsi="Arial" w:cs="Arial"/>
        </w:rPr>
        <w:t>La ciudad de Manizales podrá crear mecanismos adicionales a los existentes para la promoción y el desarrollo del Distrito Especial del Conocimiento, la Sostenibilidad y la Innovación, así como la creación de un fondo de desarrollo distrital para el financiamiento de los proyectos.</w:t>
      </w:r>
    </w:p>
    <w:p w14:paraId="4DF3CDFE" w14:textId="77777777" w:rsidR="004F7CD0" w:rsidRPr="002966B5" w:rsidRDefault="00974B3E" w:rsidP="00F46FB9">
      <w:pPr>
        <w:spacing w:after="200" w:line="276" w:lineRule="auto"/>
        <w:jc w:val="both"/>
        <w:rPr>
          <w:rFonts w:ascii="Arial" w:hAnsi="Arial" w:cs="Arial"/>
        </w:rPr>
      </w:pPr>
      <w:r w:rsidRPr="002966B5">
        <w:rPr>
          <w:rFonts w:ascii="Arial" w:hAnsi="Arial" w:cs="Arial"/>
          <w:b/>
          <w:bCs/>
        </w:rPr>
        <w:t xml:space="preserve">ARTÍCULO TERCERO. </w:t>
      </w:r>
      <w:r w:rsidRPr="002966B5">
        <w:rPr>
          <w:rFonts w:ascii="Arial" w:hAnsi="Arial" w:cs="Arial"/>
        </w:rPr>
        <w:t>Dentro de los seis (06) meses siguientes a la promulgación del presente Acto Legislativo, el Congreso de la República expedirá la ley que desarrolle el régimen especial del Distrito Especial del Conocimiento, la Sostenibilidad y la Innovación.</w:t>
      </w:r>
    </w:p>
    <w:p w14:paraId="1D327014" w14:textId="77777777" w:rsidR="00675ED3" w:rsidRDefault="00974B3E" w:rsidP="00675ED3">
      <w:pPr>
        <w:spacing w:after="120" w:line="240" w:lineRule="auto"/>
        <w:jc w:val="both"/>
        <w:rPr>
          <w:rFonts w:ascii="Arial" w:hAnsi="Arial" w:cs="Arial"/>
        </w:rPr>
      </w:pPr>
      <w:r w:rsidRPr="002966B5">
        <w:rPr>
          <w:rFonts w:ascii="Arial" w:hAnsi="Arial" w:cs="Arial"/>
          <w:b/>
          <w:bCs/>
        </w:rPr>
        <w:t xml:space="preserve">ARTÍCULO CUARTO. </w:t>
      </w:r>
      <w:r w:rsidRPr="002966B5">
        <w:rPr>
          <w:rFonts w:ascii="Arial" w:hAnsi="Arial" w:cs="Arial"/>
        </w:rPr>
        <w:t>Vigencia. El presente Acto Legislativo rige a partir de la fecha de su promulgación.</w:t>
      </w:r>
    </w:p>
    <w:p w14:paraId="33026AD6" w14:textId="77777777" w:rsidR="004F7CD0" w:rsidRDefault="00974B3E" w:rsidP="00675ED3">
      <w:pPr>
        <w:spacing w:after="120" w:line="240" w:lineRule="auto"/>
        <w:jc w:val="both"/>
        <w:rPr>
          <w:rFonts w:ascii="Arial" w:hAnsi="Arial" w:cs="Arial"/>
        </w:rPr>
      </w:pPr>
      <w:r w:rsidRPr="002966B5">
        <w:rPr>
          <w:rFonts w:ascii="Arial" w:hAnsi="Arial" w:cs="Arial"/>
        </w:rPr>
        <w:t>Atentamente,</w:t>
      </w:r>
    </w:p>
    <w:p w14:paraId="7EC956B9" w14:textId="77777777" w:rsidR="00675ED3" w:rsidRDefault="00675ED3" w:rsidP="00675ED3">
      <w:pPr>
        <w:spacing w:after="120" w:line="240" w:lineRule="auto"/>
        <w:jc w:val="both"/>
        <w:rPr>
          <w:rFonts w:ascii="Arial" w:hAnsi="Arial" w:cs="Arial"/>
        </w:rPr>
      </w:pPr>
    </w:p>
    <w:p w14:paraId="0D110640" w14:textId="7E57D259" w:rsidR="00B462D1" w:rsidRPr="002966B5" w:rsidRDefault="00B462D1" w:rsidP="00AB52BA">
      <w:pPr>
        <w:spacing w:after="0"/>
        <w:jc w:val="center"/>
        <w:rPr>
          <w:rFonts w:ascii="Arial" w:hAnsi="Arial" w:cs="Arial"/>
        </w:rPr>
      </w:pPr>
      <w:r w:rsidRPr="002966B5">
        <w:rPr>
          <w:rFonts w:ascii="Arial" w:hAnsi="Arial" w:cs="Arial"/>
          <w:b/>
          <w:bCs/>
        </w:rPr>
        <w:t>MANUEL</w:t>
      </w:r>
      <w:r w:rsidR="00CC1430">
        <w:rPr>
          <w:rFonts w:ascii="Arial" w:hAnsi="Arial" w:cs="Arial"/>
          <w:b/>
          <w:bCs/>
        </w:rPr>
        <w:t xml:space="preserve"> ORLANDO</w:t>
      </w:r>
      <w:r w:rsidRPr="002966B5">
        <w:rPr>
          <w:rFonts w:ascii="Arial" w:hAnsi="Arial" w:cs="Arial"/>
          <w:b/>
          <w:bCs/>
        </w:rPr>
        <w:t xml:space="preserve"> CORREA</w:t>
      </w:r>
      <w:r w:rsidR="00CC1430">
        <w:rPr>
          <w:rFonts w:ascii="Arial" w:hAnsi="Arial" w:cs="Arial"/>
          <w:b/>
          <w:bCs/>
        </w:rPr>
        <w:t xml:space="preserve"> BEDOYA</w:t>
      </w:r>
    </w:p>
    <w:p w14:paraId="61296F48" w14:textId="77777777" w:rsidR="00B462D1" w:rsidRPr="002966B5" w:rsidRDefault="00B462D1" w:rsidP="00AB52BA">
      <w:pPr>
        <w:spacing w:after="0"/>
        <w:jc w:val="center"/>
        <w:rPr>
          <w:rFonts w:ascii="Arial" w:hAnsi="Arial" w:cs="Arial"/>
        </w:rPr>
      </w:pPr>
      <w:r w:rsidRPr="002966B5">
        <w:rPr>
          <w:rFonts w:ascii="Arial" w:hAnsi="Arial" w:cs="Arial"/>
        </w:rPr>
        <w:t>Representante a la Cámara por el Departamento de Caldas</w:t>
      </w:r>
    </w:p>
    <w:p w14:paraId="0D9F198A" w14:textId="77777777" w:rsidR="00B462D1" w:rsidRPr="002966B5" w:rsidRDefault="00B462D1" w:rsidP="00AB52BA">
      <w:pPr>
        <w:spacing w:after="0"/>
        <w:jc w:val="center"/>
        <w:rPr>
          <w:rFonts w:ascii="Arial" w:hAnsi="Arial" w:cs="Arial"/>
        </w:rPr>
      </w:pPr>
      <w:r w:rsidRPr="002966B5">
        <w:rPr>
          <w:rFonts w:ascii="Arial" w:hAnsi="Arial" w:cs="Arial"/>
        </w:rPr>
        <w:t>Ponente Único</w:t>
      </w:r>
    </w:p>
    <w:p w14:paraId="1578082E" w14:textId="38DE9877" w:rsidR="00EA7EE1" w:rsidRDefault="00974B3E" w:rsidP="002313B0">
      <w:pPr>
        <w:pStyle w:val="Ttulo2"/>
        <w:jc w:val="both"/>
      </w:pPr>
      <w:r w:rsidRPr="002966B5">
        <w:br w:type="page"/>
      </w:r>
      <w:bookmarkStart w:id="18" w:name="_Toc240894043"/>
    </w:p>
    <w:p w14:paraId="6618A722" w14:textId="77777777" w:rsidR="00EA7EE1" w:rsidRDefault="00EA7EE1" w:rsidP="002313B0">
      <w:pPr>
        <w:pStyle w:val="Ttulo2"/>
        <w:jc w:val="both"/>
        <w:rPr>
          <w:rFonts w:ascii="Arial" w:hAnsi="Arial" w:cs="Arial"/>
          <w:color w:val="000000" w:themeColor="text1"/>
          <w:sz w:val="24"/>
          <w:szCs w:val="24"/>
        </w:rPr>
      </w:pPr>
    </w:p>
    <w:p w14:paraId="2BA38AB1" w14:textId="4E8BD935" w:rsidR="004F7CD0" w:rsidRPr="002313B0" w:rsidRDefault="00675ED3" w:rsidP="002313B0">
      <w:pPr>
        <w:pStyle w:val="Ttulo2"/>
        <w:jc w:val="both"/>
        <w:rPr>
          <w:rFonts w:ascii="Arial" w:hAnsi="Arial" w:cs="Arial"/>
          <w:sz w:val="24"/>
          <w:szCs w:val="24"/>
        </w:rPr>
      </w:pPr>
      <w:r w:rsidRPr="00675ED3">
        <w:rPr>
          <w:rFonts w:ascii="Arial" w:hAnsi="Arial" w:cs="Arial"/>
          <w:color w:val="000000" w:themeColor="text1"/>
          <w:sz w:val="24"/>
          <w:szCs w:val="24"/>
        </w:rPr>
        <w:t>X.</w:t>
      </w:r>
      <w:r>
        <w:t xml:space="preserve"> </w:t>
      </w:r>
      <w:r w:rsidR="002313B0" w:rsidRPr="002313B0">
        <w:rPr>
          <w:rFonts w:ascii="Arial" w:hAnsi="Arial" w:cs="Arial"/>
          <w:color w:val="000000" w:themeColor="text1"/>
          <w:sz w:val="24"/>
          <w:szCs w:val="24"/>
        </w:rPr>
        <w:t>BIBLIOGRAFÍA.</w:t>
      </w:r>
      <w:bookmarkEnd w:id="18"/>
    </w:p>
    <w:p w14:paraId="3C0C6DAF" w14:textId="77777777" w:rsidR="004F7CD0" w:rsidRPr="005A2C89" w:rsidRDefault="00974B3E" w:rsidP="005A2C89">
      <w:pPr>
        <w:pStyle w:val="Prrafodelista"/>
        <w:numPr>
          <w:ilvl w:val="0"/>
          <w:numId w:val="1"/>
        </w:numPr>
        <w:spacing w:after="80" w:line="276" w:lineRule="auto"/>
        <w:jc w:val="both"/>
        <w:rPr>
          <w:rFonts w:ascii="Arial" w:hAnsi="Arial" w:cs="Arial"/>
        </w:rPr>
      </w:pPr>
      <w:r w:rsidRPr="005A2C89">
        <w:rPr>
          <w:rFonts w:ascii="Arial" w:hAnsi="Arial" w:cs="Arial"/>
        </w:rPr>
        <w:t>Proyecto de Acto Legislativo “Por el cual se otorga la calidad de Distrito Especial del Conocimiento, la Sostenibilidad y la Innovación a la ciudad de Manizales y se dictan otras disposiciones”, radicado el 18 de agosto de 2026, y su exposición de motivos.</w:t>
      </w:r>
    </w:p>
    <w:p w14:paraId="43D8B40E" w14:textId="77777777" w:rsidR="004F7CD0" w:rsidRPr="005A2C89" w:rsidRDefault="00974B3E" w:rsidP="005A2C89">
      <w:pPr>
        <w:pStyle w:val="Prrafodelista"/>
        <w:numPr>
          <w:ilvl w:val="0"/>
          <w:numId w:val="1"/>
        </w:numPr>
        <w:spacing w:after="80" w:line="276" w:lineRule="auto"/>
        <w:jc w:val="both"/>
        <w:rPr>
          <w:rFonts w:ascii="Arial" w:hAnsi="Arial" w:cs="Arial"/>
        </w:rPr>
      </w:pPr>
      <w:r w:rsidRPr="005A2C89">
        <w:rPr>
          <w:rFonts w:ascii="Arial" w:hAnsi="Arial" w:cs="Arial"/>
        </w:rPr>
        <w:t>Análisis MIT REAP - Regional Entrepreneurship Acceleration Program, Cohorte 8, Departamento de Caldas.</w:t>
      </w:r>
    </w:p>
    <w:p w14:paraId="6B8062FC" w14:textId="77777777" w:rsidR="004F7CD0" w:rsidRPr="005A2C89" w:rsidRDefault="00974B3E" w:rsidP="005A2C89">
      <w:pPr>
        <w:pStyle w:val="Prrafodelista"/>
        <w:numPr>
          <w:ilvl w:val="0"/>
          <w:numId w:val="1"/>
        </w:numPr>
        <w:spacing w:after="80" w:line="276" w:lineRule="auto"/>
        <w:jc w:val="both"/>
        <w:rPr>
          <w:rFonts w:ascii="Arial" w:hAnsi="Arial" w:cs="Arial"/>
        </w:rPr>
      </w:pPr>
      <w:r w:rsidRPr="005A2C89">
        <w:rPr>
          <w:rFonts w:ascii="Arial" w:hAnsi="Arial" w:cs="Arial"/>
        </w:rPr>
        <w:t>Documento Técnico: “Lineamiento para una Política Pública de Ciencia, Tecnología, Innovación y Educación para el Departamento de Caldas” (2022-2032), CINDE - Secretaría de Desarrollo, Empleo e Innovación de Caldas.</w:t>
      </w:r>
    </w:p>
    <w:p w14:paraId="37625EF3" w14:textId="77777777" w:rsidR="004F7CD0" w:rsidRPr="005A2C89" w:rsidRDefault="00974B3E" w:rsidP="005A2C89">
      <w:pPr>
        <w:pStyle w:val="Prrafodelista"/>
        <w:numPr>
          <w:ilvl w:val="0"/>
          <w:numId w:val="1"/>
        </w:numPr>
        <w:spacing w:after="80" w:line="276" w:lineRule="auto"/>
        <w:jc w:val="both"/>
        <w:rPr>
          <w:rFonts w:ascii="Arial" w:hAnsi="Arial" w:cs="Arial"/>
        </w:rPr>
      </w:pPr>
      <w:r w:rsidRPr="005A2C89">
        <w:rPr>
          <w:rFonts w:ascii="Arial" w:hAnsi="Arial" w:cs="Arial"/>
        </w:rPr>
        <w:t>Ordenanza No. 952 de 2023, Asamblea Departamental de Caldas (adopción de la Política Pública de CTeI 2023-2033).</w:t>
      </w:r>
    </w:p>
    <w:p w14:paraId="53E15E6D" w14:textId="77777777" w:rsidR="004F7CD0" w:rsidRPr="005A2C89" w:rsidRDefault="00974B3E" w:rsidP="005A2C89">
      <w:pPr>
        <w:pStyle w:val="Prrafodelista"/>
        <w:numPr>
          <w:ilvl w:val="0"/>
          <w:numId w:val="1"/>
        </w:numPr>
        <w:spacing w:after="80" w:line="276" w:lineRule="auto"/>
        <w:jc w:val="both"/>
        <w:rPr>
          <w:rFonts w:ascii="Arial" w:hAnsi="Arial" w:cs="Arial"/>
        </w:rPr>
      </w:pPr>
      <w:r w:rsidRPr="005A2C89">
        <w:rPr>
          <w:rFonts w:ascii="Arial" w:hAnsi="Arial" w:cs="Arial"/>
        </w:rPr>
        <w:t>Constitución Política de Colombia, artículos 70, 71, 79, 80, 286, 287, 319, 322, 328, 356, 374 y 375.</w:t>
      </w:r>
    </w:p>
    <w:p w14:paraId="07F066C0" w14:textId="77777777" w:rsidR="004F7CD0" w:rsidRPr="005A2C89" w:rsidRDefault="00974B3E" w:rsidP="005A2C89">
      <w:pPr>
        <w:pStyle w:val="Prrafodelista"/>
        <w:numPr>
          <w:ilvl w:val="0"/>
          <w:numId w:val="1"/>
        </w:numPr>
        <w:spacing w:after="80" w:line="276" w:lineRule="auto"/>
        <w:jc w:val="both"/>
        <w:rPr>
          <w:rFonts w:ascii="Arial" w:hAnsi="Arial" w:cs="Arial"/>
        </w:rPr>
      </w:pPr>
      <w:r w:rsidRPr="005A2C89">
        <w:rPr>
          <w:rFonts w:ascii="Arial" w:hAnsi="Arial" w:cs="Arial"/>
        </w:rPr>
        <w:t>Ley 1617 de 2013; Ley 2286 de 2023; Ley 819 de 2003; Ley 2003 de 2019; Ley 5ª de 1992; Acto Legislativo 01 de 2021; Acto Legislativo 03 de 2024; Sentencias C-222 de 1997 y C-294 de 2021 de la Corte Constitucional.</w:t>
      </w:r>
    </w:p>
    <w:p w14:paraId="2CA27D7D" w14:textId="77777777" w:rsidR="004F7CD0" w:rsidRPr="005A2C89" w:rsidRDefault="00974B3E" w:rsidP="005A2C89">
      <w:pPr>
        <w:pStyle w:val="Prrafodelista"/>
        <w:numPr>
          <w:ilvl w:val="0"/>
          <w:numId w:val="1"/>
        </w:numPr>
        <w:spacing w:after="80" w:line="276" w:lineRule="auto"/>
        <w:jc w:val="both"/>
        <w:rPr>
          <w:rFonts w:ascii="Arial" w:hAnsi="Arial" w:cs="Arial"/>
        </w:rPr>
      </w:pPr>
      <w:r w:rsidRPr="005A2C89">
        <w:rPr>
          <w:rFonts w:ascii="Arial" w:hAnsi="Arial" w:cs="Arial"/>
        </w:rPr>
        <w:t>Organización territorial de Caldas: 27 municipios y 6 subregiones (DANE DIVIPOLA).</w:t>
      </w:r>
    </w:p>
    <w:sectPr w:rsidR="004F7CD0" w:rsidRPr="005A2C89">
      <w:headerReference w:type="default" r:id="rId8"/>
      <w:footerReference w:type="default" r:id="rId9"/>
      <w:pgSz w:w="12240" w:h="15840"/>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1A0C4" w14:textId="77777777" w:rsidR="005D103B" w:rsidRDefault="005D103B">
      <w:pPr>
        <w:spacing w:after="0" w:line="240" w:lineRule="auto"/>
      </w:pPr>
      <w:r>
        <w:separator/>
      </w:r>
    </w:p>
  </w:endnote>
  <w:endnote w:type="continuationSeparator" w:id="0">
    <w:p w14:paraId="4A7EE88C" w14:textId="77777777" w:rsidR="005D103B" w:rsidRDefault="005D1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CJK SC">
    <w:altName w:val="Times New Roman"/>
    <w:charset w:val="00"/>
    <w:family w:val="auto"/>
    <w:pitch w:val="default"/>
  </w:font>
  <w:font w:name="Noto Sans Mono CJK SC">
    <w:charset w:val="00"/>
    <w:family w:val="auto"/>
    <w:pitch w:val="default"/>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7FB11" w14:textId="77777777" w:rsidR="008A3EF0" w:rsidRDefault="008A3EF0">
    <w:pPr>
      <w:pStyle w:val="Piedepgina"/>
      <w:jc w:val="center"/>
    </w:pPr>
    <w:r>
      <w:fldChar w:fldCharType="begin"/>
    </w:r>
    <w:r>
      <w:instrText xml:space="preserve"> PAGE </w:instrText>
    </w:r>
    <w:r>
      <w:fldChar w:fldCharType="separate"/>
    </w:r>
    <w:r w:rsidR="007E50C6">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6674D" w14:textId="77777777" w:rsidR="005D103B" w:rsidRDefault="005D103B">
      <w:pPr>
        <w:spacing w:after="0" w:line="240" w:lineRule="auto"/>
      </w:pPr>
      <w:r>
        <w:separator/>
      </w:r>
    </w:p>
  </w:footnote>
  <w:footnote w:type="continuationSeparator" w:id="0">
    <w:p w14:paraId="59766483" w14:textId="77777777" w:rsidR="005D103B" w:rsidRDefault="005D1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9B67F" w14:textId="77777777" w:rsidR="008A3EF0" w:rsidRDefault="008A3EF0">
    <w:pPr>
      <w:pStyle w:val="Encabezado"/>
    </w:pPr>
    <w:r w:rsidRPr="00010A48">
      <w:rPr>
        <w:noProof/>
        <w:lang w:val="es-CO"/>
      </w:rPr>
      <w:drawing>
        <wp:anchor distT="0" distB="0" distL="114300" distR="114300" simplePos="0" relativeHeight="251660288" behindDoc="0" locked="0" layoutInCell="1" allowOverlap="1" wp14:anchorId="6E67B7A9" wp14:editId="1BFDB892">
          <wp:simplePos x="0" y="0"/>
          <wp:positionH relativeFrom="column">
            <wp:posOffset>5086968</wp:posOffset>
          </wp:positionH>
          <wp:positionV relativeFrom="paragraph">
            <wp:posOffset>-339073</wp:posOffset>
          </wp:positionV>
          <wp:extent cx="1197610" cy="738505"/>
          <wp:effectExtent l="0" t="0" r="0" b="0"/>
          <wp:wrapThrough wrapText="bothSides">
            <wp:wrapPolygon edited="0">
              <wp:start x="0" y="0"/>
              <wp:lineTo x="0" y="21173"/>
              <wp:lineTo x="21302" y="21173"/>
              <wp:lineTo x="21302" y="0"/>
              <wp:lineTo x="0" y="0"/>
            </wp:wrapPolygon>
          </wp:wrapThrough>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36836" name="Imagen 691436836"/>
                  <pic:cNvPicPr/>
                </pic:nvPicPr>
                <pic:blipFill>
                  <a:blip r:embed="rId1">
                    <a:extLst>
                      <a:ext uri="{28A0092B-C50C-407E-A947-70E740481C1C}">
                        <a14:useLocalDpi xmlns:a14="http://schemas.microsoft.com/office/drawing/2010/main" val="0"/>
                      </a:ext>
                    </a:extLst>
                  </a:blip>
                  <a:stretch>
                    <a:fillRect/>
                  </a:stretch>
                </pic:blipFill>
                <pic:spPr>
                  <a:xfrm>
                    <a:off x="0" y="0"/>
                    <a:ext cx="1197610" cy="738505"/>
                  </a:xfrm>
                  <a:prstGeom prst="rect">
                    <a:avLst/>
                  </a:prstGeom>
                </pic:spPr>
              </pic:pic>
            </a:graphicData>
          </a:graphic>
          <wp14:sizeRelH relativeFrom="page">
            <wp14:pctWidth>0</wp14:pctWidth>
          </wp14:sizeRelH>
          <wp14:sizeRelV relativeFrom="page">
            <wp14:pctHeight>0</wp14:pctHeight>
          </wp14:sizeRelV>
        </wp:anchor>
      </w:drawing>
    </w:r>
    <w:r w:rsidRPr="00010A48">
      <w:rPr>
        <w:noProof/>
        <w:lang w:val="es-CO"/>
      </w:rPr>
      <w:drawing>
        <wp:anchor distT="0" distB="0" distL="114300" distR="114300" simplePos="0" relativeHeight="251659264" behindDoc="0" locked="0" layoutInCell="1" allowOverlap="1" wp14:anchorId="6F9E7B59" wp14:editId="2DEEFC05">
          <wp:simplePos x="0" y="0"/>
          <wp:positionH relativeFrom="column">
            <wp:posOffset>0</wp:posOffset>
          </wp:positionH>
          <wp:positionV relativeFrom="paragraph">
            <wp:posOffset>-309965</wp:posOffset>
          </wp:positionV>
          <wp:extent cx="2063750" cy="708660"/>
          <wp:effectExtent l="0" t="0" r="0" b="0"/>
          <wp:wrapNone/>
          <wp:docPr id="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63750" cy="7086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4345"/>
    <w:multiLevelType w:val="hybridMultilevel"/>
    <w:tmpl w:val="C608C5C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9871FEC"/>
    <w:multiLevelType w:val="multilevel"/>
    <w:tmpl w:val="BACA6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0E4C3F"/>
    <w:multiLevelType w:val="multilevel"/>
    <w:tmpl w:val="BC440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C549F2"/>
    <w:multiLevelType w:val="hybridMultilevel"/>
    <w:tmpl w:val="40D45570"/>
    <w:lvl w:ilvl="0" w:tplc="18CEF932">
      <w:start w:val="1"/>
      <w:numFmt w:val="bullet"/>
      <w:lvlText w:val="•"/>
      <w:lvlJc w:val="left"/>
      <w:pPr>
        <w:ind w:left="720" w:hanging="360"/>
      </w:pPr>
    </w:lvl>
    <w:lvl w:ilvl="1" w:tplc="A06E2222">
      <w:start w:val="1"/>
      <w:numFmt w:val="bullet"/>
      <w:lvlText w:val="◦"/>
      <w:lvlJc w:val="left"/>
      <w:pPr>
        <w:ind w:left="1440" w:hanging="360"/>
      </w:pPr>
    </w:lvl>
    <w:lvl w:ilvl="2" w:tplc="B8342834">
      <w:start w:val="1"/>
      <w:numFmt w:val="bullet"/>
      <w:lvlText w:val="▪"/>
      <w:lvlJc w:val="left"/>
      <w:pPr>
        <w:ind w:left="2160" w:hanging="360"/>
      </w:pPr>
    </w:lvl>
    <w:lvl w:ilvl="3" w:tplc="A3CA1D62">
      <w:start w:val="1"/>
      <w:numFmt w:val="bullet"/>
      <w:lvlText w:val="•"/>
      <w:lvlJc w:val="left"/>
      <w:pPr>
        <w:ind w:left="2880" w:hanging="360"/>
      </w:pPr>
    </w:lvl>
    <w:lvl w:ilvl="4" w:tplc="B5366D4A">
      <w:start w:val="1"/>
      <w:numFmt w:val="bullet"/>
      <w:lvlText w:val="◦"/>
      <w:lvlJc w:val="left"/>
      <w:pPr>
        <w:ind w:left="3600" w:hanging="360"/>
      </w:pPr>
    </w:lvl>
    <w:lvl w:ilvl="5" w:tplc="32E8479A">
      <w:start w:val="1"/>
      <w:numFmt w:val="bullet"/>
      <w:lvlText w:val="▪"/>
      <w:lvlJc w:val="left"/>
      <w:pPr>
        <w:ind w:left="4320" w:hanging="360"/>
      </w:pPr>
    </w:lvl>
    <w:lvl w:ilvl="6" w:tplc="65443FCE">
      <w:start w:val="1"/>
      <w:numFmt w:val="bullet"/>
      <w:lvlText w:val="•"/>
      <w:lvlJc w:val="left"/>
      <w:pPr>
        <w:ind w:left="5040" w:hanging="360"/>
      </w:pPr>
    </w:lvl>
    <w:lvl w:ilvl="7" w:tplc="105846C6">
      <w:start w:val="1"/>
      <w:numFmt w:val="bullet"/>
      <w:lvlText w:val="◦"/>
      <w:lvlJc w:val="left"/>
      <w:pPr>
        <w:ind w:left="5760" w:hanging="360"/>
      </w:pPr>
    </w:lvl>
    <w:lvl w:ilvl="8" w:tplc="A49EED06">
      <w:start w:val="1"/>
      <w:numFmt w:val="bullet"/>
      <w:lvlText w:val="▪"/>
      <w:lvlJc w:val="left"/>
      <w:pPr>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CD0"/>
    <w:rsid w:val="000A3D6A"/>
    <w:rsid w:val="0016658A"/>
    <w:rsid w:val="00176754"/>
    <w:rsid w:val="0019336E"/>
    <w:rsid w:val="001B3F32"/>
    <w:rsid w:val="001C2008"/>
    <w:rsid w:val="001C40F7"/>
    <w:rsid w:val="001C4EFE"/>
    <w:rsid w:val="001D5DB3"/>
    <w:rsid w:val="00225AC6"/>
    <w:rsid w:val="002313B0"/>
    <w:rsid w:val="0023777E"/>
    <w:rsid w:val="0029469D"/>
    <w:rsid w:val="002966B5"/>
    <w:rsid w:val="002B0E2C"/>
    <w:rsid w:val="002D4ED9"/>
    <w:rsid w:val="00300DB6"/>
    <w:rsid w:val="003108B3"/>
    <w:rsid w:val="00342443"/>
    <w:rsid w:val="0037462C"/>
    <w:rsid w:val="0037470C"/>
    <w:rsid w:val="003827C7"/>
    <w:rsid w:val="003B6802"/>
    <w:rsid w:val="003D16B1"/>
    <w:rsid w:val="004053A5"/>
    <w:rsid w:val="00447268"/>
    <w:rsid w:val="004561D4"/>
    <w:rsid w:val="004575B5"/>
    <w:rsid w:val="0049377B"/>
    <w:rsid w:val="004C3B3B"/>
    <w:rsid w:val="004C7F09"/>
    <w:rsid w:val="004F0BE8"/>
    <w:rsid w:val="004F7CD0"/>
    <w:rsid w:val="00500AF9"/>
    <w:rsid w:val="00536832"/>
    <w:rsid w:val="0054202A"/>
    <w:rsid w:val="00557A01"/>
    <w:rsid w:val="00595F4A"/>
    <w:rsid w:val="005A2C89"/>
    <w:rsid w:val="005B7DCC"/>
    <w:rsid w:val="005D103B"/>
    <w:rsid w:val="005F09D8"/>
    <w:rsid w:val="006033EF"/>
    <w:rsid w:val="00627107"/>
    <w:rsid w:val="00670130"/>
    <w:rsid w:val="00675ED3"/>
    <w:rsid w:val="006A3535"/>
    <w:rsid w:val="00715301"/>
    <w:rsid w:val="00720599"/>
    <w:rsid w:val="00737E52"/>
    <w:rsid w:val="00790D6E"/>
    <w:rsid w:val="007E46F0"/>
    <w:rsid w:val="007E50C6"/>
    <w:rsid w:val="007F644F"/>
    <w:rsid w:val="00833DB0"/>
    <w:rsid w:val="00867D43"/>
    <w:rsid w:val="00887A5A"/>
    <w:rsid w:val="00895E11"/>
    <w:rsid w:val="008A3EF0"/>
    <w:rsid w:val="008B0504"/>
    <w:rsid w:val="008C3AC5"/>
    <w:rsid w:val="0092525A"/>
    <w:rsid w:val="00932603"/>
    <w:rsid w:val="009354DB"/>
    <w:rsid w:val="00966D27"/>
    <w:rsid w:val="009749D0"/>
    <w:rsid w:val="00974B3E"/>
    <w:rsid w:val="009F4F17"/>
    <w:rsid w:val="009F6DC7"/>
    <w:rsid w:val="009F7F5F"/>
    <w:rsid w:val="00A12D15"/>
    <w:rsid w:val="00A2132A"/>
    <w:rsid w:val="00A53966"/>
    <w:rsid w:val="00AA0CD7"/>
    <w:rsid w:val="00AB52BA"/>
    <w:rsid w:val="00AF4047"/>
    <w:rsid w:val="00B462D1"/>
    <w:rsid w:val="00B46CF5"/>
    <w:rsid w:val="00B51132"/>
    <w:rsid w:val="00C302BC"/>
    <w:rsid w:val="00C47BC9"/>
    <w:rsid w:val="00C53AC1"/>
    <w:rsid w:val="00CA3A1B"/>
    <w:rsid w:val="00CC1430"/>
    <w:rsid w:val="00CF392C"/>
    <w:rsid w:val="00D70E4D"/>
    <w:rsid w:val="00D725B1"/>
    <w:rsid w:val="00DA369E"/>
    <w:rsid w:val="00DA40FD"/>
    <w:rsid w:val="00DA5100"/>
    <w:rsid w:val="00DE6BD4"/>
    <w:rsid w:val="00DE7877"/>
    <w:rsid w:val="00DE7D65"/>
    <w:rsid w:val="00E820A9"/>
    <w:rsid w:val="00E875CC"/>
    <w:rsid w:val="00EA7EE1"/>
    <w:rsid w:val="00EC7642"/>
    <w:rsid w:val="00EC76A8"/>
    <w:rsid w:val="00EE7E78"/>
    <w:rsid w:val="00EF2044"/>
    <w:rsid w:val="00F02CD4"/>
    <w:rsid w:val="00F054FB"/>
    <w:rsid w:val="00F41E7C"/>
    <w:rsid w:val="00F46FB9"/>
    <w:rsid w:val="00FB7D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E8253"/>
  <w15:docId w15:val="{F71992D5-2F62-41BA-BCC7-7B18022BB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Noto Sans CJK SC" w:hAnsi="Calibri" w:cs="Calibri"/>
        <w:sz w:val="22"/>
        <w:szCs w:val="22"/>
        <w:lang w:val="es-ES"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sz w:val="24"/>
      <w:szCs w:val="24"/>
    </w:rPr>
  </w:style>
  <w:style w:type="paragraph" w:styleId="Ttulo1">
    <w:name w:val="heading 1"/>
    <w:basedOn w:val="Normal"/>
    <w:qFormat/>
    <w:pPr>
      <w:keepNext/>
      <w:keepLines/>
      <w:spacing w:before="240" w:after="80"/>
      <w:outlineLvl w:val="0"/>
    </w:pPr>
    <w:rPr>
      <w:b/>
      <w:bCs/>
      <w:color w:val="2F5496"/>
      <w:sz w:val="32"/>
      <w:szCs w:val="32"/>
    </w:rPr>
  </w:style>
  <w:style w:type="paragraph" w:styleId="Ttulo2">
    <w:name w:val="heading 2"/>
    <w:basedOn w:val="Normal"/>
    <w:qFormat/>
    <w:pPr>
      <w:keepNext/>
      <w:keepLines/>
      <w:spacing w:before="200" w:after="80"/>
      <w:outlineLvl w:val="1"/>
    </w:pPr>
    <w:rPr>
      <w:b/>
      <w:bCs/>
      <w:color w:val="2F5496"/>
      <w:sz w:val="26"/>
      <w:szCs w:val="26"/>
    </w:rPr>
  </w:style>
  <w:style w:type="paragraph" w:styleId="Ttulo3">
    <w:name w:val="heading 3"/>
    <w:basedOn w:val="Normal"/>
    <w:qFormat/>
    <w:pPr>
      <w:keepNext/>
      <w:keepLines/>
      <w:spacing w:before="160" w:after="80"/>
      <w:outlineLvl w:val="2"/>
    </w:pPr>
    <w:rPr>
      <w:b/>
      <w:bCs/>
      <w:color w:val="1F3864"/>
    </w:rPr>
  </w:style>
  <w:style w:type="paragraph" w:styleId="Ttulo4">
    <w:name w:val="heading 4"/>
    <w:basedOn w:val="Normal"/>
    <w:qFormat/>
    <w:pPr>
      <w:keepNext/>
      <w:keepLines/>
      <w:spacing w:before="160" w:after="40"/>
      <w:outlineLvl w:val="3"/>
    </w:pPr>
    <w:rPr>
      <w:b/>
      <w:bCs/>
      <w:i/>
      <w:iCs/>
      <w:color w:val="2F5496"/>
      <w:sz w:val="22"/>
      <w:szCs w:val="22"/>
    </w:rPr>
  </w:style>
  <w:style w:type="paragraph" w:styleId="Ttulo5">
    <w:name w:val="heading 5"/>
    <w:basedOn w:val="Normal"/>
    <w:qFormat/>
    <w:pPr>
      <w:keepNext/>
      <w:keepLines/>
      <w:spacing w:before="120" w:after="40"/>
      <w:outlineLvl w:val="4"/>
    </w:pPr>
    <w:rPr>
      <w:b/>
      <w:bCs/>
      <w:color w:val="1F3864"/>
      <w:sz w:val="22"/>
      <w:szCs w:val="22"/>
    </w:rPr>
  </w:style>
  <w:style w:type="paragraph" w:styleId="Ttulo6">
    <w:name w:val="heading 6"/>
    <w:basedOn w:val="Normal"/>
    <w:qFormat/>
    <w:pPr>
      <w:keepNext/>
      <w:keepLines/>
      <w:spacing w:before="120" w:after="40"/>
      <w:outlineLvl w:val="5"/>
    </w:pPr>
    <w:rPr>
      <w:i/>
      <w:iCs/>
      <w:color w:val="1F3864"/>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spacing w:after="120"/>
    </w:pPr>
    <w:rPr>
      <w:sz w:val="56"/>
      <w:szCs w:val="56"/>
    </w:rPr>
  </w:style>
  <w:style w:type="paragraph" w:styleId="Subttulo">
    <w:name w:val="Subtitle"/>
    <w:basedOn w:val="Normal"/>
    <w:qFormat/>
    <w:rPr>
      <w:color w:val="595959"/>
      <w:sz w:val="28"/>
      <w:szCs w:val="28"/>
    </w:rPr>
  </w:style>
  <w:style w:type="paragraph" w:styleId="Cita">
    <w:name w:val="Quote"/>
    <w:basedOn w:val="Normal"/>
    <w:qFormat/>
    <w:pPr>
      <w:pBdr>
        <w:left w:val="single" w:sz="24" w:space="8" w:color="CCCCCC"/>
      </w:pBdr>
      <w:spacing w:before="80"/>
      <w:ind w:left="360"/>
    </w:pPr>
    <w:rPr>
      <w:color w:val="595959"/>
    </w:rPr>
  </w:style>
  <w:style w:type="paragraph" w:customStyle="1" w:styleId="Code">
    <w:name w:val="Code"/>
    <w:basedOn w:val="Normal"/>
    <w:qFormat/>
    <w:pPr>
      <w:keepLines/>
      <w:shd w:val="clear" w:color="auto" w:fill="F2F2F2"/>
      <w:spacing w:before="120" w:after="120" w:line="240" w:lineRule="auto"/>
    </w:pPr>
    <w:rPr>
      <w:rFonts w:ascii="Courier New" w:eastAsia="Noto Sans Mono CJK SC" w:hAnsi="Courier New" w:cs="Courier New"/>
      <w:sz w:val="19"/>
      <w:szCs w:val="19"/>
    </w:rPr>
  </w:style>
  <w:style w:type="character" w:customStyle="1" w:styleId="CodeChar">
    <w:name w:val="Code Char"/>
    <w:rPr>
      <w:rFonts w:ascii="Courier New" w:eastAsia="Noto Sans Mono CJK SC" w:hAnsi="Courier New" w:cs="Courier New"/>
      <w:shd w:val="clear" w:color="auto" w:fill="F2F2F2"/>
    </w:rPr>
  </w:style>
  <w:style w:type="paragraph" w:styleId="Prrafodelista">
    <w:name w:val="List Paragraph"/>
    <w:basedOn w:val="Normal"/>
    <w:qFormat/>
    <w:pPr>
      <w:ind w:left="720"/>
      <w:contextualSpacing/>
    </w:pPr>
  </w:style>
  <w:style w:type="character" w:styleId="Hipervnculo">
    <w:name w:val="Hyperlink"/>
    <w:uiPriority w:val="99"/>
    <w:rPr>
      <w:color w:val="0563C1"/>
      <w:u w:val="single"/>
    </w:rPr>
  </w:style>
  <w:style w:type="paragraph" w:styleId="Encabezado">
    <w:name w:val="header"/>
    <w:basedOn w:val="Normal"/>
    <w:qFormat/>
    <w:pPr>
      <w:spacing w:after="0"/>
    </w:pPr>
  </w:style>
  <w:style w:type="paragraph" w:styleId="Piedepgina">
    <w:name w:val="footer"/>
    <w:basedOn w:val="Normal"/>
    <w:qFormat/>
    <w:pPr>
      <w:spacing w:after="0"/>
    </w:pPr>
  </w:style>
  <w:style w:type="paragraph" w:styleId="TtuloTDC">
    <w:name w:val="TOC Heading"/>
    <w:basedOn w:val="Normal"/>
    <w:uiPriority w:val="39"/>
    <w:qFormat/>
    <w:pPr>
      <w:keepNext/>
      <w:spacing w:before="240" w:after="80"/>
    </w:pPr>
    <w:rPr>
      <w:b/>
      <w:bCs/>
      <w:color w:val="2F5496"/>
      <w:sz w:val="32"/>
      <w:szCs w:val="32"/>
    </w:rPr>
  </w:style>
  <w:style w:type="paragraph" w:styleId="Textonotapie">
    <w:name w:val="footnote text"/>
    <w:basedOn w:val="Normal"/>
    <w:qFormat/>
    <w:pPr>
      <w:spacing w:after="0" w:line="240" w:lineRule="auto"/>
    </w:pPr>
    <w:rPr>
      <w:sz w:val="18"/>
      <w:szCs w:val="18"/>
    </w:rPr>
  </w:style>
  <w:style w:type="character" w:styleId="Refdenotaalpie">
    <w:name w:val="footnote reference"/>
    <w:rPr>
      <w:vertAlign w:val="superscript"/>
    </w:rPr>
  </w:style>
  <w:style w:type="paragraph" w:styleId="Textonotaalfinal">
    <w:name w:val="endnote text"/>
    <w:basedOn w:val="Normal"/>
    <w:qFormat/>
    <w:pPr>
      <w:spacing w:after="0" w:line="240" w:lineRule="auto"/>
    </w:pPr>
    <w:rPr>
      <w:sz w:val="18"/>
      <w:szCs w:val="18"/>
    </w:rPr>
  </w:style>
  <w:style w:type="character" w:styleId="Refdenotaalfinal">
    <w:name w:val="endnote reference"/>
    <w:rPr>
      <w:vertAlign w:val="superscript"/>
    </w:rPr>
  </w:style>
  <w:style w:type="paragraph" w:styleId="Descripcin">
    <w:name w:val="caption"/>
    <w:basedOn w:val="Normal"/>
    <w:qFormat/>
    <w:pPr>
      <w:keepNext/>
      <w:spacing w:after="200"/>
    </w:pPr>
    <w:rPr>
      <w:i/>
      <w:iCs/>
      <w:color w:val="44546A"/>
      <w:sz w:val="18"/>
      <w:szCs w:val="18"/>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cion">
    <w:name w:val="Seccion"/>
    <w:basedOn w:val="Normal"/>
    <w:qFormat/>
    <w:pPr>
      <w:keepNext/>
      <w:spacing w:before="320" w:after="200"/>
      <w:jc w:val="center"/>
    </w:pPr>
    <w:rPr>
      <w:b/>
      <w:bCs/>
    </w:rPr>
  </w:style>
  <w:style w:type="paragraph" w:customStyle="1" w:styleId="SubSeccion">
    <w:name w:val="SubSeccion"/>
    <w:basedOn w:val="Normal"/>
    <w:qFormat/>
    <w:pPr>
      <w:keepNext/>
      <w:spacing w:before="200" w:after="120"/>
    </w:pPr>
    <w:rPr>
      <w:b/>
      <w:bCs/>
    </w:rPr>
  </w:style>
  <w:style w:type="paragraph" w:customStyle="1" w:styleId="x1yc453h">
    <w:name w:val="x1yc453h"/>
    <w:basedOn w:val="Normal"/>
    <w:rsid w:val="00176754"/>
    <w:pPr>
      <w:spacing w:before="100" w:beforeAutospacing="1" w:after="100" w:afterAutospacing="1" w:line="240" w:lineRule="auto"/>
    </w:pPr>
    <w:rPr>
      <w:rFonts w:eastAsia="Times New Roman"/>
      <w:lang w:val="es-CO" w:eastAsia="es-MX"/>
    </w:rPr>
  </w:style>
  <w:style w:type="character" w:customStyle="1" w:styleId="apple-converted-space">
    <w:name w:val="apple-converted-space"/>
    <w:basedOn w:val="Fuentedeprrafopredeter"/>
    <w:rsid w:val="00176754"/>
  </w:style>
  <w:style w:type="character" w:styleId="Textoennegrita">
    <w:name w:val="Strong"/>
    <w:basedOn w:val="Fuentedeprrafopredeter"/>
    <w:uiPriority w:val="22"/>
    <w:qFormat/>
    <w:rsid w:val="00176754"/>
    <w:rPr>
      <w:b/>
      <w:bCs/>
    </w:rPr>
  </w:style>
  <w:style w:type="paragraph" w:styleId="NormalWeb">
    <w:name w:val="Normal (Web)"/>
    <w:basedOn w:val="Normal"/>
    <w:uiPriority w:val="99"/>
    <w:semiHidden/>
    <w:unhideWhenUsed/>
    <w:rsid w:val="006A3535"/>
    <w:pPr>
      <w:spacing w:before="100" w:beforeAutospacing="1" w:after="100" w:afterAutospacing="1" w:line="240" w:lineRule="auto"/>
    </w:pPr>
    <w:rPr>
      <w:rFonts w:eastAsia="Times New Roman"/>
      <w:lang w:val="es-CO" w:eastAsia="es-MX"/>
    </w:rPr>
  </w:style>
  <w:style w:type="paragraph" w:styleId="Textoindependiente">
    <w:name w:val="Body Text"/>
    <w:basedOn w:val="Normal"/>
    <w:link w:val="TextoindependienteCar"/>
    <w:uiPriority w:val="1"/>
    <w:qFormat/>
    <w:rsid w:val="001C40F7"/>
    <w:pPr>
      <w:widowControl w:val="0"/>
      <w:autoSpaceDE w:val="0"/>
      <w:autoSpaceDN w:val="0"/>
      <w:spacing w:after="0" w:line="240" w:lineRule="auto"/>
    </w:pPr>
    <w:rPr>
      <w:rFonts w:ascii="Arial MT" w:eastAsia="Arial MT" w:hAnsi="Arial MT" w:cs="Arial MT"/>
      <w:sz w:val="15"/>
      <w:szCs w:val="15"/>
      <w:lang w:eastAsia="en-US"/>
    </w:rPr>
  </w:style>
  <w:style w:type="character" w:customStyle="1" w:styleId="TextoindependienteCar">
    <w:name w:val="Texto independiente Car"/>
    <w:basedOn w:val="Fuentedeprrafopredeter"/>
    <w:link w:val="Textoindependiente"/>
    <w:uiPriority w:val="1"/>
    <w:rsid w:val="001C40F7"/>
    <w:rPr>
      <w:rFonts w:ascii="Arial MT" w:eastAsia="Arial MT" w:hAnsi="Arial MT" w:cs="Arial MT"/>
      <w:sz w:val="15"/>
      <w:szCs w:val="15"/>
      <w:lang w:eastAsia="en-US"/>
    </w:rPr>
  </w:style>
  <w:style w:type="paragraph" w:styleId="TDC2">
    <w:name w:val="toc 2"/>
    <w:basedOn w:val="Normal"/>
    <w:next w:val="Normal"/>
    <w:autoRedefine/>
    <w:uiPriority w:val="39"/>
    <w:unhideWhenUsed/>
    <w:rsid w:val="002966B5"/>
    <w:pPr>
      <w:spacing w:after="100"/>
      <w:ind w:left="240"/>
    </w:pPr>
  </w:style>
  <w:style w:type="paragraph" w:styleId="TDC3">
    <w:name w:val="toc 3"/>
    <w:basedOn w:val="Normal"/>
    <w:next w:val="Normal"/>
    <w:autoRedefine/>
    <w:uiPriority w:val="39"/>
    <w:unhideWhenUsed/>
    <w:rsid w:val="002966B5"/>
    <w:pPr>
      <w:spacing w:after="100"/>
      <w:ind w:left="480"/>
    </w:pPr>
  </w:style>
  <w:style w:type="character" w:customStyle="1" w:styleId="inqyif">
    <w:name w:val="inqyif"/>
    <w:basedOn w:val="Fuentedeprrafopredeter"/>
    <w:rsid w:val="0054202A"/>
  </w:style>
  <w:style w:type="character" w:customStyle="1" w:styleId="citation-15">
    <w:name w:val="citation-15"/>
    <w:basedOn w:val="Fuentedeprrafopredeter"/>
    <w:rsid w:val="0054202A"/>
  </w:style>
  <w:style w:type="character" w:customStyle="1" w:styleId="citation-14">
    <w:name w:val="citation-14"/>
    <w:basedOn w:val="Fuentedeprrafopredeter"/>
    <w:rsid w:val="0054202A"/>
  </w:style>
  <w:style w:type="character" w:customStyle="1" w:styleId="citation-13">
    <w:name w:val="citation-13"/>
    <w:basedOn w:val="Fuentedeprrafopredeter"/>
    <w:rsid w:val="0054202A"/>
  </w:style>
  <w:style w:type="character" w:customStyle="1" w:styleId="citation-12">
    <w:name w:val="citation-12"/>
    <w:basedOn w:val="Fuentedeprrafopredeter"/>
    <w:rsid w:val="00542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98599">
      <w:bodyDiv w:val="1"/>
      <w:marLeft w:val="0"/>
      <w:marRight w:val="0"/>
      <w:marTop w:val="0"/>
      <w:marBottom w:val="0"/>
      <w:divBdr>
        <w:top w:val="none" w:sz="0" w:space="0" w:color="auto"/>
        <w:left w:val="none" w:sz="0" w:space="0" w:color="auto"/>
        <w:bottom w:val="none" w:sz="0" w:space="0" w:color="auto"/>
        <w:right w:val="none" w:sz="0" w:space="0" w:color="auto"/>
      </w:divBdr>
      <w:divsChild>
        <w:div w:id="1169826734">
          <w:marLeft w:val="0"/>
          <w:marRight w:val="0"/>
          <w:marTop w:val="360"/>
          <w:marBottom w:val="180"/>
          <w:divBdr>
            <w:top w:val="none" w:sz="0" w:space="0" w:color="auto"/>
            <w:left w:val="none" w:sz="0" w:space="0" w:color="auto"/>
            <w:bottom w:val="none" w:sz="0" w:space="0" w:color="auto"/>
            <w:right w:val="none" w:sz="0" w:space="0" w:color="auto"/>
          </w:divBdr>
        </w:div>
      </w:divsChild>
    </w:div>
    <w:div w:id="679356259">
      <w:bodyDiv w:val="1"/>
      <w:marLeft w:val="0"/>
      <w:marRight w:val="0"/>
      <w:marTop w:val="0"/>
      <w:marBottom w:val="0"/>
      <w:divBdr>
        <w:top w:val="none" w:sz="0" w:space="0" w:color="auto"/>
        <w:left w:val="none" w:sz="0" w:space="0" w:color="auto"/>
        <w:bottom w:val="none" w:sz="0" w:space="0" w:color="auto"/>
        <w:right w:val="none" w:sz="0" w:space="0" w:color="auto"/>
      </w:divBdr>
    </w:div>
    <w:div w:id="845244360">
      <w:bodyDiv w:val="1"/>
      <w:marLeft w:val="0"/>
      <w:marRight w:val="0"/>
      <w:marTop w:val="0"/>
      <w:marBottom w:val="0"/>
      <w:divBdr>
        <w:top w:val="none" w:sz="0" w:space="0" w:color="auto"/>
        <w:left w:val="none" w:sz="0" w:space="0" w:color="auto"/>
        <w:bottom w:val="none" w:sz="0" w:space="0" w:color="auto"/>
        <w:right w:val="none" w:sz="0" w:space="0" w:color="auto"/>
      </w:divBdr>
    </w:div>
    <w:div w:id="1327172142">
      <w:bodyDiv w:val="1"/>
      <w:marLeft w:val="0"/>
      <w:marRight w:val="0"/>
      <w:marTop w:val="0"/>
      <w:marBottom w:val="0"/>
      <w:divBdr>
        <w:top w:val="none" w:sz="0" w:space="0" w:color="auto"/>
        <w:left w:val="none" w:sz="0" w:space="0" w:color="auto"/>
        <w:bottom w:val="none" w:sz="0" w:space="0" w:color="auto"/>
        <w:right w:val="none" w:sz="0" w:space="0" w:color="auto"/>
      </w:divBdr>
    </w:div>
    <w:div w:id="1518351038">
      <w:bodyDiv w:val="1"/>
      <w:marLeft w:val="0"/>
      <w:marRight w:val="0"/>
      <w:marTop w:val="0"/>
      <w:marBottom w:val="0"/>
      <w:divBdr>
        <w:top w:val="none" w:sz="0" w:space="0" w:color="auto"/>
        <w:left w:val="none" w:sz="0" w:space="0" w:color="auto"/>
        <w:bottom w:val="none" w:sz="0" w:space="0" w:color="auto"/>
        <w:right w:val="none" w:sz="0" w:space="0" w:color="auto"/>
      </w:divBdr>
    </w:div>
    <w:div w:id="1835103098">
      <w:bodyDiv w:val="1"/>
      <w:marLeft w:val="0"/>
      <w:marRight w:val="0"/>
      <w:marTop w:val="0"/>
      <w:marBottom w:val="0"/>
      <w:divBdr>
        <w:top w:val="none" w:sz="0" w:space="0" w:color="auto"/>
        <w:left w:val="none" w:sz="0" w:space="0" w:color="auto"/>
        <w:bottom w:val="none" w:sz="0" w:space="0" w:color="auto"/>
        <w:right w:val="none" w:sz="0" w:space="0" w:color="auto"/>
      </w:divBdr>
    </w:div>
    <w:div w:id="1896309119">
      <w:bodyDiv w:val="1"/>
      <w:marLeft w:val="0"/>
      <w:marRight w:val="0"/>
      <w:marTop w:val="0"/>
      <w:marBottom w:val="0"/>
      <w:divBdr>
        <w:top w:val="none" w:sz="0" w:space="0" w:color="auto"/>
        <w:left w:val="none" w:sz="0" w:space="0" w:color="auto"/>
        <w:bottom w:val="none" w:sz="0" w:space="0" w:color="auto"/>
        <w:right w:val="none" w:sz="0" w:space="0" w:color="auto"/>
      </w:divBdr>
    </w:div>
    <w:div w:id="1913392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29C54-354E-4C33-A4BC-ED2647740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23</Pages>
  <Words>8312</Words>
  <Characters>45718</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Informe de Ponencia para Primer Debate - PAL 244 de 2026 Camara (Manizales)</vt:lpstr>
    </vt:vector>
  </TitlesOfParts>
  <Company>HP Inc.</Company>
  <LinksUpToDate>false</LinksUpToDate>
  <CharactersWithSpaces>53923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Ponencia para Primer Debate - PAL 244 de 2026 Camara (Manizales)</dc:title>
  <dc:creator>gendocx</dc:creator>
  <cp:lastModifiedBy>Eliana Lopez Moscoso</cp:lastModifiedBy>
  <cp:revision>18</cp:revision>
  <cp:lastPrinted>2026-09-21T21:04:00Z</cp:lastPrinted>
  <dcterms:created xsi:type="dcterms:W3CDTF">2026-09-21T20:27:00Z</dcterms:created>
  <dcterms:modified xsi:type="dcterms:W3CDTF">2026-09-21T22:38:00Z</dcterms:modified>
</cp:coreProperties>
</file>