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A60718" w14:textId="1E0E21BA" w:rsidR="001D7B07" w:rsidRDefault="008C664A">
      <w:pPr>
        <w:spacing w:before="700" w:after="40"/>
        <w:rPr>
          <w:sz w:val="20"/>
        </w:rPr>
      </w:pPr>
      <w:r w:rsidRPr="00631A63">
        <w:rPr>
          <w:sz w:val="20"/>
        </w:rPr>
        <w:t>Bogotá, D. C.,</w:t>
      </w:r>
      <w:r w:rsidR="00631A63">
        <w:rPr>
          <w:sz w:val="20"/>
        </w:rPr>
        <w:t xml:space="preserve"> 16 de septiembre de 2026.</w:t>
      </w:r>
    </w:p>
    <w:p w14:paraId="29C7CD8B" w14:textId="712507DD" w:rsidR="00631A63" w:rsidRDefault="00631A63">
      <w:pPr>
        <w:spacing w:before="700" w:after="40"/>
        <w:rPr>
          <w:sz w:val="20"/>
        </w:rPr>
      </w:pPr>
    </w:p>
    <w:p w14:paraId="286AEC40" w14:textId="77777777" w:rsidR="001D7B07" w:rsidRDefault="008C664A">
      <w:pPr>
        <w:spacing w:after="0"/>
      </w:pPr>
      <w:r>
        <w:rPr>
          <w:sz w:val="20"/>
        </w:rPr>
        <w:t>Honorables Representantes</w:t>
      </w:r>
    </w:p>
    <w:p w14:paraId="28F6267F" w14:textId="77777777" w:rsidR="001D7B07" w:rsidRDefault="008C664A">
      <w:pPr>
        <w:spacing w:after="0"/>
      </w:pPr>
      <w:r>
        <w:rPr>
          <w:b/>
          <w:sz w:val="20"/>
        </w:rPr>
        <w:t>MESA DIRECTIVA</w:t>
      </w:r>
    </w:p>
    <w:p w14:paraId="062FA869" w14:textId="77777777" w:rsidR="001D7B07" w:rsidRDefault="008C664A">
      <w:pPr>
        <w:spacing w:after="0"/>
      </w:pPr>
      <w:r>
        <w:rPr>
          <w:sz w:val="20"/>
        </w:rPr>
        <w:t>Comisión Primera Constitucional Permanente</w:t>
      </w:r>
    </w:p>
    <w:p w14:paraId="6D5C888D" w14:textId="77777777" w:rsidR="001D7B07" w:rsidRDefault="008C664A">
      <w:pPr>
        <w:spacing w:after="0"/>
      </w:pPr>
      <w:r>
        <w:rPr>
          <w:sz w:val="20"/>
        </w:rPr>
        <w:t>Cámara de Representantes</w:t>
      </w:r>
    </w:p>
    <w:p w14:paraId="11EF8336" w14:textId="77777777" w:rsidR="001D7B07" w:rsidRDefault="008C664A">
      <w:pPr>
        <w:spacing w:after="0"/>
      </w:pPr>
      <w:r>
        <w:rPr>
          <w:sz w:val="20"/>
        </w:rPr>
        <w:t>Ciudad</w:t>
      </w:r>
    </w:p>
    <w:p w14:paraId="2C895701" w14:textId="77777777" w:rsidR="001D7B07" w:rsidRDefault="001D7B07"/>
    <w:p w14:paraId="2BDB9788" w14:textId="77777777" w:rsidR="001D7B07" w:rsidRDefault="008C664A">
      <w:r>
        <w:rPr>
          <w:b/>
          <w:sz w:val="20"/>
        </w:rPr>
        <w:t xml:space="preserve">Asunto: </w:t>
      </w:r>
      <w:r>
        <w:rPr>
          <w:sz w:val="20"/>
        </w:rPr>
        <w:t xml:space="preserve">Informe de ponencia positiva para primer debate al Proyecto de Ley </w:t>
      </w:r>
      <w:r w:rsidRPr="00631A63">
        <w:rPr>
          <w:b/>
          <w:bCs/>
          <w:sz w:val="20"/>
        </w:rPr>
        <w:t>No. 097 de 2026</w:t>
      </w:r>
      <w:r>
        <w:rPr>
          <w:sz w:val="20"/>
        </w:rPr>
        <w:t xml:space="preserve"> Cámara, “Por medio de la cual se regula el otorgamiento de testamento cerrado para personas que no saben leer ni escribir y se dictan otras disposiciones”.</w:t>
      </w:r>
    </w:p>
    <w:p w14:paraId="3C3CA76C" w14:textId="77777777" w:rsidR="00631A63" w:rsidRDefault="00631A63">
      <w:pPr>
        <w:rPr>
          <w:sz w:val="20"/>
        </w:rPr>
      </w:pPr>
    </w:p>
    <w:p w14:paraId="225111E7" w14:textId="44318EB6" w:rsidR="001D7B07" w:rsidRDefault="008C664A">
      <w:r>
        <w:rPr>
          <w:sz w:val="20"/>
        </w:rPr>
        <w:t>Respetados Honorables Representantes:</w:t>
      </w:r>
    </w:p>
    <w:p w14:paraId="6D440C72" w14:textId="77777777" w:rsidR="00631A63" w:rsidRDefault="00631A63" w:rsidP="00631A63">
      <w:pPr>
        <w:rPr>
          <w:sz w:val="20"/>
        </w:rPr>
      </w:pPr>
    </w:p>
    <w:p w14:paraId="1F9F381E" w14:textId="7DEFA2C3" w:rsidR="00631A63" w:rsidRDefault="008C664A" w:rsidP="00631A63">
      <w:r>
        <w:rPr>
          <w:sz w:val="20"/>
        </w:rPr>
        <w:t>En cumplimiento de la designación efectuada por la Mesa Directiva de la Comisión Primera Constitucional Permanente de la Cámara de Representantes y de conformidad con la Constitución Política y la Ley 5ª de 1992, presento informe de ponencia positiva para primer debate, con pliego de modificaciones, al Proyecto de Ley No. 097 de 2026 Cámara.</w:t>
      </w:r>
    </w:p>
    <w:p w14:paraId="7CF889AD" w14:textId="511EA4A5" w:rsidR="001D7B07" w:rsidRDefault="008C664A" w:rsidP="00631A63">
      <w:r>
        <w:rPr>
          <w:sz w:val="20"/>
        </w:rPr>
        <w:t xml:space="preserve">Se comparte el propósito central de la iniciativa de desarrollar legislativamente la Sentencia </w:t>
      </w:r>
      <w:r w:rsidRPr="00631A63">
        <w:rPr>
          <w:b/>
          <w:bCs/>
          <w:sz w:val="20"/>
        </w:rPr>
        <w:t>C-536 de 2023</w:t>
      </w:r>
      <w:r>
        <w:rPr>
          <w:sz w:val="20"/>
        </w:rPr>
        <w:t xml:space="preserve"> y garantizar que las personas que no saben leer ni escribir puedan otorgar testamento cerrado con garantías de reserva, autenticidad e integridad.</w:t>
      </w:r>
    </w:p>
    <w:p w14:paraId="65C6B711" w14:textId="77777777" w:rsidR="001D7B07" w:rsidRDefault="008C664A" w:rsidP="00631A63">
      <w:r>
        <w:rPr>
          <w:sz w:val="20"/>
        </w:rPr>
        <w:t>No obstante, el estudio integral del régimen testamentario permitió establecer que la problemática abordada por el proyecto se inserta en una evolución constitucional más amplia. Entre 2022 y 2025, la Corte Constitucional examinó sucesivamente distintas solemnidades testamentarias que condicionaban el ejercicio de la autonomía a determinadas capacidades sensoriales o formas tradicionales de comunicación, particularmente la visión, la audición, la oralidad, la lectura y la escritura.</w:t>
      </w:r>
    </w:p>
    <w:p w14:paraId="136A05E2" w14:textId="77777777" w:rsidR="001D7B07" w:rsidRDefault="008C664A" w:rsidP="00631A63">
      <w:r>
        <w:rPr>
          <w:sz w:val="20"/>
        </w:rPr>
        <w:t>Por esta razón, el pliego de modificaciones propone conservar el núcleo material de la iniciativa y complementarlo mediante ajustes puntuales al régimen testamentario, incorporando una regla transversal de accesibilidad, apoyos y salvaguardias y positivizando, mediante una intervención legislativa mínima, los estándares constitucionales definidos por las sentencias C-098 de 2022, C-260 de 2023, C-536 de 2023 y C-098 de 2025.</w:t>
      </w:r>
    </w:p>
    <w:p w14:paraId="6570687F" w14:textId="77777777" w:rsidR="001D7B07" w:rsidRDefault="008C664A" w:rsidP="00631A63">
      <w:r>
        <w:rPr>
          <w:sz w:val="20"/>
        </w:rPr>
        <w:t>La propuesta parte de una premisa central: la eliminación de barreras para el ejercicio de la capacidad jurídica no supone flexibilizar la autenticidad de la voluntad testamentaria ni permitir su sustitución por terceros. Los apoyos facilitan el ejercicio de la capacidad jurídica; no desplazan al testador, no delegan la facultad de testar ni pueden crear disposiciones que no provengan de este.</w:t>
      </w:r>
    </w:p>
    <w:p w14:paraId="2465AF39" w14:textId="77777777" w:rsidR="001D7B07" w:rsidRDefault="008C664A">
      <w:pPr>
        <w:pStyle w:val="UTLTitle"/>
        <w:pageBreakBefore/>
      </w:pPr>
      <w:r>
        <w:rPr>
          <w:sz w:val="20"/>
        </w:rPr>
        <w:lastRenderedPageBreak/>
        <w:t>INFORME DE PONENCIA POSITIVA PARA PRIMER DEBATE</w:t>
      </w:r>
    </w:p>
    <w:p w14:paraId="6BFFE470" w14:textId="77777777" w:rsidR="001D7B07" w:rsidRDefault="008C664A">
      <w:pPr>
        <w:pStyle w:val="UTLTitle"/>
      </w:pPr>
      <w:r>
        <w:rPr>
          <w:sz w:val="20"/>
        </w:rPr>
        <w:t>PROYECTO DE LEY No. 097 DE 2026 CÁMARA</w:t>
      </w:r>
    </w:p>
    <w:p w14:paraId="52EB8882" w14:textId="77777777" w:rsidR="001D7B07" w:rsidRDefault="008C664A">
      <w:pPr>
        <w:pStyle w:val="UTLTitle"/>
      </w:pPr>
      <w:r>
        <w:rPr>
          <w:i/>
          <w:sz w:val="20"/>
        </w:rPr>
        <w:t>“Por medio de la cual se regula el otorgamiento de testamento cerrado para personas que no saben leer ni escribir y se dictan otras disposiciones”</w:t>
      </w:r>
    </w:p>
    <w:p w14:paraId="30E0CBC1" w14:textId="77777777" w:rsidR="001D7B07" w:rsidRDefault="008C664A">
      <w:pPr>
        <w:pStyle w:val="UTLHeading1"/>
        <w:pBdr>
          <w:bottom w:val="single" w:sz="8" w:space="2" w:color="B7B7B7"/>
        </w:pBdr>
      </w:pPr>
      <w:r>
        <w:rPr>
          <w:sz w:val="20"/>
        </w:rPr>
        <w:t>FICHA DE LA INICIATIVA</w:t>
      </w:r>
    </w:p>
    <w:tbl>
      <w:tblPr>
        <w:tblW w:w="0" w:type="auto"/>
        <w:jc w:val="center"/>
        <w:tblLayout w:type="fixed"/>
        <w:tblLook w:val="04A0" w:firstRow="1" w:lastRow="0" w:firstColumn="1" w:lastColumn="0" w:noHBand="0" w:noVBand="1"/>
      </w:tblPr>
      <w:tblGrid>
        <w:gridCol w:w="2438"/>
        <w:gridCol w:w="7257"/>
      </w:tblGrid>
      <w:tr w:rsidR="001D7B07" w14:paraId="05B69CAE"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3AF56D80" w14:textId="77777777" w:rsidR="001D7B07" w:rsidRDefault="008C664A">
            <w:pPr>
              <w:spacing w:after="0"/>
            </w:pPr>
            <w:r>
              <w:rPr>
                <w:b/>
                <w:sz w:val="19"/>
              </w:rPr>
              <w:t>Proyecto</w:t>
            </w:r>
          </w:p>
        </w:tc>
        <w:tc>
          <w:tcPr>
            <w:tcW w:w="7257" w:type="dxa"/>
            <w:tcBorders>
              <w:top w:val="single" w:sz="4" w:space="0" w:color="B7B7B7"/>
              <w:left w:val="single" w:sz="4" w:space="0" w:color="B7B7B7"/>
              <w:bottom w:val="single" w:sz="4" w:space="0" w:color="B7B7B7"/>
              <w:right w:val="single" w:sz="4" w:space="0" w:color="B7B7B7"/>
            </w:tcBorders>
            <w:vAlign w:val="center"/>
          </w:tcPr>
          <w:p w14:paraId="74769ECA" w14:textId="77777777" w:rsidR="001D7B07" w:rsidRDefault="008C664A">
            <w:pPr>
              <w:spacing w:after="0"/>
            </w:pPr>
            <w:r>
              <w:rPr>
                <w:sz w:val="19"/>
              </w:rPr>
              <w:t>Proyecto de Ley No. 097 de 2026 Cámara</w:t>
            </w:r>
          </w:p>
        </w:tc>
      </w:tr>
      <w:tr w:rsidR="001D7B07" w14:paraId="0D1B6D2F"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49A564E6" w14:textId="77777777" w:rsidR="001D7B07" w:rsidRDefault="008C664A">
            <w:pPr>
              <w:spacing w:after="0"/>
            </w:pPr>
            <w:r>
              <w:rPr>
                <w:b/>
                <w:sz w:val="19"/>
              </w:rPr>
              <w:t>Título radicado</w:t>
            </w:r>
          </w:p>
        </w:tc>
        <w:tc>
          <w:tcPr>
            <w:tcW w:w="7257" w:type="dxa"/>
            <w:tcBorders>
              <w:top w:val="single" w:sz="4" w:space="0" w:color="B7B7B7"/>
              <w:left w:val="single" w:sz="4" w:space="0" w:color="B7B7B7"/>
              <w:bottom w:val="single" w:sz="4" w:space="0" w:color="B7B7B7"/>
              <w:right w:val="single" w:sz="4" w:space="0" w:color="B7B7B7"/>
            </w:tcBorders>
            <w:vAlign w:val="center"/>
          </w:tcPr>
          <w:p w14:paraId="691CB367" w14:textId="77777777" w:rsidR="001D7B07" w:rsidRDefault="008C664A">
            <w:pPr>
              <w:spacing w:after="0"/>
            </w:pPr>
            <w:r>
              <w:rPr>
                <w:sz w:val="19"/>
              </w:rPr>
              <w:t>“Por medio de la cual se regula el otorgamiento de testamento cerrado para personas que no saben leer ni escribir y se dictan otras disposiciones”</w:t>
            </w:r>
          </w:p>
        </w:tc>
      </w:tr>
      <w:tr w:rsidR="001D7B07" w14:paraId="25E04B3C"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703853BA" w14:textId="77777777" w:rsidR="001D7B07" w:rsidRDefault="008C664A">
            <w:pPr>
              <w:spacing w:after="0"/>
            </w:pPr>
            <w:r>
              <w:rPr>
                <w:b/>
                <w:sz w:val="19"/>
              </w:rPr>
              <w:t>Autor</w:t>
            </w:r>
          </w:p>
        </w:tc>
        <w:tc>
          <w:tcPr>
            <w:tcW w:w="7257" w:type="dxa"/>
            <w:tcBorders>
              <w:top w:val="single" w:sz="4" w:space="0" w:color="B7B7B7"/>
              <w:left w:val="single" w:sz="4" w:space="0" w:color="B7B7B7"/>
              <w:bottom w:val="single" w:sz="4" w:space="0" w:color="B7B7B7"/>
              <w:right w:val="single" w:sz="4" w:space="0" w:color="B7B7B7"/>
            </w:tcBorders>
            <w:vAlign w:val="center"/>
          </w:tcPr>
          <w:p w14:paraId="3BF0F47E" w14:textId="77777777" w:rsidR="001D7B07" w:rsidRDefault="008C664A">
            <w:pPr>
              <w:spacing w:after="0"/>
            </w:pPr>
            <w:r>
              <w:rPr>
                <w:sz w:val="19"/>
              </w:rPr>
              <w:t>Senador Jonathan Pulido Hernández</w:t>
            </w:r>
          </w:p>
        </w:tc>
      </w:tr>
      <w:tr w:rsidR="001D7B07" w14:paraId="07938A85"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28B2FEE3" w14:textId="77777777" w:rsidR="001D7B07" w:rsidRDefault="008C664A">
            <w:pPr>
              <w:spacing w:after="0"/>
            </w:pPr>
            <w:r>
              <w:rPr>
                <w:b/>
                <w:sz w:val="19"/>
              </w:rPr>
              <w:t>Origen</w:t>
            </w:r>
          </w:p>
        </w:tc>
        <w:tc>
          <w:tcPr>
            <w:tcW w:w="7257" w:type="dxa"/>
            <w:tcBorders>
              <w:top w:val="single" w:sz="4" w:space="0" w:color="B7B7B7"/>
              <w:left w:val="single" w:sz="4" w:space="0" w:color="B7B7B7"/>
              <w:bottom w:val="single" w:sz="4" w:space="0" w:color="B7B7B7"/>
              <w:right w:val="single" w:sz="4" w:space="0" w:color="B7B7B7"/>
            </w:tcBorders>
            <w:vAlign w:val="center"/>
          </w:tcPr>
          <w:p w14:paraId="75E905E1" w14:textId="77777777" w:rsidR="001D7B07" w:rsidRDefault="008C664A">
            <w:pPr>
              <w:spacing w:after="0"/>
            </w:pPr>
            <w:r>
              <w:rPr>
                <w:sz w:val="19"/>
              </w:rPr>
              <w:t>Parlamentario</w:t>
            </w:r>
          </w:p>
        </w:tc>
      </w:tr>
      <w:tr w:rsidR="001D7B07" w14:paraId="2EF0C491"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4235B482" w14:textId="77777777" w:rsidR="001D7B07" w:rsidRDefault="008C664A">
            <w:pPr>
              <w:spacing w:after="0"/>
            </w:pPr>
            <w:r>
              <w:rPr>
                <w:b/>
                <w:sz w:val="19"/>
              </w:rPr>
              <w:t>Publicación</w:t>
            </w:r>
          </w:p>
        </w:tc>
        <w:tc>
          <w:tcPr>
            <w:tcW w:w="7257" w:type="dxa"/>
            <w:tcBorders>
              <w:top w:val="single" w:sz="4" w:space="0" w:color="B7B7B7"/>
              <w:left w:val="single" w:sz="4" w:space="0" w:color="B7B7B7"/>
              <w:bottom w:val="single" w:sz="4" w:space="0" w:color="B7B7B7"/>
              <w:right w:val="single" w:sz="4" w:space="0" w:color="B7B7B7"/>
            </w:tcBorders>
            <w:vAlign w:val="center"/>
          </w:tcPr>
          <w:p w14:paraId="215AAECD" w14:textId="77777777" w:rsidR="001D7B07" w:rsidRDefault="008C664A">
            <w:pPr>
              <w:spacing w:after="0"/>
            </w:pPr>
            <w:r>
              <w:rPr>
                <w:sz w:val="19"/>
              </w:rPr>
              <w:t>Gaceta del Congreso No. 1069 de 2026</w:t>
            </w:r>
          </w:p>
        </w:tc>
      </w:tr>
      <w:tr w:rsidR="001D7B07" w14:paraId="1267FB07"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65B1BD33" w14:textId="77777777" w:rsidR="001D7B07" w:rsidRDefault="008C664A">
            <w:pPr>
              <w:spacing w:after="0"/>
            </w:pPr>
            <w:r>
              <w:rPr>
                <w:b/>
                <w:sz w:val="19"/>
              </w:rPr>
              <w:t>Comisión competente</w:t>
            </w:r>
          </w:p>
        </w:tc>
        <w:tc>
          <w:tcPr>
            <w:tcW w:w="7257" w:type="dxa"/>
            <w:tcBorders>
              <w:top w:val="single" w:sz="4" w:space="0" w:color="B7B7B7"/>
              <w:left w:val="single" w:sz="4" w:space="0" w:color="B7B7B7"/>
              <w:bottom w:val="single" w:sz="4" w:space="0" w:color="B7B7B7"/>
              <w:right w:val="single" w:sz="4" w:space="0" w:color="B7B7B7"/>
            </w:tcBorders>
            <w:vAlign w:val="center"/>
          </w:tcPr>
          <w:p w14:paraId="6EB43527" w14:textId="77777777" w:rsidR="001D7B07" w:rsidRDefault="008C664A">
            <w:pPr>
              <w:spacing w:after="0"/>
            </w:pPr>
            <w:r>
              <w:rPr>
                <w:sz w:val="19"/>
              </w:rPr>
              <w:t>Comisión Primera Constitucional Permanente</w:t>
            </w:r>
          </w:p>
        </w:tc>
      </w:tr>
      <w:tr w:rsidR="001D7B07" w14:paraId="0826E41F"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3A15F7B6" w14:textId="77777777" w:rsidR="001D7B07" w:rsidRDefault="008C664A">
            <w:pPr>
              <w:spacing w:after="0"/>
            </w:pPr>
            <w:r>
              <w:rPr>
                <w:b/>
                <w:sz w:val="19"/>
              </w:rPr>
              <w:t>Tipo de ley</w:t>
            </w:r>
          </w:p>
        </w:tc>
        <w:tc>
          <w:tcPr>
            <w:tcW w:w="7257" w:type="dxa"/>
            <w:tcBorders>
              <w:top w:val="single" w:sz="4" w:space="0" w:color="B7B7B7"/>
              <w:left w:val="single" w:sz="4" w:space="0" w:color="B7B7B7"/>
              <w:bottom w:val="single" w:sz="4" w:space="0" w:color="B7B7B7"/>
              <w:right w:val="single" w:sz="4" w:space="0" w:color="B7B7B7"/>
            </w:tcBorders>
            <w:vAlign w:val="center"/>
          </w:tcPr>
          <w:p w14:paraId="77CCD57C" w14:textId="77777777" w:rsidR="001D7B07" w:rsidRDefault="008C664A">
            <w:pPr>
              <w:spacing w:after="0"/>
            </w:pPr>
            <w:r>
              <w:rPr>
                <w:sz w:val="19"/>
              </w:rPr>
              <w:t>Ordinaria</w:t>
            </w:r>
          </w:p>
        </w:tc>
      </w:tr>
      <w:tr w:rsidR="001D7B07" w14:paraId="3634A3AC"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570A264B" w14:textId="77777777" w:rsidR="001D7B07" w:rsidRDefault="008C664A">
            <w:pPr>
              <w:spacing w:after="0"/>
            </w:pPr>
            <w:r>
              <w:rPr>
                <w:b/>
                <w:sz w:val="19"/>
              </w:rPr>
              <w:t>Ponente</w:t>
            </w:r>
          </w:p>
        </w:tc>
        <w:tc>
          <w:tcPr>
            <w:tcW w:w="7257" w:type="dxa"/>
            <w:tcBorders>
              <w:top w:val="single" w:sz="4" w:space="0" w:color="B7B7B7"/>
              <w:left w:val="single" w:sz="4" w:space="0" w:color="B7B7B7"/>
              <w:bottom w:val="single" w:sz="4" w:space="0" w:color="B7B7B7"/>
              <w:right w:val="single" w:sz="4" w:space="0" w:color="B7B7B7"/>
            </w:tcBorders>
            <w:vAlign w:val="center"/>
          </w:tcPr>
          <w:p w14:paraId="3B6BEB74" w14:textId="77777777" w:rsidR="001D7B07" w:rsidRDefault="008C664A">
            <w:pPr>
              <w:spacing w:after="0"/>
            </w:pPr>
            <w:r>
              <w:rPr>
                <w:sz w:val="19"/>
              </w:rPr>
              <w:t>H.R. Daniel Felipe Bernal Montealegre</w:t>
            </w:r>
          </w:p>
        </w:tc>
      </w:tr>
      <w:tr w:rsidR="001D7B07" w14:paraId="7DBDB205" w14:textId="77777777">
        <w:trPr>
          <w:jc w:val="center"/>
        </w:trPr>
        <w:tc>
          <w:tcPr>
            <w:tcW w:w="2438" w:type="dxa"/>
            <w:tcBorders>
              <w:top w:val="single" w:sz="4" w:space="0" w:color="B7B7B7"/>
              <w:left w:val="single" w:sz="4" w:space="0" w:color="B7B7B7"/>
              <w:bottom w:val="single" w:sz="4" w:space="0" w:color="B7B7B7"/>
              <w:right w:val="single" w:sz="4" w:space="0" w:color="B7B7B7"/>
            </w:tcBorders>
            <w:shd w:val="clear" w:color="auto" w:fill="E7E6E6"/>
            <w:vAlign w:val="center"/>
          </w:tcPr>
          <w:p w14:paraId="1C77D1DB" w14:textId="77777777" w:rsidR="001D7B07" w:rsidRDefault="008C664A">
            <w:pPr>
              <w:spacing w:after="0"/>
            </w:pPr>
            <w:r>
              <w:rPr>
                <w:b/>
                <w:sz w:val="19"/>
              </w:rPr>
              <w:t>Designación</w:t>
            </w:r>
          </w:p>
        </w:tc>
        <w:tc>
          <w:tcPr>
            <w:tcW w:w="7257" w:type="dxa"/>
            <w:tcBorders>
              <w:top w:val="single" w:sz="4" w:space="0" w:color="B7B7B7"/>
              <w:left w:val="single" w:sz="4" w:space="0" w:color="B7B7B7"/>
              <w:bottom w:val="single" w:sz="4" w:space="0" w:color="B7B7B7"/>
              <w:right w:val="single" w:sz="4" w:space="0" w:color="B7B7B7"/>
            </w:tcBorders>
            <w:vAlign w:val="center"/>
          </w:tcPr>
          <w:p w14:paraId="3BBA8644" w14:textId="77777777" w:rsidR="001D7B07" w:rsidRDefault="008C664A">
            <w:r>
              <w:t>4 de septiembre de 2026, oficio C.P.C.P 3.1-0168-2026</w:t>
            </w:r>
          </w:p>
        </w:tc>
      </w:tr>
    </w:tbl>
    <w:p w14:paraId="1CF9F7A5" w14:textId="77777777" w:rsidR="00A56B63" w:rsidRDefault="00A56B63">
      <w:pPr>
        <w:pStyle w:val="UTLHeading1"/>
        <w:pBdr>
          <w:bottom w:val="single" w:sz="8" w:space="2" w:color="B7B7B7"/>
        </w:pBdr>
        <w:rPr>
          <w:sz w:val="20"/>
        </w:rPr>
      </w:pPr>
    </w:p>
    <w:p w14:paraId="7163696B" w14:textId="7318E444" w:rsidR="001D7B07" w:rsidRDefault="008C664A">
      <w:pPr>
        <w:pStyle w:val="UTLHeading1"/>
        <w:pBdr>
          <w:bottom w:val="single" w:sz="8" w:space="2" w:color="B7B7B7"/>
        </w:pBdr>
      </w:pPr>
      <w:r>
        <w:rPr>
          <w:sz w:val="20"/>
        </w:rPr>
        <w:t>1. ANTECEDENTES Y TRÁMITE</w:t>
      </w:r>
    </w:p>
    <w:p w14:paraId="0DD0149A" w14:textId="77777777" w:rsidR="001D7B07" w:rsidRDefault="008C664A" w:rsidP="00631A63">
      <w:r>
        <w:rPr>
          <w:sz w:val="20"/>
        </w:rPr>
        <w:t>El Proyecto de Ley No. 097 de 2026 Cámara fue presentado en 2026 y publicado en la Gaceta del Congreso No. 1069 del mismo año. La iniciativa es de origen parlamentario y tiene como finalidad desarrollar el exhorto formulado por la Corte Constitucional en la Sentencia C-536 de 2023.</w:t>
      </w:r>
    </w:p>
    <w:p w14:paraId="02B30CA0" w14:textId="77777777" w:rsidR="001D7B07" w:rsidRDefault="008C664A" w:rsidP="00631A63">
      <w:r>
        <w:rPr>
          <w:sz w:val="20"/>
        </w:rPr>
        <w:t>En dicha providencia, la Corte estudió el artículo 1079 del Código Civil, que originalmente impedía a quien no supiera leer y escribir otorgar testamento cerrado. La Sala Plena declaró inexequible el segundo vocablo “no”, de manera que la disposición pasó a permitir dicha modalidad; condicionó su aplicación a que las notarías dispongan de los apoyos necesarios para garantizar reserva, autenticidad e integridad; exhortó al Congreso a adecuar el régimen notarial; y ordenó a la Superintendencia de Notariado y Registro impartir directrices mientras se expide la regulación legislativa correspondiente.</w:t>
      </w:r>
    </w:p>
    <w:p w14:paraId="29F7FDD7" w14:textId="77777777" w:rsidR="001D7B07" w:rsidRDefault="008C664A" w:rsidP="00631A63">
      <w:r>
        <w:rPr>
          <w:sz w:val="20"/>
        </w:rPr>
        <w:t>La exposición de motivos da cuenta de actuaciones adelantadas por la Superintendencia de Notariado y Registro para implementar la decisión. Sin embargo, se considera necesario complementar esa información con datos actualizados sobre aplicación práctica, apoyos utilizados, dificultades identificadas por las notarías, capacitación y eventuales costos operativos.</w:t>
      </w:r>
    </w:p>
    <w:p w14:paraId="7361EEF4" w14:textId="77777777" w:rsidR="001D7B07" w:rsidRDefault="008C664A" w:rsidP="00631A63">
      <w:r>
        <w:rPr>
          <w:sz w:val="20"/>
        </w:rPr>
        <w:t>El estudio realizado para esta ponencia permitió advertir, además, que la Sentencia C-536 de 2023 forma parte de una línea jurisprudencial progresiva sobre capacidad jurídica, accesibilidad y testamentos, razón por la cual resulta pertinente abordar legislativamente, desde el primer debate, algunas disposiciones estrechamente vinculadas con el mismo problema regulatorio.</w:t>
      </w:r>
    </w:p>
    <w:p w14:paraId="0F190413" w14:textId="77777777" w:rsidR="001D7B07" w:rsidRDefault="008C664A">
      <w:pPr>
        <w:pStyle w:val="UTLHeading1"/>
        <w:pBdr>
          <w:bottom w:val="single" w:sz="8" w:space="2" w:color="B7B7B7"/>
        </w:pBdr>
      </w:pPr>
      <w:r>
        <w:rPr>
          <w:sz w:val="20"/>
        </w:rPr>
        <w:lastRenderedPageBreak/>
        <w:t>2. OBJETO Y CONTENIDO DE LA INICIATIVA</w:t>
      </w:r>
    </w:p>
    <w:p w14:paraId="4DBE0313" w14:textId="77777777" w:rsidR="001D7B07" w:rsidRDefault="008C664A">
      <w:pPr>
        <w:pStyle w:val="UTLHeading2"/>
      </w:pPr>
      <w:r>
        <w:rPr>
          <w:sz w:val="20"/>
        </w:rPr>
        <w:t>2.1. Objeto</w:t>
      </w:r>
    </w:p>
    <w:p w14:paraId="55905A19" w14:textId="0E0F70F1" w:rsidR="001D7B07" w:rsidRDefault="008C664A" w:rsidP="00422886">
      <w:r>
        <w:rPr>
          <w:sz w:val="20"/>
        </w:rPr>
        <w:t>El proyecto radicado tiene por objeto garantizar que las personas que no saben leer ni escribir puedan otorgar testamento cerrado mediante apoyos que preserven la autenticidad, integridad y reserva de la voluntad testamentaria.</w:t>
      </w:r>
      <w:r w:rsidR="00631A63">
        <w:t xml:space="preserve"> </w:t>
      </w:r>
      <w:r>
        <w:rPr>
          <w:sz w:val="20"/>
        </w:rPr>
        <w:t>Se comparte plenamente esa finalidad.</w:t>
      </w:r>
    </w:p>
    <w:p w14:paraId="1DDD4CCC" w14:textId="77777777" w:rsidR="001D7B07" w:rsidRDefault="008C664A" w:rsidP="00631A63">
      <w:r>
        <w:rPr>
          <w:sz w:val="20"/>
        </w:rPr>
        <w:t>No obstante, se considera que el proyecto constituye una oportunidad legislativa adecuada para incorporar de manera coherente los estándares constitucionales que actualmente regulan el acceso al testamento de las personas con discapacidad, sin convertir la iniciativa en una reforma integral del régimen sucesoral.</w:t>
      </w:r>
    </w:p>
    <w:p w14:paraId="4DD7EE2C" w14:textId="77777777" w:rsidR="001D7B07" w:rsidRDefault="008C664A" w:rsidP="00631A63">
      <w:r>
        <w:rPr>
          <w:sz w:val="20"/>
        </w:rPr>
        <w:t>En consecuencia, el pliego propone ampliar el objeto para comprender dos situaciones jurídicamente distintas pero materialmente relacionadas: las personas que no saben leer ni escribir, respecto de las cuales resulta directamente aplicable la Sentencia C-536 de 2023; y las personas con discapacidad, respecto de las cuales el régimen de capacidad, ajustes razonables, apoyos y salvaguardias se encuentra principalmente en la Convención sobre los Derechos de las Personas con Discapacidad, la Ley 1996 de 2019 y la jurisprudencia constitucional.</w:t>
      </w:r>
    </w:p>
    <w:p w14:paraId="6FD8F36F" w14:textId="77777777" w:rsidR="001D7B07" w:rsidRDefault="008C664A" w:rsidP="00631A63">
      <w:r>
        <w:rPr>
          <w:sz w:val="20"/>
        </w:rPr>
        <w:t>Esta diferenciación es fundamental: no saber leer o escribir no constituye ni puede presumirse como una discapacidad.</w:t>
      </w:r>
    </w:p>
    <w:p w14:paraId="70FFE747" w14:textId="77777777" w:rsidR="001D7B07" w:rsidRDefault="008C664A">
      <w:pPr>
        <w:pStyle w:val="UTLHeading2"/>
      </w:pPr>
      <w:r>
        <w:rPr>
          <w:sz w:val="20"/>
        </w:rPr>
        <w:t>2.2. Contenido del texto radicado</w:t>
      </w:r>
    </w:p>
    <w:p w14:paraId="245875AC" w14:textId="77777777" w:rsidR="001D7B07" w:rsidRDefault="008C664A" w:rsidP="00631A63">
      <w:r>
        <w:rPr>
          <w:sz w:val="20"/>
        </w:rPr>
        <w:t>El proyecto consta de siete artículos. Regula su objeto, modifica el artículo 1079 del Código Civil, establece deberes notariales, enumera mecanismos de apoyo, atribuye funciones reglamentarias, regula la inspección y vigilancia y establece su vigencia.</w:t>
      </w:r>
    </w:p>
    <w:p w14:paraId="70A70A18" w14:textId="77777777" w:rsidR="001D7B07" w:rsidRDefault="008C664A" w:rsidP="00631A63">
      <w:r>
        <w:rPr>
          <w:sz w:val="20"/>
        </w:rPr>
        <w:t>El pliego mantiene dichos ejes, pero reorganiza el articulado para evitar duplicidades, incorporar una regla transversal y efectuar modificaciones puntuales al Código Civil.</w:t>
      </w:r>
    </w:p>
    <w:p w14:paraId="533B26EA" w14:textId="77777777" w:rsidR="001D7B07" w:rsidRDefault="008C664A">
      <w:pPr>
        <w:pStyle w:val="UTLHeading1"/>
        <w:pBdr>
          <w:bottom w:val="single" w:sz="8" w:space="2" w:color="B7B7B7"/>
        </w:pBdr>
      </w:pPr>
      <w:r>
        <w:rPr>
          <w:sz w:val="20"/>
        </w:rPr>
        <w:t>3. CONSIDERACIONES DEL PONENTE</w:t>
      </w:r>
    </w:p>
    <w:p w14:paraId="1F50C3F0" w14:textId="77777777" w:rsidR="001D7B07" w:rsidRDefault="008C664A">
      <w:pPr>
        <w:pStyle w:val="UTLHeading2"/>
      </w:pPr>
      <w:r>
        <w:rPr>
          <w:sz w:val="20"/>
        </w:rPr>
        <w:t>3.1. Mérito constitucional y legislativo de la iniciativa</w:t>
      </w:r>
    </w:p>
    <w:p w14:paraId="2357E12A" w14:textId="77777777" w:rsidR="00631A63" w:rsidRDefault="008C664A" w:rsidP="00631A63">
      <w:r>
        <w:rPr>
          <w:sz w:val="20"/>
        </w:rPr>
        <w:t>El proyecto responde a una necesidad legislativa expresamente identificada por la Corte Constitucional.</w:t>
      </w:r>
      <w:r w:rsidR="00631A63">
        <w:t xml:space="preserve"> </w:t>
      </w:r>
      <w:r>
        <w:rPr>
          <w:sz w:val="20"/>
        </w:rPr>
        <w:t>La Sentencia C-536 de 2023 concluyó que impedir a una persona que no sabe leer ni escribir acceder al testamento cerrado desconocía su intimidad y autonomía y perpetuaba una restricción que actualmente puede ser superada mediante mecanismos de apoyo capaces de garantizar la autenticidad del acto sin sacrificar su reserva.</w:t>
      </w:r>
    </w:p>
    <w:p w14:paraId="7223BDEC" w14:textId="0056F73F" w:rsidR="001D7B07" w:rsidRDefault="008C664A" w:rsidP="00631A63">
      <w:r>
        <w:rPr>
          <w:sz w:val="20"/>
        </w:rPr>
        <w:t>El problema legislativo ya no consiste, entonces, en determinar si estas personas pueden otorgar testamento cerrado. Esa cuestión quedó constitucionalmente resuelta. La función del Congreso consiste en establecer un marco claro y operativo que permita ejercer el derecho con seguridad jurídica.</w:t>
      </w:r>
    </w:p>
    <w:p w14:paraId="6039E96A" w14:textId="77777777" w:rsidR="001D7B07" w:rsidRDefault="008C664A">
      <w:pPr>
        <w:pStyle w:val="UTLHeading2"/>
      </w:pPr>
      <w:r>
        <w:rPr>
          <w:sz w:val="20"/>
        </w:rPr>
        <w:t>3.2. El modelo social de discapacidad y la eliminación de barreras</w:t>
      </w:r>
    </w:p>
    <w:p w14:paraId="28BC69E4" w14:textId="77777777" w:rsidR="001D7B07" w:rsidRDefault="008C664A" w:rsidP="00631A63">
      <w:r>
        <w:rPr>
          <w:sz w:val="20"/>
        </w:rPr>
        <w:t>La ampliación propuesta debe entenderse a partir del cambio de paradigma que ha experimentado el derecho colombiano sobre la discapacidad.</w:t>
      </w:r>
    </w:p>
    <w:p w14:paraId="5F371642" w14:textId="77777777" w:rsidR="001D7B07" w:rsidRDefault="008C664A" w:rsidP="00631A63">
      <w:r>
        <w:rPr>
          <w:sz w:val="20"/>
        </w:rPr>
        <w:t>Bajo el modelo social, la discapacidad no se ubica exclusivamente en una condición individual, sino en la interacción entre una característica diversa de la persona y las barreras del entorno. Este enfoque reconoce la autonomía de las personas con discapacidad para adoptar sus propias decisiones y desarrollar sus proyectos de vida, y desplaza la respuesta jurídica desde la exclusión de la persona hacia la eliminación de las barreras que impiden el ejercicio efectivo de sus derechos.</w:t>
      </w:r>
    </w:p>
    <w:p w14:paraId="5F5DD849" w14:textId="77777777" w:rsidR="001D7B07" w:rsidRDefault="008C664A" w:rsidP="00631A63">
      <w:r>
        <w:rPr>
          <w:sz w:val="20"/>
        </w:rPr>
        <w:lastRenderedPageBreak/>
        <w:t>Esta aproximación encuentra respaldo directo en la Convención sobre los Derechos de las Personas con Discapacidad, aprobada mediante la Ley 1346 de 2009, en particular en sus artículos 1, 2 y 12, y en la Ley 1996 de 2019, que desarrolla internamente el reconocimiento de la capacidad jurídica plena y el sistema de apoyos.</w:t>
      </w:r>
    </w:p>
    <w:p w14:paraId="2E3F6175" w14:textId="77777777" w:rsidR="001D7B07" w:rsidRDefault="008C664A" w:rsidP="00631A63">
      <w:r>
        <w:rPr>
          <w:sz w:val="20"/>
        </w:rPr>
        <w:t>Aplicado al régimen testamentario, el problema no puede formularse exclusivamente preguntando qué capacidad sensorial tiene la persona. Debe examinarse también si la solemnidad está diseñada de forma que permita a esa persona participar y expresar válidamente su voluntad.</w:t>
      </w:r>
    </w:p>
    <w:p w14:paraId="508A7F6C" w14:textId="77777777" w:rsidR="001D7B07" w:rsidRDefault="008C664A" w:rsidP="00631A63">
      <w:r>
        <w:rPr>
          <w:sz w:val="20"/>
        </w:rPr>
        <w:t>Una norma que exige exclusivamente hablar, oír, ver o escribir puede convertir una característica personal en una barrera jurídica aun cuando existan medios alternativos capaces de satisfacer la misma finalidad de autenticidad y seguridad. Este razonamiento explica la evolución jurisprudencial que posteriormente se examina.</w:t>
      </w:r>
    </w:p>
    <w:p w14:paraId="6C473BBB" w14:textId="77777777" w:rsidR="001D7B07" w:rsidRDefault="008C664A">
      <w:pPr>
        <w:pStyle w:val="UTLHeading2"/>
      </w:pPr>
      <w:r>
        <w:rPr>
          <w:sz w:val="20"/>
        </w:rPr>
        <w:t>3.3. Capacidad jurídica y capacidad mental</w:t>
      </w:r>
    </w:p>
    <w:p w14:paraId="03CB6B8D" w14:textId="77777777" w:rsidR="001D7B07" w:rsidRDefault="008C664A" w:rsidP="00631A63">
      <w:r>
        <w:rPr>
          <w:sz w:val="20"/>
        </w:rPr>
        <w:t>La capacidad jurídica debe diferenciarse de las capacidades cognitivas, intelectuales, sensoriales o comunicativas particulares de una persona.</w:t>
      </w:r>
    </w:p>
    <w:p w14:paraId="2DE9A204" w14:textId="77777777" w:rsidR="001D7B07" w:rsidRDefault="008C664A" w:rsidP="00631A63">
      <w:r>
        <w:rPr>
          <w:sz w:val="20"/>
        </w:rPr>
        <w:t>El artículo 12 de la Convención sobre los Derechos de las Personas con Discapacidad, aprobada mediante la Ley 1346 de 2009, reconoce que las personas con discapacidad tienen capacidad jurídica en igualdad de condiciones con las demás. Como criterio interpretativo de esa disposición, la Observación General No. 1 de 2014 del Comité sobre los Derechos de las Personas con Discapacidad distingue entre capacidad jurídica y capacidad mental y precisa que las dificultades reales o supuestas relacionadas con esta última no pueden utilizarse, por sí mismas, para negar la capacidad jurídica.</w:t>
      </w:r>
    </w:p>
    <w:p w14:paraId="76F94A38" w14:textId="77777777" w:rsidR="001D7B07" w:rsidRDefault="008C664A" w:rsidP="00631A63">
      <w:r>
        <w:rPr>
          <w:sz w:val="20"/>
        </w:rPr>
        <w:t>En el ámbito interno, los artículos 6 y 8 de la Ley 1996 de 2019 presumen la capacidad de las personas con discapacidad mayores de edad para realizar actos jurídicos de manera independiente y disponen, de forma especialmente relevante para este proyecto, que la necesidad de ajustes razonables para la comunicación o comprensión de la información no desvirtúa dicha presunción.</w:t>
      </w:r>
    </w:p>
    <w:p w14:paraId="54A12D38" w14:textId="77777777" w:rsidR="001D7B07" w:rsidRDefault="008C664A" w:rsidP="00631A63">
      <w:r>
        <w:rPr>
          <w:sz w:val="20"/>
        </w:rPr>
        <w:t>Esta regla tiene consecuencias directas para el régimen testamentario. La utilización de lengua de señas, sistemas alternativos de comunicación, dispositivos tecnológicos, lectura accesible o asistencia de una persona de apoyo no puede convertirse en indicio de inhabilidad para testar. Por el contrario, cuando resulten necesarios, estos mecanismos son instrumentos para posibilitar el ejercicio de una capacidad jurídica que se presume.</w:t>
      </w:r>
    </w:p>
    <w:p w14:paraId="4650A651" w14:textId="77777777" w:rsidR="001D7B07" w:rsidRDefault="008C664A">
      <w:pPr>
        <w:pStyle w:val="UTLHeading2"/>
      </w:pPr>
      <w:r>
        <w:rPr>
          <w:sz w:val="20"/>
        </w:rPr>
        <w:t>3.4. Apoyos como asistencia y no como sustitución</w:t>
      </w:r>
    </w:p>
    <w:p w14:paraId="1F095DA0" w14:textId="77777777" w:rsidR="001D7B07" w:rsidRDefault="008C664A" w:rsidP="00631A63">
      <w:r>
        <w:rPr>
          <w:sz w:val="20"/>
        </w:rPr>
        <w:t>El artículo 3 de la Ley 1996 de 2019 define los apoyos como formas de asistencia destinadas a facilitar el ejercicio de la capacidad legal. Estos pueden comprender, entre otras funciones, asistencia en la comunicación, en la comprensión de los actos jurídicos y sus consecuencias y en la manifestación de la voluntad y preferencias personales.</w:t>
      </w:r>
    </w:p>
    <w:p w14:paraId="455981B1" w14:textId="77777777" w:rsidR="001D7B07" w:rsidRDefault="008C664A" w:rsidP="00631A63">
      <w:r>
        <w:rPr>
          <w:sz w:val="20"/>
        </w:rPr>
        <w:t>De esta manera, la expresión “apoyo” no puede entenderse automáticamente como intervención de un tercero en la decisión testamentaria. Puede consistir, por ejemplo, en hacer accesible la información, facilitar la comunicación o permitir la utilización de una determinada forma de expresión.</w:t>
      </w:r>
    </w:p>
    <w:p w14:paraId="76A13A9D" w14:textId="2318649B" w:rsidR="001D7B07" w:rsidRDefault="008C664A" w:rsidP="00631A63">
      <w:r>
        <w:rPr>
          <w:sz w:val="20"/>
        </w:rPr>
        <w:t>La Convención es clara en señalar que las personas con discapacidad conservan su capacidad jurídica en igualdad de condiciones, tienen derecho al apoyo que puedan necesitar para ejercerla y deben estar protegidas mediante salvaguardias que respeten sus derechos, voluntad y preferencias y eviten conflictos de interés e influencia indebida.</w:t>
      </w:r>
      <w:r w:rsidR="00631A63">
        <w:rPr>
          <w:sz w:val="20"/>
        </w:rPr>
        <w:t xml:space="preserve"> </w:t>
      </w:r>
      <w:r w:rsidR="00631A63" w:rsidRPr="00631A63">
        <w:rPr>
          <w:i/>
          <w:iCs/>
          <w:sz w:val="20"/>
        </w:rPr>
        <w:t>“</w:t>
      </w:r>
      <w:r w:rsidRPr="00631A63">
        <w:rPr>
          <w:i/>
          <w:iCs/>
          <w:sz w:val="20"/>
        </w:rPr>
        <w:t>El apoyo facilita la decisión; no decide</w:t>
      </w:r>
      <w:r w:rsidR="00631A63" w:rsidRPr="00631A63">
        <w:rPr>
          <w:i/>
          <w:iCs/>
          <w:sz w:val="20"/>
        </w:rPr>
        <w:t>”</w:t>
      </w:r>
      <w:r w:rsidRPr="00631A63">
        <w:rPr>
          <w:i/>
          <w:iCs/>
          <w:sz w:val="20"/>
        </w:rPr>
        <w:t>.</w:t>
      </w:r>
      <w:r w:rsidR="00631A63">
        <w:t xml:space="preserve"> </w:t>
      </w:r>
      <w:r>
        <w:rPr>
          <w:sz w:val="20"/>
        </w:rPr>
        <w:t>Esta distinción constituye uno de los fundamentos centrales del pliego.</w:t>
      </w:r>
    </w:p>
    <w:p w14:paraId="22529B0A" w14:textId="77777777" w:rsidR="001D7B07" w:rsidRDefault="008C664A">
      <w:pPr>
        <w:pStyle w:val="UTLHeading2"/>
      </w:pPr>
      <w:r>
        <w:rPr>
          <w:sz w:val="20"/>
        </w:rPr>
        <w:lastRenderedPageBreak/>
        <w:t>3.5. Apoyos formales y efectos jurídicos</w:t>
      </w:r>
    </w:p>
    <w:p w14:paraId="561287CD" w14:textId="77777777" w:rsidR="001D7B07" w:rsidRDefault="008C664A" w:rsidP="00021177">
      <w:r>
        <w:rPr>
          <w:sz w:val="20"/>
        </w:rPr>
        <w:t>La Ley 1996 de 2019 distingue los apoyos en general de los apoyos formalmente establecidos mediante los procedimientos reconocidos por el ordenamiento para facilitar la realización de determinados actos jurídicos o reconocer una voluntad expresada anticipadamente.</w:t>
      </w:r>
    </w:p>
    <w:p w14:paraId="1FF0B404" w14:textId="77777777" w:rsidR="001D7B07" w:rsidRDefault="008C664A" w:rsidP="00021177">
      <w:r>
        <w:rPr>
          <w:sz w:val="20"/>
        </w:rPr>
        <w:t>Para la realización de actos jurídicos, la ley contempla mecanismos como los acuerdos de apoyo y la adjudicación judicial de apoyos, y regula igualmente las directivas anticipadas y otras figuras relacionadas con el ejercicio de la capacidad legal.</w:t>
      </w:r>
    </w:p>
    <w:p w14:paraId="7036D08C" w14:textId="77777777" w:rsidR="001D7B07" w:rsidRDefault="008C664A" w:rsidP="00021177">
      <w:r>
        <w:rPr>
          <w:sz w:val="20"/>
        </w:rPr>
        <w:t>La importancia de esta distinción para el proyecto es práctica. Cuando exista un acuerdo o una decisión judicial vigente que establezca apoyos para determinados actos jurídicos y estos comprendan una actuación jurídicamente compatible con el otorgamiento testamentario, el régimen legal no puede simplemente ignorarlos. El artículo 19 de la Ley 1996 de 2019 establece consecuencias de validez cuando se omiten los apoyos previstos en un acuerdo vigente para los actos expresamente comprendidos en él; a su vez, el artículo 39 de la misma ley prevé consecuencias de nulidad relativa cuando se omiten los apoyos adjudicados judicialmente para el acto correspondiente.</w:t>
      </w:r>
    </w:p>
    <w:p w14:paraId="01EB7590" w14:textId="77777777" w:rsidR="001D7B07" w:rsidRDefault="008C664A" w:rsidP="00021177">
      <w:r>
        <w:rPr>
          <w:sz w:val="20"/>
        </w:rPr>
        <w:t>Sin embargo, esta regla debe aplicarse en materia testamentaria respetando su especialidad. No toda figura prevista en el régimen general de capacidad jurídica puede trasladarse mecánicamente al testamento.</w:t>
      </w:r>
    </w:p>
    <w:p w14:paraId="4109BB9A" w14:textId="77777777" w:rsidR="001D7B07" w:rsidRDefault="008C664A" w:rsidP="00021177">
      <w:r>
        <w:rPr>
          <w:sz w:val="20"/>
        </w:rPr>
        <w:t>El artículo 1060 del Código Civil establece una regla especial e inequívoca: la facultad de testar es indelegable. Por tanto, ninguna remisión a la Ley 1996 de 2019 puede interpretarse como autorización para testar mediante representante, mandatario o persona de apoyo. El apoyo puede facilitar el acto; la disposición testamentaria tiene que seguir siendo exclusivamente del testador.</w:t>
      </w:r>
    </w:p>
    <w:p w14:paraId="2D6ED5D2" w14:textId="77777777" w:rsidR="001D7B07" w:rsidRDefault="008C664A">
      <w:pPr>
        <w:pStyle w:val="UTLHeading2"/>
      </w:pPr>
      <w:r>
        <w:rPr>
          <w:sz w:val="20"/>
        </w:rPr>
        <w:t>3.6. Voluntad posterior y autonomía testamentaria</w:t>
      </w:r>
    </w:p>
    <w:p w14:paraId="100D9FBA" w14:textId="77777777" w:rsidR="001D7B07" w:rsidRDefault="008C664A" w:rsidP="00021177">
      <w:r>
        <w:rPr>
          <w:sz w:val="20"/>
        </w:rPr>
        <w:t>La regulación de directivas anticipadas de la Ley 1996 de 2019 ofrece, además, un criterio útil: el sistema debe respetar la autonomía y la voluntad vigente del titular. En materia testamentaria, esta consideración adquiere especial importancia por la naturaleza esencialmente revocable y personal del testamento.</w:t>
      </w:r>
    </w:p>
    <w:p w14:paraId="75B54C27" w14:textId="77777777" w:rsidR="001D7B07" w:rsidRDefault="008C664A" w:rsidP="00021177">
      <w:r>
        <w:rPr>
          <w:sz w:val="20"/>
        </w:rPr>
        <w:t>Por tanto, los mecanismos de apoyo o instrumentos previos de planificación no pueden convertirse en títulos autónomos para predeterminar el contenido de una disposición testamentaria posterior.</w:t>
      </w:r>
    </w:p>
    <w:p w14:paraId="47376D1A" w14:textId="77777777" w:rsidR="001D7B07" w:rsidRDefault="008C664A">
      <w:pPr>
        <w:pStyle w:val="UTLHeading2"/>
      </w:pPr>
      <w:r>
        <w:rPr>
          <w:sz w:val="20"/>
        </w:rPr>
        <w:t>3.7. Salvaguardias: protección sin paternalismo</w:t>
      </w:r>
    </w:p>
    <w:p w14:paraId="34615EE1" w14:textId="77777777" w:rsidR="001D7B07" w:rsidRDefault="008C664A" w:rsidP="00021177">
      <w:r>
        <w:rPr>
          <w:sz w:val="20"/>
        </w:rPr>
        <w:t>El derecho a apoyos debe complementarse con salvaguardias. La Convención exige que estas medidas impidan abusos, conflictos de interés e influencia indebida y respeten los derechos, voluntad y preferencias de la persona.</w:t>
      </w:r>
    </w:p>
    <w:p w14:paraId="1681AED0" w14:textId="77777777" w:rsidR="001D7B07" w:rsidRDefault="008C664A" w:rsidP="00021177">
      <w:r>
        <w:rPr>
          <w:sz w:val="20"/>
        </w:rPr>
        <w:t>La protección contra la influencia indebida no puede transformarse en paternalismo. La Ley 1996 de 2019 reconoce que las salvaguardias deben respetar la voluntad y preferencias de la persona y no sustituirlas por una valoración acerca de aquello que un tercero considere objetivamente conveniente.</w:t>
      </w:r>
    </w:p>
    <w:p w14:paraId="081C2993" w14:textId="77777777" w:rsidR="001D7B07" w:rsidRDefault="008C664A" w:rsidP="00021177">
      <w:r>
        <w:rPr>
          <w:sz w:val="20"/>
        </w:rPr>
        <w:t>Aplicado al testamento, esto significa que el notario debe verificar autenticidad, libertad y ausencia de influencia indebida, pero no puede sustituir al testador evaluando si la distribución patrimonial adoptada es prudente, conveniente o coincide con las preferencias de sus familiares. El objeto de la salvaguardia es comprobar que la decisión sea propia, no corregirla.</w:t>
      </w:r>
    </w:p>
    <w:p w14:paraId="3B738EDF" w14:textId="77777777" w:rsidR="001D7B07" w:rsidRDefault="008C664A">
      <w:pPr>
        <w:pStyle w:val="UTLHeading2"/>
      </w:pPr>
      <w:r>
        <w:rPr>
          <w:sz w:val="20"/>
        </w:rPr>
        <w:t>3.8. Una problemática constitucional progresivamente identificada</w:t>
      </w:r>
    </w:p>
    <w:p w14:paraId="5B3CC9C4" w14:textId="77777777" w:rsidR="001D7B07" w:rsidRDefault="008C664A" w:rsidP="00021177">
      <w:r>
        <w:rPr>
          <w:sz w:val="20"/>
        </w:rPr>
        <w:t>La jurisprudencia constitucional confirma que estas cuestiones no son hipotéticas.</w:t>
      </w:r>
    </w:p>
    <w:p w14:paraId="46154C5A" w14:textId="77777777" w:rsidR="001D7B07" w:rsidRDefault="008C664A" w:rsidP="00021177">
      <w:r>
        <w:rPr>
          <w:sz w:val="20"/>
        </w:rPr>
        <w:lastRenderedPageBreak/>
        <w:t>En la Sentencia C-098 de 2022 la Corte declaró inexequible el artículo 1076 del Código Civil, que obligaba a las personas con discapacidad visual a utilizar exclusivamente testamento abierto.</w:t>
      </w:r>
    </w:p>
    <w:p w14:paraId="3A1F04F8" w14:textId="77777777" w:rsidR="001D7B07" w:rsidRDefault="008C664A" w:rsidP="00021177">
      <w:r>
        <w:rPr>
          <w:sz w:val="20"/>
        </w:rPr>
        <w:t>En la Sentencia C-260 de 2023 condicionó los artículos 1074 y 1081 y estableció que las personas con discapacidad pueden otorgar testamentos abiertos o cerrados utilizando los ajustes, asistencia y apoyos requeridos.</w:t>
      </w:r>
    </w:p>
    <w:p w14:paraId="530E63A0" w14:textId="77777777" w:rsidR="001D7B07" w:rsidRDefault="008C664A" w:rsidP="00021177">
      <w:r>
        <w:rPr>
          <w:sz w:val="20"/>
        </w:rPr>
        <w:t>La Sentencia C-536 de 2023 eliminó la prohibición dirigida a las personas que no saben leer ni escribir y exhortó al Congreso a ajustar el régimen notarial.</w:t>
      </w:r>
    </w:p>
    <w:p w14:paraId="6A10E08B" w14:textId="77777777" w:rsidR="001D7B07" w:rsidRDefault="008C664A" w:rsidP="00021177">
      <w:r>
        <w:rPr>
          <w:sz w:val="20"/>
        </w:rPr>
        <w:t>Finalmente, la Sentencia C-098 de 2025 examinó el artículo 1080 y sostuvo que privilegiar exclusivamente la voz, la vista, el oído o la escritura desconoce que actualmente existen otros mecanismos eficaces para expresar y comprender una voluntad testamentaria. La Corte reiteró que los apoyos son compatibles con el carácter personalísimo e indelegable del testamento porque asisten pero no sustituyen al testador.</w:t>
      </w:r>
    </w:p>
    <w:p w14:paraId="24831229" w14:textId="77777777" w:rsidR="001D7B07" w:rsidRDefault="008C664A" w:rsidP="00021177">
      <w:r>
        <w:rPr>
          <w:sz w:val="20"/>
        </w:rPr>
        <w:t>Las cuatro providencias revelan así una misma necesidad de adecuación normativa.</w:t>
      </w:r>
    </w:p>
    <w:p w14:paraId="535C6451" w14:textId="77777777" w:rsidR="001D7B07" w:rsidRDefault="008C664A">
      <w:pPr>
        <w:pStyle w:val="UTLHeading2"/>
      </w:pPr>
      <w:r>
        <w:rPr>
          <w:sz w:val="20"/>
        </w:rPr>
        <w:t>3.9. Intervención legislativa mínima</w:t>
      </w:r>
    </w:p>
    <w:p w14:paraId="01E284BB" w14:textId="5132426A" w:rsidR="001D7B07" w:rsidRDefault="008C664A" w:rsidP="00021177">
      <w:r>
        <w:rPr>
          <w:sz w:val="20"/>
        </w:rPr>
        <w:t>Aunque la problemática tiene carácter sistemático, no se considera conveniente reconstruir integralmente el régimen testamentario.</w:t>
      </w:r>
      <w:r w:rsidR="00021177">
        <w:t xml:space="preserve"> </w:t>
      </w:r>
      <w:r>
        <w:rPr>
          <w:sz w:val="20"/>
        </w:rPr>
        <w:t>La propuesta adopta un criterio de intervención mínima. Se modifican únicamente las expresiones o reglas que presentan una barrera identificada y se conservan aquellas solemnidades que siguen cumpliendo finalidades constitucionalmente legítimas de autenticidad, reflexión, seguridad, publicidad o reserva.</w:t>
      </w:r>
      <w:r w:rsidR="00021177">
        <w:t xml:space="preserve"> </w:t>
      </w:r>
      <w:r>
        <w:rPr>
          <w:sz w:val="20"/>
        </w:rPr>
        <w:t>Esta metodología es especialmente importante porque el testamento sigue siendo un acto solemne, individual, revocable, personal e indelegable.</w:t>
      </w:r>
    </w:p>
    <w:p w14:paraId="6A0AB6FF" w14:textId="77777777" w:rsidR="001D7B07" w:rsidRDefault="008C664A">
      <w:pPr>
        <w:pStyle w:val="UTLHeading2"/>
      </w:pPr>
      <w:r>
        <w:rPr>
          <w:sz w:val="20"/>
        </w:rPr>
        <w:t>3.10. Alcance de la ponencia positiva</w:t>
      </w:r>
    </w:p>
    <w:p w14:paraId="0BC94254" w14:textId="534BB2DD" w:rsidR="001D7B07" w:rsidRDefault="008C664A" w:rsidP="00021177">
      <w:r>
        <w:rPr>
          <w:sz w:val="20"/>
        </w:rPr>
        <w:t>La ponencia es favorable porque la finalidad del proyecto es constitucionalmente legítima, responde a un exhorto expreso de la Corte Constitucional y permite solucionar un problema normativo real.</w:t>
      </w:r>
      <w:r w:rsidR="00021177">
        <w:t xml:space="preserve"> </w:t>
      </w:r>
      <w:r>
        <w:rPr>
          <w:sz w:val="20"/>
        </w:rPr>
        <w:t>Las modificaciones mantienen el núcleo material de la iniciativa: autonomía, intimidad, manifestación válida de voluntad, apoyos, función notarial y eliminación de barreras. La ampliación propuesta incorpora normas del mismo régimen testamentario y una línea jurisprudencial estrechamente conectada con el asunto que originó el proyecto.</w:t>
      </w:r>
    </w:p>
    <w:p w14:paraId="430238E7" w14:textId="77777777" w:rsidR="001D7B07" w:rsidRDefault="008C664A">
      <w:pPr>
        <w:pStyle w:val="UTLHeading1"/>
        <w:pBdr>
          <w:bottom w:val="single" w:sz="8" w:space="2" w:color="B7B7B7"/>
        </w:pBdr>
      </w:pPr>
      <w:r>
        <w:rPr>
          <w:sz w:val="20"/>
        </w:rPr>
        <w:t>4. MARCO CONSTITUCIONAL, CONVENCIONAL, LEGAL Y JURISPRUDENCIAL</w:t>
      </w:r>
    </w:p>
    <w:p w14:paraId="474DCC16" w14:textId="77777777" w:rsidR="001D7B07" w:rsidRDefault="008C664A">
      <w:pPr>
        <w:pStyle w:val="UTLHeading2"/>
      </w:pPr>
      <w:r>
        <w:rPr>
          <w:sz w:val="20"/>
        </w:rPr>
        <w:t>4.1. Constitución Política</w:t>
      </w:r>
    </w:p>
    <w:p w14:paraId="0E9B3D7D" w14:textId="77777777" w:rsidR="001D7B07" w:rsidRDefault="008C664A">
      <w:r>
        <w:rPr>
          <w:sz w:val="20"/>
        </w:rPr>
        <w:t>La iniciativa encuentra fundamento principalmente en las siguientes disposiciones constitucionales:</w:t>
      </w:r>
    </w:p>
    <w:p w14:paraId="7492A18C" w14:textId="77777777" w:rsidR="001D7B07" w:rsidRDefault="008C664A">
      <w:pPr>
        <w:spacing w:after="40"/>
        <w:ind w:left="340" w:hanging="170"/>
      </w:pPr>
      <w:r>
        <w:rPr>
          <w:b/>
          <w:sz w:val="20"/>
        </w:rPr>
        <w:t xml:space="preserve">• </w:t>
      </w:r>
      <w:r>
        <w:rPr>
          <w:sz w:val="20"/>
        </w:rPr>
        <w:t>Artículos 1 y 2: dignidad humana, Estado social de derecho y efectividad de los derechos.</w:t>
      </w:r>
    </w:p>
    <w:p w14:paraId="384C8074" w14:textId="77777777" w:rsidR="001D7B07" w:rsidRDefault="008C664A">
      <w:pPr>
        <w:spacing w:after="40"/>
        <w:ind w:left="340" w:hanging="170"/>
      </w:pPr>
      <w:r>
        <w:rPr>
          <w:b/>
          <w:sz w:val="20"/>
        </w:rPr>
        <w:t xml:space="preserve">• </w:t>
      </w:r>
      <w:r>
        <w:rPr>
          <w:sz w:val="20"/>
        </w:rPr>
        <w:t>Artículo 13: igualdad y protección frente a discriminaciones.</w:t>
      </w:r>
    </w:p>
    <w:p w14:paraId="69E8C113" w14:textId="77777777" w:rsidR="001D7B07" w:rsidRDefault="008C664A">
      <w:pPr>
        <w:spacing w:after="40"/>
        <w:ind w:left="340" w:hanging="170"/>
      </w:pPr>
      <w:r>
        <w:rPr>
          <w:b/>
          <w:sz w:val="20"/>
        </w:rPr>
        <w:t xml:space="preserve">• </w:t>
      </w:r>
      <w:r>
        <w:rPr>
          <w:sz w:val="20"/>
        </w:rPr>
        <w:t>Artículo 14: reconocimiento de la personalidad jurídica.</w:t>
      </w:r>
    </w:p>
    <w:p w14:paraId="2143D510" w14:textId="77777777" w:rsidR="001D7B07" w:rsidRDefault="008C664A">
      <w:pPr>
        <w:spacing w:after="40"/>
        <w:ind w:left="340" w:hanging="170"/>
      </w:pPr>
      <w:r>
        <w:rPr>
          <w:b/>
          <w:sz w:val="20"/>
        </w:rPr>
        <w:t xml:space="preserve">• </w:t>
      </w:r>
      <w:r>
        <w:rPr>
          <w:sz w:val="20"/>
        </w:rPr>
        <w:t>Artículo 15: intimidad personal y familiar.</w:t>
      </w:r>
    </w:p>
    <w:p w14:paraId="42519483" w14:textId="77777777" w:rsidR="001D7B07" w:rsidRDefault="008C664A">
      <w:pPr>
        <w:spacing w:after="40"/>
        <w:ind w:left="340" w:hanging="170"/>
      </w:pPr>
      <w:r>
        <w:rPr>
          <w:b/>
          <w:sz w:val="20"/>
        </w:rPr>
        <w:t xml:space="preserve">• </w:t>
      </w:r>
      <w:r>
        <w:rPr>
          <w:sz w:val="20"/>
        </w:rPr>
        <w:t>Artículo 16: libre desarrollo de la personalidad.</w:t>
      </w:r>
    </w:p>
    <w:p w14:paraId="4EBB4D4A" w14:textId="77777777" w:rsidR="001D7B07" w:rsidRDefault="008C664A">
      <w:pPr>
        <w:spacing w:after="40"/>
        <w:ind w:left="340" w:hanging="170"/>
      </w:pPr>
      <w:r>
        <w:rPr>
          <w:b/>
          <w:sz w:val="20"/>
        </w:rPr>
        <w:t xml:space="preserve">• </w:t>
      </w:r>
      <w:r>
        <w:rPr>
          <w:sz w:val="20"/>
        </w:rPr>
        <w:t>Artículo 47: protección e inclusión de las personas con discapacidad.</w:t>
      </w:r>
    </w:p>
    <w:p w14:paraId="0290F8B6" w14:textId="77777777" w:rsidR="001D7B07" w:rsidRDefault="008C664A">
      <w:pPr>
        <w:spacing w:after="40"/>
        <w:ind w:left="340" w:hanging="170"/>
      </w:pPr>
      <w:r>
        <w:rPr>
          <w:b/>
          <w:sz w:val="20"/>
        </w:rPr>
        <w:t xml:space="preserve">• </w:t>
      </w:r>
      <w:r>
        <w:rPr>
          <w:sz w:val="20"/>
        </w:rPr>
        <w:t>Artículo 68: obligación especial del Estado frente a la erradicación del analfabetismo.</w:t>
      </w:r>
    </w:p>
    <w:p w14:paraId="0EA21604" w14:textId="77777777" w:rsidR="001D7B07" w:rsidRDefault="008C664A">
      <w:pPr>
        <w:spacing w:after="40"/>
        <w:ind w:left="340" w:hanging="170"/>
      </w:pPr>
      <w:r>
        <w:rPr>
          <w:b/>
          <w:sz w:val="20"/>
        </w:rPr>
        <w:t xml:space="preserve">• </w:t>
      </w:r>
      <w:r>
        <w:rPr>
          <w:sz w:val="20"/>
        </w:rPr>
        <w:t>Artículo 83: principio de buena fe.</w:t>
      </w:r>
    </w:p>
    <w:p w14:paraId="7B335E42" w14:textId="77777777" w:rsidR="001D7B07" w:rsidRDefault="008C664A">
      <w:pPr>
        <w:spacing w:after="40"/>
        <w:ind w:left="340" w:hanging="170"/>
      </w:pPr>
      <w:r>
        <w:rPr>
          <w:b/>
          <w:sz w:val="20"/>
        </w:rPr>
        <w:t xml:space="preserve">• </w:t>
      </w:r>
      <w:r>
        <w:rPr>
          <w:sz w:val="20"/>
        </w:rPr>
        <w:t>Artículo 93: integración de tratados internacionales sobre derechos humanos.</w:t>
      </w:r>
    </w:p>
    <w:p w14:paraId="7CB413C4" w14:textId="77777777" w:rsidR="001D7B07" w:rsidRDefault="008C664A">
      <w:pPr>
        <w:spacing w:after="40"/>
        <w:ind w:left="340" w:hanging="170"/>
      </w:pPr>
      <w:r>
        <w:rPr>
          <w:b/>
          <w:sz w:val="20"/>
        </w:rPr>
        <w:t xml:space="preserve">• </w:t>
      </w:r>
      <w:r>
        <w:rPr>
          <w:sz w:val="20"/>
        </w:rPr>
        <w:t>Artículo 131: competencia legal respecto del servicio público notarial.</w:t>
      </w:r>
    </w:p>
    <w:p w14:paraId="236747E8" w14:textId="77777777" w:rsidR="001D7B07" w:rsidRDefault="008C664A">
      <w:pPr>
        <w:spacing w:after="40"/>
        <w:ind w:left="340" w:hanging="170"/>
      </w:pPr>
      <w:r>
        <w:rPr>
          <w:b/>
          <w:sz w:val="20"/>
        </w:rPr>
        <w:lastRenderedPageBreak/>
        <w:t xml:space="preserve">• </w:t>
      </w:r>
      <w:r>
        <w:rPr>
          <w:sz w:val="20"/>
        </w:rPr>
        <w:t>Artículo 150 numeral 2: competencia del Congreso para expedir códigos y reformar sus disposiciones.</w:t>
      </w:r>
    </w:p>
    <w:p w14:paraId="4C3E52F1" w14:textId="77777777" w:rsidR="001D7B07" w:rsidRDefault="008C664A">
      <w:pPr>
        <w:pStyle w:val="UTLHeading2"/>
      </w:pPr>
      <w:r>
        <w:rPr>
          <w:sz w:val="20"/>
        </w:rPr>
        <w:t>4.2. Convención sobre los Derechos de las Personas con Discapacidad</w:t>
      </w:r>
    </w:p>
    <w:p w14:paraId="0E00C238" w14:textId="77777777" w:rsidR="001D7B07" w:rsidRDefault="008C664A" w:rsidP="00021177">
      <w:r>
        <w:rPr>
          <w:sz w:val="20"/>
        </w:rPr>
        <w:t>La Convención, aprobada mediante Ley 1346 de 2009, constituye un referente normativo central. Su artículo 12 dispone que las personas con discapacidad tienen capacidad jurídica en igualdad de condiciones con las demás en todos los aspectos de la vida; obliga a proporcionar acceso a los apoyos que puedan necesitar para ejercerla; y exige salvaguardias contra abusos, conflictos de interés e influencia indebida que respeten la voluntad y preferencias. Reconoce igualmente su derecho, en condiciones de igualdad, a controlar sus propios asuntos económicos y a heredar bienes.</w:t>
      </w:r>
    </w:p>
    <w:p w14:paraId="4E278994" w14:textId="77777777" w:rsidR="001D7B07" w:rsidRDefault="008C664A" w:rsidP="00021177">
      <w:r>
        <w:rPr>
          <w:sz w:val="20"/>
        </w:rPr>
        <w:t>El artículo 2 de la Convención define los ajustes razonables como modificaciones y adaptaciones necesarias y adecuadas que no impongan una carga desproporcionada o indebida y que permitan el ejercicio de derechos en igualdad de condiciones.</w:t>
      </w:r>
    </w:p>
    <w:p w14:paraId="5DD5C52F" w14:textId="77777777" w:rsidR="001D7B07" w:rsidRDefault="008C664A" w:rsidP="00021177">
      <w:r>
        <w:rPr>
          <w:sz w:val="20"/>
        </w:rPr>
        <w:t>El numeral 4 del artículo 12 de la Convención exige, además, que las medidas relacionadas con el ejercicio de la capacidad jurídica respeten los derechos, la voluntad y las preferencias de la persona, estén libres de conflicto de intereses e influencia indebida y sean proporcionales y adaptadas a sus circunstancias. La Observación General No. 1 de 2014 del Comité sobre los Derechos de las Personas con Discapacidad constituye un criterio interpretativo relevante para diferenciar capacidad jurídica y capacidad mental y para precisar el alcance del modelo de apoyos.</w:t>
      </w:r>
    </w:p>
    <w:p w14:paraId="6CFA94C8" w14:textId="77777777" w:rsidR="001D7B07" w:rsidRDefault="008C664A">
      <w:pPr>
        <w:pStyle w:val="UTLHeading2"/>
      </w:pPr>
      <w:r>
        <w:rPr>
          <w:sz w:val="20"/>
        </w:rPr>
        <w:t>4.3. Ley 1996 de 2019</w:t>
      </w:r>
    </w:p>
    <w:p w14:paraId="642AAE65" w14:textId="77777777" w:rsidR="001D7B07" w:rsidRDefault="008C664A" w:rsidP="00021177">
      <w:r>
        <w:rPr>
          <w:sz w:val="20"/>
        </w:rPr>
        <w:t>La Ley 1996 de 2019 reemplazó el paradigma de sustitución de voluntad por un modelo basado en capacidad legal plena, autonomía, voluntad y preferencias y acceso a apoyos.</w:t>
      </w:r>
    </w:p>
    <w:p w14:paraId="54714EB4" w14:textId="77777777" w:rsidR="001D7B07" w:rsidRDefault="008C664A" w:rsidP="00021177">
      <w:r>
        <w:rPr>
          <w:sz w:val="20"/>
        </w:rPr>
        <w:t>Para esta iniciativa resultan especialmente relevantes la presunción de capacidad para realizar actos jurídicos; el derecho a ajustes razonables; la definición amplia de comunicación; los apoyos para comunicación, comprensión y manifestación de voluntad; los apoyos formales; las salvaguardias; las reglas sobre conflictos de interés e influencia indebida; y los efectos jurídicos derivados de acuerdos y adjudicaciones de apoyo aplicables a actos determinados.</w:t>
      </w:r>
    </w:p>
    <w:p w14:paraId="19E52C74" w14:textId="77777777" w:rsidR="001D7B07" w:rsidRDefault="008C664A" w:rsidP="00021177">
      <w:r>
        <w:rPr>
          <w:sz w:val="20"/>
        </w:rPr>
        <w:t>La definición legal de comunicación comprende, entre otros mecanismos, Lengua de Señas Colombiana, visualización de textos, braille, comunicación táctil, macrotipos, dispositivos multimedia, lenguaje sencillo, medios de voz digitalizada y otros formatos aumentativos o alternativos. Esto permite al legislador utilizar una formulación tecnológicamente neutra en lugar de elaborar un catálogo cerrado de tecnologías.</w:t>
      </w:r>
    </w:p>
    <w:p w14:paraId="07E7288C" w14:textId="77777777" w:rsidR="001D7B07" w:rsidRDefault="008C664A">
      <w:pPr>
        <w:pStyle w:val="UTLHeading2"/>
      </w:pPr>
      <w:r>
        <w:rPr>
          <w:sz w:val="20"/>
        </w:rPr>
        <w:t>4.4. Código Civil y régimen notarial</w:t>
      </w:r>
    </w:p>
    <w:p w14:paraId="2D4F9A79" w14:textId="64F1B159" w:rsidR="001D7B07" w:rsidRDefault="008C664A" w:rsidP="00021177">
      <w:r>
        <w:rPr>
          <w:sz w:val="20"/>
        </w:rPr>
        <w:t>También resultan relevantes los artículos 1055, 1059, 1060, 1061, 1064, 1066, 1067, 1074, 1079, 1080 y 1081 del Código Civil; la Ley 36 de 1931; el Decreto 960 de 1970; y las normas que determinan las competencias de la Superintendencia de Notariado y Registro.</w:t>
      </w:r>
      <w:r w:rsidR="00021177">
        <w:t xml:space="preserve"> </w:t>
      </w:r>
      <w:r>
        <w:rPr>
          <w:sz w:val="20"/>
        </w:rPr>
        <w:t>La naturaleza individual, solemne y especialmente indelegable del testamento constituye un límite interpretativo transversal.</w:t>
      </w:r>
    </w:p>
    <w:p w14:paraId="61E5E1BB" w14:textId="77777777" w:rsidR="001D7B07" w:rsidRDefault="008C664A">
      <w:pPr>
        <w:pStyle w:val="UTLHeading2"/>
      </w:pPr>
      <w:r>
        <w:rPr>
          <w:sz w:val="20"/>
        </w:rPr>
        <w:t>4.5. Jurisprudencia constitucional</w:t>
      </w:r>
    </w:p>
    <w:p w14:paraId="4B11B19A" w14:textId="272D7EF9" w:rsidR="001D7B07" w:rsidRDefault="008C664A">
      <w:pPr>
        <w:spacing w:after="40"/>
        <w:ind w:left="340" w:hanging="170"/>
        <w:rPr>
          <w:sz w:val="20"/>
        </w:rPr>
      </w:pPr>
      <w:r>
        <w:rPr>
          <w:sz w:val="20"/>
        </w:rPr>
        <w:t>• Sentencia C-098 de 2022. La Corte declaró inexequible el artículo 1076 del Código Civil, que restringía a las personas con discapacidad visual al testamento abierto. La decisión reconoció que la discapacidad visual no justifica limitar la elección de modalidad testamentaria y destacó que los apoyos y salvaguardias pueden garantizar la autonomía y autenticidad de la voluntad sin sustituir al testador.</w:t>
      </w:r>
    </w:p>
    <w:p w14:paraId="176CCF8E" w14:textId="77777777" w:rsidR="00021177" w:rsidRDefault="00021177">
      <w:pPr>
        <w:spacing w:after="40"/>
        <w:ind w:left="340" w:hanging="170"/>
      </w:pPr>
    </w:p>
    <w:p w14:paraId="00D745A7" w14:textId="44633DCC" w:rsidR="001D7B07" w:rsidRDefault="008C664A">
      <w:pPr>
        <w:spacing w:after="40"/>
        <w:ind w:left="340" w:hanging="170"/>
        <w:rPr>
          <w:sz w:val="20"/>
        </w:rPr>
      </w:pPr>
      <w:r>
        <w:rPr>
          <w:sz w:val="20"/>
        </w:rPr>
        <w:lastRenderedPageBreak/>
        <w:t>• Sentencia C-260 de 2023. La Corte condicionó las expresiones “en alta voz” y “oirán” del artículo 1074 y el inciso primero del artículo 1081 del Código Civil. Precisó que las personas con discapacidad pueden otorgar testamento abierto o cerrado y que, cuando corresponda, deben garantizarse ajustes razonables, asistencia y apoyos que permitan su participación efectiva en el acto testamentario.</w:t>
      </w:r>
    </w:p>
    <w:p w14:paraId="2E469254" w14:textId="77777777" w:rsidR="00021177" w:rsidRDefault="00021177">
      <w:pPr>
        <w:spacing w:after="40"/>
        <w:ind w:left="340" w:hanging="170"/>
      </w:pPr>
    </w:p>
    <w:p w14:paraId="5D97CFF0" w14:textId="64686479" w:rsidR="001D7B07" w:rsidRDefault="008C664A">
      <w:pPr>
        <w:spacing w:after="40"/>
        <w:ind w:left="340" w:hanging="170"/>
        <w:rPr>
          <w:sz w:val="20"/>
        </w:rPr>
      </w:pPr>
      <w:r>
        <w:rPr>
          <w:sz w:val="20"/>
        </w:rPr>
        <w:t>• Sentencia C-536 de 2023. La Corte declaró inexequible el segundo vocablo “no” del artículo 1079 del Código Civil, con lo cual permitió que las personas que no saben leer ni escribir otorguen testamento cerrado. Condicionó la norma a que las notarías dispongan de los apoyos necesarios para garantizar reserva, autenticidad e integridad, exhortó al Congreso a adecuar el régimen notarial y ordenó a la Superintendencia de Notariado y Registro impartir directrices transitorias.</w:t>
      </w:r>
    </w:p>
    <w:p w14:paraId="13E36C7F" w14:textId="77777777" w:rsidR="00021177" w:rsidRDefault="00021177">
      <w:pPr>
        <w:spacing w:after="40"/>
        <w:ind w:left="340" w:hanging="170"/>
      </w:pPr>
    </w:p>
    <w:p w14:paraId="241113D7" w14:textId="77777777" w:rsidR="001D7B07" w:rsidRDefault="008C664A">
      <w:pPr>
        <w:spacing w:after="40"/>
        <w:ind w:left="340" w:hanging="170"/>
      </w:pPr>
      <w:r>
        <w:rPr>
          <w:sz w:val="20"/>
        </w:rPr>
        <w:t>• Sentencia C-098 de 2025. La Corte examinó el inciso primero del artículo 1080 del Código Civil y condicionó las expresiones relacionadas con la declaración “de viva voz”, la exigencia de que notario y testigos “lo vean, oigan y entiendan” y la regla especial aplicable a las personas con discapacidad del habla. La decisión permite utilizar ajustes razonables y apoyos para exteriorizar y comprender la declaración de que la escritura cerrada contiene el testamento, preservando la reserva de sus disposiciones.</w:t>
      </w:r>
    </w:p>
    <w:p w14:paraId="3E32E264" w14:textId="77777777" w:rsidR="001D7B07" w:rsidRDefault="008C664A">
      <w:pPr>
        <w:pStyle w:val="UTLHeading2"/>
      </w:pPr>
      <w:r>
        <w:rPr>
          <w:sz w:val="20"/>
        </w:rPr>
        <w:t>4.6. Evolución normativa, jurisprudencial y administrativa hacia un testamento sin barreras</w:t>
      </w:r>
    </w:p>
    <w:p w14:paraId="4123F483" w14:textId="77777777" w:rsidR="001D7B07" w:rsidRDefault="008C664A">
      <w:r>
        <w:rPr>
          <w:sz w:val="20"/>
        </w:rPr>
        <w:t>La evolución del régimen testamentario colombiano evidencia un tránsito progresivo desde reglas concebidas bajo formas tradicionales y excluyentes de comunicación hacia un sistema orientado a garantizar mayor accesibilidad, autonomía, intimidad y reconocimiento de la capacidad jurídica.</w:t>
      </w:r>
    </w:p>
    <w:p w14:paraId="1B682BCB" w14:textId="77777777" w:rsidR="001D7B07" w:rsidRDefault="008C664A">
      <w:r>
        <w:rPr>
          <w:sz w:val="20"/>
        </w:rPr>
        <w:t>El punto de partida histórico se encuentra en la Ley 84 de 1873, mediante la cual se adoptó el Código Civil. Su artículo 1079 dispuso originalmente que quien no supiera leer y escribir no podía otorgar testamento cerrado. Esta restricción privó durante décadas a ese grupo de personas de una modalidad testamentaria especialmente vinculada con la reserva de la última voluntad.</w:t>
      </w:r>
    </w:p>
    <w:p w14:paraId="0664DB4C" w14:textId="77777777" w:rsidR="001D7B07" w:rsidRDefault="008C664A">
      <w:r>
        <w:rPr>
          <w:sz w:val="20"/>
        </w:rPr>
        <w:t>La Sentencia C-098 de 2022 constituyó un primer hito reciente en la eliminación de barreras dentro de este régimen. La Corte declaró inexequible el artículo 1076 del Código Civil, que restringía a las personas con discapacidad visual al testamento abierto y exigía una doble lectura en voz alta, al considerar que la medida desconocía los derechos a la igualdad y a la intimidad y resultaba incompatible con el modelo social de discapacidad.</w:t>
      </w:r>
    </w:p>
    <w:p w14:paraId="663DB033" w14:textId="77777777" w:rsidR="001D7B07" w:rsidRDefault="008C664A">
      <w:r>
        <w:rPr>
          <w:sz w:val="20"/>
        </w:rPr>
        <w:t>En 2023, la Sentencia C-536 eliminó la prohibición contenida en el artículo 1079 para las personas que no saben leer ni escribir, condicionó la norma a la disponibilidad de apoyos que garanticen reserva, autenticidad e integridad, exhortó al Congreso a adecuar el régimen notarial y ordenó a la Superintendencia de Notariado y Registro impartir directrices mientras se expide la regulación legislativa correspondiente.</w:t>
      </w:r>
    </w:p>
    <w:p w14:paraId="679D7A34" w14:textId="77777777" w:rsidR="001D7B07" w:rsidRDefault="008C664A">
      <w:r>
        <w:rPr>
          <w:sz w:val="20"/>
        </w:rPr>
        <w:t>Ese mismo año, la Sentencia C-260 de 2023 declaró la exequibilidad condicionada de las expresiones “en alta voz” y “oirán” del artículo 1074 y del inciso primero del artículo 1081, bajo el entendido de que las personas con discapacidad pueden otorgar testamentos abiertos y cerrados y, cuando corresponda, utilizar ajustes razonables, asistencia y apoyos, incluidos los apoyos formales previamente convenidos o judicialmente asignados.</w:t>
      </w:r>
    </w:p>
    <w:p w14:paraId="1F660964" w14:textId="77777777" w:rsidR="001D7B07" w:rsidRDefault="008C664A">
      <w:r>
        <w:rPr>
          <w:sz w:val="20"/>
        </w:rPr>
        <w:t xml:space="preserve">En el ámbito administrativo, la Superintendencia de Notariado y Registro expidió la Circular 180 del 12 de junio de 2024, dirigida a los notarios del país, mediante la cual requirió información sobre los ajustes razonables implementados para personas con discapacidad interesadas en otorgar testamentos abiertos y cerrados con </w:t>
      </w:r>
      <w:r>
        <w:rPr>
          <w:sz w:val="20"/>
        </w:rPr>
        <w:lastRenderedPageBreak/>
        <w:t>ocasión de la Sentencia C-260 de 2023. Esta actuación evidencia que la adaptación del servicio notarial a los nuevos estándares constitucionales ya plantea necesidades operativas concretas.</w:t>
      </w:r>
    </w:p>
    <w:p w14:paraId="2882F568" w14:textId="77777777" w:rsidR="001D7B07" w:rsidRDefault="008C664A">
      <w:r>
        <w:rPr>
          <w:sz w:val="20"/>
        </w:rPr>
        <w:t>De manera paralela, la Circular 182 del 13 de junio de 2024 abordó la atención a población con discapacidad auditiva y sordoceguera en las Oficinas de Registro de Instrumentos Públicos. Aunque esta circular no desarrolla específicamente la Sentencia C-536 de 2023 ni regula el otorgamiento de testamentos, constituye un antecedente institucional relevante sobre accesibilidad, interpretación en Lengua de Señas Colombiana y eliminación de barreras comunicativas dentro de la Superintendencia.</w:t>
      </w:r>
    </w:p>
    <w:p w14:paraId="430D5379" w14:textId="77777777" w:rsidR="001D7B07" w:rsidRDefault="008C664A">
      <w:r>
        <w:rPr>
          <w:sz w:val="20"/>
        </w:rPr>
        <w:t>Finalmente, la Sentencia C-098 de 2025 examinó el inciso primero del artículo 1080 del Código Civil y concluyó que exigir exclusivamente una declaración “de viva voz” o supeditar la solemnidad a que notario y testigos “vean, oigan y entiendan” la declaración, sin admitir ajustes y apoyos alternativos, restringía injustificadamente el ejercicio de la capacidad jurídica de las personas con discapacidad. La Corte condicionó dichas expresiones para permitir los mecanismos necesarios tanto para exteriorizar la voluntad del testador como para que notarios y testigos puedan comprender su declaración.</w:t>
      </w:r>
    </w:p>
    <w:p w14:paraId="714827BD" w14:textId="77777777" w:rsidR="001D7B07" w:rsidRDefault="008C664A">
      <w:r>
        <w:rPr>
          <w:sz w:val="20"/>
        </w:rPr>
        <w:t>De manera más reciente, la Superintendencia Delegada para el Notariado expidió la Circular CIR-2026-000182-4 del 3 de junio de 2026, dirigida a los notarios del país y titulada “Atención a personas que no saben leer ni escribir para el otorgamiento de testamento cerrado”. La circular fue expedida en cumplimiento de la Sentencia C-536 de 2023 y constituye una directriz administrativa de transición mientras el Congreso adopta la regulación legal correspondiente. Su existencia confirma que el problema regulado por el proyecto ya se presenta en la prestación efectiva del servicio notarial y refuerza la necesidad de establecer reglas legales permanentes, uniformes y suficientemente claras.</w:t>
      </w:r>
    </w:p>
    <w:p w14:paraId="7829753E" w14:textId="77777777" w:rsidR="001D7B07" w:rsidRDefault="008C664A">
      <w:r>
        <w:rPr>
          <w:sz w:val="20"/>
        </w:rPr>
        <w:t>Esta secuencia permite advertir que la presente iniciativa no constituye una innovación aislada. Se inscribe en un proceso progresivo de adecuación constitucional, legal y administrativa del régimen testamentario, cuyo eje común es remover barreras sin desnaturalizar las solemnidades que protegen la autenticidad, independencia y reserva de la voluntad testamentaria.</w:t>
      </w:r>
    </w:p>
    <w:p w14:paraId="6983C7D4" w14:textId="77777777" w:rsidR="001D7B07" w:rsidRDefault="008C664A">
      <w:pPr>
        <w:pStyle w:val="UTLHeading1"/>
        <w:pBdr>
          <w:bottom w:val="single" w:sz="8" w:space="2" w:color="B7B7B7"/>
        </w:pBdr>
      </w:pPr>
      <w:r>
        <w:rPr>
          <w:sz w:val="20"/>
        </w:rPr>
        <w:t>5. COMPETENCIA DE LA COMISIÓN Y TIPO DE LEY</w:t>
      </w:r>
    </w:p>
    <w:p w14:paraId="7F95F70A" w14:textId="77777777" w:rsidR="001D7B07" w:rsidRDefault="008C664A">
      <w:pPr>
        <w:pStyle w:val="UTLHeading2"/>
      </w:pPr>
      <w:r>
        <w:rPr>
          <w:sz w:val="20"/>
        </w:rPr>
        <w:t>5.1. Comisión competente</w:t>
      </w:r>
    </w:p>
    <w:p w14:paraId="41FDA5BB" w14:textId="45C43C2B" w:rsidR="001D7B07" w:rsidRDefault="008C664A" w:rsidP="00021177">
      <w:r>
        <w:rPr>
          <w:sz w:val="20"/>
        </w:rPr>
        <w:t>La Comisión Primera Constitucional Permanente es competente porque la materia dominante comprende notariado, derechos y garantías y modificación de disposiciones del Código Civil relacionadas con capacidad y manifestación testamentaria.</w:t>
      </w:r>
      <w:r w:rsidR="00021177">
        <w:rPr>
          <w:sz w:val="20"/>
        </w:rPr>
        <w:t xml:space="preserve"> </w:t>
      </w:r>
      <w:r>
        <w:rPr>
          <w:sz w:val="20"/>
        </w:rPr>
        <w:t>La ampliación propuesta no modifica dicha materia dominante.</w:t>
      </w:r>
    </w:p>
    <w:p w14:paraId="3ACBC84E" w14:textId="77777777" w:rsidR="001D7B07" w:rsidRDefault="008C664A">
      <w:pPr>
        <w:pStyle w:val="UTLHeading2"/>
      </w:pPr>
      <w:r>
        <w:rPr>
          <w:sz w:val="20"/>
        </w:rPr>
        <w:t>5.2. Tipo de ley</w:t>
      </w:r>
    </w:p>
    <w:p w14:paraId="6DA2E8B0" w14:textId="3C25BE92" w:rsidR="001D7B07" w:rsidRDefault="008C664A" w:rsidP="00021177">
      <w:r>
        <w:rPr>
          <w:sz w:val="20"/>
        </w:rPr>
        <w:t>La iniciativa corresponde a una ley ordinaria. No regula integralmente un derecho fundamental ni desarrolla una materia reservada por el artículo 152 de la Constitución a ley estatutaria.</w:t>
      </w:r>
      <w:r w:rsidR="00021177">
        <w:t xml:space="preserve"> </w:t>
      </w:r>
      <w:r>
        <w:rPr>
          <w:sz w:val="20"/>
        </w:rPr>
        <w:t>El proyecto requiere cuatro debates y, como regla general, mayoría simple conforme a las reglas constitucionales y legales sobre quórum y votación.</w:t>
      </w:r>
    </w:p>
    <w:p w14:paraId="1DC5988F" w14:textId="77777777" w:rsidR="001D7B07" w:rsidRDefault="008C664A">
      <w:pPr>
        <w:pStyle w:val="UTLHeading1"/>
        <w:pBdr>
          <w:bottom w:val="single" w:sz="8" w:space="2" w:color="B7B7B7"/>
        </w:pBdr>
      </w:pPr>
      <w:r>
        <w:rPr>
          <w:sz w:val="20"/>
        </w:rPr>
        <w:t>6. INICIATIVA LEGISLATIVA Y COMPETENCIAS ADMINISTRATIVAS</w:t>
      </w:r>
    </w:p>
    <w:p w14:paraId="407A59BA" w14:textId="77777777" w:rsidR="001D7B07" w:rsidRDefault="008C664A" w:rsidP="00021177">
      <w:r>
        <w:rPr>
          <w:sz w:val="20"/>
        </w:rPr>
        <w:t>La iniciativa es parlamentaria. La modificación del Código Civil, las solemnidades testamentarias y la regulación general de la función notarial no están sometidas por sí mismas a iniciativa privativa gubernamental.</w:t>
      </w:r>
    </w:p>
    <w:p w14:paraId="5C56E404" w14:textId="77777777" w:rsidR="001D7B07" w:rsidRDefault="008C664A" w:rsidP="00021177">
      <w:r>
        <w:rPr>
          <w:sz w:val="20"/>
        </w:rPr>
        <w:t>Las atribuciones previstas para el Ministerio de Justicia y del Derecho y la Superintendencia de Notariado y Registro deberán formularse dentro de sus competencias vigentes. Por ello, el pliego evitará asignaciones que puedan configurar una modificación sustancial de la estructura de la Administración nacional.</w:t>
      </w:r>
    </w:p>
    <w:p w14:paraId="0C76638B" w14:textId="77777777" w:rsidR="001D7B07" w:rsidRDefault="008C664A">
      <w:pPr>
        <w:pStyle w:val="UTLHeading1"/>
        <w:pBdr>
          <w:bottom w:val="single" w:sz="8" w:space="2" w:color="B7B7B7"/>
        </w:pBdr>
      </w:pPr>
      <w:r>
        <w:rPr>
          <w:sz w:val="20"/>
        </w:rPr>
        <w:lastRenderedPageBreak/>
        <w:t>7. UNIDAD DE MATERIA, CONSECUTIVIDAD Y ALCANCE DE LAS MODIFICACIONES</w:t>
      </w:r>
    </w:p>
    <w:p w14:paraId="34D5892A" w14:textId="77777777" w:rsidR="001D7B07" w:rsidRDefault="008C664A" w:rsidP="00021177">
      <w:r>
        <w:rPr>
          <w:sz w:val="20"/>
        </w:rPr>
        <w:t>La ampliación requiere especial cuidado porque el texto radicado se concentra en el artículo 1079 y las personas que no saben leer ni escribir. Sin embargo, existe conexidad causal, temática, teleológica y sistemática con las modificaciones propuestas.</w:t>
      </w:r>
    </w:p>
    <w:p w14:paraId="7EFBD689" w14:textId="77777777" w:rsidR="001D7B07" w:rsidRDefault="008C664A" w:rsidP="00021177">
      <w:r>
        <w:rPr>
          <w:sz w:val="20"/>
        </w:rPr>
        <w:t>Los artículos 1074, 1079, 1080 y 1081 regulan solemnidades del mismo régimen testamentario y han sido objeto de una misma línea constitucional sobre formas de comunicación, intimidad, autonomía y capacidad jurídica. La Sentencia C-098 de 2025 vincula expresamente su examen del artículo 1080 con los desarrollos anteriores de Sentencia C-260 de 2023 y Sentencia C-536 de 2023.</w:t>
      </w:r>
    </w:p>
    <w:p w14:paraId="1E625483" w14:textId="77777777" w:rsidR="001D7B07" w:rsidRDefault="008C664A" w:rsidP="00021177">
      <w:r>
        <w:rPr>
          <w:sz w:val="20"/>
        </w:rPr>
        <w:t>La modificación propuesta al numeral 4 del artículo 1061 requiere una justificación diferenciada. No obedece a una orden específica de la Corte respecto de esa disposición. Constituye una propuesta legislativa de armonización destinada a eliminar la limitación de la manifestación de voluntad a “palabra o escrito”, conservando intacta la exigencia material de que exista una expresión clara de voluntad.</w:t>
      </w:r>
    </w:p>
    <w:p w14:paraId="3D50DA1D" w14:textId="0F0CBE09" w:rsidR="001D7B07" w:rsidRDefault="008C664A" w:rsidP="00021177">
      <w:r>
        <w:rPr>
          <w:sz w:val="20"/>
        </w:rPr>
        <w:t xml:space="preserve">La incorporación de estos asuntos desde primer debate permite su deliberación durante las cuatro etapas legislativas y reduce riesgos de consecutividad. </w:t>
      </w:r>
    </w:p>
    <w:p w14:paraId="61CC7109" w14:textId="77777777" w:rsidR="001D7B07" w:rsidRDefault="008C664A">
      <w:pPr>
        <w:pStyle w:val="UTLHeading1"/>
        <w:pBdr>
          <w:bottom w:val="single" w:sz="8" w:space="2" w:color="B7B7B7"/>
        </w:pBdr>
      </w:pPr>
      <w:r>
        <w:rPr>
          <w:sz w:val="20"/>
        </w:rPr>
        <w:t>8. CONFLICTO DE INTERESES</w:t>
      </w:r>
    </w:p>
    <w:p w14:paraId="7B1952B0" w14:textId="77777777" w:rsidR="001D7B07" w:rsidRDefault="008C664A" w:rsidP="00021177">
      <w:r>
        <w:rPr>
          <w:sz w:val="20"/>
        </w:rPr>
        <w:t>De conformidad con lo establecido en el artículo 3 de la Ley 2003 de 2019, “Por medio de la cual se modifica el artículo 286 de la Ley 5 de 1992”, se advierte que el presente proyecto de ley tiene por objeto garantizar el ejercicio de la autonomía, la intimidad y la capacidad jurídica en materia testamentaria, eliminar barreras asociadas a determinadas formas de comunicación y adecuar las solemnidades notariales aplicables, sin otorgar beneficios particulares, directos ni singulares a los congresistas, sus cónyuges, compañeros permanentes o parientes dentro del cuarto grado de consanguinidad, segundo de afinidad o primero civil.</w:t>
      </w:r>
    </w:p>
    <w:p w14:paraId="158623C6" w14:textId="76E30E52" w:rsidR="001D7B07" w:rsidRDefault="008C664A" w:rsidP="00021177">
      <w:r>
        <w:rPr>
          <w:sz w:val="20"/>
        </w:rPr>
        <w:t>Por lo tanto, la discusión y aprobación de esta iniciativa legislativa se enmarca dentro del interés general y la garantía de los derechos a la igualdad, autonomía, intimidad, capacidad jurídica y accesibilidad en el otorgamiento de testamentos. En consecuencia, no se configura, por el contenido general y abstracto del proyecto, un conflicto de interés particular y directo, sin perjuicio de la obligación de cada congresista de declarar los impedimentos particulares que considere sobrevinientes de conformidad con las disposiciones legales vigentes.</w:t>
      </w:r>
    </w:p>
    <w:p w14:paraId="561723E4" w14:textId="77777777" w:rsidR="001D7B07" w:rsidRDefault="008C664A">
      <w:pPr>
        <w:pStyle w:val="UTLHeading1"/>
        <w:pBdr>
          <w:bottom w:val="single" w:sz="8" w:space="2" w:color="B7B7B7"/>
        </w:pBdr>
      </w:pPr>
      <w:r>
        <w:rPr>
          <w:sz w:val="20"/>
        </w:rPr>
        <w:t>9. IMPACTO FISCAL</w:t>
      </w:r>
    </w:p>
    <w:p w14:paraId="50C8CE2C" w14:textId="77777777" w:rsidR="001D7B07" w:rsidRDefault="008C664A" w:rsidP="00021177">
      <w:r w:rsidRPr="00422886">
        <w:rPr>
          <w:color w:val="000000" w:themeColor="text1"/>
          <w:sz w:val="20"/>
        </w:rPr>
        <w:t xml:space="preserve">La exposición de motivos </w:t>
      </w:r>
      <w:r>
        <w:rPr>
          <w:sz w:val="20"/>
        </w:rPr>
        <w:t>del proyecto radicado reconoce expresamente que la iniciativa puede producir efectos fiscales. El artículo 7 de la Ley 819 de 2003 exige hacer explícito el análisis fiscal cuando un proyecto ordene gasto o conceda beneficios tributarios y dispone reglas diferenciadas según el origen de la iniciativa.</w:t>
      </w:r>
    </w:p>
    <w:p w14:paraId="429A60DA" w14:textId="77777777" w:rsidR="001D7B07" w:rsidRDefault="008C664A" w:rsidP="00021177">
      <w:r>
        <w:rPr>
          <w:sz w:val="20"/>
        </w:rPr>
        <w:t>La Sentencia C-133 de 2022, al sistematizar la jurisprudencia sobre esta materia, reiteró que en proyectos de origen congresional la responsabilidad del Congreso consiste en realizar una consideración mínima e informada de las incidencias fiscales; esa carga no exige necesariamente una estimación exhaustiva equivalente a la que puede producir el Ministerio de Hacienda y Crédito Público. La Corte también ha indicado que el silencio o la oposición del Gobierno no constituyen un veto cuando el Congreso ha cumplido su deber de análisis.</w:t>
      </w:r>
    </w:p>
    <w:p w14:paraId="37825021" w14:textId="6ADF3EA6" w:rsidR="001D7B07" w:rsidRDefault="008C664A" w:rsidP="00021177">
      <w:pPr>
        <w:rPr>
          <w:sz w:val="20"/>
        </w:rPr>
      </w:pPr>
      <w:r>
        <w:rPr>
          <w:sz w:val="20"/>
        </w:rPr>
        <w:t xml:space="preserve">En el texto propuesto para primer debate no se conceden beneficios tributarios ni se incorporan órdenes directas e inmediatas de apropiación o gasto público. Las medidas son principalmente de naturaleza civil y notarial y buscan adecuar las solemnidades testamentarias, la accesibilidad y el uso de apoyos dentro de competencias institucionales existentes. </w:t>
      </w:r>
    </w:p>
    <w:p w14:paraId="793988E8" w14:textId="77777777" w:rsidR="00422886" w:rsidRDefault="00422886" w:rsidP="00021177">
      <w:pPr>
        <w:rPr>
          <w:sz w:val="20"/>
        </w:rPr>
      </w:pPr>
    </w:p>
    <w:p w14:paraId="31F764DD" w14:textId="21C6A634" w:rsidR="00422886" w:rsidRDefault="00422886" w:rsidP="00021177">
      <w:r>
        <w:t>Con el propósito de establecer el alcance operativo y económico de las medidas de accesibilidad y apoyo previstas en el proyecto, se solicitó información a la Superintendencia de Notariado y Registro. A la fecha de elaboración del presente informe de ponencia no se ha recibido respuesta, pese al término aplicable a las solicitudes de informes formuladas por los congresistas. En consecuencia, el análisis se realiza con fundamento en el marco normativo, jurisprudencial y administrativo actualmente disponible, sin perjuicio de incorporar durante el trámite legislativo la información que posteriormente sea remitida por la entidad.</w:t>
      </w:r>
    </w:p>
    <w:p w14:paraId="3F5E296E" w14:textId="77777777" w:rsidR="001D7B07" w:rsidRDefault="008C664A">
      <w:pPr>
        <w:pStyle w:val="UTLHeading1"/>
        <w:pBdr>
          <w:bottom w:val="single" w:sz="8" w:space="2" w:color="B7B7B7"/>
        </w:pBdr>
      </w:pPr>
      <w:r>
        <w:rPr>
          <w:sz w:val="20"/>
        </w:rPr>
        <w:t>10. CONSULTA PREVIA</w:t>
      </w:r>
    </w:p>
    <w:p w14:paraId="2D4B2923" w14:textId="0E2B74B6" w:rsidR="001D7B07" w:rsidRDefault="008C664A" w:rsidP="009922D1">
      <w:r>
        <w:rPr>
          <w:sz w:val="20"/>
        </w:rPr>
        <w:t>La iniciativa contiene disposiciones generales sobre capacidad jurídica, testamentos y función notarial. No establece regulaciones específicas sobre pueblos y comunidades étnicas, sus autoridades, instituciones, territorios, representación o derechos colectivos.</w:t>
      </w:r>
      <w:r w:rsidR="009922D1">
        <w:t xml:space="preserve"> </w:t>
      </w:r>
      <w:r>
        <w:rPr>
          <w:sz w:val="20"/>
        </w:rPr>
        <w:t>En consecuencia, no se identifica una afectación directa, específica y diferencial que active el deber de consulta previa. La conclusión deberá revisarse si durante el trámite se introducen disposiciones de esa naturaleza.</w:t>
      </w:r>
    </w:p>
    <w:p w14:paraId="3775DEC2" w14:textId="77777777" w:rsidR="001D7B07" w:rsidRDefault="008C664A">
      <w:pPr>
        <w:pStyle w:val="UTLHeading1"/>
        <w:pBdr>
          <w:bottom w:val="single" w:sz="8" w:space="2" w:color="B7B7B7"/>
        </w:pBdr>
      </w:pPr>
      <w:r>
        <w:rPr>
          <w:sz w:val="20"/>
        </w:rPr>
        <w:t>11. RÉGIMEN DE ACCESIBILIDAD, APOYOS Y SALVAGUARDIAS EN MATERIA TESTAMENTARIA</w:t>
      </w:r>
    </w:p>
    <w:p w14:paraId="3FEF9769" w14:textId="7F46CC05" w:rsidR="001D7B07" w:rsidRDefault="009922D1" w:rsidP="009922D1">
      <w:pPr>
        <w:rPr>
          <w:sz w:val="20"/>
        </w:rPr>
      </w:pPr>
      <w:r>
        <w:rPr>
          <w:sz w:val="20"/>
        </w:rPr>
        <w:t>Para efectos de la proposición del pliego modificatorio, s</w:t>
      </w:r>
      <w:r w:rsidR="008C664A">
        <w:rPr>
          <w:sz w:val="20"/>
        </w:rPr>
        <w:t>e considera necesario establecer una regla transversal, pero no crear un régimen autónomo de apoyos distinto del previsto en la Ley 1996 de 2019. La función de la nueva disposición debe ser articular el régimen general de capacidad jurídica con las particularidades del testamento.</w:t>
      </w:r>
    </w:p>
    <w:p w14:paraId="5A0DEB74" w14:textId="33D10371" w:rsidR="009922D1" w:rsidRDefault="009922D1" w:rsidP="009922D1">
      <w:r>
        <w:rPr>
          <w:sz w:val="20"/>
        </w:rPr>
        <w:t xml:space="preserve">A continuación, se realiza una breve explicación del régimen de accesibilidad, los apoyos y salvaguardias en materia testamentaria para efectos de crear una regla transversal que sirva como cláusula general de interpretación sin eliminar las solemnidades testamentarias y permitir apoyos sin sustituir la voluntad del testador. </w:t>
      </w:r>
    </w:p>
    <w:p w14:paraId="6590764D" w14:textId="77777777" w:rsidR="001D7B07" w:rsidRDefault="008C664A">
      <w:pPr>
        <w:pStyle w:val="UTLHeading2"/>
      </w:pPr>
      <w:r>
        <w:rPr>
          <w:sz w:val="20"/>
        </w:rPr>
        <w:t>11.1. Ajustes razonables</w:t>
      </w:r>
    </w:p>
    <w:p w14:paraId="72175C09" w14:textId="77777777" w:rsidR="001D7B07" w:rsidRDefault="008C664A" w:rsidP="009922D1">
      <w:r>
        <w:rPr>
          <w:sz w:val="20"/>
        </w:rPr>
        <w:t>Los ajustes razonables recaen sobre el entorno, procedimiento o forma de comunicación. Su finalidad es remover barreras concretas para que la persona pueda participar en igualdad de condiciones. No equivalen a una declaración de incapacidad ni presuponen que la persona necesite que otro decida.</w:t>
      </w:r>
    </w:p>
    <w:p w14:paraId="0532ACF9" w14:textId="77777777" w:rsidR="001D7B07" w:rsidRDefault="008C664A">
      <w:pPr>
        <w:pStyle w:val="UTLHeading2"/>
      </w:pPr>
      <w:r>
        <w:rPr>
          <w:sz w:val="20"/>
        </w:rPr>
        <w:t>11.2. Apoyos</w:t>
      </w:r>
    </w:p>
    <w:p w14:paraId="04228EEC" w14:textId="77777777" w:rsidR="001D7B07" w:rsidRDefault="008C664A" w:rsidP="009922D1">
      <w:r>
        <w:rPr>
          <w:sz w:val="20"/>
        </w:rPr>
        <w:t>Los apoyos asisten a la persona. Pueden facilitar la comunicación, comprensión de las consecuencias del acto o manifestación de voluntad. Su utilización nunca debe transformarse en sustitución de la decisión.</w:t>
      </w:r>
    </w:p>
    <w:p w14:paraId="3CD1ABA2" w14:textId="77777777" w:rsidR="001D7B07" w:rsidRDefault="008C664A" w:rsidP="009922D1">
      <w:r>
        <w:rPr>
          <w:sz w:val="20"/>
        </w:rPr>
        <w:t>La regla transversal deberá, por ello, dejar claro que la necesidad o utilización de apoyos no constituye por sí misma indicio de inhabilidad testamentaria.</w:t>
      </w:r>
    </w:p>
    <w:p w14:paraId="52B22CA8" w14:textId="77777777" w:rsidR="001D7B07" w:rsidRDefault="008C664A">
      <w:pPr>
        <w:pStyle w:val="UTLHeading2"/>
      </w:pPr>
      <w:r>
        <w:rPr>
          <w:sz w:val="20"/>
        </w:rPr>
        <w:t>11.3. Apoyos formalmente establecidos</w:t>
      </w:r>
    </w:p>
    <w:p w14:paraId="18681BD3" w14:textId="77777777" w:rsidR="001D7B07" w:rsidRDefault="008C664A" w:rsidP="009922D1">
      <w:r>
        <w:rPr>
          <w:sz w:val="20"/>
        </w:rPr>
        <w:t>Cuando existan apoyos formales previamente convenidos o judicialmente asignados que resulten aplicables al acto testamentario, deberá respetarse su validez en los términos de la Ley 1996 de 2019, sin perjuicio del carácter personal e indelegable de la facultad de testar.</w:t>
      </w:r>
    </w:p>
    <w:p w14:paraId="6D002B9E" w14:textId="77777777" w:rsidR="001D7B07" w:rsidRDefault="008C664A" w:rsidP="009922D1">
      <w:r>
        <w:rPr>
          <w:sz w:val="20"/>
        </w:rPr>
        <w:t>Esto es especialmente relevante porque los artículos 19 y 39 de la Ley 1996 de 2019 atribuyen consecuencias de validez a la omisión de apoyos formalmente establecidos para actos determinados. En materia testamentaria, sin embargo, su reconocimiento está limitado por la especialidad del acto y por la regla del artículo 1060 del Código Civil: ningún apoyo puede testar por la persona ni sustituir su voluntad.</w:t>
      </w:r>
    </w:p>
    <w:p w14:paraId="3A962E8E" w14:textId="77777777" w:rsidR="001D7B07" w:rsidRDefault="008C664A">
      <w:pPr>
        <w:pStyle w:val="UTLHeading2"/>
      </w:pPr>
      <w:r>
        <w:rPr>
          <w:sz w:val="20"/>
        </w:rPr>
        <w:lastRenderedPageBreak/>
        <w:t>11.4. Salvaguardias</w:t>
      </w:r>
    </w:p>
    <w:p w14:paraId="2E84D5A1" w14:textId="77777777" w:rsidR="001D7B07" w:rsidRDefault="008C664A" w:rsidP="009922D1">
      <w:r>
        <w:rPr>
          <w:sz w:val="20"/>
        </w:rPr>
        <w:t>Las salvaguardias deberán orientarse a prevenir conflictos de interés, presión, engaño, abuso, influencia indebida o sustitución de voluntad.</w:t>
      </w:r>
    </w:p>
    <w:p w14:paraId="39044560" w14:textId="77777777" w:rsidR="001D7B07" w:rsidRDefault="008C664A" w:rsidP="009922D1">
      <w:r>
        <w:rPr>
          <w:sz w:val="20"/>
        </w:rPr>
        <w:t>Pero su aplicación no puede convertirse en un control paternalista sobre el contenido de la decisión testamentaria. Una persona conserva el derecho a adoptar decisiones que otras personas puedan considerar inconvenientes o desacertadas, siempre que sean auténticamente suyas y respeten el ordenamiento.</w:t>
      </w:r>
    </w:p>
    <w:p w14:paraId="73E63D14" w14:textId="77777777" w:rsidR="001D7B07" w:rsidRDefault="008C664A">
      <w:pPr>
        <w:pStyle w:val="UTLHeading2"/>
      </w:pPr>
      <w:r>
        <w:rPr>
          <w:sz w:val="20"/>
        </w:rPr>
        <w:t>11.5. Prohibición especial de sustitución testamentaria</w:t>
      </w:r>
    </w:p>
    <w:p w14:paraId="62C213DC" w14:textId="77777777" w:rsidR="001D7B07" w:rsidRDefault="008C664A" w:rsidP="009922D1">
      <w:r>
        <w:rPr>
          <w:sz w:val="20"/>
        </w:rPr>
        <w:t>El testamento exige una regla más rigurosa que otros actos jurídicos. Por ello, el pliego deberá establecer que los apoyos no podrán testar por la persona; determinar beneficiarios; establecer porcentajes o disposiciones patrimoniales; completar una disposición inexistente; ni atribuir al testador una voluntad que este no haya manifestado.</w:t>
      </w:r>
    </w:p>
    <w:p w14:paraId="4A80D8D4" w14:textId="77777777" w:rsidR="001D7B07" w:rsidRDefault="008C664A" w:rsidP="009922D1">
      <w:r>
        <w:rPr>
          <w:sz w:val="20"/>
        </w:rPr>
        <w:t>Esta prohibición no desconoce la Ley 1996 de 2019. Por el contrario, aplica su modelo respetando la especial naturaleza jurídica del testamento.</w:t>
      </w:r>
    </w:p>
    <w:p w14:paraId="4C0B2B29" w14:textId="77777777" w:rsidR="001D7B07" w:rsidRDefault="008C664A">
      <w:pPr>
        <w:pStyle w:val="UTLHeading2"/>
      </w:pPr>
      <w:r>
        <w:rPr>
          <w:sz w:val="20"/>
        </w:rPr>
        <w:t>11.6. Reserva en el testamento cerrado</w:t>
      </w:r>
    </w:p>
    <w:p w14:paraId="63839E2E" w14:textId="77777777" w:rsidR="001D7B07" w:rsidRDefault="008C664A" w:rsidP="009922D1">
      <w:r>
        <w:rPr>
          <w:sz w:val="20"/>
        </w:rPr>
        <w:t>En el testamento cerrado debe preservarse adicionalmente el secreto. El notario y los testigos deben conocer y comprender que la escritura presentada contiene el testamento, pero no necesariamente sus disposiciones.</w:t>
      </w:r>
    </w:p>
    <w:p w14:paraId="4B584631" w14:textId="77777777" w:rsidR="001D7B07" w:rsidRDefault="008C664A" w:rsidP="009922D1">
      <w:r>
        <w:rPr>
          <w:sz w:val="20"/>
        </w:rPr>
        <w:t>La Sentencia C-098 de 2025 reafirma que la reserva constituye una característica esencial de esta modalidad y que los ajustes razonables son compatibles con ella.</w:t>
      </w:r>
    </w:p>
    <w:p w14:paraId="1489ACD5" w14:textId="77777777" w:rsidR="001D7B07" w:rsidRDefault="008C664A">
      <w:pPr>
        <w:pStyle w:val="UTLHeading1"/>
        <w:pBdr>
          <w:bottom w:val="single" w:sz="8" w:space="2" w:color="B7B7B7"/>
        </w:pBdr>
      </w:pPr>
      <w:r>
        <w:rPr>
          <w:sz w:val="20"/>
        </w:rPr>
        <w:t>12. JUSTIFICACIÓN GENERAL DEL PLIEGO DE MODIFICACIONES</w:t>
      </w:r>
    </w:p>
    <w:p w14:paraId="00B8117E" w14:textId="77777777" w:rsidR="001D7B07" w:rsidRDefault="008C664A" w:rsidP="009922D1">
      <w:r>
        <w:rPr>
          <w:sz w:val="20"/>
        </w:rPr>
        <w:t>Como resultado del análisis constitucional, convencional, civil, notarial y de técnica legislativa, el pliego mantiene la finalidad central del proyecto y propone adecuaciones puntuales para incorporarla a un marco sistemático de capacidad jurídica y accesibilidad.</w:t>
      </w:r>
    </w:p>
    <w:p w14:paraId="3083C566" w14:textId="77777777" w:rsidR="001D7B07" w:rsidRDefault="008C664A">
      <w:r>
        <w:rPr>
          <w:sz w:val="20"/>
        </w:rPr>
        <w:t>El pliego no introduce una ruptura conceptual con el ordenamiento vigente, sino que recoge y sistematiza un proceso progresivo de eliminación de barreras que puede reconstruirse desde la regla original del artículo 1079 del Código Civil, su revisión jurisprudencial en las sentencias C-098 de 2022, C-536 de 2023, C-260 de 2023 y C-098 de 2025, y las actuaciones administrativas adoptadas por la Superintendencia de Notariado y Registro en materia de accesibilidad y ajustes razonables.</w:t>
      </w:r>
    </w:p>
    <w:p w14:paraId="4A389D7E" w14:textId="77777777" w:rsidR="001D7B07" w:rsidRDefault="008C664A">
      <w:r>
        <w:rPr>
          <w:sz w:val="20"/>
        </w:rPr>
        <w:t>La existencia de directrices administrativas transitorias, particularmente la Circular CIR-2026-000182-4 del 3 de junio de 2026, evidencia que la reforma no responde a una hipótesis eventual. Corresponde al legislador sustituir progresivamente ese marco transitorio por reglas estables que armonicen las solemnidades testamentarias con los estándares de accesibilidad, capacidad jurídica, reserva, autenticidad e integridad.</w:t>
      </w:r>
    </w:p>
    <w:p w14:paraId="78FEBC08" w14:textId="77777777" w:rsidR="001D7B07" w:rsidRDefault="008C664A">
      <w:r>
        <w:rPr>
          <w:sz w:val="20"/>
        </w:rPr>
        <w:t>Las modificaciones buscan:</w:t>
      </w:r>
    </w:p>
    <w:p w14:paraId="5F806B8D" w14:textId="1BF78005" w:rsidR="001D7B07" w:rsidRDefault="008C664A">
      <w:pPr>
        <w:spacing w:after="40"/>
        <w:ind w:left="340" w:hanging="340"/>
      </w:pPr>
      <w:r>
        <w:rPr>
          <w:b/>
          <w:sz w:val="20"/>
        </w:rPr>
        <w:t xml:space="preserve">1. </w:t>
      </w:r>
      <w:r w:rsidR="009922D1">
        <w:rPr>
          <w:sz w:val="20"/>
        </w:rPr>
        <w:t>M</w:t>
      </w:r>
      <w:r>
        <w:rPr>
          <w:sz w:val="20"/>
        </w:rPr>
        <w:t>antener y desarrollar el cumplimiento de la Sentencia C-536 de 2023;</w:t>
      </w:r>
    </w:p>
    <w:p w14:paraId="5CAAE8BF" w14:textId="1C474B5E" w:rsidR="001D7B07" w:rsidRDefault="008C664A">
      <w:pPr>
        <w:spacing w:after="40"/>
        <w:ind w:left="340" w:hanging="340"/>
      </w:pPr>
      <w:r w:rsidRPr="009922D1">
        <w:rPr>
          <w:b/>
          <w:bCs/>
          <w:sz w:val="20"/>
        </w:rPr>
        <w:t>2</w:t>
      </w:r>
      <w:r>
        <w:rPr>
          <w:sz w:val="20"/>
        </w:rPr>
        <w:t xml:space="preserve">. </w:t>
      </w:r>
      <w:r w:rsidR="009922D1">
        <w:rPr>
          <w:sz w:val="20"/>
        </w:rPr>
        <w:t>I</w:t>
      </w:r>
      <w:r>
        <w:rPr>
          <w:sz w:val="20"/>
        </w:rPr>
        <w:t>ncorporar al texto legal los principales efectos de las sentencias C-260 de 2023 y C-098 de 2025;</w:t>
      </w:r>
    </w:p>
    <w:p w14:paraId="23AFD023" w14:textId="1FD2288E" w:rsidR="001D7B07" w:rsidRDefault="008C664A">
      <w:pPr>
        <w:spacing w:after="40"/>
        <w:ind w:left="340" w:hanging="340"/>
      </w:pPr>
      <w:r>
        <w:rPr>
          <w:b/>
          <w:sz w:val="20"/>
        </w:rPr>
        <w:t>3.</w:t>
      </w:r>
      <w:r w:rsidR="009922D1">
        <w:rPr>
          <w:b/>
          <w:sz w:val="20"/>
        </w:rPr>
        <w:t xml:space="preserve"> </w:t>
      </w:r>
      <w:r w:rsidR="009922D1" w:rsidRPr="009922D1">
        <w:rPr>
          <w:bCs/>
          <w:sz w:val="20"/>
        </w:rPr>
        <w:t>A</w:t>
      </w:r>
      <w:r>
        <w:rPr>
          <w:sz w:val="20"/>
        </w:rPr>
        <w:t>rmonizar el régimen testamentario con la Ley 1996 de 2019 y la Convención sobre los Derechos de las Personas con Discapacidad;</w:t>
      </w:r>
    </w:p>
    <w:p w14:paraId="2AD0A602" w14:textId="0126A0F7" w:rsidR="001D7B07" w:rsidRDefault="008C664A">
      <w:pPr>
        <w:spacing w:after="40"/>
        <w:ind w:left="340" w:hanging="340"/>
      </w:pPr>
      <w:r>
        <w:rPr>
          <w:b/>
          <w:sz w:val="20"/>
        </w:rPr>
        <w:t xml:space="preserve">4. </w:t>
      </w:r>
      <w:r w:rsidR="009922D1">
        <w:rPr>
          <w:sz w:val="20"/>
        </w:rPr>
        <w:t>D</w:t>
      </w:r>
      <w:r>
        <w:rPr>
          <w:sz w:val="20"/>
        </w:rPr>
        <w:t>iferenciar jurídicamente la ausencia de lectoescritura de la discapacidad;</w:t>
      </w:r>
    </w:p>
    <w:p w14:paraId="217D65A8" w14:textId="0F49C918" w:rsidR="001D7B07" w:rsidRDefault="008C664A">
      <w:pPr>
        <w:spacing w:after="40"/>
        <w:ind w:left="340" w:hanging="340"/>
      </w:pPr>
      <w:r w:rsidRPr="00422886">
        <w:rPr>
          <w:b/>
          <w:bCs/>
          <w:sz w:val="20"/>
        </w:rPr>
        <w:lastRenderedPageBreak/>
        <w:t>5</w:t>
      </w:r>
      <w:r>
        <w:rPr>
          <w:sz w:val="20"/>
        </w:rPr>
        <w:t xml:space="preserve">. </w:t>
      </w:r>
      <w:r w:rsidR="00422886">
        <w:rPr>
          <w:sz w:val="20"/>
        </w:rPr>
        <w:t>E</w:t>
      </w:r>
      <w:r>
        <w:rPr>
          <w:sz w:val="20"/>
        </w:rPr>
        <w:t>stablecer una regla transversal de ajustes, apoyos y salvaguardias sin crear un régimen paralelo al de la Ley 1996 de 2019;</w:t>
      </w:r>
    </w:p>
    <w:p w14:paraId="62B1AA15" w14:textId="29C4924A" w:rsidR="001D7B07" w:rsidRDefault="008C664A">
      <w:pPr>
        <w:spacing w:after="40"/>
        <w:ind w:left="340" w:hanging="340"/>
      </w:pPr>
      <w:r w:rsidRPr="00422886">
        <w:rPr>
          <w:b/>
          <w:bCs/>
          <w:sz w:val="20"/>
        </w:rPr>
        <w:t>6.</w:t>
      </w:r>
      <w:r>
        <w:rPr>
          <w:sz w:val="20"/>
        </w:rPr>
        <w:t xml:space="preserve"> </w:t>
      </w:r>
      <w:r w:rsidR="009922D1">
        <w:rPr>
          <w:sz w:val="20"/>
        </w:rPr>
        <w:t>G</w:t>
      </w:r>
      <w:r>
        <w:rPr>
          <w:sz w:val="20"/>
        </w:rPr>
        <w:t>arantizar que los apoyos formalmente establecidos que resulten aplicables sean respetados en los términos de la Ley 1996 de 2019, sin afectar la indelegabilidad del testamento;</w:t>
      </w:r>
    </w:p>
    <w:p w14:paraId="54D6CF7B" w14:textId="576AD619" w:rsidR="001D7B07" w:rsidRDefault="008C664A">
      <w:pPr>
        <w:spacing w:after="40"/>
        <w:ind w:left="340" w:hanging="340"/>
      </w:pPr>
      <w:r>
        <w:rPr>
          <w:b/>
          <w:sz w:val="20"/>
        </w:rPr>
        <w:t xml:space="preserve">7. </w:t>
      </w:r>
      <w:r w:rsidR="009922D1">
        <w:rPr>
          <w:sz w:val="20"/>
        </w:rPr>
        <w:t>P</w:t>
      </w:r>
      <w:r>
        <w:rPr>
          <w:sz w:val="20"/>
        </w:rPr>
        <w:t>rohibir expresamente la sustitución de la voluntad testamentaria;</w:t>
      </w:r>
    </w:p>
    <w:p w14:paraId="4FE27215" w14:textId="134B718C" w:rsidR="001D7B07" w:rsidRDefault="008C664A">
      <w:pPr>
        <w:spacing w:after="40"/>
        <w:ind w:left="340" w:hanging="340"/>
      </w:pPr>
      <w:r>
        <w:rPr>
          <w:b/>
          <w:sz w:val="20"/>
        </w:rPr>
        <w:t xml:space="preserve">8. </w:t>
      </w:r>
      <w:r w:rsidR="009922D1">
        <w:rPr>
          <w:sz w:val="20"/>
        </w:rPr>
        <w:t>P</w:t>
      </w:r>
      <w:r>
        <w:rPr>
          <w:sz w:val="20"/>
        </w:rPr>
        <w:t>reservar la reserva del testamento cerrado;</w:t>
      </w:r>
    </w:p>
    <w:p w14:paraId="3D3F65A6" w14:textId="204547B9" w:rsidR="001D7B07" w:rsidRDefault="008C664A">
      <w:pPr>
        <w:spacing w:after="40"/>
        <w:ind w:left="340" w:hanging="340"/>
      </w:pPr>
      <w:r>
        <w:rPr>
          <w:b/>
          <w:sz w:val="20"/>
        </w:rPr>
        <w:t xml:space="preserve">9. </w:t>
      </w:r>
      <w:r w:rsidR="009922D1">
        <w:rPr>
          <w:sz w:val="20"/>
        </w:rPr>
        <w:t>M</w:t>
      </w:r>
      <w:r>
        <w:rPr>
          <w:sz w:val="20"/>
        </w:rPr>
        <w:t>antener únicamente las solemnidades que continúan cumpliendo una función legítima; y</w:t>
      </w:r>
    </w:p>
    <w:p w14:paraId="442B58DC" w14:textId="77777777" w:rsidR="001D7B07" w:rsidRDefault="008C664A">
      <w:pPr>
        <w:spacing w:after="40"/>
        <w:ind w:left="340" w:hanging="340"/>
      </w:pPr>
      <w:r>
        <w:rPr>
          <w:b/>
          <w:sz w:val="20"/>
        </w:rPr>
        <w:t xml:space="preserve">10. </w:t>
      </w:r>
      <w:r>
        <w:rPr>
          <w:sz w:val="20"/>
        </w:rPr>
        <w:t>adoptar formulaciones tecnológicamente neutras que no requieran nuevas reformas frente a la aparición de mecanismos futuros de comunicación.</w:t>
      </w:r>
    </w:p>
    <w:p w14:paraId="70F5607B" w14:textId="77777777" w:rsidR="009922D1" w:rsidRDefault="009922D1" w:rsidP="009922D1">
      <w:pPr>
        <w:rPr>
          <w:sz w:val="20"/>
        </w:rPr>
      </w:pPr>
    </w:p>
    <w:p w14:paraId="4DFCDBAB" w14:textId="1CDD4D90" w:rsidR="001D7B07" w:rsidRDefault="008C664A" w:rsidP="009922D1">
      <w:r>
        <w:rPr>
          <w:sz w:val="20"/>
        </w:rPr>
        <w:t>Los ajustes a los artículos 1074, 1079, 1080 y al primer inciso del artículo 1081 responden predominantemente a decisiones constitucionales ya adoptadas. El ajuste al segundo inciso del artículo 1081 constituye una armonización legislativa adicional para los supuestos comprendidos por esa disposición en los que el testador no pueda efectuar personalmente las anotaciones manuscritas sobre la cubierta. La propuesta conserva la finalidad identificatoria y de autenticidad de la solemnidad, pero permite cumplirla mediante un mecanismo idóneo distinto de la escritura de propia mano.</w:t>
      </w:r>
    </w:p>
    <w:p w14:paraId="7884109A" w14:textId="77777777" w:rsidR="001D7B07" w:rsidRDefault="008C664A" w:rsidP="009922D1">
      <w:r>
        <w:rPr>
          <w:sz w:val="20"/>
        </w:rPr>
        <w:t>La modificación del numeral 4 del artículo 1061 constituye igualmente una propuesta autónoma de armonización: elimina la referencia exclusiva a la expresión “de palabra o por escrito”, pero conserva el estándar sustantivo de que la voluntad pueda expresarse claramente.</w:t>
      </w:r>
    </w:p>
    <w:p w14:paraId="5DB564DE" w14:textId="66301596" w:rsidR="001D7B07" w:rsidRPr="00CA5CDE" w:rsidRDefault="008C664A" w:rsidP="00CA5CDE">
      <w:r>
        <w:rPr>
          <w:sz w:val="20"/>
        </w:rPr>
        <w:t>La técnica utilizada es deliberadamente restrictiva</w:t>
      </w:r>
      <w:r w:rsidR="00CA5CDE">
        <w:rPr>
          <w:sz w:val="20"/>
        </w:rPr>
        <w:t>, pretende e</w:t>
      </w:r>
      <w:r w:rsidRPr="00CA5CDE">
        <w:rPr>
          <w:sz w:val="20"/>
        </w:rPr>
        <w:t>liminar la barrera sin eliminar la solemnidad; facilitar la comunicación sin sustituir la voluntad; ampliar la autonomía sin debilitar la autenticidad del testamento.</w:t>
      </w:r>
    </w:p>
    <w:p w14:paraId="12EB8D2A" w14:textId="77777777" w:rsidR="001D7B07" w:rsidRDefault="008C664A" w:rsidP="00CA5CDE">
      <w:r>
        <w:rPr>
          <w:sz w:val="20"/>
        </w:rPr>
        <w:t>Esa síntesis expresa el criterio que orienta el pliego de modificaciones.</w:t>
      </w:r>
    </w:p>
    <w:p w14:paraId="7193490A" w14:textId="77777777" w:rsidR="001D7B07" w:rsidRDefault="008C664A">
      <w:pPr>
        <w:spacing w:before="160" w:after="80"/>
      </w:pPr>
      <w:r>
        <w:rPr>
          <w:b/>
          <w:sz w:val="22"/>
        </w:rPr>
        <w:t>13. PLIEGO DE MODIFICACIONES</w:t>
      </w:r>
    </w:p>
    <w:p w14:paraId="3A65FB18" w14:textId="77777777" w:rsidR="001D7B07" w:rsidRDefault="008C664A">
      <w:pPr>
        <w:spacing w:line="240" w:lineRule="auto"/>
      </w:pPr>
      <w:r>
        <w:rPr>
          <w:sz w:val="20"/>
        </w:rPr>
        <w:t>Con fundamento en las consideraciones expuestas, se propone el siguiente pliego de modificaciones. La correspondencia entre el texto radicado y el texto propuesto atiende a que el proyecto original contiene siete artículos, mientras que el pliego reorganiza y desagrega algunas materias, modifica el título e incorpora disposiciones nuevas necesarias para armonizar el régimen testamentario con la jurisprudencia constitucional y la Ley 1996 de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1"/>
        <w:gridCol w:w="3685"/>
        <w:gridCol w:w="3005"/>
      </w:tblGrid>
      <w:tr w:rsidR="001D7B07" w14:paraId="14EF4DA5" w14:textId="77777777" w:rsidTr="00341F21">
        <w:trPr>
          <w:tblHeader/>
          <w:jc w:val="center"/>
        </w:trPr>
        <w:tc>
          <w:tcPr>
            <w:tcW w:w="3231" w:type="dxa"/>
            <w:shd w:val="clear" w:color="auto" w:fill="D9EAF7"/>
            <w:tcMar>
              <w:top w:w="80" w:type="dxa"/>
              <w:left w:w="80" w:type="dxa"/>
              <w:bottom w:w="80" w:type="dxa"/>
              <w:right w:w="80" w:type="dxa"/>
            </w:tcMar>
          </w:tcPr>
          <w:p w14:paraId="755EA84C" w14:textId="77777777" w:rsidR="001D7B07" w:rsidRDefault="008C664A">
            <w:pPr>
              <w:spacing w:after="20"/>
            </w:pPr>
            <w:r>
              <w:rPr>
                <w:b/>
                <w:sz w:val="15"/>
              </w:rPr>
              <w:t>TEXTO RADICADO</w:t>
            </w:r>
          </w:p>
        </w:tc>
        <w:tc>
          <w:tcPr>
            <w:tcW w:w="3685" w:type="dxa"/>
            <w:shd w:val="clear" w:color="auto" w:fill="D9EAF7"/>
            <w:tcMar>
              <w:top w:w="80" w:type="dxa"/>
              <w:left w:w="80" w:type="dxa"/>
              <w:bottom w:w="80" w:type="dxa"/>
              <w:right w:w="80" w:type="dxa"/>
            </w:tcMar>
          </w:tcPr>
          <w:p w14:paraId="4B6B70FB" w14:textId="77777777" w:rsidR="001D7B07" w:rsidRDefault="008C664A">
            <w:pPr>
              <w:spacing w:after="20"/>
            </w:pPr>
            <w:r>
              <w:rPr>
                <w:b/>
                <w:sz w:val="15"/>
              </w:rPr>
              <w:t>TEXTO PROPUESTO PARA PRIMER DEBATE</w:t>
            </w:r>
          </w:p>
        </w:tc>
        <w:tc>
          <w:tcPr>
            <w:tcW w:w="3005" w:type="dxa"/>
            <w:shd w:val="clear" w:color="auto" w:fill="D9EAF7"/>
            <w:tcMar>
              <w:top w:w="80" w:type="dxa"/>
              <w:left w:w="80" w:type="dxa"/>
              <w:bottom w:w="80" w:type="dxa"/>
              <w:right w:w="80" w:type="dxa"/>
            </w:tcMar>
          </w:tcPr>
          <w:p w14:paraId="73DA334F" w14:textId="77777777" w:rsidR="001D7B07" w:rsidRDefault="008C664A">
            <w:pPr>
              <w:spacing w:after="20"/>
            </w:pPr>
            <w:r>
              <w:rPr>
                <w:b/>
                <w:sz w:val="15"/>
              </w:rPr>
              <w:t>JUSTIFICACIÓN</w:t>
            </w:r>
          </w:p>
        </w:tc>
      </w:tr>
      <w:tr w:rsidR="001D7B07" w14:paraId="4729FA9F" w14:textId="77777777" w:rsidTr="00341F21">
        <w:trPr>
          <w:jc w:val="center"/>
        </w:trPr>
        <w:tc>
          <w:tcPr>
            <w:tcW w:w="3231" w:type="dxa"/>
            <w:tcMar>
              <w:top w:w="80" w:type="dxa"/>
              <w:left w:w="80" w:type="dxa"/>
              <w:bottom w:w="80" w:type="dxa"/>
              <w:right w:w="80" w:type="dxa"/>
            </w:tcMar>
          </w:tcPr>
          <w:p w14:paraId="3B8274CE" w14:textId="77777777" w:rsidR="001D7B07" w:rsidRDefault="008C664A">
            <w:pPr>
              <w:spacing w:after="20"/>
            </w:pPr>
            <w:r>
              <w:rPr>
                <w:sz w:val="14"/>
              </w:rPr>
              <w:t>“Por medio de la cual se regula el otorgamiento de testamento cerrado para personas que no saben leer ni escribir y se dictan otras disposiciones”</w:t>
            </w:r>
          </w:p>
        </w:tc>
        <w:tc>
          <w:tcPr>
            <w:tcW w:w="3685" w:type="dxa"/>
            <w:tcMar>
              <w:top w:w="80" w:type="dxa"/>
              <w:left w:w="80" w:type="dxa"/>
              <w:bottom w:w="80" w:type="dxa"/>
              <w:right w:w="80" w:type="dxa"/>
            </w:tcMar>
          </w:tcPr>
          <w:p w14:paraId="16C7CFB7" w14:textId="77777777" w:rsidR="001D7B07" w:rsidRDefault="008C664A">
            <w:pPr>
              <w:spacing w:after="20"/>
            </w:pPr>
            <w:r>
              <w:rPr>
                <w:sz w:val="14"/>
              </w:rPr>
              <w:t xml:space="preserve">“Por medio de la cual se modifica el </w:t>
            </w:r>
            <w:r w:rsidRPr="00422886">
              <w:rPr>
                <w:sz w:val="14"/>
              </w:rPr>
              <w:t>Código Civil</w:t>
            </w:r>
            <w:r>
              <w:rPr>
                <w:sz w:val="14"/>
              </w:rPr>
              <w:t xml:space="preserve"> para garantizar la accesibilidad y el ejercicio de la capacidad jurídica en el otorgamiento de testamentos y se dictan otras disposiciones”</w:t>
            </w:r>
          </w:p>
        </w:tc>
        <w:tc>
          <w:tcPr>
            <w:tcW w:w="3005" w:type="dxa"/>
            <w:tcMar>
              <w:top w:w="80" w:type="dxa"/>
              <w:left w:w="80" w:type="dxa"/>
              <w:bottom w:w="80" w:type="dxa"/>
              <w:right w:w="80" w:type="dxa"/>
            </w:tcMar>
          </w:tcPr>
          <w:p w14:paraId="0A7860E5" w14:textId="77777777" w:rsidR="001D7B07" w:rsidRDefault="008C664A">
            <w:pPr>
              <w:spacing w:after="20"/>
            </w:pPr>
            <w:r>
              <w:rPr>
                <w:sz w:val="14"/>
              </w:rPr>
              <w:t>MODIFICATORIA DEL TÍTULO. Se adecúa la denominación del proyecto al alcance real del pliego, que ya no se limita al artículo 1079 ni exclusivamente a las personas que no saben leer ni escribir. El nuevo título refleja las modificaciones puntuales al Código Civil y la incorporación de reglas generales de accesibilidad y capacidad jurídica en materia testamentaria.</w:t>
            </w:r>
          </w:p>
        </w:tc>
      </w:tr>
      <w:tr w:rsidR="001D7B07" w14:paraId="184C3A34" w14:textId="77777777" w:rsidTr="00341F21">
        <w:trPr>
          <w:jc w:val="center"/>
        </w:trPr>
        <w:tc>
          <w:tcPr>
            <w:tcW w:w="3231" w:type="dxa"/>
            <w:tcMar>
              <w:top w:w="80" w:type="dxa"/>
              <w:left w:w="80" w:type="dxa"/>
              <w:bottom w:w="80" w:type="dxa"/>
              <w:right w:w="80" w:type="dxa"/>
            </w:tcMar>
          </w:tcPr>
          <w:p w14:paraId="30807FE7" w14:textId="77777777" w:rsidR="001D7B07" w:rsidRDefault="008C664A">
            <w:pPr>
              <w:spacing w:after="20"/>
            </w:pPr>
            <w:r>
              <w:rPr>
                <w:sz w:val="14"/>
              </w:rPr>
              <w:t xml:space="preserve">Artículo 1°. Objeto. La presente ley tiene por objeto garantizar el ejercicio pleno de los derechos a la intimidad, a la autonomía de la voluntad y a la capacidad jurídica de las personas que no saben leer ni escribir, mediante la adopción de medidas y apoyos que aseguren su </w:t>
            </w:r>
            <w:r>
              <w:rPr>
                <w:sz w:val="14"/>
              </w:rPr>
              <w:lastRenderedPageBreak/>
              <w:t>acceso, en condiciones de igualdad al otorgamiento del testamento cerrado, bajo criterios de autenticidad, reserva e integridad.</w:t>
            </w:r>
          </w:p>
        </w:tc>
        <w:tc>
          <w:tcPr>
            <w:tcW w:w="3685" w:type="dxa"/>
            <w:tcMar>
              <w:top w:w="80" w:type="dxa"/>
              <w:left w:w="80" w:type="dxa"/>
              <w:bottom w:w="80" w:type="dxa"/>
              <w:right w:w="80" w:type="dxa"/>
            </w:tcMar>
          </w:tcPr>
          <w:p w14:paraId="4CB78819" w14:textId="77777777" w:rsidR="001D7B07" w:rsidRDefault="008C664A">
            <w:pPr>
              <w:spacing w:after="20"/>
            </w:pPr>
            <w:r>
              <w:rPr>
                <w:sz w:val="14"/>
              </w:rPr>
              <w:lastRenderedPageBreak/>
              <w:t xml:space="preserve">Artículo 1°. Objeto. La presente ley tiene por objeto adecuar el régimen testamentario colombiano con el fin de eliminar barreras para el otorgamiento de testamentos, garantizar el ejercicio de la capacidad jurídica de las personas con discapacidad y permitir la manifestación de la voluntad testamentaria mediante </w:t>
            </w:r>
            <w:r>
              <w:rPr>
                <w:sz w:val="14"/>
              </w:rPr>
              <w:lastRenderedPageBreak/>
              <w:t>medios, modos o formatos de comunicación y apoyos compatibles con el carácter personal, indelegable y solemne del testamento.</w:t>
            </w:r>
          </w:p>
          <w:p w14:paraId="37ED165A" w14:textId="77777777" w:rsidR="001D7B07" w:rsidRDefault="001D7B07">
            <w:pPr>
              <w:spacing w:after="20"/>
            </w:pPr>
          </w:p>
          <w:p w14:paraId="1D7F4A6C" w14:textId="77777777" w:rsidR="001D7B07" w:rsidRDefault="008C664A">
            <w:pPr>
              <w:spacing w:after="20"/>
            </w:pPr>
            <w:r>
              <w:rPr>
                <w:sz w:val="14"/>
              </w:rPr>
              <w:t>Asimismo, establece reglas para garantizar el otorgamiento de testamento cerrado por las personas que no sepan leer y escribir, en condiciones de reserva, autenticidad e integridad.</w:t>
            </w:r>
          </w:p>
        </w:tc>
        <w:tc>
          <w:tcPr>
            <w:tcW w:w="3005" w:type="dxa"/>
            <w:tcMar>
              <w:top w:w="80" w:type="dxa"/>
              <w:left w:w="80" w:type="dxa"/>
              <w:bottom w:w="80" w:type="dxa"/>
              <w:right w:w="80" w:type="dxa"/>
            </w:tcMar>
          </w:tcPr>
          <w:p w14:paraId="3756CEE7" w14:textId="77777777" w:rsidR="001D7B07" w:rsidRDefault="008C664A">
            <w:pPr>
              <w:spacing w:after="20"/>
            </w:pPr>
            <w:r>
              <w:rPr>
                <w:sz w:val="14"/>
              </w:rPr>
              <w:lastRenderedPageBreak/>
              <w:t xml:space="preserve">MODIFICATORIA. Se conserva la finalidad central del proyecto y se amplía su alcance para recoger de manera sistemática la línea jurisprudencial C-098 de 2022, C-260 de 2023, C-536 de 2023 y C-098 de 2025. Se diferencia expresamente la situación de las </w:t>
            </w:r>
            <w:r>
              <w:rPr>
                <w:sz w:val="14"/>
              </w:rPr>
              <w:lastRenderedPageBreak/>
              <w:t>personas que no saben leer ni escribir del régimen jurídico de discapacidad.</w:t>
            </w:r>
          </w:p>
        </w:tc>
      </w:tr>
      <w:tr w:rsidR="001D7B07" w14:paraId="2CBEBD70" w14:textId="77777777" w:rsidTr="00341F21">
        <w:trPr>
          <w:jc w:val="center"/>
        </w:trPr>
        <w:tc>
          <w:tcPr>
            <w:tcW w:w="3231" w:type="dxa"/>
            <w:tcMar>
              <w:top w:w="80" w:type="dxa"/>
              <w:left w:w="80" w:type="dxa"/>
              <w:bottom w:w="80" w:type="dxa"/>
              <w:right w:w="80" w:type="dxa"/>
            </w:tcMar>
          </w:tcPr>
          <w:p w14:paraId="3F619EE7" w14:textId="77777777" w:rsidR="001D7B07" w:rsidRDefault="008C664A">
            <w:pPr>
              <w:spacing w:after="20"/>
            </w:pPr>
            <w:r>
              <w:rPr>
                <w:sz w:val="14"/>
              </w:rPr>
              <w:lastRenderedPageBreak/>
              <w:t>Sin disposición equivalente.</w:t>
            </w:r>
          </w:p>
        </w:tc>
        <w:tc>
          <w:tcPr>
            <w:tcW w:w="3685" w:type="dxa"/>
            <w:tcMar>
              <w:top w:w="80" w:type="dxa"/>
              <w:left w:w="80" w:type="dxa"/>
              <w:bottom w:w="80" w:type="dxa"/>
              <w:right w:w="80" w:type="dxa"/>
            </w:tcMar>
          </w:tcPr>
          <w:p w14:paraId="1F19DEBC" w14:textId="77777777" w:rsidR="001D7B07" w:rsidRDefault="008C664A">
            <w:pPr>
              <w:spacing w:after="20"/>
            </w:pPr>
            <w:r>
              <w:rPr>
                <w:sz w:val="14"/>
              </w:rPr>
              <w:t>Artículo 2°. Reglas de accesibilidad, apoyos y salvaguardias en materia testamentaria. En el otorgamiento de testamentos por personas con discapacidad se garantizarán, cuando resulten necesarios, los ajustes razonables, la asistencia, los apoyos y los medios, modos o formatos de comunicación previstos en la Ley 1996 de 2019 y en las demás disposiciones aplicables.</w:t>
            </w:r>
          </w:p>
          <w:p w14:paraId="3E828B78" w14:textId="77777777" w:rsidR="001D7B07" w:rsidRDefault="001D7B07">
            <w:pPr>
              <w:spacing w:after="20"/>
            </w:pPr>
          </w:p>
          <w:p w14:paraId="312D44C6" w14:textId="77777777" w:rsidR="001D7B07" w:rsidRDefault="008C664A">
            <w:pPr>
              <w:spacing w:after="20"/>
            </w:pPr>
            <w:r>
              <w:rPr>
                <w:sz w:val="14"/>
              </w:rPr>
              <w:t>Cuando resulte necesario para garantizar la comunicación, la voluntad del testador podrá expresarse mediante cualquier medio, modo o formato de comunicación que permita exteriorizarla claramente, sin perjuicio de las solemnidades previstas en la ley.</w:t>
            </w:r>
          </w:p>
          <w:p w14:paraId="30B43307" w14:textId="77777777" w:rsidR="001D7B07" w:rsidRDefault="001D7B07">
            <w:pPr>
              <w:spacing w:after="20"/>
            </w:pPr>
          </w:p>
          <w:p w14:paraId="0C1657E2" w14:textId="77777777" w:rsidR="001D7B07" w:rsidRDefault="008C664A">
            <w:pPr>
              <w:spacing w:after="20"/>
            </w:pPr>
            <w:r>
              <w:rPr>
                <w:sz w:val="14"/>
              </w:rPr>
              <w:t>La necesidad o utilización de ajustes razonables, asistencia, apoyos o medios, modos o formatos de comunicación no constituirá, por sí misma, indicio o prueba de inhabilidad testamentaria ni podrá utilizarse para presumir ausencia o disminución de la capacidad jurídica del testador.</w:t>
            </w:r>
          </w:p>
          <w:p w14:paraId="50361F64" w14:textId="77777777" w:rsidR="001D7B07" w:rsidRDefault="001D7B07">
            <w:pPr>
              <w:spacing w:after="20"/>
            </w:pPr>
          </w:p>
          <w:p w14:paraId="475F1233" w14:textId="77777777" w:rsidR="001D7B07" w:rsidRDefault="008C664A">
            <w:pPr>
              <w:spacing w:after="20"/>
            </w:pPr>
            <w:r>
              <w:rPr>
                <w:sz w:val="14"/>
              </w:rPr>
              <w:t>Cuando existan apoyos formales previamente convenidos o judicialmente asignados que resulten aplicables al acto testamentario, deberá respetarse su validez en los términos de la Ley 1996 de 2019, sin perjuicio del carácter personal e indelegable de la facultad de testar.</w:t>
            </w:r>
          </w:p>
          <w:p w14:paraId="254A0452" w14:textId="77777777" w:rsidR="001D7B07" w:rsidRDefault="001D7B07">
            <w:pPr>
              <w:spacing w:after="20"/>
            </w:pPr>
          </w:p>
          <w:p w14:paraId="239496CE" w14:textId="77777777" w:rsidR="001D7B07" w:rsidRDefault="008C664A">
            <w:pPr>
              <w:spacing w:after="20"/>
            </w:pPr>
            <w:r>
              <w:rPr>
                <w:sz w:val="14"/>
              </w:rPr>
              <w:t>Los ajustes razonables, la asistencia y los apoyos tendrán carácter instrumental y deberán respetar en todo momento la voluntad y preferencias del testador. En ningún caso podrán sustituir su voluntad, testar en su nombre, ni crear, completar, modificar o determinar disposiciones testamentarias que no hayan sido manifestadas por este.</w:t>
            </w:r>
          </w:p>
          <w:p w14:paraId="166A2E96" w14:textId="77777777" w:rsidR="001D7B07" w:rsidRDefault="001D7B07">
            <w:pPr>
              <w:spacing w:after="20"/>
            </w:pPr>
          </w:p>
          <w:p w14:paraId="0289EA7E" w14:textId="77777777" w:rsidR="001D7B07" w:rsidRDefault="008C664A">
            <w:pPr>
              <w:spacing w:after="20"/>
            </w:pPr>
            <w:r>
              <w:rPr>
                <w:sz w:val="14"/>
              </w:rPr>
              <w:t>Cuando se utilicen apoyos deberán adoptarse salvaguardias adecuadas y proporcionales para prevenir conflictos de interés, abuso, presión, engaño, influencia indebida o cualquier forma de sustitución de la voluntad.</w:t>
            </w:r>
          </w:p>
          <w:p w14:paraId="7FF58783" w14:textId="77777777" w:rsidR="001D7B07" w:rsidRDefault="001D7B07">
            <w:pPr>
              <w:spacing w:after="20"/>
            </w:pPr>
          </w:p>
          <w:p w14:paraId="095C9F16" w14:textId="77777777" w:rsidR="001D7B07" w:rsidRDefault="008C664A">
            <w:pPr>
              <w:spacing w:after="20"/>
            </w:pPr>
            <w:r>
              <w:rPr>
                <w:sz w:val="14"/>
              </w:rPr>
              <w:t>Parágrafo. En el testamento cerrado, la utilización de ajustes razonables, asistencia, apoyos o medios, modos o formatos de comunicación deberá ser compatible con la reserva de las disposiciones testamentarias y con las solemnidades previstas en la ley.</w:t>
            </w:r>
          </w:p>
        </w:tc>
        <w:tc>
          <w:tcPr>
            <w:tcW w:w="3005" w:type="dxa"/>
            <w:tcMar>
              <w:top w:w="80" w:type="dxa"/>
              <w:left w:w="80" w:type="dxa"/>
              <w:bottom w:w="80" w:type="dxa"/>
              <w:right w:w="80" w:type="dxa"/>
            </w:tcMar>
          </w:tcPr>
          <w:p w14:paraId="414FC82A" w14:textId="77777777" w:rsidR="001D7B07" w:rsidRDefault="008C664A">
            <w:pPr>
              <w:spacing w:after="20"/>
            </w:pPr>
            <w:r>
              <w:rPr>
                <w:sz w:val="14"/>
              </w:rPr>
              <w:t>ARTÍCULO NUEVO. Se incorpora una regla transversal para armonizar el régimen testamentario con la Ley 1996 de 2019, evitar repeticiones y diferenciar los apoyos de la sustitución de voluntad. Se precisa que los medios alternativos de comunicación operan cuando resulten necesarios y sin perjuicio de las solemnidades legales. Los apoyos formales aplicables deben respetarse en los términos de los artículos 19 y 39 de la Ley 1996 de 2019, sin afectar la indelegabilidad del testamento.</w:t>
            </w:r>
          </w:p>
        </w:tc>
      </w:tr>
      <w:tr w:rsidR="001D7B07" w14:paraId="7FF03D66" w14:textId="77777777" w:rsidTr="00341F21">
        <w:trPr>
          <w:jc w:val="center"/>
        </w:trPr>
        <w:tc>
          <w:tcPr>
            <w:tcW w:w="3231" w:type="dxa"/>
            <w:tcMar>
              <w:top w:w="80" w:type="dxa"/>
              <w:left w:w="80" w:type="dxa"/>
              <w:bottom w:w="80" w:type="dxa"/>
              <w:right w:w="80" w:type="dxa"/>
            </w:tcMar>
          </w:tcPr>
          <w:p w14:paraId="2C7644C9" w14:textId="77777777" w:rsidR="001D7B07" w:rsidRDefault="008C664A">
            <w:pPr>
              <w:spacing w:after="20"/>
            </w:pPr>
            <w:r>
              <w:rPr>
                <w:sz w:val="14"/>
              </w:rPr>
              <w:lastRenderedPageBreak/>
              <w:t>Sin disposición equivalente.</w:t>
            </w:r>
          </w:p>
        </w:tc>
        <w:tc>
          <w:tcPr>
            <w:tcW w:w="3685" w:type="dxa"/>
            <w:tcMar>
              <w:top w:w="80" w:type="dxa"/>
              <w:left w:w="80" w:type="dxa"/>
              <w:bottom w:w="80" w:type="dxa"/>
              <w:right w:w="80" w:type="dxa"/>
            </w:tcMar>
          </w:tcPr>
          <w:p w14:paraId="5039975A" w14:textId="77777777" w:rsidR="001D7B07" w:rsidRDefault="008C664A">
            <w:pPr>
              <w:spacing w:after="20"/>
            </w:pPr>
            <w:r>
              <w:rPr>
                <w:sz w:val="14"/>
              </w:rPr>
              <w:t>Artículo 3°. Modificación del numeral 4 del artículo 1061 del Código Civil. Modifíquese el numeral 4 del artículo 1061 del Código Civil, el cual quedará así:</w:t>
            </w:r>
          </w:p>
          <w:p w14:paraId="4C704AB6" w14:textId="77777777" w:rsidR="001D7B07" w:rsidRDefault="001D7B07">
            <w:pPr>
              <w:spacing w:after="20"/>
            </w:pPr>
          </w:p>
          <w:p w14:paraId="0AEEFAFE" w14:textId="77777777" w:rsidR="001D7B07" w:rsidRDefault="008C664A">
            <w:pPr>
              <w:spacing w:after="20"/>
            </w:pPr>
            <w:r>
              <w:rPr>
                <w:sz w:val="14"/>
              </w:rPr>
              <w:t>“4. El que no pudiere expresar su voluntad claramente.”</w:t>
            </w:r>
          </w:p>
          <w:p w14:paraId="0D1F91B5" w14:textId="77777777" w:rsidR="001D7B07" w:rsidRDefault="001D7B07">
            <w:pPr>
              <w:spacing w:after="20"/>
            </w:pPr>
          </w:p>
          <w:p w14:paraId="0F257F69" w14:textId="77777777" w:rsidR="001D7B07" w:rsidRDefault="008C664A">
            <w:pPr>
              <w:spacing w:after="20"/>
            </w:pPr>
            <w:r>
              <w:rPr>
                <w:sz w:val="14"/>
              </w:rPr>
              <w:t>Las demás disposiciones del artículo 1061 del Código Civil permanecerán sin modificación.</w:t>
            </w:r>
          </w:p>
        </w:tc>
        <w:tc>
          <w:tcPr>
            <w:tcW w:w="3005" w:type="dxa"/>
            <w:tcMar>
              <w:top w:w="80" w:type="dxa"/>
              <w:left w:w="80" w:type="dxa"/>
              <w:bottom w:w="80" w:type="dxa"/>
              <w:right w:w="80" w:type="dxa"/>
            </w:tcMar>
          </w:tcPr>
          <w:p w14:paraId="2C958A88" w14:textId="77777777" w:rsidR="001D7B07" w:rsidRDefault="008C664A">
            <w:pPr>
              <w:spacing w:after="20"/>
            </w:pPr>
            <w:r>
              <w:rPr>
                <w:sz w:val="14"/>
              </w:rPr>
              <w:t>ARTÍCULO NUEVO. Se elimina únicamente la referencia restrictiva a que la voluntad deba expresarse “de palabra o por escrito”. Se conserva el requisito sustantivo de expresión clara de voluntad. El ajuste es general y no se limita a personas con discapacidad. Debido a la conexión con el artículo 1062 del Código Civil, se mantiene una intervención legislativa mínima.</w:t>
            </w:r>
          </w:p>
        </w:tc>
      </w:tr>
      <w:tr w:rsidR="001D7B07" w14:paraId="4CFB08FE" w14:textId="77777777" w:rsidTr="00341F21">
        <w:trPr>
          <w:jc w:val="center"/>
        </w:trPr>
        <w:tc>
          <w:tcPr>
            <w:tcW w:w="3231" w:type="dxa"/>
            <w:tcMar>
              <w:top w:w="80" w:type="dxa"/>
              <w:left w:w="80" w:type="dxa"/>
              <w:bottom w:w="80" w:type="dxa"/>
              <w:right w:w="80" w:type="dxa"/>
            </w:tcMar>
          </w:tcPr>
          <w:p w14:paraId="3E706286" w14:textId="77777777" w:rsidR="001D7B07" w:rsidRDefault="008C664A">
            <w:pPr>
              <w:spacing w:after="20"/>
            </w:pPr>
            <w:r>
              <w:rPr>
                <w:sz w:val="14"/>
              </w:rPr>
              <w:t>Sin disposición equivalente.</w:t>
            </w:r>
          </w:p>
        </w:tc>
        <w:tc>
          <w:tcPr>
            <w:tcW w:w="3685" w:type="dxa"/>
            <w:tcMar>
              <w:top w:w="80" w:type="dxa"/>
              <w:left w:w="80" w:type="dxa"/>
              <w:bottom w:w="80" w:type="dxa"/>
              <w:right w:w="80" w:type="dxa"/>
            </w:tcMar>
          </w:tcPr>
          <w:p w14:paraId="78807AE1" w14:textId="77777777" w:rsidR="001D7B07" w:rsidRDefault="008C664A">
            <w:pPr>
              <w:spacing w:after="20"/>
            </w:pPr>
            <w:r>
              <w:rPr>
                <w:sz w:val="14"/>
              </w:rPr>
              <w:t>Artículo 4°. Adición de un inciso al artículo 1074 del Código Civil. Adiciónese un inciso final al artículo 1074 del Código Civil, así:</w:t>
            </w:r>
          </w:p>
          <w:p w14:paraId="73F6FF86" w14:textId="77777777" w:rsidR="001D7B07" w:rsidRDefault="001D7B07">
            <w:pPr>
              <w:spacing w:after="20"/>
            </w:pPr>
          </w:p>
          <w:p w14:paraId="65B5A632" w14:textId="77777777" w:rsidR="001D7B07" w:rsidRDefault="008C664A">
            <w:pPr>
              <w:spacing w:after="20"/>
            </w:pPr>
            <w:r>
              <w:rPr>
                <w:sz w:val="14"/>
              </w:rPr>
              <w:t>“Cuando el testador o cualquiera de las personas cuya intervención sea necesaria para el otorgamiento del testamento requiera ajustes razonables, asistencia, apoyos o medios, modos o formatos de comunicación, estos deberán ser garantizados de conformidad con la ley.”</w:t>
            </w:r>
          </w:p>
        </w:tc>
        <w:tc>
          <w:tcPr>
            <w:tcW w:w="3005" w:type="dxa"/>
            <w:tcMar>
              <w:top w:w="80" w:type="dxa"/>
              <w:left w:w="80" w:type="dxa"/>
              <w:bottom w:w="80" w:type="dxa"/>
              <w:right w:w="80" w:type="dxa"/>
            </w:tcMar>
          </w:tcPr>
          <w:p w14:paraId="04B5C960" w14:textId="77777777" w:rsidR="001D7B07" w:rsidRDefault="008C664A">
            <w:pPr>
              <w:spacing w:after="20"/>
            </w:pPr>
            <w:r>
              <w:rPr>
                <w:sz w:val="14"/>
              </w:rPr>
              <w:t>ARTÍCULO NUEVO. Desarrollo de la Sentencia C-260 de 2023 para el testamento abierto. Se preservan las solemnidades vigentes, pero se incorpora expresamente la obligación de garantizar accesibilidad cuando resulte necesaria.</w:t>
            </w:r>
          </w:p>
        </w:tc>
      </w:tr>
      <w:tr w:rsidR="001D7B07" w14:paraId="4E6CFB8F" w14:textId="77777777" w:rsidTr="00341F21">
        <w:trPr>
          <w:jc w:val="center"/>
        </w:trPr>
        <w:tc>
          <w:tcPr>
            <w:tcW w:w="3231" w:type="dxa"/>
            <w:tcMar>
              <w:top w:w="80" w:type="dxa"/>
              <w:left w:w="80" w:type="dxa"/>
              <w:bottom w:w="80" w:type="dxa"/>
              <w:right w:w="80" w:type="dxa"/>
            </w:tcMar>
          </w:tcPr>
          <w:p w14:paraId="5594DD0D" w14:textId="77777777" w:rsidR="001D7B07" w:rsidRDefault="008C664A">
            <w:pPr>
              <w:spacing w:after="20"/>
            </w:pPr>
            <w:r>
              <w:rPr>
                <w:sz w:val="14"/>
              </w:rPr>
              <w:t>Artículo 2°. Modifíquese el artículo 1079 del Código Civil, el cual quedará así:</w:t>
            </w:r>
          </w:p>
          <w:p w14:paraId="4AF12153" w14:textId="77777777" w:rsidR="001D7B07" w:rsidRDefault="001D7B07">
            <w:pPr>
              <w:spacing w:after="20"/>
            </w:pPr>
          </w:p>
          <w:p w14:paraId="1F9852AF" w14:textId="77777777" w:rsidR="001D7B07" w:rsidRDefault="008C664A">
            <w:pPr>
              <w:spacing w:after="20"/>
            </w:pPr>
            <w:r>
              <w:rPr>
                <w:sz w:val="14"/>
              </w:rPr>
              <w:t>Artículo 1079. La persona que no sepa leer ni escribir podrá otorgar testamento cerrado, mediante el uso de los apoyos necesarios, ajustes razonables y formatos adecuados de comunicación, que aseguren la expresión de su voluntad de manera libre, auténtica, íntegra y reservada.</w:t>
            </w:r>
          </w:p>
        </w:tc>
        <w:tc>
          <w:tcPr>
            <w:tcW w:w="3685" w:type="dxa"/>
            <w:tcMar>
              <w:top w:w="80" w:type="dxa"/>
              <w:left w:w="80" w:type="dxa"/>
              <w:bottom w:w="80" w:type="dxa"/>
              <w:right w:w="80" w:type="dxa"/>
            </w:tcMar>
          </w:tcPr>
          <w:p w14:paraId="31A8BBC6" w14:textId="77777777" w:rsidR="001D7B07" w:rsidRDefault="008C664A">
            <w:pPr>
              <w:spacing w:after="20"/>
            </w:pPr>
            <w:r>
              <w:rPr>
                <w:sz w:val="14"/>
              </w:rPr>
              <w:t>Artículo 5°. Modificación del artículo 1079 del Código Civil. Modifíquese el artículo 1079 del Código Civil, el cual quedará así:</w:t>
            </w:r>
          </w:p>
          <w:p w14:paraId="31385740" w14:textId="77777777" w:rsidR="001D7B07" w:rsidRDefault="001D7B07">
            <w:pPr>
              <w:spacing w:after="20"/>
            </w:pPr>
          </w:p>
          <w:p w14:paraId="5977EE31" w14:textId="77777777" w:rsidR="001D7B07" w:rsidRDefault="008C664A">
            <w:pPr>
              <w:spacing w:after="20"/>
            </w:pPr>
            <w:r>
              <w:rPr>
                <w:sz w:val="14"/>
              </w:rPr>
              <w:t>“Artículo 1079. El que no sepa leer y escribir podrá otorgar testamento cerrado. Las notarías deberán disponer de los apoyos necesarios para que el testador pueda manifestar su voluntad con garantías de reserva, autenticidad e integridad, de conformidad con las reglas previstas en la presente ley.”</w:t>
            </w:r>
          </w:p>
        </w:tc>
        <w:tc>
          <w:tcPr>
            <w:tcW w:w="3005" w:type="dxa"/>
            <w:tcMar>
              <w:top w:w="80" w:type="dxa"/>
              <w:left w:w="80" w:type="dxa"/>
              <w:bottom w:w="80" w:type="dxa"/>
              <w:right w:w="80" w:type="dxa"/>
            </w:tcMar>
          </w:tcPr>
          <w:p w14:paraId="68F9B3A0" w14:textId="77777777" w:rsidR="001D7B07" w:rsidRDefault="008C664A">
            <w:pPr>
              <w:spacing w:after="20"/>
            </w:pPr>
            <w:r>
              <w:rPr>
                <w:sz w:val="14"/>
              </w:rPr>
              <w:t>MODIFICATORIA. Se aproxima la redacción al decisum de la Sentencia C-536 de 2023. Se elimina la referencia automática a “ajustes razonables”, pues no saber leer y escribir no constituye por sí solo una discapacidad. Se hace expresa la obligación de las notarías de disponer de los apoyos necesarios para garantizar reserva, autenticidad e integridad.</w:t>
            </w:r>
          </w:p>
        </w:tc>
      </w:tr>
      <w:tr w:rsidR="001D7B07" w14:paraId="07FA5BD3" w14:textId="77777777" w:rsidTr="00341F21">
        <w:trPr>
          <w:jc w:val="center"/>
        </w:trPr>
        <w:tc>
          <w:tcPr>
            <w:tcW w:w="3231" w:type="dxa"/>
            <w:tcMar>
              <w:top w:w="80" w:type="dxa"/>
              <w:left w:w="80" w:type="dxa"/>
              <w:bottom w:w="80" w:type="dxa"/>
              <w:right w:w="80" w:type="dxa"/>
            </w:tcMar>
          </w:tcPr>
          <w:p w14:paraId="45FB6F25" w14:textId="77777777" w:rsidR="001D7B07" w:rsidRDefault="008C664A">
            <w:pPr>
              <w:spacing w:after="20"/>
            </w:pPr>
            <w:r>
              <w:rPr>
                <w:sz w:val="14"/>
              </w:rPr>
              <w:t>Sin disposición equivalente.</w:t>
            </w:r>
          </w:p>
        </w:tc>
        <w:tc>
          <w:tcPr>
            <w:tcW w:w="3685" w:type="dxa"/>
            <w:tcMar>
              <w:top w:w="80" w:type="dxa"/>
              <w:left w:w="80" w:type="dxa"/>
              <w:bottom w:w="80" w:type="dxa"/>
              <w:right w:w="80" w:type="dxa"/>
            </w:tcMar>
          </w:tcPr>
          <w:p w14:paraId="59E3C23F" w14:textId="77777777" w:rsidR="001D7B07" w:rsidRDefault="008C664A">
            <w:pPr>
              <w:spacing w:after="20"/>
            </w:pPr>
            <w:r>
              <w:rPr>
                <w:sz w:val="14"/>
              </w:rPr>
              <w:t>Artículo 6°. Modificación del inciso primero del artículo 1080 del Código Civil. Modifíquese el inciso primero del artículo 1080 del Código Civil, el cual quedará así:</w:t>
            </w:r>
          </w:p>
          <w:p w14:paraId="119FC2A2" w14:textId="77777777" w:rsidR="001D7B07" w:rsidRDefault="001D7B07">
            <w:pPr>
              <w:spacing w:after="20"/>
            </w:pPr>
          </w:p>
          <w:p w14:paraId="38FA68DD" w14:textId="77777777" w:rsidR="001D7B07" w:rsidRDefault="008C664A">
            <w:pPr>
              <w:spacing w:after="20"/>
            </w:pPr>
            <w:r>
              <w:rPr>
                <w:sz w:val="14"/>
              </w:rPr>
              <w:t>“Artículo 1080. Lo que constituye esencialmente el testamento cerrado es el acto en que el testador presenta al notario y los testigos una escritura cerrada, manifestando, mediante cualquier medio, modo o formato de comunicación idóneo, que en aquella escritura se contiene su testamento, de manera que el notario y los testigos puedan conocer y comprender dicha manifestación.”</w:t>
            </w:r>
          </w:p>
          <w:p w14:paraId="7995BFF9" w14:textId="77777777" w:rsidR="001D7B07" w:rsidRDefault="001D7B07">
            <w:pPr>
              <w:spacing w:after="20"/>
            </w:pPr>
          </w:p>
          <w:p w14:paraId="00F29D8F" w14:textId="77777777" w:rsidR="001D7B07" w:rsidRDefault="008C664A">
            <w:pPr>
              <w:spacing w:after="20"/>
            </w:pPr>
            <w:r>
              <w:rPr>
                <w:sz w:val="14"/>
              </w:rPr>
              <w:t>Los demás incisos del artículo 1080 del Código Civil permanecerán sin modificación.</w:t>
            </w:r>
          </w:p>
        </w:tc>
        <w:tc>
          <w:tcPr>
            <w:tcW w:w="3005" w:type="dxa"/>
            <w:tcMar>
              <w:top w:w="80" w:type="dxa"/>
              <w:left w:w="80" w:type="dxa"/>
              <w:bottom w:w="80" w:type="dxa"/>
              <w:right w:w="80" w:type="dxa"/>
            </w:tcMar>
          </w:tcPr>
          <w:p w14:paraId="76933237" w14:textId="77777777" w:rsidR="001D7B07" w:rsidRDefault="008C664A">
            <w:pPr>
              <w:spacing w:after="20"/>
            </w:pPr>
            <w:r>
              <w:rPr>
                <w:sz w:val="14"/>
              </w:rPr>
              <w:t>ARTÍCULO NUEVO. Desarrollo de la Sentencia C-098 de 2025. Se sustituye la exigencia de una declaración exclusivamente “de viva voz” por una fórmula neutral respecto del medio de comunicación, sin afectar la esencia ni la reserva del testamento cerrado.</w:t>
            </w:r>
          </w:p>
        </w:tc>
      </w:tr>
      <w:tr w:rsidR="001D7B07" w14:paraId="16454651" w14:textId="77777777" w:rsidTr="00341F21">
        <w:trPr>
          <w:jc w:val="center"/>
        </w:trPr>
        <w:tc>
          <w:tcPr>
            <w:tcW w:w="3231" w:type="dxa"/>
            <w:tcMar>
              <w:top w:w="80" w:type="dxa"/>
              <w:left w:w="80" w:type="dxa"/>
              <w:bottom w:w="80" w:type="dxa"/>
              <w:right w:w="80" w:type="dxa"/>
            </w:tcMar>
          </w:tcPr>
          <w:p w14:paraId="2AA165A0" w14:textId="77777777" w:rsidR="001D7B07" w:rsidRDefault="008C664A">
            <w:pPr>
              <w:spacing w:after="20"/>
            </w:pPr>
            <w:r>
              <w:rPr>
                <w:sz w:val="14"/>
              </w:rPr>
              <w:t>Sin disposición equivalente.</w:t>
            </w:r>
          </w:p>
        </w:tc>
        <w:tc>
          <w:tcPr>
            <w:tcW w:w="3685" w:type="dxa"/>
            <w:tcMar>
              <w:top w:w="80" w:type="dxa"/>
              <w:left w:w="80" w:type="dxa"/>
              <w:bottom w:w="80" w:type="dxa"/>
              <w:right w:w="80" w:type="dxa"/>
            </w:tcMar>
          </w:tcPr>
          <w:p w14:paraId="0CC478E7" w14:textId="77777777" w:rsidR="001D7B07" w:rsidRDefault="008C664A">
            <w:pPr>
              <w:spacing w:after="20"/>
            </w:pPr>
            <w:r>
              <w:rPr>
                <w:sz w:val="14"/>
              </w:rPr>
              <w:t>Artículo 7°. Modificación del artículo 1081 del Código Civil. Modifíquese el artículo 1081 del Código Civil, el cual quedará así:</w:t>
            </w:r>
          </w:p>
          <w:p w14:paraId="685EFE39" w14:textId="77777777" w:rsidR="001D7B07" w:rsidRDefault="001D7B07">
            <w:pPr>
              <w:spacing w:after="20"/>
            </w:pPr>
          </w:p>
          <w:p w14:paraId="1F4BB56A" w14:textId="77777777" w:rsidR="001D7B07" w:rsidRDefault="008C664A">
            <w:pPr>
              <w:spacing w:after="20"/>
            </w:pPr>
            <w:r>
              <w:rPr>
                <w:sz w:val="14"/>
              </w:rPr>
              <w:t xml:space="preserve">“Artículo 1081. Cuando el testador no pudiere entender o ser entendido de viva voz, sólo podrá otorgar testamento cerrado. No obstante, cuando dicha circunstancia se derive de una discapacidad, el testador podrá otorgar testamento abierto o cerrado, de conformidad con las </w:t>
            </w:r>
            <w:r>
              <w:rPr>
                <w:sz w:val="14"/>
              </w:rPr>
              <w:lastRenderedPageBreak/>
              <w:t>reglas de accesibilidad, apoyos y salvaguardias previstas en la ley.</w:t>
            </w:r>
          </w:p>
          <w:p w14:paraId="367B5BC8" w14:textId="77777777" w:rsidR="001D7B07" w:rsidRDefault="001D7B07">
            <w:pPr>
              <w:spacing w:after="20"/>
            </w:pPr>
          </w:p>
          <w:p w14:paraId="357CCAF1" w14:textId="77777777" w:rsidR="001D7B07" w:rsidRDefault="008C664A">
            <w:pPr>
              <w:spacing w:after="20"/>
            </w:pPr>
            <w:r>
              <w:rPr>
                <w:sz w:val="14"/>
              </w:rPr>
              <w:t>En el testamento cerrado deberá dejarse constancia sobre la cubierta de la palabra ‘testamento’, o su equivalente en el idioma que prefiera el testador, así como de su nombre, apellido, domicilio y nacionalidad. Estas anotaciones podrán ser realizadas por el testador o incorporadas mediante un medio o mecanismo idóneo que permita garantizar su identificación, autenticidad y vinculación con el acto testamentario. El notario dejará constancia del mecanismo utilizado cuando las anotaciones no hayan sido efectuadas personalmente por el testador.</w:t>
            </w:r>
          </w:p>
          <w:p w14:paraId="0F825DBD" w14:textId="77777777" w:rsidR="001D7B07" w:rsidRDefault="001D7B07">
            <w:pPr>
              <w:spacing w:after="20"/>
            </w:pPr>
          </w:p>
          <w:p w14:paraId="1752DB80" w14:textId="77777777" w:rsidR="001D7B07" w:rsidRDefault="008C664A">
            <w:pPr>
              <w:spacing w:after="20"/>
            </w:pPr>
            <w:r>
              <w:rPr>
                <w:sz w:val="14"/>
              </w:rPr>
              <w:t>En lo demás, se observará lo prevenido en el artículo precedente.”</w:t>
            </w:r>
          </w:p>
        </w:tc>
        <w:tc>
          <w:tcPr>
            <w:tcW w:w="3005" w:type="dxa"/>
            <w:tcMar>
              <w:top w:w="80" w:type="dxa"/>
              <w:left w:w="80" w:type="dxa"/>
              <w:bottom w:w="80" w:type="dxa"/>
              <w:right w:w="80" w:type="dxa"/>
            </w:tcMar>
          </w:tcPr>
          <w:p w14:paraId="60BB8E0C" w14:textId="77777777" w:rsidR="001D7B07" w:rsidRDefault="008C664A">
            <w:pPr>
              <w:spacing w:after="20"/>
            </w:pPr>
            <w:r>
              <w:rPr>
                <w:sz w:val="14"/>
              </w:rPr>
              <w:lastRenderedPageBreak/>
              <w:t xml:space="preserve">ARTÍCULO NUEVO. El primer inciso desarrolla la Sentencia C-260 de 2023. El segundo constituye una armonización legislativa adicional para los supuestos comprendidos en el artículo 1081 en los que el testador no pueda realizar personalmente las anotaciones manuscritas. Se conserva la finalidad de identificación y autenticidad de la </w:t>
            </w:r>
            <w:r>
              <w:rPr>
                <w:sz w:val="14"/>
              </w:rPr>
              <w:lastRenderedPageBreak/>
              <w:t>solemnidad, permitiendo un mecanismo idóneo distinto de la escritura de propia mano.</w:t>
            </w:r>
          </w:p>
        </w:tc>
      </w:tr>
      <w:tr w:rsidR="001D7B07" w14:paraId="2FA47ED1" w14:textId="77777777" w:rsidTr="00341F21">
        <w:trPr>
          <w:jc w:val="center"/>
        </w:trPr>
        <w:tc>
          <w:tcPr>
            <w:tcW w:w="3231" w:type="dxa"/>
            <w:tcMar>
              <w:top w:w="80" w:type="dxa"/>
              <w:left w:w="80" w:type="dxa"/>
              <w:bottom w:w="80" w:type="dxa"/>
              <w:right w:w="80" w:type="dxa"/>
            </w:tcMar>
          </w:tcPr>
          <w:p w14:paraId="7AA750BD" w14:textId="77777777" w:rsidR="001D7B07" w:rsidRDefault="008C664A">
            <w:pPr>
              <w:spacing w:after="20"/>
            </w:pPr>
            <w:r>
              <w:rPr>
                <w:sz w:val="14"/>
              </w:rPr>
              <w:lastRenderedPageBreak/>
              <w:t>Artículo 3°. Deber de garantía por parte de las notarías. Los notarios deberán disponer de los mecanismos, herramientas y apoyos necesarios para permitir que las personas que no saben leer ni escribir otorguen testamento cerrado en condiciones de igualdad y sin costo adicional, debiendo asegurar:</w:t>
            </w:r>
          </w:p>
          <w:p w14:paraId="7FD14F27" w14:textId="77777777" w:rsidR="001D7B07" w:rsidRDefault="001D7B07">
            <w:pPr>
              <w:spacing w:after="20"/>
            </w:pPr>
          </w:p>
          <w:p w14:paraId="1BD68BF9" w14:textId="77777777" w:rsidR="001D7B07" w:rsidRDefault="008C664A">
            <w:pPr>
              <w:spacing w:after="20"/>
            </w:pPr>
            <w:r>
              <w:rPr>
                <w:sz w:val="14"/>
              </w:rPr>
              <w:t>a) La autenticidad y fidelidad de la voluntad manifestada por el testador.</w:t>
            </w:r>
          </w:p>
          <w:p w14:paraId="10C48C3A" w14:textId="77777777" w:rsidR="001D7B07" w:rsidRDefault="008C664A">
            <w:pPr>
              <w:spacing w:after="20"/>
            </w:pPr>
            <w:r>
              <w:rPr>
                <w:sz w:val="14"/>
              </w:rPr>
              <w:t>b) La reserva y confidencialidad del contenido del testamento y del acto de otorgamiento.</w:t>
            </w:r>
          </w:p>
          <w:p w14:paraId="5F444C75" w14:textId="77777777" w:rsidR="001D7B07" w:rsidRDefault="008C664A">
            <w:pPr>
              <w:spacing w:after="20"/>
            </w:pPr>
            <w:r>
              <w:rPr>
                <w:sz w:val="14"/>
              </w:rPr>
              <w:t>c) La integridad e inalterabilidad del documento que contiene las disposiciones testamentarias.</w:t>
            </w:r>
          </w:p>
          <w:p w14:paraId="5A3617F8" w14:textId="77777777" w:rsidR="001D7B07" w:rsidRDefault="008C664A">
            <w:pPr>
              <w:spacing w:after="20"/>
            </w:pPr>
            <w:r>
              <w:rPr>
                <w:sz w:val="14"/>
              </w:rPr>
              <w:t>d) La efectiva comprensión y entendimiento de la declaración testamentaria por parte del otorgante.</w:t>
            </w:r>
          </w:p>
          <w:p w14:paraId="68425B69" w14:textId="77777777" w:rsidR="001D7B07" w:rsidRDefault="008C664A">
            <w:pPr>
              <w:spacing w:after="20"/>
            </w:pPr>
            <w:r>
              <w:rPr>
                <w:sz w:val="14"/>
              </w:rPr>
              <w:t>e) La ausencia de influencias, presiones o injerencias indebidas.</w:t>
            </w:r>
          </w:p>
        </w:tc>
        <w:tc>
          <w:tcPr>
            <w:tcW w:w="3685" w:type="dxa"/>
            <w:tcMar>
              <w:top w:w="80" w:type="dxa"/>
              <w:left w:w="80" w:type="dxa"/>
              <w:bottom w:w="80" w:type="dxa"/>
              <w:right w:w="80" w:type="dxa"/>
            </w:tcMar>
          </w:tcPr>
          <w:p w14:paraId="54B9AE93" w14:textId="77777777" w:rsidR="001D7B07" w:rsidRDefault="008C664A">
            <w:pPr>
              <w:spacing w:after="20"/>
            </w:pPr>
            <w:r>
              <w:rPr>
                <w:sz w:val="14"/>
              </w:rPr>
              <w:t>Artículo 8°. Garantías notariales de accesibilidad, autenticidad, integridad y reserva. En el otorgamiento de testamentos, el notario deberá adoptar las medidas necesarias para garantizar la accesibilidad del acto, la autenticidad de la manifestación del testador, la integridad del instrumento y, cuando corresponda, la reserva de sus disposiciones.</w:t>
            </w:r>
          </w:p>
          <w:p w14:paraId="726B18AA" w14:textId="77777777" w:rsidR="001D7B07" w:rsidRDefault="001D7B07">
            <w:pPr>
              <w:spacing w:after="20"/>
            </w:pPr>
          </w:p>
          <w:p w14:paraId="119E14BE" w14:textId="77777777" w:rsidR="001D7B07" w:rsidRDefault="008C664A">
            <w:pPr>
              <w:spacing w:after="20"/>
            </w:pPr>
            <w:r>
              <w:rPr>
                <w:sz w:val="14"/>
              </w:rPr>
              <w:t>Cuando el testador requiera ajustes razonables, asistencia, apoyos o medios, modos o formatos de comunicación, el notario deberá permitir y facilitar su utilización de conformidad con la ley, siempre que resulten compatibles con las solemnidades propias del testamento.</w:t>
            </w:r>
          </w:p>
          <w:p w14:paraId="788E6E8C" w14:textId="77777777" w:rsidR="001D7B07" w:rsidRDefault="001D7B07">
            <w:pPr>
              <w:spacing w:after="20"/>
            </w:pPr>
          </w:p>
          <w:p w14:paraId="0B33F38A" w14:textId="77777777" w:rsidR="001D7B07" w:rsidRDefault="008C664A">
            <w:pPr>
              <w:spacing w:after="20"/>
            </w:pPr>
            <w:r>
              <w:rPr>
                <w:sz w:val="14"/>
              </w:rPr>
              <w:t>El notario deberá verificar que la manifestación testamentaria provenga del testador y adoptar salvaguardias adecuadas y proporcionales para prevenir conflictos de interés, presión, engaño, abuso, influencia indebida o sustitución de la voluntad.</w:t>
            </w:r>
          </w:p>
          <w:p w14:paraId="6312A037" w14:textId="77777777" w:rsidR="001D7B07" w:rsidRDefault="001D7B07">
            <w:pPr>
              <w:spacing w:after="20"/>
            </w:pPr>
          </w:p>
          <w:p w14:paraId="5C9948D4" w14:textId="77777777" w:rsidR="001D7B07" w:rsidRDefault="008C664A">
            <w:pPr>
              <w:spacing w:after="20"/>
            </w:pPr>
            <w:r>
              <w:rPr>
                <w:sz w:val="14"/>
              </w:rPr>
              <w:t>La intervención de personas de apoyo, intérpretes, facilitadores o terceros que resulten necesarios para hacer posible la comunicación o accesibilidad del acto deberá limitarse a la función que les corresponda y no podrá extenderse a determinar, completar, modificar o sustituir las disposiciones testamentarias del testador.</w:t>
            </w:r>
          </w:p>
          <w:p w14:paraId="7F8BC79A" w14:textId="77777777" w:rsidR="001D7B07" w:rsidRDefault="001D7B07">
            <w:pPr>
              <w:spacing w:after="20"/>
            </w:pPr>
          </w:p>
          <w:p w14:paraId="30754FF0" w14:textId="77777777" w:rsidR="001D7B07" w:rsidRDefault="008C664A">
            <w:pPr>
              <w:spacing w:after="20"/>
            </w:pPr>
            <w:r>
              <w:rPr>
                <w:sz w:val="14"/>
              </w:rPr>
              <w:t>En el testamento cerrado deberán preservarse, además, la reserva de las disposiciones testamentarias y la integridad e inalterabilidad de la escritura presentada, sin perjuicio de las medidas de accesibilidad y apoyo que resulten necesarias para su otorgamiento.</w:t>
            </w:r>
          </w:p>
          <w:p w14:paraId="1F8880BB" w14:textId="77777777" w:rsidR="001D7B07" w:rsidRDefault="001D7B07">
            <w:pPr>
              <w:spacing w:after="20"/>
            </w:pPr>
          </w:p>
          <w:p w14:paraId="52BF57E8" w14:textId="77777777" w:rsidR="001D7B07" w:rsidRDefault="008C664A">
            <w:pPr>
              <w:spacing w:after="20"/>
            </w:pPr>
            <w:r>
              <w:rPr>
                <w:sz w:val="14"/>
              </w:rPr>
              <w:t xml:space="preserve">El notario dejará constancia en el instrumento de los ajustes, apoyos, medios, modos o formatos de comunicación empleados y de las salvaguardias adoptadas, cuando ello resulte pertinente, sin revelar </w:t>
            </w:r>
            <w:r>
              <w:rPr>
                <w:sz w:val="14"/>
              </w:rPr>
              <w:lastRenderedPageBreak/>
              <w:t>información reservada sobre el contenido del testamento cerrado.</w:t>
            </w:r>
          </w:p>
        </w:tc>
        <w:tc>
          <w:tcPr>
            <w:tcW w:w="3005" w:type="dxa"/>
            <w:tcMar>
              <w:top w:w="80" w:type="dxa"/>
              <w:left w:w="80" w:type="dxa"/>
              <w:bottom w:w="80" w:type="dxa"/>
              <w:right w:w="80" w:type="dxa"/>
            </w:tcMar>
          </w:tcPr>
          <w:p w14:paraId="119C2E2F" w14:textId="77777777" w:rsidR="001D7B07" w:rsidRDefault="008C664A">
            <w:pPr>
              <w:spacing w:after="20"/>
            </w:pPr>
            <w:r>
              <w:rPr>
                <w:sz w:val="14"/>
              </w:rPr>
              <w:lastRenderedPageBreak/>
              <w:t>MODIFICATORIA Y AMPLIATORIA. Se conserva el núcleo garantista del artículo radicado y se amplía a las demás situaciones de accesibilidad contempladas en el pliego. Se precisan las salvaguardias frente a presión, engaño, abuso, influencia indebida y sustitución de voluntad. La materia económica se desagrega en un artículo independiente.</w:t>
            </w:r>
          </w:p>
        </w:tc>
      </w:tr>
      <w:tr w:rsidR="001D7B07" w14:paraId="488B1A68" w14:textId="77777777" w:rsidTr="00341F21">
        <w:trPr>
          <w:jc w:val="center"/>
        </w:trPr>
        <w:tc>
          <w:tcPr>
            <w:tcW w:w="3231" w:type="dxa"/>
            <w:tcMar>
              <w:top w:w="80" w:type="dxa"/>
              <w:left w:w="80" w:type="dxa"/>
              <w:bottom w:w="80" w:type="dxa"/>
              <w:right w:w="80" w:type="dxa"/>
            </w:tcMar>
          </w:tcPr>
          <w:p w14:paraId="54A1E52D" w14:textId="290B3B74" w:rsidR="001D7B07" w:rsidRDefault="00422886">
            <w:pPr>
              <w:spacing w:after="20"/>
            </w:pPr>
            <w:r>
              <w:rPr>
                <w:sz w:val="14"/>
              </w:rPr>
              <w:t xml:space="preserve">Sin disposición equivalente </w:t>
            </w:r>
          </w:p>
        </w:tc>
        <w:tc>
          <w:tcPr>
            <w:tcW w:w="3685" w:type="dxa"/>
            <w:tcMar>
              <w:top w:w="80" w:type="dxa"/>
              <w:left w:w="80" w:type="dxa"/>
              <w:bottom w:w="80" w:type="dxa"/>
              <w:right w:w="80" w:type="dxa"/>
            </w:tcMar>
          </w:tcPr>
          <w:p w14:paraId="61E1D39A" w14:textId="4AAA7335" w:rsidR="001D7B07" w:rsidRDefault="008C664A">
            <w:pPr>
              <w:spacing w:after="20"/>
            </w:pPr>
            <w:r w:rsidRPr="00422886">
              <w:rPr>
                <w:sz w:val="14"/>
              </w:rPr>
              <w:t xml:space="preserve">Artículo 9°. Costos de las medidas de accesibilidad y apoyo. </w:t>
            </w:r>
          </w:p>
          <w:p w14:paraId="2F7F9622" w14:textId="77777777" w:rsidR="001D7B07" w:rsidRDefault="001D7B07">
            <w:pPr>
              <w:spacing w:after="20"/>
            </w:pPr>
          </w:p>
          <w:p w14:paraId="4CAF725D" w14:textId="77777777" w:rsidR="001D7B07" w:rsidRPr="00422886" w:rsidRDefault="008C664A">
            <w:pPr>
              <w:spacing w:after="20"/>
            </w:pPr>
            <w:r w:rsidRPr="00422886">
              <w:rPr>
                <w:sz w:val="14"/>
              </w:rPr>
              <w:t>La implementación de ajustes razonables, medidas de accesibilidad y apoyos que correspondan al cumplimiento de las obligaciones propias de la función notarial no dará lugar a cobros adicionales distintos de los derechos notariales legalmente autorizados.</w:t>
            </w:r>
          </w:p>
          <w:p w14:paraId="01C335BA" w14:textId="77777777" w:rsidR="001D7B07" w:rsidRPr="00422886" w:rsidRDefault="001D7B07">
            <w:pPr>
              <w:spacing w:after="20"/>
            </w:pPr>
          </w:p>
          <w:p w14:paraId="38F0CF2D" w14:textId="77777777" w:rsidR="001D7B07" w:rsidRDefault="008C664A">
            <w:pPr>
              <w:spacing w:after="20"/>
            </w:pPr>
            <w:r w:rsidRPr="00422886">
              <w:rPr>
                <w:sz w:val="14"/>
              </w:rPr>
              <w:t>Cuando para el otorgamiento del testamento se requieran servicios especializados de terceros que excedan las medidas ordinarias de accesibilidad y apoyo a cargo de la notaría, su provisión y régimen económico se sujetarán a la ley y a la reglamentación aplicable.</w:t>
            </w:r>
          </w:p>
        </w:tc>
        <w:tc>
          <w:tcPr>
            <w:tcW w:w="3005" w:type="dxa"/>
            <w:tcMar>
              <w:top w:w="80" w:type="dxa"/>
              <w:left w:w="80" w:type="dxa"/>
              <w:bottom w:w="80" w:type="dxa"/>
              <w:right w:w="80" w:type="dxa"/>
            </w:tcMar>
          </w:tcPr>
          <w:p w14:paraId="0948CA72" w14:textId="555BBB68" w:rsidR="001D7B07" w:rsidRPr="00422886" w:rsidRDefault="008C664A">
            <w:pPr>
              <w:spacing w:after="20"/>
            </w:pPr>
            <w:r w:rsidRPr="00422886">
              <w:rPr>
                <w:sz w:val="14"/>
              </w:rPr>
              <w:t>ARTÍCULO NUEVO</w:t>
            </w:r>
            <w:r w:rsidR="00422886">
              <w:rPr>
                <w:sz w:val="14"/>
              </w:rPr>
              <w:t xml:space="preserve">. </w:t>
            </w:r>
            <w:r w:rsidRPr="00422886">
              <w:rPr>
                <w:sz w:val="14"/>
              </w:rPr>
              <w:t xml:space="preserve">Se separa la materia económica del deber general de garantía para distinguir las obligaciones ordinarias de accesibilidad de eventuales servicios especializados de terceros. </w:t>
            </w:r>
          </w:p>
        </w:tc>
      </w:tr>
      <w:tr w:rsidR="001D7B07" w14:paraId="68485FE6" w14:textId="77777777" w:rsidTr="00341F21">
        <w:trPr>
          <w:jc w:val="center"/>
        </w:trPr>
        <w:tc>
          <w:tcPr>
            <w:tcW w:w="3231" w:type="dxa"/>
            <w:tcMar>
              <w:top w:w="80" w:type="dxa"/>
              <w:left w:w="80" w:type="dxa"/>
              <w:bottom w:w="80" w:type="dxa"/>
              <w:right w:w="80" w:type="dxa"/>
            </w:tcMar>
          </w:tcPr>
          <w:p w14:paraId="1B80DAF4" w14:textId="77777777" w:rsidR="001D7B07" w:rsidRDefault="008C664A">
            <w:pPr>
              <w:spacing w:after="20"/>
            </w:pPr>
            <w:r>
              <w:rPr>
                <w:sz w:val="14"/>
              </w:rPr>
              <w:t>Artículo 4°. Tipos de apoyos y ajustes razonables. Para efectos de la presente ley, los notarios podrán emplear, entre otros:</w:t>
            </w:r>
          </w:p>
          <w:p w14:paraId="395C8DF2" w14:textId="77777777" w:rsidR="001D7B07" w:rsidRDefault="001D7B07">
            <w:pPr>
              <w:spacing w:after="20"/>
            </w:pPr>
          </w:p>
          <w:p w14:paraId="2EBE4572" w14:textId="77777777" w:rsidR="001D7B07" w:rsidRDefault="008C664A">
            <w:pPr>
              <w:spacing w:after="20"/>
            </w:pPr>
            <w:r>
              <w:rPr>
                <w:sz w:val="14"/>
              </w:rPr>
              <w:t>a) Sistemas de reconocimiento y registro de voz.</w:t>
            </w:r>
          </w:p>
          <w:p w14:paraId="547AF9A9" w14:textId="77777777" w:rsidR="001D7B07" w:rsidRDefault="008C664A">
            <w:pPr>
              <w:spacing w:after="20"/>
            </w:pPr>
            <w:r>
              <w:rPr>
                <w:sz w:val="14"/>
              </w:rPr>
              <w:t>b) Tecnologías de lectura de contenidos escritos.</w:t>
            </w:r>
          </w:p>
          <w:p w14:paraId="0CC89AAB" w14:textId="77777777" w:rsidR="001D7B07" w:rsidRDefault="008C664A">
            <w:pPr>
              <w:spacing w:after="20"/>
            </w:pPr>
            <w:r>
              <w:rPr>
                <w:sz w:val="14"/>
              </w:rPr>
              <w:t>c) Sistemas de escritura por dictado.</w:t>
            </w:r>
          </w:p>
          <w:p w14:paraId="06E25689" w14:textId="77777777" w:rsidR="001D7B07" w:rsidRDefault="008C664A">
            <w:pPr>
              <w:spacing w:after="20"/>
            </w:pPr>
            <w:r>
              <w:rPr>
                <w:sz w:val="14"/>
              </w:rPr>
              <w:t>d) Apoyos técnicos o humanos especializados en comunicación, traducción o mediación lingüística.</w:t>
            </w:r>
          </w:p>
          <w:p w14:paraId="341E7307" w14:textId="77777777" w:rsidR="001D7B07" w:rsidRDefault="008C664A">
            <w:pPr>
              <w:spacing w:after="20"/>
            </w:pPr>
            <w:r>
              <w:rPr>
                <w:sz w:val="14"/>
              </w:rPr>
              <w:t>e) Cualquier otro medio tecnológico e idóneo que permita verificar autónomamente el contenido.</w:t>
            </w:r>
          </w:p>
          <w:p w14:paraId="0F2FA24C" w14:textId="77777777" w:rsidR="001D7B07" w:rsidRDefault="001D7B07">
            <w:pPr>
              <w:spacing w:after="20"/>
            </w:pPr>
          </w:p>
          <w:p w14:paraId="3171ED6A" w14:textId="77777777" w:rsidR="001D7B07" w:rsidRDefault="008C664A">
            <w:pPr>
              <w:spacing w:after="20"/>
            </w:pPr>
            <w:r>
              <w:rPr>
                <w:sz w:val="14"/>
              </w:rPr>
              <w:t>Parágrafo 1°. Los apoyos serán exclusivamente técnicos, instrumentales o comunicativos y no podrán sustituir, interpretar o interferir en la voluntad del testador.</w:t>
            </w:r>
          </w:p>
          <w:p w14:paraId="7AADD0FF" w14:textId="77777777" w:rsidR="001D7B07" w:rsidRDefault="001D7B07">
            <w:pPr>
              <w:spacing w:after="20"/>
            </w:pPr>
          </w:p>
          <w:p w14:paraId="7937D080" w14:textId="77777777" w:rsidR="001D7B07" w:rsidRDefault="008C664A">
            <w:pPr>
              <w:spacing w:after="20"/>
            </w:pPr>
            <w:r>
              <w:rPr>
                <w:sz w:val="14"/>
              </w:rPr>
              <w:t>Parágrafo 2°. En todos los casos deberán adoptarse protocolos de seguridad y privacidad que garanticen la ausencia de conflictos de interés, influencias, presiones o injerencias indebidas.</w:t>
            </w:r>
          </w:p>
        </w:tc>
        <w:tc>
          <w:tcPr>
            <w:tcW w:w="3685" w:type="dxa"/>
            <w:tcMar>
              <w:top w:w="80" w:type="dxa"/>
              <w:left w:w="80" w:type="dxa"/>
              <w:bottom w:w="80" w:type="dxa"/>
              <w:right w:w="80" w:type="dxa"/>
            </w:tcMar>
          </w:tcPr>
          <w:p w14:paraId="6D46C718" w14:textId="77777777" w:rsidR="001D7B07" w:rsidRDefault="008C664A">
            <w:pPr>
              <w:spacing w:after="20"/>
            </w:pPr>
            <w:r>
              <w:rPr>
                <w:sz w:val="14"/>
              </w:rPr>
              <w:t>Se suprime como disposición autónoma. Su contenido material se distribuye entre los artículos 2°, 8° y 10° propuestos.</w:t>
            </w:r>
          </w:p>
        </w:tc>
        <w:tc>
          <w:tcPr>
            <w:tcW w:w="3005" w:type="dxa"/>
            <w:tcMar>
              <w:top w:w="80" w:type="dxa"/>
              <w:left w:w="80" w:type="dxa"/>
              <w:bottom w:w="80" w:type="dxa"/>
              <w:right w:w="80" w:type="dxa"/>
            </w:tcMar>
          </w:tcPr>
          <w:p w14:paraId="4F50C2A7" w14:textId="77777777" w:rsidR="001D7B07" w:rsidRDefault="008C664A">
            <w:pPr>
              <w:spacing w:after="20"/>
            </w:pPr>
            <w:r>
              <w:rPr>
                <w:sz w:val="14"/>
              </w:rPr>
              <w:t>SUSTITUTIVA. No se recomienda mantener un catálogo tecnológico en la ley, pues puede quedar rápidamente desactualizado y mezcla categorías jurídicas distintas. Se conserva el carácter instrumental y no sustitutivo de los apoyos en el artículo 2°, las salvaguardias y garantías notariales en el artículo 8° y los aspectos técnicos y operativos en la reglamentación del artículo 10°.</w:t>
            </w:r>
          </w:p>
        </w:tc>
      </w:tr>
      <w:tr w:rsidR="001D7B07" w14:paraId="126E975C" w14:textId="77777777" w:rsidTr="00341F21">
        <w:trPr>
          <w:jc w:val="center"/>
        </w:trPr>
        <w:tc>
          <w:tcPr>
            <w:tcW w:w="3231" w:type="dxa"/>
            <w:tcMar>
              <w:top w:w="80" w:type="dxa"/>
              <w:left w:w="80" w:type="dxa"/>
              <w:bottom w:w="80" w:type="dxa"/>
              <w:right w:w="80" w:type="dxa"/>
            </w:tcMar>
          </w:tcPr>
          <w:p w14:paraId="3B93F596" w14:textId="77777777" w:rsidR="001D7B07" w:rsidRDefault="008C664A">
            <w:pPr>
              <w:spacing w:after="20"/>
            </w:pPr>
            <w:r>
              <w:rPr>
                <w:sz w:val="14"/>
              </w:rPr>
              <w:t>Artículo 5°. Reglamentación. El Gobierno nacional, a través del Ministerio de Justicia y del Derecho, o quien haga sus veces, con el soporte técnico de la Superintendencia de Notariado y Registro, reglamentará la presente ley dentro de los seis (6) meses siguientes a su sanción y promulgación, estableciendo los protocolos técnicos, operativos y de seguridad necesarios para su adecuada implementación.</w:t>
            </w:r>
          </w:p>
        </w:tc>
        <w:tc>
          <w:tcPr>
            <w:tcW w:w="3685" w:type="dxa"/>
            <w:tcMar>
              <w:top w:w="80" w:type="dxa"/>
              <w:left w:w="80" w:type="dxa"/>
              <w:bottom w:w="80" w:type="dxa"/>
              <w:right w:w="80" w:type="dxa"/>
            </w:tcMar>
          </w:tcPr>
          <w:p w14:paraId="36415F13" w14:textId="77777777" w:rsidR="001D7B07" w:rsidRDefault="008C664A">
            <w:pPr>
              <w:spacing w:after="20"/>
            </w:pPr>
            <w:r>
              <w:rPr>
                <w:sz w:val="14"/>
              </w:rPr>
              <w:t>Artículo 10°. Reglamentación. El Gobierno nacional reglamentará la presente ley dentro de los seis (6) meses siguientes a su promulgación, en ejercicio de la potestad prevista en el numeral 11 del artículo 189 de la Constitución Política.</w:t>
            </w:r>
          </w:p>
          <w:p w14:paraId="04E91EBE" w14:textId="77777777" w:rsidR="001D7B07" w:rsidRDefault="001D7B07">
            <w:pPr>
              <w:spacing w:after="20"/>
            </w:pPr>
          </w:p>
          <w:p w14:paraId="7E4D1365" w14:textId="77777777" w:rsidR="001D7B07" w:rsidRDefault="008C664A">
            <w:pPr>
              <w:spacing w:after="20"/>
            </w:pPr>
            <w:r>
              <w:rPr>
                <w:sz w:val="14"/>
              </w:rPr>
              <w:t>La reglamentación desarrollará los aspectos técnicos, operativos y de seguridad necesarios para su adecuada implementación, especialmente los relacionados con accesibilidad, utilización de apoyos, salvaguardias, medios, modos o formatos de comunicación, constancias notariales, reserva, autenticidad, integridad y seguridad de los instrumentos testamentarios.</w:t>
            </w:r>
          </w:p>
          <w:p w14:paraId="6DEE089E" w14:textId="77777777" w:rsidR="001D7B07" w:rsidRDefault="001D7B07">
            <w:pPr>
              <w:spacing w:after="20"/>
            </w:pPr>
          </w:p>
          <w:p w14:paraId="5FCD8A36" w14:textId="77777777" w:rsidR="001D7B07" w:rsidRDefault="008C664A">
            <w:pPr>
              <w:spacing w:after="20"/>
            </w:pPr>
            <w:r>
              <w:rPr>
                <w:sz w:val="14"/>
              </w:rPr>
              <w:lastRenderedPageBreak/>
              <w:t>La Superintendencia de Notariado y Registro, en el marco de sus competencias legales, impartirá las instrucciones administrativas necesarias para la adecuada aplicación de la presente ley y de su reglamentación.</w:t>
            </w:r>
          </w:p>
          <w:p w14:paraId="6B3C1A59" w14:textId="77777777" w:rsidR="001D7B07" w:rsidRDefault="001D7B07">
            <w:pPr>
              <w:spacing w:after="20"/>
            </w:pPr>
          </w:p>
          <w:p w14:paraId="7BCBB546" w14:textId="77777777" w:rsidR="001D7B07" w:rsidRDefault="008C664A">
            <w:pPr>
              <w:spacing w:after="20"/>
            </w:pPr>
            <w:r>
              <w:rPr>
                <w:sz w:val="14"/>
              </w:rPr>
              <w:t>La falta de reglamentación no podrá invocarse para impedir el ejercicio de los derechos reconocidos en la presente ley ni de aquellos directamente exigibles conforme a la Constitución, la ley y la jurisprudencia constitucional.</w:t>
            </w:r>
          </w:p>
        </w:tc>
        <w:tc>
          <w:tcPr>
            <w:tcW w:w="3005" w:type="dxa"/>
            <w:tcMar>
              <w:top w:w="80" w:type="dxa"/>
              <w:left w:w="80" w:type="dxa"/>
              <w:bottom w:w="80" w:type="dxa"/>
              <w:right w:w="80" w:type="dxa"/>
            </w:tcMar>
          </w:tcPr>
          <w:p w14:paraId="50F642D4" w14:textId="77777777" w:rsidR="001D7B07" w:rsidRDefault="008C664A">
            <w:pPr>
              <w:spacing w:after="20"/>
            </w:pPr>
            <w:r>
              <w:rPr>
                <w:sz w:val="14"/>
              </w:rPr>
              <w:lastRenderedPageBreak/>
              <w:t>MODIFICATORIA. Se conserva el término de seis (6) meses y se precisa la distribución constitucional de competencias: la potestad reglamentaria general corresponde al Gobierno nacional, mientras la Superintendencia de Notariado y Registro impartirá instrucciones administrativas dentro de sus competencias. La ausencia de reglamentación no podrá suspender derechos directamente exigibles.</w:t>
            </w:r>
          </w:p>
        </w:tc>
      </w:tr>
      <w:tr w:rsidR="001D7B07" w14:paraId="24F9E28C" w14:textId="77777777" w:rsidTr="00341F21">
        <w:trPr>
          <w:jc w:val="center"/>
        </w:trPr>
        <w:tc>
          <w:tcPr>
            <w:tcW w:w="3231" w:type="dxa"/>
            <w:tcMar>
              <w:top w:w="80" w:type="dxa"/>
              <w:left w:w="80" w:type="dxa"/>
              <w:bottom w:w="80" w:type="dxa"/>
              <w:right w:w="80" w:type="dxa"/>
            </w:tcMar>
          </w:tcPr>
          <w:p w14:paraId="37B15DD1" w14:textId="77777777" w:rsidR="001D7B07" w:rsidRDefault="008C664A">
            <w:pPr>
              <w:spacing w:after="20"/>
            </w:pPr>
            <w:r>
              <w:rPr>
                <w:sz w:val="14"/>
              </w:rPr>
              <w:t>Artículo 6°. Vigilancia y control. La Superintendencia de Notariado y Registro ejercerá la inspección, vigilancia y control sobre el cumplimiento de lo dispuesto en la presente ley. Para tal efecto, expedirá las instrucciones y circulares de obligatorio cumplimiento para los notarios del país.</w:t>
            </w:r>
          </w:p>
        </w:tc>
        <w:tc>
          <w:tcPr>
            <w:tcW w:w="3685" w:type="dxa"/>
            <w:tcMar>
              <w:top w:w="80" w:type="dxa"/>
              <w:left w:w="80" w:type="dxa"/>
              <w:bottom w:w="80" w:type="dxa"/>
              <w:right w:w="80" w:type="dxa"/>
            </w:tcMar>
          </w:tcPr>
          <w:p w14:paraId="2A68FA03" w14:textId="77777777" w:rsidR="001D7B07" w:rsidRDefault="008C664A">
            <w:pPr>
              <w:spacing w:after="20"/>
            </w:pPr>
            <w:r>
              <w:rPr>
                <w:sz w:val="14"/>
              </w:rPr>
              <w:t>Artículo 11°. Inspección, vigilancia, control y capacitación. La Superintendencia de Notariado y Registro, en el ámbito de sus competencias, ejercerá las funciones de orientación, inspección, vigilancia y control respecto del cumplimiento de las disposiciones previstas en la presente ley y de las normas que la reglamenten.</w:t>
            </w:r>
          </w:p>
          <w:p w14:paraId="184C0BD3" w14:textId="77777777" w:rsidR="001D7B07" w:rsidRDefault="001D7B07">
            <w:pPr>
              <w:spacing w:after="20"/>
            </w:pPr>
          </w:p>
          <w:p w14:paraId="386E631D" w14:textId="77777777" w:rsidR="001D7B07" w:rsidRDefault="008C664A">
            <w:pPr>
              <w:spacing w:after="20"/>
            </w:pPr>
            <w:r>
              <w:rPr>
                <w:sz w:val="14"/>
              </w:rPr>
              <w:t>La Superintendencia de Notariado y Registro promoverá, dentro de sus competencias, acciones de orientación y capacitación dirigidas a los notarios y al personal de las notarías para la adecuada aplicación de la presente ley.</w:t>
            </w:r>
          </w:p>
        </w:tc>
        <w:tc>
          <w:tcPr>
            <w:tcW w:w="3005" w:type="dxa"/>
            <w:tcMar>
              <w:top w:w="80" w:type="dxa"/>
              <w:left w:w="80" w:type="dxa"/>
              <w:bottom w:w="80" w:type="dxa"/>
              <w:right w:w="80" w:type="dxa"/>
            </w:tcMar>
          </w:tcPr>
          <w:p w14:paraId="7DDD119E" w14:textId="77777777" w:rsidR="001D7B07" w:rsidRDefault="008C664A">
            <w:pPr>
              <w:spacing w:after="20"/>
            </w:pPr>
            <w:r>
              <w:rPr>
                <w:sz w:val="14"/>
              </w:rPr>
              <w:t>MODIFICATORIA Y ADITIVA. Se evita crear o ampliar competencias y se mantiene la actuación de la SNR dentro de su marco legal. Se incorpora orientación y capacitación como herramienta de implementación uniforme de la reforma.</w:t>
            </w:r>
          </w:p>
        </w:tc>
      </w:tr>
      <w:tr w:rsidR="001D7B07" w14:paraId="296939BE" w14:textId="77777777" w:rsidTr="00341F21">
        <w:trPr>
          <w:jc w:val="center"/>
        </w:trPr>
        <w:tc>
          <w:tcPr>
            <w:tcW w:w="3231" w:type="dxa"/>
          </w:tcPr>
          <w:p w14:paraId="2174C9FC" w14:textId="77777777" w:rsidR="001D7B07" w:rsidRDefault="008C664A">
            <w:pPr>
              <w:spacing w:after="20"/>
            </w:pPr>
            <w:r>
              <w:rPr>
                <w:sz w:val="14"/>
              </w:rPr>
              <w:t>Artículo 7°. Vigencia y derogatorias. La presente ley entrará en vigencia seis (6) meses después de su sanción y promulgación, término durante el cual el Gobierno nacional y las notarías del país adoptarán las medidas necesarias para su implementación. Asimismo, deroga todas las disposiciones que le sean contrarias.</w:t>
            </w:r>
          </w:p>
        </w:tc>
        <w:tc>
          <w:tcPr>
            <w:tcW w:w="3685" w:type="dxa"/>
          </w:tcPr>
          <w:p w14:paraId="18759A12" w14:textId="77777777" w:rsidR="001D7B07" w:rsidRDefault="008C664A">
            <w:pPr>
              <w:spacing w:after="20"/>
            </w:pPr>
            <w:r>
              <w:rPr>
                <w:sz w:val="14"/>
              </w:rPr>
              <w:t>Artículo 12°. Vigencia y derogatorias. La presente ley rige a partir de la fecha de su promulgación y deroga las disposiciones que le sean contrarias.</w:t>
            </w:r>
          </w:p>
        </w:tc>
        <w:tc>
          <w:tcPr>
            <w:tcW w:w="3005" w:type="dxa"/>
          </w:tcPr>
          <w:p w14:paraId="72A46FFD" w14:textId="77777777" w:rsidR="001D7B07" w:rsidRDefault="008C664A">
            <w:pPr>
              <w:spacing w:after="20"/>
            </w:pPr>
            <w:r>
              <w:rPr>
                <w:sz w:val="14"/>
              </w:rPr>
              <w:t>MODIFICATORIA. Se elimina la vigencia diferida para no suspender durante seis meses derechos ya reconocidos por la jurisprudencia constitucional. El plazo de seis meses se conserva exclusivamente para la reglamentación.</w:t>
            </w:r>
          </w:p>
        </w:tc>
      </w:tr>
    </w:tbl>
    <w:p w14:paraId="44D8F92D" w14:textId="77777777" w:rsidR="001D7B07" w:rsidRDefault="008C664A">
      <w:pPr>
        <w:spacing w:before="160" w:after="80"/>
      </w:pPr>
      <w:r>
        <w:rPr>
          <w:b/>
          <w:sz w:val="22"/>
        </w:rPr>
        <w:t>14. PROPOSICIÓN</w:t>
      </w:r>
    </w:p>
    <w:p w14:paraId="52DC144E" w14:textId="5C9792ED" w:rsidR="001D7B07" w:rsidRDefault="008C664A">
      <w:pPr>
        <w:spacing w:line="240" w:lineRule="auto"/>
      </w:pPr>
      <w:r>
        <w:rPr>
          <w:sz w:val="20"/>
        </w:rPr>
        <w:t>Por las consideraciones anteriormente expuestas, rindo ponencia positiva y solicito a los Honorables Representantes miembros de la Comisión Primera Constitucional Permanente de la Cámara de Representantes dar primer debate al Proyecto de Ley No. 097 de 2026 Cámara, “Por medio de la cual se regula el otorgamiento de testamento cerrado para personas que no saben leer ni escribir y se dictan otras disposiciones”, conforme al pliego de modificaciones y al texto propuesto.</w:t>
      </w:r>
    </w:p>
    <w:p w14:paraId="32BDA3DC" w14:textId="77777777" w:rsidR="00A56B63" w:rsidRDefault="00A56B63">
      <w:pPr>
        <w:spacing w:line="240" w:lineRule="auto"/>
        <w:rPr>
          <w:sz w:val="20"/>
        </w:rPr>
      </w:pPr>
    </w:p>
    <w:p w14:paraId="39AFB971" w14:textId="77777777" w:rsidR="00A56B63" w:rsidRDefault="00A56B63">
      <w:pPr>
        <w:spacing w:line="240" w:lineRule="auto"/>
        <w:rPr>
          <w:sz w:val="20"/>
        </w:rPr>
      </w:pPr>
    </w:p>
    <w:p w14:paraId="1E303820" w14:textId="77777777" w:rsidR="00A56B63" w:rsidRDefault="00A56B63">
      <w:pPr>
        <w:spacing w:line="240" w:lineRule="auto"/>
        <w:rPr>
          <w:sz w:val="20"/>
        </w:rPr>
      </w:pPr>
    </w:p>
    <w:p w14:paraId="22CF6033" w14:textId="77777777" w:rsidR="00A56B63" w:rsidRDefault="00A56B63">
      <w:pPr>
        <w:spacing w:line="240" w:lineRule="auto"/>
        <w:rPr>
          <w:sz w:val="20"/>
        </w:rPr>
      </w:pPr>
    </w:p>
    <w:p w14:paraId="6003CFD2" w14:textId="3AE5F406" w:rsidR="001D7B07" w:rsidRDefault="008C664A" w:rsidP="009358FD">
      <w:pPr>
        <w:spacing w:line="240" w:lineRule="auto"/>
      </w:pPr>
      <w:r>
        <w:rPr>
          <w:sz w:val="20"/>
        </w:rPr>
        <w:t>Cordialmente,</w:t>
      </w:r>
    </w:p>
    <w:p w14:paraId="0D48A32E" w14:textId="77777777" w:rsidR="001D7B07" w:rsidRDefault="008C664A" w:rsidP="009358FD">
      <w:pPr>
        <w:spacing w:line="240" w:lineRule="auto"/>
      </w:pPr>
      <w:r>
        <w:rPr>
          <w:b/>
          <w:sz w:val="20"/>
        </w:rPr>
        <w:t>DANIEL FELIPE BERNAL MONTEALEGRE</w:t>
      </w:r>
    </w:p>
    <w:p w14:paraId="36A8C0CD" w14:textId="77777777" w:rsidR="001D7B07" w:rsidRDefault="008C664A" w:rsidP="009358FD">
      <w:pPr>
        <w:spacing w:line="240" w:lineRule="auto"/>
      </w:pPr>
      <w:r>
        <w:rPr>
          <w:sz w:val="20"/>
        </w:rPr>
        <w:t>Representante a la Cámara</w:t>
      </w:r>
    </w:p>
    <w:p w14:paraId="02F94EF2" w14:textId="77777777" w:rsidR="001D7B07" w:rsidRDefault="008C664A" w:rsidP="009358FD">
      <w:pPr>
        <w:spacing w:line="240" w:lineRule="auto"/>
      </w:pPr>
      <w:r>
        <w:rPr>
          <w:sz w:val="20"/>
        </w:rPr>
        <w:t>Ponente</w:t>
      </w:r>
    </w:p>
    <w:p w14:paraId="6364B2A1" w14:textId="3DEC6803" w:rsidR="00A56B63" w:rsidRDefault="008C664A">
      <w:r>
        <w:br/>
      </w:r>
    </w:p>
    <w:p w14:paraId="56F242B8" w14:textId="00972007" w:rsidR="00A56B63" w:rsidRPr="00A56B63" w:rsidRDefault="008C664A" w:rsidP="00A56B63">
      <w:pPr>
        <w:spacing w:before="160" w:after="80"/>
        <w:rPr>
          <w:b/>
          <w:sz w:val="22"/>
        </w:rPr>
      </w:pPr>
      <w:r>
        <w:rPr>
          <w:b/>
          <w:sz w:val="22"/>
        </w:rPr>
        <w:lastRenderedPageBreak/>
        <w:t>15. TEXTO PROPUESTO PARA PRIMER DEBATE</w:t>
      </w:r>
      <w:r w:rsidR="00A56B63">
        <w:rPr>
          <w:b/>
          <w:sz w:val="22"/>
        </w:rPr>
        <w:t xml:space="preserve"> </w:t>
      </w:r>
      <w:r w:rsidR="00A56B63" w:rsidRPr="00A56B63">
        <w:rPr>
          <w:b/>
          <w:sz w:val="22"/>
        </w:rPr>
        <w:t>EN LA COMISIÓN PRIMERA DE LA CÁMARA DE REPRESENTANTES</w:t>
      </w:r>
      <w:r w:rsidR="00A56B63">
        <w:rPr>
          <w:b/>
          <w:sz w:val="22"/>
        </w:rPr>
        <w:t>.</w:t>
      </w:r>
    </w:p>
    <w:p w14:paraId="489104DD" w14:textId="77777777" w:rsidR="00A56B63" w:rsidRDefault="00A56B63">
      <w:pPr>
        <w:spacing w:before="160" w:after="80"/>
      </w:pPr>
    </w:p>
    <w:p w14:paraId="2762768E" w14:textId="77777777" w:rsidR="00A56B63" w:rsidRDefault="00A56B63">
      <w:pPr>
        <w:jc w:val="center"/>
        <w:rPr>
          <w:b/>
          <w:sz w:val="22"/>
        </w:rPr>
      </w:pPr>
    </w:p>
    <w:p w14:paraId="30E0550B" w14:textId="2925BA22" w:rsidR="001D7B07" w:rsidRDefault="008C664A">
      <w:pPr>
        <w:jc w:val="center"/>
      </w:pPr>
      <w:r>
        <w:rPr>
          <w:b/>
          <w:sz w:val="22"/>
        </w:rPr>
        <w:t>PROYECTO DE LEY No. 097 DE 2026 CÁMARA</w:t>
      </w:r>
    </w:p>
    <w:p w14:paraId="292B4EB4" w14:textId="77777777" w:rsidR="001D7B07" w:rsidRDefault="008C664A">
      <w:pPr>
        <w:jc w:val="center"/>
      </w:pPr>
      <w:r>
        <w:rPr>
          <w:b/>
          <w:sz w:val="20"/>
        </w:rPr>
        <w:t>“Por medio de la cual se modifica el Código Civil para garantizar la accesibilidad y el ejercicio de la capacidad jurídica en el otorgamiento de testamentos y se dictan otras disposiciones”</w:t>
      </w:r>
    </w:p>
    <w:p w14:paraId="2D463C3F" w14:textId="40B46D5B" w:rsidR="00A56B63" w:rsidRDefault="00A56B63">
      <w:pPr>
        <w:spacing w:before="140" w:after="60"/>
        <w:rPr>
          <w:b/>
          <w:sz w:val="20"/>
        </w:rPr>
      </w:pPr>
    </w:p>
    <w:p w14:paraId="4D3AFF4A" w14:textId="77777777" w:rsidR="00A56B63" w:rsidRPr="00A56B63" w:rsidRDefault="00A56B63" w:rsidP="00A56B63">
      <w:pPr>
        <w:spacing w:after="40" w:line="240" w:lineRule="auto"/>
        <w:jc w:val="center"/>
        <w:rPr>
          <w:rFonts w:ascii="Times New Roman" w:eastAsia="Times New Roman" w:hAnsi="Times New Roman"/>
          <w:sz w:val="24"/>
          <w:lang w:eastAsia="es-CO"/>
        </w:rPr>
      </w:pPr>
      <w:r w:rsidRPr="00A56B63">
        <w:rPr>
          <w:rFonts w:eastAsia="Times New Roman" w:cs="Arial"/>
          <w:b/>
          <w:bCs/>
          <w:color w:val="000000"/>
          <w:sz w:val="20"/>
          <w:szCs w:val="20"/>
          <w:lang w:eastAsia="es-CO"/>
        </w:rPr>
        <w:t>EL CONGRESO DE COLOMBIA</w:t>
      </w:r>
    </w:p>
    <w:p w14:paraId="6B6094D8" w14:textId="77777777" w:rsidR="00A56B63" w:rsidRPr="00A56B63" w:rsidRDefault="00A56B63" w:rsidP="00A56B63">
      <w:pPr>
        <w:spacing w:after="160" w:line="240" w:lineRule="auto"/>
        <w:jc w:val="center"/>
        <w:rPr>
          <w:rFonts w:ascii="Times New Roman" w:eastAsia="Times New Roman" w:hAnsi="Times New Roman"/>
          <w:sz w:val="24"/>
          <w:lang w:eastAsia="es-CO"/>
        </w:rPr>
      </w:pPr>
      <w:r w:rsidRPr="00A56B63">
        <w:rPr>
          <w:rFonts w:eastAsia="Times New Roman" w:cs="Arial"/>
          <w:b/>
          <w:bCs/>
          <w:color w:val="000000"/>
          <w:sz w:val="20"/>
          <w:szCs w:val="20"/>
          <w:lang w:eastAsia="es-CO"/>
        </w:rPr>
        <w:t>DECRETA:</w:t>
      </w:r>
    </w:p>
    <w:p w14:paraId="64D41A78" w14:textId="77777777" w:rsidR="00A56B63" w:rsidRDefault="00A56B63">
      <w:pPr>
        <w:spacing w:before="140" w:after="60"/>
        <w:rPr>
          <w:b/>
          <w:sz w:val="20"/>
        </w:rPr>
      </w:pPr>
    </w:p>
    <w:p w14:paraId="7D7722B5" w14:textId="076AF504" w:rsidR="001D7B07" w:rsidRDefault="008C664A">
      <w:pPr>
        <w:spacing w:before="140" w:after="60"/>
      </w:pPr>
      <w:r>
        <w:rPr>
          <w:b/>
          <w:sz w:val="20"/>
        </w:rPr>
        <w:t>Artículo 1°. Objeto.</w:t>
      </w:r>
    </w:p>
    <w:p w14:paraId="5E7B795B" w14:textId="77777777" w:rsidR="001D7B07" w:rsidRDefault="008C664A">
      <w:pPr>
        <w:spacing w:after="80" w:line="240" w:lineRule="auto"/>
      </w:pPr>
      <w:r>
        <w:rPr>
          <w:sz w:val="20"/>
        </w:rPr>
        <w:t>La presente ley tiene por objeto adecuar el régimen testamentario colombiano con el fin de eliminar barreras para el otorgamiento de testamentos, garantizar el ejercicio de la capacidad jurídica de las personas con discapacidad y permitir la manifestación de la voluntad testamentaria mediante medios, modos o formatos de comunicación y apoyos compatibles con el carácter personal, indelegable y solemne del testamento.</w:t>
      </w:r>
    </w:p>
    <w:p w14:paraId="41EB7EC9" w14:textId="77777777" w:rsidR="001D7B07" w:rsidRDefault="008C664A">
      <w:pPr>
        <w:spacing w:after="80" w:line="240" w:lineRule="auto"/>
      </w:pPr>
      <w:r>
        <w:rPr>
          <w:sz w:val="20"/>
        </w:rPr>
        <w:t>Asimismo, establece reglas para garantizar el otorgamiento de testamento cerrado por las personas que no sepan leer y escribir, en condiciones de reserva, autenticidad e integridad.</w:t>
      </w:r>
    </w:p>
    <w:p w14:paraId="026BBFFD" w14:textId="77777777" w:rsidR="001D7B07" w:rsidRDefault="008C664A">
      <w:pPr>
        <w:spacing w:before="140" w:after="60"/>
      </w:pPr>
      <w:r>
        <w:rPr>
          <w:b/>
          <w:sz w:val="20"/>
        </w:rPr>
        <w:t>Artículo 2°. Reglas de accesibilidad, apoyos y salvaguardias en materia testamentaria.</w:t>
      </w:r>
    </w:p>
    <w:p w14:paraId="7AB0EDA7" w14:textId="38056D7E" w:rsidR="001D7B07" w:rsidRDefault="008C664A">
      <w:pPr>
        <w:spacing w:after="80" w:line="240" w:lineRule="auto"/>
      </w:pPr>
      <w:r>
        <w:rPr>
          <w:sz w:val="20"/>
        </w:rPr>
        <w:t>En el otorgamiento de testamentos por personas con discapacidad se garantizarán, cuando resulten necesarios, los ajustes razonables, la asistencia, los apoyos y los medios, modos o formatos de comunicación previstos en la Ley 1996 de 2019 y en las demás disposiciones aplicables.</w:t>
      </w:r>
    </w:p>
    <w:p w14:paraId="709A07F8" w14:textId="77777777" w:rsidR="001D7B07" w:rsidRDefault="008C664A">
      <w:pPr>
        <w:spacing w:after="80" w:line="240" w:lineRule="auto"/>
      </w:pPr>
      <w:r>
        <w:rPr>
          <w:sz w:val="20"/>
        </w:rPr>
        <w:t>Cuando resulte necesario para garantizar la comunicación, la voluntad del testador podrá expresarse mediante cualquier medio, modo o formato de comunicación que permita exteriorizarla claramente, sin perjuicio de las solemnidades previstas en la ley.</w:t>
      </w:r>
    </w:p>
    <w:p w14:paraId="6030A004" w14:textId="77777777" w:rsidR="001D7B07" w:rsidRDefault="008C664A">
      <w:pPr>
        <w:spacing w:after="80" w:line="240" w:lineRule="auto"/>
      </w:pPr>
      <w:r>
        <w:rPr>
          <w:sz w:val="20"/>
        </w:rPr>
        <w:t>La necesidad o utilización de ajustes razonables, asistencia, apoyos o medios, modos o formatos de comunicación no constituirá, por sí misma, indicio o prueba de inhabilidad testamentaria ni podrá utilizarse para presumir ausencia o disminución de la capacidad jurídica del testador.</w:t>
      </w:r>
    </w:p>
    <w:p w14:paraId="44779B16" w14:textId="77777777" w:rsidR="001D7B07" w:rsidRDefault="008C664A">
      <w:pPr>
        <w:spacing w:after="80" w:line="240" w:lineRule="auto"/>
      </w:pPr>
      <w:r>
        <w:rPr>
          <w:sz w:val="20"/>
        </w:rPr>
        <w:t>Cuando existan apoyos formales previamente convenidos o judicialmente asignados que resulten aplicables al acto testamentario, deberá respetarse su validez en los términos de la Ley 1996 de 2019, sin perjuicio del carácter personal e indelegable de la facultad de testar.</w:t>
      </w:r>
    </w:p>
    <w:p w14:paraId="3B856878" w14:textId="77777777" w:rsidR="001D7B07" w:rsidRDefault="008C664A">
      <w:pPr>
        <w:spacing w:after="80" w:line="240" w:lineRule="auto"/>
      </w:pPr>
      <w:r>
        <w:rPr>
          <w:sz w:val="20"/>
        </w:rPr>
        <w:t>Los ajustes razonables, la asistencia y los apoyos tendrán carácter instrumental y deberán respetar en todo momento la voluntad y preferencias del testador. En ningún caso podrán sustituir su voluntad, testar en su nombre, ni crear, completar, modificar o determinar disposiciones testamentarias que no hayan sido manifestadas por este.</w:t>
      </w:r>
    </w:p>
    <w:p w14:paraId="08059665" w14:textId="77777777" w:rsidR="001D7B07" w:rsidRDefault="008C664A">
      <w:pPr>
        <w:spacing w:after="80" w:line="240" w:lineRule="auto"/>
      </w:pPr>
      <w:r>
        <w:rPr>
          <w:sz w:val="20"/>
        </w:rPr>
        <w:t>Cuando se utilicen apoyos deberán adoptarse salvaguardias adecuadas y proporcionales para prevenir conflictos de interés, abuso, presión, engaño, influencia indebida o cualquier forma de sustitución de la voluntad.</w:t>
      </w:r>
    </w:p>
    <w:p w14:paraId="59674927" w14:textId="77777777" w:rsidR="001D7B07" w:rsidRDefault="008C664A">
      <w:pPr>
        <w:spacing w:after="80" w:line="240" w:lineRule="auto"/>
      </w:pPr>
      <w:r>
        <w:rPr>
          <w:sz w:val="20"/>
        </w:rPr>
        <w:t>Parágrafo. En el testamento cerrado, la utilización de ajustes razonables, asistencia, apoyos o medios, modos o formatos de comunicación deberá ser compatible con la reserva de las disposiciones testamentarias y con las solemnidades previstas en la ley.</w:t>
      </w:r>
    </w:p>
    <w:p w14:paraId="6A6E3A4D" w14:textId="77777777" w:rsidR="001D7B07" w:rsidRDefault="008C664A">
      <w:pPr>
        <w:spacing w:before="140" w:after="60"/>
      </w:pPr>
      <w:r>
        <w:rPr>
          <w:b/>
          <w:sz w:val="20"/>
        </w:rPr>
        <w:lastRenderedPageBreak/>
        <w:t>Artículo 3°. Modificación del numeral 4 del artículo 1061 del Código Civil.</w:t>
      </w:r>
    </w:p>
    <w:p w14:paraId="21BF93B6" w14:textId="77777777" w:rsidR="001D7B07" w:rsidRDefault="008C664A">
      <w:pPr>
        <w:spacing w:after="80" w:line="240" w:lineRule="auto"/>
      </w:pPr>
      <w:r>
        <w:rPr>
          <w:sz w:val="20"/>
        </w:rPr>
        <w:t>Modifíquese el numeral 4 del artículo 1061 del Código Civil, el cual quedará así:</w:t>
      </w:r>
    </w:p>
    <w:p w14:paraId="4D926AA2" w14:textId="77777777" w:rsidR="001D7B07" w:rsidRDefault="008C664A">
      <w:pPr>
        <w:spacing w:after="80" w:line="240" w:lineRule="auto"/>
      </w:pPr>
      <w:r>
        <w:rPr>
          <w:sz w:val="20"/>
        </w:rPr>
        <w:t>“4. El que no pudiere expresar su voluntad claramente.”</w:t>
      </w:r>
    </w:p>
    <w:p w14:paraId="0511A791" w14:textId="77777777" w:rsidR="001D7B07" w:rsidRDefault="008C664A">
      <w:pPr>
        <w:spacing w:after="80" w:line="240" w:lineRule="auto"/>
      </w:pPr>
      <w:r>
        <w:rPr>
          <w:sz w:val="20"/>
        </w:rPr>
        <w:t>Las demás disposiciones del artículo 1061 del Código Civil permanecerán sin modificación.</w:t>
      </w:r>
    </w:p>
    <w:p w14:paraId="11560992" w14:textId="77777777" w:rsidR="001D7B07" w:rsidRDefault="008C664A">
      <w:pPr>
        <w:spacing w:before="140" w:after="60"/>
      </w:pPr>
      <w:r>
        <w:rPr>
          <w:b/>
          <w:sz w:val="20"/>
        </w:rPr>
        <w:t>Artículo 4°. Adición de un inciso al artículo 1074 del Código Civil.</w:t>
      </w:r>
    </w:p>
    <w:p w14:paraId="2CB9D9BE" w14:textId="77777777" w:rsidR="001D7B07" w:rsidRDefault="008C664A">
      <w:pPr>
        <w:spacing w:after="80" w:line="240" w:lineRule="auto"/>
      </w:pPr>
      <w:r>
        <w:rPr>
          <w:sz w:val="20"/>
        </w:rPr>
        <w:t>Adiciónese un inciso final al artículo 1074 del Código Civil, así:</w:t>
      </w:r>
    </w:p>
    <w:p w14:paraId="70E30E3C" w14:textId="77777777" w:rsidR="001D7B07" w:rsidRDefault="008C664A">
      <w:pPr>
        <w:spacing w:after="80" w:line="240" w:lineRule="auto"/>
      </w:pPr>
      <w:r>
        <w:rPr>
          <w:sz w:val="20"/>
        </w:rPr>
        <w:t>“Cuando el testador o cualquiera de las personas cuya intervención sea necesaria para el otorgamiento del testamento requiera ajustes razonables, asistencia, apoyos o medios, modos o formatos de comunicación, estos deberán ser garantizados de conformidad con la ley.”</w:t>
      </w:r>
    </w:p>
    <w:p w14:paraId="51A60730" w14:textId="77777777" w:rsidR="001D7B07" w:rsidRDefault="008C664A">
      <w:pPr>
        <w:spacing w:before="140" w:after="60"/>
      </w:pPr>
      <w:r>
        <w:rPr>
          <w:b/>
          <w:sz w:val="20"/>
        </w:rPr>
        <w:t>Artículo 5°. Modificación del artículo 1079 del Código Civil.</w:t>
      </w:r>
    </w:p>
    <w:p w14:paraId="696E8BC9" w14:textId="77777777" w:rsidR="001D7B07" w:rsidRDefault="008C664A">
      <w:pPr>
        <w:spacing w:after="80" w:line="240" w:lineRule="auto"/>
      </w:pPr>
      <w:r>
        <w:rPr>
          <w:sz w:val="20"/>
        </w:rPr>
        <w:t>Modifíquese el artículo 1079 del Código Civil, el cual quedará así:</w:t>
      </w:r>
    </w:p>
    <w:p w14:paraId="50F58592" w14:textId="77777777" w:rsidR="001D7B07" w:rsidRDefault="008C664A">
      <w:pPr>
        <w:spacing w:after="80" w:line="240" w:lineRule="auto"/>
      </w:pPr>
      <w:r>
        <w:rPr>
          <w:sz w:val="20"/>
        </w:rPr>
        <w:t>“Artículo 1079. El que no sepa leer y escribir podrá otorgar testamento cerrado. Las notarías deberán disponer de los apoyos necesarios para que el testador pueda manifestar su voluntad con garantías de reserva, autenticidad e integridad, de conformidad con las reglas previstas en la presente ley.”</w:t>
      </w:r>
    </w:p>
    <w:p w14:paraId="76120CED" w14:textId="77777777" w:rsidR="001D7B07" w:rsidRDefault="008C664A">
      <w:pPr>
        <w:spacing w:before="140" w:after="60"/>
      </w:pPr>
      <w:r>
        <w:rPr>
          <w:b/>
          <w:sz w:val="20"/>
        </w:rPr>
        <w:t>Artículo 6°. Modificación del inciso primero del artículo 1080 del Código Civil.</w:t>
      </w:r>
    </w:p>
    <w:p w14:paraId="2D86C69A" w14:textId="77777777" w:rsidR="001D7B07" w:rsidRDefault="008C664A">
      <w:pPr>
        <w:spacing w:after="80" w:line="240" w:lineRule="auto"/>
      </w:pPr>
      <w:r>
        <w:rPr>
          <w:sz w:val="20"/>
        </w:rPr>
        <w:t>Modifíquese el inciso primero del artículo 1080 del Código Civil, el cual quedará así:</w:t>
      </w:r>
    </w:p>
    <w:p w14:paraId="267DC801" w14:textId="77777777" w:rsidR="001D7B07" w:rsidRDefault="008C664A">
      <w:pPr>
        <w:spacing w:after="80" w:line="240" w:lineRule="auto"/>
      </w:pPr>
      <w:r>
        <w:rPr>
          <w:sz w:val="20"/>
        </w:rPr>
        <w:t>“Artículo 1080. Lo que constituye esencialmente el testamento cerrado es el acto en que el testador presenta al notario y los testigos una escritura cerrada, manifestando, mediante cualquier medio, modo o formato de comunicación idóneo, que en aquella escritura se contiene su testamento, de manera que el notario y los testigos puedan conocer y comprender dicha manifestación.”</w:t>
      </w:r>
    </w:p>
    <w:p w14:paraId="426EA1D5" w14:textId="77777777" w:rsidR="001D7B07" w:rsidRDefault="008C664A">
      <w:pPr>
        <w:spacing w:after="80" w:line="240" w:lineRule="auto"/>
      </w:pPr>
      <w:r>
        <w:rPr>
          <w:sz w:val="20"/>
        </w:rPr>
        <w:t>Los demás incisos del artículo 1080 del Código Civil permanecerán sin modificación.</w:t>
      </w:r>
    </w:p>
    <w:p w14:paraId="29434F8F" w14:textId="77777777" w:rsidR="001D7B07" w:rsidRDefault="008C664A">
      <w:pPr>
        <w:spacing w:before="140" w:after="60"/>
      </w:pPr>
      <w:r>
        <w:rPr>
          <w:b/>
          <w:sz w:val="20"/>
        </w:rPr>
        <w:t>Artículo 7°. Modificación del artículo 1081 del Código Civil.</w:t>
      </w:r>
    </w:p>
    <w:p w14:paraId="164FD900" w14:textId="77777777" w:rsidR="001D7B07" w:rsidRDefault="008C664A">
      <w:pPr>
        <w:spacing w:after="80" w:line="240" w:lineRule="auto"/>
      </w:pPr>
      <w:r>
        <w:rPr>
          <w:sz w:val="20"/>
        </w:rPr>
        <w:t>Modifíquese el artículo 1081 del Código Civil, el cual quedará así:</w:t>
      </w:r>
    </w:p>
    <w:p w14:paraId="10448362" w14:textId="77777777" w:rsidR="001D7B07" w:rsidRDefault="008C664A">
      <w:pPr>
        <w:spacing w:after="80" w:line="240" w:lineRule="auto"/>
      </w:pPr>
      <w:r>
        <w:rPr>
          <w:sz w:val="20"/>
        </w:rPr>
        <w:t>“Artículo 1081. Cuando el testador no pudiere entender o ser entendido de viva voz, sólo podrá otorgar testamento cerrado. No obstante, cuando dicha circunstancia se derive de una discapacidad, el testador podrá otorgar testamento abierto o cerrado, de conformidad con las reglas de accesibilidad, apoyos y salvaguardias previstas en la ley.</w:t>
      </w:r>
    </w:p>
    <w:p w14:paraId="2F710ACA" w14:textId="77777777" w:rsidR="001D7B07" w:rsidRDefault="008C664A">
      <w:pPr>
        <w:spacing w:after="80" w:line="240" w:lineRule="auto"/>
      </w:pPr>
      <w:r>
        <w:rPr>
          <w:sz w:val="20"/>
        </w:rPr>
        <w:t>En el testamento cerrado deberá dejarse constancia sobre la cubierta de la palabra ‘testamento’, o su equivalente en el idioma que prefiera el testador, así como de su nombre, apellido, domicilio y nacionalidad. Estas anotaciones podrán ser realizadas por el testador o incorporadas mediante un medio o mecanismo idóneo que permita garantizar su identificación, autenticidad y vinculación con el acto testamentario. El notario dejará constancia del mecanismo utilizado cuando las anotaciones no hayan sido efectuadas personalmente por el testador.</w:t>
      </w:r>
    </w:p>
    <w:p w14:paraId="1EB7A61A" w14:textId="77777777" w:rsidR="001D7B07" w:rsidRDefault="008C664A">
      <w:pPr>
        <w:spacing w:after="80" w:line="240" w:lineRule="auto"/>
      </w:pPr>
      <w:r>
        <w:rPr>
          <w:sz w:val="20"/>
        </w:rPr>
        <w:t>En lo demás, se observará lo prevenido en el artículo precedente.”</w:t>
      </w:r>
    </w:p>
    <w:p w14:paraId="066BE833" w14:textId="77777777" w:rsidR="001D7B07" w:rsidRDefault="008C664A">
      <w:pPr>
        <w:spacing w:before="140" w:after="60"/>
      </w:pPr>
      <w:r>
        <w:rPr>
          <w:b/>
          <w:sz w:val="20"/>
        </w:rPr>
        <w:t>Artículo 8°. Garantías notariales de accesibilidad, autenticidad, integridad y reserva.</w:t>
      </w:r>
    </w:p>
    <w:p w14:paraId="74B79B34" w14:textId="77777777" w:rsidR="001D7B07" w:rsidRDefault="008C664A">
      <w:pPr>
        <w:spacing w:after="80" w:line="240" w:lineRule="auto"/>
      </w:pPr>
      <w:r>
        <w:rPr>
          <w:sz w:val="20"/>
        </w:rPr>
        <w:t>En el otorgamiento de testamentos, el notario deberá adoptar las medidas necesarias para garantizar la accesibilidad del acto, la autenticidad de la manifestación del testador, la integridad del instrumento y, cuando corresponda, la reserva de sus disposiciones.</w:t>
      </w:r>
    </w:p>
    <w:p w14:paraId="42CA2050" w14:textId="77777777" w:rsidR="001D7B07" w:rsidRDefault="008C664A">
      <w:pPr>
        <w:spacing w:after="80" w:line="240" w:lineRule="auto"/>
      </w:pPr>
      <w:r>
        <w:rPr>
          <w:sz w:val="20"/>
        </w:rPr>
        <w:t>Cuando el testador requiera ajustes razonables, asistencia, apoyos o medios, modos o formatos de comunicación, el notario deberá permitir y facilitar su utilización de conformidad con la ley, siempre que resulten compatibles con las solemnidades propias del testamento.</w:t>
      </w:r>
    </w:p>
    <w:p w14:paraId="5F4671CE" w14:textId="77777777" w:rsidR="001D7B07" w:rsidRDefault="008C664A">
      <w:pPr>
        <w:spacing w:after="80" w:line="240" w:lineRule="auto"/>
      </w:pPr>
      <w:r>
        <w:rPr>
          <w:sz w:val="20"/>
        </w:rPr>
        <w:lastRenderedPageBreak/>
        <w:t>El notario deberá verificar que la manifestación testamentaria provenga del testador y adoptar salvaguardias adecuadas y proporcionales para prevenir conflictos de interés, presión, engaño, abuso, influencia indebida o sustitución de la voluntad.</w:t>
      </w:r>
    </w:p>
    <w:p w14:paraId="2C88D663" w14:textId="77777777" w:rsidR="001D7B07" w:rsidRDefault="008C664A">
      <w:pPr>
        <w:spacing w:after="80" w:line="240" w:lineRule="auto"/>
      </w:pPr>
      <w:r>
        <w:rPr>
          <w:sz w:val="20"/>
        </w:rPr>
        <w:t>La intervención de personas de apoyo, intérpretes, facilitadores o terceros que resulten necesarios para hacer posible la comunicación o accesibilidad del acto deberá limitarse a la función que les corresponda y no podrá extenderse a determinar, completar, modificar o sustituir las disposiciones testamentarias del testador.</w:t>
      </w:r>
    </w:p>
    <w:p w14:paraId="189552AF" w14:textId="77777777" w:rsidR="001D7B07" w:rsidRDefault="008C664A">
      <w:pPr>
        <w:spacing w:after="80" w:line="240" w:lineRule="auto"/>
      </w:pPr>
      <w:r>
        <w:rPr>
          <w:sz w:val="20"/>
        </w:rPr>
        <w:t>En el testamento cerrado deberán preservarse, además, la reserva de las disposiciones testamentarias y la integridad e inalterabilidad de la escritura presentada, sin perjuicio de las medidas de accesibilidad y apoyo que resulten necesarias para su otorgamiento.</w:t>
      </w:r>
    </w:p>
    <w:p w14:paraId="3391B853" w14:textId="77777777" w:rsidR="001D7B07" w:rsidRDefault="008C664A">
      <w:pPr>
        <w:spacing w:after="80" w:line="240" w:lineRule="auto"/>
      </w:pPr>
      <w:r>
        <w:rPr>
          <w:sz w:val="20"/>
        </w:rPr>
        <w:t>El notario dejará constancia en el instrumento de los ajustes, apoyos, medios, modos o formatos de comunicación empleados y de las salvaguardias adoptadas, cuando ello resulte pertinente, sin revelar información reservada sobre el contenido del testamento cerrado.</w:t>
      </w:r>
    </w:p>
    <w:p w14:paraId="78591D31" w14:textId="77777777" w:rsidR="001D7B07" w:rsidRDefault="008C664A">
      <w:pPr>
        <w:spacing w:before="140" w:after="60"/>
      </w:pPr>
      <w:r>
        <w:rPr>
          <w:b/>
          <w:sz w:val="20"/>
        </w:rPr>
        <w:t>Artículo 9°. Costos de las medidas de accesibilidad y apoyo.</w:t>
      </w:r>
    </w:p>
    <w:p w14:paraId="62D04A73" w14:textId="77777777" w:rsidR="001D7B07" w:rsidRDefault="008C664A">
      <w:pPr>
        <w:spacing w:after="80" w:line="240" w:lineRule="auto"/>
      </w:pPr>
      <w:r>
        <w:rPr>
          <w:sz w:val="20"/>
        </w:rPr>
        <w:t>La implementación de ajustes razonables, medidas de accesibilidad y apoyos que correspondan al cumplimiento de las obligaciones propias de la función notarial no dará lugar a cobros adicionales distintos de los derechos notariales legalmente autorizados.</w:t>
      </w:r>
    </w:p>
    <w:p w14:paraId="6BC50853" w14:textId="77777777" w:rsidR="001D7B07" w:rsidRDefault="008C664A">
      <w:pPr>
        <w:spacing w:after="80" w:line="240" w:lineRule="auto"/>
      </w:pPr>
      <w:r>
        <w:rPr>
          <w:sz w:val="20"/>
        </w:rPr>
        <w:t>Cuando para el otorgamiento del testamento se requieran servicios especializados de terceros que excedan las medidas ordinarias de accesibilidad y apoyo a cargo de la notaría, su provisión y régimen económico se sujetarán a la ley y a la reglamentación aplicable.</w:t>
      </w:r>
    </w:p>
    <w:p w14:paraId="00DD3D3C" w14:textId="77777777" w:rsidR="001D7B07" w:rsidRDefault="008C664A">
      <w:pPr>
        <w:spacing w:before="140" w:after="60"/>
      </w:pPr>
      <w:r>
        <w:rPr>
          <w:b/>
          <w:sz w:val="20"/>
        </w:rPr>
        <w:t>Artículo 10°. Reglamentación.</w:t>
      </w:r>
    </w:p>
    <w:p w14:paraId="4282DB9F" w14:textId="77777777" w:rsidR="001D7B07" w:rsidRDefault="008C664A">
      <w:pPr>
        <w:spacing w:after="80" w:line="240" w:lineRule="auto"/>
      </w:pPr>
      <w:r>
        <w:rPr>
          <w:sz w:val="20"/>
        </w:rPr>
        <w:t>El Gobierno nacional reglamentará la presente ley dentro de los seis (6) meses siguientes a su promulgación, en ejercicio de la potestad prevista en el numeral 11 del artículo 189 de la Constitución Política.</w:t>
      </w:r>
    </w:p>
    <w:p w14:paraId="31303EC7" w14:textId="77777777" w:rsidR="001D7B07" w:rsidRDefault="008C664A">
      <w:pPr>
        <w:spacing w:after="80" w:line="240" w:lineRule="auto"/>
      </w:pPr>
      <w:r>
        <w:rPr>
          <w:sz w:val="20"/>
        </w:rPr>
        <w:t>La reglamentación desarrollará los aspectos técnicos, operativos y de seguridad necesarios para su adecuada implementación, especialmente los relacionados con accesibilidad, utilización de apoyos, salvaguardias, medios, modos o formatos de comunicación, constancias notariales, reserva, autenticidad, integridad y seguridad de los instrumentos testamentarios.</w:t>
      </w:r>
    </w:p>
    <w:p w14:paraId="22E51955" w14:textId="77777777" w:rsidR="001D7B07" w:rsidRDefault="008C664A">
      <w:pPr>
        <w:spacing w:after="80" w:line="240" w:lineRule="auto"/>
      </w:pPr>
      <w:r>
        <w:rPr>
          <w:sz w:val="20"/>
        </w:rPr>
        <w:t>La Superintendencia de Notariado y Registro, en el marco de sus competencias legales, impartirá las instrucciones administrativas necesarias para la adecuada aplicación de la presente ley y de su reglamentación.</w:t>
      </w:r>
    </w:p>
    <w:p w14:paraId="4A099ED4" w14:textId="77777777" w:rsidR="001D7B07" w:rsidRDefault="008C664A">
      <w:pPr>
        <w:spacing w:after="80" w:line="240" w:lineRule="auto"/>
      </w:pPr>
      <w:r>
        <w:rPr>
          <w:sz w:val="20"/>
        </w:rPr>
        <w:t>La falta de reglamentación no podrá invocarse para impedir el ejercicio de los derechos reconocidos en la presente ley ni de aquellos directamente exigibles conforme a la Constitución, la ley y la jurisprudencia constitucional.</w:t>
      </w:r>
    </w:p>
    <w:p w14:paraId="6E1F19C2" w14:textId="77777777" w:rsidR="001D7B07" w:rsidRDefault="008C664A">
      <w:pPr>
        <w:spacing w:before="140" w:after="60"/>
      </w:pPr>
      <w:r>
        <w:rPr>
          <w:b/>
          <w:sz w:val="20"/>
        </w:rPr>
        <w:t>Artículo 11°. Inspección, vigilancia, control y capacitación.</w:t>
      </w:r>
    </w:p>
    <w:p w14:paraId="3A2C1326" w14:textId="77777777" w:rsidR="001D7B07" w:rsidRDefault="008C664A">
      <w:pPr>
        <w:spacing w:after="80" w:line="240" w:lineRule="auto"/>
      </w:pPr>
      <w:r>
        <w:rPr>
          <w:sz w:val="20"/>
        </w:rPr>
        <w:t>La Superintendencia de Notariado y Registro, en el ámbito de sus competencias, ejercerá las funciones de orientación, inspección, vigilancia y control respecto del cumplimiento de las disposiciones previstas en la presente ley y de las normas que la reglamenten.</w:t>
      </w:r>
    </w:p>
    <w:p w14:paraId="47E77365" w14:textId="77777777" w:rsidR="001D7B07" w:rsidRDefault="008C664A">
      <w:pPr>
        <w:spacing w:after="80" w:line="240" w:lineRule="auto"/>
      </w:pPr>
      <w:r>
        <w:rPr>
          <w:sz w:val="20"/>
        </w:rPr>
        <w:t>La Superintendencia de Notariado y Registro promoverá, dentro de sus competencias, acciones de orientación y capacitación dirigidas a los notarios y al personal de las notarías para la adecuada aplicación de la presente ley.</w:t>
      </w:r>
    </w:p>
    <w:p w14:paraId="1542B453" w14:textId="77777777" w:rsidR="001D7B07" w:rsidRDefault="008C664A">
      <w:pPr>
        <w:spacing w:before="140" w:after="60"/>
      </w:pPr>
      <w:r>
        <w:rPr>
          <w:b/>
          <w:sz w:val="20"/>
        </w:rPr>
        <w:t>Artículo 12°. Vigencia y derogatorias.</w:t>
      </w:r>
    </w:p>
    <w:p w14:paraId="3B0C8455" w14:textId="78630828" w:rsidR="001D7B07" w:rsidRDefault="008C664A">
      <w:pPr>
        <w:spacing w:after="80" w:line="240" w:lineRule="auto"/>
        <w:rPr>
          <w:sz w:val="20"/>
        </w:rPr>
      </w:pPr>
      <w:r>
        <w:rPr>
          <w:sz w:val="20"/>
        </w:rPr>
        <w:t>La presente ley rige a partir de la fecha de su promulgación y deroga las disposiciones que le sean contrarias.</w:t>
      </w:r>
    </w:p>
    <w:p w14:paraId="0A3CE9E2" w14:textId="05A17E91" w:rsidR="00A56B63" w:rsidRDefault="00A56B63">
      <w:pPr>
        <w:spacing w:after="80" w:line="240" w:lineRule="auto"/>
        <w:rPr>
          <w:sz w:val="20"/>
        </w:rPr>
      </w:pPr>
    </w:p>
    <w:p w14:paraId="1F81380D" w14:textId="77777777" w:rsidR="00341F21" w:rsidRDefault="00341F21">
      <w:pPr>
        <w:spacing w:after="80" w:line="240" w:lineRule="auto"/>
        <w:rPr>
          <w:sz w:val="20"/>
        </w:rPr>
      </w:pPr>
    </w:p>
    <w:p w14:paraId="33AD9381" w14:textId="77777777" w:rsidR="00A56B63" w:rsidRPr="00A56B63" w:rsidRDefault="00A56B63" w:rsidP="00A56B63">
      <w:pPr>
        <w:spacing w:after="0" w:line="240" w:lineRule="auto"/>
        <w:jc w:val="left"/>
        <w:rPr>
          <w:rFonts w:ascii="Times New Roman" w:eastAsia="Times New Roman" w:hAnsi="Times New Roman"/>
          <w:sz w:val="24"/>
          <w:lang w:eastAsia="es-CO"/>
        </w:rPr>
      </w:pPr>
    </w:p>
    <w:p w14:paraId="2784C234" w14:textId="77777777" w:rsidR="009358FD" w:rsidRDefault="009358FD" w:rsidP="00A56B63">
      <w:pPr>
        <w:spacing w:after="0" w:line="240" w:lineRule="auto"/>
        <w:rPr>
          <w:rFonts w:eastAsia="Times New Roman" w:cs="Arial"/>
          <w:b/>
          <w:bCs/>
          <w:color w:val="000000"/>
          <w:sz w:val="20"/>
          <w:szCs w:val="20"/>
          <w:lang w:eastAsia="es-CO"/>
        </w:rPr>
      </w:pPr>
    </w:p>
    <w:p w14:paraId="48C79101" w14:textId="77777777" w:rsidR="009358FD" w:rsidRDefault="009358FD" w:rsidP="00A56B63">
      <w:pPr>
        <w:spacing w:after="0" w:line="240" w:lineRule="auto"/>
        <w:rPr>
          <w:rFonts w:eastAsia="Times New Roman" w:cs="Arial"/>
          <w:b/>
          <w:bCs/>
          <w:color w:val="000000"/>
          <w:sz w:val="20"/>
          <w:szCs w:val="20"/>
          <w:lang w:eastAsia="es-CO"/>
        </w:rPr>
      </w:pPr>
    </w:p>
    <w:p w14:paraId="0720EED7" w14:textId="77777777" w:rsidR="009358FD" w:rsidRDefault="009358FD" w:rsidP="00A56B63">
      <w:pPr>
        <w:spacing w:after="0" w:line="240" w:lineRule="auto"/>
        <w:rPr>
          <w:rFonts w:eastAsia="Times New Roman" w:cs="Arial"/>
          <w:b/>
          <w:bCs/>
          <w:color w:val="000000"/>
          <w:sz w:val="20"/>
          <w:szCs w:val="20"/>
          <w:lang w:eastAsia="es-CO"/>
        </w:rPr>
      </w:pPr>
    </w:p>
    <w:p w14:paraId="22378829" w14:textId="77777777" w:rsidR="009358FD" w:rsidRDefault="009358FD" w:rsidP="00A56B63">
      <w:pPr>
        <w:spacing w:after="0" w:line="240" w:lineRule="auto"/>
        <w:rPr>
          <w:rFonts w:eastAsia="Times New Roman" w:cs="Arial"/>
          <w:b/>
          <w:bCs/>
          <w:color w:val="000000"/>
          <w:sz w:val="20"/>
          <w:szCs w:val="20"/>
          <w:lang w:eastAsia="es-CO"/>
        </w:rPr>
      </w:pPr>
    </w:p>
    <w:p w14:paraId="16F61548" w14:textId="77777777" w:rsidR="009358FD" w:rsidRDefault="009358FD" w:rsidP="00A56B63">
      <w:pPr>
        <w:spacing w:after="0" w:line="240" w:lineRule="auto"/>
        <w:rPr>
          <w:rFonts w:eastAsia="Times New Roman" w:cs="Arial"/>
          <w:b/>
          <w:bCs/>
          <w:color w:val="000000"/>
          <w:sz w:val="20"/>
          <w:szCs w:val="20"/>
          <w:lang w:eastAsia="es-CO"/>
        </w:rPr>
      </w:pPr>
    </w:p>
    <w:p w14:paraId="25008093" w14:textId="476F6157" w:rsidR="00A56B63" w:rsidRPr="00A56B63" w:rsidRDefault="00A56B63" w:rsidP="00A56B63">
      <w:pPr>
        <w:spacing w:after="0" w:line="240" w:lineRule="auto"/>
        <w:rPr>
          <w:rFonts w:ascii="Times New Roman" w:eastAsia="Times New Roman" w:hAnsi="Times New Roman"/>
          <w:sz w:val="24"/>
          <w:lang w:eastAsia="es-CO"/>
        </w:rPr>
      </w:pPr>
      <w:r w:rsidRPr="00A56B63">
        <w:rPr>
          <w:rFonts w:eastAsia="Times New Roman" w:cs="Arial"/>
          <w:b/>
          <w:bCs/>
          <w:color w:val="000000"/>
          <w:sz w:val="20"/>
          <w:szCs w:val="20"/>
          <w:lang w:eastAsia="es-CO"/>
        </w:rPr>
        <w:t>DANIEL FELIPE BERNAL MONTEALEGRE</w:t>
      </w:r>
    </w:p>
    <w:p w14:paraId="1F515089" w14:textId="77777777" w:rsidR="00A56B63" w:rsidRPr="00A56B63" w:rsidRDefault="00A56B63" w:rsidP="00A56B63">
      <w:pPr>
        <w:spacing w:after="0" w:line="240" w:lineRule="auto"/>
        <w:rPr>
          <w:rFonts w:ascii="Times New Roman" w:eastAsia="Times New Roman" w:hAnsi="Times New Roman"/>
          <w:sz w:val="24"/>
          <w:lang w:eastAsia="es-CO"/>
        </w:rPr>
      </w:pPr>
      <w:r w:rsidRPr="00A56B63">
        <w:rPr>
          <w:rFonts w:eastAsia="Times New Roman" w:cs="Arial"/>
          <w:color w:val="000000"/>
          <w:sz w:val="20"/>
          <w:szCs w:val="20"/>
          <w:lang w:eastAsia="es-CO"/>
        </w:rPr>
        <w:t>Representante a la Cámara</w:t>
      </w:r>
    </w:p>
    <w:p w14:paraId="0D8B560A" w14:textId="77777777" w:rsidR="00A56B63" w:rsidRPr="00A56B63" w:rsidRDefault="00A56B63" w:rsidP="00A56B63">
      <w:pPr>
        <w:spacing w:after="0" w:line="240" w:lineRule="auto"/>
        <w:rPr>
          <w:rFonts w:ascii="Times New Roman" w:eastAsia="Times New Roman" w:hAnsi="Times New Roman"/>
          <w:sz w:val="24"/>
          <w:lang w:eastAsia="es-CO"/>
        </w:rPr>
      </w:pPr>
      <w:r w:rsidRPr="00A56B63">
        <w:rPr>
          <w:rFonts w:eastAsia="Times New Roman" w:cs="Arial"/>
          <w:color w:val="000000"/>
          <w:sz w:val="20"/>
          <w:szCs w:val="20"/>
          <w:lang w:eastAsia="es-CO"/>
        </w:rPr>
        <w:t>Ponente</w:t>
      </w:r>
    </w:p>
    <w:p w14:paraId="3FD2C1C3" w14:textId="77777777" w:rsidR="00A56B63" w:rsidRDefault="00A56B63">
      <w:pPr>
        <w:spacing w:after="80" w:line="240" w:lineRule="auto"/>
      </w:pPr>
    </w:p>
    <w:sectPr w:rsidR="00A56B63" w:rsidSect="00021177">
      <w:headerReference w:type="even" r:id="rId7"/>
      <w:headerReference w:type="default" r:id="rId8"/>
      <w:footerReference w:type="default" r:id="rId9"/>
      <w:headerReference w:type="first" r:id="rId10"/>
      <w:pgSz w:w="12240" w:h="15840" w:code="119"/>
      <w:pgMar w:top="2552" w:right="1080" w:bottom="1985" w:left="1080"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D7FF0" w14:textId="77777777" w:rsidR="0048223D" w:rsidRDefault="0048223D" w:rsidP="006C53FF">
      <w:r>
        <w:separator/>
      </w:r>
    </w:p>
  </w:endnote>
  <w:endnote w:type="continuationSeparator" w:id="0">
    <w:p w14:paraId="742BD93B" w14:textId="77777777" w:rsidR="0048223D" w:rsidRDefault="0048223D" w:rsidP="006C5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DAA55" w14:textId="77777777" w:rsidR="006C53FF" w:rsidRDefault="00847020">
    <w:pPr>
      <w:pStyle w:val="Piedepgina"/>
    </w:pPr>
    <w:r>
      <w:rPr>
        <w:noProof/>
      </w:rPr>
      <w:drawing>
        <wp:anchor distT="0" distB="0" distL="114300" distR="114300" simplePos="0" relativeHeight="251662336" behindDoc="1" locked="0" layoutInCell="1" allowOverlap="1" wp14:anchorId="71A79B37" wp14:editId="45FA6ED6">
          <wp:simplePos x="0" y="0"/>
          <wp:positionH relativeFrom="column">
            <wp:posOffset>-434340</wp:posOffset>
          </wp:positionH>
          <wp:positionV relativeFrom="paragraph">
            <wp:posOffset>-915144</wp:posOffset>
          </wp:positionV>
          <wp:extent cx="7710870" cy="1292772"/>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81358" name="Imagen 854881358"/>
                  <pic:cNvPicPr/>
                </pic:nvPicPr>
                <pic:blipFill>
                  <a:blip r:embed="rId1">
                    <a:extLst>
                      <a:ext uri="{28A0092B-C50C-407E-A947-70E740481C1C}">
                        <a14:useLocalDpi xmlns:a14="http://schemas.microsoft.com/office/drawing/2010/main" val="0"/>
                      </a:ext>
                    </a:extLst>
                  </a:blip>
                  <a:stretch>
                    <a:fillRect/>
                  </a:stretch>
                </pic:blipFill>
                <pic:spPr>
                  <a:xfrm>
                    <a:off x="0" y="0"/>
                    <a:ext cx="7710870" cy="1292772"/>
                  </a:xfrm>
                  <a:prstGeom prst="rect">
                    <a:avLst/>
                  </a:prstGeom>
                </pic:spPr>
              </pic:pic>
            </a:graphicData>
          </a:graphic>
          <wp14:sizeRelH relativeFrom="margin">
            <wp14:pctWidth>0</wp14:pctWidth>
          </wp14:sizeRelH>
          <wp14:sizeRelV relativeFrom="margin">
            <wp14:pctHeight>0</wp14:pctHeight>
          </wp14:sizeRelV>
        </wp:anchor>
      </w:drawing>
    </w:r>
  </w:p>
  <w:p w14:paraId="7AAC477B" w14:textId="77777777" w:rsidR="006C53FF" w:rsidRDefault="006C53F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EF297E" w14:textId="77777777" w:rsidR="0048223D" w:rsidRDefault="0048223D" w:rsidP="006C53FF">
      <w:r>
        <w:separator/>
      </w:r>
    </w:p>
  </w:footnote>
  <w:footnote w:type="continuationSeparator" w:id="0">
    <w:p w14:paraId="0CABECF1" w14:textId="77777777" w:rsidR="0048223D" w:rsidRDefault="0048223D" w:rsidP="006C5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8015F" w14:textId="77777777" w:rsidR="006C53FF" w:rsidRDefault="0048223D">
    <w:pPr>
      <w:pStyle w:val="Encabezado"/>
    </w:pPr>
    <w:r>
      <w:rPr>
        <w:noProof/>
      </w:rPr>
      <w:pict w14:anchorId="1D1F4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3954" o:spid="_x0000_s1027" type="#_x0000_t75" alt="" style="position:absolute;left:0;text-align:left;margin-left:0;margin-top:0;width:612.45pt;height:792.1pt;z-index:-251656192;mso-wrap-edited:f;mso-width-percent:0;mso-height-percent:0;mso-position-horizontal:center;mso-position-horizontal-relative:margin;mso-position-vertical:center;mso-position-vertical-relative:margin;mso-width-percent:0;mso-height-percent:0" o:allowincell="f">
          <v:imagedata r:id="rId1" o:title="HOJA MEMBRETE_DB-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E56A9" w14:textId="77777777" w:rsidR="006C53FF" w:rsidRDefault="0048223D">
    <w:pPr>
      <w:pStyle w:val="Encabezado"/>
    </w:pPr>
    <w:r>
      <w:rPr>
        <w:noProof/>
      </w:rPr>
      <w:pict w14:anchorId="63CD9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3955" o:spid="_x0000_s1026" type="#_x0000_t75" alt="" style="position:absolute;left:0;text-align:left;margin-left:-35.3pt;margin-top:-128.9pt;width:612.45pt;height:792.1pt;z-index:-251655168;mso-wrap-edited:f;mso-width-percent:0;mso-height-percent:0;mso-position-horizontal-relative:margin;mso-position-vertical-relative:margin;mso-width-percent:0;mso-height-percent:0" o:allowincell="f">
          <v:imagedata r:id="rId1" o:title="HOJA MEMBRETE_DB-02"/>
          <w10:wrap anchorx="margin" anchory="margin"/>
        </v:shape>
      </w:pict>
    </w:r>
    <w:r w:rsidR="006C53FF">
      <w:ptab w:relativeTo="margin" w:alignment="left" w:leader="none"/>
    </w:r>
    <w:r w:rsidR="006C53FF">
      <w:rPr>
        <w:noProof/>
      </w:rPr>
      <w:drawing>
        <wp:inline distT="0" distB="0" distL="0" distR="0" wp14:anchorId="7D5EE042" wp14:editId="3BCE3A84">
          <wp:extent cx="3607773" cy="1097422"/>
          <wp:effectExtent l="0" t="0" r="0" b="762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84017" name="Imagen 1228384017"/>
                  <pic:cNvPicPr/>
                </pic:nvPicPr>
                <pic:blipFill>
                  <a:blip r:embed="rId2">
                    <a:extLst>
                      <a:ext uri="{28A0092B-C50C-407E-A947-70E740481C1C}">
                        <a14:useLocalDpi xmlns:a14="http://schemas.microsoft.com/office/drawing/2010/main" val="0"/>
                      </a:ext>
                    </a:extLst>
                  </a:blip>
                  <a:stretch>
                    <a:fillRect/>
                  </a:stretch>
                </pic:blipFill>
                <pic:spPr>
                  <a:xfrm>
                    <a:off x="0" y="0"/>
                    <a:ext cx="3607773" cy="10974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AEA7E" w14:textId="77777777" w:rsidR="006C53FF" w:rsidRDefault="0048223D">
    <w:pPr>
      <w:pStyle w:val="Encabezado"/>
    </w:pPr>
    <w:r>
      <w:rPr>
        <w:noProof/>
      </w:rPr>
      <w:pict w14:anchorId="720A6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3953" o:spid="_x0000_s1025" type="#_x0000_t75" alt="" style="position:absolute;left:0;text-align:left;margin-left:0;margin-top:0;width:612.45pt;height:792.1pt;z-index:-251657216;mso-wrap-edited:f;mso-width-percent:0;mso-height-percent:0;mso-position-horizontal:center;mso-position-horizontal-relative:margin;mso-position-vertical:center;mso-position-vertical-relative:margin;mso-width-percent:0;mso-height-percent:0" o:allowincell="f">
          <v:imagedata r:id="rId1" o:title="HOJA MEMBRETE_DB-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4C46C9"/>
    <w:multiLevelType w:val="multilevel"/>
    <w:tmpl w:val="CBEA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C3A3F"/>
    <w:multiLevelType w:val="hybridMultilevel"/>
    <w:tmpl w:val="C61C9288"/>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B33A19"/>
    <w:multiLevelType w:val="multilevel"/>
    <w:tmpl w:val="4342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9C30F9"/>
    <w:multiLevelType w:val="hybridMultilevel"/>
    <w:tmpl w:val="C61C9288"/>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8F40B5C"/>
    <w:multiLevelType w:val="hybridMultilevel"/>
    <w:tmpl w:val="C61C9288"/>
    <w:lvl w:ilvl="0" w:tplc="63E23490">
      <w:start w:val="1"/>
      <w:numFmt w:val="decimal"/>
      <w:lvlText w:val="%1."/>
      <w:lvlJc w:val="left"/>
      <w:pPr>
        <w:ind w:left="720" w:hanging="360"/>
      </w:pPr>
      <w:rPr>
        <w:rFonts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649ED"/>
    <w:multiLevelType w:val="hybridMultilevel"/>
    <w:tmpl w:val="AFA4AFA2"/>
    <w:lvl w:ilvl="0" w:tplc="D12C2AF8">
      <w:start w:val="1"/>
      <w:numFmt w:val="decimal"/>
      <w:lvlText w:val="%1."/>
      <w:lvlJc w:val="left"/>
      <w:pPr>
        <w:ind w:left="720" w:hanging="360"/>
      </w:pPr>
      <w:rPr>
        <w:rFonts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FD827AC"/>
    <w:multiLevelType w:val="hybridMultilevel"/>
    <w:tmpl w:val="7A00D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21C291F"/>
    <w:multiLevelType w:val="hybridMultilevel"/>
    <w:tmpl w:val="E9109072"/>
    <w:lvl w:ilvl="0" w:tplc="4B00D7FE">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 w15:restartNumberingAfterBreak="0">
    <w:nsid w:val="75423160"/>
    <w:multiLevelType w:val="hybridMultilevel"/>
    <w:tmpl w:val="42E49C02"/>
    <w:lvl w:ilvl="0" w:tplc="FC34235E">
      <w:start w:val="1"/>
      <w:numFmt w:val="decimal"/>
      <w:lvlText w:val="%1."/>
      <w:lvlJc w:val="left"/>
      <w:pPr>
        <w:ind w:left="720" w:hanging="360"/>
      </w:pPr>
      <w:rPr>
        <w:rFonts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13839196">
    <w:abstractNumId w:val="0"/>
  </w:num>
  <w:num w:numId="2" w16cid:durableId="1966618577">
    <w:abstractNumId w:val="2"/>
  </w:num>
  <w:num w:numId="3" w16cid:durableId="936331721">
    <w:abstractNumId w:val="5"/>
  </w:num>
  <w:num w:numId="4" w16cid:durableId="1111978519">
    <w:abstractNumId w:val="7"/>
  </w:num>
  <w:num w:numId="5" w16cid:durableId="851382921">
    <w:abstractNumId w:val="8"/>
  </w:num>
  <w:num w:numId="6" w16cid:durableId="777139439">
    <w:abstractNumId w:val="4"/>
  </w:num>
  <w:num w:numId="7" w16cid:durableId="974336583">
    <w:abstractNumId w:val="1"/>
  </w:num>
  <w:num w:numId="8" w16cid:durableId="1189294082">
    <w:abstractNumId w:val="3"/>
  </w:num>
  <w:num w:numId="9" w16cid:durableId="696085638">
    <w:abstractNumId w:val="6"/>
  </w:num>
  <w:num w:numId="10" w16cid:durableId="391391067">
    <w:abstractNumId w:val="2"/>
    <w:lvlOverride w:ilvl="0">
      <w:startOverride w:val="6"/>
    </w:lvlOverride>
  </w:num>
  <w:num w:numId="11" w16cid:durableId="480081433">
    <w:abstractNumId w:val="2"/>
    <w:lvlOverride w:ilvl="0">
      <w:startOverride w:val="8"/>
    </w:lvlOverride>
  </w:num>
  <w:num w:numId="12" w16cid:durableId="587692043">
    <w:abstractNumId w:val="2"/>
    <w:lvlOverride w:ilvl="0">
      <w:startOverride w:val="1"/>
    </w:lvlOverride>
  </w:num>
  <w:num w:numId="13" w16cid:durableId="2075737873">
    <w:abstractNumId w:val="2"/>
    <w:lvlOverride w:ilvl="0">
      <w:startOverride w:val="1"/>
    </w:lvlOverride>
  </w:num>
  <w:num w:numId="14" w16cid:durableId="400174438">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3FF"/>
    <w:rsid w:val="00021177"/>
    <w:rsid w:val="00075749"/>
    <w:rsid w:val="000B7E45"/>
    <w:rsid w:val="000C36D0"/>
    <w:rsid w:val="0012695E"/>
    <w:rsid w:val="0013761F"/>
    <w:rsid w:val="001D7B07"/>
    <w:rsid w:val="00217FA9"/>
    <w:rsid w:val="00341F21"/>
    <w:rsid w:val="003527B2"/>
    <w:rsid w:val="00356DBF"/>
    <w:rsid w:val="0037677A"/>
    <w:rsid w:val="003A14E3"/>
    <w:rsid w:val="00422886"/>
    <w:rsid w:val="0048223D"/>
    <w:rsid w:val="0054042C"/>
    <w:rsid w:val="00631A63"/>
    <w:rsid w:val="00696AE3"/>
    <w:rsid w:val="006C53FF"/>
    <w:rsid w:val="006D0337"/>
    <w:rsid w:val="00754D31"/>
    <w:rsid w:val="00755E9C"/>
    <w:rsid w:val="00770FFF"/>
    <w:rsid w:val="00790969"/>
    <w:rsid w:val="007A172E"/>
    <w:rsid w:val="007C131C"/>
    <w:rsid w:val="007E35F0"/>
    <w:rsid w:val="00814D18"/>
    <w:rsid w:val="00844C65"/>
    <w:rsid w:val="00847020"/>
    <w:rsid w:val="008C664A"/>
    <w:rsid w:val="008F3C92"/>
    <w:rsid w:val="009358FD"/>
    <w:rsid w:val="009505CB"/>
    <w:rsid w:val="00984C4D"/>
    <w:rsid w:val="009922D1"/>
    <w:rsid w:val="009D3F3B"/>
    <w:rsid w:val="00A115C4"/>
    <w:rsid w:val="00A13F6F"/>
    <w:rsid w:val="00A56B63"/>
    <w:rsid w:val="00AE01B0"/>
    <w:rsid w:val="00AF4191"/>
    <w:rsid w:val="00B0140B"/>
    <w:rsid w:val="00B26BFE"/>
    <w:rsid w:val="00BA6E9D"/>
    <w:rsid w:val="00BE2A07"/>
    <w:rsid w:val="00C22F4E"/>
    <w:rsid w:val="00CA5CDE"/>
    <w:rsid w:val="00D8527C"/>
    <w:rsid w:val="00DB1C56"/>
    <w:rsid w:val="00DC11CF"/>
    <w:rsid w:val="00DD4F2F"/>
    <w:rsid w:val="00DF1DD9"/>
    <w:rsid w:val="00E41E51"/>
    <w:rsid w:val="00EA05B8"/>
    <w:rsid w:val="00EB13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DA72E"/>
  <w15:chartTrackingRefBased/>
  <w15:docId w15:val="{080C4AA4-80E9-4E93-AD77-15ADA1D2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E9D"/>
    <w:pPr>
      <w:spacing w:after="100" w:line="259" w:lineRule="auto"/>
      <w:jc w:val="both"/>
    </w:pPr>
    <w:rPr>
      <w:rFonts w:ascii="Arial" w:eastAsia="Arial" w:hAnsi="Arial" w:cs="Times New Roman"/>
      <w:kern w:val="0"/>
      <w:sz w:val="21"/>
      <w:lang w:eastAsia="es-MX"/>
      <w14:ligatures w14:val="none"/>
    </w:rPr>
  </w:style>
  <w:style w:type="paragraph" w:styleId="Ttulo1">
    <w:name w:val="heading 1"/>
    <w:basedOn w:val="Normal"/>
    <w:next w:val="Normal"/>
    <w:link w:val="Ttulo1Car"/>
    <w:uiPriority w:val="9"/>
    <w:qFormat/>
    <w:rsid w:val="006C53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C53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C53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C53F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6C53F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6C53F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6C53F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6C53F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6C53F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53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53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53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53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53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53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53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53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53FF"/>
    <w:rPr>
      <w:rFonts w:eastAsiaTheme="majorEastAsia" w:cstheme="majorBidi"/>
      <w:color w:val="272727" w:themeColor="text1" w:themeTint="D8"/>
    </w:rPr>
  </w:style>
  <w:style w:type="paragraph" w:styleId="Ttulo">
    <w:name w:val="Title"/>
    <w:basedOn w:val="Normal"/>
    <w:next w:val="Normal"/>
    <w:link w:val="TtuloCar"/>
    <w:uiPriority w:val="10"/>
    <w:qFormat/>
    <w:rsid w:val="006C53F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6C53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53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6C53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53F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6C53FF"/>
    <w:rPr>
      <w:i/>
      <w:iCs/>
      <w:color w:val="404040" w:themeColor="text1" w:themeTint="BF"/>
    </w:rPr>
  </w:style>
  <w:style w:type="paragraph" w:styleId="Prrafodelista">
    <w:name w:val="List Paragraph"/>
    <w:basedOn w:val="Normal"/>
    <w:uiPriority w:val="34"/>
    <w:qFormat/>
    <w:rsid w:val="006C53F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6C53FF"/>
    <w:rPr>
      <w:i/>
      <w:iCs/>
      <w:color w:val="0F4761" w:themeColor="accent1" w:themeShade="BF"/>
    </w:rPr>
  </w:style>
  <w:style w:type="paragraph" w:styleId="Citadestacada">
    <w:name w:val="Intense Quote"/>
    <w:basedOn w:val="Normal"/>
    <w:next w:val="Normal"/>
    <w:link w:val="CitadestacadaCar"/>
    <w:uiPriority w:val="30"/>
    <w:qFormat/>
    <w:rsid w:val="006C53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6C53FF"/>
    <w:rPr>
      <w:i/>
      <w:iCs/>
      <w:color w:val="0F4761" w:themeColor="accent1" w:themeShade="BF"/>
    </w:rPr>
  </w:style>
  <w:style w:type="character" w:styleId="Referenciaintensa">
    <w:name w:val="Intense Reference"/>
    <w:basedOn w:val="Fuentedeprrafopredeter"/>
    <w:uiPriority w:val="32"/>
    <w:qFormat/>
    <w:rsid w:val="006C53FF"/>
    <w:rPr>
      <w:b/>
      <w:bCs/>
      <w:smallCaps/>
      <w:color w:val="0F4761" w:themeColor="accent1" w:themeShade="BF"/>
      <w:spacing w:val="5"/>
    </w:rPr>
  </w:style>
  <w:style w:type="paragraph" w:styleId="Encabezado">
    <w:name w:val="header"/>
    <w:basedOn w:val="Normal"/>
    <w:link w:val="EncabezadoCar"/>
    <w:uiPriority w:val="99"/>
    <w:unhideWhenUsed/>
    <w:rsid w:val="006C53FF"/>
    <w:pPr>
      <w:tabs>
        <w:tab w:val="center" w:pos="4419"/>
        <w:tab w:val="right" w:pos="8838"/>
      </w:tabs>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6C53FF"/>
  </w:style>
  <w:style w:type="paragraph" w:styleId="Piedepgina">
    <w:name w:val="footer"/>
    <w:basedOn w:val="Normal"/>
    <w:link w:val="PiedepginaCar"/>
    <w:uiPriority w:val="99"/>
    <w:unhideWhenUsed/>
    <w:rsid w:val="006C53FF"/>
    <w:pPr>
      <w:tabs>
        <w:tab w:val="center" w:pos="4419"/>
        <w:tab w:val="right" w:pos="8838"/>
      </w:tabs>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6C53FF"/>
  </w:style>
  <w:style w:type="character" w:styleId="Hipervnculo">
    <w:name w:val="Hyperlink"/>
    <w:basedOn w:val="Fuentedeprrafopredeter"/>
    <w:uiPriority w:val="99"/>
    <w:unhideWhenUsed/>
    <w:rsid w:val="00075749"/>
    <w:rPr>
      <w:color w:val="467886" w:themeColor="hyperlink"/>
      <w:u w:val="single"/>
    </w:rPr>
  </w:style>
  <w:style w:type="character" w:styleId="Mencinsinresolver">
    <w:name w:val="Unresolved Mention"/>
    <w:basedOn w:val="Fuentedeprrafopredeter"/>
    <w:uiPriority w:val="99"/>
    <w:semiHidden/>
    <w:unhideWhenUsed/>
    <w:rsid w:val="00075749"/>
    <w:rPr>
      <w:color w:val="605E5C"/>
      <w:shd w:val="clear" w:color="auto" w:fill="E1DFDD"/>
    </w:rPr>
  </w:style>
  <w:style w:type="character" w:styleId="Hipervnculovisitado">
    <w:name w:val="FollowedHyperlink"/>
    <w:basedOn w:val="Fuentedeprrafopredeter"/>
    <w:uiPriority w:val="99"/>
    <w:semiHidden/>
    <w:unhideWhenUsed/>
    <w:rsid w:val="0013761F"/>
    <w:rPr>
      <w:color w:val="96607D" w:themeColor="followedHyperlink"/>
      <w:u w:val="single"/>
    </w:rPr>
  </w:style>
  <w:style w:type="character" w:customStyle="1" w:styleId="apple-converted-space">
    <w:name w:val="apple-converted-space"/>
    <w:basedOn w:val="Fuentedeprrafopredeter"/>
    <w:rsid w:val="00814D18"/>
  </w:style>
  <w:style w:type="paragraph" w:customStyle="1" w:styleId="isselectedend">
    <w:name w:val="isselectedend"/>
    <w:basedOn w:val="Normal"/>
    <w:rsid w:val="00DD4F2F"/>
    <w:pPr>
      <w:spacing w:before="100" w:beforeAutospacing="1" w:afterAutospacing="1"/>
    </w:pPr>
  </w:style>
  <w:style w:type="character" w:styleId="Fuerte">
    <w:name w:val="Strong"/>
    <w:basedOn w:val="Fuentedeprrafopredeter"/>
    <w:uiPriority w:val="22"/>
    <w:qFormat/>
    <w:rsid w:val="00DD4F2F"/>
    <w:rPr>
      <w:b/>
      <w:bCs/>
    </w:rPr>
  </w:style>
  <w:style w:type="paragraph" w:styleId="NormalWeb">
    <w:name w:val="Normal (Web)"/>
    <w:basedOn w:val="Normal"/>
    <w:uiPriority w:val="99"/>
    <w:unhideWhenUsed/>
    <w:rsid w:val="00DD4F2F"/>
    <w:pPr>
      <w:spacing w:before="100" w:beforeAutospacing="1" w:afterAutospacing="1"/>
    </w:pPr>
  </w:style>
  <w:style w:type="paragraph" w:customStyle="1" w:styleId="UTLTitle">
    <w:name w:val="UTL Title"/>
    <w:pPr>
      <w:spacing w:before="80" w:after="80"/>
      <w:jc w:val="center"/>
    </w:pPr>
    <w:rPr>
      <w:rFonts w:ascii="Arial" w:eastAsia="Arial" w:hAnsi="Arial"/>
      <w:b/>
      <w:sz w:val="26"/>
    </w:rPr>
  </w:style>
  <w:style w:type="paragraph" w:customStyle="1" w:styleId="UTLHeading1">
    <w:name w:val="UTL Heading 1"/>
    <w:pPr>
      <w:keepNext/>
      <w:spacing w:before="200" w:after="80"/>
    </w:pPr>
    <w:rPr>
      <w:rFonts w:ascii="Arial" w:eastAsia="Arial" w:hAnsi="Arial"/>
      <w:b/>
      <w:sz w:val="23"/>
    </w:rPr>
  </w:style>
  <w:style w:type="paragraph" w:customStyle="1" w:styleId="UTLHeading2">
    <w:name w:val="UTL Heading 2"/>
    <w:pPr>
      <w:keepNext/>
      <w:spacing w:before="140" w:after="60"/>
    </w:pPr>
    <w:rPr>
      <w:rFonts w:ascii="Arial" w:eastAsia="Arial" w:hAnsi="Arial"/>
      <w:b/>
      <w:sz w:val="21"/>
    </w:rPr>
  </w:style>
  <w:style w:type="paragraph" w:customStyle="1" w:styleId="UTLQuote">
    <w:name w:val="UTL Quote"/>
    <w:pPr>
      <w:spacing w:before="60" w:after="100"/>
      <w:ind w:left="454" w:right="454"/>
      <w:jc w:val="both"/>
    </w:pPr>
    <w:rPr>
      <w:rFonts w:ascii="Arial" w:eastAsia="Arial" w:hAnsi="Arial"/>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281849">
      <w:bodyDiv w:val="1"/>
      <w:marLeft w:val="0"/>
      <w:marRight w:val="0"/>
      <w:marTop w:val="0"/>
      <w:marBottom w:val="0"/>
      <w:divBdr>
        <w:top w:val="none" w:sz="0" w:space="0" w:color="auto"/>
        <w:left w:val="none" w:sz="0" w:space="0" w:color="auto"/>
        <w:bottom w:val="none" w:sz="0" w:space="0" w:color="auto"/>
        <w:right w:val="none" w:sz="0" w:space="0" w:color="auto"/>
      </w:divBdr>
    </w:div>
    <w:div w:id="140464312">
      <w:bodyDiv w:val="1"/>
      <w:marLeft w:val="0"/>
      <w:marRight w:val="0"/>
      <w:marTop w:val="0"/>
      <w:marBottom w:val="0"/>
      <w:divBdr>
        <w:top w:val="none" w:sz="0" w:space="0" w:color="auto"/>
        <w:left w:val="none" w:sz="0" w:space="0" w:color="auto"/>
        <w:bottom w:val="none" w:sz="0" w:space="0" w:color="auto"/>
        <w:right w:val="none" w:sz="0" w:space="0" w:color="auto"/>
      </w:divBdr>
    </w:div>
    <w:div w:id="21682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10176</Words>
  <Characters>60039</Characters>
  <Application>Microsoft Office Word</Application>
  <DocSecurity>0</DocSecurity>
  <Lines>1091</Lines>
  <Paragraphs>403</Paragraphs>
  <ScaleCrop>false</ScaleCrop>
  <HeadingPairs>
    <vt:vector size="2" baseType="variant">
      <vt:variant>
        <vt:lpstr>Título</vt:lpstr>
      </vt:variant>
      <vt:variant>
        <vt:i4>1</vt:i4>
      </vt:variant>
    </vt:vector>
  </HeadingPairs>
  <TitlesOfParts>
    <vt:vector size="1" baseType="lpstr">
      <vt:lpstr>Informe de ponencia positiva para primer debate - PL 097 de 2026 Cámara</vt:lpstr>
    </vt:vector>
  </TitlesOfParts>
  <Company/>
  <LinksUpToDate>false</LinksUpToDate>
  <CharactersWithSpaces>69812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ponencia positiva para primer debate - PL 097 de 2026 Cámara</dc:title>
  <dc:subject>Proyecto de Ley 097 de 2026 Cámara - UTL H.R. Daniel Felipe Bernal Montealegre</dc:subject>
  <dc:creator>H.R. Daniel Felipe Bernal Montealegre</dc:creator>
  <cp:keywords>ponencia, testamento, discapacidad, Ley 1996 de 2019, Cámara de Representantes</cp:keywords>
  <dc:description/>
  <cp:lastModifiedBy>Juan Pablo Prieto Nieto</cp:lastModifiedBy>
  <cp:revision>2</cp:revision>
  <cp:lastPrinted>2026-09-15T19:04:00Z</cp:lastPrinted>
  <dcterms:created xsi:type="dcterms:W3CDTF">2026-09-17T18:47:00Z</dcterms:created>
  <dcterms:modified xsi:type="dcterms:W3CDTF">2026-09-17T18:47:00Z</dcterms:modified>
</cp:coreProperties>
</file>