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56AC5B" w14:textId="77777777" w:rsidR="008731ED" w:rsidRPr="008731ED" w:rsidRDefault="008731ED" w:rsidP="008731ED">
      <w:pPr>
        <w:pBdr>
          <w:top w:val="nil"/>
          <w:left w:val="nil"/>
          <w:bottom w:val="nil"/>
          <w:right w:val="nil"/>
          <w:between w:val="nil"/>
        </w:pBdr>
        <w:spacing w:line="240" w:lineRule="auto"/>
        <w:jc w:val="right"/>
        <w:rPr>
          <w:rFonts w:ascii="Aptos" w:eastAsia="Arial Narrow" w:hAnsi="Aptos" w:cs="Arial"/>
          <w:color w:val="000000"/>
          <w:sz w:val="24"/>
          <w:szCs w:val="24"/>
        </w:rPr>
      </w:pPr>
      <w:r w:rsidRPr="008731ED">
        <w:rPr>
          <w:rFonts w:ascii="Aptos" w:eastAsia="Arial Narrow" w:hAnsi="Aptos" w:cs="Arial"/>
          <w:color w:val="000000"/>
          <w:sz w:val="24"/>
          <w:szCs w:val="24"/>
        </w:rPr>
        <w:t>Bogotá, D.C., septiembre de 2026</w:t>
      </w:r>
    </w:p>
    <w:p w14:paraId="351EF12E" w14:textId="77777777" w:rsidR="008731ED" w:rsidRPr="008731ED" w:rsidRDefault="008731ED" w:rsidP="008731ED">
      <w:pPr>
        <w:pBdr>
          <w:top w:val="nil"/>
          <w:left w:val="nil"/>
          <w:bottom w:val="nil"/>
          <w:right w:val="nil"/>
          <w:between w:val="nil"/>
        </w:pBdr>
        <w:spacing w:line="240" w:lineRule="auto"/>
        <w:rPr>
          <w:rFonts w:ascii="Aptos" w:eastAsia="Arial Narrow" w:hAnsi="Aptos" w:cs="Arial"/>
          <w:color w:val="000000"/>
          <w:sz w:val="24"/>
          <w:szCs w:val="24"/>
        </w:rPr>
      </w:pPr>
    </w:p>
    <w:p w14:paraId="7F174E8B" w14:textId="77777777" w:rsidR="008731ED" w:rsidRPr="008731ED" w:rsidRDefault="008731ED" w:rsidP="008731ED">
      <w:pPr>
        <w:spacing w:line="240" w:lineRule="auto"/>
        <w:jc w:val="both"/>
        <w:rPr>
          <w:rFonts w:ascii="Aptos" w:hAnsi="Aptos" w:cs="Arial"/>
          <w:sz w:val="24"/>
          <w:szCs w:val="24"/>
        </w:rPr>
      </w:pPr>
      <w:r w:rsidRPr="008731ED">
        <w:rPr>
          <w:rFonts w:ascii="Aptos" w:hAnsi="Aptos" w:cs="Arial"/>
          <w:sz w:val="24"/>
          <w:szCs w:val="24"/>
        </w:rPr>
        <w:t>Honorable representante</w:t>
      </w:r>
    </w:p>
    <w:p w14:paraId="3C2D2CB9" w14:textId="77777777" w:rsidR="008731ED" w:rsidRPr="008731ED" w:rsidRDefault="008731ED" w:rsidP="008731ED">
      <w:pPr>
        <w:spacing w:line="240" w:lineRule="auto"/>
        <w:jc w:val="both"/>
        <w:rPr>
          <w:rFonts w:ascii="Aptos" w:hAnsi="Aptos" w:cs="Arial"/>
          <w:b/>
          <w:bCs/>
          <w:sz w:val="24"/>
          <w:szCs w:val="24"/>
        </w:rPr>
      </w:pPr>
      <w:r w:rsidRPr="008731ED">
        <w:rPr>
          <w:rFonts w:ascii="Aptos" w:hAnsi="Aptos" w:cs="Arial"/>
          <w:b/>
          <w:bCs/>
          <w:sz w:val="24"/>
          <w:szCs w:val="24"/>
        </w:rPr>
        <w:t>JOSE JAIME USCATEGUI PASTRANA</w:t>
      </w:r>
    </w:p>
    <w:p w14:paraId="2C198335" w14:textId="77777777" w:rsidR="008731ED" w:rsidRPr="008731ED" w:rsidRDefault="008731ED" w:rsidP="008731ED">
      <w:pPr>
        <w:spacing w:line="240" w:lineRule="auto"/>
        <w:jc w:val="both"/>
        <w:rPr>
          <w:rFonts w:ascii="Aptos" w:hAnsi="Aptos" w:cs="Arial"/>
          <w:sz w:val="24"/>
          <w:szCs w:val="24"/>
        </w:rPr>
      </w:pPr>
      <w:r w:rsidRPr="008731ED">
        <w:rPr>
          <w:rFonts w:ascii="Aptos" w:hAnsi="Aptos" w:cs="Arial"/>
          <w:sz w:val="24"/>
          <w:szCs w:val="24"/>
        </w:rPr>
        <w:t>Presidente</w:t>
      </w:r>
    </w:p>
    <w:p w14:paraId="69CB6576" w14:textId="77777777" w:rsidR="008731ED" w:rsidRPr="008731ED" w:rsidRDefault="008731ED" w:rsidP="008731ED">
      <w:pPr>
        <w:spacing w:line="240" w:lineRule="auto"/>
        <w:jc w:val="both"/>
        <w:rPr>
          <w:rFonts w:ascii="Aptos" w:hAnsi="Aptos" w:cs="Arial"/>
          <w:sz w:val="24"/>
          <w:szCs w:val="24"/>
        </w:rPr>
      </w:pPr>
      <w:r w:rsidRPr="008731ED">
        <w:rPr>
          <w:rFonts w:ascii="Aptos" w:hAnsi="Aptos" w:cs="Arial"/>
          <w:sz w:val="24"/>
          <w:szCs w:val="24"/>
        </w:rPr>
        <w:t>Comisión Primera Constitucional Permanente</w:t>
      </w:r>
    </w:p>
    <w:p w14:paraId="3B005E92" w14:textId="77777777" w:rsidR="008731ED" w:rsidRPr="008731ED" w:rsidRDefault="008731ED" w:rsidP="008731ED">
      <w:pPr>
        <w:spacing w:line="240" w:lineRule="auto"/>
        <w:jc w:val="both"/>
        <w:rPr>
          <w:rFonts w:ascii="Aptos" w:hAnsi="Aptos" w:cs="Arial"/>
          <w:sz w:val="24"/>
          <w:szCs w:val="24"/>
        </w:rPr>
      </w:pPr>
      <w:r w:rsidRPr="008731ED">
        <w:rPr>
          <w:rFonts w:ascii="Aptos" w:hAnsi="Aptos" w:cs="Arial"/>
          <w:sz w:val="24"/>
          <w:szCs w:val="24"/>
        </w:rPr>
        <w:t>Cámara de Representantes</w:t>
      </w:r>
    </w:p>
    <w:p w14:paraId="59FAFF31" w14:textId="39B37C2F" w:rsidR="008731ED" w:rsidRPr="008731ED" w:rsidRDefault="008731ED" w:rsidP="008731ED">
      <w:pPr>
        <w:spacing w:line="240" w:lineRule="auto"/>
        <w:jc w:val="both"/>
        <w:rPr>
          <w:rFonts w:ascii="Aptos" w:hAnsi="Aptos" w:cs="Arial"/>
          <w:sz w:val="24"/>
          <w:szCs w:val="24"/>
        </w:rPr>
      </w:pPr>
      <w:r w:rsidRPr="008731ED">
        <w:rPr>
          <w:rFonts w:ascii="Aptos" w:hAnsi="Aptos" w:cs="Arial"/>
          <w:sz w:val="24"/>
          <w:szCs w:val="24"/>
        </w:rPr>
        <w:t>Bogotá DC.</w:t>
      </w:r>
    </w:p>
    <w:p w14:paraId="0D1CE7E6" w14:textId="77777777" w:rsidR="008731ED" w:rsidRPr="008731ED" w:rsidRDefault="008731ED" w:rsidP="008731ED">
      <w:pPr>
        <w:spacing w:line="240" w:lineRule="auto"/>
        <w:jc w:val="both"/>
        <w:rPr>
          <w:rFonts w:ascii="Aptos" w:hAnsi="Aptos" w:cs="Arial"/>
          <w:sz w:val="24"/>
          <w:szCs w:val="24"/>
        </w:rPr>
      </w:pPr>
    </w:p>
    <w:p w14:paraId="60A606EA" w14:textId="1D4EC6F6" w:rsidR="008731ED" w:rsidRPr="008731ED" w:rsidRDefault="008731ED" w:rsidP="008731ED">
      <w:pPr>
        <w:spacing w:line="240" w:lineRule="auto"/>
        <w:ind w:left="1701"/>
        <w:jc w:val="both"/>
        <w:rPr>
          <w:rFonts w:ascii="Aptos" w:hAnsi="Aptos" w:cs="Arial"/>
          <w:sz w:val="24"/>
          <w:szCs w:val="24"/>
        </w:rPr>
      </w:pPr>
      <w:r w:rsidRPr="008731ED">
        <w:rPr>
          <w:rFonts w:ascii="Aptos" w:hAnsi="Aptos" w:cs="Arial"/>
          <w:b/>
          <w:bCs/>
          <w:sz w:val="24"/>
          <w:szCs w:val="24"/>
        </w:rPr>
        <w:t xml:space="preserve">ASUNTO: </w:t>
      </w:r>
      <w:r w:rsidRPr="008731ED">
        <w:rPr>
          <w:rFonts w:ascii="Aptos" w:hAnsi="Aptos" w:cs="Arial"/>
          <w:sz w:val="24"/>
          <w:szCs w:val="24"/>
        </w:rPr>
        <w:t>Ponencia para primer debate Proyecto de Ley 078 de 2026 – Cámara, “</w:t>
      </w:r>
      <w:r w:rsidRPr="008731ED">
        <w:rPr>
          <w:rFonts w:ascii="Aptos" w:hAnsi="Aptos" w:cs="Arial"/>
          <w:i/>
          <w:sz w:val="24"/>
          <w:szCs w:val="24"/>
        </w:rPr>
        <w:t>P</w:t>
      </w:r>
      <w:r w:rsidRPr="008731ED">
        <w:rPr>
          <w:rFonts w:ascii="Aptos" w:hAnsi="Aptos" w:cs="Arial"/>
          <w:i/>
          <w:iCs/>
          <w:sz w:val="24"/>
          <w:szCs w:val="24"/>
        </w:rPr>
        <w:t>or medio de la cual se modifica la Ley 2540 de 2025 y se amplía la modalidad de arbitraje para todos los procesos ejecutivos incluyendo los que no tienen pacto arbitral y se dictan otras disposiciones</w:t>
      </w:r>
      <w:r w:rsidRPr="008731ED">
        <w:rPr>
          <w:rFonts w:ascii="Aptos" w:hAnsi="Aptos" w:cs="Arial"/>
          <w:i/>
          <w:sz w:val="24"/>
          <w:szCs w:val="24"/>
        </w:rPr>
        <w:t>”</w:t>
      </w:r>
    </w:p>
    <w:p w14:paraId="413360FD" w14:textId="77777777" w:rsidR="008731ED" w:rsidRPr="008731ED" w:rsidRDefault="008731ED" w:rsidP="008731ED">
      <w:pPr>
        <w:spacing w:line="240" w:lineRule="auto"/>
        <w:ind w:left="2124"/>
        <w:jc w:val="both"/>
        <w:rPr>
          <w:rFonts w:ascii="Aptos" w:hAnsi="Aptos" w:cs="Arial"/>
          <w:sz w:val="24"/>
          <w:szCs w:val="24"/>
        </w:rPr>
      </w:pPr>
    </w:p>
    <w:p w14:paraId="07594BAA" w14:textId="678B25D1" w:rsidR="008731ED" w:rsidRPr="008731ED" w:rsidRDefault="008731ED" w:rsidP="008731ED">
      <w:pPr>
        <w:spacing w:line="240" w:lineRule="auto"/>
        <w:jc w:val="both"/>
        <w:rPr>
          <w:rFonts w:ascii="Aptos" w:hAnsi="Aptos" w:cs="Arial"/>
          <w:sz w:val="24"/>
          <w:szCs w:val="24"/>
        </w:rPr>
      </w:pPr>
      <w:r w:rsidRPr="008731ED">
        <w:rPr>
          <w:rFonts w:ascii="Aptos" w:hAnsi="Aptos" w:cs="Arial"/>
          <w:sz w:val="24"/>
          <w:szCs w:val="24"/>
        </w:rPr>
        <w:t>Honorable presidente:</w:t>
      </w:r>
    </w:p>
    <w:p w14:paraId="07B85DDA" w14:textId="77777777" w:rsidR="008731ED" w:rsidRPr="008731ED" w:rsidRDefault="008731ED" w:rsidP="008731ED">
      <w:pPr>
        <w:spacing w:line="240" w:lineRule="auto"/>
        <w:jc w:val="both"/>
        <w:rPr>
          <w:rFonts w:ascii="Aptos" w:hAnsi="Aptos" w:cs="Arial"/>
          <w:sz w:val="24"/>
          <w:szCs w:val="24"/>
        </w:rPr>
      </w:pPr>
      <w:r w:rsidRPr="008731ED">
        <w:rPr>
          <w:rFonts w:ascii="Aptos" w:hAnsi="Aptos" w:cs="Arial"/>
          <w:sz w:val="24"/>
          <w:szCs w:val="24"/>
        </w:rPr>
        <w:t xml:space="preserve">Atendiendo lo establecido en el reglamento del Congreso, Ley 5 de 1992, y la gentil designación que nos hiciere la Mesa Directiva de ésta Célula Legislativa, nos permitimos hacerle llegar en original y copias, el informe de ponencia para primer debate del correspondiente </w:t>
      </w:r>
      <w:bookmarkStart w:id="0" w:name="_Hlk184207193"/>
      <w:r w:rsidRPr="008731ED">
        <w:rPr>
          <w:rFonts w:ascii="Aptos" w:hAnsi="Aptos" w:cs="Arial"/>
          <w:sz w:val="24"/>
          <w:szCs w:val="24"/>
        </w:rPr>
        <w:t xml:space="preserve">Proyecto de Ley 078 de 2026 – Cámara, </w:t>
      </w:r>
      <w:r w:rsidRPr="008731ED">
        <w:rPr>
          <w:rFonts w:ascii="Aptos" w:hAnsi="Aptos" w:cs="Arial"/>
          <w:i/>
          <w:sz w:val="24"/>
          <w:szCs w:val="24"/>
        </w:rPr>
        <w:t>“</w:t>
      </w:r>
      <w:r w:rsidRPr="008731ED">
        <w:rPr>
          <w:rFonts w:ascii="Aptos" w:hAnsi="Aptos" w:cs="Arial"/>
          <w:i/>
          <w:iCs/>
          <w:sz w:val="24"/>
          <w:szCs w:val="24"/>
        </w:rPr>
        <w:t>Por medio de la cual se modifica la Ley 2540 de 2025 y se amplía la modalidad de arbitraje para todos los procesos ejecutivos incluyendo los que no tienen pacto arbitral y se dictan otras disposiciones</w:t>
      </w:r>
      <w:r w:rsidRPr="008731ED">
        <w:rPr>
          <w:rFonts w:ascii="Aptos" w:hAnsi="Aptos" w:cs="Arial"/>
          <w:i/>
          <w:sz w:val="24"/>
          <w:szCs w:val="24"/>
        </w:rPr>
        <w:t>”</w:t>
      </w:r>
      <w:r w:rsidRPr="008731ED">
        <w:rPr>
          <w:rFonts w:ascii="Aptos" w:hAnsi="Aptos" w:cs="Arial"/>
          <w:sz w:val="24"/>
          <w:szCs w:val="24"/>
        </w:rPr>
        <w:t xml:space="preserve"> </w:t>
      </w:r>
      <w:bookmarkEnd w:id="0"/>
      <w:r w:rsidRPr="008731ED">
        <w:rPr>
          <w:rFonts w:ascii="Aptos" w:hAnsi="Aptos" w:cs="Arial"/>
          <w:sz w:val="24"/>
          <w:szCs w:val="24"/>
        </w:rPr>
        <w:t>para que sea puesto a consideración de los honorables representantes de la comisión de la Cámara.</w:t>
      </w:r>
    </w:p>
    <w:p w14:paraId="457E68FA" w14:textId="77777777" w:rsidR="008731ED" w:rsidRPr="008731ED" w:rsidRDefault="008731ED" w:rsidP="008731ED">
      <w:pPr>
        <w:spacing w:line="240" w:lineRule="auto"/>
        <w:jc w:val="both"/>
        <w:rPr>
          <w:rFonts w:ascii="Aptos" w:eastAsia="Arial" w:hAnsi="Aptos" w:cs="Arial"/>
          <w:sz w:val="24"/>
          <w:szCs w:val="24"/>
        </w:rPr>
      </w:pPr>
      <w:r w:rsidRPr="008731ED">
        <w:rPr>
          <w:rFonts w:ascii="Aptos" w:hAnsi="Aptos" w:cs="Arial"/>
          <w:sz w:val="24"/>
          <w:szCs w:val="24"/>
        </w:rPr>
        <w:t>Del señor presidente, respetuosamente:</w:t>
      </w:r>
    </w:p>
    <w:tbl>
      <w:tblPr>
        <w:tblW w:w="9350" w:type="dxa"/>
        <w:jc w:val="center"/>
        <w:tblLayout w:type="fixed"/>
        <w:tblLook w:val="0400" w:firstRow="0" w:lastRow="0" w:firstColumn="0" w:lastColumn="0" w:noHBand="0" w:noVBand="1"/>
      </w:tblPr>
      <w:tblGrid>
        <w:gridCol w:w="4675"/>
        <w:gridCol w:w="4675"/>
      </w:tblGrid>
      <w:tr w:rsidR="008731ED" w:rsidRPr="008731ED" w14:paraId="6E4F48D5" w14:textId="77777777" w:rsidTr="003E7564">
        <w:trPr>
          <w:jc w:val="center"/>
        </w:trPr>
        <w:tc>
          <w:tcPr>
            <w:tcW w:w="9350" w:type="dxa"/>
            <w:gridSpan w:val="2"/>
          </w:tcPr>
          <w:p w14:paraId="1D8E11D8" w14:textId="77777777" w:rsidR="008731ED" w:rsidRPr="008731ED" w:rsidRDefault="008731ED" w:rsidP="008731ED">
            <w:pPr>
              <w:pBdr>
                <w:top w:val="nil"/>
                <w:left w:val="nil"/>
                <w:bottom w:val="nil"/>
                <w:right w:val="nil"/>
                <w:between w:val="nil"/>
              </w:pBdr>
              <w:spacing w:line="240" w:lineRule="auto"/>
              <w:rPr>
                <w:rFonts w:ascii="Aptos" w:eastAsia="Arial Narrow" w:hAnsi="Aptos" w:cs="Arial"/>
                <w:color w:val="000000"/>
                <w:sz w:val="24"/>
                <w:szCs w:val="24"/>
              </w:rPr>
            </w:pPr>
          </w:p>
        </w:tc>
      </w:tr>
      <w:tr w:rsidR="008731ED" w:rsidRPr="008731ED" w14:paraId="591BB3A9" w14:textId="77777777" w:rsidTr="003E7564">
        <w:trPr>
          <w:jc w:val="center"/>
        </w:trPr>
        <w:tc>
          <w:tcPr>
            <w:tcW w:w="4675" w:type="dxa"/>
          </w:tcPr>
          <w:p w14:paraId="53B5E12A" w14:textId="77777777" w:rsidR="008731ED" w:rsidRPr="008731ED" w:rsidRDefault="008731ED" w:rsidP="008731ED">
            <w:pPr>
              <w:pBdr>
                <w:top w:val="nil"/>
                <w:left w:val="nil"/>
                <w:bottom w:val="nil"/>
                <w:right w:val="nil"/>
                <w:between w:val="nil"/>
              </w:pBdr>
              <w:spacing w:line="240" w:lineRule="auto"/>
              <w:rPr>
                <w:rFonts w:ascii="Aptos" w:eastAsia="Arial Narrow" w:hAnsi="Aptos" w:cs="Arial"/>
                <w:b/>
                <w:color w:val="000000"/>
                <w:sz w:val="24"/>
                <w:szCs w:val="24"/>
              </w:rPr>
            </w:pPr>
            <w:r w:rsidRPr="008731ED">
              <w:rPr>
                <w:rFonts w:ascii="Aptos" w:eastAsia="Arial Narrow" w:hAnsi="Aptos" w:cs="Arial"/>
                <w:b/>
                <w:color w:val="000000"/>
                <w:sz w:val="24"/>
                <w:szCs w:val="24"/>
              </w:rPr>
              <w:t>DANIEL FELIPE BRICEÑO MONTES</w:t>
            </w:r>
          </w:p>
          <w:p w14:paraId="038BFCDA" w14:textId="77777777" w:rsidR="008731ED" w:rsidRPr="008731ED" w:rsidRDefault="008731ED" w:rsidP="008731ED">
            <w:pPr>
              <w:pBdr>
                <w:top w:val="nil"/>
                <w:left w:val="nil"/>
                <w:bottom w:val="nil"/>
                <w:right w:val="nil"/>
                <w:between w:val="nil"/>
              </w:pBdr>
              <w:spacing w:line="240" w:lineRule="auto"/>
              <w:rPr>
                <w:rFonts w:ascii="Aptos" w:eastAsia="Arial Narrow" w:hAnsi="Aptos" w:cs="Arial"/>
                <w:color w:val="000000"/>
                <w:sz w:val="24"/>
                <w:szCs w:val="24"/>
              </w:rPr>
            </w:pPr>
            <w:r w:rsidRPr="008731ED">
              <w:rPr>
                <w:rFonts w:ascii="Aptos" w:eastAsia="Arial Narrow" w:hAnsi="Aptos" w:cs="Arial"/>
                <w:color w:val="000000"/>
                <w:sz w:val="24"/>
                <w:szCs w:val="24"/>
              </w:rPr>
              <w:t>Representante a la Cámara - Ponente</w:t>
            </w:r>
          </w:p>
          <w:p w14:paraId="2C6FEAF9" w14:textId="77777777" w:rsidR="008731ED" w:rsidRPr="008731ED" w:rsidRDefault="008731ED" w:rsidP="008731ED">
            <w:pPr>
              <w:pBdr>
                <w:top w:val="nil"/>
                <w:left w:val="nil"/>
                <w:bottom w:val="nil"/>
                <w:right w:val="nil"/>
                <w:between w:val="nil"/>
              </w:pBdr>
              <w:spacing w:line="240" w:lineRule="auto"/>
              <w:rPr>
                <w:rFonts w:ascii="Aptos" w:eastAsia="Arial Narrow" w:hAnsi="Aptos" w:cs="Arial"/>
                <w:color w:val="000000"/>
                <w:sz w:val="24"/>
                <w:szCs w:val="24"/>
              </w:rPr>
            </w:pPr>
            <w:r w:rsidRPr="008731ED">
              <w:rPr>
                <w:rFonts w:ascii="Aptos" w:eastAsia="Arial Narrow" w:hAnsi="Aptos" w:cs="Arial"/>
                <w:color w:val="000000"/>
                <w:sz w:val="24"/>
                <w:szCs w:val="24"/>
              </w:rPr>
              <w:t xml:space="preserve">Partido Centro Democrático </w:t>
            </w:r>
          </w:p>
          <w:p w14:paraId="5C9619A3" w14:textId="77777777" w:rsidR="008731ED" w:rsidRPr="008731ED" w:rsidRDefault="008731ED" w:rsidP="008731ED">
            <w:pPr>
              <w:pBdr>
                <w:top w:val="nil"/>
                <w:left w:val="nil"/>
                <w:bottom w:val="nil"/>
                <w:right w:val="nil"/>
                <w:between w:val="nil"/>
              </w:pBdr>
              <w:spacing w:line="240" w:lineRule="auto"/>
              <w:rPr>
                <w:rFonts w:ascii="Aptos" w:eastAsia="Arial Narrow" w:hAnsi="Aptos" w:cs="Arial"/>
                <w:color w:val="000000"/>
                <w:sz w:val="24"/>
                <w:szCs w:val="24"/>
              </w:rPr>
            </w:pPr>
          </w:p>
        </w:tc>
        <w:tc>
          <w:tcPr>
            <w:tcW w:w="4675" w:type="dxa"/>
          </w:tcPr>
          <w:p w14:paraId="0562717D" w14:textId="77777777" w:rsidR="008731ED" w:rsidRPr="008731ED" w:rsidRDefault="008731ED" w:rsidP="008731ED">
            <w:pPr>
              <w:pBdr>
                <w:top w:val="nil"/>
                <w:left w:val="nil"/>
                <w:bottom w:val="nil"/>
                <w:right w:val="nil"/>
                <w:between w:val="nil"/>
              </w:pBdr>
              <w:spacing w:line="240" w:lineRule="auto"/>
              <w:jc w:val="center"/>
              <w:rPr>
                <w:rFonts w:ascii="Aptos" w:eastAsia="Arial Narrow" w:hAnsi="Aptos" w:cs="Arial"/>
                <w:b/>
                <w:color w:val="000000"/>
                <w:sz w:val="24"/>
                <w:szCs w:val="24"/>
              </w:rPr>
            </w:pPr>
          </w:p>
          <w:p w14:paraId="2CA871C6" w14:textId="77777777" w:rsidR="008731ED" w:rsidRPr="008731ED" w:rsidRDefault="008731ED" w:rsidP="008731ED">
            <w:pPr>
              <w:pBdr>
                <w:top w:val="nil"/>
                <w:left w:val="nil"/>
                <w:bottom w:val="nil"/>
                <w:right w:val="nil"/>
                <w:between w:val="nil"/>
              </w:pBdr>
              <w:spacing w:line="240" w:lineRule="auto"/>
              <w:jc w:val="center"/>
              <w:rPr>
                <w:rFonts w:ascii="Aptos" w:eastAsia="Arial Narrow" w:hAnsi="Aptos" w:cs="Arial"/>
                <w:b/>
                <w:color w:val="000000"/>
                <w:sz w:val="24"/>
                <w:szCs w:val="24"/>
              </w:rPr>
            </w:pPr>
          </w:p>
          <w:p w14:paraId="55217698" w14:textId="77777777" w:rsidR="008731ED" w:rsidRPr="008731ED" w:rsidRDefault="008731ED" w:rsidP="008731ED">
            <w:pPr>
              <w:pBdr>
                <w:top w:val="nil"/>
                <w:left w:val="nil"/>
                <w:bottom w:val="nil"/>
                <w:right w:val="nil"/>
                <w:between w:val="nil"/>
              </w:pBdr>
              <w:spacing w:line="240" w:lineRule="auto"/>
              <w:jc w:val="center"/>
              <w:rPr>
                <w:rFonts w:ascii="Aptos" w:eastAsia="Arial Narrow" w:hAnsi="Aptos" w:cs="Arial"/>
                <w:b/>
                <w:color w:val="000000"/>
                <w:sz w:val="24"/>
                <w:szCs w:val="24"/>
              </w:rPr>
            </w:pPr>
          </w:p>
          <w:p w14:paraId="7FCF91DC" w14:textId="77777777" w:rsidR="008731ED" w:rsidRPr="008731ED" w:rsidRDefault="008731ED" w:rsidP="008731ED">
            <w:pPr>
              <w:spacing w:line="240" w:lineRule="auto"/>
              <w:jc w:val="center"/>
              <w:rPr>
                <w:rFonts w:ascii="Aptos" w:eastAsia="Arial Narrow" w:hAnsi="Aptos" w:cs="Arial"/>
                <w:color w:val="000000"/>
                <w:sz w:val="24"/>
                <w:szCs w:val="24"/>
              </w:rPr>
            </w:pPr>
          </w:p>
        </w:tc>
      </w:tr>
    </w:tbl>
    <w:p w14:paraId="3433A674" w14:textId="77777777" w:rsidR="008731ED" w:rsidRPr="008731ED" w:rsidRDefault="008731ED" w:rsidP="008731ED">
      <w:pPr>
        <w:spacing w:line="240" w:lineRule="auto"/>
        <w:jc w:val="center"/>
        <w:rPr>
          <w:rFonts w:ascii="Aptos" w:hAnsi="Aptos" w:cs="Arial"/>
          <w:b/>
          <w:bCs/>
          <w:sz w:val="24"/>
          <w:szCs w:val="24"/>
        </w:rPr>
      </w:pPr>
      <w:r w:rsidRPr="008731ED">
        <w:rPr>
          <w:rFonts w:ascii="Aptos" w:hAnsi="Aptos" w:cs="Arial"/>
          <w:b/>
          <w:bCs/>
          <w:sz w:val="24"/>
          <w:szCs w:val="24"/>
        </w:rPr>
        <w:lastRenderedPageBreak/>
        <w:t>INFORME DE PONENCIA PARA PRIMER DEBATE</w:t>
      </w:r>
    </w:p>
    <w:p w14:paraId="3C85839C" w14:textId="77777777" w:rsidR="008731ED" w:rsidRPr="008731ED" w:rsidRDefault="008731ED" w:rsidP="008731ED">
      <w:pPr>
        <w:spacing w:line="240" w:lineRule="auto"/>
        <w:jc w:val="center"/>
        <w:rPr>
          <w:rFonts w:ascii="Aptos" w:hAnsi="Aptos" w:cs="Arial"/>
          <w:b/>
          <w:bCs/>
          <w:sz w:val="24"/>
          <w:szCs w:val="24"/>
        </w:rPr>
      </w:pPr>
    </w:p>
    <w:p w14:paraId="6916DED9" w14:textId="77777777" w:rsidR="008731ED" w:rsidRPr="008731ED" w:rsidRDefault="008731ED" w:rsidP="008731ED">
      <w:pPr>
        <w:spacing w:line="240" w:lineRule="auto"/>
        <w:jc w:val="center"/>
        <w:rPr>
          <w:rFonts w:ascii="Aptos" w:hAnsi="Aptos" w:cs="Arial"/>
          <w:b/>
          <w:bCs/>
          <w:sz w:val="24"/>
          <w:szCs w:val="24"/>
        </w:rPr>
      </w:pPr>
      <w:r w:rsidRPr="008731ED">
        <w:rPr>
          <w:rFonts w:ascii="Aptos" w:hAnsi="Aptos" w:cs="Arial"/>
          <w:b/>
          <w:bCs/>
          <w:sz w:val="24"/>
          <w:szCs w:val="24"/>
        </w:rPr>
        <w:t>PROYECTO DE LEY 075 DE 2026 – CÁMARA</w:t>
      </w:r>
    </w:p>
    <w:p w14:paraId="2D70093E" w14:textId="77777777" w:rsidR="008731ED" w:rsidRPr="008731ED" w:rsidRDefault="008731ED" w:rsidP="008731ED">
      <w:pPr>
        <w:spacing w:line="240" w:lineRule="auto"/>
        <w:jc w:val="center"/>
        <w:rPr>
          <w:rFonts w:ascii="Aptos" w:hAnsi="Aptos" w:cs="Arial"/>
          <w:b/>
          <w:bCs/>
          <w:sz w:val="24"/>
          <w:szCs w:val="24"/>
        </w:rPr>
      </w:pPr>
    </w:p>
    <w:p w14:paraId="3E1F6445" w14:textId="77777777" w:rsidR="008731ED" w:rsidRPr="008731ED" w:rsidRDefault="008731ED" w:rsidP="008731ED">
      <w:pPr>
        <w:spacing w:line="240" w:lineRule="auto"/>
        <w:jc w:val="center"/>
        <w:rPr>
          <w:rFonts w:ascii="Aptos" w:hAnsi="Aptos" w:cs="Arial"/>
          <w:sz w:val="24"/>
          <w:szCs w:val="24"/>
        </w:rPr>
      </w:pPr>
      <w:r w:rsidRPr="008731ED">
        <w:rPr>
          <w:rFonts w:ascii="Aptos" w:hAnsi="Aptos" w:cs="Arial"/>
          <w:sz w:val="24"/>
          <w:szCs w:val="24"/>
        </w:rPr>
        <w:t>“POR MEDIO DE LA CUAL SE MODIFICA LA LEY 2540 DE 2025 Y SE AMPLÍA LA MODALIDAD DE ARBITRAJE PARA TODOS LOS PROCESOS EJECUTIVOS INCLUYENDO LOS QUE NO TIENEN PACTO ARBITRAL Y SE DICTAN OTRAS DISPOSICIONES”</w:t>
      </w:r>
    </w:p>
    <w:p w14:paraId="55566F40" w14:textId="77777777" w:rsidR="008731ED" w:rsidRPr="008731ED" w:rsidRDefault="008731ED" w:rsidP="008731ED">
      <w:pPr>
        <w:spacing w:line="240" w:lineRule="auto"/>
        <w:jc w:val="center"/>
        <w:rPr>
          <w:rFonts w:ascii="Aptos" w:eastAsia="Arial Narrow" w:hAnsi="Aptos" w:cs="Arial"/>
          <w:b/>
          <w:color w:val="222222"/>
          <w:sz w:val="24"/>
          <w:szCs w:val="24"/>
        </w:rPr>
      </w:pPr>
    </w:p>
    <w:p w14:paraId="6FF6CF53" w14:textId="77777777" w:rsidR="008731ED" w:rsidRPr="008731ED" w:rsidRDefault="008731ED" w:rsidP="008731ED">
      <w:pPr>
        <w:pStyle w:val="Prrafodelista"/>
        <w:numPr>
          <w:ilvl w:val="0"/>
          <w:numId w:val="13"/>
        </w:numPr>
        <w:pBdr>
          <w:top w:val="nil"/>
          <w:left w:val="nil"/>
          <w:bottom w:val="nil"/>
          <w:right w:val="nil"/>
          <w:between w:val="nil"/>
        </w:pBdr>
        <w:spacing w:after="0" w:line="240" w:lineRule="auto"/>
        <w:rPr>
          <w:rFonts w:ascii="Aptos" w:eastAsia="Arial Narrow" w:hAnsi="Aptos" w:cs="Arial"/>
          <w:b/>
          <w:bCs/>
          <w:color w:val="222222"/>
          <w:sz w:val="24"/>
          <w:szCs w:val="24"/>
        </w:rPr>
      </w:pPr>
      <w:r w:rsidRPr="008731ED">
        <w:rPr>
          <w:rFonts w:ascii="Aptos" w:eastAsia="Arial Narrow" w:hAnsi="Aptos" w:cs="Arial"/>
          <w:b/>
          <w:bCs/>
          <w:color w:val="222222"/>
          <w:sz w:val="24"/>
          <w:szCs w:val="24"/>
        </w:rPr>
        <w:t>OBJETO DEL PROYECTO</w:t>
      </w:r>
    </w:p>
    <w:p w14:paraId="6A7CA4A0" w14:textId="77777777" w:rsidR="008731ED" w:rsidRPr="008731ED" w:rsidRDefault="008731ED" w:rsidP="008731ED">
      <w:pPr>
        <w:pBdr>
          <w:top w:val="nil"/>
          <w:left w:val="nil"/>
          <w:bottom w:val="nil"/>
          <w:right w:val="nil"/>
          <w:between w:val="nil"/>
        </w:pBdr>
        <w:spacing w:line="240" w:lineRule="auto"/>
        <w:rPr>
          <w:rFonts w:ascii="Aptos" w:eastAsia="Arial Narrow" w:hAnsi="Aptos" w:cs="Arial"/>
          <w:color w:val="222222"/>
          <w:sz w:val="24"/>
          <w:szCs w:val="24"/>
        </w:rPr>
      </w:pPr>
    </w:p>
    <w:p w14:paraId="4AC48988" w14:textId="77777777" w:rsidR="008731ED" w:rsidRPr="00E903CA" w:rsidRDefault="008731ED" w:rsidP="008731ED">
      <w:pPr>
        <w:pBdr>
          <w:top w:val="nil"/>
          <w:left w:val="nil"/>
          <w:bottom w:val="nil"/>
          <w:right w:val="nil"/>
          <w:between w:val="nil"/>
        </w:pBdr>
        <w:spacing w:after="0" w:line="240" w:lineRule="auto"/>
        <w:jc w:val="both"/>
        <w:rPr>
          <w:rFonts w:ascii="Aptos" w:hAnsi="Aptos" w:cs="Arial"/>
          <w:sz w:val="24"/>
          <w:szCs w:val="24"/>
          <w:lang w:val="es-ES"/>
        </w:rPr>
      </w:pPr>
      <w:r w:rsidRPr="00E903CA">
        <w:rPr>
          <w:rFonts w:ascii="Aptos" w:hAnsi="Aptos" w:cs="Arial"/>
          <w:sz w:val="24"/>
          <w:szCs w:val="24"/>
          <w:lang w:val="es-ES"/>
        </w:rPr>
        <w:t>El proyecto tiene por objeto modificar el artículo 2° de la Ley 2540 de 2025 y adicionar a dicha ley los artículos 41 a 44, con el propósito de extender la modalidad de arbitraje institucional para procesos ejecutivos a aquellos casos en los que no existe pacto arbitral previo entre acreedor y deudor, hoy excluidos del ámbito de aplicación de la citada ley.</w:t>
      </w:r>
    </w:p>
    <w:p w14:paraId="70DD0676" w14:textId="77777777" w:rsidR="008731ED" w:rsidRPr="008731ED" w:rsidRDefault="008731ED" w:rsidP="008731ED">
      <w:pPr>
        <w:pBdr>
          <w:top w:val="nil"/>
          <w:left w:val="nil"/>
          <w:bottom w:val="nil"/>
          <w:right w:val="nil"/>
          <w:between w:val="nil"/>
        </w:pBdr>
        <w:spacing w:line="240" w:lineRule="auto"/>
        <w:jc w:val="both"/>
        <w:rPr>
          <w:rFonts w:ascii="Aptos" w:hAnsi="Aptos" w:cs="Arial"/>
          <w:sz w:val="24"/>
          <w:szCs w:val="24"/>
          <w:lang w:val="es-ES"/>
        </w:rPr>
      </w:pPr>
      <w:r w:rsidRPr="00E903CA">
        <w:rPr>
          <w:rFonts w:ascii="Aptos" w:hAnsi="Aptos" w:cs="Arial"/>
          <w:sz w:val="24"/>
          <w:szCs w:val="24"/>
          <w:lang w:val="es-ES"/>
        </w:rPr>
        <w:t>El mecanismo propuesto</w:t>
      </w:r>
      <w:r w:rsidRPr="008731ED">
        <w:rPr>
          <w:rFonts w:ascii="Aptos" w:hAnsi="Aptos" w:cs="Arial"/>
          <w:sz w:val="24"/>
          <w:szCs w:val="24"/>
          <w:lang w:val="es-ES"/>
        </w:rPr>
        <w:t xml:space="preserve">, </w:t>
      </w:r>
      <w:r w:rsidRPr="00E903CA">
        <w:rPr>
          <w:rFonts w:ascii="Aptos" w:hAnsi="Aptos" w:cs="Arial"/>
          <w:sz w:val="24"/>
          <w:szCs w:val="24"/>
          <w:lang w:val="es-ES"/>
        </w:rPr>
        <w:t>denominado por el autor como "habilitación por no oposición cualificada"</w:t>
      </w:r>
      <w:r w:rsidRPr="008731ED">
        <w:rPr>
          <w:rFonts w:ascii="Aptos" w:hAnsi="Aptos" w:cs="Arial"/>
          <w:sz w:val="24"/>
          <w:szCs w:val="24"/>
          <w:lang w:val="es-ES"/>
        </w:rPr>
        <w:t xml:space="preserve">, </w:t>
      </w:r>
      <w:r w:rsidRPr="00E903CA">
        <w:rPr>
          <w:rFonts w:ascii="Aptos" w:hAnsi="Aptos" w:cs="Arial"/>
          <w:sz w:val="24"/>
          <w:szCs w:val="24"/>
          <w:lang w:val="es-ES"/>
        </w:rPr>
        <w:t>puede resumirse así:</w:t>
      </w:r>
    </w:p>
    <w:p w14:paraId="6A4DD7D2" w14:textId="77777777" w:rsidR="008731ED" w:rsidRPr="008731ED" w:rsidRDefault="008731ED" w:rsidP="008731ED">
      <w:pPr>
        <w:pStyle w:val="Prrafodelista"/>
        <w:numPr>
          <w:ilvl w:val="0"/>
          <w:numId w:val="11"/>
        </w:numPr>
        <w:pBdr>
          <w:top w:val="nil"/>
          <w:left w:val="nil"/>
          <w:bottom w:val="nil"/>
          <w:right w:val="nil"/>
          <w:between w:val="nil"/>
        </w:pBdr>
        <w:spacing w:after="0" w:line="240" w:lineRule="auto"/>
        <w:jc w:val="both"/>
        <w:rPr>
          <w:rFonts w:ascii="Aptos" w:hAnsi="Aptos" w:cs="Arial"/>
          <w:sz w:val="24"/>
          <w:szCs w:val="24"/>
          <w:lang w:val="es-ES"/>
        </w:rPr>
      </w:pPr>
      <w:r w:rsidRPr="008731ED">
        <w:rPr>
          <w:rFonts w:ascii="Aptos" w:hAnsi="Aptos" w:cs="Arial"/>
          <w:sz w:val="24"/>
          <w:szCs w:val="24"/>
          <w:lang w:val="es-ES"/>
        </w:rPr>
        <w:t>El acreedor titular de un título ejecutivo puede presentar su demanda ante un centro de arbitraje autorizado, exista o no pacto arbitral previo (artículo 2° modificado).</w:t>
      </w:r>
    </w:p>
    <w:p w14:paraId="475D9657" w14:textId="77777777" w:rsidR="008731ED" w:rsidRPr="008731ED" w:rsidRDefault="008731ED" w:rsidP="008731ED">
      <w:pPr>
        <w:pStyle w:val="Prrafodelista"/>
        <w:numPr>
          <w:ilvl w:val="0"/>
          <w:numId w:val="11"/>
        </w:numPr>
        <w:pBdr>
          <w:top w:val="nil"/>
          <w:left w:val="nil"/>
          <w:bottom w:val="nil"/>
          <w:right w:val="nil"/>
          <w:between w:val="nil"/>
        </w:pBdr>
        <w:spacing w:after="0" w:line="240" w:lineRule="auto"/>
        <w:jc w:val="both"/>
        <w:rPr>
          <w:rFonts w:ascii="Aptos" w:hAnsi="Aptos" w:cs="Arial"/>
          <w:sz w:val="24"/>
          <w:szCs w:val="24"/>
          <w:lang w:val="es-ES"/>
        </w:rPr>
      </w:pPr>
      <w:r w:rsidRPr="008731ED">
        <w:rPr>
          <w:rFonts w:ascii="Aptos" w:hAnsi="Aptos" w:cs="Arial"/>
          <w:sz w:val="24"/>
          <w:szCs w:val="24"/>
          <w:lang w:val="es-ES"/>
        </w:rPr>
        <w:t>Cuando no exista pacto arbitral, el centro verifica de manera preliminar los requisitos formales del título y ordena la notificación personal reforzada del deudor, quien debe ser informado de forma clara, expresa y destacada de que el proceso se tramita sin pacto previo y de su derecho a oponerse (artículo 41 nuevo).</w:t>
      </w:r>
    </w:p>
    <w:p w14:paraId="6C5D5587" w14:textId="77777777" w:rsidR="008731ED" w:rsidRPr="008731ED" w:rsidRDefault="008731ED" w:rsidP="008731ED">
      <w:pPr>
        <w:pStyle w:val="Prrafodelista"/>
        <w:numPr>
          <w:ilvl w:val="0"/>
          <w:numId w:val="11"/>
        </w:numPr>
        <w:pBdr>
          <w:top w:val="nil"/>
          <w:left w:val="nil"/>
          <w:bottom w:val="nil"/>
          <w:right w:val="nil"/>
          <w:between w:val="nil"/>
        </w:pBdr>
        <w:spacing w:after="0" w:line="240" w:lineRule="auto"/>
        <w:jc w:val="both"/>
        <w:rPr>
          <w:rFonts w:ascii="Aptos" w:hAnsi="Aptos" w:cs="Arial"/>
          <w:sz w:val="24"/>
          <w:szCs w:val="24"/>
          <w:lang w:val="es-ES"/>
        </w:rPr>
      </w:pPr>
      <w:r w:rsidRPr="008731ED">
        <w:rPr>
          <w:rFonts w:ascii="Aptos" w:hAnsi="Aptos" w:cs="Arial"/>
          <w:sz w:val="24"/>
          <w:szCs w:val="24"/>
          <w:lang w:val="es-ES"/>
        </w:rPr>
        <w:t>El deudor cuenta con diez (10) días hábiles para oponerse, sin necesidad de motivar su oposición; si se opone, el expediente se remite sin costo alguno a la jurisdicción ordinaria; si guarda silencio, se entiende habilitado el arbitraje para todo el proceso (artículo 42 nuevo).</w:t>
      </w:r>
    </w:p>
    <w:p w14:paraId="53A718A6" w14:textId="77777777" w:rsidR="008731ED" w:rsidRPr="008731ED" w:rsidRDefault="008731ED" w:rsidP="008731ED">
      <w:pPr>
        <w:pStyle w:val="Prrafodelista"/>
        <w:numPr>
          <w:ilvl w:val="0"/>
          <w:numId w:val="11"/>
        </w:numPr>
        <w:pBdr>
          <w:top w:val="nil"/>
          <w:left w:val="nil"/>
          <w:bottom w:val="nil"/>
          <w:right w:val="nil"/>
          <w:between w:val="nil"/>
        </w:pBdr>
        <w:spacing w:after="0" w:line="240" w:lineRule="auto"/>
        <w:jc w:val="both"/>
        <w:rPr>
          <w:rFonts w:ascii="Aptos" w:hAnsi="Aptos" w:cs="Arial"/>
          <w:sz w:val="24"/>
          <w:szCs w:val="24"/>
          <w:lang w:val="es-ES"/>
        </w:rPr>
      </w:pPr>
      <w:r w:rsidRPr="008731ED">
        <w:rPr>
          <w:rFonts w:ascii="Aptos" w:hAnsi="Aptos" w:cs="Arial"/>
          <w:sz w:val="24"/>
          <w:szCs w:val="24"/>
          <w:lang w:val="es-ES"/>
        </w:rPr>
        <w:t>Cuando el deudor tenga la calidad de consumidor, se le debe suministrar información reforzada adicional sobre costos, diferencias entre las vías arbitral y ordinaria, y el carácter irrenunciable de sus derechos (artículo 43 nuevo).</w:t>
      </w:r>
    </w:p>
    <w:p w14:paraId="4C6974D7" w14:textId="77777777" w:rsidR="008731ED" w:rsidRPr="008731ED" w:rsidRDefault="008731ED" w:rsidP="008731ED">
      <w:pPr>
        <w:pStyle w:val="Prrafodelista"/>
        <w:numPr>
          <w:ilvl w:val="0"/>
          <w:numId w:val="11"/>
        </w:numPr>
        <w:pBdr>
          <w:top w:val="nil"/>
          <w:left w:val="nil"/>
          <w:bottom w:val="nil"/>
          <w:right w:val="nil"/>
          <w:between w:val="nil"/>
        </w:pBdr>
        <w:spacing w:after="0" w:line="240" w:lineRule="auto"/>
        <w:jc w:val="both"/>
        <w:rPr>
          <w:rFonts w:ascii="Aptos" w:hAnsi="Aptos" w:cs="Arial"/>
          <w:sz w:val="24"/>
          <w:szCs w:val="24"/>
          <w:lang w:val="es-ES"/>
        </w:rPr>
      </w:pPr>
      <w:r w:rsidRPr="008731ED">
        <w:rPr>
          <w:rFonts w:ascii="Aptos" w:hAnsi="Aptos" w:cs="Arial"/>
          <w:sz w:val="24"/>
          <w:szCs w:val="24"/>
          <w:lang w:val="es-ES"/>
        </w:rPr>
        <w:t xml:space="preserve">Se establece un régimen sancionatorio administrativo, disciplinario, civil y penal para los centros de arbitraje o acreedores que omitan la información </w:t>
      </w:r>
      <w:r w:rsidRPr="008731ED">
        <w:rPr>
          <w:rFonts w:ascii="Aptos" w:hAnsi="Aptos" w:cs="Arial"/>
          <w:sz w:val="24"/>
          <w:szCs w:val="24"/>
          <w:lang w:val="es-ES"/>
        </w:rPr>
        <w:lastRenderedPageBreak/>
        <w:t>debida o que impidan el conocimiento efectivo de la notificación por el deudor (artículo 44 nuevo).</w:t>
      </w:r>
    </w:p>
    <w:p w14:paraId="04B44276" w14:textId="77777777" w:rsidR="008731ED" w:rsidRPr="008731ED" w:rsidRDefault="008731ED" w:rsidP="008731ED">
      <w:pPr>
        <w:pStyle w:val="Prrafodelista"/>
        <w:numPr>
          <w:ilvl w:val="0"/>
          <w:numId w:val="11"/>
        </w:numPr>
        <w:pBdr>
          <w:top w:val="nil"/>
          <w:left w:val="nil"/>
          <w:bottom w:val="nil"/>
          <w:right w:val="nil"/>
          <w:between w:val="nil"/>
        </w:pBdr>
        <w:spacing w:after="0" w:line="240" w:lineRule="auto"/>
        <w:jc w:val="both"/>
        <w:rPr>
          <w:rFonts w:ascii="Aptos" w:hAnsi="Aptos" w:cs="Arial"/>
          <w:sz w:val="24"/>
          <w:szCs w:val="24"/>
          <w:lang w:val="es-ES"/>
        </w:rPr>
      </w:pPr>
      <w:r w:rsidRPr="008731ED">
        <w:rPr>
          <w:rFonts w:ascii="Aptos" w:hAnsi="Aptos" w:cs="Arial"/>
          <w:sz w:val="24"/>
          <w:szCs w:val="24"/>
          <w:lang w:val="es-ES"/>
        </w:rPr>
        <w:t>Se prevé un régimen de transición que respeta los procesos en curso, tanto en la jurisdicción ordinaria como en los ya iniciados con pacto arbitral, y una vigencia inmediata a partir de la promulgación (artículos 7° y 8°).</w:t>
      </w:r>
    </w:p>
    <w:p w14:paraId="126660FE" w14:textId="77777777" w:rsidR="008731ED" w:rsidRPr="008731ED" w:rsidRDefault="008731ED" w:rsidP="008731ED">
      <w:pPr>
        <w:pBdr>
          <w:top w:val="nil"/>
          <w:left w:val="nil"/>
          <w:bottom w:val="nil"/>
          <w:right w:val="nil"/>
          <w:between w:val="nil"/>
        </w:pBdr>
        <w:spacing w:line="240" w:lineRule="auto"/>
        <w:rPr>
          <w:rFonts w:ascii="Aptos" w:eastAsia="Arial Narrow" w:hAnsi="Aptos" w:cs="Arial"/>
          <w:color w:val="222222"/>
          <w:sz w:val="24"/>
          <w:szCs w:val="24"/>
        </w:rPr>
      </w:pPr>
    </w:p>
    <w:p w14:paraId="7CA3A59E" w14:textId="77777777" w:rsidR="008731ED" w:rsidRPr="008731ED" w:rsidRDefault="008731ED" w:rsidP="008731ED">
      <w:pPr>
        <w:pStyle w:val="Prrafodelista"/>
        <w:numPr>
          <w:ilvl w:val="0"/>
          <w:numId w:val="13"/>
        </w:numPr>
        <w:pBdr>
          <w:top w:val="nil"/>
          <w:left w:val="nil"/>
          <w:bottom w:val="nil"/>
          <w:right w:val="nil"/>
          <w:between w:val="nil"/>
        </w:pBdr>
        <w:spacing w:after="0" w:line="240" w:lineRule="auto"/>
        <w:jc w:val="both"/>
        <w:rPr>
          <w:rFonts w:ascii="Aptos" w:eastAsia="Arial Narrow" w:hAnsi="Aptos" w:cs="Arial"/>
          <w:b/>
          <w:bCs/>
          <w:color w:val="222222"/>
          <w:sz w:val="24"/>
          <w:szCs w:val="24"/>
        </w:rPr>
      </w:pPr>
      <w:r w:rsidRPr="008731ED">
        <w:rPr>
          <w:rFonts w:ascii="Aptos" w:eastAsia="Arial Narrow" w:hAnsi="Aptos" w:cs="Arial"/>
          <w:b/>
          <w:bCs/>
          <w:color w:val="222222"/>
          <w:sz w:val="24"/>
          <w:szCs w:val="24"/>
        </w:rPr>
        <w:t>CONSIDERACIONES DEL PONENTE</w:t>
      </w:r>
    </w:p>
    <w:p w14:paraId="2D15AB31" w14:textId="77777777" w:rsidR="008731ED" w:rsidRPr="008731ED" w:rsidRDefault="008731ED" w:rsidP="008731ED">
      <w:pPr>
        <w:pStyle w:val="Prrafodelista"/>
        <w:numPr>
          <w:ilvl w:val="0"/>
          <w:numId w:val="12"/>
        </w:numPr>
        <w:spacing w:before="100" w:beforeAutospacing="1" w:after="100" w:afterAutospacing="1" w:line="240" w:lineRule="auto"/>
        <w:jc w:val="both"/>
        <w:rPr>
          <w:rFonts w:ascii="Aptos" w:hAnsi="Aptos" w:cs="Arial"/>
          <w:sz w:val="24"/>
          <w:szCs w:val="24"/>
        </w:rPr>
      </w:pPr>
      <w:r w:rsidRPr="008731ED">
        <w:rPr>
          <w:rFonts w:ascii="Aptos" w:hAnsi="Aptos" w:cs="Arial"/>
          <w:b/>
          <w:bCs/>
          <w:sz w:val="24"/>
          <w:szCs w:val="24"/>
        </w:rPr>
        <w:t>Pertinencia frente a la congestión judicial</w:t>
      </w:r>
      <w:r w:rsidRPr="008731ED">
        <w:rPr>
          <w:rFonts w:ascii="Aptos" w:hAnsi="Aptos" w:cs="Arial"/>
          <w:sz w:val="24"/>
          <w:szCs w:val="24"/>
        </w:rPr>
        <w:t>.</w:t>
      </w:r>
    </w:p>
    <w:p w14:paraId="335535F7" w14:textId="77777777" w:rsidR="008731ED" w:rsidRPr="00E903CA" w:rsidRDefault="008731ED" w:rsidP="008731ED">
      <w:pPr>
        <w:spacing w:before="100" w:beforeAutospacing="1" w:after="100" w:afterAutospacing="1" w:line="240" w:lineRule="auto"/>
        <w:jc w:val="both"/>
        <w:rPr>
          <w:rFonts w:ascii="Aptos" w:hAnsi="Aptos" w:cs="Arial"/>
          <w:sz w:val="24"/>
          <w:szCs w:val="24"/>
          <w:lang w:val="es-ES"/>
        </w:rPr>
      </w:pPr>
      <w:r w:rsidRPr="00E903CA">
        <w:rPr>
          <w:rFonts w:ascii="Aptos" w:hAnsi="Aptos" w:cs="Arial"/>
          <w:sz w:val="24"/>
          <w:szCs w:val="24"/>
          <w:lang w:val="es-ES"/>
        </w:rPr>
        <w:t>La exposición de motivos documenta, con fundamento en el Informe Ejecutivo de la Rama Judicial al Congreso correspondiente a 2024, que la jurisdicción ordinaria enfrenta una carga superior a 1,8 millones de procesos y un índice de congestión cercano al 78 %. En este contexto, los procesos ejecutivos representan un volumen significativo dentro de la especialidad civil, pese a que, por recaer sobre obligaciones claras, expresas y exigibles, presentan características que permiten su tramitación mediante mecanismos alternativos y expeditos de solución de controversias, como el arbitraje institucional.</w:t>
      </w:r>
    </w:p>
    <w:p w14:paraId="6704234A" w14:textId="77777777" w:rsidR="008731ED" w:rsidRPr="008731ED" w:rsidRDefault="008731ED" w:rsidP="008731ED">
      <w:pPr>
        <w:spacing w:before="100" w:beforeAutospacing="1" w:after="100" w:afterAutospacing="1" w:line="240" w:lineRule="auto"/>
        <w:jc w:val="both"/>
        <w:rPr>
          <w:rFonts w:ascii="Aptos" w:hAnsi="Aptos" w:cs="Arial"/>
          <w:sz w:val="24"/>
          <w:szCs w:val="24"/>
          <w:lang w:val="es-ES"/>
        </w:rPr>
      </w:pPr>
      <w:r w:rsidRPr="00E903CA">
        <w:rPr>
          <w:rFonts w:ascii="Aptos" w:hAnsi="Aptos" w:cs="Arial"/>
          <w:sz w:val="24"/>
          <w:szCs w:val="24"/>
          <w:lang w:val="es-ES"/>
        </w:rPr>
        <w:t>Esta posibilidad adquiere especial relevancia si se tiene en cuenta que el artículo 13 de la Ley 2540 de 2025 establece un término máximo de doce (12) meses para la duración del trámite arbitral. En consecuencia, la ampliación propuesta resulta coherente con la finalidad de descongestión judicial que inspiró dicha ley y permite fortalecer significativamente su alcance práctico. En efecto, la exigencia vigente de que exista un pacto arbitral previo limita la aplicación de este mecanismo a aquellos casos en los que las partes hayan convenido anticipadamente acudir al arbitraje, dejando por fuera una proporción considerable de los títulos ejecutivos que se generan y circulan en la economía nacional.</w:t>
      </w:r>
    </w:p>
    <w:p w14:paraId="24CAB091" w14:textId="77777777" w:rsidR="008731ED" w:rsidRPr="008731ED" w:rsidRDefault="008731ED" w:rsidP="008731ED">
      <w:pPr>
        <w:pStyle w:val="Prrafodelista"/>
        <w:numPr>
          <w:ilvl w:val="0"/>
          <w:numId w:val="12"/>
        </w:numPr>
        <w:spacing w:before="100" w:beforeAutospacing="1" w:after="100" w:afterAutospacing="1" w:line="240" w:lineRule="auto"/>
        <w:jc w:val="both"/>
        <w:rPr>
          <w:rFonts w:ascii="Aptos" w:hAnsi="Aptos" w:cs="Arial"/>
          <w:b/>
          <w:bCs/>
          <w:sz w:val="24"/>
          <w:szCs w:val="24"/>
          <w:lang w:val="es-ES"/>
        </w:rPr>
      </w:pPr>
      <w:r w:rsidRPr="008731ED">
        <w:rPr>
          <w:rFonts w:ascii="Aptos" w:hAnsi="Aptos" w:cs="Arial"/>
          <w:b/>
          <w:bCs/>
          <w:sz w:val="24"/>
          <w:szCs w:val="24"/>
          <w:lang w:val="es-ES"/>
        </w:rPr>
        <w:t>Compatibilidad con el Artículo 116 de la Constitución Política</w:t>
      </w:r>
      <w:r w:rsidRPr="008731ED">
        <w:rPr>
          <w:rFonts w:ascii="Aptos" w:hAnsi="Aptos" w:cs="Arial"/>
          <w:sz w:val="24"/>
          <w:szCs w:val="24"/>
          <w:lang w:val="es-ES"/>
        </w:rPr>
        <w:t>.</w:t>
      </w:r>
    </w:p>
    <w:p w14:paraId="0EE4669F" w14:textId="77777777" w:rsidR="008731ED" w:rsidRPr="00E903CA" w:rsidRDefault="008731ED" w:rsidP="008731ED">
      <w:pPr>
        <w:spacing w:before="100" w:beforeAutospacing="1" w:after="100" w:afterAutospacing="1" w:line="240" w:lineRule="auto"/>
        <w:jc w:val="both"/>
        <w:rPr>
          <w:rFonts w:ascii="Aptos" w:hAnsi="Aptos" w:cs="Arial"/>
          <w:sz w:val="24"/>
          <w:szCs w:val="24"/>
          <w:lang w:val="es-ES"/>
        </w:rPr>
      </w:pPr>
      <w:r w:rsidRPr="00E903CA">
        <w:rPr>
          <w:rFonts w:ascii="Aptos" w:hAnsi="Aptos" w:cs="Arial"/>
          <w:sz w:val="24"/>
          <w:szCs w:val="24"/>
          <w:lang w:val="es-ES"/>
        </w:rPr>
        <w:t>El principal riesgo jurídico que plantea cualquier iniciativa orientada a ampliar la procedencia del arbitraje ejecutivo en ausencia de un pacto arbitral previo consiste en su eventual tensión con el principio de voluntariedad que, de manera reiterada, ha sido reconocido por la Corte Constitucional como elemento esencial de la justicia arbitral y fundamento de la habilitación prevista en el artículo 116 de la Constitución Política. En este sentido, las Sentencias C-294 de 1995, C-1038 de 2002, C-378 de 2008 y C-035 de 2008 han destacado que la atribución de funciones jurisdiccionales a los particulares que ejercen como árbitros encuentra su fundamento en la decisión de las partes de acudir a este mecanismo alternativo de solución de controversias.</w:t>
      </w:r>
    </w:p>
    <w:p w14:paraId="6B41A139" w14:textId="77777777" w:rsidR="008731ED" w:rsidRPr="00E903CA" w:rsidRDefault="008731ED" w:rsidP="008731ED">
      <w:pPr>
        <w:spacing w:before="100" w:beforeAutospacing="1" w:after="100" w:afterAutospacing="1" w:line="240" w:lineRule="auto"/>
        <w:jc w:val="both"/>
        <w:rPr>
          <w:rFonts w:ascii="Aptos" w:hAnsi="Aptos" w:cs="Arial"/>
          <w:sz w:val="24"/>
          <w:szCs w:val="24"/>
          <w:lang w:val="es-ES"/>
        </w:rPr>
      </w:pPr>
      <w:r w:rsidRPr="00E903CA">
        <w:rPr>
          <w:rFonts w:ascii="Aptos" w:hAnsi="Aptos" w:cs="Arial"/>
          <w:sz w:val="24"/>
          <w:szCs w:val="24"/>
          <w:lang w:val="es-ES"/>
        </w:rPr>
        <w:t xml:space="preserve">Este parámetro constitucional adquiere particular relevancia cuando se pretende habilitar el arbitraje sin que exista un pacto arbitral celebrado con anterioridad a la </w:t>
      </w:r>
      <w:r w:rsidRPr="00E903CA">
        <w:rPr>
          <w:rFonts w:ascii="Aptos" w:hAnsi="Aptos" w:cs="Arial"/>
          <w:sz w:val="24"/>
          <w:szCs w:val="24"/>
          <w:lang w:val="es-ES"/>
        </w:rPr>
        <w:lastRenderedPageBreak/>
        <w:t>controversia. En estos casos, el diseño legislativo debe garantizar que el acceso a la justicia arbitral no se convierta en una decisión unilateral de una de las partes que termine privando a la otra de la posibilidad de escoger el mecanismo mediante el cual será resuelta la controversia. Por ello, la regulación debe establecer condiciones claras que permitan al sujeto frente al cual se promueve la ejecución conocer de manera suficiente la existencia del trámite arbitral, comprender las consecuencias jurídicas de su eventual silencio y ejercer, de manera efectiva y oportuna, su derecho a oponerse.</w:t>
      </w:r>
    </w:p>
    <w:p w14:paraId="4FD30224" w14:textId="77777777" w:rsidR="008731ED" w:rsidRPr="00E903CA" w:rsidRDefault="008731ED" w:rsidP="008731ED">
      <w:pPr>
        <w:spacing w:before="100" w:beforeAutospacing="1" w:after="100" w:afterAutospacing="1" w:line="240" w:lineRule="auto"/>
        <w:jc w:val="both"/>
        <w:rPr>
          <w:rFonts w:ascii="Aptos" w:hAnsi="Aptos" w:cs="Arial"/>
          <w:sz w:val="24"/>
          <w:szCs w:val="24"/>
          <w:lang w:val="es-ES"/>
        </w:rPr>
      </w:pPr>
      <w:r w:rsidRPr="00E903CA">
        <w:rPr>
          <w:rFonts w:ascii="Aptos" w:hAnsi="Aptos" w:cs="Arial"/>
          <w:sz w:val="24"/>
          <w:szCs w:val="24"/>
          <w:lang w:val="es-ES"/>
        </w:rPr>
        <w:t>El precedente más exigente en esta materia se encuentra en la Sentencia C-1149 de 2000, mediante la cual la Corte Constitucional declaró inexequibles determinadas disposiciones de la Ley 546 de 1999 relacionadas con la ejecución arbitral de obligaciones hipotecarias. La relevancia de esta decisión no radica en que la Corte haya considerado constitucionalmente inadmisible el arbitraje en materia ejecutiva, sino en que cuestionó un diseño normativo que permitía someter al deudor a un procedimiento arbitral por la sola voluntad unilateral del acreedor, sin que aquel contara con una oportunidad efectiva para manifestar su consentimiento o rechazar dicha vía de solución de la controversia. El problema constitucional, por tanto, estuvo asociado a la ausencia de una posibilidad real de participación del deudor en la habilitación de la jurisdicción arbitral.</w:t>
      </w:r>
    </w:p>
    <w:p w14:paraId="6D05F146" w14:textId="77777777" w:rsidR="008731ED" w:rsidRPr="00E903CA" w:rsidRDefault="008731ED" w:rsidP="008731ED">
      <w:pPr>
        <w:spacing w:before="100" w:beforeAutospacing="1" w:after="100" w:afterAutospacing="1" w:line="240" w:lineRule="auto"/>
        <w:jc w:val="both"/>
        <w:rPr>
          <w:rFonts w:ascii="Aptos" w:hAnsi="Aptos" w:cs="Arial"/>
          <w:sz w:val="24"/>
          <w:szCs w:val="24"/>
          <w:lang w:val="es-ES"/>
        </w:rPr>
      </w:pPr>
      <w:r w:rsidRPr="00E903CA">
        <w:rPr>
          <w:rFonts w:ascii="Aptos" w:hAnsi="Aptos" w:cs="Arial"/>
          <w:sz w:val="24"/>
          <w:szCs w:val="24"/>
          <w:lang w:val="es-ES"/>
        </w:rPr>
        <w:t>El proyecto bajo estudio parte de una lógica sustancialmente distinta. La propuesta no pretende que el arbitraje quede habilitado de manera automática por la sola decisión del acreedor de presentar una demanda ejecutiva ante un centro de arbitraje. Por el contrario, establece un mecanismo de información y oposición destinado a garantizar que el deudor conozca previamente la existencia del trámite, la posibilidad de acudir a la jurisdicción ordinaria y las consecuencias que se derivarían de no ejercer oportunamente su derecho de oposición. La habilitación definitiva del tribunal se encuentra, así, condicionada a que el deudor, una vez debidamente informado, disponga de una oportunidad cierta, efectiva y gratuita para manifestar su voluntad de no someter la controversia al arbitraje.</w:t>
      </w:r>
    </w:p>
    <w:p w14:paraId="1805EE3D" w14:textId="77777777" w:rsidR="008731ED" w:rsidRPr="00E903CA" w:rsidRDefault="008731ED" w:rsidP="008731ED">
      <w:pPr>
        <w:spacing w:before="100" w:beforeAutospacing="1" w:after="100" w:afterAutospacing="1" w:line="240" w:lineRule="auto"/>
        <w:jc w:val="both"/>
        <w:rPr>
          <w:rFonts w:ascii="Aptos" w:hAnsi="Aptos" w:cs="Arial"/>
          <w:sz w:val="24"/>
          <w:szCs w:val="24"/>
          <w:lang w:val="es-ES"/>
        </w:rPr>
      </w:pPr>
      <w:r w:rsidRPr="00E903CA">
        <w:rPr>
          <w:rFonts w:ascii="Aptos" w:hAnsi="Aptos" w:cs="Arial"/>
          <w:sz w:val="24"/>
          <w:szCs w:val="24"/>
          <w:lang w:val="es-ES"/>
        </w:rPr>
        <w:t>En particular, la propuesta contempla una notificación reforzada y un término determinado de diez (10) días hábiles para que el deudor pueda ejercer su derecho de oposición, sin que para ello deba asumir costos, acreditar una causa específica o satisfacer cargas adicionales distintas de la manifestación expresa de su voluntad de no continuar por la vía arbitral. De esta manera, el silencio del deudor no opera como una manifestación unilateralmente presumida desde el inicio del proceso, sino dentro de un procedimiento previamente establecido en el que se le garantiza información suficiente y una oportunidad real para ejercer su derecho de elección.</w:t>
      </w:r>
    </w:p>
    <w:p w14:paraId="36914B8A" w14:textId="77777777" w:rsidR="008731ED" w:rsidRPr="00E903CA" w:rsidRDefault="008731ED" w:rsidP="008731ED">
      <w:pPr>
        <w:spacing w:before="100" w:beforeAutospacing="1" w:after="100" w:afterAutospacing="1" w:line="240" w:lineRule="auto"/>
        <w:jc w:val="both"/>
        <w:rPr>
          <w:rFonts w:ascii="Aptos" w:hAnsi="Aptos" w:cs="Arial"/>
          <w:sz w:val="24"/>
          <w:szCs w:val="24"/>
          <w:lang w:val="es-ES"/>
        </w:rPr>
      </w:pPr>
      <w:r w:rsidRPr="00E903CA">
        <w:rPr>
          <w:rFonts w:ascii="Aptos" w:hAnsi="Aptos" w:cs="Arial"/>
          <w:sz w:val="24"/>
          <w:szCs w:val="24"/>
          <w:lang w:val="es-ES"/>
        </w:rPr>
        <w:lastRenderedPageBreak/>
        <w:t>Bajo esta estructura, la propuesta busca conciliar dos intereses constitucionalmente relevantes: de un lado, la protección del principio de voluntariedad que caracteriza la jurisdicción arbitral y, de otro, la necesidad de establecer mecanismos eficaces que contribuyan a la descongestión de la administración de justicia y permitan resolver de manera célere controversias relativas a obligaciones claras, expresas y exigibles. La ausencia de un pacto arbitral previo no se convierte, entonces, en una habilitación automática e irrevocable de la jurisdicción arbitral, sino en el punto de partida de un procedimiento en el que el deudor conserva una posibilidad efectiva de excluirse de dicha vía.</w:t>
      </w:r>
    </w:p>
    <w:p w14:paraId="7F0BBB81" w14:textId="77777777" w:rsidR="008731ED" w:rsidRPr="00E903CA" w:rsidRDefault="008731ED" w:rsidP="008731ED">
      <w:pPr>
        <w:spacing w:before="100" w:beforeAutospacing="1" w:after="100" w:afterAutospacing="1" w:line="240" w:lineRule="auto"/>
        <w:jc w:val="both"/>
        <w:rPr>
          <w:rFonts w:ascii="Aptos" w:hAnsi="Aptos" w:cs="Arial"/>
          <w:sz w:val="24"/>
          <w:szCs w:val="24"/>
          <w:lang w:val="es-ES"/>
        </w:rPr>
      </w:pPr>
      <w:r w:rsidRPr="00E903CA">
        <w:rPr>
          <w:rFonts w:ascii="Aptos" w:hAnsi="Aptos" w:cs="Arial"/>
          <w:sz w:val="24"/>
          <w:szCs w:val="24"/>
          <w:lang w:val="es-ES"/>
        </w:rPr>
        <w:t>Adicionalmente, este diseño encuentra un referente legislativo cercano en la propia Ley 2540 de 2025, cuyo artículo 5°, parágrafo 1°, contempla un mecanismo de protección frente a determinadas situaciones en las que el consumidor no fue debidamente informado sobre la existencia o alcance del pacto arbitral. La existencia de este antecedente demuestra que el ordenamiento jurídico ya contempla mecanismos en los cuales la conducta procesal posterior a una información adecuada puede producir efectos respecto de la habilitación del arbitraje, siempre que se preserven las garantías de información, oportunidad y libertad de decisión.</w:t>
      </w:r>
    </w:p>
    <w:p w14:paraId="002543EC" w14:textId="77777777" w:rsidR="008731ED" w:rsidRPr="00E903CA" w:rsidRDefault="008731ED" w:rsidP="008731ED">
      <w:pPr>
        <w:spacing w:before="100" w:beforeAutospacing="1" w:after="100" w:afterAutospacing="1" w:line="240" w:lineRule="auto"/>
        <w:jc w:val="both"/>
        <w:rPr>
          <w:rFonts w:ascii="Aptos" w:hAnsi="Aptos" w:cs="Arial"/>
          <w:sz w:val="24"/>
          <w:szCs w:val="24"/>
          <w:lang w:val="es-ES"/>
        </w:rPr>
      </w:pPr>
      <w:r w:rsidRPr="00E903CA">
        <w:rPr>
          <w:rFonts w:ascii="Aptos" w:hAnsi="Aptos" w:cs="Arial"/>
          <w:sz w:val="24"/>
          <w:szCs w:val="24"/>
          <w:lang w:val="es-ES"/>
        </w:rPr>
        <w:t>En consecuencia, el proyecto busca satisfacer las exigencias derivadas del artículo 116 de la Constitución mediante un modelo en el que la intervención del tribunal arbitral no depende exclusivamente de la voluntad inicial del acreedor, sino de la posibilidad efectiva del deudor de oponerse a dicha vía una vez haya sido debidamente informado. La propuesta puede entenderse, en este sentido, como un mecanismo de habilitación posterior sujeto a una oportunidad real de oposición, y no como una imposición unilateral del arbitraje por parte de uno de los sujetos de la relación jurídica.</w:t>
      </w:r>
    </w:p>
    <w:p w14:paraId="30AB522F" w14:textId="77777777" w:rsidR="008731ED" w:rsidRPr="00E903CA" w:rsidRDefault="008731ED" w:rsidP="008731ED">
      <w:pPr>
        <w:spacing w:before="100" w:beforeAutospacing="1" w:after="100" w:afterAutospacing="1" w:line="240" w:lineRule="auto"/>
        <w:jc w:val="both"/>
        <w:rPr>
          <w:rFonts w:ascii="Aptos" w:hAnsi="Aptos" w:cs="Arial"/>
          <w:sz w:val="24"/>
          <w:szCs w:val="24"/>
          <w:lang w:val="es-ES"/>
        </w:rPr>
      </w:pPr>
      <w:r w:rsidRPr="00E903CA">
        <w:rPr>
          <w:rFonts w:ascii="Aptos" w:hAnsi="Aptos" w:cs="Arial"/>
          <w:sz w:val="24"/>
          <w:szCs w:val="24"/>
          <w:lang w:val="es-ES"/>
        </w:rPr>
        <w:t>No obstante, precisamente por tratarse de un aspecto constitucionalmente sensible, resulta conveniente que la regulación incorpore las mayores garantías posibles para asegurar que la oportunidad de oposición sea real y no meramente formal. Por esta razón, el pliego de modificaciones que acompaña el proyecto propone reforzar las reglas relativas a la información al deudor, la notificación, el término para ejercer la oposición y las consecuencias de su ejercicio, con el propósito de reducir cualquier riesgo de afectación del principio de voluntariedad y asegurar que la habilitación del tribunal arbitral se produzca dentro de un marco compatible con el artículo 116 de la Constitución Política.</w:t>
      </w:r>
    </w:p>
    <w:p w14:paraId="377C9750" w14:textId="77777777" w:rsidR="008731ED" w:rsidRPr="008731ED" w:rsidRDefault="008731ED" w:rsidP="008731ED">
      <w:pPr>
        <w:pStyle w:val="Prrafodelista"/>
        <w:numPr>
          <w:ilvl w:val="0"/>
          <w:numId w:val="12"/>
        </w:numPr>
        <w:spacing w:before="100" w:beforeAutospacing="1" w:after="100" w:afterAutospacing="1" w:line="240" w:lineRule="auto"/>
        <w:jc w:val="both"/>
        <w:rPr>
          <w:rFonts w:ascii="Aptos" w:hAnsi="Aptos" w:cs="Arial"/>
          <w:sz w:val="24"/>
          <w:szCs w:val="24"/>
        </w:rPr>
      </w:pPr>
      <w:r w:rsidRPr="008731ED">
        <w:rPr>
          <w:rFonts w:ascii="Aptos" w:hAnsi="Aptos" w:cs="Arial"/>
          <w:b/>
          <w:bCs/>
          <w:sz w:val="24"/>
          <w:szCs w:val="24"/>
        </w:rPr>
        <w:t>Protección del deudor y del consumidor</w:t>
      </w:r>
      <w:r w:rsidRPr="008731ED">
        <w:rPr>
          <w:rFonts w:ascii="Aptos" w:hAnsi="Aptos" w:cs="Arial"/>
          <w:sz w:val="24"/>
          <w:szCs w:val="24"/>
        </w:rPr>
        <w:t xml:space="preserve">. </w:t>
      </w:r>
    </w:p>
    <w:p w14:paraId="41C5AFCE" w14:textId="77777777" w:rsidR="008731ED" w:rsidRPr="00E903CA" w:rsidRDefault="008731ED" w:rsidP="008731ED">
      <w:pPr>
        <w:spacing w:before="100" w:beforeAutospacing="1" w:after="100" w:afterAutospacing="1" w:line="240" w:lineRule="auto"/>
        <w:jc w:val="both"/>
        <w:rPr>
          <w:rFonts w:ascii="Aptos" w:hAnsi="Aptos" w:cs="Arial"/>
          <w:sz w:val="24"/>
          <w:szCs w:val="24"/>
          <w:lang w:val="es-ES"/>
        </w:rPr>
      </w:pPr>
      <w:r w:rsidRPr="00E903CA">
        <w:rPr>
          <w:rFonts w:ascii="Aptos" w:hAnsi="Aptos" w:cs="Arial"/>
          <w:sz w:val="24"/>
          <w:szCs w:val="24"/>
          <w:lang w:val="es-ES"/>
        </w:rPr>
        <w:t xml:space="preserve">El proyecto no se limita a establecer la posibilidad de que el arbitraje se habilite ante la ausencia de una oposición expresa del deudor. Por el contrario, construye un </w:t>
      </w:r>
      <w:r w:rsidRPr="00E903CA">
        <w:rPr>
          <w:rFonts w:ascii="Aptos" w:hAnsi="Aptos" w:cs="Arial"/>
          <w:sz w:val="24"/>
          <w:szCs w:val="24"/>
          <w:lang w:val="es-ES"/>
        </w:rPr>
        <w:lastRenderedPageBreak/>
        <w:t>conjunto de garantías orientadas a asegurar que dicha habilitación solo pueda producirse después de que el deudor haya contado con una oportunidad real, suficiente y efectiva para conocer la existencia del trámite y decidir si acepta o rechaza la vía arbitral. En este sentido, la propuesta establece como presupuesto una notificación cualificada, acompañada de información clara sobre la naturaleza del procedimiento, sus efectos y el derecho que le asiste al deudor para oponerse dentro del término legalmente establecido.</w:t>
      </w:r>
    </w:p>
    <w:p w14:paraId="57F64036" w14:textId="77777777" w:rsidR="008731ED" w:rsidRPr="00E903CA" w:rsidRDefault="008731ED" w:rsidP="008731ED">
      <w:pPr>
        <w:spacing w:before="100" w:beforeAutospacing="1" w:after="100" w:afterAutospacing="1" w:line="240" w:lineRule="auto"/>
        <w:jc w:val="both"/>
        <w:rPr>
          <w:rFonts w:ascii="Aptos" w:hAnsi="Aptos" w:cs="Arial"/>
          <w:sz w:val="24"/>
          <w:szCs w:val="24"/>
          <w:lang w:val="es-ES"/>
        </w:rPr>
      </w:pPr>
      <w:r w:rsidRPr="00E903CA">
        <w:rPr>
          <w:rFonts w:ascii="Aptos" w:hAnsi="Aptos" w:cs="Arial"/>
          <w:sz w:val="24"/>
          <w:szCs w:val="24"/>
          <w:lang w:val="es-ES"/>
        </w:rPr>
        <w:t>A esta garantía de información se suma la gratuidad del ejercicio del derecho de oposición. El deudor no debe asumir costos, cargas económicas o exigencias adicionales para manifestar su voluntad de que la controversia continúe ante la jurisdicción ordinaria. Esta previsión resulta particularmente relevante, pues una alternativa de oposición que estuviera condicionada al pago de una tarifa, a la contratación obligatoria de un profesional o al cumplimiento de cargas desproporcionadas podría convertir en meramente formal la posibilidad de elección que el proyecto pretende garantizar. La gratuidad permite, por el contrario, que la decisión del deudor dependa de su voluntad y no de su capacidad económica.</w:t>
      </w:r>
    </w:p>
    <w:p w14:paraId="1D0A314F" w14:textId="77777777" w:rsidR="008731ED" w:rsidRPr="00E903CA" w:rsidRDefault="008731ED" w:rsidP="008731ED">
      <w:pPr>
        <w:spacing w:before="100" w:beforeAutospacing="1" w:after="100" w:afterAutospacing="1" w:line="240" w:lineRule="auto"/>
        <w:jc w:val="both"/>
        <w:rPr>
          <w:rFonts w:ascii="Aptos" w:hAnsi="Aptos" w:cs="Arial"/>
          <w:sz w:val="24"/>
          <w:szCs w:val="24"/>
          <w:lang w:val="es-ES"/>
        </w:rPr>
      </w:pPr>
      <w:r w:rsidRPr="00E903CA">
        <w:rPr>
          <w:rFonts w:ascii="Aptos" w:hAnsi="Aptos" w:cs="Arial"/>
          <w:sz w:val="24"/>
          <w:szCs w:val="24"/>
          <w:lang w:val="es-ES"/>
        </w:rPr>
        <w:t>El proyecto incorpora, además, un mecanismo específico de protección frente a posibles actuaciones encaminadas a obtener una habilitación arbitral irregular. El artículo 44 establece un régimen sancionatorio autónomo aplicable a los centros de arbitraje o a los acreedores que incurran en conductas dirigidas a alterar, ocultar, manipular o dificultar la notificación al deudor con el propósito de hacer producir efectos jurídicos a un silencio que no haya sido precedido de una información efectiva. Esta previsión cumple una función preventiva y de integridad del procedimiento, en la medida en que impide que la habilitación tácita pueda convertirse en un incentivo para prácticas destinadas a impedir el ejercicio informado del derecho de oposición.</w:t>
      </w:r>
    </w:p>
    <w:p w14:paraId="2B126770" w14:textId="77777777" w:rsidR="008731ED" w:rsidRPr="00E903CA" w:rsidRDefault="008731ED" w:rsidP="008731ED">
      <w:pPr>
        <w:spacing w:before="100" w:beforeAutospacing="1" w:after="100" w:afterAutospacing="1" w:line="240" w:lineRule="auto"/>
        <w:jc w:val="both"/>
        <w:rPr>
          <w:rFonts w:ascii="Aptos" w:hAnsi="Aptos" w:cs="Arial"/>
          <w:sz w:val="24"/>
          <w:szCs w:val="24"/>
          <w:lang w:val="es-ES"/>
        </w:rPr>
      </w:pPr>
      <w:r w:rsidRPr="00E903CA">
        <w:rPr>
          <w:rFonts w:ascii="Aptos" w:hAnsi="Aptos" w:cs="Arial"/>
          <w:sz w:val="24"/>
          <w:szCs w:val="24"/>
          <w:lang w:val="es-ES"/>
        </w:rPr>
        <w:t>De manera complementaria, el artículo 43 extiende a estos procesos las garantías reforzadas de información que la Ley 2540 de 2025 ya contempla para los deudores que ostenten la condición de consumidores, en armonía con las disposiciones de protección al consumidor previstas en la Ley 1480 de 2011. Con ello, el proyecto parte de un estándar de información que ya ha sido incorporado por el legislador para determinadas relaciones jurídicas y lo proyecta al ámbito de los procesos ejecutivos en los que se pretende habilitar el arbitraje sin un pacto arbitral previo.</w:t>
      </w:r>
    </w:p>
    <w:p w14:paraId="7C16EEF4" w14:textId="77777777" w:rsidR="008731ED" w:rsidRPr="00E903CA" w:rsidRDefault="008731ED" w:rsidP="008731ED">
      <w:pPr>
        <w:spacing w:before="100" w:beforeAutospacing="1" w:after="100" w:afterAutospacing="1" w:line="240" w:lineRule="auto"/>
        <w:jc w:val="both"/>
        <w:rPr>
          <w:rFonts w:ascii="Aptos" w:hAnsi="Aptos" w:cs="Arial"/>
          <w:sz w:val="24"/>
          <w:szCs w:val="24"/>
          <w:lang w:val="es-ES"/>
        </w:rPr>
      </w:pPr>
      <w:r w:rsidRPr="00E903CA">
        <w:rPr>
          <w:rFonts w:ascii="Aptos" w:hAnsi="Aptos" w:cs="Arial"/>
          <w:sz w:val="24"/>
          <w:szCs w:val="24"/>
          <w:lang w:val="es-ES"/>
        </w:rPr>
        <w:t xml:space="preserve">En conjunto, estas disposiciones configuran un sistema de garantías sucesivas y complementarias. La primera barrera es la información adecuada y verificable; la segunda, la existencia de una oportunidad cierta para ejercer la oposición sin costo; y la tercera, la previsión de consecuencias jurídicas frente a cualquier conducta encaminada a frustrar o manipular ese procedimiento. Así, el proyecto no concibe el silencio como una autorización automática e incondicionada, sino como una </w:t>
      </w:r>
      <w:r w:rsidRPr="00E903CA">
        <w:rPr>
          <w:rFonts w:ascii="Aptos" w:hAnsi="Aptos" w:cs="Arial"/>
          <w:sz w:val="24"/>
          <w:szCs w:val="24"/>
          <w:lang w:val="es-ES"/>
        </w:rPr>
        <w:lastRenderedPageBreak/>
        <w:t>consecuencia jurídica que únicamente puede producirse dentro de un procedimiento previamente regulado y rodeado de garantías destinadas a preservar la libertad de decisión del deudor.</w:t>
      </w:r>
    </w:p>
    <w:p w14:paraId="16D9FA7C" w14:textId="77777777" w:rsidR="008731ED" w:rsidRPr="00E903CA" w:rsidRDefault="008731ED" w:rsidP="008731ED">
      <w:pPr>
        <w:spacing w:before="100" w:beforeAutospacing="1" w:after="100" w:afterAutospacing="1" w:line="240" w:lineRule="auto"/>
        <w:jc w:val="both"/>
        <w:rPr>
          <w:rFonts w:ascii="Aptos" w:hAnsi="Aptos" w:cs="Arial"/>
          <w:sz w:val="24"/>
          <w:szCs w:val="24"/>
          <w:lang w:val="es-ES"/>
        </w:rPr>
      </w:pPr>
      <w:r w:rsidRPr="00E903CA">
        <w:rPr>
          <w:rFonts w:ascii="Aptos" w:hAnsi="Aptos" w:cs="Arial"/>
          <w:sz w:val="24"/>
          <w:szCs w:val="24"/>
          <w:lang w:val="es-ES"/>
        </w:rPr>
        <w:t>Este diseño de garantías concéntricas permite conciliar la finalidad de descongestión que persigue la iniciativa con la protección de los derechos del ejecutado y, particularmente, con las exigencias derivadas del principio de voluntariedad de la justicia arbitral. La propuesta procura, de esta manera, que la utilización del arbitraje como mecanismo de descongestión no se traduzca en una disminución de las garantías procesales del deudor, sino en una alternativa adicional cuya habilitación esté acompañada de información suficiente, una oportunidad efectiva de oposición y mecanismos de control frente a eventuales abusos.</w:t>
      </w:r>
    </w:p>
    <w:p w14:paraId="436B137B" w14:textId="77777777" w:rsidR="008731ED" w:rsidRPr="008731ED" w:rsidRDefault="008731ED" w:rsidP="008731ED">
      <w:pPr>
        <w:pStyle w:val="Prrafodelista"/>
        <w:numPr>
          <w:ilvl w:val="0"/>
          <w:numId w:val="12"/>
        </w:numPr>
        <w:spacing w:before="100" w:beforeAutospacing="1" w:after="100" w:afterAutospacing="1" w:line="240" w:lineRule="auto"/>
        <w:jc w:val="both"/>
        <w:rPr>
          <w:rFonts w:ascii="Aptos" w:hAnsi="Aptos" w:cs="Arial"/>
          <w:sz w:val="24"/>
          <w:szCs w:val="24"/>
        </w:rPr>
      </w:pPr>
      <w:r w:rsidRPr="008731ED">
        <w:rPr>
          <w:rFonts w:ascii="Aptos" w:hAnsi="Aptos" w:cs="Arial"/>
          <w:b/>
          <w:bCs/>
          <w:sz w:val="24"/>
          <w:szCs w:val="24"/>
        </w:rPr>
        <w:t>Neutralidad fiscal</w:t>
      </w:r>
      <w:r w:rsidRPr="008731ED">
        <w:rPr>
          <w:rFonts w:ascii="Aptos" w:hAnsi="Aptos" w:cs="Arial"/>
          <w:sz w:val="24"/>
          <w:szCs w:val="24"/>
        </w:rPr>
        <w:t>.</w:t>
      </w:r>
    </w:p>
    <w:p w14:paraId="7DD72481" w14:textId="77777777" w:rsidR="008731ED" w:rsidRPr="00E903CA" w:rsidRDefault="008731ED" w:rsidP="008731ED">
      <w:pPr>
        <w:spacing w:before="100" w:beforeAutospacing="1" w:after="100" w:afterAutospacing="1" w:line="240" w:lineRule="auto"/>
        <w:jc w:val="both"/>
        <w:rPr>
          <w:rFonts w:ascii="Aptos" w:hAnsi="Aptos" w:cs="Arial"/>
          <w:sz w:val="24"/>
          <w:szCs w:val="24"/>
          <w:lang w:val="es-ES"/>
        </w:rPr>
      </w:pPr>
      <w:r w:rsidRPr="00E903CA">
        <w:rPr>
          <w:rFonts w:ascii="Aptos" w:hAnsi="Aptos" w:cs="Arial"/>
          <w:sz w:val="24"/>
          <w:szCs w:val="24"/>
          <w:lang w:val="es-ES"/>
        </w:rPr>
        <w:t>De conformidad con lo dispuesto en el artículo 7° de la Ley 819 de 2003, el proyecto no genera impacto fiscal para la Nación ni para las entidades territoriales, en la medida en que las disposiciones propuestas no crean gastos, apropiaciones presupuestales ni obligaciones económicas a cargo del erario. La iniciativa se limita a establecer reglas adicionales para la procedencia y tramitación del arbitraje ejecutivo, mecanismo cuya financiación corresponde a las partes que acuden a él, de conformidad con el régimen de costos previsto en el artículo 16 de la Ley 2540 de 2025.</w:t>
      </w:r>
    </w:p>
    <w:p w14:paraId="41A06C5D" w14:textId="77777777" w:rsidR="008731ED" w:rsidRPr="00E903CA" w:rsidRDefault="008731ED" w:rsidP="008731ED">
      <w:pPr>
        <w:spacing w:before="100" w:beforeAutospacing="1" w:after="100" w:afterAutospacing="1" w:line="240" w:lineRule="auto"/>
        <w:jc w:val="both"/>
        <w:rPr>
          <w:rFonts w:ascii="Aptos" w:hAnsi="Aptos" w:cs="Arial"/>
          <w:sz w:val="24"/>
          <w:szCs w:val="24"/>
          <w:lang w:val="es-ES"/>
        </w:rPr>
      </w:pPr>
      <w:r w:rsidRPr="00E903CA">
        <w:rPr>
          <w:rFonts w:ascii="Aptos" w:hAnsi="Aptos" w:cs="Arial"/>
          <w:sz w:val="24"/>
          <w:szCs w:val="24"/>
          <w:lang w:val="es-ES"/>
        </w:rPr>
        <w:t>En particular, la ampliación de la posibilidad de acudir al arbitraje ejecutivo, aun en ausencia de pacto arbitral previo, no supone la creación de una nueva estructura administrativa, planta de personal, dependencia pública o fuente de gasto estatal. Se trata de una modificación al régimen jurídico aplicable a un mecanismo alternativo de solución de controversias cuya operación se desarrolla a través de los centros de arbitraje y de los particulares que intervienen en el trámite, bajo las condiciones establecidas por la ley.</w:t>
      </w:r>
    </w:p>
    <w:p w14:paraId="4269FD3B" w14:textId="77777777" w:rsidR="008731ED" w:rsidRPr="00E903CA" w:rsidRDefault="008731ED" w:rsidP="008731ED">
      <w:pPr>
        <w:spacing w:before="100" w:beforeAutospacing="1" w:after="100" w:afterAutospacing="1" w:line="240" w:lineRule="auto"/>
        <w:jc w:val="both"/>
        <w:rPr>
          <w:rFonts w:ascii="Aptos" w:hAnsi="Aptos" w:cs="Arial"/>
          <w:sz w:val="24"/>
          <w:szCs w:val="24"/>
          <w:lang w:val="es-ES"/>
        </w:rPr>
      </w:pPr>
      <w:r w:rsidRPr="00E903CA">
        <w:rPr>
          <w:rFonts w:ascii="Aptos" w:hAnsi="Aptos" w:cs="Arial"/>
          <w:sz w:val="24"/>
          <w:szCs w:val="24"/>
          <w:lang w:val="es-ES"/>
        </w:rPr>
        <w:t>De igual manera, las obligaciones previstas en los nuevos artículos 41 a 44 tienen como destinatarios principales a los centros de arbitraje y a los acreedores que pretendan promover esta clase de actuaciones. En consecuencia, las exigencias relacionadas con la notificación reforzada, el suministro de información al deudor o al consumidor y las medidas orientadas a prevenir la manipulación del procedimiento no trasladan al Estado la financiación de nuevas actividades permanentes. Por el contrario, corresponden a cargas inherentes al desarrollo de la actuación arbitral y a quienes intervienen directamente en ella.</w:t>
      </w:r>
    </w:p>
    <w:p w14:paraId="7724AB47" w14:textId="77777777" w:rsidR="008731ED" w:rsidRPr="00E903CA" w:rsidRDefault="008731ED" w:rsidP="008731ED">
      <w:pPr>
        <w:spacing w:before="100" w:beforeAutospacing="1" w:after="100" w:afterAutospacing="1" w:line="240" w:lineRule="auto"/>
        <w:jc w:val="both"/>
        <w:rPr>
          <w:rFonts w:ascii="Aptos" w:hAnsi="Aptos" w:cs="Arial"/>
          <w:sz w:val="24"/>
          <w:szCs w:val="24"/>
          <w:lang w:val="es-ES"/>
        </w:rPr>
      </w:pPr>
      <w:r w:rsidRPr="00E903CA">
        <w:rPr>
          <w:rFonts w:ascii="Aptos" w:hAnsi="Aptos" w:cs="Arial"/>
          <w:sz w:val="24"/>
          <w:szCs w:val="24"/>
          <w:lang w:val="es-ES"/>
        </w:rPr>
        <w:t xml:space="preserve">Lo anterior no desconoce que la implementación de cualquier regulación puede generar actividades de seguimiento, aplicación o control por parte de las autoridades </w:t>
      </w:r>
      <w:r w:rsidRPr="00E903CA">
        <w:rPr>
          <w:rFonts w:ascii="Aptos" w:hAnsi="Aptos" w:cs="Arial"/>
          <w:sz w:val="24"/>
          <w:szCs w:val="24"/>
          <w:lang w:val="es-ES"/>
        </w:rPr>
        <w:lastRenderedPageBreak/>
        <w:t>competentes. Sin embargo, tales funciones corresponden a las competencias ordinarias de las entidades públicas y no se traducen, por sí mismas, en la creación de un impacto fiscal directo, cierto y cuantificable que requiera nuevas apropiaciones presupuestales. El proyecto tampoco contempla la asignación de recursos públicos para financiar los procedimientos arbitrales ni establece obligaciones de subsidio o compensación a favor de las partes que acudan a este mecanismo.</w:t>
      </w:r>
    </w:p>
    <w:p w14:paraId="54CBC3BE" w14:textId="77777777" w:rsidR="008731ED" w:rsidRPr="00E903CA" w:rsidRDefault="008731ED" w:rsidP="008731ED">
      <w:pPr>
        <w:spacing w:before="100" w:beforeAutospacing="1" w:after="100" w:afterAutospacing="1" w:line="240" w:lineRule="auto"/>
        <w:jc w:val="both"/>
        <w:rPr>
          <w:rFonts w:ascii="Aptos" w:hAnsi="Aptos" w:cs="Arial"/>
          <w:sz w:val="24"/>
          <w:szCs w:val="24"/>
          <w:lang w:val="es-ES"/>
        </w:rPr>
      </w:pPr>
      <w:r w:rsidRPr="00E903CA">
        <w:rPr>
          <w:rFonts w:ascii="Aptos" w:hAnsi="Aptos" w:cs="Arial"/>
          <w:sz w:val="24"/>
          <w:szCs w:val="24"/>
          <w:lang w:val="es-ES"/>
        </w:rPr>
        <w:t>En este punto, resulta pertinente recordar que la jurisprudencia constitucional, entre otras, en las Sentencias C-502 de 2007, C-866 de 2010 y C-290 de 2009, ha precisado el alcance del análisis de impacto fiscal previsto en la Ley 819 de 2003 y su relación con el trámite de las iniciativas legislativas. Dicho análisis constituye un instrumento de racionalidad y responsabilidad fiscal que permite identificar y valorar las eventuales consecuencias presupuestales de las medidas legislativas, sin que pueda entenderse, en el caso de proyectos de iniciativa parlamentaria, como una exigencia que impida su presentación o trámite cuando el autor no cuenta con los elementos técnicos y presupuestales necesarios para determinar de manera definitiva sus efectos.</w:t>
      </w:r>
    </w:p>
    <w:p w14:paraId="28214118" w14:textId="77777777" w:rsidR="008731ED" w:rsidRPr="00E903CA" w:rsidRDefault="008731ED" w:rsidP="008731ED">
      <w:pPr>
        <w:spacing w:before="100" w:beforeAutospacing="1" w:after="100" w:afterAutospacing="1" w:line="240" w:lineRule="auto"/>
        <w:jc w:val="both"/>
        <w:rPr>
          <w:rFonts w:ascii="Aptos" w:hAnsi="Aptos" w:cs="Arial"/>
          <w:sz w:val="24"/>
          <w:szCs w:val="24"/>
          <w:lang w:val="es-ES"/>
        </w:rPr>
      </w:pPr>
      <w:r w:rsidRPr="00E903CA">
        <w:rPr>
          <w:rFonts w:ascii="Aptos" w:hAnsi="Aptos" w:cs="Arial"/>
          <w:sz w:val="24"/>
          <w:szCs w:val="24"/>
          <w:lang w:val="es-ES"/>
        </w:rPr>
        <w:t>En ese sentido, la ausencia de impacto fiscal que se identifica en la presente iniciativa se fundamenta en que las disposiciones propuestas no ordenan gasto público ni generan una obligación presupuestal nueva a cargo del Estado. Por el contrario, los costos asociados a la prestación del servicio arbitral y al cumplimiento de las nuevas cargas procedimentales corresponden a los sujetos privados directamente vinculados al mecanismo.</w:t>
      </w:r>
    </w:p>
    <w:p w14:paraId="1ECAECDE" w14:textId="77777777" w:rsidR="008731ED" w:rsidRPr="00E903CA" w:rsidRDefault="008731ED" w:rsidP="008731ED">
      <w:pPr>
        <w:spacing w:before="100" w:beforeAutospacing="1" w:after="100" w:afterAutospacing="1" w:line="240" w:lineRule="auto"/>
        <w:jc w:val="both"/>
        <w:rPr>
          <w:rFonts w:ascii="Aptos" w:hAnsi="Aptos" w:cs="Arial"/>
          <w:sz w:val="24"/>
          <w:szCs w:val="24"/>
          <w:lang w:val="es-ES"/>
        </w:rPr>
      </w:pPr>
      <w:r w:rsidRPr="00E903CA">
        <w:rPr>
          <w:rFonts w:ascii="Aptos" w:hAnsi="Aptos" w:cs="Arial"/>
          <w:sz w:val="24"/>
          <w:szCs w:val="24"/>
          <w:lang w:val="es-ES"/>
        </w:rPr>
        <w:t>No obstante, y con el propósito de garantizar la adecuada discusión técnica de la iniciativa durante su trámite legislativo, el ponente considera pertinente que, durante el primer debate, el proyecto sea puesto en conocimiento del Ministerio de Hacienda y Crédito Público, para que, en el marco de sus competencias, evalúe las disposiciones propuestas y rinda el concepto que estime procedente respecto de sus eventuales efectos fiscales. Esta actuación permitirá complementar el análisis realizado en la exposición de motivos y garantizar que el debate legislativo cuente con la información técnica y presupuestal que resulte pertinente.</w:t>
      </w:r>
    </w:p>
    <w:p w14:paraId="69EDCE7F" w14:textId="77777777" w:rsidR="008731ED" w:rsidRPr="008731ED" w:rsidRDefault="008731ED" w:rsidP="008731ED">
      <w:pPr>
        <w:pStyle w:val="Prrafodelista"/>
        <w:numPr>
          <w:ilvl w:val="0"/>
          <w:numId w:val="13"/>
        </w:numPr>
        <w:spacing w:after="0" w:line="240" w:lineRule="auto"/>
        <w:jc w:val="both"/>
        <w:rPr>
          <w:rFonts w:ascii="Aptos" w:eastAsia="Arial Narrow" w:hAnsi="Aptos" w:cs="Arial"/>
          <w:b/>
          <w:sz w:val="24"/>
          <w:szCs w:val="24"/>
        </w:rPr>
      </w:pPr>
      <w:r w:rsidRPr="008731ED">
        <w:rPr>
          <w:rFonts w:ascii="Aptos" w:eastAsia="Arial Narrow" w:hAnsi="Aptos" w:cs="Arial"/>
          <w:b/>
          <w:sz w:val="24"/>
          <w:szCs w:val="24"/>
        </w:rPr>
        <w:t xml:space="preserve">PLIEGO DE MODIFICACIONES </w:t>
      </w:r>
    </w:p>
    <w:p w14:paraId="6317D3C6" w14:textId="77777777" w:rsidR="008731ED" w:rsidRPr="008731ED" w:rsidRDefault="008731ED" w:rsidP="008731ED">
      <w:pPr>
        <w:pStyle w:val="Prrafodelista"/>
        <w:spacing w:line="240" w:lineRule="auto"/>
        <w:jc w:val="both"/>
        <w:rPr>
          <w:rFonts w:ascii="Aptos" w:eastAsia="Arial Narrow" w:hAnsi="Aptos" w:cs="Arial"/>
          <w:b/>
          <w:sz w:val="24"/>
          <w:szCs w:val="24"/>
        </w:rPr>
      </w:pPr>
    </w:p>
    <w:p w14:paraId="24243384" w14:textId="77777777" w:rsidR="008731ED" w:rsidRPr="008731ED" w:rsidRDefault="008731ED" w:rsidP="008731ED">
      <w:pPr>
        <w:pStyle w:val="Prrafodelista"/>
        <w:spacing w:line="240" w:lineRule="auto"/>
        <w:ind w:left="0"/>
        <w:jc w:val="both"/>
        <w:rPr>
          <w:rFonts w:ascii="Aptos" w:eastAsia="Arial Narrow" w:hAnsi="Aptos" w:cs="Arial"/>
          <w:bCs/>
          <w:sz w:val="24"/>
          <w:szCs w:val="24"/>
        </w:rPr>
      </w:pPr>
      <w:r w:rsidRPr="008731ED">
        <w:rPr>
          <w:rFonts w:ascii="Aptos" w:eastAsia="Arial Narrow" w:hAnsi="Aptos" w:cs="Arial"/>
          <w:bCs/>
          <w:sz w:val="24"/>
          <w:szCs w:val="24"/>
        </w:rPr>
        <w:t>El texto propuesto contiene las siguientes modificaciones para la ponencia de primer debate, que atienden a las observaciones, comentarios y sugerencias que recibió el autor:</w:t>
      </w:r>
    </w:p>
    <w:p w14:paraId="1BD9079A" w14:textId="77777777" w:rsidR="008731ED" w:rsidRPr="008731ED" w:rsidRDefault="008731ED" w:rsidP="008731ED">
      <w:pPr>
        <w:pStyle w:val="Prrafodelista"/>
        <w:spacing w:line="240" w:lineRule="auto"/>
        <w:ind w:left="0"/>
        <w:jc w:val="both"/>
        <w:rPr>
          <w:rFonts w:ascii="Aptos" w:eastAsia="Arial Narrow" w:hAnsi="Aptos" w:cs="Arial"/>
          <w:bCs/>
          <w:sz w:val="24"/>
          <w:szCs w:val="24"/>
        </w:rPr>
      </w:pPr>
    </w:p>
    <w:tbl>
      <w:tblPr>
        <w:tblStyle w:val="Tablaconcuadrcula"/>
        <w:tblW w:w="0" w:type="auto"/>
        <w:tblLook w:val="04A0" w:firstRow="1" w:lastRow="0" w:firstColumn="1" w:lastColumn="0" w:noHBand="0" w:noVBand="1"/>
      </w:tblPr>
      <w:tblGrid>
        <w:gridCol w:w="4434"/>
        <w:gridCol w:w="4394"/>
      </w:tblGrid>
      <w:tr w:rsidR="008731ED" w:rsidRPr="008731ED" w14:paraId="778BD5BD" w14:textId="77777777" w:rsidTr="003E7564">
        <w:tc>
          <w:tcPr>
            <w:tcW w:w="4675" w:type="dxa"/>
          </w:tcPr>
          <w:p w14:paraId="70055EB5" w14:textId="77777777" w:rsidR="008731ED" w:rsidRPr="008731ED" w:rsidRDefault="008731ED" w:rsidP="008731ED">
            <w:pPr>
              <w:pStyle w:val="Prrafodelista"/>
              <w:ind w:left="0"/>
              <w:jc w:val="center"/>
              <w:rPr>
                <w:rFonts w:ascii="Aptos" w:eastAsia="Arial Narrow" w:hAnsi="Aptos" w:cs="Arial"/>
                <w:bCs/>
                <w:sz w:val="24"/>
                <w:szCs w:val="24"/>
              </w:rPr>
            </w:pPr>
            <w:r w:rsidRPr="008731ED">
              <w:rPr>
                <w:rFonts w:ascii="Aptos" w:hAnsi="Aptos" w:cs="Arial"/>
                <w:b/>
                <w:color w:val="000000"/>
                <w:sz w:val="24"/>
                <w:szCs w:val="24"/>
              </w:rPr>
              <w:t>TEXTO RADICADO</w:t>
            </w:r>
          </w:p>
        </w:tc>
        <w:tc>
          <w:tcPr>
            <w:tcW w:w="4675" w:type="dxa"/>
          </w:tcPr>
          <w:p w14:paraId="190F35B3" w14:textId="77777777" w:rsidR="008731ED" w:rsidRPr="008731ED" w:rsidRDefault="008731ED" w:rsidP="008731ED">
            <w:pPr>
              <w:pStyle w:val="Prrafodelista"/>
              <w:ind w:left="0"/>
              <w:jc w:val="center"/>
              <w:rPr>
                <w:rFonts w:ascii="Aptos" w:eastAsia="Arial Narrow" w:hAnsi="Aptos" w:cs="Arial"/>
                <w:bCs/>
                <w:sz w:val="24"/>
                <w:szCs w:val="24"/>
              </w:rPr>
            </w:pPr>
            <w:r w:rsidRPr="008731ED">
              <w:rPr>
                <w:rFonts w:ascii="Aptos" w:hAnsi="Aptos" w:cs="Arial"/>
                <w:b/>
                <w:color w:val="000000"/>
                <w:sz w:val="24"/>
                <w:szCs w:val="24"/>
              </w:rPr>
              <w:t>TEXTO PROPUESTO PARA PRIMER DEBATE</w:t>
            </w:r>
          </w:p>
        </w:tc>
      </w:tr>
      <w:tr w:rsidR="008731ED" w:rsidRPr="008731ED" w14:paraId="46DA0BA7" w14:textId="77777777" w:rsidTr="003E7564">
        <w:tc>
          <w:tcPr>
            <w:tcW w:w="4675" w:type="dxa"/>
          </w:tcPr>
          <w:p w14:paraId="4A9398F6" w14:textId="77777777" w:rsidR="008731ED" w:rsidRPr="008731ED" w:rsidRDefault="008731ED" w:rsidP="008731ED">
            <w:pPr>
              <w:jc w:val="center"/>
              <w:rPr>
                <w:rFonts w:ascii="Aptos" w:hAnsi="Aptos" w:cs="Arial"/>
                <w:b/>
                <w:bCs/>
                <w:sz w:val="24"/>
                <w:szCs w:val="24"/>
              </w:rPr>
            </w:pPr>
            <w:r w:rsidRPr="008731ED">
              <w:rPr>
                <w:rFonts w:ascii="Aptos" w:hAnsi="Aptos" w:cs="Arial"/>
                <w:sz w:val="24"/>
                <w:szCs w:val="24"/>
              </w:rPr>
              <w:lastRenderedPageBreak/>
              <w:t>“</w:t>
            </w:r>
            <w:r w:rsidRPr="008731ED">
              <w:rPr>
                <w:rFonts w:ascii="Aptos" w:hAnsi="Aptos" w:cs="Arial"/>
                <w:i/>
                <w:sz w:val="24"/>
                <w:szCs w:val="24"/>
              </w:rPr>
              <w:t>P</w:t>
            </w:r>
            <w:r w:rsidRPr="008731ED">
              <w:rPr>
                <w:rFonts w:ascii="Aptos" w:hAnsi="Aptos" w:cs="Arial"/>
                <w:i/>
                <w:iCs/>
                <w:sz w:val="24"/>
                <w:szCs w:val="24"/>
              </w:rPr>
              <w:t>or medio de la cual se modifica la Ley 2540 de 2025 y se amplía la modalidad de arbitraje para todos los procesos ejecutivos incluyendo los que no tienen pacto arbitral y se dictan otras disposiciones</w:t>
            </w:r>
            <w:r w:rsidRPr="008731ED">
              <w:rPr>
                <w:rFonts w:ascii="Aptos" w:hAnsi="Aptos" w:cs="Arial"/>
                <w:b/>
                <w:bCs/>
                <w:sz w:val="24"/>
                <w:szCs w:val="24"/>
              </w:rPr>
              <w:t>”</w:t>
            </w:r>
          </w:p>
          <w:p w14:paraId="1B600563" w14:textId="77777777" w:rsidR="008731ED" w:rsidRPr="008731ED" w:rsidRDefault="008731ED" w:rsidP="008731ED">
            <w:pPr>
              <w:pStyle w:val="Prrafodelista"/>
              <w:tabs>
                <w:tab w:val="left" w:pos="3171"/>
              </w:tabs>
              <w:ind w:left="0"/>
              <w:jc w:val="both"/>
              <w:rPr>
                <w:rFonts w:ascii="Aptos" w:eastAsia="Arial Narrow" w:hAnsi="Aptos" w:cs="Arial"/>
                <w:bCs/>
                <w:sz w:val="24"/>
                <w:szCs w:val="24"/>
              </w:rPr>
            </w:pPr>
          </w:p>
        </w:tc>
        <w:tc>
          <w:tcPr>
            <w:tcW w:w="4675" w:type="dxa"/>
          </w:tcPr>
          <w:p w14:paraId="4DBB6FA5" w14:textId="77777777" w:rsidR="008731ED" w:rsidRPr="008731ED" w:rsidRDefault="008731ED" w:rsidP="008731ED">
            <w:pPr>
              <w:jc w:val="center"/>
              <w:rPr>
                <w:rFonts w:ascii="Aptos" w:hAnsi="Aptos" w:cs="Arial"/>
                <w:sz w:val="24"/>
                <w:szCs w:val="24"/>
              </w:rPr>
            </w:pPr>
            <w:r w:rsidRPr="008731ED">
              <w:rPr>
                <w:rFonts w:ascii="Aptos" w:hAnsi="Aptos" w:cs="Arial"/>
                <w:sz w:val="24"/>
                <w:szCs w:val="24"/>
              </w:rPr>
              <w:t>Sin modificaciones.</w:t>
            </w:r>
          </w:p>
          <w:p w14:paraId="2AB6EE20" w14:textId="77777777" w:rsidR="008731ED" w:rsidRPr="008731ED" w:rsidRDefault="008731ED" w:rsidP="008731ED">
            <w:pPr>
              <w:pStyle w:val="Prrafodelista"/>
              <w:ind w:left="0"/>
              <w:jc w:val="both"/>
              <w:rPr>
                <w:rFonts w:ascii="Aptos" w:eastAsia="Arial Narrow" w:hAnsi="Aptos" w:cs="Arial"/>
                <w:bCs/>
                <w:sz w:val="24"/>
                <w:szCs w:val="24"/>
              </w:rPr>
            </w:pPr>
          </w:p>
        </w:tc>
      </w:tr>
      <w:tr w:rsidR="008731ED" w:rsidRPr="008731ED" w14:paraId="1D13A225" w14:textId="77777777" w:rsidTr="003E7564">
        <w:tc>
          <w:tcPr>
            <w:tcW w:w="4675" w:type="dxa"/>
          </w:tcPr>
          <w:p w14:paraId="35FDF131" w14:textId="77777777" w:rsidR="008731ED" w:rsidRPr="008731ED" w:rsidRDefault="008731ED" w:rsidP="008731ED">
            <w:pPr>
              <w:pBdr>
                <w:top w:val="nil"/>
                <w:left w:val="nil"/>
                <w:bottom w:val="nil"/>
                <w:right w:val="nil"/>
                <w:between w:val="nil"/>
              </w:pBdr>
              <w:spacing w:after="160"/>
              <w:jc w:val="both"/>
              <w:rPr>
                <w:rFonts w:ascii="Aptos" w:hAnsi="Aptos" w:cs="Arial"/>
                <w:sz w:val="24"/>
                <w:szCs w:val="24"/>
              </w:rPr>
            </w:pPr>
            <w:r w:rsidRPr="008731ED">
              <w:rPr>
                <w:rFonts w:ascii="Aptos" w:hAnsi="Aptos" w:cs="Arial"/>
                <w:b/>
                <w:bCs/>
                <w:sz w:val="24"/>
                <w:szCs w:val="24"/>
              </w:rPr>
              <w:t>Artículo 1°. Objeto.</w:t>
            </w:r>
            <w:r w:rsidRPr="008731ED">
              <w:rPr>
                <w:rFonts w:ascii="Aptos" w:hAnsi="Aptos" w:cs="Arial"/>
                <w:sz w:val="24"/>
                <w:szCs w:val="24"/>
              </w:rPr>
              <w:t xml:space="preserve"> La presente ley tiene por objeto modificar el artículo 2° de la Ley 2540 de 2025 y adicionar los artículos 41, 42, 43 y 44 a dicha ley, con el fin de extender la modalidad de arbitraje institucional a los procesos ejecutivos que no cuenten con pacto arbitral previo entre las partes, mediante un mecanismo de habilitación por no oposición cualificada del deudor que preserva el principio constitucional de voluntariedad del arbitraje consagrado en el artículo 116 de la Constitución Política, con el propósito de contribuir a la descongestión del sistema judicial.</w:t>
            </w:r>
          </w:p>
        </w:tc>
        <w:tc>
          <w:tcPr>
            <w:tcW w:w="4675" w:type="dxa"/>
          </w:tcPr>
          <w:p w14:paraId="6A1AB160" w14:textId="77777777" w:rsidR="008731ED" w:rsidRPr="008731ED" w:rsidRDefault="008731ED" w:rsidP="008731ED">
            <w:pPr>
              <w:pStyle w:val="Prrafodelista"/>
              <w:ind w:left="0"/>
              <w:jc w:val="both"/>
              <w:rPr>
                <w:rFonts w:ascii="Aptos" w:eastAsia="Arial Narrow" w:hAnsi="Aptos" w:cs="Arial"/>
                <w:bCs/>
                <w:sz w:val="24"/>
                <w:szCs w:val="24"/>
              </w:rPr>
            </w:pPr>
            <w:r w:rsidRPr="008731ED">
              <w:rPr>
                <w:rFonts w:ascii="Aptos" w:hAnsi="Aptos" w:cs="Arial"/>
                <w:b/>
                <w:bCs/>
                <w:sz w:val="24"/>
                <w:szCs w:val="24"/>
              </w:rPr>
              <w:t>Artículo 1°</w:t>
            </w:r>
            <w:r w:rsidRPr="008731ED">
              <w:rPr>
                <w:rFonts w:ascii="Aptos" w:hAnsi="Aptos" w:cs="Arial"/>
                <w:sz w:val="24"/>
                <w:szCs w:val="24"/>
              </w:rPr>
              <w:t>. Sin modificaciones.</w:t>
            </w:r>
          </w:p>
        </w:tc>
      </w:tr>
      <w:tr w:rsidR="008731ED" w:rsidRPr="008731ED" w14:paraId="47F7677A" w14:textId="77777777" w:rsidTr="003E7564">
        <w:tc>
          <w:tcPr>
            <w:tcW w:w="4675" w:type="dxa"/>
          </w:tcPr>
          <w:p w14:paraId="154018FF" w14:textId="77777777" w:rsidR="008731ED" w:rsidRPr="008731ED" w:rsidRDefault="008731ED" w:rsidP="008731ED">
            <w:pPr>
              <w:pBdr>
                <w:top w:val="nil"/>
                <w:left w:val="nil"/>
                <w:bottom w:val="nil"/>
                <w:right w:val="nil"/>
                <w:between w:val="nil"/>
              </w:pBdr>
              <w:spacing w:after="160"/>
              <w:jc w:val="both"/>
              <w:rPr>
                <w:rFonts w:ascii="Aptos" w:hAnsi="Aptos" w:cs="Arial"/>
                <w:sz w:val="24"/>
                <w:szCs w:val="24"/>
              </w:rPr>
            </w:pPr>
            <w:r w:rsidRPr="008731ED">
              <w:rPr>
                <w:rFonts w:ascii="Aptos" w:hAnsi="Aptos" w:cs="Arial"/>
                <w:b/>
                <w:bCs/>
                <w:sz w:val="24"/>
                <w:szCs w:val="24"/>
              </w:rPr>
              <w:t xml:space="preserve">Artículo 2°. </w:t>
            </w:r>
            <w:r w:rsidRPr="008731ED">
              <w:rPr>
                <w:rFonts w:ascii="Aptos" w:eastAsia="Arial" w:hAnsi="Aptos" w:cs="Arial"/>
                <w:sz w:val="24"/>
                <w:szCs w:val="24"/>
              </w:rPr>
              <w:t>Modifíquese el artículo 2° de la Ley 2540 de 2025, el cual quedará así:</w:t>
            </w:r>
          </w:p>
          <w:p w14:paraId="570BA0EA" w14:textId="77777777" w:rsidR="008731ED" w:rsidRPr="00E903CA" w:rsidRDefault="008731ED" w:rsidP="008731ED">
            <w:pPr>
              <w:pBdr>
                <w:top w:val="nil"/>
                <w:left w:val="nil"/>
                <w:bottom w:val="nil"/>
                <w:right w:val="nil"/>
                <w:between w:val="nil"/>
              </w:pBdr>
              <w:spacing w:after="160"/>
              <w:jc w:val="both"/>
              <w:rPr>
                <w:rFonts w:ascii="Aptos" w:hAnsi="Aptos" w:cs="Arial"/>
                <w:sz w:val="24"/>
                <w:szCs w:val="24"/>
              </w:rPr>
            </w:pPr>
            <w:r w:rsidRPr="00E903CA">
              <w:rPr>
                <w:rFonts w:ascii="Aptos" w:eastAsia="Arial" w:hAnsi="Aptos" w:cs="Arial"/>
                <w:i/>
                <w:iCs/>
                <w:sz w:val="24"/>
                <w:szCs w:val="24"/>
              </w:rPr>
              <w:t>“Artículo 2°. Arbitraje para procesos ejecutivos. Podrán someterse a arbitraje todos los procesos ejecutivos.</w:t>
            </w:r>
          </w:p>
          <w:p w14:paraId="74290646" w14:textId="77777777" w:rsidR="008731ED" w:rsidRPr="00E903CA" w:rsidRDefault="008731ED" w:rsidP="008731ED">
            <w:pPr>
              <w:pBdr>
                <w:top w:val="nil"/>
                <w:left w:val="nil"/>
                <w:bottom w:val="nil"/>
                <w:right w:val="nil"/>
                <w:between w:val="nil"/>
              </w:pBdr>
              <w:spacing w:after="160"/>
              <w:jc w:val="both"/>
              <w:rPr>
                <w:rFonts w:ascii="Aptos" w:hAnsi="Aptos" w:cs="Arial"/>
                <w:sz w:val="24"/>
                <w:szCs w:val="24"/>
              </w:rPr>
            </w:pPr>
            <w:r w:rsidRPr="00E903CA">
              <w:rPr>
                <w:rFonts w:ascii="Aptos" w:eastAsia="Arial" w:hAnsi="Aptos" w:cs="Arial"/>
                <w:i/>
                <w:iCs/>
                <w:sz w:val="24"/>
                <w:szCs w:val="24"/>
              </w:rPr>
              <w:t>El acreedor que cuente con un título ejecutivo podrá presentar su demanda ante un centro de arbitraje debidamente autorizado, exista o no pacto arbitral previo entre las partes. Cuando exista pacto arbitral, se aplicará además lo dispuesto en los artículos 3° a 7° de la presente ley. Cuando no exista pacto arbitral, se aplicará además lo dispuesto en los artículos 41 a 44 de la presente ley.</w:t>
            </w:r>
          </w:p>
          <w:p w14:paraId="64E2A064" w14:textId="77777777" w:rsidR="008731ED" w:rsidRPr="00E903CA" w:rsidRDefault="008731ED" w:rsidP="008731ED">
            <w:pPr>
              <w:pBdr>
                <w:top w:val="nil"/>
                <w:left w:val="nil"/>
                <w:bottom w:val="nil"/>
                <w:right w:val="nil"/>
                <w:between w:val="nil"/>
              </w:pBdr>
              <w:spacing w:after="160"/>
              <w:jc w:val="both"/>
              <w:rPr>
                <w:rFonts w:ascii="Aptos" w:hAnsi="Aptos" w:cs="Arial"/>
                <w:sz w:val="24"/>
                <w:szCs w:val="24"/>
              </w:rPr>
            </w:pPr>
            <w:r w:rsidRPr="00E903CA">
              <w:rPr>
                <w:rFonts w:ascii="Aptos" w:eastAsia="Arial" w:hAnsi="Aptos" w:cs="Arial"/>
                <w:i/>
                <w:iCs/>
                <w:sz w:val="24"/>
                <w:szCs w:val="24"/>
              </w:rPr>
              <w:t xml:space="preserve">En todos los casos, una vez habilitado el arbitraje en los términos de este artículo, el trámite del proceso arbitral ejecutivo </w:t>
            </w:r>
            <w:r w:rsidRPr="00E903CA">
              <w:rPr>
                <w:rFonts w:ascii="Aptos" w:eastAsia="Arial" w:hAnsi="Aptos" w:cs="Arial"/>
                <w:i/>
                <w:iCs/>
                <w:sz w:val="24"/>
                <w:szCs w:val="24"/>
              </w:rPr>
              <w:lastRenderedPageBreak/>
              <w:t>se regirá por lo dispuesto en los artículos 8 a 40 de la presente ley, en cuanto resulten aplicables.</w:t>
            </w:r>
          </w:p>
          <w:p w14:paraId="65300AFF" w14:textId="77777777" w:rsidR="008731ED" w:rsidRPr="00E903CA" w:rsidRDefault="008731ED" w:rsidP="008731ED">
            <w:pPr>
              <w:pBdr>
                <w:top w:val="nil"/>
                <w:left w:val="nil"/>
                <w:bottom w:val="nil"/>
                <w:right w:val="nil"/>
                <w:between w:val="nil"/>
              </w:pBdr>
              <w:spacing w:after="160"/>
              <w:jc w:val="both"/>
              <w:rPr>
                <w:rFonts w:ascii="Aptos" w:hAnsi="Aptos" w:cs="Arial"/>
                <w:sz w:val="24"/>
                <w:szCs w:val="24"/>
              </w:rPr>
            </w:pPr>
            <w:r w:rsidRPr="00E903CA">
              <w:rPr>
                <w:rFonts w:ascii="Aptos" w:eastAsia="Arial" w:hAnsi="Aptos" w:cs="Arial"/>
                <w:i/>
                <w:iCs/>
                <w:sz w:val="24"/>
                <w:szCs w:val="24"/>
              </w:rPr>
              <w:t>El proceso ejecutivo arbitral previsto en esta ley será institucional y se aplicará a cualquier tipo de ejecución. En ningún caso podrá darse la figura del arbitraje ad hoc. El laudo arbitral será proferido en derecho. Se tendrá por no escrito el acuerdo referido a un laudo en equidad o técnico.</w:t>
            </w:r>
          </w:p>
          <w:p w14:paraId="7F22BD56" w14:textId="77777777" w:rsidR="008731ED" w:rsidRPr="008731ED" w:rsidRDefault="008731ED" w:rsidP="008731ED">
            <w:pPr>
              <w:pStyle w:val="Prrafodelista"/>
              <w:pBdr>
                <w:top w:val="nil"/>
                <w:left w:val="nil"/>
                <w:bottom w:val="nil"/>
                <w:right w:val="nil"/>
                <w:between w:val="nil"/>
              </w:pBdr>
              <w:spacing w:after="160"/>
              <w:jc w:val="both"/>
              <w:rPr>
                <w:rFonts w:ascii="Aptos" w:eastAsia="Arial Narrow" w:hAnsi="Aptos" w:cs="Arial"/>
                <w:color w:val="000000"/>
                <w:sz w:val="24"/>
                <w:szCs w:val="24"/>
              </w:rPr>
            </w:pPr>
            <w:r w:rsidRPr="008731ED">
              <w:rPr>
                <w:rFonts w:ascii="Aptos" w:eastAsia="Arial" w:hAnsi="Aptos" w:cs="Arial"/>
                <w:i/>
                <w:iCs/>
                <w:sz w:val="24"/>
                <w:szCs w:val="24"/>
              </w:rPr>
              <w:t>El proceso ejecutivo arbitral se regirá por esta ley y por la Sección Primera de la Ley 1563 de 2012 y en lo no previsto en estas disposiciones por lo dispuesto en el Código General del Proceso en cuanto fuere pertinente y en lo dispuesto en el Capítulo VI del Título III del Libro Tercero del Código de Comercio en lo relativo a ejecución de títulos valores.”</w:t>
            </w:r>
          </w:p>
        </w:tc>
        <w:tc>
          <w:tcPr>
            <w:tcW w:w="4675" w:type="dxa"/>
          </w:tcPr>
          <w:p w14:paraId="72C6913D" w14:textId="77777777" w:rsidR="008731ED" w:rsidRPr="008731ED" w:rsidRDefault="008731ED" w:rsidP="008731ED">
            <w:pPr>
              <w:pBdr>
                <w:top w:val="nil"/>
                <w:left w:val="nil"/>
                <w:bottom w:val="nil"/>
                <w:right w:val="nil"/>
                <w:between w:val="nil"/>
              </w:pBdr>
              <w:spacing w:after="160"/>
              <w:jc w:val="both"/>
              <w:rPr>
                <w:rFonts w:ascii="Aptos" w:hAnsi="Aptos" w:cs="Arial"/>
                <w:sz w:val="24"/>
                <w:szCs w:val="24"/>
              </w:rPr>
            </w:pPr>
            <w:r w:rsidRPr="008731ED">
              <w:rPr>
                <w:rFonts w:ascii="Aptos" w:hAnsi="Aptos" w:cs="Arial"/>
                <w:b/>
                <w:bCs/>
                <w:sz w:val="24"/>
                <w:szCs w:val="24"/>
              </w:rPr>
              <w:lastRenderedPageBreak/>
              <w:t>Artículo 2°</w:t>
            </w:r>
            <w:r w:rsidRPr="008731ED">
              <w:rPr>
                <w:rFonts w:ascii="Aptos" w:hAnsi="Aptos" w:cs="Arial"/>
                <w:sz w:val="24"/>
                <w:szCs w:val="24"/>
              </w:rPr>
              <w:t>. Sin modificaciones.</w:t>
            </w:r>
          </w:p>
          <w:p w14:paraId="46BEBAE2" w14:textId="77777777" w:rsidR="008731ED" w:rsidRPr="008731ED" w:rsidRDefault="008731ED" w:rsidP="008731ED">
            <w:pPr>
              <w:pStyle w:val="Prrafodelista"/>
              <w:pBdr>
                <w:top w:val="nil"/>
                <w:left w:val="nil"/>
                <w:bottom w:val="nil"/>
                <w:right w:val="nil"/>
                <w:between w:val="nil"/>
              </w:pBdr>
              <w:spacing w:after="160"/>
              <w:jc w:val="both"/>
              <w:rPr>
                <w:rFonts w:ascii="Aptos" w:hAnsi="Aptos" w:cs="Arial"/>
                <w:b/>
                <w:bCs/>
                <w:sz w:val="24"/>
                <w:szCs w:val="24"/>
              </w:rPr>
            </w:pPr>
          </w:p>
          <w:p w14:paraId="1E145555" w14:textId="77777777" w:rsidR="008731ED" w:rsidRPr="008731ED" w:rsidRDefault="008731ED" w:rsidP="008731ED">
            <w:pPr>
              <w:pStyle w:val="Prrafodelista"/>
              <w:pBdr>
                <w:top w:val="nil"/>
                <w:left w:val="nil"/>
                <w:bottom w:val="nil"/>
                <w:right w:val="nil"/>
                <w:between w:val="nil"/>
              </w:pBdr>
              <w:spacing w:after="160"/>
              <w:jc w:val="both"/>
              <w:rPr>
                <w:rFonts w:ascii="Aptos" w:hAnsi="Aptos" w:cs="Arial"/>
                <w:sz w:val="24"/>
                <w:szCs w:val="24"/>
              </w:rPr>
            </w:pPr>
          </w:p>
          <w:p w14:paraId="0D1A6092" w14:textId="77777777" w:rsidR="008731ED" w:rsidRPr="008731ED" w:rsidRDefault="008731ED" w:rsidP="008731ED">
            <w:pPr>
              <w:pStyle w:val="Prrafodelista"/>
              <w:ind w:left="0"/>
              <w:jc w:val="both"/>
              <w:rPr>
                <w:rFonts w:ascii="Aptos" w:eastAsia="Arial Narrow" w:hAnsi="Aptos" w:cs="Arial"/>
                <w:bCs/>
                <w:sz w:val="24"/>
                <w:szCs w:val="24"/>
              </w:rPr>
            </w:pPr>
          </w:p>
        </w:tc>
      </w:tr>
      <w:tr w:rsidR="008731ED" w:rsidRPr="008731ED" w14:paraId="237C5E90" w14:textId="77777777" w:rsidTr="003E7564">
        <w:tc>
          <w:tcPr>
            <w:tcW w:w="4675" w:type="dxa"/>
          </w:tcPr>
          <w:p w14:paraId="79499420" w14:textId="77777777" w:rsidR="008731ED" w:rsidRPr="008731ED" w:rsidRDefault="008731ED" w:rsidP="008731ED">
            <w:pPr>
              <w:pBdr>
                <w:top w:val="nil"/>
                <w:left w:val="nil"/>
                <w:bottom w:val="nil"/>
                <w:right w:val="nil"/>
                <w:between w:val="nil"/>
              </w:pBdr>
              <w:jc w:val="both"/>
              <w:rPr>
                <w:rFonts w:ascii="Aptos" w:hAnsi="Aptos" w:cs="Arial"/>
                <w:sz w:val="24"/>
                <w:szCs w:val="24"/>
              </w:rPr>
            </w:pPr>
            <w:r w:rsidRPr="008731ED">
              <w:rPr>
                <w:rFonts w:ascii="Aptos" w:hAnsi="Aptos" w:cs="Arial"/>
                <w:b/>
                <w:bCs/>
                <w:sz w:val="24"/>
                <w:szCs w:val="24"/>
              </w:rPr>
              <w:t>Artículo 3°</w:t>
            </w:r>
            <w:r w:rsidRPr="008731ED">
              <w:rPr>
                <w:rFonts w:ascii="Aptos" w:hAnsi="Aptos" w:cs="Arial"/>
                <w:sz w:val="24"/>
                <w:szCs w:val="24"/>
              </w:rPr>
              <w:t>. Adiciónese</w:t>
            </w:r>
            <w:r w:rsidRPr="008731ED">
              <w:rPr>
                <w:rFonts w:ascii="Aptos" w:eastAsia="Arial" w:hAnsi="Aptos" w:cs="Arial"/>
                <w:sz w:val="24"/>
                <w:szCs w:val="24"/>
              </w:rPr>
              <w:t xml:space="preserve"> el artículo 41 a la Ley 2540 de 2025, el cual quedará así:</w:t>
            </w:r>
          </w:p>
          <w:p w14:paraId="16C4838B" w14:textId="77777777" w:rsidR="008731ED" w:rsidRPr="00E903CA" w:rsidRDefault="008731ED" w:rsidP="008731ED">
            <w:pPr>
              <w:pBdr>
                <w:top w:val="nil"/>
                <w:left w:val="nil"/>
                <w:bottom w:val="nil"/>
                <w:right w:val="nil"/>
                <w:between w:val="nil"/>
              </w:pBdr>
              <w:jc w:val="both"/>
              <w:rPr>
                <w:rFonts w:ascii="Aptos" w:hAnsi="Aptos" w:cs="Arial"/>
                <w:sz w:val="24"/>
                <w:szCs w:val="24"/>
              </w:rPr>
            </w:pPr>
            <w:r w:rsidRPr="00E903CA">
              <w:rPr>
                <w:rFonts w:ascii="Aptos" w:eastAsia="Arial" w:hAnsi="Aptos" w:cs="Arial"/>
                <w:b/>
                <w:bCs/>
                <w:i/>
                <w:iCs/>
                <w:sz w:val="24"/>
                <w:szCs w:val="24"/>
              </w:rPr>
              <w:t>“Artículo 41. Recepción de la demanda y notificación reforzada en procesos sin pacto arbitral previo.</w:t>
            </w:r>
            <w:r w:rsidRPr="00E903CA">
              <w:rPr>
                <w:rFonts w:ascii="Aptos" w:eastAsia="Arial" w:hAnsi="Aptos" w:cs="Arial"/>
                <w:i/>
                <w:iCs/>
                <w:sz w:val="24"/>
                <w:szCs w:val="24"/>
              </w:rPr>
              <w:t xml:space="preserve"> Cuando el acreedor presente la demanda ejecutiva ante un centro de arbitraje sin que exista pacto arbitral previo, el centro verificará que el documento aportado reúna, en apariencia, los requisitos formales de un título ejecutivo y, de ser así, recibirá la demanda para trámite y ordenará la notificación personal del deudor, conforme a las reglas del Código General del Proceso. La verificación de que trata este inciso es de carácter preliminar y administrativo, sin perjuicio de la competencia exclusiva del árbitro </w:t>
            </w:r>
            <w:r w:rsidRPr="00E903CA">
              <w:rPr>
                <w:rFonts w:ascii="Aptos" w:eastAsia="Arial" w:hAnsi="Aptos" w:cs="Arial"/>
                <w:i/>
                <w:iCs/>
                <w:sz w:val="24"/>
                <w:szCs w:val="24"/>
              </w:rPr>
              <w:lastRenderedPageBreak/>
              <w:t>ejecutor para pronunciarse sobre la procedencia de la ejecución y librar el mandamiento de pago, una vez integrado el tribunal.</w:t>
            </w:r>
          </w:p>
          <w:p w14:paraId="0BF71EFA" w14:textId="77777777" w:rsidR="008731ED" w:rsidRPr="00E903CA" w:rsidRDefault="008731ED" w:rsidP="008731ED">
            <w:pPr>
              <w:pBdr>
                <w:top w:val="nil"/>
                <w:left w:val="nil"/>
                <w:bottom w:val="nil"/>
                <w:right w:val="nil"/>
                <w:between w:val="nil"/>
              </w:pBdr>
              <w:jc w:val="both"/>
              <w:rPr>
                <w:rFonts w:ascii="Aptos" w:hAnsi="Aptos" w:cs="Arial"/>
                <w:sz w:val="24"/>
                <w:szCs w:val="24"/>
              </w:rPr>
            </w:pPr>
            <w:r w:rsidRPr="00E903CA">
              <w:rPr>
                <w:rFonts w:ascii="Aptos" w:eastAsia="Arial" w:hAnsi="Aptos" w:cs="Arial"/>
                <w:i/>
                <w:iCs/>
                <w:sz w:val="24"/>
                <w:szCs w:val="24"/>
              </w:rPr>
              <w:t>La notificación de que trata este artículo deberá informar al deudor, de manera clara, expresa, destacada y en términos comprensibles, que la demanda se presentó ante un centro de arbitraje, que no existe pacto arbitral previo entre las partes, y que tiene derecho a oponerse a la vía arbitral dentro del término y en los términos establecidos en el artículo 42 de la presente ley.</w:t>
            </w:r>
          </w:p>
          <w:p w14:paraId="226C0822" w14:textId="77777777" w:rsidR="008731ED" w:rsidRPr="00E903CA" w:rsidRDefault="008731ED" w:rsidP="008731ED">
            <w:pPr>
              <w:pBdr>
                <w:top w:val="nil"/>
                <w:left w:val="nil"/>
                <w:bottom w:val="nil"/>
                <w:right w:val="nil"/>
                <w:between w:val="nil"/>
              </w:pBdr>
              <w:jc w:val="both"/>
              <w:rPr>
                <w:rFonts w:ascii="Aptos" w:hAnsi="Aptos" w:cs="Arial"/>
                <w:sz w:val="24"/>
                <w:szCs w:val="24"/>
              </w:rPr>
            </w:pPr>
            <w:r w:rsidRPr="00E903CA">
              <w:rPr>
                <w:rFonts w:ascii="Aptos" w:eastAsia="Arial" w:hAnsi="Aptos" w:cs="Arial"/>
                <w:i/>
                <w:iCs/>
                <w:sz w:val="24"/>
                <w:szCs w:val="24"/>
              </w:rPr>
              <w:t>Si el título ejecutivo presentado no reúne los requisitos legales, el centro de arbitraje rechazará la demanda mediante auto motivado, sin perjuicio de que el acreedor pueda presentarla nuevamente subsanando las deficiencias.</w:t>
            </w:r>
          </w:p>
          <w:p w14:paraId="2580B361" w14:textId="77777777" w:rsidR="008731ED" w:rsidRPr="008731ED" w:rsidRDefault="008731ED" w:rsidP="008731ED">
            <w:pPr>
              <w:pBdr>
                <w:top w:val="nil"/>
                <w:left w:val="nil"/>
                <w:bottom w:val="nil"/>
                <w:right w:val="nil"/>
                <w:between w:val="nil"/>
              </w:pBdr>
              <w:jc w:val="both"/>
              <w:rPr>
                <w:rFonts w:ascii="Aptos" w:hAnsi="Aptos" w:cs="Arial"/>
                <w:sz w:val="24"/>
                <w:szCs w:val="24"/>
              </w:rPr>
            </w:pPr>
            <w:r w:rsidRPr="008731ED">
              <w:rPr>
                <w:rFonts w:ascii="Aptos" w:eastAsia="Arial" w:hAnsi="Aptos" w:cs="Arial"/>
                <w:i/>
                <w:iCs/>
                <w:sz w:val="24"/>
                <w:szCs w:val="24"/>
              </w:rPr>
              <w:t>Parágrafo. La omisión de la información de que trata este artículo dará lugar a la nulidad de lo actuado y al traslado inmediato del expediente a la jurisdicción ordinaria, sin perjuicio de las sanciones a que haya lugar conforme al artículo 44 de la presente ley.”</w:t>
            </w:r>
          </w:p>
          <w:p w14:paraId="556E5E76" w14:textId="77777777" w:rsidR="008731ED" w:rsidRPr="008731ED" w:rsidRDefault="008731ED" w:rsidP="008731ED">
            <w:pPr>
              <w:pBdr>
                <w:top w:val="nil"/>
                <w:left w:val="nil"/>
                <w:bottom w:val="nil"/>
                <w:right w:val="nil"/>
                <w:between w:val="nil"/>
              </w:pBdr>
              <w:jc w:val="both"/>
              <w:rPr>
                <w:rFonts w:ascii="Aptos" w:hAnsi="Aptos" w:cs="Arial"/>
                <w:sz w:val="24"/>
                <w:szCs w:val="24"/>
              </w:rPr>
            </w:pPr>
          </w:p>
        </w:tc>
        <w:tc>
          <w:tcPr>
            <w:tcW w:w="4675" w:type="dxa"/>
          </w:tcPr>
          <w:p w14:paraId="062AC6FD" w14:textId="77777777" w:rsidR="008731ED" w:rsidRPr="008731ED" w:rsidRDefault="008731ED" w:rsidP="008731ED">
            <w:pPr>
              <w:pBdr>
                <w:top w:val="nil"/>
                <w:left w:val="nil"/>
                <w:bottom w:val="nil"/>
                <w:right w:val="nil"/>
                <w:between w:val="nil"/>
              </w:pBdr>
              <w:jc w:val="both"/>
              <w:rPr>
                <w:rFonts w:ascii="Aptos" w:hAnsi="Aptos" w:cs="Arial"/>
                <w:sz w:val="24"/>
                <w:szCs w:val="24"/>
              </w:rPr>
            </w:pPr>
            <w:r w:rsidRPr="008731ED">
              <w:rPr>
                <w:rFonts w:ascii="Aptos" w:hAnsi="Aptos" w:cs="Arial"/>
                <w:b/>
                <w:bCs/>
                <w:sz w:val="24"/>
                <w:szCs w:val="24"/>
              </w:rPr>
              <w:lastRenderedPageBreak/>
              <w:t>Artículo 3°</w:t>
            </w:r>
            <w:r w:rsidRPr="008731ED">
              <w:rPr>
                <w:rFonts w:ascii="Aptos" w:hAnsi="Aptos" w:cs="Arial"/>
                <w:sz w:val="24"/>
                <w:szCs w:val="24"/>
              </w:rPr>
              <w:t xml:space="preserve">. Sin modificaciones. </w:t>
            </w:r>
          </w:p>
          <w:p w14:paraId="32207D86" w14:textId="77777777" w:rsidR="008731ED" w:rsidRPr="008731ED" w:rsidRDefault="008731ED" w:rsidP="008731ED">
            <w:pPr>
              <w:pBdr>
                <w:top w:val="nil"/>
                <w:left w:val="nil"/>
                <w:bottom w:val="nil"/>
                <w:right w:val="nil"/>
                <w:between w:val="nil"/>
              </w:pBdr>
              <w:jc w:val="both"/>
              <w:rPr>
                <w:rFonts w:ascii="Aptos" w:hAnsi="Aptos" w:cs="Arial"/>
                <w:sz w:val="24"/>
                <w:szCs w:val="24"/>
              </w:rPr>
            </w:pPr>
          </w:p>
        </w:tc>
      </w:tr>
      <w:tr w:rsidR="008731ED" w:rsidRPr="008731ED" w14:paraId="1DF07AB3" w14:textId="77777777" w:rsidTr="003E7564">
        <w:tc>
          <w:tcPr>
            <w:tcW w:w="4675" w:type="dxa"/>
          </w:tcPr>
          <w:p w14:paraId="75448ED4" w14:textId="77777777" w:rsidR="008731ED" w:rsidRPr="008731ED" w:rsidRDefault="008731ED" w:rsidP="008731ED">
            <w:pPr>
              <w:pBdr>
                <w:top w:val="nil"/>
                <w:left w:val="nil"/>
                <w:bottom w:val="nil"/>
                <w:right w:val="nil"/>
                <w:between w:val="nil"/>
              </w:pBdr>
              <w:jc w:val="both"/>
              <w:rPr>
                <w:rFonts w:ascii="Aptos" w:hAnsi="Aptos" w:cs="Arial"/>
                <w:sz w:val="24"/>
                <w:szCs w:val="24"/>
              </w:rPr>
            </w:pPr>
            <w:r w:rsidRPr="008731ED">
              <w:rPr>
                <w:rFonts w:ascii="Aptos" w:hAnsi="Aptos" w:cs="Arial"/>
                <w:b/>
                <w:bCs/>
                <w:sz w:val="24"/>
                <w:szCs w:val="24"/>
              </w:rPr>
              <w:t>Artículo 4°</w:t>
            </w:r>
            <w:r w:rsidRPr="008731ED">
              <w:rPr>
                <w:rFonts w:ascii="Aptos" w:hAnsi="Aptos" w:cs="Arial"/>
                <w:sz w:val="24"/>
                <w:szCs w:val="24"/>
              </w:rPr>
              <w:t>. Adiciónese</w:t>
            </w:r>
            <w:r w:rsidRPr="008731ED">
              <w:rPr>
                <w:rFonts w:ascii="Aptos" w:eastAsia="Arial" w:hAnsi="Aptos" w:cs="Arial"/>
                <w:sz w:val="24"/>
                <w:szCs w:val="24"/>
              </w:rPr>
              <w:t xml:space="preserve"> el artículo 42 a la Ley 2540 de 2025, el cual quedará así:</w:t>
            </w:r>
          </w:p>
          <w:p w14:paraId="62285705" w14:textId="77777777" w:rsidR="008731ED" w:rsidRPr="00E903CA" w:rsidRDefault="008731ED" w:rsidP="008731ED">
            <w:pPr>
              <w:pBdr>
                <w:top w:val="nil"/>
                <w:left w:val="nil"/>
                <w:bottom w:val="nil"/>
                <w:right w:val="nil"/>
                <w:between w:val="nil"/>
              </w:pBdr>
              <w:jc w:val="both"/>
              <w:rPr>
                <w:rFonts w:ascii="Aptos" w:hAnsi="Aptos" w:cs="Arial"/>
                <w:sz w:val="24"/>
                <w:szCs w:val="24"/>
              </w:rPr>
            </w:pPr>
            <w:r w:rsidRPr="00E903CA">
              <w:rPr>
                <w:rFonts w:ascii="Aptos" w:eastAsia="Arial" w:hAnsi="Aptos" w:cs="Arial"/>
                <w:b/>
                <w:bCs/>
                <w:i/>
                <w:iCs/>
                <w:sz w:val="24"/>
                <w:szCs w:val="24"/>
              </w:rPr>
              <w:t>“Artículo 42. Derecho de oposición del deudor y efectos de la no oposición.</w:t>
            </w:r>
            <w:r w:rsidRPr="00E903CA">
              <w:rPr>
                <w:rFonts w:ascii="Aptos" w:eastAsia="Arial" w:hAnsi="Aptos" w:cs="Arial"/>
                <w:i/>
                <w:iCs/>
                <w:sz w:val="24"/>
                <w:szCs w:val="24"/>
              </w:rPr>
              <w:t xml:space="preserve"> Dentro de los diez (10) días hábiles siguientes a la notificación de que trata el artículo anterior, el deudor podrá oponerse a que el proceso continúe ante el centro de arbitraje, mediante manifestación escrita presentada ante el mismo centro, sin necesidad de sustentación ni de invocar causal alguna.</w:t>
            </w:r>
          </w:p>
          <w:p w14:paraId="409F4C55" w14:textId="77777777" w:rsidR="008731ED" w:rsidRPr="00E903CA" w:rsidRDefault="008731ED" w:rsidP="008731ED">
            <w:pPr>
              <w:pBdr>
                <w:top w:val="nil"/>
                <w:left w:val="nil"/>
                <w:bottom w:val="nil"/>
                <w:right w:val="nil"/>
                <w:between w:val="nil"/>
              </w:pBdr>
              <w:jc w:val="both"/>
              <w:rPr>
                <w:rFonts w:ascii="Aptos" w:hAnsi="Aptos" w:cs="Arial"/>
                <w:sz w:val="24"/>
                <w:szCs w:val="24"/>
              </w:rPr>
            </w:pPr>
            <w:r w:rsidRPr="00E903CA">
              <w:rPr>
                <w:rFonts w:ascii="Aptos" w:eastAsia="Arial" w:hAnsi="Aptos" w:cs="Arial"/>
                <w:i/>
                <w:iCs/>
                <w:sz w:val="24"/>
                <w:szCs w:val="24"/>
              </w:rPr>
              <w:t xml:space="preserve">Presentada la oposición dentro del término, el centro de arbitraje dará por </w:t>
            </w:r>
            <w:r w:rsidRPr="00E903CA">
              <w:rPr>
                <w:rFonts w:ascii="Aptos" w:eastAsia="Arial" w:hAnsi="Aptos" w:cs="Arial"/>
                <w:i/>
                <w:iCs/>
                <w:sz w:val="24"/>
                <w:szCs w:val="24"/>
              </w:rPr>
              <w:lastRenderedPageBreak/>
              <w:t>terminado el trámite y remitirá el expediente al juez civil competente, según las reglas del Código General del Proceso, para que continúe el proceso ejecutivo ante la jurisdicción ordinaria. La oposición del deudor no generará costo alguno a su cargo ni causará honorarios a favor de árbitro alguno, en la medida en que se resuelve con anterioridad a la integración del tribunal arbitral.</w:t>
            </w:r>
          </w:p>
          <w:p w14:paraId="3A4039D6" w14:textId="77777777" w:rsidR="008731ED" w:rsidRPr="00E903CA" w:rsidRDefault="008731ED" w:rsidP="008731ED">
            <w:pPr>
              <w:pBdr>
                <w:top w:val="nil"/>
                <w:left w:val="nil"/>
                <w:bottom w:val="nil"/>
                <w:right w:val="nil"/>
                <w:between w:val="nil"/>
              </w:pBdr>
              <w:jc w:val="both"/>
              <w:rPr>
                <w:rFonts w:ascii="Aptos" w:hAnsi="Aptos" w:cs="Arial"/>
                <w:sz w:val="24"/>
                <w:szCs w:val="24"/>
              </w:rPr>
            </w:pPr>
            <w:r w:rsidRPr="00E903CA">
              <w:rPr>
                <w:rFonts w:ascii="Aptos" w:eastAsia="Arial" w:hAnsi="Aptos" w:cs="Arial"/>
                <w:i/>
                <w:iCs/>
                <w:sz w:val="24"/>
                <w:szCs w:val="24"/>
              </w:rPr>
              <w:t>Si el deudor no presenta oposición dentro del término señalado, se entenderá habilitado el arbitraje para la totalidad del proceso ejecutivo, en los términos del artículo 116 de la Constitución Política. En tal caso, el centro de arbitraje procederá con el cobro de honorarios y gastos, la integración del tribunal y las demás etapas del proceso arbitral ejecutivo previstas en los artículos 15 y siguientes de la presente ley, correspondiendo al árbitro ejecutor, una vez integrado el tribunal, verificar los requisitos del título ejecutivo y librar el mandamiento de pago.</w:t>
            </w:r>
          </w:p>
          <w:p w14:paraId="4CF7A23B" w14:textId="77777777" w:rsidR="008731ED" w:rsidRPr="008731ED" w:rsidRDefault="008731ED" w:rsidP="008731ED">
            <w:pPr>
              <w:pBdr>
                <w:top w:val="nil"/>
                <w:left w:val="nil"/>
                <w:bottom w:val="nil"/>
                <w:right w:val="nil"/>
                <w:between w:val="nil"/>
              </w:pBdr>
              <w:jc w:val="both"/>
              <w:rPr>
                <w:rFonts w:ascii="Aptos" w:hAnsi="Aptos" w:cs="Arial"/>
                <w:sz w:val="24"/>
                <w:szCs w:val="24"/>
              </w:rPr>
            </w:pPr>
            <w:r w:rsidRPr="008731ED">
              <w:rPr>
                <w:rFonts w:ascii="Aptos" w:eastAsia="Arial" w:hAnsi="Aptos" w:cs="Arial"/>
                <w:i/>
                <w:iCs/>
                <w:sz w:val="24"/>
                <w:szCs w:val="24"/>
              </w:rPr>
              <w:t>Parágrafo. En cualquier tiempo antes de vencido el término del inciso primero, el deudor podrá manifestar de manera expresa su aceptación de la vía arbitral, caso en el cual el centro de arbitraje podrá continuar el trámite sin necesidad de esperar el vencimiento del término.”</w:t>
            </w:r>
            <w:r w:rsidRPr="008731ED">
              <w:rPr>
                <w:rFonts w:ascii="Aptos" w:hAnsi="Aptos" w:cs="Arial"/>
                <w:sz w:val="24"/>
                <w:szCs w:val="24"/>
              </w:rPr>
              <w:t xml:space="preserve"> </w:t>
            </w:r>
          </w:p>
        </w:tc>
        <w:tc>
          <w:tcPr>
            <w:tcW w:w="4675" w:type="dxa"/>
          </w:tcPr>
          <w:p w14:paraId="531782F4" w14:textId="77777777" w:rsidR="008731ED" w:rsidRPr="008731ED" w:rsidRDefault="008731ED" w:rsidP="008731ED">
            <w:pPr>
              <w:pBdr>
                <w:top w:val="nil"/>
                <w:left w:val="nil"/>
                <w:bottom w:val="nil"/>
                <w:right w:val="nil"/>
                <w:between w:val="nil"/>
              </w:pBdr>
              <w:jc w:val="both"/>
              <w:rPr>
                <w:rFonts w:ascii="Aptos" w:hAnsi="Aptos" w:cs="Arial"/>
                <w:sz w:val="24"/>
                <w:szCs w:val="24"/>
                <w:lang w:val="es-ES"/>
              </w:rPr>
            </w:pPr>
            <w:r w:rsidRPr="008731ED">
              <w:rPr>
                <w:rFonts w:ascii="Aptos" w:hAnsi="Aptos" w:cs="Arial"/>
                <w:b/>
                <w:bCs/>
                <w:sz w:val="24"/>
                <w:szCs w:val="24"/>
              </w:rPr>
              <w:lastRenderedPageBreak/>
              <w:t>Artículo 4°</w:t>
            </w:r>
            <w:r w:rsidRPr="008731ED">
              <w:rPr>
                <w:rFonts w:ascii="Aptos" w:hAnsi="Aptos" w:cs="Arial"/>
                <w:sz w:val="24"/>
                <w:szCs w:val="24"/>
              </w:rPr>
              <w:t xml:space="preserve">. </w:t>
            </w:r>
            <w:r w:rsidRPr="008731ED">
              <w:rPr>
                <w:rFonts w:ascii="Aptos" w:hAnsi="Aptos" w:cs="Arial"/>
                <w:sz w:val="24"/>
                <w:szCs w:val="24"/>
                <w:lang w:val="es-ES"/>
              </w:rPr>
              <w:t>Adiciónese el artículo 42 a la Ley 2540 de 2025, el cual quedará así:</w:t>
            </w:r>
          </w:p>
          <w:p w14:paraId="4807BC75" w14:textId="77777777" w:rsidR="008731ED" w:rsidRPr="00E903CA" w:rsidRDefault="008731ED" w:rsidP="008731ED">
            <w:pPr>
              <w:pBdr>
                <w:top w:val="nil"/>
                <w:left w:val="nil"/>
                <w:bottom w:val="nil"/>
                <w:right w:val="nil"/>
                <w:between w:val="nil"/>
              </w:pBdr>
              <w:jc w:val="both"/>
              <w:rPr>
                <w:rFonts w:ascii="Aptos" w:hAnsi="Aptos" w:cs="Arial"/>
                <w:sz w:val="24"/>
                <w:szCs w:val="24"/>
                <w:lang w:val="es-ES"/>
              </w:rPr>
            </w:pPr>
            <w:r w:rsidRPr="00E903CA">
              <w:rPr>
                <w:rFonts w:ascii="Aptos" w:hAnsi="Aptos" w:cs="Arial"/>
                <w:i/>
                <w:iCs/>
                <w:sz w:val="24"/>
                <w:szCs w:val="24"/>
                <w:lang w:val="es-ES"/>
              </w:rPr>
              <w:t>"Artículo 42. Derecho de oposición del deudor y efectos de la no oposición. Dentro de los diez (10) días hábiles siguientes a la notificación de que trata el artículo anterior, el deudor podrá oponerse a que el proceso continúe ante el centro de arbitraje, mediante manifestación escrita presentada ante el mismo centro, sin necesidad de sustentación ni de invocar causal alguna.</w:t>
            </w:r>
          </w:p>
          <w:p w14:paraId="6BD5AAF8" w14:textId="77777777" w:rsidR="008731ED" w:rsidRPr="00E903CA" w:rsidRDefault="008731ED" w:rsidP="008731ED">
            <w:pPr>
              <w:pBdr>
                <w:top w:val="nil"/>
                <w:left w:val="nil"/>
                <w:bottom w:val="nil"/>
                <w:right w:val="nil"/>
                <w:between w:val="nil"/>
              </w:pBdr>
              <w:jc w:val="both"/>
              <w:rPr>
                <w:rFonts w:ascii="Aptos" w:hAnsi="Aptos" w:cs="Arial"/>
                <w:sz w:val="24"/>
                <w:szCs w:val="24"/>
                <w:lang w:val="es-ES"/>
              </w:rPr>
            </w:pPr>
            <w:r w:rsidRPr="00E903CA">
              <w:rPr>
                <w:rFonts w:ascii="Aptos" w:hAnsi="Aptos" w:cs="Arial"/>
                <w:i/>
                <w:iCs/>
                <w:sz w:val="24"/>
                <w:szCs w:val="24"/>
                <w:lang w:val="es-ES"/>
              </w:rPr>
              <w:lastRenderedPageBreak/>
              <w:t>Presentada la oposición dentro del término, el centro de arbitraje dará por terminado el trámite y remitirá el expediente al juez civil competente, según las reglas del Código General del Proceso, para que continúe el proceso ejecutivo ante la jurisdicción ordinaria. La oposición del deudor no generará costo alguno a su cargo ni causará honorarios a favor de árbitro alguno, en la medida en que se resuelve con anterioridad a la integración del tribunal arbitral.</w:t>
            </w:r>
          </w:p>
          <w:p w14:paraId="7F0CDD75" w14:textId="77777777" w:rsidR="008731ED" w:rsidRPr="00E903CA" w:rsidRDefault="008731ED" w:rsidP="008731ED">
            <w:pPr>
              <w:pBdr>
                <w:top w:val="nil"/>
                <w:left w:val="nil"/>
                <w:bottom w:val="nil"/>
                <w:right w:val="nil"/>
                <w:between w:val="nil"/>
              </w:pBdr>
              <w:jc w:val="both"/>
              <w:rPr>
                <w:rFonts w:ascii="Aptos" w:hAnsi="Aptos" w:cs="Arial"/>
                <w:sz w:val="24"/>
                <w:szCs w:val="24"/>
                <w:lang w:val="es-ES"/>
              </w:rPr>
            </w:pPr>
            <w:r w:rsidRPr="00E903CA">
              <w:rPr>
                <w:rFonts w:ascii="Aptos" w:hAnsi="Aptos" w:cs="Arial"/>
                <w:i/>
                <w:iCs/>
                <w:sz w:val="24"/>
                <w:szCs w:val="24"/>
                <w:lang w:val="es-ES"/>
              </w:rPr>
              <w:t>Si el deudor no presenta oposición dentro del término señalado, se entenderá habilitado el arbitraje para la totalidad del proceso ejecutivo, en los términos del artículo 116 de la Constitución Política. En tal caso, el centro de arbitraje procederá con el cobro de honorarios y gastos, la integración del tribunal y las demás etapas del proceso arbitral ejecutivo previstas en los artículos 15 y siguientes de la presente ley, correspondiendo al árbitro ejecutor, una vez integrado el tribunal, verificar los requisitos del título ejecutivo y librar el mandamiento de pago.</w:t>
            </w:r>
          </w:p>
          <w:p w14:paraId="2B98CAF7" w14:textId="77777777" w:rsidR="008731ED" w:rsidRPr="00E903CA" w:rsidRDefault="008731ED" w:rsidP="008731ED">
            <w:pPr>
              <w:pBdr>
                <w:top w:val="nil"/>
                <w:left w:val="nil"/>
                <w:bottom w:val="nil"/>
                <w:right w:val="nil"/>
                <w:between w:val="nil"/>
              </w:pBdr>
              <w:jc w:val="both"/>
              <w:rPr>
                <w:rFonts w:ascii="Aptos" w:hAnsi="Aptos" w:cs="Arial"/>
                <w:sz w:val="24"/>
                <w:szCs w:val="24"/>
                <w:lang w:val="es-ES"/>
              </w:rPr>
            </w:pPr>
            <w:r w:rsidRPr="00E903CA">
              <w:rPr>
                <w:rFonts w:ascii="Aptos" w:hAnsi="Aptos" w:cs="Arial"/>
                <w:i/>
                <w:iCs/>
                <w:sz w:val="24"/>
                <w:szCs w:val="24"/>
                <w:lang w:val="es-ES"/>
              </w:rPr>
              <w:t>Parágrafo primero. En cualquier tiempo antes de vencido el término del inciso primero, el deudor podrá manifestar de manera expresa su aceptación de la vía arbitral, caso en el cual el centro de arbitraje podrá continuar el trámite sin necesidad de esperar el vencimiento del término.</w:t>
            </w:r>
          </w:p>
          <w:p w14:paraId="1FAF2A24" w14:textId="77777777" w:rsidR="008731ED" w:rsidRPr="008731ED" w:rsidRDefault="008731ED" w:rsidP="008731ED">
            <w:pPr>
              <w:pBdr>
                <w:top w:val="nil"/>
                <w:left w:val="nil"/>
                <w:bottom w:val="nil"/>
                <w:right w:val="nil"/>
                <w:between w:val="nil"/>
              </w:pBdr>
              <w:jc w:val="both"/>
              <w:rPr>
                <w:rFonts w:ascii="Aptos" w:hAnsi="Aptos" w:cs="Arial"/>
                <w:sz w:val="24"/>
                <w:szCs w:val="24"/>
              </w:rPr>
            </w:pPr>
            <w:r w:rsidRPr="008731ED">
              <w:rPr>
                <w:rFonts w:ascii="Aptos" w:hAnsi="Aptos" w:cs="Arial"/>
                <w:b/>
                <w:bCs/>
                <w:i/>
                <w:iCs/>
                <w:sz w:val="24"/>
                <w:szCs w:val="24"/>
                <w:lang w:val="es-ES"/>
              </w:rPr>
              <w:t xml:space="preserve">Parágrafo segundo. La manifestación escrita de oposición presentada en término es condición necesaria y suficiente para la remisión del expediente a la jurisdicción ordinaria, </w:t>
            </w:r>
            <w:r w:rsidRPr="008731ED">
              <w:rPr>
                <w:rFonts w:ascii="Aptos" w:hAnsi="Aptos" w:cs="Arial"/>
                <w:b/>
                <w:bCs/>
                <w:i/>
                <w:iCs/>
                <w:sz w:val="24"/>
                <w:szCs w:val="24"/>
                <w:lang w:val="es-ES"/>
              </w:rPr>
              <w:lastRenderedPageBreak/>
              <w:t>sin que el centro de arbitraje pueda calificar, cuestionar o desestimar dicha oposición por razón de su motivación o suficiencia argumentativa".</w:t>
            </w:r>
          </w:p>
        </w:tc>
      </w:tr>
      <w:tr w:rsidR="008731ED" w:rsidRPr="008731ED" w14:paraId="05451134" w14:textId="77777777" w:rsidTr="003E7564">
        <w:tc>
          <w:tcPr>
            <w:tcW w:w="4675" w:type="dxa"/>
          </w:tcPr>
          <w:p w14:paraId="2D9FF3C7" w14:textId="77777777" w:rsidR="008731ED" w:rsidRPr="008731ED" w:rsidRDefault="008731ED" w:rsidP="008731ED">
            <w:pPr>
              <w:pBdr>
                <w:top w:val="nil"/>
                <w:left w:val="nil"/>
                <w:bottom w:val="nil"/>
                <w:right w:val="nil"/>
                <w:between w:val="nil"/>
              </w:pBdr>
              <w:jc w:val="both"/>
              <w:rPr>
                <w:rFonts w:ascii="Aptos" w:hAnsi="Aptos" w:cs="Arial"/>
                <w:sz w:val="24"/>
                <w:szCs w:val="24"/>
              </w:rPr>
            </w:pPr>
            <w:r w:rsidRPr="008731ED">
              <w:rPr>
                <w:rFonts w:ascii="Aptos" w:hAnsi="Aptos" w:cs="Arial"/>
                <w:b/>
                <w:bCs/>
                <w:sz w:val="24"/>
                <w:szCs w:val="24"/>
              </w:rPr>
              <w:lastRenderedPageBreak/>
              <w:t>Artículo 5°</w:t>
            </w:r>
            <w:r w:rsidRPr="008731ED">
              <w:rPr>
                <w:rFonts w:ascii="Aptos" w:hAnsi="Aptos" w:cs="Arial"/>
                <w:sz w:val="24"/>
                <w:szCs w:val="24"/>
              </w:rPr>
              <w:t>. Adiciónese</w:t>
            </w:r>
            <w:r w:rsidRPr="008731ED">
              <w:rPr>
                <w:rFonts w:ascii="Aptos" w:eastAsia="Arial" w:hAnsi="Aptos" w:cs="Arial"/>
                <w:sz w:val="24"/>
                <w:szCs w:val="24"/>
              </w:rPr>
              <w:t xml:space="preserve"> el artículo 43 a la Ley 2540 de 2025, el cual quedará así:</w:t>
            </w:r>
          </w:p>
          <w:p w14:paraId="6C57EF75" w14:textId="77777777" w:rsidR="008731ED" w:rsidRPr="00E903CA" w:rsidRDefault="008731ED" w:rsidP="008731ED">
            <w:pPr>
              <w:pBdr>
                <w:top w:val="nil"/>
                <w:left w:val="nil"/>
                <w:bottom w:val="nil"/>
                <w:right w:val="nil"/>
                <w:between w:val="nil"/>
              </w:pBdr>
              <w:jc w:val="both"/>
              <w:rPr>
                <w:rFonts w:ascii="Aptos" w:hAnsi="Aptos" w:cs="Arial"/>
                <w:sz w:val="24"/>
                <w:szCs w:val="24"/>
              </w:rPr>
            </w:pPr>
            <w:r w:rsidRPr="00E903CA">
              <w:rPr>
                <w:rFonts w:ascii="Aptos" w:eastAsia="Arial" w:hAnsi="Aptos" w:cs="Arial"/>
                <w:b/>
                <w:bCs/>
                <w:i/>
                <w:iCs/>
                <w:sz w:val="24"/>
                <w:szCs w:val="24"/>
              </w:rPr>
              <w:t>“Artículo 43. Información mínima y protección al consumidor en procesos sin pacto arbitral previo.</w:t>
            </w:r>
            <w:r w:rsidRPr="00E903CA">
              <w:rPr>
                <w:rFonts w:ascii="Aptos" w:eastAsia="Arial" w:hAnsi="Aptos" w:cs="Arial"/>
                <w:i/>
                <w:iCs/>
                <w:sz w:val="24"/>
                <w:szCs w:val="24"/>
              </w:rPr>
              <w:t xml:space="preserve"> Cuando el deudor tenga la calidad de consumidor en los términos de la Ley 1480 de 2011, la notificación de que trata el artículo 41 de la presente ley deberá, además, informarle de manera clara, veraz, suficiente, comprensible y verificable sobre las diferencias entre el trámite arbitral y el ordinario, los costos estimados del proceso arbitral, la posibilidad de proponer excepciones y ejercer recursos en ambas vías, y el carácter irrenunciable de sus derechos como consumidor.</w:t>
            </w:r>
          </w:p>
          <w:p w14:paraId="048A575D" w14:textId="77777777" w:rsidR="008731ED" w:rsidRPr="008731ED" w:rsidRDefault="008731ED" w:rsidP="008731ED">
            <w:pPr>
              <w:pBdr>
                <w:top w:val="nil"/>
                <w:left w:val="nil"/>
                <w:bottom w:val="nil"/>
                <w:right w:val="nil"/>
                <w:between w:val="nil"/>
              </w:pBdr>
              <w:jc w:val="both"/>
              <w:rPr>
                <w:rFonts w:ascii="Aptos" w:hAnsi="Aptos" w:cs="Arial"/>
                <w:sz w:val="24"/>
                <w:szCs w:val="24"/>
              </w:rPr>
            </w:pPr>
            <w:r w:rsidRPr="00E903CA">
              <w:rPr>
                <w:rFonts w:ascii="Aptos" w:eastAsia="Arial" w:hAnsi="Aptos" w:cs="Arial"/>
                <w:i/>
                <w:iCs/>
                <w:sz w:val="24"/>
                <w:szCs w:val="24"/>
              </w:rPr>
              <w:t>Lo previsto en los artículos 5° y 6° de la presente ley se aplicará, en lo pertinente, a los procesos ejecutivos arbitrales que se adelanten sin pacto arbitral previo respecto de deudores consumidores.”</w:t>
            </w:r>
          </w:p>
        </w:tc>
        <w:tc>
          <w:tcPr>
            <w:tcW w:w="4675" w:type="dxa"/>
          </w:tcPr>
          <w:p w14:paraId="4A464800" w14:textId="77777777" w:rsidR="008731ED" w:rsidRPr="008731ED" w:rsidRDefault="008731ED" w:rsidP="008731ED">
            <w:pPr>
              <w:pBdr>
                <w:top w:val="nil"/>
                <w:left w:val="nil"/>
                <w:bottom w:val="nil"/>
                <w:right w:val="nil"/>
                <w:between w:val="nil"/>
              </w:pBdr>
              <w:jc w:val="both"/>
              <w:rPr>
                <w:rFonts w:ascii="Aptos" w:hAnsi="Aptos" w:cs="Arial"/>
                <w:sz w:val="24"/>
                <w:szCs w:val="24"/>
              </w:rPr>
            </w:pPr>
            <w:r w:rsidRPr="008731ED">
              <w:rPr>
                <w:rFonts w:ascii="Aptos" w:hAnsi="Aptos" w:cs="Arial"/>
                <w:b/>
                <w:bCs/>
                <w:sz w:val="24"/>
                <w:szCs w:val="24"/>
              </w:rPr>
              <w:t>Artículo 5°</w:t>
            </w:r>
            <w:r w:rsidRPr="008731ED">
              <w:rPr>
                <w:rFonts w:ascii="Aptos" w:hAnsi="Aptos" w:cs="Arial"/>
                <w:sz w:val="24"/>
                <w:szCs w:val="24"/>
              </w:rPr>
              <w:t xml:space="preserve">. Sin modificaciones. </w:t>
            </w:r>
          </w:p>
        </w:tc>
      </w:tr>
      <w:tr w:rsidR="008731ED" w:rsidRPr="008731ED" w14:paraId="27215932" w14:textId="77777777" w:rsidTr="003E7564">
        <w:tc>
          <w:tcPr>
            <w:tcW w:w="4675" w:type="dxa"/>
          </w:tcPr>
          <w:p w14:paraId="45B1AC44" w14:textId="77777777" w:rsidR="008731ED" w:rsidRPr="008731ED" w:rsidRDefault="008731ED" w:rsidP="008731ED">
            <w:pPr>
              <w:pBdr>
                <w:top w:val="nil"/>
                <w:left w:val="nil"/>
                <w:bottom w:val="nil"/>
                <w:right w:val="nil"/>
                <w:between w:val="nil"/>
              </w:pBdr>
              <w:jc w:val="both"/>
              <w:rPr>
                <w:rFonts w:ascii="Aptos" w:hAnsi="Aptos" w:cs="Arial"/>
                <w:sz w:val="24"/>
                <w:szCs w:val="24"/>
              </w:rPr>
            </w:pPr>
            <w:r w:rsidRPr="008731ED">
              <w:rPr>
                <w:rFonts w:ascii="Aptos" w:hAnsi="Aptos" w:cs="Arial"/>
                <w:b/>
                <w:bCs/>
                <w:sz w:val="24"/>
                <w:szCs w:val="24"/>
              </w:rPr>
              <w:t>Artículo 6</w:t>
            </w:r>
            <w:r w:rsidRPr="008731ED">
              <w:rPr>
                <w:rFonts w:ascii="Aptos" w:hAnsi="Aptos" w:cs="Arial"/>
                <w:sz w:val="24"/>
                <w:szCs w:val="24"/>
              </w:rPr>
              <w:t>. Adiciónese</w:t>
            </w:r>
            <w:r w:rsidRPr="008731ED">
              <w:rPr>
                <w:rFonts w:ascii="Aptos" w:eastAsia="Arial" w:hAnsi="Aptos" w:cs="Arial"/>
                <w:sz w:val="24"/>
                <w:szCs w:val="24"/>
              </w:rPr>
              <w:t xml:space="preserve"> el artículo 44 a la Ley 2540 de 2025, el cual quedará así:</w:t>
            </w:r>
          </w:p>
          <w:p w14:paraId="4C2A8545" w14:textId="77777777" w:rsidR="008731ED" w:rsidRPr="00E903CA" w:rsidRDefault="008731ED" w:rsidP="008731ED">
            <w:pPr>
              <w:pBdr>
                <w:top w:val="nil"/>
                <w:left w:val="nil"/>
                <w:bottom w:val="nil"/>
                <w:right w:val="nil"/>
                <w:between w:val="nil"/>
              </w:pBdr>
              <w:jc w:val="both"/>
              <w:rPr>
                <w:rFonts w:ascii="Aptos" w:hAnsi="Aptos" w:cs="Arial"/>
                <w:sz w:val="24"/>
                <w:szCs w:val="24"/>
              </w:rPr>
            </w:pPr>
            <w:r w:rsidRPr="00E903CA">
              <w:rPr>
                <w:rFonts w:ascii="Aptos" w:eastAsia="Arial" w:hAnsi="Aptos" w:cs="Arial"/>
                <w:b/>
                <w:bCs/>
                <w:i/>
                <w:iCs/>
                <w:sz w:val="24"/>
                <w:szCs w:val="24"/>
              </w:rPr>
              <w:t>“Artículo 44. Régimen sancionatorio.</w:t>
            </w:r>
            <w:r w:rsidRPr="00E903CA">
              <w:rPr>
                <w:rFonts w:ascii="Aptos" w:eastAsia="Arial" w:hAnsi="Aptos" w:cs="Arial"/>
                <w:i/>
                <w:iCs/>
                <w:sz w:val="24"/>
                <w:szCs w:val="24"/>
              </w:rPr>
              <w:t xml:space="preserve"> Los centros de arbitraje que omitan las obligaciones de información y notificación previstas en los artículos 41 y 43 de la presente ley, o que impidan u obstaculicen el ejercicio del derecho de oposición del deudor previsto en el artículo 42, serán objeto de las medidas de inspección, vigilancia y control que corresponda ejercer al Ministerio de Justicia y del Derecho, sin perjuicio de las </w:t>
            </w:r>
            <w:r w:rsidRPr="00E903CA">
              <w:rPr>
                <w:rFonts w:ascii="Aptos" w:eastAsia="Arial" w:hAnsi="Aptos" w:cs="Arial"/>
                <w:i/>
                <w:iCs/>
                <w:sz w:val="24"/>
                <w:szCs w:val="24"/>
              </w:rPr>
              <w:lastRenderedPageBreak/>
              <w:t>acciones disciplinarias, civiles o penales a que haya lugar.</w:t>
            </w:r>
          </w:p>
          <w:p w14:paraId="1647765F" w14:textId="77777777" w:rsidR="008731ED" w:rsidRPr="008731ED" w:rsidRDefault="008731ED" w:rsidP="008731ED">
            <w:pPr>
              <w:pBdr>
                <w:top w:val="nil"/>
                <w:left w:val="nil"/>
                <w:bottom w:val="nil"/>
                <w:right w:val="nil"/>
                <w:between w:val="nil"/>
              </w:pBdr>
              <w:jc w:val="both"/>
              <w:rPr>
                <w:rFonts w:ascii="Aptos" w:hAnsi="Aptos" w:cs="Arial"/>
                <w:sz w:val="24"/>
                <w:szCs w:val="24"/>
              </w:rPr>
            </w:pPr>
            <w:r w:rsidRPr="008731ED">
              <w:rPr>
                <w:rFonts w:ascii="Aptos" w:eastAsia="Arial" w:hAnsi="Aptos" w:cs="Arial"/>
                <w:i/>
                <w:iCs/>
                <w:sz w:val="24"/>
                <w:szCs w:val="24"/>
              </w:rPr>
              <w:t>Los acreedores o centros de arbitraje que, mediante cualquier maniobra, impidan que la notificación llegue efectivamente a conocimiento del deudor, con el propósito de obtener su habilitación tácita al arbitraje, incurrirán en las sanciones disciplinarias, civiles o penales a que haya lugar, sin perjuicio de la nulidad de lo actuado conforme a las reglas generales de nulidad del Código General del Proceso.”</w:t>
            </w:r>
          </w:p>
        </w:tc>
        <w:tc>
          <w:tcPr>
            <w:tcW w:w="4675" w:type="dxa"/>
          </w:tcPr>
          <w:p w14:paraId="4E94C6DE" w14:textId="77777777" w:rsidR="008731ED" w:rsidRPr="00E903CA" w:rsidRDefault="008731ED" w:rsidP="008731ED">
            <w:pPr>
              <w:pBdr>
                <w:top w:val="nil"/>
                <w:left w:val="nil"/>
                <w:bottom w:val="nil"/>
                <w:right w:val="nil"/>
                <w:between w:val="nil"/>
              </w:pBdr>
              <w:jc w:val="both"/>
              <w:rPr>
                <w:rFonts w:ascii="Aptos" w:hAnsi="Aptos" w:cs="Arial"/>
                <w:sz w:val="24"/>
                <w:szCs w:val="24"/>
                <w:lang w:val="es-ES"/>
              </w:rPr>
            </w:pPr>
            <w:r w:rsidRPr="00E903CA">
              <w:rPr>
                <w:rFonts w:ascii="Aptos" w:hAnsi="Aptos" w:cs="Arial"/>
                <w:b/>
                <w:bCs/>
                <w:sz w:val="24"/>
                <w:szCs w:val="24"/>
                <w:lang w:val="es-ES"/>
              </w:rPr>
              <w:lastRenderedPageBreak/>
              <w:t xml:space="preserve">Artículo 6. </w:t>
            </w:r>
            <w:r w:rsidRPr="00E903CA">
              <w:rPr>
                <w:rFonts w:ascii="Aptos" w:hAnsi="Aptos" w:cs="Arial"/>
                <w:sz w:val="24"/>
                <w:szCs w:val="24"/>
                <w:lang w:val="es-ES"/>
              </w:rPr>
              <w:t>Adiciónese el artículo 44 a la Ley 2540 de 2025, el cual quedará así:</w:t>
            </w:r>
          </w:p>
          <w:p w14:paraId="3C9E20DE" w14:textId="77777777" w:rsidR="008731ED" w:rsidRPr="00E903CA" w:rsidRDefault="008731ED" w:rsidP="008731ED">
            <w:pPr>
              <w:pBdr>
                <w:top w:val="nil"/>
                <w:left w:val="nil"/>
                <w:bottom w:val="nil"/>
                <w:right w:val="nil"/>
                <w:between w:val="nil"/>
              </w:pBdr>
              <w:jc w:val="both"/>
              <w:rPr>
                <w:rFonts w:ascii="Aptos" w:hAnsi="Aptos" w:cs="Arial"/>
                <w:sz w:val="24"/>
                <w:szCs w:val="24"/>
                <w:lang w:val="es-ES"/>
              </w:rPr>
            </w:pPr>
            <w:r w:rsidRPr="00E903CA">
              <w:rPr>
                <w:rFonts w:ascii="Aptos" w:hAnsi="Aptos" w:cs="Arial"/>
                <w:i/>
                <w:iCs/>
                <w:sz w:val="24"/>
                <w:szCs w:val="24"/>
                <w:lang w:val="es-ES"/>
              </w:rPr>
              <w:t xml:space="preserve">"Artículo 44. Régimen sancionatorio. Los centros de arbitraje que omitan las obligaciones de información y notificación previstas en los artículos 41 y 43 de la presente ley, o que impidan u obstaculicen el ejercicio del derecho de oposición del deudor previsto en el artículo 42, serán objeto de las medidas de inspección, vigilancia y control que corresponda ejercer al Ministerio de Justicia y del Derecho, sin perjuicio de </w:t>
            </w:r>
            <w:r w:rsidRPr="00E903CA">
              <w:rPr>
                <w:rFonts w:ascii="Aptos" w:hAnsi="Aptos" w:cs="Arial"/>
                <w:i/>
                <w:iCs/>
                <w:sz w:val="24"/>
                <w:szCs w:val="24"/>
                <w:lang w:val="es-ES"/>
              </w:rPr>
              <w:lastRenderedPageBreak/>
              <w:t>las acciones disciplinarias, civiles o penales a que haya lugar.</w:t>
            </w:r>
          </w:p>
          <w:p w14:paraId="195FC5E8" w14:textId="77777777" w:rsidR="008731ED" w:rsidRPr="00E903CA" w:rsidRDefault="008731ED" w:rsidP="008731ED">
            <w:pPr>
              <w:pBdr>
                <w:top w:val="nil"/>
                <w:left w:val="nil"/>
                <w:bottom w:val="nil"/>
                <w:right w:val="nil"/>
                <w:between w:val="nil"/>
              </w:pBdr>
              <w:jc w:val="both"/>
              <w:rPr>
                <w:rFonts w:ascii="Aptos" w:hAnsi="Aptos" w:cs="Arial"/>
                <w:sz w:val="24"/>
                <w:szCs w:val="24"/>
                <w:lang w:val="es-ES"/>
              </w:rPr>
            </w:pPr>
            <w:r w:rsidRPr="00E903CA">
              <w:rPr>
                <w:rFonts w:ascii="Aptos" w:hAnsi="Aptos" w:cs="Arial"/>
                <w:i/>
                <w:iCs/>
                <w:sz w:val="24"/>
                <w:szCs w:val="24"/>
                <w:lang w:val="es-ES"/>
              </w:rPr>
              <w:t>Los acreedores o centros de arbitraje que, mediante cualquier maniobra, impidan que la notificación llegue efectivamente a conocimiento del deudor, con el propósito de obtener su habilitación tácita al arbitraje, incurrirán en las sanciones disciplinarias, civiles o penales a que haya lugar, sin perjuicio de la nulidad de lo actuado conforme a las reglas generales de nulidad del Código General del Proceso.</w:t>
            </w:r>
          </w:p>
          <w:p w14:paraId="0A382648" w14:textId="77777777" w:rsidR="008731ED" w:rsidRPr="008731ED" w:rsidRDefault="008731ED" w:rsidP="008731ED">
            <w:pPr>
              <w:pBdr>
                <w:top w:val="nil"/>
                <w:left w:val="nil"/>
                <w:bottom w:val="nil"/>
                <w:right w:val="nil"/>
                <w:between w:val="nil"/>
              </w:pBdr>
              <w:jc w:val="both"/>
              <w:rPr>
                <w:rFonts w:ascii="Aptos" w:hAnsi="Aptos" w:cs="Arial"/>
                <w:b/>
                <w:bCs/>
                <w:sz w:val="24"/>
                <w:szCs w:val="24"/>
              </w:rPr>
            </w:pPr>
            <w:r w:rsidRPr="008731ED">
              <w:rPr>
                <w:rFonts w:ascii="Aptos" w:hAnsi="Aptos" w:cs="Arial"/>
                <w:b/>
                <w:bCs/>
                <w:i/>
                <w:iCs/>
                <w:sz w:val="24"/>
                <w:szCs w:val="24"/>
                <w:lang w:val="es-ES"/>
              </w:rPr>
              <w:t>Parágrafo. Las sanciones disciplinarias a que haya lugar respecto de abogados que incurran en las conductas descritas en este artículo se tramitarán de conformidad con la Ley 1123 de 2007, sin perjuicio de las competencias de inspección, vigilancia y control que corresponden al Ministerio de Justicia y del Derecho sobre los centros de arbitraje".</w:t>
            </w:r>
          </w:p>
        </w:tc>
      </w:tr>
      <w:tr w:rsidR="008731ED" w:rsidRPr="008731ED" w14:paraId="1CE981BF" w14:textId="77777777" w:rsidTr="003E7564">
        <w:tc>
          <w:tcPr>
            <w:tcW w:w="4675" w:type="dxa"/>
          </w:tcPr>
          <w:p w14:paraId="4567A01E" w14:textId="77777777" w:rsidR="008731ED" w:rsidRPr="00E903CA" w:rsidRDefault="008731ED" w:rsidP="008731ED">
            <w:pPr>
              <w:pBdr>
                <w:top w:val="nil"/>
                <w:left w:val="nil"/>
                <w:bottom w:val="nil"/>
                <w:right w:val="nil"/>
                <w:between w:val="nil"/>
              </w:pBdr>
              <w:jc w:val="both"/>
              <w:rPr>
                <w:rFonts w:ascii="Aptos" w:hAnsi="Aptos" w:cs="Arial"/>
                <w:sz w:val="24"/>
                <w:szCs w:val="24"/>
              </w:rPr>
            </w:pPr>
            <w:r w:rsidRPr="00E903CA">
              <w:rPr>
                <w:rFonts w:ascii="Aptos" w:eastAsia="Georgia" w:hAnsi="Aptos" w:cs="Arial"/>
                <w:b/>
                <w:bCs/>
                <w:sz w:val="24"/>
                <w:szCs w:val="24"/>
              </w:rPr>
              <w:lastRenderedPageBreak/>
              <w:t xml:space="preserve">Artículo 7. </w:t>
            </w:r>
            <w:r w:rsidRPr="00E903CA">
              <w:rPr>
                <w:rFonts w:ascii="Aptos" w:eastAsia="Arial" w:hAnsi="Aptos" w:cs="Arial"/>
                <w:b/>
                <w:bCs/>
                <w:sz w:val="24"/>
                <w:szCs w:val="24"/>
              </w:rPr>
              <w:t xml:space="preserve">Régimen de transición. </w:t>
            </w:r>
            <w:r w:rsidRPr="00E903CA">
              <w:rPr>
                <w:rFonts w:ascii="Aptos" w:eastAsia="Arial" w:hAnsi="Aptos" w:cs="Arial"/>
                <w:sz w:val="24"/>
                <w:szCs w:val="24"/>
              </w:rPr>
              <w:t>Los procesos ejecutivos que se encuentren en trámite ante la jurisdicción ordinaria a la entrada en vigencia de la presente ley continuarán su trámite ante dicha jurisdicción hasta su terminación.</w:t>
            </w:r>
          </w:p>
          <w:p w14:paraId="33766748" w14:textId="77777777" w:rsidR="008731ED" w:rsidRPr="008731ED" w:rsidRDefault="008731ED" w:rsidP="008731ED">
            <w:pPr>
              <w:pBdr>
                <w:top w:val="nil"/>
                <w:left w:val="nil"/>
                <w:bottom w:val="nil"/>
                <w:right w:val="nil"/>
                <w:between w:val="nil"/>
              </w:pBdr>
              <w:jc w:val="both"/>
              <w:rPr>
                <w:rFonts w:ascii="Aptos" w:hAnsi="Aptos" w:cs="Arial"/>
                <w:b/>
                <w:bCs/>
                <w:sz w:val="24"/>
                <w:szCs w:val="24"/>
              </w:rPr>
            </w:pPr>
            <w:r w:rsidRPr="008731ED">
              <w:rPr>
                <w:rFonts w:ascii="Aptos" w:eastAsia="Arial" w:hAnsi="Aptos" w:cs="Arial"/>
                <w:sz w:val="24"/>
                <w:szCs w:val="24"/>
              </w:rPr>
              <w:t>Los procesos ejecutivos arbitrales iniciados con fundamento en pacto arbitral previo con anterioridad a la entrada en vigencia de la presente ley, continuarán rigiéndose por las normas vigentes al momento de su iniciación hasta su terminación</w:t>
            </w:r>
            <w:r w:rsidRPr="008731ED">
              <w:rPr>
                <w:rFonts w:ascii="Aptos" w:hAnsi="Aptos" w:cs="Arial"/>
                <w:sz w:val="24"/>
                <w:szCs w:val="24"/>
              </w:rPr>
              <w:t>.</w:t>
            </w:r>
          </w:p>
        </w:tc>
        <w:tc>
          <w:tcPr>
            <w:tcW w:w="4675" w:type="dxa"/>
          </w:tcPr>
          <w:p w14:paraId="6064FA77" w14:textId="77777777" w:rsidR="008731ED" w:rsidRPr="008731ED" w:rsidRDefault="008731ED" w:rsidP="008731ED">
            <w:pPr>
              <w:pBdr>
                <w:top w:val="nil"/>
                <w:left w:val="nil"/>
                <w:bottom w:val="nil"/>
                <w:right w:val="nil"/>
                <w:between w:val="nil"/>
              </w:pBdr>
              <w:jc w:val="both"/>
              <w:rPr>
                <w:rFonts w:ascii="Aptos" w:hAnsi="Aptos" w:cs="Arial"/>
                <w:sz w:val="24"/>
                <w:szCs w:val="24"/>
              </w:rPr>
            </w:pPr>
            <w:r w:rsidRPr="008731ED">
              <w:rPr>
                <w:rFonts w:ascii="Aptos" w:hAnsi="Aptos" w:cs="Arial"/>
                <w:b/>
                <w:bCs/>
                <w:sz w:val="24"/>
                <w:szCs w:val="24"/>
              </w:rPr>
              <w:t>Artículo 7º</w:t>
            </w:r>
            <w:r w:rsidRPr="008731ED">
              <w:rPr>
                <w:rFonts w:ascii="Aptos" w:hAnsi="Aptos" w:cs="Arial"/>
                <w:sz w:val="24"/>
                <w:szCs w:val="24"/>
              </w:rPr>
              <w:t>. Sin modificaciones.</w:t>
            </w:r>
          </w:p>
        </w:tc>
      </w:tr>
      <w:tr w:rsidR="008731ED" w:rsidRPr="008731ED" w14:paraId="2B17A2C7" w14:textId="77777777" w:rsidTr="003E7564">
        <w:tc>
          <w:tcPr>
            <w:tcW w:w="4675" w:type="dxa"/>
          </w:tcPr>
          <w:p w14:paraId="4523400C" w14:textId="77777777" w:rsidR="008731ED" w:rsidRPr="008731ED" w:rsidRDefault="008731ED" w:rsidP="008731ED">
            <w:pPr>
              <w:pBdr>
                <w:top w:val="nil"/>
                <w:left w:val="nil"/>
                <w:bottom w:val="nil"/>
                <w:right w:val="nil"/>
                <w:between w:val="nil"/>
              </w:pBdr>
              <w:jc w:val="both"/>
              <w:rPr>
                <w:rFonts w:ascii="Aptos" w:hAnsi="Aptos" w:cs="Arial"/>
                <w:sz w:val="24"/>
                <w:szCs w:val="24"/>
              </w:rPr>
            </w:pPr>
            <w:r w:rsidRPr="008731ED">
              <w:rPr>
                <w:rFonts w:ascii="Aptos" w:eastAsia="Georgia" w:hAnsi="Aptos" w:cs="Arial"/>
                <w:b/>
                <w:bCs/>
                <w:sz w:val="24"/>
                <w:szCs w:val="24"/>
              </w:rPr>
              <w:t>Artículo 8.</w:t>
            </w:r>
            <w:r w:rsidRPr="008731ED">
              <w:rPr>
                <w:rFonts w:ascii="Aptos" w:eastAsia="Arial" w:hAnsi="Aptos" w:cs="Arial"/>
                <w:b/>
                <w:bCs/>
                <w:sz w:val="24"/>
                <w:szCs w:val="24"/>
              </w:rPr>
              <w:t xml:space="preserve"> Vigencia y derogatorias.</w:t>
            </w:r>
            <w:r w:rsidRPr="008731ED">
              <w:rPr>
                <w:rFonts w:ascii="Aptos" w:eastAsia="Arial" w:hAnsi="Aptos" w:cs="Arial"/>
                <w:sz w:val="24"/>
                <w:szCs w:val="24"/>
              </w:rPr>
              <w:t xml:space="preserve"> La presente ley rige a partir de su promulgación y deroga todas las disposiciones que le sean contrarias</w:t>
            </w:r>
            <w:r w:rsidRPr="008731ED">
              <w:rPr>
                <w:rFonts w:ascii="Aptos" w:hAnsi="Aptos" w:cs="Arial"/>
                <w:sz w:val="24"/>
                <w:szCs w:val="24"/>
              </w:rPr>
              <w:t>.</w:t>
            </w:r>
          </w:p>
        </w:tc>
        <w:tc>
          <w:tcPr>
            <w:tcW w:w="4675" w:type="dxa"/>
          </w:tcPr>
          <w:p w14:paraId="745CE705" w14:textId="77777777" w:rsidR="008731ED" w:rsidRPr="008731ED" w:rsidRDefault="008731ED" w:rsidP="008731ED">
            <w:pPr>
              <w:pBdr>
                <w:top w:val="nil"/>
                <w:left w:val="nil"/>
                <w:bottom w:val="nil"/>
                <w:right w:val="nil"/>
                <w:between w:val="nil"/>
              </w:pBdr>
              <w:jc w:val="both"/>
              <w:rPr>
                <w:rFonts w:ascii="Aptos" w:hAnsi="Aptos" w:cs="Arial"/>
                <w:sz w:val="24"/>
                <w:szCs w:val="24"/>
              </w:rPr>
            </w:pPr>
            <w:r w:rsidRPr="008731ED">
              <w:rPr>
                <w:rFonts w:ascii="Aptos" w:hAnsi="Aptos" w:cs="Arial"/>
                <w:b/>
                <w:bCs/>
                <w:sz w:val="24"/>
                <w:szCs w:val="24"/>
                <w:lang w:val="es-ES"/>
              </w:rPr>
              <w:t>Artículo 8. Vigencia y derogatorias. La presente ley entrará a regir seis (6) meses después de su promulgación</w:t>
            </w:r>
            <w:r w:rsidRPr="008731ED">
              <w:rPr>
                <w:rFonts w:ascii="Aptos" w:hAnsi="Aptos" w:cs="Arial"/>
                <w:sz w:val="24"/>
                <w:szCs w:val="24"/>
                <w:lang w:val="es-ES"/>
              </w:rPr>
              <w:t xml:space="preserve"> y deroga todas las disposiciones que le sean contrarias.</w:t>
            </w:r>
          </w:p>
        </w:tc>
      </w:tr>
    </w:tbl>
    <w:p w14:paraId="44CC7ECA" w14:textId="77777777" w:rsidR="008731ED" w:rsidRPr="008731ED" w:rsidRDefault="008731ED" w:rsidP="008731ED">
      <w:pPr>
        <w:pStyle w:val="Prrafodelista"/>
        <w:spacing w:line="240" w:lineRule="auto"/>
        <w:ind w:left="0"/>
        <w:jc w:val="both"/>
        <w:rPr>
          <w:rFonts w:ascii="Aptos" w:eastAsia="Arial Narrow" w:hAnsi="Aptos" w:cs="Arial"/>
          <w:bCs/>
          <w:sz w:val="24"/>
          <w:szCs w:val="24"/>
        </w:rPr>
      </w:pPr>
      <w:r w:rsidRPr="008731ED">
        <w:rPr>
          <w:rFonts w:ascii="Aptos" w:eastAsia="Arial Narrow" w:hAnsi="Aptos" w:cs="Arial"/>
          <w:bCs/>
          <w:sz w:val="24"/>
          <w:szCs w:val="24"/>
        </w:rPr>
        <w:t xml:space="preserve">    </w:t>
      </w:r>
    </w:p>
    <w:p w14:paraId="7428E4B2" w14:textId="77777777" w:rsidR="008731ED" w:rsidRPr="008731ED" w:rsidRDefault="008731ED" w:rsidP="008731ED">
      <w:pPr>
        <w:pStyle w:val="Prrafodelista"/>
        <w:numPr>
          <w:ilvl w:val="0"/>
          <w:numId w:val="13"/>
        </w:numPr>
        <w:spacing w:after="0" w:line="240" w:lineRule="auto"/>
        <w:jc w:val="both"/>
        <w:rPr>
          <w:rFonts w:ascii="Aptos" w:eastAsia="Arial Narrow" w:hAnsi="Aptos" w:cs="Arial"/>
          <w:b/>
          <w:sz w:val="24"/>
          <w:szCs w:val="24"/>
        </w:rPr>
      </w:pPr>
      <w:r w:rsidRPr="008731ED">
        <w:rPr>
          <w:rFonts w:ascii="Aptos" w:eastAsia="Arial Narrow" w:hAnsi="Aptos" w:cs="Arial"/>
          <w:b/>
          <w:sz w:val="24"/>
          <w:szCs w:val="24"/>
        </w:rPr>
        <w:lastRenderedPageBreak/>
        <w:t>CONFLICTO DE INTERÉS</w:t>
      </w:r>
    </w:p>
    <w:p w14:paraId="5FDA6E48" w14:textId="77777777" w:rsidR="008731ED" w:rsidRPr="00E903CA" w:rsidRDefault="008731ED" w:rsidP="008731ED">
      <w:pPr>
        <w:spacing w:after="0" w:line="240" w:lineRule="auto"/>
        <w:jc w:val="both"/>
        <w:rPr>
          <w:rFonts w:ascii="Aptos" w:eastAsia="Arial Narrow" w:hAnsi="Aptos" w:cs="Arial"/>
          <w:bCs/>
          <w:sz w:val="24"/>
          <w:szCs w:val="24"/>
          <w:lang w:val="es-ES"/>
        </w:rPr>
      </w:pPr>
      <w:r w:rsidRPr="00E903CA">
        <w:rPr>
          <w:rFonts w:ascii="Aptos" w:eastAsia="Arial Narrow" w:hAnsi="Aptos" w:cs="Arial"/>
          <w:bCs/>
          <w:sz w:val="24"/>
          <w:szCs w:val="24"/>
          <w:lang w:val="es-ES"/>
        </w:rPr>
        <w:t>De conformidad con lo dispuesto en el artículo 3° de la Ley 2003 de 2019, que modificó el artículo 286 de la Ley 5ª de 1992, el análisis de conflicto de interés debe efectuarse atendiendo a la existencia de circunstancias que puedan generar un interés particular, actual y directo en cabeza del Congresista, en los términos previstos por el ordenamiento jurídico.</w:t>
      </w:r>
    </w:p>
    <w:p w14:paraId="59C5B677" w14:textId="77777777" w:rsidR="008731ED" w:rsidRPr="00E903CA" w:rsidRDefault="008731ED" w:rsidP="008731ED">
      <w:pPr>
        <w:spacing w:after="0" w:line="240" w:lineRule="auto"/>
        <w:jc w:val="both"/>
        <w:rPr>
          <w:rFonts w:ascii="Aptos" w:eastAsia="Arial Narrow" w:hAnsi="Aptos" w:cs="Arial"/>
          <w:bCs/>
          <w:sz w:val="24"/>
          <w:szCs w:val="24"/>
          <w:lang w:val="es-ES"/>
        </w:rPr>
      </w:pPr>
      <w:r w:rsidRPr="00E903CA">
        <w:rPr>
          <w:rFonts w:ascii="Aptos" w:eastAsia="Arial Narrow" w:hAnsi="Aptos" w:cs="Arial"/>
          <w:bCs/>
          <w:sz w:val="24"/>
          <w:szCs w:val="24"/>
          <w:lang w:val="es-ES"/>
        </w:rPr>
        <w:t>En el caso del presente proyecto de ley, las medidas propuestas tienen un alcance general, impersonal y abstracto, en tanto están dirigidas a regular la posibilidad de acudir al arbitraje ejecutivo y establecen reglas aplicables, de manera general, a los acreedores y deudores que intervengan en procesos ejecutivos en Colombia. Por consiguiente, los efectos jurídicos derivados de la iniciativa no se encuentran dirigidos a beneficiar de manera particular a un Congresista determinado ni a un grupo individualizado de personas, sino que recaen sobre una categoría amplia y objetivamente definida de sujetos.</w:t>
      </w:r>
    </w:p>
    <w:p w14:paraId="10F5EC2B" w14:textId="77777777" w:rsidR="008731ED" w:rsidRPr="00E903CA" w:rsidRDefault="008731ED" w:rsidP="008731ED">
      <w:pPr>
        <w:spacing w:after="0" w:line="240" w:lineRule="auto"/>
        <w:jc w:val="both"/>
        <w:rPr>
          <w:rFonts w:ascii="Aptos" w:eastAsia="Arial Narrow" w:hAnsi="Aptos" w:cs="Arial"/>
          <w:bCs/>
          <w:sz w:val="24"/>
          <w:szCs w:val="24"/>
          <w:lang w:val="es-ES"/>
        </w:rPr>
      </w:pPr>
      <w:r w:rsidRPr="00E903CA">
        <w:rPr>
          <w:rFonts w:ascii="Aptos" w:eastAsia="Arial Narrow" w:hAnsi="Aptos" w:cs="Arial"/>
          <w:bCs/>
          <w:sz w:val="24"/>
          <w:szCs w:val="24"/>
          <w:lang w:val="es-ES"/>
        </w:rPr>
        <w:t>No obstante, atendiendo a la naturaleza de la iniciativa y a la regulación propuesta, debe advertirse la eventual existencia de circunstancias particulares respecto de Congresistas que ejerzan directamente como árbitros, tengan una participación económica en centros de arbitraje o mantengan vínculos económicos o profesionales que puedan verse afectados de manera particular por las disposiciones contenidas en el proyecto. En tales eventos, corresponderá a cada Congresista analizar las circunstancias concretas de su situación y determinar, de acuerdo con las reglas constitucionales, legales y reglamentarias aplicables, si existe una causal que deba ser puesta de presente ante la respectiva corporación.</w:t>
      </w:r>
    </w:p>
    <w:p w14:paraId="4571E78A" w14:textId="77777777" w:rsidR="008731ED" w:rsidRPr="00E903CA" w:rsidRDefault="008731ED" w:rsidP="008731ED">
      <w:pPr>
        <w:spacing w:after="0" w:line="240" w:lineRule="auto"/>
        <w:jc w:val="both"/>
        <w:rPr>
          <w:rFonts w:ascii="Aptos" w:eastAsia="Arial Narrow" w:hAnsi="Aptos" w:cs="Arial"/>
          <w:bCs/>
          <w:sz w:val="24"/>
          <w:szCs w:val="24"/>
          <w:lang w:val="es-ES"/>
        </w:rPr>
      </w:pPr>
      <w:r w:rsidRPr="00E903CA">
        <w:rPr>
          <w:rFonts w:ascii="Aptos" w:eastAsia="Arial Narrow" w:hAnsi="Aptos" w:cs="Arial"/>
          <w:bCs/>
          <w:sz w:val="24"/>
          <w:szCs w:val="24"/>
          <w:lang w:val="es-ES"/>
        </w:rPr>
        <w:t>El suscrito ponente manifiesta, bajo su responsabilidad, no encontrarse incurso en causal de conflicto de interés respecto del presente proyecto de ley. Esta manifestación se efectúa sin perjuicio de que la valoración sobre la existencia de un eventual conflicto de interés es de carácter personal, individual e intransferible y, por tanto, corresponde a cada Congresista realizar autónomamente el análisis de sus circunstancias particulares al momento de participar en la discusión y votación del proyecto, de conformidad con el artículo 286 de la Ley 5ª de 1992, modificado por la Ley 2003 de 2019.</w:t>
      </w:r>
    </w:p>
    <w:p w14:paraId="3DCC82A2" w14:textId="77777777" w:rsidR="008731ED" w:rsidRPr="008731ED" w:rsidRDefault="008731ED" w:rsidP="008731ED">
      <w:pPr>
        <w:spacing w:line="240" w:lineRule="auto"/>
        <w:jc w:val="both"/>
        <w:rPr>
          <w:rFonts w:ascii="Aptos" w:eastAsia="Arial Narrow" w:hAnsi="Aptos" w:cs="Arial"/>
          <w:bCs/>
          <w:sz w:val="24"/>
          <w:szCs w:val="24"/>
        </w:rPr>
      </w:pPr>
    </w:p>
    <w:p w14:paraId="69BC5119" w14:textId="77777777" w:rsidR="008731ED" w:rsidRPr="008731ED" w:rsidRDefault="008731ED" w:rsidP="008731ED">
      <w:pPr>
        <w:pStyle w:val="Textoindependiente"/>
        <w:numPr>
          <w:ilvl w:val="0"/>
          <w:numId w:val="13"/>
        </w:numPr>
        <w:spacing w:before="139" w:line="240" w:lineRule="auto"/>
        <w:ind w:right="196"/>
        <w:jc w:val="both"/>
        <w:rPr>
          <w:rFonts w:ascii="Aptos" w:hAnsi="Aptos" w:cs="Arial"/>
          <w:b/>
          <w:sz w:val="24"/>
          <w:szCs w:val="24"/>
        </w:rPr>
      </w:pPr>
      <w:r w:rsidRPr="008731ED">
        <w:rPr>
          <w:rFonts w:ascii="Aptos" w:hAnsi="Aptos" w:cs="Arial"/>
          <w:b/>
          <w:sz w:val="24"/>
          <w:szCs w:val="24"/>
        </w:rPr>
        <w:t>IMPACTO FISCAL</w:t>
      </w:r>
    </w:p>
    <w:p w14:paraId="78801A86" w14:textId="77777777" w:rsidR="008731ED" w:rsidRPr="00E903CA" w:rsidRDefault="008731ED" w:rsidP="008731ED">
      <w:pPr>
        <w:pStyle w:val="Textoindependiente"/>
        <w:spacing w:before="139" w:line="240" w:lineRule="auto"/>
        <w:ind w:right="196"/>
        <w:jc w:val="both"/>
        <w:rPr>
          <w:rFonts w:ascii="Aptos" w:hAnsi="Aptos" w:cs="Arial"/>
          <w:sz w:val="24"/>
          <w:szCs w:val="24"/>
          <w:lang w:val="es-ES"/>
        </w:rPr>
      </w:pPr>
      <w:r w:rsidRPr="00E903CA">
        <w:rPr>
          <w:rFonts w:ascii="Aptos" w:hAnsi="Aptos" w:cs="Arial"/>
          <w:sz w:val="24"/>
          <w:szCs w:val="24"/>
          <w:lang w:val="es-ES"/>
        </w:rPr>
        <w:t>De conformidad con lo dispuesto en el artículo 7° de la Ley 819 de 2003, "por la cual se dictan normas orgánicas en materia de presupuesto, responsabilidad y transparencia fiscal y se dictan otras disposiciones", el ponente deja constancia expresa sobre el impacto fiscal del presente proyecto de ley.</w:t>
      </w:r>
    </w:p>
    <w:p w14:paraId="65867CD7" w14:textId="77777777" w:rsidR="008731ED" w:rsidRPr="00E903CA" w:rsidRDefault="008731ED" w:rsidP="008731ED">
      <w:pPr>
        <w:pStyle w:val="Textoindependiente"/>
        <w:spacing w:before="139" w:line="240" w:lineRule="auto"/>
        <w:ind w:right="196"/>
        <w:jc w:val="both"/>
        <w:rPr>
          <w:rFonts w:ascii="Aptos" w:hAnsi="Aptos" w:cs="Arial"/>
          <w:sz w:val="24"/>
          <w:szCs w:val="24"/>
          <w:lang w:val="es-ES"/>
        </w:rPr>
      </w:pPr>
      <w:r w:rsidRPr="00E903CA">
        <w:rPr>
          <w:rFonts w:ascii="Aptos" w:hAnsi="Aptos" w:cs="Arial"/>
          <w:sz w:val="24"/>
          <w:szCs w:val="24"/>
          <w:lang w:val="es-ES"/>
        </w:rPr>
        <w:t xml:space="preserve">El citado artículo 7° dispone: </w:t>
      </w:r>
      <w:r w:rsidRPr="00E903CA">
        <w:rPr>
          <w:rFonts w:ascii="Aptos" w:hAnsi="Aptos" w:cs="Arial"/>
          <w:i/>
          <w:iCs/>
          <w:sz w:val="24"/>
          <w:szCs w:val="24"/>
          <w:lang w:val="es-ES"/>
        </w:rPr>
        <w:t xml:space="preserve">"En todo momento, el impacto fiscal de cualquier proyecto de ley, ordenanza o acuerdo, que ordene gasto o que otorgue beneficios tributarios, deberá hacerse explícito y deberá ser compatible con el Marco Fiscal de Mediano Plazo. Para estos propósitos, deberá incluirse expresamente en la </w:t>
      </w:r>
      <w:r w:rsidRPr="00E903CA">
        <w:rPr>
          <w:rFonts w:ascii="Aptos" w:hAnsi="Aptos" w:cs="Arial"/>
          <w:i/>
          <w:iCs/>
          <w:sz w:val="24"/>
          <w:szCs w:val="24"/>
          <w:lang w:val="es-ES"/>
        </w:rPr>
        <w:lastRenderedPageBreak/>
        <w:t>exposición de motivos y en las ponencias de trámite respectivas los costos fiscales de la iniciativa y la fuente de ingreso adicional generada para el financiamiento de dicho costo (...) Los proyectos de ley de iniciativa gubernamental, que planteen un gasto adicional o una reducción de ingresos, deberá contener la correspondiente fuente sustitutiva por disminución de gasto o aumentos de ingresos, lo cual deberá ser analizado y aprobado por el Ministerio de Hacienda y Crédito Público".</w:t>
      </w:r>
    </w:p>
    <w:p w14:paraId="73702F2D" w14:textId="77777777" w:rsidR="008731ED" w:rsidRPr="00E903CA" w:rsidRDefault="008731ED" w:rsidP="008731ED">
      <w:pPr>
        <w:pStyle w:val="Textoindependiente"/>
        <w:spacing w:before="139" w:line="240" w:lineRule="auto"/>
        <w:ind w:right="196"/>
        <w:jc w:val="both"/>
        <w:rPr>
          <w:rFonts w:ascii="Aptos" w:hAnsi="Aptos" w:cs="Arial"/>
          <w:sz w:val="24"/>
          <w:szCs w:val="24"/>
          <w:lang w:val="es-ES"/>
        </w:rPr>
      </w:pPr>
      <w:r w:rsidRPr="00E903CA">
        <w:rPr>
          <w:rFonts w:ascii="Aptos" w:hAnsi="Aptos" w:cs="Arial"/>
          <w:sz w:val="24"/>
          <w:szCs w:val="24"/>
          <w:lang w:val="es-ES"/>
        </w:rPr>
        <w:t>El proyecto bajo estudio no ordena gasto público ni otorga beneficios tributarios. El arbitraje ejecutivo</w:t>
      </w:r>
      <w:r w:rsidRPr="008731ED">
        <w:rPr>
          <w:rFonts w:ascii="Aptos" w:hAnsi="Aptos" w:cs="Arial"/>
          <w:sz w:val="24"/>
          <w:szCs w:val="24"/>
          <w:lang w:val="es-ES"/>
        </w:rPr>
        <w:t xml:space="preserve">, </w:t>
      </w:r>
      <w:r w:rsidRPr="00E903CA">
        <w:rPr>
          <w:rFonts w:ascii="Aptos" w:hAnsi="Aptos" w:cs="Arial"/>
          <w:sz w:val="24"/>
          <w:szCs w:val="24"/>
          <w:lang w:val="es-ES"/>
        </w:rPr>
        <w:t>tanto en la modalidad con pacto arbitral ya vigente, como en la que este proyecto adiciona para los procesos sin pacto previo</w:t>
      </w:r>
      <w:r w:rsidRPr="008731ED">
        <w:rPr>
          <w:rFonts w:ascii="Aptos" w:hAnsi="Aptos" w:cs="Arial"/>
          <w:sz w:val="24"/>
          <w:szCs w:val="24"/>
          <w:lang w:val="es-ES"/>
        </w:rPr>
        <w:t xml:space="preserve">, </w:t>
      </w:r>
      <w:r w:rsidRPr="00E903CA">
        <w:rPr>
          <w:rFonts w:ascii="Aptos" w:hAnsi="Aptos" w:cs="Arial"/>
          <w:sz w:val="24"/>
          <w:szCs w:val="24"/>
          <w:lang w:val="es-ES"/>
        </w:rPr>
        <w:t>es un mecanismo autosostenible, cuyos costos (honorarios de árbitros, secretaría y gastos administrativos) son sufragados por las partes del proceso conforme al artículo 16 de la Ley 2540 de 2025, sin erogación alguna con cargo al Presupuesto General de la Nación.</w:t>
      </w:r>
    </w:p>
    <w:p w14:paraId="31CEC0D8" w14:textId="77777777" w:rsidR="008731ED" w:rsidRPr="00E903CA" w:rsidRDefault="008731ED" w:rsidP="008731ED">
      <w:pPr>
        <w:pStyle w:val="Textoindependiente"/>
        <w:spacing w:before="139" w:line="240" w:lineRule="auto"/>
        <w:ind w:right="196"/>
        <w:jc w:val="both"/>
        <w:rPr>
          <w:rFonts w:ascii="Aptos" w:hAnsi="Aptos" w:cs="Arial"/>
          <w:sz w:val="24"/>
          <w:szCs w:val="24"/>
          <w:lang w:val="es-ES"/>
        </w:rPr>
      </w:pPr>
      <w:r w:rsidRPr="00E903CA">
        <w:rPr>
          <w:rFonts w:ascii="Aptos" w:hAnsi="Aptos" w:cs="Arial"/>
          <w:sz w:val="24"/>
          <w:szCs w:val="24"/>
          <w:lang w:val="es-ES"/>
        </w:rPr>
        <w:t>Las obligaciones que introducen los nuevos artículos 41 a 44</w:t>
      </w:r>
      <w:r w:rsidRPr="008731ED">
        <w:rPr>
          <w:rFonts w:ascii="Aptos" w:hAnsi="Aptos" w:cs="Arial"/>
          <w:sz w:val="24"/>
          <w:szCs w:val="24"/>
          <w:lang w:val="es-ES"/>
        </w:rPr>
        <w:t xml:space="preserve">, </w:t>
      </w:r>
      <w:r w:rsidRPr="00E903CA">
        <w:rPr>
          <w:rFonts w:ascii="Aptos" w:hAnsi="Aptos" w:cs="Arial"/>
          <w:sz w:val="24"/>
          <w:szCs w:val="24"/>
          <w:lang w:val="es-ES"/>
        </w:rPr>
        <w:t>notificación reforzada, información al consumidor y régimen sancionatorio</w:t>
      </w:r>
      <w:r w:rsidRPr="008731ED">
        <w:rPr>
          <w:rFonts w:ascii="Aptos" w:hAnsi="Aptos" w:cs="Arial"/>
          <w:sz w:val="24"/>
          <w:szCs w:val="24"/>
          <w:lang w:val="es-ES"/>
        </w:rPr>
        <w:t>, r</w:t>
      </w:r>
      <w:r w:rsidRPr="00E903CA">
        <w:rPr>
          <w:rFonts w:ascii="Aptos" w:hAnsi="Aptos" w:cs="Arial"/>
          <w:sz w:val="24"/>
          <w:szCs w:val="24"/>
          <w:lang w:val="es-ES"/>
        </w:rPr>
        <w:t>ecaen sobre los centros de arbitraje, que son entidades privadas autorizadas, y sobre los acreedores demandantes, no sobre el Estado. El único componente con eventual relación estatal es el ejercicio de las funciones de inspección, vigilancia y control atribuidas al Ministerio de Justicia y del Derecho por el artículo 44, función que dicha entidad ya ejerce ordinariamente sobre los centros de arbitraje, por lo que no comporta una carga presupuestal nueva ni adicional.</w:t>
      </w:r>
    </w:p>
    <w:p w14:paraId="63C8DCBB" w14:textId="77777777" w:rsidR="008731ED" w:rsidRPr="00E903CA" w:rsidRDefault="008731ED" w:rsidP="008731ED">
      <w:pPr>
        <w:pStyle w:val="Textoindependiente"/>
        <w:spacing w:before="139" w:line="240" w:lineRule="auto"/>
        <w:ind w:right="196"/>
        <w:jc w:val="both"/>
        <w:rPr>
          <w:rFonts w:ascii="Aptos" w:hAnsi="Aptos" w:cs="Arial"/>
          <w:sz w:val="24"/>
          <w:szCs w:val="24"/>
          <w:lang w:val="es-ES"/>
        </w:rPr>
      </w:pPr>
      <w:r w:rsidRPr="00E903CA">
        <w:rPr>
          <w:rFonts w:ascii="Aptos" w:hAnsi="Aptos" w:cs="Arial"/>
          <w:sz w:val="24"/>
          <w:szCs w:val="24"/>
          <w:lang w:val="es-ES"/>
        </w:rPr>
        <w:t>La Corte Constitucional ha precisado, en Sentencia C-502 de 2007, que los incisos primero y segundo del artículo 7° de la Ley 819 de 2003 constituyen parámetros de racionalidad de la actividad legislativa y una carga que recae inicialmente en el Ministerio de Hacienda y Crédito Público, y no una condición de trámite exigible al autor o ponente de un proyecto de iniciativa parlamentaria, cuya inobservancia vicie el proceso legislativo. Esta regla fue reiterada en la Sentencia C-866 de 2010, que aclaró que la falta de concepto del Ministerio de Hacienda durante el trámite no afecta la validez del trámite legislativo, y en la Sentencia C-290 de 2009, que recordó que el Congreso no está atado a un concepto vinculante de dicha cartera.</w:t>
      </w:r>
    </w:p>
    <w:p w14:paraId="2BC8EFF7" w14:textId="77777777" w:rsidR="008731ED" w:rsidRPr="00E903CA" w:rsidRDefault="008731ED" w:rsidP="008731ED">
      <w:pPr>
        <w:pStyle w:val="Textoindependiente"/>
        <w:spacing w:before="139" w:line="240" w:lineRule="auto"/>
        <w:ind w:right="196"/>
        <w:jc w:val="both"/>
        <w:rPr>
          <w:rFonts w:ascii="Aptos" w:hAnsi="Aptos" w:cs="Arial"/>
          <w:sz w:val="24"/>
          <w:szCs w:val="24"/>
          <w:lang w:val="es-ES"/>
        </w:rPr>
      </w:pPr>
      <w:r w:rsidRPr="00E903CA">
        <w:rPr>
          <w:rFonts w:ascii="Aptos" w:hAnsi="Aptos" w:cs="Arial"/>
          <w:sz w:val="24"/>
          <w:szCs w:val="24"/>
          <w:lang w:val="es-ES"/>
        </w:rPr>
        <w:t xml:space="preserve">En consecuencia, el ponente concluye que el proyecto </w:t>
      </w:r>
      <w:r w:rsidRPr="00E903CA">
        <w:rPr>
          <w:rFonts w:ascii="Aptos" w:hAnsi="Aptos" w:cs="Arial"/>
          <w:b/>
          <w:bCs/>
          <w:sz w:val="24"/>
          <w:szCs w:val="24"/>
          <w:lang w:val="es-ES"/>
        </w:rPr>
        <w:t>no genera impacto fiscal</w:t>
      </w:r>
      <w:r w:rsidRPr="00E903CA">
        <w:rPr>
          <w:rFonts w:ascii="Aptos" w:hAnsi="Aptos" w:cs="Arial"/>
          <w:sz w:val="24"/>
          <w:szCs w:val="24"/>
          <w:lang w:val="es-ES"/>
        </w:rPr>
        <w:t xml:space="preserve"> y que da cumplimiento al mandato de transparencia fiscal del artículo 7° de la Ley 819 de 2003 al hacerlo explícito en este informe. Sin perjuicio de esta conclusión, y en aras de la mayor rigurosidad del trámite, se recomienda poner el proyecto en conocimiento del Ministerio de Hacienda y Crédito Público durante el primer debate, para que rinda el concepto que estime pertinente.</w:t>
      </w:r>
    </w:p>
    <w:p w14:paraId="56AA9E23" w14:textId="77777777" w:rsidR="008731ED" w:rsidRPr="008731ED" w:rsidRDefault="008731ED" w:rsidP="008731ED">
      <w:pPr>
        <w:pStyle w:val="Textoindependiente"/>
        <w:spacing w:before="139" w:line="240" w:lineRule="auto"/>
        <w:ind w:right="196"/>
        <w:jc w:val="both"/>
        <w:rPr>
          <w:rFonts w:ascii="Aptos" w:hAnsi="Aptos" w:cs="Arial"/>
          <w:sz w:val="24"/>
          <w:szCs w:val="24"/>
        </w:rPr>
      </w:pPr>
    </w:p>
    <w:p w14:paraId="6A818286" w14:textId="77777777" w:rsidR="008731ED" w:rsidRPr="008731ED" w:rsidRDefault="008731ED" w:rsidP="008731ED">
      <w:pPr>
        <w:pStyle w:val="Textoindependiente"/>
        <w:numPr>
          <w:ilvl w:val="0"/>
          <w:numId w:val="13"/>
        </w:numPr>
        <w:spacing w:before="139" w:line="240" w:lineRule="auto"/>
        <w:ind w:right="196"/>
        <w:jc w:val="both"/>
        <w:rPr>
          <w:rFonts w:ascii="Aptos" w:hAnsi="Aptos" w:cs="Arial"/>
          <w:b/>
          <w:bCs/>
          <w:sz w:val="24"/>
          <w:szCs w:val="24"/>
        </w:rPr>
      </w:pPr>
      <w:r w:rsidRPr="008731ED">
        <w:rPr>
          <w:rFonts w:ascii="Aptos" w:hAnsi="Aptos" w:cs="Arial"/>
          <w:b/>
          <w:bCs/>
          <w:sz w:val="24"/>
          <w:szCs w:val="24"/>
        </w:rPr>
        <w:t>PROPOSICIÓN</w:t>
      </w:r>
    </w:p>
    <w:p w14:paraId="05793868" w14:textId="77777777" w:rsidR="008731ED" w:rsidRPr="008731ED" w:rsidRDefault="008731ED" w:rsidP="008731ED">
      <w:pPr>
        <w:spacing w:line="240" w:lineRule="auto"/>
        <w:jc w:val="both"/>
        <w:rPr>
          <w:rFonts w:ascii="Aptos" w:hAnsi="Aptos" w:cs="Arial"/>
          <w:sz w:val="24"/>
          <w:szCs w:val="24"/>
        </w:rPr>
      </w:pPr>
      <w:r w:rsidRPr="008731ED">
        <w:rPr>
          <w:rFonts w:ascii="Aptos" w:hAnsi="Aptos" w:cs="Arial"/>
          <w:sz w:val="24"/>
          <w:szCs w:val="24"/>
        </w:rPr>
        <w:lastRenderedPageBreak/>
        <w:t xml:space="preserve">De acuerdo con lo expuesto anteriormente, presento ponencia favorable para primer debate al Proyecto de Ley 078 de 2026 – Cámara, </w:t>
      </w:r>
      <w:r w:rsidRPr="008731ED">
        <w:rPr>
          <w:rFonts w:ascii="Aptos" w:hAnsi="Aptos" w:cs="Arial"/>
          <w:b/>
          <w:bCs/>
          <w:sz w:val="24"/>
          <w:szCs w:val="24"/>
        </w:rPr>
        <w:t>“</w:t>
      </w:r>
      <w:r w:rsidRPr="008731ED">
        <w:rPr>
          <w:rFonts w:ascii="Aptos" w:hAnsi="Aptos" w:cs="Arial"/>
          <w:i/>
          <w:iCs/>
          <w:sz w:val="24"/>
          <w:szCs w:val="24"/>
        </w:rPr>
        <w:t>Por medio de la cual se modifica la Ley 2540 de 2025 y se amplía la modalidad de arbitraje para todos los procesos ejecutivos incluyendo los que no tienen pacto arbitral y se dictan otras disposiciones</w:t>
      </w:r>
      <w:r w:rsidRPr="008731ED">
        <w:rPr>
          <w:rFonts w:ascii="Aptos" w:hAnsi="Aptos" w:cs="Arial"/>
          <w:b/>
          <w:bCs/>
          <w:sz w:val="24"/>
          <w:szCs w:val="24"/>
        </w:rPr>
        <w:t xml:space="preserve">” </w:t>
      </w:r>
      <w:r w:rsidRPr="008731ED">
        <w:rPr>
          <w:rFonts w:ascii="Aptos" w:hAnsi="Aptos" w:cs="Arial"/>
          <w:sz w:val="24"/>
          <w:szCs w:val="24"/>
        </w:rPr>
        <w:t>y propongo a los honorables representantes de la comisión de la Honorable Cámara de Representantes darle primer debate al Proyecto de Ley conforme al texto propuesto.</w:t>
      </w:r>
    </w:p>
    <w:p w14:paraId="1675AC93" w14:textId="77777777" w:rsidR="008731ED" w:rsidRPr="008731ED" w:rsidRDefault="008731ED" w:rsidP="008731ED">
      <w:pPr>
        <w:pStyle w:val="Textoindependiente"/>
        <w:spacing w:before="139" w:line="240" w:lineRule="auto"/>
        <w:ind w:right="196"/>
        <w:jc w:val="both"/>
        <w:rPr>
          <w:rFonts w:ascii="Aptos" w:hAnsi="Aptos" w:cs="Arial"/>
          <w:sz w:val="24"/>
          <w:szCs w:val="24"/>
        </w:rPr>
      </w:pPr>
    </w:p>
    <w:tbl>
      <w:tblPr>
        <w:tblW w:w="9350" w:type="dxa"/>
        <w:jc w:val="center"/>
        <w:tblLayout w:type="fixed"/>
        <w:tblLook w:val="0400" w:firstRow="0" w:lastRow="0" w:firstColumn="0" w:lastColumn="0" w:noHBand="0" w:noVBand="1"/>
      </w:tblPr>
      <w:tblGrid>
        <w:gridCol w:w="4675"/>
        <w:gridCol w:w="4675"/>
      </w:tblGrid>
      <w:tr w:rsidR="008731ED" w:rsidRPr="008731ED" w14:paraId="7604592E" w14:textId="77777777" w:rsidTr="003E7564">
        <w:trPr>
          <w:jc w:val="center"/>
        </w:trPr>
        <w:tc>
          <w:tcPr>
            <w:tcW w:w="9350" w:type="dxa"/>
            <w:gridSpan w:val="2"/>
          </w:tcPr>
          <w:p w14:paraId="3B6A3F1F" w14:textId="77777777" w:rsidR="008731ED" w:rsidRPr="008731ED" w:rsidRDefault="008731ED" w:rsidP="008731ED">
            <w:pPr>
              <w:pBdr>
                <w:top w:val="nil"/>
                <w:left w:val="nil"/>
                <w:bottom w:val="nil"/>
                <w:right w:val="nil"/>
                <w:between w:val="nil"/>
              </w:pBdr>
              <w:spacing w:line="240" w:lineRule="auto"/>
              <w:rPr>
                <w:rFonts w:ascii="Aptos" w:eastAsia="Arial Narrow" w:hAnsi="Aptos" w:cs="Arial"/>
                <w:color w:val="000000"/>
                <w:sz w:val="24"/>
                <w:szCs w:val="24"/>
              </w:rPr>
            </w:pPr>
          </w:p>
        </w:tc>
      </w:tr>
      <w:tr w:rsidR="008731ED" w:rsidRPr="008731ED" w14:paraId="11BE8002" w14:textId="77777777" w:rsidTr="003E7564">
        <w:trPr>
          <w:jc w:val="center"/>
        </w:trPr>
        <w:tc>
          <w:tcPr>
            <w:tcW w:w="4675" w:type="dxa"/>
          </w:tcPr>
          <w:p w14:paraId="1BDF0DDA" w14:textId="77777777" w:rsidR="008731ED" w:rsidRPr="008731ED" w:rsidRDefault="008731ED" w:rsidP="008731ED">
            <w:pPr>
              <w:pBdr>
                <w:top w:val="nil"/>
                <w:left w:val="nil"/>
                <w:bottom w:val="nil"/>
                <w:right w:val="nil"/>
                <w:between w:val="nil"/>
              </w:pBdr>
              <w:spacing w:line="240" w:lineRule="auto"/>
              <w:rPr>
                <w:rFonts w:ascii="Aptos" w:eastAsia="Arial Narrow" w:hAnsi="Aptos" w:cs="Arial"/>
                <w:b/>
                <w:color w:val="000000"/>
                <w:sz w:val="24"/>
                <w:szCs w:val="24"/>
              </w:rPr>
            </w:pPr>
            <w:r w:rsidRPr="008731ED">
              <w:rPr>
                <w:rFonts w:ascii="Aptos" w:eastAsia="Arial Narrow" w:hAnsi="Aptos" w:cs="Arial"/>
                <w:b/>
                <w:color w:val="000000"/>
                <w:sz w:val="24"/>
                <w:szCs w:val="24"/>
              </w:rPr>
              <w:t>DANIEL FELIPE BRICEÑO MONTES</w:t>
            </w:r>
          </w:p>
          <w:p w14:paraId="572328E7" w14:textId="77777777" w:rsidR="008731ED" w:rsidRPr="008731ED" w:rsidRDefault="008731ED" w:rsidP="008731ED">
            <w:pPr>
              <w:pBdr>
                <w:top w:val="nil"/>
                <w:left w:val="nil"/>
                <w:bottom w:val="nil"/>
                <w:right w:val="nil"/>
                <w:between w:val="nil"/>
              </w:pBdr>
              <w:spacing w:line="240" w:lineRule="auto"/>
              <w:rPr>
                <w:rFonts w:ascii="Aptos" w:eastAsia="Arial Narrow" w:hAnsi="Aptos" w:cs="Arial"/>
                <w:color w:val="000000"/>
                <w:sz w:val="24"/>
                <w:szCs w:val="24"/>
              </w:rPr>
            </w:pPr>
            <w:r w:rsidRPr="008731ED">
              <w:rPr>
                <w:rFonts w:ascii="Aptos" w:eastAsia="Arial Narrow" w:hAnsi="Aptos" w:cs="Arial"/>
                <w:color w:val="000000"/>
                <w:sz w:val="24"/>
                <w:szCs w:val="24"/>
              </w:rPr>
              <w:t>Representante a la Cámara – Ponente</w:t>
            </w:r>
          </w:p>
          <w:p w14:paraId="7AE51568" w14:textId="77777777" w:rsidR="008731ED" w:rsidRPr="008731ED" w:rsidRDefault="008731ED" w:rsidP="008731ED">
            <w:pPr>
              <w:pBdr>
                <w:top w:val="nil"/>
                <w:left w:val="nil"/>
                <w:bottom w:val="nil"/>
                <w:right w:val="nil"/>
                <w:between w:val="nil"/>
              </w:pBdr>
              <w:spacing w:line="240" w:lineRule="auto"/>
              <w:rPr>
                <w:rFonts w:ascii="Aptos" w:eastAsia="Arial Narrow" w:hAnsi="Aptos" w:cs="Arial"/>
                <w:color w:val="000000"/>
                <w:sz w:val="24"/>
                <w:szCs w:val="24"/>
              </w:rPr>
            </w:pPr>
            <w:r w:rsidRPr="008731ED">
              <w:rPr>
                <w:rFonts w:ascii="Aptos" w:eastAsia="Arial Narrow" w:hAnsi="Aptos" w:cs="Arial"/>
                <w:color w:val="000000"/>
                <w:sz w:val="24"/>
                <w:szCs w:val="24"/>
              </w:rPr>
              <w:t xml:space="preserve">Partido Centro Democrático </w:t>
            </w:r>
          </w:p>
          <w:p w14:paraId="7DAF20AB" w14:textId="77777777" w:rsidR="008731ED" w:rsidRPr="008731ED" w:rsidRDefault="008731ED" w:rsidP="008731ED">
            <w:pPr>
              <w:spacing w:line="240" w:lineRule="auto"/>
              <w:rPr>
                <w:rFonts w:ascii="Aptos" w:eastAsia="Arial Narrow" w:hAnsi="Aptos" w:cs="Arial"/>
                <w:color w:val="000000"/>
                <w:sz w:val="24"/>
                <w:szCs w:val="24"/>
              </w:rPr>
            </w:pPr>
          </w:p>
        </w:tc>
        <w:tc>
          <w:tcPr>
            <w:tcW w:w="4675" w:type="dxa"/>
          </w:tcPr>
          <w:p w14:paraId="428534DC" w14:textId="77777777" w:rsidR="008731ED" w:rsidRPr="008731ED" w:rsidRDefault="008731ED" w:rsidP="008731ED">
            <w:pPr>
              <w:pBdr>
                <w:top w:val="nil"/>
                <w:left w:val="nil"/>
                <w:bottom w:val="nil"/>
                <w:right w:val="nil"/>
                <w:between w:val="nil"/>
              </w:pBdr>
              <w:spacing w:line="240" w:lineRule="auto"/>
              <w:jc w:val="center"/>
              <w:rPr>
                <w:rFonts w:ascii="Aptos" w:eastAsia="Arial Narrow" w:hAnsi="Aptos" w:cs="Arial"/>
                <w:b/>
                <w:color w:val="000000"/>
                <w:sz w:val="24"/>
                <w:szCs w:val="24"/>
              </w:rPr>
            </w:pPr>
          </w:p>
          <w:p w14:paraId="0B49B59D" w14:textId="77777777" w:rsidR="008731ED" w:rsidRPr="008731ED" w:rsidRDefault="008731ED" w:rsidP="008731ED">
            <w:pPr>
              <w:pBdr>
                <w:top w:val="nil"/>
                <w:left w:val="nil"/>
                <w:bottom w:val="nil"/>
                <w:right w:val="nil"/>
                <w:between w:val="nil"/>
              </w:pBdr>
              <w:spacing w:line="240" w:lineRule="auto"/>
              <w:jc w:val="center"/>
              <w:rPr>
                <w:rFonts w:ascii="Aptos" w:eastAsia="Arial Narrow" w:hAnsi="Aptos" w:cs="Arial"/>
                <w:b/>
                <w:color w:val="000000"/>
                <w:sz w:val="24"/>
                <w:szCs w:val="24"/>
              </w:rPr>
            </w:pPr>
          </w:p>
          <w:p w14:paraId="25C90BC6" w14:textId="77777777" w:rsidR="008731ED" w:rsidRPr="008731ED" w:rsidRDefault="008731ED" w:rsidP="008731ED">
            <w:pPr>
              <w:pBdr>
                <w:top w:val="nil"/>
                <w:left w:val="nil"/>
                <w:bottom w:val="nil"/>
                <w:right w:val="nil"/>
                <w:between w:val="nil"/>
              </w:pBdr>
              <w:spacing w:line="240" w:lineRule="auto"/>
              <w:jc w:val="center"/>
              <w:rPr>
                <w:rFonts w:ascii="Aptos" w:eastAsia="Arial Narrow" w:hAnsi="Aptos" w:cs="Arial"/>
                <w:b/>
                <w:color w:val="000000"/>
                <w:sz w:val="24"/>
                <w:szCs w:val="24"/>
              </w:rPr>
            </w:pPr>
          </w:p>
          <w:p w14:paraId="2CD56633" w14:textId="77777777" w:rsidR="008731ED" w:rsidRPr="008731ED" w:rsidRDefault="008731ED" w:rsidP="008731ED">
            <w:pPr>
              <w:spacing w:line="240" w:lineRule="auto"/>
              <w:jc w:val="center"/>
              <w:rPr>
                <w:rFonts w:ascii="Aptos" w:eastAsia="Arial Narrow" w:hAnsi="Aptos" w:cs="Arial"/>
                <w:color w:val="000000"/>
                <w:sz w:val="24"/>
                <w:szCs w:val="24"/>
              </w:rPr>
            </w:pPr>
          </w:p>
        </w:tc>
      </w:tr>
    </w:tbl>
    <w:p w14:paraId="6ED1E8B7" w14:textId="77777777" w:rsidR="008731ED" w:rsidRPr="008731ED" w:rsidRDefault="008731ED" w:rsidP="008731ED">
      <w:pPr>
        <w:spacing w:line="240" w:lineRule="auto"/>
        <w:rPr>
          <w:rFonts w:ascii="Aptos" w:hAnsi="Aptos" w:cs="Arial"/>
          <w:b/>
          <w:bCs/>
          <w:sz w:val="24"/>
          <w:szCs w:val="24"/>
        </w:rPr>
      </w:pPr>
      <w:r w:rsidRPr="008731ED">
        <w:rPr>
          <w:rFonts w:ascii="Aptos" w:hAnsi="Aptos" w:cs="Arial"/>
          <w:b/>
          <w:bCs/>
          <w:sz w:val="24"/>
          <w:szCs w:val="24"/>
        </w:rPr>
        <w:t>TEXTO PROPUESTO PARA PRIMER DEBATE DEL PROYECTO DE LEY 078 DE 2026 – CÁMARA</w:t>
      </w:r>
    </w:p>
    <w:p w14:paraId="05D9B7FC" w14:textId="77777777" w:rsidR="008731ED" w:rsidRPr="008731ED" w:rsidRDefault="008731ED" w:rsidP="008731ED">
      <w:pPr>
        <w:spacing w:line="240" w:lineRule="auto"/>
        <w:jc w:val="center"/>
        <w:rPr>
          <w:rFonts w:ascii="Aptos" w:hAnsi="Aptos" w:cs="Arial"/>
          <w:b/>
          <w:bCs/>
          <w:i/>
          <w:iCs/>
          <w:sz w:val="24"/>
          <w:szCs w:val="24"/>
        </w:rPr>
      </w:pPr>
      <w:r w:rsidRPr="008731ED">
        <w:rPr>
          <w:rFonts w:ascii="Aptos" w:hAnsi="Aptos" w:cs="Arial"/>
          <w:i/>
          <w:iCs/>
          <w:sz w:val="24"/>
          <w:szCs w:val="24"/>
        </w:rPr>
        <w:t>“Por medio de la cual se modifica la Ley 2540 de 2025 y se amplía la modalidad de arbitraje para todos los procesos ejecutivos incluyendo los que no tienen pacto arbitral y se dictan otras disposiciones</w:t>
      </w:r>
      <w:r w:rsidRPr="008731ED">
        <w:rPr>
          <w:rFonts w:ascii="Aptos" w:hAnsi="Aptos" w:cs="Arial"/>
          <w:b/>
          <w:bCs/>
          <w:i/>
          <w:iCs/>
          <w:sz w:val="24"/>
          <w:szCs w:val="24"/>
        </w:rPr>
        <w:t>”</w:t>
      </w:r>
    </w:p>
    <w:p w14:paraId="0C73E9A2" w14:textId="77777777" w:rsidR="008731ED" w:rsidRPr="008731ED" w:rsidRDefault="008731ED" w:rsidP="008731ED">
      <w:pPr>
        <w:spacing w:line="240" w:lineRule="auto"/>
        <w:jc w:val="both"/>
        <w:rPr>
          <w:rFonts w:ascii="Aptos" w:eastAsia="Arial Narrow" w:hAnsi="Aptos" w:cs="Arial"/>
          <w:b/>
          <w:sz w:val="24"/>
          <w:szCs w:val="24"/>
        </w:rPr>
      </w:pPr>
    </w:p>
    <w:p w14:paraId="55D6B056" w14:textId="77777777" w:rsidR="008731ED" w:rsidRPr="008731ED" w:rsidRDefault="008731ED" w:rsidP="008731ED">
      <w:pPr>
        <w:spacing w:line="240" w:lineRule="auto"/>
        <w:jc w:val="center"/>
        <w:rPr>
          <w:rFonts w:ascii="Aptos" w:eastAsia="Arial Narrow" w:hAnsi="Aptos" w:cs="Arial"/>
          <w:b/>
          <w:sz w:val="24"/>
          <w:szCs w:val="24"/>
        </w:rPr>
      </w:pPr>
      <w:r w:rsidRPr="008731ED">
        <w:rPr>
          <w:rFonts w:ascii="Aptos" w:eastAsia="Arial Narrow" w:hAnsi="Aptos" w:cs="Arial"/>
          <w:b/>
          <w:sz w:val="24"/>
          <w:szCs w:val="24"/>
        </w:rPr>
        <w:t>EL CONGRESO DE COLOMBIA DECRETA</w:t>
      </w:r>
    </w:p>
    <w:p w14:paraId="2837ADD5" w14:textId="77777777" w:rsidR="008731ED" w:rsidRPr="008731ED" w:rsidRDefault="008731ED" w:rsidP="008731ED">
      <w:pPr>
        <w:pBdr>
          <w:top w:val="nil"/>
          <w:left w:val="nil"/>
          <w:bottom w:val="nil"/>
          <w:right w:val="nil"/>
          <w:between w:val="nil"/>
        </w:pBdr>
        <w:spacing w:line="240" w:lineRule="auto"/>
        <w:jc w:val="both"/>
        <w:rPr>
          <w:rFonts w:ascii="Aptos" w:eastAsia="Arial Narrow" w:hAnsi="Aptos" w:cs="Arial"/>
          <w:color w:val="000000"/>
          <w:sz w:val="24"/>
          <w:szCs w:val="24"/>
        </w:rPr>
      </w:pPr>
    </w:p>
    <w:p w14:paraId="7B148F01" w14:textId="77777777" w:rsidR="008731ED" w:rsidRPr="008731ED" w:rsidRDefault="008731ED" w:rsidP="008731ED">
      <w:pPr>
        <w:pBdr>
          <w:top w:val="nil"/>
          <w:left w:val="nil"/>
          <w:bottom w:val="nil"/>
          <w:right w:val="nil"/>
          <w:between w:val="nil"/>
        </w:pBdr>
        <w:spacing w:line="240" w:lineRule="auto"/>
        <w:jc w:val="both"/>
        <w:rPr>
          <w:rFonts w:ascii="Aptos" w:eastAsia="Arial Narrow" w:hAnsi="Aptos" w:cs="Arial"/>
          <w:color w:val="000000"/>
          <w:sz w:val="24"/>
          <w:szCs w:val="24"/>
        </w:rPr>
      </w:pPr>
      <w:r w:rsidRPr="008731ED">
        <w:rPr>
          <w:rFonts w:ascii="Aptos" w:eastAsia="Arial Narrow" w:hAnsi="Aptos" w:cs="Arial"/>
          <w:b/>
          <w:bCs/>
          <w:color w:val="000000"/>
          <w:sz w:val="24"/>
          <w:szCs w:val="24"/>
        </w:rPr>
        <w:t>Artículo 1°.</w:t>
      </w:r>
      <w:r w:rsidRPr="008731ED">
        <w:rPr>
          <w:rFonts w:ascii="Aptos" w:eastAsia="Arial Narrow" w:hAnsi="Aptos" w:cs="Arial"/>
          <w:color w:val="000000"/>
          <w:sz w:val="24"/>
          <w:szCs w:val="24"/>
        </w:rPr>
        <w:t xml:space="preserve"> </w:t>
      </w:r>
      <w:r w:rsidRPr="008731ED">
        <w:rPr>
          <w:rFonts w:ascii="Aptos" w:eastAsia="Arial Narrow" w:hAnsi="Aptos" w:cs="Arial"/>
          <w:b/>
          <w:bCs/>
          <w:color w:val="000000"/>
          <w:sz w:val="24"/>
          <w:szCs w:val="24"/>
        </w:rPr>
        <w:t>Objeto.</w:t>
      </w:r>
      <w:r w:rsidRPr="008731ED">
        <w:rPr>
          <w:rFonts w:ascii="Aptos" w:eastAsia="Arial Narrow" w:hAnsi="Aptos" w:cs="Arial"/>
          <w:color w:val="000000"/>
          <w:sz w:val="24"/>
          <w:szCs w:val="24"/>
        </w:rPr>
        <w:t xml:space="preserve"> La presente ley tiene por objeto modificar el artículo 2° de la Ley 2540 de 2025 y adicionar los artículos 41, 42, 43 y 44 a dicha ley, con el fin de extender la modalidad de arbitraje institucional a los procesos ejecutivos que no cuenten con pacto arbitral previo entre las partes, mediante un mecanismo de habilitación por no oposición cualificada del deudor que preserva el principio constitucional de voluntariedad del arbitraje consagrado en el artículo 116 de la Constitución Política, con el propósito de contribuir a la descongestión del sistema judicial.</w:t>
      </w:r>
    </w:p>
    <w:p w14:paraId="5EBF1644" w14:textId="77777777" w:rsidR="008731ED" w:rsidRPr="008731ED" w:rsidRDefault="008731ED" w:rsidP="008731ED">
      <w:pPr>
        <w:pBdr>
          <w:top w:val="nil"/>
          <w:left w:val="nil"/>
          <w:bottom w:val="nil"/>
          <w:right w:val="nil"/>
          <w:between w:val="nil"/>
        </w:pBdr>
        <w:spacing w:line="240" w:lineRule="auto"/>
        <w:jc w:val="both"/>
        <w:rPr>
          <w:rFonts w:ascii="Aptos" w:eastAsia="Arial Narrow" w:hAnsi="Aptos" w:cs="Arial"/>
          <w:color w:val="000000"/>
          <w:sz w:val="24"/>
          <w:szCs w:val="24"/>
        </w:rPr>
      </w:pPr>
      <w:r w:rsidRPr="008731ED">
        <w:rPr>
          <w:rFonts w:ascii="Aptos" w:eastAsia="Arial Narrow" w:hAnsi="Aptos" w:cs="Arial"/>
          <w:b/>
          <w:bCs/>
          <w:color w:val="000000"/>
          <w:sz w:val="24"/>
          <w:szCs w:val="24"/>
        </w:rPr>
        <w:t>Artículo 2°.</w:t>
      </w:r>
      <w:r w:rsidRPr="008731ED">
        <w:rPr>
          <w:rFonts w:ascii="Aptos" w:eastAsia="Arial Narrow" w:hAnsi="Aptos" w:cs="Arial"/>
          <w:color w:val="000000"/>
          <w:sz w:val="24"/>
          <w:szCs w:val="24"/>
        </w:rPr>
        <w:t xml:space="preserve"> Modifíquese el artículo 2° de la Ley 2540 de 2025, el cual quedará así:</w:t>
      </w:r>
    </w:p>
    <w:p w14:paraId="63C6271C" w14:textId="77777777" w:rsidR="008731ED" w:rsidRPr="008731ED" w:rsidRDefault="008731ED" w:rsidP="008731ED">
      <w:pPr>
        <w:pBdr>
          <w:top w:val="nil"/>
          <w:left w:val="nil"/>
          <w:bottom w:val="nil"/>
          <w:right w:val="nil"/>
          <w:between w:val="nil"/>
        </w:pBdr>
        <w:spacing w:line="240" w:lineRule="auto"/>
        <w:jc w:val="both"/>
        <w:rPr>
          <w:rFonts w:ascii="Aptos" w:eastAsia="Arial Narrow" w:hAnsi="Aptos" w:cs="Arial"/>
          <w:i/>
          <w:iCs/>
          <w:color w:val="000000"/>
          <w:sz w:val="24"/>
          <w:szCs w:val="24"/>
        </w:rPr>
      </w:pPr>
      <w:r w:rsidRPr="008731ED">
        <w:rPr>
          <w:rFonts w:ascii="Aptos" w:eastAsia="Arial Narrow" w:hAnsi="Aptos" w:cs="Arial"/>
          <w:color w:val="000000"/>
          <w:sz w:val="24"/>
          <w:szCs w:val="24"/>
        </w:rPr>
        <w:t>“</w:t>
      </w:r>
      <w:r w:rsidRPr="008731ED">
        <w:rPr>
          <w:rFonts w:ascii="Aptos" w:eastAsia="Arial Narrow" w:hAnsi="Aptos" w:cs="Arial"/>
          <w:b/>
          <w:bCs/>
          <w:i/>
          <w:iCs/>
          <w:color w:val="000000"/>
          <w:sz w:val="24"/>
          <w:szCs w:val="24"/>
        </w:rPr>
        <w:t>Artículo 2°. Arbitraje para procesos ejecutivos.</w:t>
      </w:r>
      <w:r w:rsidRPr="008731ED">
        <w:rPr>
          <w:rFonts w:ascii="Aptos" w:eastAsia="Arial Narrow" w:hAnsi="Aptos" w:cs="Arial"/>
          <w:i/>
          <w:iCs/>
          <w:color w:val="000000"/>
          <w:sz w:val="24"/>
          <w:szCs w:val="24"/>
        </w:rPr>
        <w:t xml:space="preserve"> Podrán someterse a arbitraje todos los procesos ejecutivos.</w:t>
      </w:r>
    </w:p>
    <w:p w14:paraId="43D75967" w14:textId="77777777" w:rsidR="008731ED" w:rsidRPr="008731ED" w:rsidRDefault="008731ED" w:rsidP="008731ED">
      <w:pPr>
        <w:pBdr>
          <w:top w:val="nil"/>
          <w:left w:val="nil"/>
          <w:bottom w:val="nil"/>
          <w:right w:val="nil"/>
          <w:between w:val="nil"/>
        </w:pBdr>
        <w:spacing w:line="240" w:lineRule="auto"/>
        <w:jc w:val="both"/>
        <w:rPr>
          <w:rFonts w:ascii="Aptos" w:eastAsia="Arial Narrow" w:hAnsi="Aptos" w:cs="Arial"/>
          <w:i/>
          <w:iCs/>
          <w:color w:val="000000"/>
          <w:sz w:val="24"/>
          <w:szCs w:val="24"/>
        </w:rPr>
      </w:pPr>
      <w:r w:rsidRPr="008731ED">
        <w:rPr>
          <w:rFonts w:ascii="Aptos" w:eastAsia="Arial Narrow" w:hAnsi="Aptos" w:cs="Arial"/>
          <w:i/>
          <w:iCs/>
          <w:color w:val="000000"/>
          <w:sz w:val="24"/>
          <w:szCs w:val="24"/>
        </w:rPr>
        <w:lastRenderedPageBreak/>
        <w:t>El acreedor que cuente con un título ejecutivo podrá presentar su demanda ante un centro de arbitraje debidamente autorizado, exista o no pacto arbitral previo entre las partes. Cuando exista pacto arbitral, se aplicará además lo dispuesto en los artículos 3° a 7° de la presente ley. Cuando no exista pacto arbitral, se aplicará además lo dispuesto en los artículos 41 a 44 de la presente ley.</w:t>
      </w:r>
    </w:p>
    <w:p w14:paraId="378DA467" w14:textId="77777777" w:rsidR="008731ED" w:rsidRPr="008731ED" w:rsidRDefault="008731ED" w:rsidP="008731ED">
      <w:pPr>
        <w:pBdr>
          <w:top w:val="nil"/>
          <w:left w:val="nil"/>
          <w:bottom w:val="nil"/>
          <w:right w:val="nil"/>
          <w:between w:val="nil"/>
        </w:pBdr>
        <w:spacing w:line="240" w:lineRule="auto"/>
        <w:jc w:val="both"/>
        <w:rPr>
          <w:rFonts w:ascii="Aptos" w:eastAsia="Arial Narrow" w:hAnsi="Aptos" w:cs="Arial"/>
          <w:i/>
          <w:iCs/>
          <w:color w:val="000000"/>
          <w:sz w:val="24"/>
          <w:szCs w:val="24"/>
        </w:rPr>
      </w:pPr>
      <w:r w:rsidRPr="008731ED">
        <w:rPr>
          <w:rFonts w:ascii="Aptos" w:eastAsia="Arial Narrow" w:hAnsi="Aptos" w:cs="Arial"/>
          <w:i/>
          <w:iCs/>
          <w:color w:val="000000"/>
          <w:sz w:val="24"/>
          <w:szCs w:val="24"/>
        </w:rPr>
        <w:t>En todos los casos, una vez habilitado el arbitraje en los términos de este artículo, el trámite del proceso arbitral ejecutivo se regirá por lo dispuesto en los artículos 8 a 40 de la presente ley, en cuanto resulten aplicables.</w:t>
      </w:r>
    </w:p>
    <w:p w14:paraId="4FE8D10B" w14:textId="77777777" w:rsidR="008731ED" w:rsidRPr="008731ED" w:rsidRDefault="008731ED" w:rsidP="008731ED">
      <w:pPr>
        <w:pBdr>
          <w:top w:val="nil"/>
          <w:left w:val="nil"/>
          <w:bottom w:val="nil"/>
          <w:right w:val="nil"/>
          <w:between w:val="nil"/>
        </w:pBdr>
        <w:spacing w:line="240" w:lineRule="auto"/>
        <w:jc w:val="both"/>
        <w:rPr>
          <w:rFonts w:ascii="Aptos" w:eastAsia="Arial Narrow" w:hAnsi="Aptos" w:cs="Arial"/>
          <w:i/>
          <w:iCs/>
          <w:color w:val="000000"/>
          <w:sz w:val="24"/>
          <w:szCs w:val="24"/>
        </w:rPr>
      </w:pPr>
      <w:r w:rsidRPr="008731ED">
        <w:rPr>
          <w:rFonts w:ascii="Aptos" w:eastAsia="Arial Narrow" w:hAnsi="Aptos" w:cs="Arial"/>
          <w:i/>
          <w:iCs/>
          <w:color w:val="000000"/>
          <w:sz w:val="24"/>
          <w:szCs w:val="24"/>
        </w:rPr>
        <w:t>El proceso ejecutivo arbitral previsto en esta ley será institucional y se aplicará a cualquier tipo de ejecución. En ningún caso podrá darse la figura del arbitraje ad hoc. El laudo arbitral será proferido en derecho. Se tendrá por no escrito el acuerdo referido a un laudo en equidad o técnico.</w:t>
      </w:r>
    </w:p>
    <w:p w14:paraId="31A873BB" w14:textId="77777777" w:rsidR="008731ED" w:rsidRPr="008731ED" w:rsidRDefault="008731ED" w:rsidP="008731ED">
      <w:pPr>
        <w:pBdr>
          <w:top w:val="nil"/>
          <w:left w:val="nil"/>
          <w:bottom w:val="nil"/>
          <w:right w:val="nil"/>
          <w:between w:val="nil"/>
        </w:pBdr>
        <w:spacing w:line="240" w:lineRule="auto"/>
        <w:jc w:val="both"/>
        <w:rPr>
          <w:rFonts w:ascii="Aptos" w:eastAsia="Arial Narrow" w:hAnsi="Aptos" w:cs="Arial"/>
          <w:color w:val="000000"/>
          <w:sz w:val="24"/>
          <w:szCs w:val="24"/>
        </w:rPr>
      </w:pPr>
      <w:r w:rsidRPr="008731ED">
        <w:rPr>
          <w:rFonts w:ascii="Aptos" w:eastAsia="Arial Narrow" w:hAnsi="Aptos" w:cs="Arial"/>
          <w:i/>
          <w:iCs/>
          <w:color w:val="000000"/>
          <w:sz w:val="24"/>
          <w:szCs w:val="24"/>
        </w:rPr>
        <w:t>El proceso ejecutivo arbitral se regirá por esta ley y por la Sección Primera de la Ley 1563 de 2012 y en lo no previsto en estas disposiciones por lo dispuesto en el Código General del Proceso en cuanto fuere pertinente y en lo dispuesto en el Capítulo VI del Título III del Libro Tercero del Código de Comercio en lo relativo a ejecución de títulos valores</w:t>
      </w:r>
      <w:r w:rsidRPr="008731ED">
        <w:rPr>
          <w:rFonts w:ascii="Aptos" w:eastAsia="Arial Narrow" w:hAnsi="Aptos" w:cs="Arial"/>
          <w:color w:val="000000"/>
          <w:sz w:val="24"/>
          <w:szCs w:val="24"/>
        </w:rPr>
        <w:t>.”</w:t>
      </w:r>
    </w:p>
    <w:p w14:paraId="266C9385" w14:textId="77777777" w:rsidR="008731ED" w:rsidRPr="008731ED" w:rsidRDefault="008731ED" w:rsidP="008731ED">
      <w:pPr>
        <w:pBdr>
          <w:top w:val="nil"/>
          <w:left w:val="nil"/>
          <w:bottom w:val="nil"/>
          <w:right w:val="nil"/>
          <w:between w:val="nil"/>
        </w:pBdr>
        <w:spacing w:line="240" w:lineRule="auto"/>
        <w:jc w:val="both"/>
        <w:rPr>
          <w:rFonts w:ascii="Aptos" w:eastAsia="Arial Narrow" w:hAnsi="Aptos" w:cs="Arial"/>
          <w:color w:val="000000"/>
          <w:sz w:val="24"/>
          <w:szCs w:val="24"/>
        </w:rPr>
      </w:pPr>
      <w:r w:rsidRPr="008731ED">
        <w:rPr>
          <w:rFonts w:ascii="Aptos" w:eastAsia="Arial Narrow" w:hAnsi="Aptos" w:cs="Arial"/>
          <w:b/>
          <w:bCs/>
          <w:color w:val="000000"/>
          <w:sz w:val="24"/>
          <w:szCs w:val="24"/>
        </w:rPr>
        <w:t>Artículo 3°.</w:t>
      </w:r>
      <w:r w:rsidRPr="008731ED">
        <w:rPr>
          <w:rFonts w:ascii="Aptos" w:eastAsia="Arial Narrow" w:hAnsi="Aptos" w:cs="Arial"/>
          <w:color w:val="000000"/>
          <w:sz w:val="24"/>
          <w:szCs w:val="24"/>
        </w:rPr>
        <w:t xml:space="preserve"> Adiciónese el artículo 41 a la Ley 2540 de 2025, el cual quedará así:</w:t>
      </w:r>
    </w:p>
    <w:p w14:paraId="2E640CD7" w14:textId="77777777" w:rsidR="008731ED" w:rsidRPr="008731ED" w:rsidRDefault="008731ED" w:rsidP="008731ED">
      <w:pPr>
        <w:pBdr>
          <w:top w:val="nil"/>
          <w:left w:val="nil"/>
          <w:bottom w:val="nil"/>
          <w:right w:val="nil"/>
          <w:between w:val="nil"/>
        </w:pBdr>
        <w:spacing w:line="240" w:lineRule="auto"/>
        <w:jc w:val="both"/>
        <w:rPr>
          <w:rFonts w:ascii="Aptos" w:eastAsia="Arial Narrow" w:hAnsi="Aptos" w:cs="Arial"/>
          <w:i/>
          <w:iCs/>
          <w:color w:val="000000"/>
          <w:sz w:val="24"/>
          <w:szCs w:val="24"/>
        </w:rPr>
      </w:pPr>
      <w:r w:rsidRPr="008731ED">
        <w:rPr>
          <w:rFonts w:ascii="Aptos" w:eastAsia="Arial Narrow" w:hAnsi="Aptos" w:cs="Arial"/>
          <w:color w:val="000000"/>
          <w:sz w:val="24"/>
          <w:szCs w:val="24"/>
        </w:rPr>
        <w:t>“</w:t>
      </w:r>
      <w:r w:rsidRPr="008731ED">
        <w:rPr>
          <w:rFonts w:ascii="Aptos" w:eastAsia="Arial Narrow" w:hAnsi="Aptos" w:cs="Arial"/>
          <w:i/>
          <w:iCs/>
          <w:color w:val="000000"/>
          <w:sz w:val="24"/>
          <w:szCs w:val="24"/>
        </w:rPr>
        <w:t>Artículo 41. Recepción de la demanda y notificación reforzada en procesos sin pacto arbitral previo. Cuando el acreedor presente la demanda ejecutiva ante un centro de arbitraje sin que exista pacto arbitral previo, el centro verificará que el documento aportado reúna, en apariencia, los requisitos formales de un título ejecutivo y, de ser así, recibirá la demanda para trámite y ordenará la notificación personal del deudor, conforme a las reglas del Código General del Proceso. La verificación de que trata este inciso es de carácter preliminar y administrativo, sin perjuicio de la competencia exclusiva del árbitro ejecutor para pronunciarse sobre la procedencia de la ejecución y librar el mandamiento de pago, una vez integrado el tribunal.</w:t>
      </w:r>
    </w:p>
    <w:p w14:paraId="4F4D5E6F" w14:textId="77777777" w:rsidR="008731ED" w:rsidRPr="008731ED" w:rsidRDefault="008731ED" w:rsidP="008731ED">
      <w:pPr>
        <w:pBdr>
          <w:top w:val="nil"/>
          <w:left w:val="nil"/>
          <w:bottom w:val="nil"/>
          <w:right w:val="nil"/>
          <w:between w:val="nil"/>
        </w:pBdr>
        <w:spacing w:line="240" w:lineRule="auto"/>
        <w:jc w:val="both"/>
        <w:rPr>
          <w:rFonts w:ascii="Aptos" w:eastAsia="Arial Narrow" w:hAnsi="Aptos" w:cs="Arial"/>
          <w:i/>
          <w:iCs/>
          <w:color w:val="000000"/>
          <w:sz w:val="24"/>
          <w:szCs w:val="24"/>
        </w:rPr>
      </w:pPr>
      <w:r w:rsidRPr="008731ED">
        <w:rPr>
          <w:rFonts w:ascii="Aptos" w:eastAsia="Arial Narrow" w:hAnsi="Aptos" w:cs="Arial"/>
          <w:i/>
          <w:iCs/>
          <w:color w:val="000000"/>
          <w:sz w:val="24"/>
          <w:szCs w:val="24"/>
        </w:rPr>
        <w:t>La notificación de que trata este artículo deberá informar al deudor, de manera clara, expresa, destacada y en términos comprensibles, que la demanda se presentó ante un centro de arbitraje, que no existe pacto arbitral previo entre las partes, y que tiene derecho a oponerse a la vía arbitral dentro del término y en los términos establecidos en el artículo 42 de la presente ley.</w:t>
      </w:r>
    </w:p>
    <w:p w14:paraId="662CA95B" w14:textId="77777777" w:rsidR="008731ED" w:rsidRPr="008731ED" w:rsidRDefault="008731ED" w:rsidP="008731ED">
      <w:pPr>
        <w:pBdr>
          <w:top w:val="nil"/>
          <w:left w:val="nil"/>
          <w:bottom w:val="nil"/>
          <w:right w:val="nil"/>
          <w:between w:val="nil"/>
        </w:pBdr>
        <w:spacing w:line="240" w:lineRule="auto"/>
        <w:jc w:val="both"/>
        <w:rPr>
          <w:rFonts w:ascii="Aptos" w:eastAsia="Arial Narrow" w:hAnsi="Aptos" w:cs="Arial"/>
          <w:i/>
          <w:iCs/>
          <w:color w:val="000000"/>
          <w:sz w:val="24"/>
          <w:szCs w:val="24"/>
        </w:rPr>
      </w:pPr>
      <w:r w:rsidRPr="008731ED">
        <w:rPr>
          <w:rFonts w:ascii="Aptos" w:eastAsia="Arial Narrow" w:hAnsi="Aptos" w:cs="Arial"/>
          <w:i/>
          <w:iCs/>
          <w:color w:val="000000"/>
          <w:sz w:val="24"/>
          <w:szCs w:val="24"/>
        </w:rPr>
        <w:t>Si el título ejecutivo presentado no reúne los requisitos legales, el centro de arbitraje rechazará la demanda mediante auto motivado, sin perjuicio de que el acreedor pueda presentarla nuevamente subsanando las deficiencias.</w:t>
      </w:r>
    </w:p>
    <w:p w14:paraId="5A69EA83" w14:textId="77777777" w:rsidR="008731ED" w:rsidRPr="008731ED" w:rsidRDefault="008731ED" w:rsidP="008731ED">
      <w:pPr>
        <w:pBdr>
          <w:top w:val="nil"/>
          <w:left w:val="nil"/>
          <w:bottom w:val="nil"/>
          <w:right w:val="nil"/>
          <w:between w:val="nil"/>
        </w:pBdr>
        <w:spacing w:line="240" w:lineRule="auto"/>
        <w:jc w:val="both"/>
        <w:rPr>
          <w:rFonts w:ascii="Aptos" w:eastAsia="Arial Narrow" w:hAnsi="Aptos" w:cs="Arial"/>
          <w:color w:val="000000"/>
          <w:sz w:val="24"/>
          <w:szCs w:val="24"/>
        </w:rPr>
      </w:pPr>
      <w:r w:rsidRPr="008731ED">
        <w:rPr>
          <w:rFonts w:ascii="Aptos" w:eastAsia="Arial Narrow" w:hAnsi="Aptos" w:cs="Arial"/>
          <w:i/>
          <w:iCs/>
          <w:color w:val="000000"/>
          <w:sz w:val="24"/>
          <w:szCs w:val="24"/>
        </w:rPr>
        <w:t xml:space="preserve">Parágrafo. La omisión de la información de que trata este artículo dará lugar a la nulidad de lo actuado y al traslado inmediato del expediente a la jurisdicción ordinaria, </w:t>
      </w:r>
      <w:r w:rsidRPr="008731ED">
        <w:rPr>
          <w:rFonts w:ascii="Aptos" w:eastAsia="Arial Narrow" w:hAnsi="Aptos" w:cs="Arial"/>
          <w:i/>
          <w:iCs/>
          <w:color w:val="000000"/>
          <w:sz w:val="24"/>
          <w:szCs w:val="24"/>
        </w:rPr>
        <w:lastRenderedPageBreak/>
        <w:t>sin perjuicio de las sanciones a que haya lugar conforme al artículo 44 de la presente ley</w:t>
      </w:r>
      <w:r w:rsidRPr="008731ED">
        <w:rPr>
          <w:rFonts w:ascii="Aptos" w:eastAsia="Arial Narrow" w:hAnsi="Aptos" w:cs="Arial"/>
          <w:color w:val="000000"/>
          <w:sz w:val="24"/>
          <w:szCs w:val="24"/>
        </w:rPr>
        <w:t>.”</w:t>
      </w:r>
    </w:p>
    <w:p w14:paraId="2C56975B" w14:textId="77777777" w:rsidR="008731ED" w:rsidRPr="00E903CA" w:rsidRDefault="008731ED" w:rsidP="008731ED">
      <w:pPr>
        <w:pBdr>
          <w:top w:val="nil"/>
          <w:left w:val="nil"/>
          <w:bottom w:val="nil"/>
          <w:right w:val="nil"/>
          <w:between w:val="nil"/>
        </w:pBdr>
        <w:spacing w:line="240" w:lineRule="auto"/>
        <w:jc w:val="both"/>
        <w:rPr>
          <w:rFonts w:ascii="Aptos" w:eastAsia="Arial Narrow" w:hAnsi="Aptos" w:cs="Arial"/>
          <w:bCs/>
          <w:color w:val="000000"/>
          <w:sz w:val="24"/>
          <w:szCs w:val="24"/>
          <w:lang w:val="es-ES"/>
        </w:rPr>
      </w:pPr>
      <w:r w:rsidRPr="00E903CA">
        <w:rPr>
          <w:rFonts w:ascii="Aptos" w:eastAsia="Arial Narrow" w:hAnsi="Aptos" w:cs="Arial"/>
          <w:b/>
          <w:bCs/>
          <w:color w:val="000000"/>
          <w:sz w:val="24"/>
          <w:szCs w:val="24"/>
        </w:rPr>
        <w:t>Artículo 4°</w:t>
      </w:r>
      <w:r w:rsidRPr="00E903CA">
        <w:rPr>
          <w:rFonts w:ascii="Aptos" w:eastAsia="Arial Narrow" w:hAnsi="Aptos" w:cs="Arial"/>
          <w:b/>
          <w:color w:val="000000"/>
          <w:sz w:val="24"/>
          <w:szCs w:val="24"/>
        </w:rPr>
        <w:t xml:space="preserve">. </w:t>
      </w:r>
      <w:r w:rsidRPr="00E903CA">
        <w:rPr>
          <w:rFonts w:ascii="Aptos" w:eastAsia="Arial Narrow" w:hAnsi="Aptos" w:cs="Arial"/>
          <w:bCs/>
          <w:color w:val="000000"/>
          <w:sz w:val="24"/>
          <w:szCs w:val="24"/>
          <w:lang w:val="es-ES"/>
        </w:rPr>
        <w:t>Adiciónese el artículo 42 a la Ley 2540 de 2025, el cual quedará así:</w:t>
      </w:r>
    </w:p>
    <w:p w14:paraId="10F949E4" w14:textId="77777777" w:rsidR="008731ED" w:rsidRPr="00E903CA" w:rsidRDefault="008731ED" w:rsidP="008731ED">
      <w:pPr>
        <w:pBdr>
          <w:top w:val="nil"/>
          <w:left w:val="nil"/>
          <w:bottom w:val="nil"/>
          <w:right w:val="nil"/>
          <w:between w:val="nil"/>
        </w:pBdr>
        <w:spacing w:line="240" w:lineRule="auto"/>
        <w:jc w:val="both"/>
        <w:rPr>
          <w:rFonts w:ascii="Aptos" w:eastAsia="Arial Narrow" w:hAnsi="Aptos" w:cs="Arial"/>
          <w:bCs/>
          <w:color w:val="000000"/>
          <w:sz w:val="24"/>
          <w:szCs w:val="24"/>
          <w:lang w:val="es-ES"/>
        </w:rPr>
      </w:pPr>
      <w:r w:rsidRPr="00E903CA">
        <w:rPr>
          <w:rFonts w:ascii="Aptos" w:eastAsia="Arial Narrow" w:hAnsi="Aptos" w:cs="Arial"/>
          <w:bCs/>
          <w:i/>
          <w:iCs/>
          <w:color w:val="000000"/>
          <w:sz w:val="24"/>
          <w:szCs w:val="24"/>
          <w:lang w:val="es-ES"/>
        </w:rPr>
        <w:t>"Artículo 42. Derecho de oposición del deudor y efectos de la no oposición. Dentro de los diez (10) días hábiles siguientes a la notificación de que trata el artículo anterior, el deudor podrá oponerse a que el proceso continúe ante el centro de arbitraje, mediante manifestación escrita presentada ante el mismo centro, sin necesidad de sustentación ni de invocar causal alguna.</w:t>
      </w:r>
    </w:p>
    <w:p w14:paraId="46945C69" w14:textId="77777777" w:rsidR="008731ED" w:rsidRPr="00E903CA" w:rsidRDefault="008731ED" w:rsidP="008731ED">
      <w:pPr>
        <w:pBdr>
          <w:top w:val="nil"/>
          <w:left w:val="nil"/>
          <w:bottom w:val="nil"/>
          <w:right w:val="nil"/>
          <w:between w:val="nil"/>
        </w:pBdr>
        <w:spacing w:line="240" w:lineRule="auto"/>
        <w:jc w:val="both"/>
        <w:rPr>
          <w:rFonts w:ascii="Aptos" w:eastAsia="Arial Narrow" w:hAnsi="Aptos" w:cs="Arial"/>
          <w:bCs/>
          <w:color w:val="000000"/>
          <w:sz w:val="24"/>
          <w:szCs w:val="24"/>
          <w:lang w:val="es-ES"/>
        </w:rPr>
      </w:pPr>
      <w:r w:rsidRPr="00E903CA">
        <w:rPr>
          <w:rFonts w:ascii="Aptos" w:eastAsia="Arial Narrow" w:hAnsi="Aptos" w:cs="Arial"/>
          <w:bCs/>
          <w:i/>
          <w:iCs/>
          <w:color w:val="000000"/>
          <w:sz w:val="24"/>
          <w:szCs w:val="24"/>
          <w:lang w:val="es-ES"/>
        </w:rPr>
        <w:t>Presentada la oposición dentro del término, el centro de arbitraje dará por terminado el trámite y remitirá el expediente al juez civil competente, según las reglas del Código General del Proceso, para que continúe el proceso ejecutivo ante la jurisdicción ordinaria. La oposición del deudor no generará costo alguno a su cargo ni causará honorarios a favor de árbitro alguno, en la medida en que se resuelve con anterioridad a la integración del tribunal arbitral.</w:t>
      </w:r>
    </w:p>
    <w:p w14:paraId="44AA04E8" w14:textId="77777777" w:rsidR="008731ED" w:rsidRPr="00E903CA" w:rsidRDefault="008731ED" w:rsidP="008731ED">
      <w:pPr>
        <w:pBdr>
          <w:top w:val="nil"/>
          <w:left w:val="nil"/>
          <w:bottom w:val="nil"/>
          <w:right w:val="nil"/>
          <w:between w:val="nil"/>
        </w:pBdr>
        <w:spacing w:line="240" w:lineRule="auto"/>
        <w:jc w:val="both"/>
        <w:rPr>
          <w:rFonts w:ascii="Aptos" w:eastAsia="Arial Narrow" w:hAnsi="Aptos" w:cs="Arial"/>
          <w:bCs/>
          <w:color w:val="000000"/>
          <w:sz w:val="24"/>
          <w:szCs w:val="24"/>
          <w:lang w:val="es-ES"/>
        </w:rPr>
      </w:pPr>
      <w:r w:rsidRPr="00E903CA">
        <w:rPr>
          <w:rFonts w:ascii="Aptos" w:eastAsia="Arial Narrow" w:hAnsi="Aptos" w:cs="Arial"/>
          <w:bCs/>
          <w:i/>
          <w:iCs/>
          <w:color w:val="000000"/>
          <w:sz w:val="24"/>
          <w:szCs w:val="24"/>
          <w:lang w:val="es-ES"/>
        </w:rPr>
        <w:t>Si el deudor no presenta oposición dentro del término señalado, se entenderá habilitado el arbitraje para la totalidad del proceso ejecutivo, en los términos del artículo 116 de la Constitución Política. En tal caso, el centro de arbitraje procederá con el cobro de honorarios y gastos, la integración del tribunal y las demás etapas del proceso arbitral ejecutivo previstas en los artículos 15 y siguientes de la presente ley, correspondiendo al árbitro ejecutor, una vez integrado el tribunal, verificar los requisitos del título ejecutivo y librar el mandamiento de pago.</w:t>
      </w:r>
    </w:p>
    <w:p w14:paraId="498B0D2D" w14:textId="77777777" w:rsidR="008731ED" w:rsidRPr="00E903CA" w:rsidRDefault="008731ED" w:rsidP="008731ED">
      <w:pPr>
        <w:pBdr>
          <w:top w:val="nil"/>
          <w:left w:val="nil"/>
          <w:bottom w:val="nil"/>
          <w:right w:val="nil"/>
          <w:between w:val="nil"/>
        </w:pBdr>
        <w:spacing w:line="240" w:lineRule="auto"/>
        <w:jc w:val="both"/>
        <w:rPr>
          <w:rFonts w:ascii="Aptos" w:eastAsia="Arial Narrow" w:hAnsi="Aptos" w:cs="Arial"/>
          <w:bCs/>
          <w:color w:val="000000"/>
          <w:sz w:val="24"/>
          <w:szCs w:val="24"/>
          <w:lang w:val="es-ES"/>
        </w:rPr>
      </w:pPr>
      <w:r w:rsidRPr="00E903CA">
        <w:rPr>
          <w:rFonts w:ascii="Aptos" w:eastAsia="Arial Narrow" w:hAnsi="Aptos" w:cs="Arial"/>
          <w:bCs/>
          <w:i/>
          <w:iCs/>
          <w:color w:val="000000"/>
          <w:sz w:val="24"/>
          <w:szCs w:val="24"/>
          <w:lang w:val="es-ES"/>
        </w:rPr>
        <w:t>Parágrafo primero. En cualquier tiempo antes de vencido el término del inciso primero, el deudor podrá manifestar de manera expresa su aceptación de la vía arbitral, caso en el cual el centro de arbitraje podrá continuar el trámite sin necesidad de esperar el vencimiento del término.</w:t>
      </w:r>
    </w:p>
    <w:p w14:paraId="76854977" w14:textId="77777777" w:rsidR="008731ED" w:rsidRPr="008731ED" w:rsidRDefault="008731ED" w:rsidP="008731ED">
      <w:pPr>
        <w:pBdr>
          <w:top w:val="nil"/>
          <w:left w:val="nil"/>
          <w:bottom w:val="nil"/>
          <w:right w:val="nil"/>
          <w:between w:val="nil"/>
        </w:pBdr>
        <w:spacing w:line="240" w:lineRule="auto"/>
        <w:jc w:val="both"/>
        <w:rPr>
          <w:rFonts w:ascii="Aptos" w:eastAsia="Arial Narrow" w:hAnsi="Aptos" w:cs="Arial"/>
          <w:bCs/>
          <w:i/>
          <w:iCs/>
          <w:color w:val="000000"/>
          <w:sz w:val="24"/>
          <w:szCs w:val="24"/>
          <w:lang w:val="es-ES"/>
        </w:rPr>
      </w:pPr>
      <w:r w:rsidRPr="008731ED">
        <w:rPr>
          <w:rFonts w:ascii="Aptos" w:eastAsia="Arial Narrow" w:hAnsi="Aptos" w:cs="Arial"/>
          <w:bCs/>
          <w:i/>
          <w:iCs/>
          <w:color w:val="000000"/>
          <w:sz w:val="24"/>
          <w:szCs w:val="24"/>
          <w:lang w:val="es-ES"/>
        </w:rPr>
        <w:t>Parágrafo segundo. La manifestación escrita de oposición presentada en término es condición necesaria y suficiente para la remisión del expediente a la jurisdicción ordinaria, sin que el centro de arbitraje pueda calificar, cuestionar o desestimar dicha oposición por razón de su motivación o suficiencia argumentativa".</w:t>
      </w:r>
    </w:p>
    <w:p w14:paraId="72605D6D" w14:textId="77777777" w:rsidR="008731ED" w:rsidRPr="00E903CA" w:rsidRDefault="008731ED" w:rsidP="008731ED">
      <w:pPr>
        <w:pBdr>
          <w:top w:val="nil"/>
          <w:left w:val="nil"/>
          <w:bottom w:val="nil"/>
          <w:right w:val="nil"/>
          <w:between w:val="nil"/>
        </w:pBdr>
        <w:spacing w:line="240" w:lineRule="auto"/>
        <w:jc w:val="both"/>
        <w:rPr>
          <w:rFonts w:ascii="Aptos" w:eastAsia="Arial Narrow" w:hAnsi="Aptos" w:cs="Arial"/>
          <w:bCs/>
          <w:color w:val="000000"/>
          <w:sz w:val="24"/>
          <w:szCs w:val="24"/>
        </w:rPr>
      </w:pPr>
      <w:r w:rsidRPr="00E903CA">
        <w:rPr>
          <w:rFonts w:ascii="Aptos" w:eastAsia="Arial Narrow" w:hAnsi="Aptos" w:cs="Arial"/>
          <w:b/>
          <w:bCs/>
          <w:color w:val="000000"/>
          <w:sz w:val="24"/>
          <w:szCs w:val="24"/>
        </w:rPr>
        <w:t>Artículo 5°</w:t>
      </w:r>
      <w:r w:rsidRPr="00E903CA">
        <w:rPr>
          <w:rFonts w:ascii="Aptos" w:eastAsia="Arial Narrow" w:hAnsi="Aptos" w:cs="Arial"/>
          <w:bCs/>
          <w:color w:val="000000"/>
          <w:sz w:val="24"/>
          <w:szCs w:val="24"/>
        </w:rPr>
        <w:t>. Adiciónese el artículo 43 a la Ley 2540 de 2025, el cual quedará así:</w:t>
      </w:r>
    </w:p>
    <w:p w14:paraId="75ED20E5" w14:textId="77777777" w:rsidR="008731ED" w:rsidRPr="00E903CA" w:rsidRDefault="008731ED" w:rsidP="008731ED">
      <w:pPr>
        <w:pBdr>
          <w:top w:val="nil"/>
          <w:left w:val="nil"/>
          <w:bottom w:val="nil"/>
          <w:right w:val="nil"/>
          <w:between w:val="nil"/>
        </w:pBdr>
        <w:spacing w:line="240" w:lineRule="auto"/>
        <w:jc w:val="both"/>
        <w:rPr>
          <w:rFonts w:ascii="Aptos" w:eastAsia="Arial Narrow" w:hAnsi="Aptos" w:cs="Arial"/>
          <w:bCs/>
          <w:color w:val="000000"/>
          <w:sz w:val="24"/>
          <w:szCs w:val="24"/>
        </w:rPr>
      </w:pPr>
      <w:r w:rsidRPr="00E903CA">
        <w:rPr>
          <w:rFonts w:ascii="Aptos" w:eastAsia="Arial Narrow" w:hAnsi="Aptos" w:cs="Arial"/>
          <w:b/>
          <w:bCs/>
          <w:i/>
          <w:iCs/>
          <w:color w:val="000000"/>
          <w:sz w:val="24"/>
          <w:szCs w:val="24"/>
        </w:rPr>
        <w:t>“Artículo 43. Información mínima y protección al consumidor en procesos sin pacto arbitral previo.</w:t>
      </w:r>
      <w:r w:rsidRPr="00E903CA">
        <w:rPr>
          <w:rFonts w:ascii="Aptos" w:eastAsia="Arial Narrow" w:hAnsi="Aptos" w:cs="Arial"/>
          <w:bCs/>
          <w:i/>
          <w:iCs/>
          <w:color w:val="000000"/>
          <w:sz w:val="24"/>
          <w:szCs w:val="24"/>
        </w:rPr>
        <w:t xml:space="preserve"> Cuando el deudor tenga la calidad de consumidor en los términos de la Ley 1480 de 2011, la notificación de que trata el artículo 41 de la presente ley deberá, además, informarle de manera clara, veraz, suficiente, comprensible y verificable sobre las diferencias entre el trámite arbitral y el ordinario, los costos estimados del proceso arbitral, la posibilidad de proponer excepciones y </w:t>
      </w:r>
      <w:r w:rsidRPr="00E903CA">
        <w:rPr>
          <w:rFonts w:ascii="Aptos" w:eastAsia="Arial Narrow" w:hAnsi="Aptos" w:cs="Arial"/>
          <w:bCs/>
          <w:i/>
          <w:iCs/>
          <w:color w:val="000000"/>
          <w:sz w:val="24"/>
          <w:szCs w:val="24"/>
        </w:rPr>
        <w:lastRenderedPageBreak/>
        <w:t>ejercer recursos en ambas vías, y el carácter irrenunciable de sus derechos como consumidor.</w:t>
      </w:r>
    </w:p>
    <w:p w14:paraId="2513EC9A" w14:textId="77777777" w:rsidR="008731ED" w:rsidRPr="008731ED" w:rsidRDefault="008731ED" w:rsidP="008731ED">
      <w:pPr>
        <w:pBdr>
          <w:top w:val="nil"/>
          <w:left w:val="nil"/>
          <w:bottom w:val="nil"/>
          <w:right w:val="nil"/>
          <w:between w:val="nil"/>
        </w:pBdr>
        <w:spacing w:line="240" w:lineRule="auto"/>
        <w:jc w:val="both"/>
        <w:rPr>
          <w:rFonts w:ascii="Aptos" w:eastAsia="Arial Narrow" w:hAnsi="Aptos" w:cs="Arial"/>
          <w:bCs/>
          <w:i/>
          <w:iCs/>
          <w:color w:val="000000"/>
          <w:sz w:val="24"/>
          <w:szCs w:val="24"/>
        </w:rPr>
      </w:pPr>
      <w:r w:rsidRPr="00E903CA">
        <w:rPr>
          <w:rFonts w:ascii="Aptos" w:eastAsia="Arial Narrow" w:hAnsi="Aptos" w:cs="Arial"/>
          <w:bCs/>
          <w:i/>
          <w:iCs/>
          <w:color w:val="000000"/>
          <w:sz w:val="24"/>
          <w:szCs w:val="24"/>
        </w:rPr>
        <w:t>Lo previsto en los artículos 5° y 6° de la presente ley se aplicará, en lo pertinente, a los procesos ejecutivos arbitrales que se adelanten sin pacto arbitral previo respecto de deudores consumidores.”</w:t>
      </w:r>
    </w:p>
    <w:p w14:paraId="086889B8" w14:textId="77777777" w:rsidR="008731ED" w:rsidRPr="00E903CA" w:rsidRDefault="008731ED" w:rsidP="008731ED">
      <w:pPr>
        <w:pBdr>
          <w:top w:val="nil"/>
          <w:left w:val="nil"/>
          <w:bottom w:val="nil"/>
          <w:right w:val="nil"/>
          <w:between w:val="nil"/>
        </w:pBdr>
        <w:spacing w:line="240" w:lineRule="auto"/>
        <w:jc w:val="both"/>
        <w:rPr>
          <w:rFonts w:ascii="Aptos" w:eastAsia="Arial Narrow" w:hAnsi="Aptos" w:cs="Arial"/>
          <w:bCs/>
          <w:color w:val="000000"/>
          <w:sz w:val="24"/>
          <w:szCs w:val="24"/>
          <w:lang w:val="es-ES"/>
        </w:rPr>
      </w:pPr>
      <w:r w:rsidRPr="00E903CA">
        <w:rPr>
          <w:rFonts w:ascii="Aptos" w:eastAsia="Arial Narrow" w:hAnsi="Aptos" w:cs="Arial"/>
          <w:b/>
          <w:bCs/>
          <w:color w:val="000000"/>
          <w:sz w:val="24"/>
          <w:szCs w:val="24"/>
          <w:lang w:val="es-ES"/>
        </w:rPr>
        <w:t xml:space="preserve">Artículo 6. </w:t>
      </w:r>
      <w:r w:rsidRPr="00E903CA">
        <w:rPr>
          <w:rFonts w:ascii="Aptos" w:eastAsia="Arial Narrow" w:hAnsi="Aptos" w:cs="Arial"/>
          <w:bCs/>
          <w:color w:val="000000"/>
          <w:sz w:val="24"/>
          <w:szCs w:val="24"/>
          <w:lang w:val="es-ES"/>
        </w:rPr>
        <w:t>Adiciónese el artículo 44 a la Ley 2540 de 2025, el cual quedará así:</w:t>
      </w:r>
    </w:p>
    <w:p w14:paraId="2D780D0B" w14:textId="77777777" w:rsidR="008731ED" w:rsidRPr="00E903CA" w:rsidRDefault="008731ED" w:rsidP="008731ED">
      <w:pPr>
        <w:pBdr>
          <w:top w:val="nil"/>
          <w:left w:val="nil"/>
          <w:bottom w:val="nil"/>
          <w:right w:val="nil"/>
          <w:between w:val="nil"/>
        </w:pBdr>
        <w:spacing w:line="240" w:lineRule="auto"/>
        <w:jc w:val="both"/>
        <w:rPr>
          <w:rFonts w:ascii="Aptos" w:eastAsia="Arial Narrow" w:hAnsi="Aptos" w:cs="Arial"/>
          <w:bCs/>
          <w:color w:val="000000"/>
          <w:sz w:val="24"/>
          <w:szCs w:val="24"/>
          <w:lang w:val="es-ES"/>
        </w:rPr>
      </w:pPr>
      <w:r w:rsidRPr="00E903CA">
        <w:rPr>
          <w:rFonts w:ascii="Aptos" w:eastAsia="Arial Narrow" w:hAnsi="Aptos" w:cs="Arial"/>
          <w:bCs/>
          <w:i/>
          <w:iCs/>
          <w:color w:val="000000"/>
          <w:sz w:val="24"/>
          <w:szCs w:val="24"/>
          <w:lang w:val="es-ES"/>
        </w:rPr>
        <w:t>"Artículo 44. Régimen sancionatorio. Los centros de arbitraje que omitan las obligaciones de información y notificación previstas en los artículos 41 y 43 de la presente ley, o que impidan u obstaculicen el ejercicio del derecho de oposición del deudor previsto en el artículo 42, serán objeto de las medidas de inspección, vigilancia y control que corresponda ejercer al Ministerio de Justicia y del Derecho, sin perjuicio de las acciones disciplinarias, civiles o penales a que haya lugar.</w:t>
      </w:r>
    </w:p>
    <w:p w14:paraId="7199377C" w14:textId="77777777" w:rsidR="008731ED" w:rsidRPr="00E903CA" w:rsidRDefault="008731ED" w:rsidP="008731ED">
      <w:pPr>
        <w:pBdr>
          <w:top w:val="nil"/>
          <w:left w:val="nil"/>
          <w:bottom w:val="nil"/>
          <w:right w:val="nil"/>
          <w:between w:val="nil"/>
        </w:pBdr>
        <w:spacing w:line="240" w:lineRule="auto"/>
        <w:jc w:val="both"/>
        <w:rPr>
          <w:rFonts w:ascii="Aptos" w:eastAsia="Arial Narrow" w:hAnsi="Aptos" w:cs="Arial"/>
          <w:bCs/>
          <w:color w:val="000000"/>
          <w:sz w:val="24"/>
          <w:szCs w:val="24"/>
          <w:lang w:val="es-ES"/>
        </w:rPr>
      </w:pPr>
      <w:r w:rsidRPr="00E903CA">
        <w:rPr>
          <w:rFonts w:ascii="Aptos" w:eastAsia="Arial Narrow" w:hAnsi="Aptos" w:cs="Arial"/>
          <w:bCs/>
          <w:i/>
          <w:iCs/>
          <w:color w:val="000000"/>
          <w:sz w:val="24"/>
          <w:szCs w:val="24"/>
          <w:lang w:val="es-ES"/>
        </w:rPr>
        <w:t>Los acreedores o centros de arbitraje que, mediante cualquier maniobra, impidan que la notificación llegue efectivamente a conocimiento del deudor, con el propósito de obtener su habilitación tácita al arbitraje, incurrirán en las sanciones disciplinarias, civiles o penales a que haya lugar, sin perjuicio de la nulidad de lo actuado conforme a las reglas generales de nulidad del Código General del Proceso.</w:t>
      </w:r>
    </w:p>
    <w:p w14:paraId="1DF27DBF" w14:textId="77777777" w:rsidR="008731ED" w:rsidRPr="008731ED" w:rsidRDefault="008731ED" w:rsidP="008731ED">
      <w:pPr>
        <w:pBdr>
          <w:top w:val="nil"/>
          <w:left w:val="nil"/>
          <w:bottom w:val="nil"/>
          <w:right w:val="nil"/>
          <w:between w:val="nil"/>
        </w:pBdr>
        <w:spacing w:line="240" w:lineRule="auto"/>
        <w:jc w:val="both"/>
        <w:rPr>
          <w:rFonts w:ascii="Aptos" w:eastAsia="Arial Narrow" w:hAnsi="Aptos" w:cs="Arial"/>
          <w:color w:val="000000"/>
          <w:sz w:val="24"/>
          <w:szCs w:val="24"/>
          <w:lang w:val="es-ES"/>
        </w:rPr>
      </w:pPr>
      <w:r w:rsidRPr="008731ED">
        <w:rPr>
          <w:rFonts w:ascii="Aptos" w:eastAsia="Arial Narrow" w:hAnsi="Aptos" w:cs="Arial"/>
          <w:i/>
          <w:iCs/>
          <w:color w:val="000000"/>
          <w:sz w:val="24"/>
          <w:szCs w:val="24"/>
          <w:lang w:val="es-ES"/>
        </w:rPr>
        <w:t>Parágrafo. Las sanciones disciplinarias a que haya lugar respecto de abogados que incurran en las conductas descritas en este artículo se tramitarán de conformidad con la Ley 1123 de 2007, sin perjuicio de las competencias de inspección, vigilancia y control que corresponden al Ministerio de Justicia y del Derecho sobre los centros de arbitraje".</w:t>
      </w:r>
    </w:p>
    <w:p w14:paraId="7ACEB8DD" w14:textId="77777777" w:rsidR="008731ED" w:rsidRPr="00E903CA" w:rsidRDefault="008731ED" w:rsidP="008731ED">
      <w:pPr>
        <w:pBdr>
          <w:top w:val="nil"/>
          <w:left w:val="nil"/>
          <w:bottom w:val="nil"/>
          <w:right w:val="nil"/>
          <w:between w:val="nil"/>
        </w:pBdr>
        <w:spacing w:line="240" w:lineRule="auto"/>
        <w:jc w:val="both"/>
        <w:rPr>
          <w:rFonts w:ascii="Aptos" w:eastAsia="Arial Narrow" w:hAnsi="Aptos" w:cs="Arial"/>
          <w:color w:val="000000"/>
          <w:sz w:val="24"/>
          <w:szCs w:val="24"/>
        </w:rPr>
      </w:pPr>
      <w:r w:rsidRPr="00E903CA">
        <w:rPr>
          <w:rFonts w:ascii="Aptos" w:eastAsia="Arial Narrow" w:hAnsi="Aptos" w:cs="Arial"/>
          <w:b/>
          <w:bCs/>
          <w:color w:val="000000"/>
          <w:sz w:val="24"/>
          <w:szCs w:val="24"/>
        </w:rPr>
        <w:t xml:space="preserve">Artículo 7. Régimen de transición. </w:t>
      </w:r>
      <w:r w:rsidRPr="00E903CA">
        <w:rPr>
          <w:rFonts w:ascii="Aptos" w:eastAsia="Arial Narrow" w:hAnsi="Aptos" w:cs="Arial"/>
          <w:color w:val="000000"/>
          <w:sz w:val="24"/>
          <w:szCs w:val="24"/>
        </w:rPr>
        <w:t>Los procesos ejecutivos que se encuentren en trámite ante la jurisdicción ordinaria a la entrada en vigencia de la presente ley continuarán su trámite ante dicha jurisdicción hasta su terminación.</w:t>
      </w:r>
    </w:p>
    <w:p w14:paraId="6796E421" w14:textId="77777777" w:rsidR="008731ED" w:rsidRPr="008731ED" w:rsidRDefault="008731ED" w:rsidP="008731ED">
      <w:pPr>
        <w:pBdr>
          <w:top w:val="nil"/>
          <w:left w:val="nil"/>
          <w:bottom w:val="nil"/>
          <w:right w:val="nil"/>
          <w:between w:val="nil"/>
        </w:pBdr>
        <w:spacing w:line="240" w:lineRule="auto"/>
        <w:jc w:val="both"/>
        <w:rPr>
          <w:rFonts w:ascii="Aptos" w:eastAsia="Arial Narrow" w:hAnsi="Aptos" w:cs="Arial"/>
          <w:color w:val="000000"/>
          <w:sz w:val="24"/>
          <w:szCs w:val="24"/>
        </w:rPr>
      </w:pPr>
      <w:r w:rsidRPr="008731ED">
        <w:rPr>
          <w:rFonts w:ascii="Aptos" w:eastAsia="Arial Narrow" w:hAnsi="Aptos" w:cs="Arial"/>
          <w:color w:val="000000"/>
          <w:sz w:val="24"/>
          <w:szCs w:val="24"/>
        </w:rPr>
        <w:t>Los procesos ejecutivos arbitrales iniciados con fundamento en pacto arbitral previo con anterioridad a la entrada en vigencia de la presente ley, continuarán rigiéndose por las normas vigentes al momento de su iniciación hasta su terminación.</w:t>
      </w:r>
    </w:p>
    <w:p w14:paraId="1D3CCA86" w14:textId="74965214" w:rsidR="008731ED" w:rsidRPr="008731ED" w:rsidRDefault="008731ED" w:rsidP="008731ED">
      <w:pPr>
        <w:pBdr>
          <w:top w:val="nil"/>
          <w:left w:val="nil"/>
          <w:bottom w:val="nil"/>
          <w:right w:val="nil"/>
          <w:between w:val="nil"/>
        </w:pBdr>
        <w:spacing w:line="240" w:lineRule="auto"/>
        <w:jc w:val="both"/>
        <w:rPr>
          <w:rFonts w:ascii="Aptos" w:eastAsia="Arial Narrow" w:hAnsi="Aptos" w:cs="Arial"/>
          <w:color w:val="000000"/>
          <w:sz w:val="24"/>
          <w:szCs w:val="24"/>
        </w:rPr>
      </w:pPr>
      <w:r w:rsidRPr="008731ED">
        <w:rPr>
          <w:rFonts w:ascii="Aptos" w:eastAsia="Arial Narrow" w:hAnsi="Aptos" w:cs="Arial"/>
          <w:b/>
          <w:bCs/>
          <w:color w:val="000000"/>
          <w:sz w:val="24"/>
          <w:szCs w:val="24"/>
          <w:lang w:val="es-ES"/>
        </w:rPr>
        <w:t xml:space="preserve">Artículo 8. Vigencia y derogatorias. </w:t>
      </w:r>
      <w:r w:rsidRPr="008731ED">
        <w:rPr>
          <w:rFonts w:ascii="Aptos" w:eastAsia="Arial Narrow" w:hAnsi="Aptos" w:cs="Arial"/>
          <w:color w:val="000000"/>
          <w:sz w:val="24"/>
          <w:szCs w:val="24"/>
          <w:lang w:val="es-ES"/>
        </w:rPr>
        <w:t>La presente ley entrará a regir seis (6) meses después de su promulgación y deroga todas las disposiciones que le sean contrarias.</w:t>
      </w:r>
    </w:p>
    <w:p w14:paraId="40322E80" w14:textId="77777777" w:rsidR="008731ED" w:rsidRPr="008731ED" w:rsidRDefault="008731ED" w:rsidP="008731ED">
      <w:pPr>
        <w:pBdr>
          <w:top w:val="nil"/>
          <w:left w:val="nil"/>
          <w:bottom w:val="nil"/>
          <w:right w:val="nil"/>
          <w:between w:val="nil"/>
        </w:pBdr>
        <w:spacing w:line="240" w:lineRule="auto"/>
        <w:rPr>
          <w:rFonts w:ascii="Aptos" w:eastAsia="Arial Narrow" w:hAnsi="Aptos" w:cs="Arial"/>
          <w:b/>
          <w:color w:val="000000"/>
          <w:sz w:val="24"/>
          <w:szCs w:val="24"/>
        </w:rPr>
      </w:pPr>
    </w:p>
    <w:p w14:paraId="602ECAB3" w14:textId="77777777" w:rsidR="008731ED" w:rsidRPr="008731ED" w:rsidRDefault="008731ED" w:rsidP="008731ED">
      <w:pPr>
        <w:pBdr>
          <w:top w:val="nil"/>
          <w:left w:val="nil"/>
          <w:bottom w:val="nil"/>
          <w:right w:val="nil"/>
          <w:between w:val="nil"/>
        </w:pBdr>
        <w:spacing w:line="240" w:lineRule="auto"/>
        <w:rPr>
          <w:rFonts w:ascii="Aptos" w:eastAsia="Arial Narrow" w:hAnsi="Aptos" w:cs="Arial"/>
          <w:b/>
          <w:color w:val="000000"/>
          <w:sz w:val="24"/>
          <w:szCs w:val="24"/>
        </w:rPr>
      </w:pPr>
      <w:r w:rsidRPr="008731ED">
        <w:rPr>
          <w:rFonts w:ascii="Aptos" w:eastAsia="Arial Narrow" w:hAnsi="Aptos" w:cs="Arial"/>
          <w:b/>
          <w:color w:val="000000"/>
          <w:sz w:val="24"/>
          <w:szCs w:val="24"/>
        </w:rPr>
        <w:t>DANIEL FELIPE BRICEÑO MONTES</w:t>
      </w:r>
    </w:p>
    <w:p w14:paraId="7E232BEF" w14:textId="77777777" w:rsidR="008731ED" w:rsidRPr="008731ED" w:rsidRDefault="008731ED" w:rsidP="008731ED">
      <w:pPr>
        <w:pBdr>
          <w:top w:val="nil"/>
          <w:left w:val="nil"/>
          <w:bottom w:val="nil"/>
          <w:right w:val="nil"/>
          <w:between w:val="nil"/>
        </w:pBdr>
        <w:spacing w:line="240" w:lineRule="auto"/>
        <w:rPr>
          <w:rFonts w:ascii="Aptos" w:eastAsia="Arial Narrow" w:hAnsi="Aptos" w:cs="Arial"/>
          <w:color w:val="000000"/>
          <w:sz w:val="24"/>
          <w:szCs w:val="24"/>
        </w:rPr>
      </w:pPr>
      <w:r w:rsidRPr="008731ED">
        <w:rPr>
          <w:rFonts w:ascii="Aptos" w:eastAsia="Arial Narrow" w:hAnsi="Aptos" w:cs="Arial"/>
          <w:color w:val="000000"/>
          <w:sz w:val="24"/>
          <w:szCs w:val="24"/>
        </w:rPr>
        <w:t xml:space="preserve">Representante a la Cámara – Ponente </w:t>
      </w:r>
    </w:p>
    <w:p w14:paraId="31D03B78" w14:textId="45D7C2F3" w:rsidR="00B22D5A" w:rsidRPr="008731ED" w:rsidRDefault="008731ED" w:rsidP="008731ED">
      <w:pPr>
        <w:pBdr>
          <w:top w:val="nil"/>
          <w:left w:val="nil"/>
          <w:bottom w:val="nil"/>
          <w:right w:val="nil"/>
          <w:between w:val="nil"/>
        </w:pBdr>
        <w:spacing w:line="240" w:lineRule="auto"/>
        <w:rPr>
          <w:rFonts w:ascii="Aptos" w:eastAsia="Arial Narrow" w:hAnsi="Aptos" w:cs="Arial"/>
          <w:color w:val="000000"/>
          <w:sz w:val="24"/>
          <w:szCs w:val="24"/>
        </w:rPr>
      </w:pPr>
      <w:r w:rsidRPr="008731ED">
        <w:rPr>
          <w:rFonts w:ascii="Aptos" w:eastAsia="Arial Narrow" w:hAnsi="Aptos" w:cs="Arial"/>
          <w:color w:val="000000"/>
          <w:sz w:val="24"/>
          <w:szCs w:val="24"/>
        </w:rPr>
        <w:t xml:space="preserve">Partido Centro Democrático </w:t>
      </w:r>
    </w:p>
    <w:sectPr w:rsidR="00B22D5A" w:rsidRPr="008731ED" w:rsidSect="008731ED">
      <w:headerReference w:type="default" r:id="rId7"/>
      <w:footerReference w:type="default" r:id="rId8"/>
      <w:pgSz w:w="12240" w:h="15840"/>
      <w:pgMar w:top="1417" w:right="1701" w:bottom="1417" w:left="1701" w:header="567"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80FA98" w14:textId="77777777" w:rsidR="006A5B3E" w:rsidRDefault="006A5B3E">
      <w:pPr>
        <w:spacing w:after="0" w:line="240" w:lineRule="auto"/>
      </w:pPr>
      <w:r>
        <w:separator/>
      </w:r>
    </w:p>
  </w:endnote>
  <w:endnote w:type="continuationSeparator" w:id="0">
    <w:p w14:paraId="0E2F24FC" w14:textId="77777777" w:rsidR="006A5B3E" w:rsidRDefault="006A5B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918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489"/>
      <w:gridCol w:w="4691"/>
    </w:tblGrid>
    <w:tr w:rsidR="00B22D5A" w14:paraId="15D43770" w14:textId="77777777">
      <w:tc>
        <w:tcPr>
          <w:tcW w:w="44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C855FF1" w14:textId="77777777" w:rsidR="00B22D5A" w:rsidRDefault="00B22D5A">
          <w:pPr>
            <w:pStyle w:val="Piedepgina"/>
            <w:tabs>
              <w:tab w:val="center" w:pos="4111"/>
            </w:tabs>
            <w:rPr>
              <w:sz w:val="14"/>
            </w:rPr>
          </w:pPr>
          <w:hyperlink r:id="rId1" w:history="1">
            <w:r>
              <w:rPr>
                <w:rStyle w:val="Hipervnculo"/>
                <w:color w:val="auto"/>
                <w:sz w:val="14"/>
                <w:u w:val="none"/>
              </w:rPr>
              <w:t>Calle 10 No 7-50</w:t>
            </w:r>
          </w:hyperlink>
          <w:r>
            <w:rPr>
              <w:rStyle w:val="Hipervnculo"/>
              <w:color w:val="auto"/>
              <w:sz w:val="14"/>
              <w:u w:val="none"/>
            </w:rPr>
            <w:t xml:space="preserve"> </w:t>
          </w:r>
          <w:r>
            <w:rPr>
              <w:sz w:val="14"/>
            </w:rPr>
            <w:t>Capitolio Nacional</w:t>
          </w:r>
        </w:p>
        <w:p w14:paraId="43BE700D" w14:textId="77777777" w:rsidR="00B22D5A" w:rsidRDefault="00000000">
          <w:pPr>
            <w:pStyle w:val="Piedepgina"/>
            <w:tabs>
              <w:tab w:val="center" w:pos="4111"/>
            </w:tabs>
            <w:rPr>
              <w:rStyle w:val="Hipervnculo"/>
              <w:color w:val="auto"/>
              <w:u w:val="none"/>
            </w:rPr>
          </w:pPr>
          <w:r>
            <w:rPr>
              <w:sz w:val="14"/>
            </w:rPr>
            <w:t xml:space="preserve">Carrera 7 </w:t>
          </w:r>
          <w:proofErr w:type="spellStart"/>
          <w:r>
            <w:rPr>
              <w:sz w:val="14"/>
            </w:rPr>
            <w:t>N°</w:t>
          </w:r>
          <w:proofErr w:type="spellEnd"/>
          <w:r>
            <w:rPr>
              <w:sz w:val="14"/>
            </w:rPr>
            <w:t xml:space="preserve"> 8 – 68  </w:t>
          </w:r>
          <w:r>
            <w:rPr>
              <w:rStyle w:val="Hipervnculo"/>
              <w:color w:val="auto"/>
              <w:sz w:val="14"/>
              <w:u w:val="none"/>
            </w:rPr>
            <w:t>Ed.  Nuevo del Congreso</w:t>
          </w:r>
        </w:p>
        <w:p w14:paraId="7BDD71D8" w14:textId="77777777" w:rsidR="00B22D5A" w:rsidRDefault="00000000">
          <w:pPr>
            <w:pStyle w:val="Piedepgina"/>
            <w:tabs>
              <w:tab w:val="center" w:pos="4111"/>
            </w:tabs>
          </w:pPr>
          <w:r>
            <w:rPr>
              <w:sz w:val="14"/>
            </w:rPr>
            <w:t xml:space="preserve">Carrera  8  </w:t>
          </w:r>
          <w:proofErr w:type="spellStart"/>
          <w:r>
            <w:rPr>
              <w:sz w:val="14"/>
            </w:rPr>
            <w:t>N°</w:t>
          </w:r>
          <w:proofErr w:type="spellEnd"/>
          <w:r>
            <w:rPr>
              <w:sz w:val="14"/>
            </w:rPr>
            <w:t xml:space="preserve">  12  B -  42   Dir. Administrativa     </w:t>
          </w:r>
        </w:p>
        <w:p w14:paraId="7965647A" w14:textId="77777777" w:rsidR="00B22D5A" w:rsidRDefault="00000000">
          <w:pPr>
            <w:pStyle w:val="Piedepgina"/>
            <w:rPr>
              <w:sz w:val="14"/>
            </w:rPr>
          </w:pPr>
          <w:r>
            <w:rPr>
              <w:sz w:val="14"/>
            </w:rPr>
            <w:t>Bogotá D.C.  Colombia.</w:t>
          </w:r>
        </w:p>
      </w:tc>
      <w:tc>
        <w:tcPr>
          <w:tcW w:w="469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41CC83A6" w14:textId="77777777" w:rsidR="00B22D5A" w:rsidRDefault="00B22D5A">
          <w:pPr>
            <w:pStyle w:val="Piedepgina"/>
            <w:tabs>
              <w:tab w:val="center" w:pos="4111"/>
            </w:tabs>
            <w:jc w:val="right"/>
            <w:rPr>
              <w:rStyle w:val="Hipervnculo"/>
              <w:color w:val="auto"/>
              <w:sz w:val="14"/>
              <w:u w:val="none"/>
            </w:rPr>
          </w:pPr>
          <w:hyperlink r:id="rId2" w:history="1">
            <w:r>
              <w:rPr>
                <w:rStyle w:val="Hipervnculo"/>
                <w:color w:val="auto"/>
                <w:sz w:val="14"/>
                <w:u w:val="none"/>
              </w:rPr>
              <w:t>www.camara.gov.co</w:t>
            </w:r>
          </w:hyperlink>
        </w:p>
        <w:p w14:paraId="5DE33D5C" w14:textId="77777777" w:rsidR="00B22D5A" w:rsidRDefault="00000000">
          <w:pPr>
            <w:pStyle w:val="Piedepgina"/>
            <w:tabs>
              <w:tab w:val="center" w:pos="4111"/>
            </w:tabs>
            <w:jc w:val="right"/>
            <w:rPr>
              <w:rStyle w:val="Hipervnculo"/>
              <w:color w:val="auto"/>
              <w:sz w:val="14"/>
              <w:u w:val="none"/>
            </w:rPr>
          </w:pPr>
          <w:proofErr w:type="spellStart"/>
          <w:r>
            <w:rPr>
              <w:rStyle w:val="Hipervnculo"/>
              <w:color w:val="auto"/>
              <w:sz w:val="14"/>
              <w:u w:val="none"/>
            </w:rPr>
            <w:t>twitter@camaracolombia</w:t>
          </w:r>
          <w:proofErr w:type="spellEnd"/>
        </w:p>
        <w:p w14:paraId="71B5EC41" w14:textId="77777777" w:rsidR="00B22D5A" w:rsidRDefault="00000000">
          <w:pPr>
            <w:pStyle w:val="Piedepgina"/>
            <w:jc w:val="right"/>
            <w:rPr>
              <w:sz w:val="14"/>
            </w:rPr>
          </w:pPr>
          <w:r>
            <w:rPr>
              <w:sz w:val="14"/>
            </w:rPr>
            <w:t xml:space="preserve">                               Facebook: </w:t>
          </w:r>
          <w:proofErr w:type="spellStart"/>
          <w:r>
            <w:rPr>
              <w:sz w:val="14"/>
            </w:rPr>
            <w:t>camaraderepresentantes</w:t>
          </w:r>
          <w:proofErr w:type="spellEnd"/>
        </w:p>
        <w:p w14:paraId="6B3560CA" w14:textId="77777777" w:rsidR="00B22D5A" w:rsidRDefault="00000000">
          <w:pPr>
            <w:pStyle w:val="Piedepgina"/>
            <w:jc w:val="right"/>
          </w:pPr>
          <w:r>
            <w:rPr>
              <w:sz w:val="14"/>
            </w:rPr>
            <w:t>PBX 3823000/4000/5000</w:t>
          </w:r>
        </w:p>
        <w:p w14:paraId="79CF03DD" w14:textId="77777777" w:rsidR="00B22D5A" w:rsidRDefault="00000000">
          <w:pPr>
            <w:pStyle w:val="Piedepgina"/>
            <w:jc w:val="right"/>
            <w:rPr>
              <w:sz w:val="14"/>
            </w:rPr>
          </w:pPr>
          <w:r>
            <w:rPr>
              <w:sz w:val="14"/>
            </w:rPr>
            <w:t>Línea Gratuita: 018000122512</w:t>
          </w:r>
        </w:p>
      </w:tc>
    </w:tr>
  </w:tbl>
  <w:p w14:paraId="095F8ACC" w14:textId="77777777" w:rsidR="00B22D5A" w:rsidRDefault="00B22D5A">
    <w:pPr>
      <w:pStyle w:val="Piedepgina"/>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459F77" w14:textId="77777777" w:rsidR="006A5B3E" w:rsidRDefault="006A5B3E">
      <w:pPr>
        <w:spacing w:after="0" w:line="240" w:lineRule="auto"/>
      </w:pPr>
      <w:r>
        <w:separator/>
      </w:r>
    </w:p>
  </w:footnote>
  <w:footnote w:type="continuationSeparator" w:id="0">
    <w:p w14:paraId="609AF574" w14:textId="77777777" w:rsidR="006A5B3E" w:rsidRDefault="006A5B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2B90D" w14:textId="7EE2D892" w:rsidR="00E47C74" w:rsidRDefault="008731ED">
    <w:pPr>
      <w:pStyle w:val="Encabezado"/>
    </w:pPr>
    <w:r>
      <w:rPr>
        <w:rFonts w:ascii="Arial" w:hAnsi="Arial"/>
        <w:b/>
        <w:noProof/>
        <w:sz w:val="16"/>
        <w:lang w:eastAsia="es-CO"/>
      </w:rPr>
      <w:drawing>
        <wp:anchor distT="0" distB="0" distL="114300" distR="114300" simplePos="0" relativeHeight="251657216" behindDoc="0" locked="0" layoutInCell="1" allowOverlap="1" wp14:anchorId="29DB748C" wp14:editId="3B9B215D">
          <wp:simplePos x="0" y="0"/>
          <wp:positionH relativeFrom="column">
            <wp:posOffset>1651342</wp:posOffset>
          </wp:positionH>
          <wp:positionV relativeFrom="paragraph">
            <wp:posOffset>97155</wp:posOffset>
          </wp:positionV>
          <wp:extent cx="1735015" cy="679493"/>
          <wp:effectExtent l="0" t="0" r="5080" b="0"/>
          <wp:wrapNone/>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stretch>
                    <a:fillRect/>
                  </a:stretch>
                </pic:blipFill>
                <pic:spPr>
                  <a:xfrm>
                    <a:off x="0" y="0"/>
                    <a:ext cx="1744729" cy="683297"/>
                  </a:xfrm>
                  <a:prstGeom prst="rect">
                    <a:avLst/>
                  </a:prstGeom>
                </pic:spPr>
              </pic:pic>
            </a:graphicData>
          </a:graphic>
          <wp14:sizeRelH relativeFrom="page">
            <wp14:pctWidth>0</wp14:pctWidth>
          </wp14:sizeRelH>
          <wp14:sizeRelV relativeFrom="page">
            <wp14:pctHeight>0</wp14:pctHeight>
          </wp14:sizeRelV>
        </wp:anchor>
      </w:drawing>
    </w:r>
  </w:p>
  <w:p w14:paraId="71168B0E" w14:textId="4349BCF5" w:rsidR="00E47C74" w:rsidRDefault="00E47C74">
    <w:pPr>
      <w:pStyle w:val="Encabezado"/>
    </w:pPr>
  </w:p>
  <w:p w14:paraId="3FF91614" w14:textId="77777777" w:rsidR="008731ED" w:rsidRDefault="008731ED">
    <w:pPr>
      <w:pStyle w:val="Encabezado"/>
    </w:pPr>
  </w:p>
  <w:p w14:paraId="52EA6337" w14:textId="77777777" w:rsidR="008731ED" w:rsidRDefault="008731ED">
    <w:pPr>
      <w:pStyle w:val="Encabezado"/>
    </w:pPr>
  </w:p>
  <w:p w14:paraId="317DD3E3" w14:textId="495BB4CA" w:rsidR="00B22D5A" w:rsidRPr="00E47C74" w:rsidRDefault="00B22D5A" w:rsidP="00E47C74">
    <w:pPr>
      <w:pStyle w:val="Encabezado"/>
      <w:tabs>
        <w:tab w:val="clear" w:pos="4419"/>
        <w:tab w:val="clear" w:pos="8838"/>
        <w:tab w:val="left" w:pos="6989"/>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8263B"/>
    <w:multiLevelType w:val="multilevel"/>
    <w:tmpl w:val="E026A3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56135C"/>
    <w:multiLevelType w:val="hybridMultilevel"/>
    <w:tmpl w:val="B888D8E8"/>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2" w15:restartNumberingAfterBreak="0">
    <w:nsid w:val="056F1F99"/>
    <w:multiLevelType w:val="hybridMultilevel"/>
    <w:tmpl w:val="5B508E54"/>
    <w:lvl w:ilvl="0" w:tplc="98684AE4">
      <w:start w:val="1"/>
      <w:numFmt w:val="upperRoman"/>
      <w:lvlText w:val="%1."/>
      <w:lvlJc w:val="left"/>
      <w:pPr>
        <w:ind w:left="1080" w:hanging="72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 w15:restartNumberingAfterBreak="0">
    <w:nsid w:val="15F2103D"/>
    <w:multiLevelType w:val="hybridMultilevel"/>
    <w:tmpl w:val="038442A4"/>
    <w:lvl w:ilvl="0" w:tplc="571AD572">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 w15:restartNumberingAfterBreak="0">
    <w:nsid w:val="1C3C4DE3"/>
    <w:multiLevelType w:val="hybridMultilevel"/>
    <w:tmpl w:val="60B0A824"/>
    <w:lvl w:ilvl="0" w:tplc="69404BE0">
      <w:start w:val="1"/>
      <w:numFmt w:val="decimal"/>
      <w:lvlText w:val="%1."/>
      <w:lvlJc w:val="left"/>
      <w:pPr>
        <w:ind w:left="720" w:hanging="360"/>
      </w:pPr>
      <w:rPr>
        <w:rFonts w:eastAsia="Arial Narrow" w:cs="Arial Narrow" w:hint="default"/>
        <w:b/>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5" w15:restartNumberingAfterBreak="0">
    <w:nsid w:val="21707030"/>
    <w:multiLevelType w:val="hybridMultilevel"/>
    <w:tmpl w:val="C4EAFF30"/>
    <w:lvl w:ilvl="0" w:tplc="FC58661E">
      <w:start w:val="1"/>
      <w:numFmt w:val="upperRoman"/>
      <w:lvlText w:val="%1."/>
      <w:lvlJc w:val="left"/>
      <w:pPr>
        <w:ind w:left="1080" w:hanging="72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6" w15:restartNumberingAfterBreak="0">
    <w:nsid w:val="3B8A5815"/>
    <w:multiLevelType w:val="multilevel"/>
    <w:tmpl w:val="A7E204E6"/>
    <w:lvl w:ilvl="0">
      <w:start w:val="9"/>
      <w:numFmt w:val="decimal"/>
      <w:lvlText w:val="%1"/>
      <w:lvlJc w:val="left"/>
      <w:pPr>
        <w:ind w:left="480" w:hanging="480"/>
      </w:pPr>
      <w:rPr>
        <w:rFonts w:hint="default"/>
      </w:rPr>
    </w:lvl>
    <w:lvl w:ilvl="1">
      <w:start w:val="1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52D62DD2"/>
    <w:multiLevelType w:val="hybridMultilevel"/>
    <w:tmpl w:val="57060312"/>
    <w:lvl w:ilvl="0" w:tplc="040A0015">
      <w:start w:val="1"/>
      <w:numFmt w:val="upp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8" w15:restartNumberingAfterBreak="0">
    <w:nsid w:val="53634CD3"/>
    <w:multiLevelType w:val="hybridMultilevel"/>
    <w:tmpl w:val="515CC334"/>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9" w15:restartNumberingAfterBreak="0">
    <w:nsid w:val="60AF759E"/>
    <w:multiLevelType w:val="hybridMultilevel"/>
    <w:tmpl w:val="0C64A31E"/>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0" w15:restartNumberingAfterBreak="0">
    <w:nsid w:val="66895EF7"/>
    <w:multiLevelType w:val="multilevel"/>
    <w:tmpl w:val="FB105A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EFC1A1B"/>
    <w:multiLevelType w:val="hybridMultilevel"/>
    <w:tmpl w:val="537E6DB0"/>
    <w:lvl w:ilvl="0" w:tplc="8D8CD04A">
      <w:start w:val="1"/>
      <w:numFmt w:val="bullet"/>
      <w:lvlText w:val="-"/>
      <w:lvlJc w:val="left"/>
      <w:pPr>
        <w:ind w:left="720" w:hanging="360"/>
      </w:pPr>
      <w:rPr>
        <w:rFonts w:ascii="Segoe UI" w:eastAsia="Times New Roman" w:hAnsi="Segoe UI" w:cs="Segoe UI"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785F2539"/>
    <w:multiLevelType w:val="hybridMultilevel"/>
    <w:tmpl w:val="ACA83892"/>
    <w:lvl w:ilvl="0" w:tplc="F220601C">
      <w:start w:val="1"/>
      <w:numFmt w:val="upperRoman"/>
      <w:lvlText w:val="%1."/>
      <w:lvlJc w:val="left"/>
      <w:pPr>
        <w:ind w:left="1080" w:hanging="720"/>
      </w:pPr>
      <w:rPr>
        <w:b/>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num w:numId="1" w16cid:durableId="62353725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7049526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1479306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84265701">
    <w:abstractNumId w:val="7"/>
  </w:num>
  <w:num w:numId="5" w16cid:durableId="1345016452">
    <w:abstractNumId w:val="11"/>
  </w:num>
  <w:num w:numId="6" w16cid:durableId="1093282369">
    <w:abstractNumId w:val="2"/>
  </w:num>
  <w:num w:numId="7" w16cid:durableId="581989796">
    <w:abstractNumId w:val="0"/>
  </w:num>
  <w:num w:numId="8" w16cid:durableId="1222985473">
    <w:abstractNumId w:val="3"/>
  </w:num>
  <w:num w:numId="9" w16cid:durableId="892814604">
    <w:abstractNumId w:val="6"/>
  </w:num>
  <w:num w:numId="10" w16cid:durableId="1277906640">
    <w:abstractNumId w:val="10"/>
  </w:num>
  <w:num w:numId="11" w16cid:durableId="1382710305">
    <w:abstractNumId w:val="9"/>
  </w:num>
  <w:num w:numId="12" w16cid:durableId="1142234264">
    <w:abstractNumId w:val="4"/>
  </w:num>
  <w:num w:numId="13" w16cid:durableId="199730064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D5A"/>
    <w:rsid w:val="000710EA"/>
    <w:rsid w:val="00083874"/>
    <w:rsid w:val="000B1C86"/>
    <w:rsid w:val="000D587D"/>
    <w:rsid w:val="001454AE"/>
    <w:rsid w:val="001717A2"/>
    <w:rsid w:val="001A02C6"/>
    <w:rsid w:val="001C63B9"/>
    <w:rsid w:val="00206FBD"/>
    <w:rsid w:val="00211996"/>
    <w:rsid w:val="00223C5C"/>
    <w:rsid w:val="002471FD"/>
    <w:rsid w:val="0025699F"/>
    <w:rsid w:val="002C359C"/>
    <w:rsid w:val="002E0079"/>
    <w:rsid w:val="00302CE9"/>
    <w:rsid w:val="00346DAB"/>
    <w:rsid w:val="003552C7"/>
    <w:rsid w:val="00391186"/>
    <w:rsid w:val="003D2F0E"/>
    <w:rsid w:val="004A6F19"/>
    <w:rsid w:val="004F79AD"/>
    <w:rsid w:val="00521868"/>
    <w:rsid w:val="00533F22"/>
    <w:rsid w:val="0055775B"/>
    <w:rsid w:val="00557AF5"/>
    <w:rsid w:val="00561488"/>
    <w:rsid w:val="005B7E28"/>
    <w:rsid w:val="005D5479"/>
    <w:rsid w:val="00671301"/>
    <w:rsid w:val="006A0BB1"/>
    <w:rsid w:val="006A5B3E"/>
    <w:rsid w:val="006D562F"/>
    <w:rsid w:val="006E19B5"/>
    <w:rsid w:val="006E6E5E"/>
    <w:rsid w:val="006F2C9D"/>
    <w:rsid w:val="00712BB0"/>
    <w:rsid w:val="00730CA4"/>
    <w:rsid w:val="00750089"/>
    <w:rsid w:val="007533BD"/>
    <w:rsid w:val="007630B2"/>
    <w:rsid w:val="0076344B"/>
    <w:rsid w:val="007A21BF"/>
    <w:rsid w:val="007C6EE6"/>
    <w:rsid w:val="007F1E13"/>
    <w:rsid w:val="008731ED"/>
    <w:rsid w:val="008B7E08"/>
    <w:rsid w:val="00904A49"/>
    <w:rsid w:val="009115C8"/>
    <w:rsid w:val="00941436"/>
    <w:rsid w:val="009461BD"/>
    <w:rsid w:val="00950553"/>
    <w:rsid w:val="00981336"/>
    <w:rsid w:val="009A6EFA"/>
    <w:rsid w:val="009B2CBC"/>
    <w:rsid w:val="00A2362B"/>
    <w:rsid w:val="00A74C5C"/>
    <w:rsid w:val="00A8770B"/>
    <w:rsid w:val="00AA67EE"/>
    <w:rsid w:val="00AC7AB8"/>
    <w:rsid w:val="00B0688E"/>
    <w:rsid w:val="00B21D00"/>
    <w:rsid w:val="00B22D5A"/>
    <w:rsid w:val="00B35764"/>
    <w:rsid w:val="00B43AF0"/>
    <w:rsid w:val="00B612B1"/>
    <w:rsid w:val="00B7069B"/>
    <w:rsid w:val="00B9353D"/>
    <w:rsid w:val="00BB3608"/>
    <w:rsid w:val="00BE2A06"/>
    <w:rsid w:val="00C56F41"/>
    <w:rsid w:val="00D1322E"/>
    <w:rsid w:val="00D308CD"/>
    <w:rsid w:val="00D32347"/>
    <w:rsid w:val="00D8267A"/>
    <w:rsid w:val="00DA3C4A"/>
    <w:rsid w:val="00DA6546"/>
    <w:rsid w:val="00E07CBA"/>
    <w:rsid w:val="00E12D94"/>
    <w:rsid w:val="00E47C74"/>
    <w:rsid w:val="00E52067"/>
    <w:rsid w:val="00E57D2A"/>
    <w:rsid w:val="00E65A3F"/>
    <w:rsid w:val="00E75561"/>
    <w:rsid w:val="00EC4A89"/>
    <w:rsid w:val="00EE7218"/>
    <w:rsid w:val="00F2308E"/>
    <w:rsid w:val="00F4511B"/>
    <w:rsid w:val="00F56ACF"/>
    <w:rsid w:val="00F57D88"/>
    <w:rsid w:val="00FC1B3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0673D0"/>
  <w15:docId w15:val="{4FB0A476-CAC2-7847-8743-4705C4EE2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pPr>
      <w:ind w:left="720"/>
      <w:contextualSpacing/>
    </w:pPr>
  </w:style>
  <w:style w:type="paragraph" w:styleId="Encabezado">
    <w:name w:val="header"/>
    <w:basedOn w:val="Normal"/>
    <w:link w:val="EncabezadoCar"/>
    <w:pPr>
      <w:tabs>
        <w:tab w:val="center" w:pos="4419"/>
        <w:tab w:val="right" w:pos="8838"/>
      </w:tabs>
      <w:spacing w:after="0" w:line="240" w:lineRule="auto"/>
    </w:pPr>
  </w:style>
  <w:style w:type="paragraph" w:styleId="Piedepgina">
    <w:name w:val="footer"/>
    <w:basedOn w:val="Normal"/>
    <w:link w:val="PiedepginaCar"/>
    <w:pPr>
      <w:tabs>
        <w:tab w:val="center" w:pos="4419"/>
        <w:tab w:val="right" w:pos="8838"/>
      </w:tabs>
      <w:spacing w:after="0" w:line="240" w:lineRule="auto"/>
    </w:pPr>
  </w:style>
  <w:style w:type="paragraph" w:styleId="Textodeglobo">
    <w:name w:val="Balloon Text"/>
    <w:basedOn w:val="Normal"/>
    <w:link w:val="TextodegloboCar"/>
    <w:semiHidden/>
    <w:pPr>
      <w:spacing w:after="0" w:line="240" w:lineRule="auto"/>
    </w:pPr>
    <w:rPr>
      <w:rFonts w:ascii="Tahoma" w:hAnsi="Tahoma"/>
      <w:sz w:val="16"/>
    </w:rPr>
  </w:style>
  <w:style w:type="character" w:styleId="Nmerodelnea">
    <w:name w:val="line number"/>
    <w:basedOn w:val="Fuentedeprrafopredeter"/>
    <w:semiHidden/>
  </w:style>
  <w:style w:type="character" w:styleId="Hipervnculo">
    <w:name w:val="Hyperlink"/>
    <w:basedOn w:val="Fuentedeprrafopredeter"/>
    <w:rPr>
      <w:color w:val="0000FF" w:themeColor="hyperlink"/>
      <w:u w:val="single"/>
    </w:rPr>
  </w:style>
  <w:style w:type="character" w:customStyle="1" w:styleId="EncabezadoCar">
    <w:name w:val="Encabezado Car"/>
    <w:basedOn w:val="Fuentedeprrafopredeter"/>
    <w:link w:val="Encabezado"/>
  </w:style>
  <w:style w:type="character" w:customStyle="1" w:styleId="PiedepginaCar">
    <w:name w:val="Pie de página Car"/>
    <w:basedOn w:val="Fuentedeprrafopredeter"/>
    <w:link w:val="Piedepgina"/>
  </w:style>
  <w:style w:type="character" w:customStyle="1" w:styleId="TextodegloboCar">
    <w:name w:val="Texto de globo Car"/>
    <w:basedOn w:val="Fuentedeprrafopredeter"/>
    <w:link w:val="Textodeglobo"/>
    <w:semiHidden/>
    <w:rPr>
      <w:rFonts w:ascii="Tahoma" w:hAnsi="Tahoma"/>
      <w:sz w:val="16"/>
    </w:rPr>
  </w:style>
  <w:style w:type="table" w:styleId="Tablabsica1">
    <w:name w:val="Table Simple 1"/>
    <w:basedOn w:val="Tabla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aconcuadrcula">
    <w:name w:val="Table Grid"/>
    <w:basedOn w:val="Tablanormal"/>
    <w:uiPriority w:val="39"/>
    <w:pPr>
      <w:spacing w:after="0" w:line="240" w:lineRule="auto"/>
    </w:pPr>
    <w:rPr>
      <w:sz w:val="20"/>
      <w:lang w:eastAsia="es-C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Mencinsinresolver">
    <w:name w:val="Unresolved Mention"/>
    <w:basedOn w:val="Fuentedeprrafopredeter"/>
    <w:uiPriority w:val="99"/>
    <w:semiHidden/>
    <w:unhideWhenUsed/>
    <w:rsid w:val="003552C7"/>
    <w:rPr>
      <w:color w:val="605E5C"/>
      <w:shd w:val="clear" w:color="auto" w:fill="E1DFDD"/>
    </w:rPr>
  </w:style>
  <w:style w:type="character" w:styleId="Hipervnculovisitado">
    <w:name w:val="FollowedHyperlink"/>
    <w:basedOn w:val="Fuentedeprrafopredeter"/>
    <w:uiPriority w:val="99"/>
    <w:semiHidden/>
    <w:unhideWhenUsed/>
    <w:rsid w:val="007630B2"/>
    <w:rPr>
      <w:color w:val="800080" w:themeColor="followedHyperlink"/>
      <w:u w:val="single"/>
    </w:rPr>
  </w:style>
  <w:style w:type="paragraph" w:styleId="Textoindependiente">
    <w:name w:val="Body Text"/>
    <w:basedOn w:val="Normal"/>
    <w:link w:val="TextoindependienteCar"/>
    <w:uiPriority w:val="99"/>
    <w:unhideWhenUsed/>
    <w:rsid w:val="008731ED"/>
    <w:pPr>
      <w:spacing w:after="120" w:line="259" w:lineRule="auto"/>
    </w:pPr>
    <w:rPr>
      <w:rFonts w:asciiTheme="minorHAnsi" w:eastAsiaTheme="minorHAnsi" w:hAnsiTheme="minorHAnsi" w:cstheme="minorBidi"/>
      <w:szCs w:val="22"/>
    </w:rPr>
  </w:style>
  <w:style w:type="character" w:customStyle="1" w:styleId="TextoindependienteCar">
    <w:name w:val="Texto independiente Car"/>
    <w:basedOn w:val="Fuentedeprrafopredeter"/>
    <w:link w:val="Textoindependiente"/>
    <w:uiPriority w:val="99"/>
    <w:rsid w:val="008731ED"/>
    <w:rPr>
      <w:rFonts w:asciiTheme="minorHAnsi" w:eastAsiaTheme="minorHAnsi" w:hAnsiTheme="minorHAnsi" w:cstheme="minorBid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camara.gov.co" TargetMode="External"/><Relationship Id="rId1" Type="http://schemas.openxmlformats.org/officeDocument/2006/relationships/hyperlink" Target="http://www.camara.gov.co/portal2011/index.php/servicios-al-ciudadano/servicios-de-atencion-en-linea/contacteno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7307</Words>
  <Characters>40190</Characters>
  <Application>Microsoft Office Word</Application>
  <DocSecurity>0</DocSecurity>
  <Lines>334</Lines>
  <Paragraphs>94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SHARON NATALIA BELTRAN GARZÓN</cp:lastModifiedBy>
  <cp:revision>2</cp:revision>
  <cp:lastPrinted>2026-09-20T00:50:00Z</cp:lastPrinted>
  <dcterms:created xsi:type="dcterms:W3CDTF">2026-09-22T21:44:00Z</dcterms:created>
  <dcterms:modified xsi:type="dcterms:W3CDTF">2026-09-22T21:44:00Z</dcterms:modified>
</cp:coreProperties>
</file>