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8DBF" w14:textId="77777777" w:rsidR="00E773C7" w:rsidRPr="00E711AB" w:rsidRDefault="00E773C7" w:rsidP="00E773C7">
      <w:pPr>
        <w:spacing w:before="560" w:after="200"/>
        <w:jc w:val="center"/>
        <w:rPr>
          <w:rFonts w:ascii="Tahoma" w:hAnsi="Tahoma" w:cs="Tahoma"/>
          <w:sz w:val="24"/>
          <w:szCs w:val="24"/>
        </w:rPr>
      </w:pPr>
      <w:r w:rsidRPr="00E711AB">
        <w:rPr>
          <w:rFonts w:ascii="Tahoma" w:hAnsi="Tahoma" w:cs="Tahoma"/>
          <w:b/>
          <w:sz w:val="24"/>
          <w:szCs w:val="24"/>
        </w:rPr>
        <w:t>INFORME DE PONENCIA POSITIVA</w:t>
      </w:r>
      <w:r w:rsidRPr="00E711AB">
        <w:rPr>
          <w:rFonts w:ascii="Tahoma" w:hAnsi="Tahoma" w:cs="Tahoma"/>
          <w:b/>
          <w:sz w:val="24"/>
          <w:szCs w:val="24"/>
        </w:rPr>
        <w:br/>
        <w:t>PARA PRIMER DEBATE</w:t>
      </w:r>
    </w:p>
    <w:p w14:paraId="2024B47A" w14:textId="77777777" w:rsidR="00E773C7" w:rsidRPr="00E711AB" w:rsidRDefault="00E773C7" w:rsidP="00E773C7">
      <w:pPr>
        <w:spacing w:after="240"/>
        <w:jc w:val="center"/>
        <w:rPr>
          <w:rFonts w:ascii="Tahoma" w:hAnsi="Tahoma" w:cs="Tahoma"/>
          <w:sz w:val="24"/>
          <w:szCs w:val="24"/>
        </w:rPr>
      </w:pPr>
      <w:r w:rsidRPr="00E711AB">
        <w:rPr>
          <w:rFonts w:ascii="Tahoma" w:hAnsi="Tahoma" w:cs="Tahoma"/>
          <w:b/>
          <w:sz w:val="24"/>
          <w:szCs w:val="24"/>
        </w:rPr>
        <w:t>PROYECTO DE LEY NÚMERO 057 DE 2026 CÁMARA</w:t>
      </w:r>
    </w:p>
    <w:p w14:paraId="3B2C68DD" w14:textId="77777777" w:rsidR="00E773C7" w:rsidRPr="00E711AB" w:rsidRDefault="00E773C7" w:rsidP="00E773C7">
      <w:pPr>
        <w:spacing w:after="360"/>
        <w:jc w:val="center"/>
        <w:rPr>
          <w:rFonts w:ascii="Tahoma" w:hAnsi="Tahoma" w:cs="Tahoma"/>
          <w:sz w:val="24"/>
          <w:szCs w:val="24"/>
        </w:rPr>
      </w:pPr>
      <w:r w:rsidRPr="00E711AB">
        <w:rPr>
          <w:rFonts w:ascii="Tahoma" w:hAnsi="Tahoma" w:cs="Tahoma"/>
          <w:b/>
          <w:i/>
          <w:sz w:val="24"/>
          <w:szCs w:val="24"/>
        </w:rPr>
        <w:t>“Por medio de la cual se modifica parcialmente la Ley 675 de 2001, se fortalecen los mecanismos de transparencia, rendición de cuentas, responsabilidad e inspección, vigilancia y control de las personas jurídicas sometidas al régimen de propiedad horizontal y se dictan otras disposiciones”</w:t>
      </w:r>
    </w:p>
    <w:p w14:paraId="31BFB722" w14:textId="77777777" w:rsidR="00E773C7" w:rsidRPr="00E711AB" w:rsidRDefault="00E773C7" w:rsidP="00E773C7">
      <w:pPr>
        <w:rPr>
          <w:rFonts w:ascii="Tahoma" w:hAnsi="Tahoma" w:cs="Tahoma"/>
          <w:sz w:val="24"/>
          <w:szCs w:val="24"/>
        </w:rPr>
      </w:pPr>
      <w:r w:rsidRPr="00E711AB">
        <w:rPr>
          <w:rFonts w:ascii="Tahoma" w:hAnsi="Tahoma" w:cs="Tahoma"/>
          <w:sz w:val="24"/>
          <w:szCs w:val="24"/>
        </w:rPr>
        <w:t>Bogotá, D. C., 29 de agosto de 2026</w:t>
      </w:r>
    </w:p>
    <w:p w14:paraId="22E16CD1" w14:textId="77777777" w:rsidR="00E773C7" w:rsidRPr="00E711AB" w:rsidRDefault="00E773C7" w:rsidP="00E773C7">
      <w:pPr>
        <w:rPr>
          <w:rFonts w:ascii="Tahoma" w:hAnsi="Tahoma" w:cs="Tahoma"/>
          <w:sz w:val="24"/>
          <w:szCs w:val="24"/>
        </w:rPr>
      </w:pPr>
    </w:p>
    <w:p w14:paraId="3D18631F" w14:textId="77777777" w:rsidR="00E773C7" w:rsidRPr="00E711AB" w:rsidRDefault="00E773C7" w:rsidP="00E773C7">
      <w:pPr>
        <w:spacing w:after="0"/>
        <w:jc w:val="both"/>
        <w:rPr>
          <w:rFonts w:ascii="Tahoma" w:hAnsi="Tahoma" w:cs="Tahoma"/>
          <w:sz w:val="24"/>
          <w:szCs w:val="24"/>
        </w:rPr>
      </w:pPr>
      <w:r w:rsidRPr="00E711AB">
        <w:rPr>
          <w:rFonts w:ascii="Tahoma" w:hAnsi="Tahoma" w:cs="Tahoma"/>
          <w:sz w:val="24"/>
          <w:szCs w:val="24"/>
        </w:rPr>
        <w:t>Honorable Representante</w:t>
      </w:r>
    </w:p>
    <w:p w14:paraId="6B9F63E4" w14:textId="77777777" w:rsidR="00E773C7" w:rsidRPr="00E711AB" w:rsidRDefault="00E773C7" w:rsidP="00E773C7">
      <w:pPr>
        <w:spacing w:after="0"/>
        <w:jc w:val="both"/>
        <w:rPr>
          <w:rFonts w:ascii="Tahoma" w:hAnsi="Tahoma" w:cs="Tahoma"/>
          <w:sz w:val="24"/>
          <w:szCs w:val="24"/>
        </w:rPr>
      </w:pPr>
      <w:r w:rsidRPr="00E711AB">
        <w:rPr>
          <w:rFonts w:ascii="Tahoma" w:hAnsi="Tahoma" w:cs="Tahoma"/>
          <w:b/>
          <w:sz w:val="24"/>
          <w:szCs w:val="24"/>
        </w:rPr>
        <w:t>JOSÉ JAIME USCÁTEGUI PASTRANA</w:t>
      </w:r>
    </w:p>
    <w:p w14:paraId="5CC8148B" w14:textId="77777777" w:rsidR="00E773C7" w:rsidRPr="00E711AB" w:rsidRDefault="00E773C7" w:rsidP="00E773C7">
      <w:pPr>
        <w:spacing w:after="0"/>
        <w:jc w:val="both"/>
        <w:rPr>
          <w:rFonts w:ascii="Tahoma" w:hAnsi="Tahoma" w:cs="Tahoma"/>
          <w:sz w:val="24"/>
          <w:szCs w:val="24"/>
        </w:rPr>
      </w:pPr>
      <w:r w:rsidRPr="00E711AB">
        <w:rPr>
          <w:rFonts w:ascii="Tahoma" w:hAnsi="Tahoma" w:cs="Tahoma"/>
          <w:sz w:val="24"/>
          <w:szCs w:val="24"/>
        </w:rPr>
        <w:t>Presidente</w:t>
      </w:r>
    </w:p>
    <w:p w14:paraId="02C8F5F0" w14:textId="77777777" w:rsidR="00E773C7" w:rsidRPr="00E711AB" w:rsidRDefault="00E773C7" w:rsidP="00E773C7">
      <w:pPr>
        <w:spacing w:after="0"/>
        <w:jc w:val="both"/>
        <w:rPr>
          <w:rFonts w:ascii="Tahoma" w:hAnsi="Tahoma" w:cs="Tahoma"/>
          <w:sz w:val="24"/>
          <w:szCs w:val="24"/>
        </w:rPr>
      </w:pPr>
      <w:r w:rsidRPr="00E711AB">
        <w:rPr>
          <w:rFonts w:ascii="Tahoma" w:hAnsi="Tahoma" w:cs="Tahoma"/>
          <w:sz w:val="24"/>
          <w:szCs w:val="24"/>
        </w:rPr>
        <w:t>Comisión Primera Constitucional Permanente</w:t>
      </w:r>
    </w:p>
    <w:p w14:paraId="728F98B4" w14:textId="77777777" w:rsidR="00E773C7" w:rsidRPr="00E711AB" w:rsidRDefault="00E773C7" w:rsidP="00E773C7">
      <w:pPr>
        <w:spacing w:after="0"/>
        <w:jc w:val="both"/>
        <w:rPr>
          <w:rFonts w:ascii="Tahoma" w:hAnsi="Tahoma" w:cs="Tahoma"/>
          <w:sz w:val="24"/>
          <w:szCs w:val="24"/>
        </w:rPr>
      </w:pPr>
      <w:r w:rsidRPr="00E711AB">
        <w:rPr>
          <w:rFonts w:ascii="Tahoma" w:hAnsi="Tahoma" w:cs="Tahoma"/>
          <w:sz w:val="24"/>
          <w:szCs w:val="24"/>
        </w:rPr>
        <w:t>Cámara de Representantes</w:t>
      </w:r>
    </w:p>
    <w:p w14:paraId="09E22B28" w14:textId="77777777" w:rsidR="00E773C7" w:rsidRPr="00E711AB" w:rsidRDefault="00E773C7" w:rsidP="00E773C7">
      <w:pPr>
        <w:jc w:val="both"/>
        <w:rPr>
          <w:rFonts w:ascii="Tahoma" w:hAnsi="Tahoma" w:cs="Tahoma"/>
          <w:sz w:val="24"/>
          <w:szCs w:val="24"/>
        </w:rPr>
      </w:pPr>
      <w:r w:rsidRPr="00E711AB">
        <w:rPr>
          <w:rFonts w:ascii="Tahoma" w:hAnsi="Tahoma" w:cs="Tahoma"/>
          <w:sz w:val="24"/>
          <w:szCs w:val="24"/>
        </w:rPr>
        <w:t>Ciudad</w:t>
      </w:r>
    </w:p>
    <w:p w14:paraId="449E4804" w14:textId="77777777" w:rsidR="00E773C7" w:rsidRPr="00E711AB" w:rsidRDefault="00E773C7" w:rsidP="00E773C7">
      <w:pPr>
        <w:jc w:val="both"/>
        <w:rPr>
          <w:rFonts w:ascii="Tahoma" w:hAnsi="Tahoma" w:cs="Tahoma"/>
          <w:sz w:val="24"/>
          <w:szCs w:val="24"/>
        </w:rPr>
      </w:pPr>
      <w:r w:rsidRPr="00E711AB">
        <w:rPr>
          <w:rFonts w:ascii="Tahoma" w:hAnsi="Tahoma" w:cs="Tahoma"/>
          <w:b/>
          <w:sz w:val="24"/>
          <w:szCs w:val="24"/>
        </w:rPr>
        <w:t>Asunto:</w:t>
      </w:r>
      <w:r w:rsidRPr="00E711AB">
        <w:rPr>
          <w:rFonts w:ascii="Tahoma" w:hAnsi="Tahoma" w:cs="Tahoma"/>
          <w:sz w:val="24"/>
          <w:szCs w:val="24"/>
        </w:rPr>
        <w:t xml:space="preserve"> Informe de ponencia para primer debate al Proyecto de Ley número 057 de 2026 Cámara.</w:t>
      </w:r>
    </w:p>
    <w:p w14:paraId="073D9AEC" w14:textId="72CD3A37" w:rsidR="00E773C7" w:rsidRPr="00E711AB" w:rsidRDefault="00E773C7" w:rsidP="00F37ED0">
      <w:pPr>
        <w:jc w:val="both"/>
        <w:rPr>
          <w:rFonts w:ascii="Tahoma" w:hAnsi="Tahoma" w:cs="Tahoma"/>
          <w:sz w:val="24"/>
          <w:szCs w:val="24"/>
        </w:rPr>
      </w:pPr>
      <w:r w:rsidRPr="00E711AB">
        <w:rPr>
          <w:rFonts w:ascii="Tahoma" w:hAnsi="Tahoma" w:cs="Tahoma"/>
          <w:sz w:val="24"/>
          <w:szCs w:val="24"/>
        </w:rPr>
        <w:t>Respetado señor Presidente</w:t>
      </w:r>
      <w:r w:rsidR="00F37ED0">
        <w:rPr>
          <w:rFonts w:ascii="Tahoma" w:hAnsi="Tahoma" w:cs="Tahoma"/>
          <w:sz w:val="24"/>
          <w:szCs w:val="24"/>
        </w:rPr>
        <w:t>, reciba un cordial saludo.</w:t>
      </w:r>
    </w:p>
    <w:p w14:paraId="616CFE90" w14:textId="77777777" w:rsidR="00E773C7" w:rsidRPr="00E711AB" w:rsidRDefault="00E773C7" w:rsidP="00F37ED0">
      <w:pPr>
        <w:jc w:val="both"/>
        <w:rPr>
          <w:rFonts w:ascii="Tahoma" w:hAnsi="Tahoma" w:cs="Tahoma"/>
          <w:sz w:val="24"/>
          <w:szCs w:val="24"/>
        </w:rPr>
      </w:pPr>
      <w:r w:rsidRPr="00E711AB">
        <w:rPr>
          <w:rFonts w:ascii="Tahoma" w:hAnsi="Tahoma" w:cs="Tahoma"/>
          <w:sz w:val="24"/>
          <w:szCs w:val="24"/>
        </w:rPr>
        <w:t>En cumplimiento de la designación efectuada por la Mesa Directiva de la Comisión Primera Constitucional Permanente y de conformidad con los artículos 150, 153 y 156 de la Ley 5ª de 1992, me permito rendir informe de ponencia positiva para primer debate al Proyecto de Ley número 057 de 2026 Cámara, en los siguientes términos.</w:t>
      </w:r>
    </w:p>
    <w:p w14:paraId="2D6EC84F"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I. ANTECEDENTES Y TRÁMITE LEGISLATIVO</w:t>
      </w:r>
    </w:p>
    <w:p w14:paraId="0E074B0E" w14:textId="1EC276CB" w:rsidR="00E773C7" w:rsidRPr="00E711AB" w:rsidRDefault="00E773C7" w:rsidP="00001D56">
      <w:pPr>
        <w:jc w:val="both"/>
        <w:rPr>
          <w:rFonts w:ascii="Tahoma" w:hAnsi="Tahoma" w:cs="Tahoma"/>
          <w:sz w:val="24"/>
          <w:szCs w:val="24"/>
        </w:rPr>
      </w:pPr>
      <w:r w:rsidRPr="00E711AB">
        <w:rPr>
          <w:rFonts w:ascii="Tahoma" w:hAnsi="Tahoma" w:cs="Tahoma"/>
          <w:sz w:val="24"/>
          <w:szCs w:val="24"/>
        </w:rPr>
        <w:t xml:space="preserve">El proyecto fue radicado en la Cámara de Representantes el 22 de julio de 2026 por el </w:t>
      </w:r>
      <w:r w:rsidR="00F41C2C">
        <w:rPr>
          <w:rFonts w:ascii="Tahoma" w:hAnsi="Tahoma" w:cs="Tahoma"/>
          <w:sz w:val="24"/>
          <w:szCs w:val="24"/>
        </w:rPr>
        <w:t>suscrito</w:t>
      </w:r>
      <w:r w:rsidRPr="00E711AB">
        <w:rPr>
          <w:rFonts w:ascii="Tahoma" w:hAnsi="Tahoma" w:cs="Tahoma"/>
          <w:sz w:val="24"/>
          <w:szCs w:val="24"/>
        </w:rPr>
        <w:t xml:space="preserve"> </w:t>
      </w:r>
      <w:r w:rsidR="00F41C2C">
        <w:rPr>
          <w:rFonts w:ascii="Tahoma" w:hAnsi="Tahoma" w:cs="Tahoma"/>
          <w:sz w:val="24"/>
          <w:szCs w:val="24"/>
        </w:rPr>
        <w:t>R</w:t>
      </w:r>
      <w:r w:rsidRPr="00E711AB">
        <w:rPr>
          <w:rFonts w:ascii="Tahoma" w:hAnsi="Tahoma" w:cs="Tahoma"/>
          <w:sz w:val="24"/>
          <w:szCs w:val="24"/>
        </w:rPr>
        <w:t>epresentante David Gerardo Cote Rodríguez, en ejercicio de la iniciativa legislativa reconocida a los congresistas por los artículos 154 de la Constitución Política y 140 de la Ley 5ª de 1992.</w:t>
      </w:r>
    </w:p>
    <w:p w14:paraId="48D70F15" w14:textId="2F4E7C24" w:rsidR="00E773C7" w:rsidRPr="00E711AB" w:rsidRDefault="00E773C7" w:rsidP="00F41C2C">
      <w:pPr>
        <w:jc w:val="both"/>
        <w:rPr>
          <w:rFonts w:ascii="Tahoma" w:hAnsi="Tahoma" w:cs="Tahoma"/>
          <w:sz w:val="24"/>
          <w:szCs w:val="24"/>
        </w:rPr>
      </w:pPr>
      <w:r w:rsidRPr="00E711AB">
        <w:rPr>
          <w:rFonts w:ascii="Tahoma" w:hAnsi="Tahoma" w:cs="Tahoma"/>
          <w:sz w:val="24"/>
          <w:szCs w:val="24"/>
        </w:rPr>
        <w:lastRenderedPageBreak/>
        <w:t>La iniciativa recibió el número 057 de 2026 Cámara, fue publicada en la Gaceta del Congreso número 900 de 2026 y repartida a la Comisión Primera Constitucional Permanente</w:t>
      </w:r>
      <w:r w:rsidR="000D08AB">
        <w:rPr>
          <w:rFonts w:ascii="Tahoma" w:hAnsi="Tahoma" w:cs="Tahoma"/>
          <w:sz w:val="24"/>
          <w:szCs w:val="24"/>
        </w:rPr>
        <w:t xml:space="preserve"> el día 19 de agosto de 2026</w:t>
      </w:r>
      <w:r w:rsidRPr="00E711AB">
        <w:rPr>
          <w:rFonts w:ascii="Tahoma" w:hAnsi="Tahoma" w:cs="Tahoma"/>
          <w:sz w:val="24"/>
          <w:szCs w:val="24"/>
        </w:rPr>
        <w:t>. La Mesa Directiva designó como ponente único al mismo representante autor, David Gerardo Cote Rodríguez. A la fecha de presentación de este informe no se registra debate previo ni texto aprobado que deba ser objeto de conciliación o comparación.</w:t>
      </w:r>
    </w:p>
    <w:p w14:paraId="7D6A7EE7"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II. OBJETO Y CONTENIDO DEL PROYECTO</w:t>
      </w:r>
    </w:p>
    <w:p w14:paraId="799361CB" w14:textId="77777777" w:rsidR="00E773C7" w:rsidRPr="00E711AB" w:rsidRDefault="00E773C7" w:rsidP="009E2F18">
      <w:pPr>
        <w:jc w:val="both"/>
        <w:rPr>
          <w:rFonts w:ascii="Tahoma" w:hAnsi="Tahoma" w:cs="Tahoma"/>
          <w:sz w:val="24"/>
          <w:szCs w:val="24"/>
        </w:rPr>
      </w:pPr>
      <w:r w:rsidRPr="00E711AB">
        <w:rPr>
          <w:rFonts w:ascii="Tahoma" w:hAnsi="Tahoma" w:cs="Tahoma"/>
          <w:sz w:val="24"/>
          <w:szCs w:val="24"/>
        </w:rPr>
        <w:t>La iniciativa tiene por objeto fortalecer la protección del derecho de propiedad de los copropietarios y elevar los estándares de transparencia, rendición de cuentas y responsabilidad en la administración de recursos comunes. Para ello modifica los artículos 50, 51 y 56 de la Ley 675 de 2001 y establece reglas complementarias sobre acceso a la información, custodia documental, conflictos de interés, inspección, vigilancia y control territorial, medidas preventivas, procedimiento sancionatorio y protección del patrimonio común.</w:t>
      </w:r>
    </w:p>
    <w:p w14:paraId="261BAEF2" w14:textId="77777777" w:rsidR="00E773C7" w:rsidRPr="00E711AB" w:rsidRDefault="00E773C7" w:rsidP="009E2F18">
      <w:pPr>
        <w:jc w:val="both"/>
        <w:rPr>
          <w:rFonts w:ascii="Tahoma" w:hAnsi="Tahoma" w:cs="Tahoma"/>
          <w:sz w:val="24"/>
          <w:szCs w:val="24"/>
        </w:rPr>
      </w:pPr>
      <w:r w:rsidRPr="00E711AB">
        <w:rPr>
          <w:rFonts w:ascii="Tahoma" w:hAnsi="Tahoma" w:cs="Tahoma"/>
          <w:sz w:val="24"/>
          <w:szCs w:val="24"/>
        </w:rPr>
        <w:t>El texto radicado consta de veintiocho artículos. El pliego propuesto corrige una duplicidad de numeración y, en consecuencia, el texto para primer debate queda integrado por veintinueve artículos, sin ampliar la materia ni desnaturalizar la finalidad de la iniciativa.</w:t>
      </w:r>
    </w:p>
    <w:p w14:paraId="0F1339AE" w14:textId="71BAED18" w:rsidR="00E773C7" w:rsidRPr="00E711AB" w:rsidRDefault="00E773C7" w:rsidP="00E21EFE">
      <w:pPr>
        <w:pStyle w:val="Listaconvietas"/>
        <w:tabs>
          <w:tab w:val="num" w:pos="360"/>
        </w:tabs>
        <w:spacing w:after="60" w:line="264" w:lineRule="auto"/>
        <w:ind w:left="360" w:hanging="360"/>
        <w:jc w:val="both"/>
        <w:rPr>
          <w:rFonts w:ascii="Tahoma" w:hAnsi="Tahoma" w:cs="Tahoma"/>
          <w:sz w:val="24"/>
          <w:szCs w:val="24"/>
        </w:rPr>
      </w:pPr>
      <w:r w:rsidRPr="00E21EFE">
        <w:rPr>
          <w:rFonts w:ascii="Tahoma" w:hAnsi="Tahoma" w:cs="Tahoma"/>
          <w:b/>
          <w:bCs/>
          <w:i/>
          <w:iCs/>
          <w:sz w:val="24"/>
          <w:szCs w:val="24"/>
        </w:rPr>
        <w:t>Artículos 1 a 4:</w:t>
      </w:r>
      <w:r w:rsidRPr="00E711AB">
        <w:rPr>
          <w:rFonts w:ascii="Tahoma" w:hAnsi="Tahoma" w:cs="Tahoma"/>
          <w:sz w:val="24"/>
          <w:szCs w:val="24"/>
        </w:rPr>
        <w:t xml:space="preserve"> objeto y fortalecimiento de los deberes del </w:t>
      </w:r>
      <w:r w:rsidR="00E21EFE" w:rsidRPr="00E711AB">
        <w:rPr>
          <w:rFonts w:ascii="Tahoma" w:hAnsi="Tahoma" w:cs="Tahoma"/>
          <w:sz w:val="24"/>
          <w:szCs w:val="24"/>
        </w:rPr>
        <w:t>administrator</w:t>
      </w:r>
      <w:r w:rsidRPr="00E711AB">
        <w:rPr>
          <w:rFonts w:ascii="Tahoma" w:hAnsi="Tahoma" w:cs="Tahoma"/>
          <w:sz w:val="24"/>
          <w:szCs w:val="24"/>
        </w:rPr>
        <w:t xml:space="preserve"> y del revisor fiscal.</w:t>
      </w:r>
    </w:p>
    <w:p w14:paraId="6F9891CA" w14:textId="77777777" w:rsidR="00E773C7" w:rsidRPr="00E711AB" w:rsidRDefault="00E773C7" w:rsidP="00E21EFE">
      <w:pPr>
        <w:pStyle w:val="Listaconvietas"/>
        <w:tabs>
          <w:tab w:val="num" w:pos="360"/>
        </w:tabs>
        <w:spacing w:after="60" w:line="264" w:lineRule="auto"/>
        <w:ind w:left="360" w:hanging="360"/>
        <w:jc w:val="both"/>
        <w:rPr>
          <w:rFonts w:ascii="Tahoma" w:hAnsi="Tahoma" w:cs="Tahoma"/>
          <w:sz w:val="24"/>
          <w:szCs w:val="24"/>
        </w:rPr>
      </w:pPr>
      <w:r w:rsidRPr="00E21EFE">
        <w:rPr>
          <w:rFonts w:ascii="Tahoma" w:hAnsi="Tahoma" w:cs="Tahoma"/>
          <w:b/>
          <w:bCs/>
          <w:i/>
          <w:iCs/>
          <w:sz w:val="24"/>
          <w:szCs w:val="24"/>
        </w:rPr>
        <w:t>Artículos 5 a 9:</w:t>
      </w:r>
      <w:r w:rsidRPr="00E711AB">
        <w:rPr>
          <w:rFonts w:ascii="Tahoma" w:hAnsi="Tahoma" w:cs="Tahoma"/>
          <w:sz w:val="24"/>
          <w:szCs w:val="24"/>
        </w:rPr>
        <w:t xml:space="preserve"> transparencia, acceso </w:t>
      </w:r>
      <w:proofErr w:type="gramStart"/>
      <w:r w:rsidRPr="00E711AB">
        <w:rPr>
          <w:rFonts w:ascii="Tahoma" w:hAnsi="Tahoma" w:cs="Tahoma"/>
          <w:sz w:val="24"/>
          <w:szCs w:val="24"/>
        </w:rPr>
        <w:t>a</w:t>
      </w:r>
      <w:proofErr w:type="gramEnd"/>
      <w:r w:rsidRPr="00E711AB">
        <w:rPr>
          <w:rFonts w:ascii="Tahoma" w:hAnsi="Tahoma" w:cs="Tahoma"/>
          <w:sz w:val="24"/>
          <w:szCs w:val="24"/>
        </w:rPr>
        <w:t xml:space="preserve"> información, custodia documental y conflictos de interés.</w:t>
      </w:r>
    </w:p>
    <w:p w14:paraId="4B1DDA75" w14:textId="77777777" w:rsidR="00E773C7" w:rsidRPr="00E711AB" w:rsidRDefault="00E773C7" w:rsidP="00E21EFE">
      <w:pPr>
        <w:pStyle w:val="Listaconvietas"/>
        <w:tabs>
          <w:tab w:val="num" w:pos="360"/>
        </w:tabs>
        <w:spacing w:after="60" w:line="264" w:lineRule="auto"/>
        <w:ind w:left="360" w:hanging="360"/>
        <w:jc w:val="both"/>
        <w:rPr>
          <w:rFonts w:ascii="Tahoma" w:hAnsi="Tahoma" w:cs="Tahoma"/>
          <w:sz w:val="24"/>
          <w:szCs w:val="24"/>
        </w:rPr>
      </w:pPr>
      <w:r w:rsidRPr="00E21EFE">
        <w:rPr>
          <w:rFonts w:ascii="Tahoma" w:hAnsi="Tahoma" w:cs="Tahoma"/>
          <w:b/>
          <w:bCs/>
          <w:i/>
          <w:iCs/>
          <w:sz w:val="24"/>
          <w:szCs w:val="24"/>
        </w:rPr>
        <w:t>Artículos 10 a 17:</w:t>
      </w:r>
      <w:r w:rsidRPr="00E711AB">
        <w:rPr>
          <w:rFonts w:ascii="Tahoma" w:hAnsi="Tahoma" w:cs="Tahoma"/>
          <w:sz w:val="24"/>
          <w:szCs w:val="24"/>
        </w:rPr>
        <w:t xml:space="preserve"> autoridad competente, sujetos vigilados, facultades de inspección, vigilancia y control, procedimiento y medidas preventivas.</w:t>
      </w:r>
    </w:p>
    <w:p w14:paraId="53529FE2" w14:textId="77777777" w:rsidR="00E773C7" w:rsidRPr="00E711AB" w:rsidRDefault="00E773C7" w:rsidP="00E21EFE">
      <w:pPr>
        <w:pStyle w:val="Listaconvietas"/>
        <w:tabs>
          <w:tab w:val="num" w:pos="360"/>
        </w:tabs>
        <w:spacing w:after="60" w:line="264" w:lineRule="auto"/>
        <w:ind w:left="360" w:hanging="360"/>
        <w:jc w:val="both"/>
        <w:rPr>
          <w:rFonts w:ascii="Tahoma" w:hAnsi="Tahoma" w:cs="Tahoma"/>
          <w:sz w:val="24"/>
          <w:szCs w:val="24"/>
        </w:rPr>
      </w:pPr>
      <w:r w:rsidRPr="00E21EFE">
        <w:rPr>
          <w:rFonts w:ascii="Tahoma" w:hAnsi="Tahoma" w:cs="Tahoma"/>
          <w:b/>
          <w:bCs/>
          <w:i/>
          <w:iCs/>
          <w:sz w:val="24"/>
          <w:szCs w:val="24"/>
        </w:rPr>
        <w:t>Artículos 18 a 25:</w:t>
      </w:r>
      <w:r w:rsidRPr="00E711AB">
        <w:rPr>
          <w:rFonts w:ascii="Tahoma" w:hAnsi="Tahoma" w:cs="Tahoma"/>
          <w:sz w:val="24"/>
          <w:szCs w:val="24"/>
        </w:rPr>
        <w:t xml:space="preserve"> responsabilidad administrativa, sanciones, registro, colaboración y protección del patrimonio común.</w:t>
      </w:r>
    </w:p>
    <w:p w14:paraId="23CC71BA" w14:textId="77777777" w:rsidR="00E773C7" w:rsidRPr="00E711AB" w:rsidRDefault="00E773C7" w:rsidP="00E21EFE">
      <w:pPr>
        <w:pStyle w:val="Listaconvietas"/>
        <w:tabs>
          <w:tab w:val="num" w:pos="360"/>
        </w:tabs>
        <w:spacing w:after="60" w:line="264" w:lineRule="auto"/>
        <w:ind w:left="360" w:hanging="360"/>
        <w:jc w:val="both"/>
        <w:rPr>
          <w:rFonts w:ascii="Tahoma" w:hAnsi="Tahoma" w:cs="Tahoma"/>
          <w:sz w:val="24"/>
          <w:szCs w:val="24"/>
        </w:rPr>
      </w:pPr>
      <w:r w:rsidRPr="00E21EFE">
        <w:rPr>
          <w:rFonts w:ascii="Tahoma" w:hAnsi="Tahoma" w:cs="Tahoma"/>
          <w:b/>
          <w:bCs/>
          <w:i/>
          <w:iCs/>
          <w:sz w:val="24"/>
          <w:szCs w:val="24"/>
        </w:rPr>
        <w:t>Artículos 26 a 29:</w:t>
      </w:r>
      <w:r w:rsidRPr="00E711AB">
        <w:rPr>
          <w:rFonts w:ascii="Tahoma" w:hAnsi="Tahoma" w:cs="Tahoma"/>
          <w:sz w:val="24"/>
          <w:szCs w:val="24"/>
        </w:rPr>
        <w:t xml:space="preserve"> razonabilidad de restricciones, sostenibilidad fiscal, transición, vigencia y derogatorias.</w:t>
      </w:r>
    </w:p>
    <w:p w14:paraId="7533B120"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III. MARCO CONSTITUCIONAL, LEGAL Y JURISPRUDENCIAL</w:t>
      </w:r>
    </w:p>
    <w:p w14:paraId="5B1F208B"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3.1. Competencia legislativa y naturaleza de la ley</w:t>
      </w:r>
    </w:p>
    <w:p w14:paraId="54306184" w14:textId="77777777" w:rsidR="00E773C7" w:rsidRPr="00E711AB" w:rsidRDefault="00E773C7" w:rsidP="00E21EFE">
      <w:pPr>
        <w:jc w:val="both"/>
        <w:rPr>
          <w:rFonts w:ascii="Tahoma" w:hAnsi="Tahoma" w:cs="Tahoma"/>
          <w:sz w:val="24"/>
          <w:szCs w:val="24"/>
        </w:rPr>
      </w:pPr>
      <w:r w:rsidRPr="00E711AB">
        <w:rPr>
          <w:rFonts w:ascii="Tahoma" w:hAnsi="Tahoma" w:cs="Tahoma"/>
          <w:sz w:val="24"/>
          <w:szCs w:val="24"/>
        </w:rPr>
        <w:t xml:space="preserve">El Congreso es competente para expedir y modificar el régimen legal de la propiedad horizontal en virtud de la cláusula general de competencia prevista en los artículos 114 y 150 de la Constitución Política. La materia no está sujeta a reserva de ley </w:t>
      </w:r>
      <w:r w:rsidRPr="00E711AB">
        <w:rPr>
          <w:rFonts w:ascii="Tahoma" w:hAnsi="Tahoma" w:cs="Tahoma"/>
          <w:sz w:val="24"/>
          <w:szCs w:val="24"/>
        </w:rPr>
        <w:lastRenderedPageBreak/>
        <w:t>estatutaria: regula una modalidad especial de dominio, la organización de su persona jurídica y mecanismos administrativos de garantía, sin desarrollar de manera integral y estructural un derecho fundamental. Por tanto, corresponde el trámite de ley ordinaria.</w:t>
      </w:r>
    </w:p>
    <w:p w14:paraId="5F19E9CE" w14:textId="77777777" w:rsidR="00E773C7" w:rsidRPr="00E711AB" w:rsidRDefault="00E773C7" w:rsidP="001A0210">
      <w:pPr>
        <w:jc w:val="both"/>
        <w:rPr>
          <w:rFonts w:ascii="Tahoma" w:hAnsi="Tahoma" w:cs="Tahoma"/>
          <w:sz w:val="24"/>
          <w:szCs w:val="24"/>
        </w:rPr>
      </w:pPr>
      <w:r w:rsidRPr="00E711AB">
        <w:rPr>
          <w:rFonts w:ascii="Tahoma" w:hAnsi="Tahoma" w:cs="Tahoma"/>
          <w:sz w:val="24"/>
          <w:szCs w:val="24"/>
        </w:rPr>
        <w:t>La Comisión Primera resulta competente atendiendo el criterio de especialidad de la Ley 3ª de 1992 y la materia dominante del proyecto: derechos, garantías, propiedad y distribución de competencias administrativas de entidades territoriales. El reparto efectuado por la Cámara coincide con esa caracterización.</w:t>
      </w:r>
    </w:p>
    <w:p w14:paraId="002B7069"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3.2. Derecho de propiedad, función social y autonomía privada</w:t>
      </w:r>
    </w:p>
    <w:p w14:paraId="1D842731" w14:textId="77777777" w:rsidR="00E773C7" w:rsidRPr="00E711AB" w:rsidRDefault="00E773C7" w:rsidP="001A0210">
      <w:pPr>
        <w:jc w:val="both"/>
        <w:rPr>
          <w:rFonts w:ascii="Tahoma" w:hAnsi="Tahoma" w:cs="Tahoma"/>
          <w:sz w:val="24"/>
          <w:szCs w:val="24"/>
        </w:rPr>
      </w:pPr>
      <w:r w:rsidRPr="00E711AB">
        <w:rPr>
          <w:rFonts w:ascii="Tahoma" w:hAnsi="Tahoma" w:cs="Tahoma"/>
          <w:sz w:val="24"/>
          <w:szCs w:val="24"/>
        </w:rPr>
        <w:t>Los artículos 58 y 333 superiores permiten al legislador definir el contenido, los deberes y los límites derivados de la función social de la propiedad y de la iniciativa privada. La Corte Constitucional ha explicado que la propiedad horizontal es una forma especial de dominio en la que coexisten la propiedad exclusiva sobre bienes privados y la copropiedad sobre bienes comunes; por ello, el legislador puede establecer reglas de organización y convivencia que preserven los derechos de todos los integrantes (sentencias C-318 de 2002 y C-488 de 2002).</w:t>
      </w:r>
    </w:p>
    <w:p w14:paraId="71E03B5F" w14:textId="77777777" w:rsidR="00E773C7" w:rsidRPr="00E711AB" w:rsidRDefault="00E773C7" w:rsidP="00ED259B">
      <w:pPr>
        <w:jc w:val="both"/>
        <w:rPr>
          <w:rFonts w:ascii="Tahoma" w:hAnsi="Tahoma" w:cs="Tahoma"/>
          <w:sz w:val="24"/>
          <w:szCs w:val="24"/>
        </w:rPr>
      </w:pPr>
      <w:r w:rsidRPr="00E711AB">
        <w:rPr>
          <w:rFonts w:ascii="Tahoma" w:hAnsi="Tahoma" w:cs="Tahoma"/>
          <w:sz w:val="24"/>
          <w:szCs w:val="24"/>
        </w:rPr>
        <w:t>La intervención prevista es idónea y razonable: protege recursos colectivos, reduce asimetrías de información y conserva la competencia de la asamblea general para las decisiones propias de la copropiedad. Las autoridades administrativas no resolverán controversias civiles ni sustituirán a la jurisdicción ordinaria.</w:t>
      </w:r>
    </w:p>
    <w:p w14:paraId="4252990F"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3.3. Debido proceso administrativo sancionador</w:t>
      </w:r>
    </w:p>
    <w:p w14:paraId="75C69D80" w14:textId="77777777" w:rsidR="00E773C7" w:rsidRPr="00E711AB" w:rsidRDefault="00E773C7" w:rsidP="00CF7F81">
      <w:pPr>
        <w:jc w:val="both"/>
        <w:rPr>
          <w:rFonts w:ascii="Tahoma" w:hAnsi="Tahoma" w:cs="Tahoma"/>
          <w:sz w:val="24"/>
          <w:szCs w:val="24"/>
        </w:rPr>
      </w:pPr>
      <w:r w:rsidRPr="00E711AB">
        <w:rPr>
          <w:rFonts w:ascii="Tahoma" w:hAnsi="Tahoma" w:cs="Tahoma"/>
          <w:sz w:val="24"/>
          <w:szCs w:val="24"/>
        </w:rPr>
        <w:t>El artículo 29 de la Constitución exige que toda actuación sancionatoria observe legalidad, tipicidad, culpabilidad, defensa, contradicción y proporcionalidad. La jurisprudencia constitucional sobre propiedad horizontal ha reiterado la exigencia de debido proceso incluso para sanciones impuestas por órganos privados (C-318 de 2002; T-034 de 2013; T-062 de 2018; T-283 de 2020). Con mayor razón, tales garantías vinculan a municipios y distritos.</w:t>
      </w:r>
    </w:p>
    <w:p w14:paraId="5F953B86" w14:textId="77777777" w:rsidR="00E773C7" w:rsidRPr="00E711AB" w:rsidRDefault="00E773C7" w:rsidP="00CF7F81">
      <w:pPr>
        <w:jc w:val="both"/>
        <w:rPr>
          <w:rFonts w:ascii="Tahoma" w:hAnsi="Tahoma" w:cs="Tahoma"/>
          <w:sz w:val="24"/>
          <w:szCs w:val="24"/>
        </w:rPr>
      </w:pPr>
      <w:r w:rsidRPr="00E711AB">
        <w:rPr>
          <w:rFonts w:ascii="Tahoma" w:hAnsi="Tahoma" w:cs="Tahoma"/>
          <w:sz w:val="24"/>
          <w:szCs w:val="24"/>
        </w:rPr>
        <w:t>El pliego precisa la remisión al procedimiento sancionatorio de la Ley 1437 de 2011, incorpora expresamente la culpabilidad y delimita las consecuencias aplicables a los revisores fiscales, preservando las atribuciones de la Junta Central de Contadores conforme a la Ley 43 de 1990.</w:t>
      </w:r>
    </w:p>
    <w:p w14:paraId="7B195F9D"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lastRenderedPageBreak/>
        <w:t>3.4. Transparencia, intimidad y protección de datos</w:t>
      </w:r>
    </w:p>
    <w:p w14:paraId="1776055F" w14:textId="77777777" w:rsidR="00E773C7" w:rsidRPr="00E711AB" w:rsidRDefault="00E773C7" w:rsidP="0006029C">
      <w:pPr>
        <w:jc w:val="both"/>
        <w:rPr>
          <w:rFonts w:ascii="Tahoma" w:hAnsi="Tahoma" w:cs="Tahoma"/>
          <w:sz w:val="24"/>
          <w:szCs w:val="24"/>
        </w:rPr>
      </w:pPr>
      <w:r w:rsidRPr="00E711AB">
        <w:rPr>
          <w:rFonts w:ascii="Tahoma" w:hAnsi="Tahoma" w:cs="Tahoma"/>
          <w:sz w:val="24"/>
          <w:szCs w:val="24"/>
        </w:rPr>
        <w:t>El acceso de los propietarios a los documentos de administración es instrumental para la rendición de cuentas, pero debe armonizarse con los artículos 15 y 74 constitucionales, la Ley 1581 de 2012 y la Ley 1712 de 2014. Por ello se propone que la consulta respete las reservas legales, la intimidad, los datos personales y los secretos empresariales, mediante versiones públicas, anonimización u otras medidas idóneas.</w:t>
      </w:r>
    </w:p>
    <w:p w14:paraId="25B8C064"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3.5. Autonomía territorial y función administrativa</w:t>
      </w:r>
    </w:p>
    <w:p w14:paraId="3BB97C9E" w14:textId="77777777" w:rsidR="00E773C7" w:rsidRPr="00E711AB" w:rsidRDefault="00E773C7" w:rsidP="00B3071E">
      <w:pPr>
        <w:jc w:val="both"/>
        <w:rPr>
          <w:rFonts w:ascii="Tahoma" w:hAnsi="Tahoma" w:cs="Tahoma"/>
          <w:sz w:val="24"/>
          <w:szCs w:val="24"/>
        </w:rPr>
      </w:pPr>
      <w:r w:rsidRPr="00E711AB">
        <w:rPr>
          <w:rFonts w:ascii="Tahoma" w:hAnsi="Tahoma" w:cs="Tahoma"/>
          <w:sz w:val="24"/>
          <w:szCs w:val="24"/>
        </w:rPr>
        <w:t>Los artículos 287, 288, 311 y 315 de la Constitución permiten que la ley atribuya competencias administrativas a los municipios y distritos, dentro de los principios de coordinación, concurrencia y subsidiariedad. El artículo 209 exige que su ejercicio se sujete a igualdad, moralidad, eficacia, economía, celeridad, imparcialidad y publicidad. El proyecto respeta la autonomía organizacional al permitir que cada entidad determine la dependencia competente y al excluir la creación obligatoria de nuevas entidades o plantas. Para Bogotá, el pliego evita imponer directamente la competencia a las alcaldías locales y remite al régimen especial y a la distribución interna que adopte la Administración Distrital.</w:t>
      </w:r>
    </w:p>
    <w:p w14:paraId="55EE8D64"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IV. CONSIDERACIONES DEL PONENTE</w:t>
      </w:r>
    </w:p>
    <w:p w14:paraId="3BB326EC"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4.1. Necesidad y conveniencia</w:t>
      </w:r>
    </w:p>
    <w:p w14:paraId="62E8ED4B" w14:textId="77777777" w:rsidR="00E773C7" w:rsidRPr="00E711AB" w:rsidRDefault="00E773C7" w:rsidP="003B0441">
      <w:pPr>
        <w:jc w:val="both"/>
        <w:rPr>
          <w:rFonts w:ascii="Tahoma" w:hAnsi="Tahoma" w:cs="Tahoma"/>
          <w:sz w:val="24"/>
          <w:szCs w:val="24"/>
        </w:rPr>
      </w:pPr>
      <w:r w:rsidRPr="00E711AB">
        <w:rPr>
          <w:rFonts w:ascii="Tahoma" w:hAnsi="Tahoma" w:cs="Tahoma"/>
          <w:sz w:val="24"/>
          <w:szCs w:val="24"/>
        </w:rPr>
        <w:t>La Ley 675 de 2001 consolidó un marco indispensable para la convivencia y administración de inmuebles sometidos a propiedad horizontal. Sin embargo, el crecimiento de esta modalidad habitacional y comercial ha hecho más visibles los riesgos derivados de la concentración de información y manejo de recursos en los órganos de administración. Los instrumentos ordinarios de impugnación y solución de conflictos actúan, por regla general, cuando la controversia ya se consolidó y pueden exigir costos y tiempos significativos.</w:t>
      </w:r>
    </w:p>
    <w:p w14:paraId="1CE453FA" w14:textId="77777777" w:rsidR="00E773C7" w:rsidRPr="00E711AB" w:rsidRDefault="00E773C7" w:rsidP="00A51308">
      <w:pPr>
        <w:jc w:val="both"/>
        <w:rPr>
          <w:rFonts w:ascii="Tahoma" w:hAnsi="Tahoma" w:cs="Tahoma"/>
          <w:sz w:val="24"/>
          <w:szCs w:val="24"/>
        </w:rPr>
      </w:pPr>
      <w:r w:rsidRPr="00E711AB">
        <w:rPr>
          <w:rFonts w:ascii="Tahoma" w:hAnsi="Tahoma" w:cs="Tahoma"/>
          <w:sz w:val="24"/>
          <w:szCs w:val="24"/>
        </w:rPr>
        <w:t>La propuesta fortalece un modelo preventivo y gradual: primero facilita información verificable, impone deberes de custodia y revelación de conflictos, y habilita requerimientos y planes de mejoramiento; reserva el poder sancionatorio para incumplimientos demostrados mediante actuación administrativa. Esta secuencia protege el patrimonio privado y reduce la conflictividad sin convertir a la autoridad territorial en administradora de la copropiedad.</w:t>
      </w:r>
    </w:p>
    <w:p w14:paraId="7E766FB7"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lastRenderedPageBreak/>
        <w:t>4.2. Proporcionalidad de la intervención</w:t>
      </w:r>
    </w:p>
    <w:p w14:paraId="20A8ADC7" w14:textId="4135441E" w:rsidR="00E773C7" w:rsidRPr="00E711AB" w:rsidRDefault="006262FD" w:rsidP="006262FD">
      <w:pPr>
        <w:jc w:val="both"/>
        <w:rPr>
          <w:rFonts w:ascii="Tahoma" w:hAnsi="Tahoma" w:cs="Tahoma"/>
          <w:sz w:val="24"/>
          <w:szCs w:val="24"/>
        </w:rPr>
      </w:pPr>
      <w:r>
        <w:rPr>
          <w:rFonts w:ascii="Tahoma" w:hAnsi="Tahoma" w:cs="Tahoma"/>
          <w:sz w:val="24"/>
          <w:szCs w:val="24"/>
          <w:lang w:val="en-US"/>
        </w:rPr>
        <w:t>L</w:t>
      </w:r>
      <w:r w:rsidR="00E773C7" w:rsidRPr="00E711AB">
        <w:rPr>
          <w:rFonts w:ascii="Tahoma" w:hAnsi="Tahoma" w:cs="Tahoma"/>
          <w:sz w:val="24"/>
          <w:szCs w:val="24"/>
        </w:rPr>
        <w:t xml:space="preserve">a medida persigue finalidades constitucionalmente legítimas </w:t>
      </w:r>
      <w:r>
        <w:rPr>
          <w:rFonts w:ascii="Tahoma" w:hAnsi="Tahoma" w:cs="Tahoma"/>
          <w:sz w:val="24"/>
          <w:szCs w:val="24"/>
        </w:rPr>
        <w:t xml:space="preserve">tales como </w:t>
      </w:r>
      <w:r w:rsidR="00E773C7" w:rsidRPr="00E711AB">
        <w:rPr>
          <w:rFonts w:ascii="Tahoma" w:hAnsi="Tahoma" w:cs="Tahoma"/>
          <w:sz w:val="24"/>
          <w:szCs w:val="24"/>
        </w:rPr>
        <w:t>protección de la propiedad, buena fe, debido proceso y moralidad administrativa; es adecuada para superar asimetrías de información; es necesaria porque las acciones civiles y la impugnación de decisiones no ofrecen siempre una respuesta preventiva; y es proporcional en sentido estricto porque conserva la autonomía decisoria de la asamblea, delimita la competencia administrativa y prevé garantías de procedimiento, temporalidad y motivación.</w:t>
      </w:r>
    </w:p>
    <w:p w14:paraId="021F6D29"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4.3. Unidad de materia y técnica legislativa</w:t>
      </w:r>
    </w:p>
    <w:p w14:paraId="0AAB6469" w14:textId="77777777" w:rsidR="00E773C7" w:rsidRPr="00E711AB" w:rsidRDefault="00E773C7" w:rsidP="00FB0151">
      <w:pPr>
        <w:jc w:val="both"/>
        <w:rPr>
          <w:rFonts w:ascii="Tahoma" w:hAnsi="Tahoma" w:cs="Tahoma"/>
          <w:sz w:val="24"/>
          <w:szCs w:val="24"/>
        </w:rPr>
      </w:pPr>
      <w:r w:rsidRPr="00E711AB">
        <w:rPr>
          <w:rFonts w:ascii="Tahoma" w:hAnsi="Tahoma" w:cs="Tahoma"/>
          <w:sz w:val="24"/>
          <w:szCs w:val="24"/>
        </w:rPr>
        <w:t>Existe conexidad temática, causal, teleológica y sistemática entre todas las disposiciones y el núcleo del proyecto: fortalecer el régimen de administración y protección patrimonial de la propiedad horizontal. Los ajustes propuestos corrigen la doble numeración del artículo 24, eliminan la remisión al inexistente “artículo 60S”, precisan el carácter autónomo y complementario de las nuevas disposiciones y renumeran los artículos finales.</w:t>
      </w:r>
    </w:p>
    <w:p w14:paraId="6C37D18F"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4.4. Impacto institucional y fiscal</w:t>
      </w:r>
    </w:p>
    <w:p w14:paraId="3C137A1B" w14:textId="3EA09FBC" w:rsidR="007476FA" w:rsidRPr="007476FA" w:rsidRDefault="007476FA" w:rsidP="007476FA">
      <w:pPr>
        <w:jc w:val="both"/>
        <w:rPr>
          <w:rFonts w:ascii="Tahoma" w:hAnsi="Tahoma" w:cs="Tahoma"/>
          <w:sz w:val="24"/>
          <w:szCs w:val="24"/>
        </w:rPr>
      </w:pPr>
      <w:r w:rsidRPr="007476FA">
        <w:rPr>
          <w:rFonts w:ascii="Tahoma" w:hAnsi="Tahoma" w:cs="Tahoma"/>
          <w:sz w:val="24"/>
          <w:szCs w:val="24"/>
        </w:rPr>
        <w:t>El proyecto atribuye a los municipios y distritos funciones de inspección, vigilancia y control respecto de las personas jurídicas sometidas al régimen de propiedad horizontal ubicadas dentro de su respectiva jurisdicción. Su ejercicio se articula con las estructuras administrativas existentes y respeta la autonomía organizacional de las entidades territoriales, sin imponer la creación de nuevas entidades, organismos, dependencias, plantas de personal o cargos públicos.</w:t>
      </w:r>
    </w:p>
    <w:p w14:paraId="52403CD1" w14:textId="77777777" w:rsidR="007476FA" w:rsidRPr="007476FA" w:rsidRDefault="007476FA" w:rsidP="007476FA">
      <w:pPr>
        <w:jc w:val="both"/>
        <w:rPr>
          <w:rFonts w:ascii="Tahoma" w:hAnsi="Tahoma" w:cs="Tahoma"/>
          <w:sz w:val="24"/>
          <w:szCs w:val="24"/>
        </w:rPr>
      </w:pPr>
      <w:r w:rsidRPr="007476FA">
        <w:rPr>
          <w:rFonts w:ascii="Tahoma" w:hAnsi="Tahoma" w:cs="Tahoma"/>
          <w:sz w:val="24"/>
          <w:szCs w:val="24"/>
        </w:rPr>
        <w:t>Desde la perspectiva fiscal, la iniciativa no contiene una autorización u orden específica de gasto a cargo del Presupuesto General de la Nación, ni establece beneficios tributarios. Por el contrario, el articulado dispone expresamente que su implementación se realizará dentro de las disponibilidades presupuestales y estructuras administrativas existentes de las autoridades competentes, sin ordenar apropiaciones presupuestales adicionales.</w:t>
      </w:r>
    </w:p>
    <w:p w14:paraId="4F2A56AA" w14:textId="77777777" w:rsidR="007476FA" w:rsidRPr="007476FA" w:rsidRDefault="007476FA" w:rsidP="007476FA">
      <w:pPr>
        <w:jc w:val="both"/>
        <w:rPr>
          <w:rFonts w:ascii="Tahoma" w:hAnsi="Tahoma" w:cs="Tahoma"/>
          <w:sz w:val="24"/>
          <w:szCs w:val="24"/>
        </w:rPr>
      </w:pPr>
      <w:r w:rsidRPr="007476FA">
        <w:rPr>
          <w:rFonts w:ascii="Tahoma" w:hAnsi="Tahoma" w:cs="Tahoma"/>
          <w:sz w:val="24"/>
          <w:szCs w:val="24"/>
        </w:rPr>
        <w:t xml:space="preserve">En consecuencia, la regulación propuesta está orientada a distribuir y precisar competencias administrativas y a establecer instrumentos jurídicos para su ejercicio, bajo criterios de autonomía territorial, eficiencia administrativa, gradualidad y sostenibilidad fiscal. La implementación de tales competencias corresponderá a cada municipio o distrito, de acuerdo con su estructura administrativa, capacidad </w:t>
      </w:r>
      <w:r w:rsidRPr="007476FA">
        <w:rPr>
          <w:rFonts w:ascii="Tahoma" w:hAnsi="Tahoma" w:cs="Tahoma"/>
          <w:sz w:val="24"/>
          <w:szCs w:val="24"/>
        </w:rPr>
        <w:lastRenderedPageBreak/>
        <w:t>institucional y disponibilidad presupuestal, sin que la ley predetermine la creación de una estructura administrativa específica para su cumplimiento.</w:t>
      </w:r>
    </w:p>
    <w:p w14:paraId="346F3B60" w14:textId="3E3F93AF" w:rsidR="00E773C7" w:rsidRPr="00E711AB" w:rsidRDefault="007476FA" w:rsidP="007476FA">
      <w:pPr>
        <w:jc w:val="both"/>
        <w:rPr>
          <w:rFonts w:ascii="Tahoma" w:hAnsi="Tahoma" w:cs="Tahoma"/>
          <w:sz w:val="24"/>
          <w:szCs w:val="24"/>
        </w:rPr>
      </w:pPr>
      <w:r w:rsidRPr="007476FA">
        <w:rPr>
          <w:rFonts w:ascii="Tahoma" w:hAnsi="Tahoma" w:cs="Tahoma"/>
          <w:sz w:val="24"/>
          <w:szCs w:val="24"/>
        </w:rPr>
        <w:t>Lo anterior permite concluir que la iniciativa incorpora medidas de racionalización institucional y sostenibilidad fiscal suficientes para que las nuevas disposiciones sean implementadas dentro del marco presupuestal y administrativo de las entidades competentes.</w:t>
      </w:r>
    </w:p>
    <w:p w14:paraId="2A4593BD"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4.5. Conflictos de interés</w:t>
      </w:r>
    </w:p>
    <w:p w14:paraId="4A418689" w14:textId="77777777" w:rsidR="00E773C7" w:rsidRPr="00E711AB" w:rsidRDefault="00E773C7" w:rsidP="00911D9B">
      <w:pPr>
        <w:jc w:val="both"/>
        <w:rPr>
          <w:rFonts w:ascii="Tahoma" w:hAnsi="Tahoma" w:cs="Tahoma"/>
          <w:sz w:val="24"/>
          <w:szCs w:val="24"/>
        </w:rPr>
      </w:pPr>
      <w:r w:rsidRPr="00E711AB">
        <w:rPr>
          <w:rFonts w:ascii="Tahoma" w:hAnsi="Tahoma" w:cs="Tahoma"/>
          <w:sz w:val="24"/>
          <w:szCs w:val="24"/>
        </w:rPr>
        <w:t>De conformidad con el artículo 182 de la Constitución, los artículos 286 a 291 de la Ley 5ª de 1992 y la Ley 2003 de 2019, la discusión y votación de una norma general, impersonal y abstracta no configura por sí sola conflicto de interés. Podría presentarse cuando un congresista obtenga un beneficio particular, actual y directo, distinto del que corresponde a la generalidad de propietarios, residentes, administradores o revisores fiscales. La determinación corresponde a cada congresista, quien deberá declarar el impedimento cuando concurran las circunstancias legales.</w:t>
      </w:r>
    </w:p>
    <w:p w14:paraId="4ED31D8B" w14:textId="77777777" w:rsidR="00E773C7" w:rsidRPr="00E711AB" w:rsidRDefault="00E773C7" w:rsidP="00E773C7">
      <w:pPr>
        <w:pStyle w:val="Ttulo2"/>
        <w:rPr>
          <w:rFonts w:ascii="Tahoma" w:hAnsi="Tahoma" w:cs="Tahoma"/>
          <w:sz w:val="24"/>
          <w:szCs w:val="24"/>
        </w:rPr>
      </w:pPr>
      <w:r w:rsidRPr="00E711AB">
        <w:rPr>
          <w:rFonts w:ascii="Tahoma" w:hAnsi="Tahoma" w:cs="Tahoma"/>
          <w:sz w:val="24"/>
          <w:szCs w:val="24"/>
        </w:rPr>
        <w:t>4.6. Observaciones y conceptos</w:t>
      </w:r>
    </w:p>
    <w:p w14:paraId="14214D4B" w14:textId="77777777" w:rsidR="00E773C7" w:rsidRPr="00E711AB" w:rsidRDefault="00E773C7" w:rsidP="00A93A0E">
      <w:pPr>
        <w:jc w:val="both"/>
        <w:rPr>
          <w:rFonts w:ascii="Tahoma" w:hAnsi="Tahoma" w:cs="Tahoma"/>
          <w:sz w:val="24"/>
          <w:szCs w:val="24"/>
        </w:rPr>
      </w:pPr>
      <w:r w:rsidRPr="00E711AB">
        <w:rPr>
          <w:rFonts w:ascii="Tahoma" w:hAnsi="Tahoma" w:cs="Tahoma"/>
          <w:sz w:val="24"/>
          <w:szCs w:val="24"/>
        </w:rPr>
        <w:t>A la fecha de elaboración de esta ponencia no se han incorporado al expediente conceptos técnicos u observaciones ciudadanas que exijan modificar la orientación favorable. Los aportes que se reciban durante el trámite podrán considerarse con respeto por los principios de consecutividad, identidad flexible y unidad de materia.</w:t>
      </w:r>
    </w:p>
    <w:p w14:paraId="5C9EEA05"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V. PLIEGO DE MODIFICACIONES</w:t>
      </w:r>
    </w:p>
    <w:p w14:paraId="5784AF5C" w14:textId="77777777" w:rsidR="00E773C7" w:rsidRDefault="00E773C7" w:rsidP="00A93A0E">
      <w:pPr>
        <w:jc w:val="both"/>
        <w:rPr>
          <w:rFonts w:ascii="Tahoma" w:hAnsi="Tahoma" w:cs="Tahoma"/>
          <w:sz w:val="24"/>
          <w:szCs w:val="24"/>
        </w:rPr>
      </w:pPr>
      <w:r w:rsidRPr="00E711AB">
        <w:rPr>
          <w:rFonts w:ascii="Tahoma" w:hAnsi="Tahoma" w:cs="Tahoma"/>
          <w:sz w:val="24"/>
          <w:szCs w:val="24"/>
        </w:rPr>
        <w:t>Se proponen ajustes de precisión normativa y técnica legislativa. Las modificaciones preservan el objeto del proyecto y fortalecen su defensa constitucional.</w:t>
      </w:r>
    </w:p>
    <w:p w14:paraId="6A49240C" w14:textId="77777777" w:rsidR="009173E2" w:rsidRPr="00E711AB" w:rsidRDefault="009173E2" w:rsidP="00A93A0E">
      <w:pPr>
        <w:jc w:val="both"/>
        <w:rPr>
          <w:rFonts w:ascii="Tahoma" w:hAnsi="Tahoma" w:cs="Tahoma"/>
          <w:sz w:val="24"/>
          <w:szCs w:val="24"/>
        </w:rPr>
      </w:pPr>
    </w:p>
    <w:tbl>
      <w:tblPr>
        <w:tblStyle w:val="Tablaconcuadrcula"/>
        <w:tblW w:w="9360" w:type="dxa"/>
        <w:tblInd w:w="120" w:type="dxa"/>
        <w:tblLayout w:type="fixed"/>
        <w:tblLook w:val="04A0" w:firstRow="1" w:lastRow="0" w:firstColumn="1" w:lastColumn="0" w:noHBand="0" w:noVBand="1"/>
      </w:tblPr>
      <w:tblGrid>
        <w:gridCol w:w="1293"/>
        <w:gridCol w:w="2207"/>
        <w:gridCol w:w="5860"/>
      </w:tblGrid>
      <w:tr w:rsidR="00E773C7" w:rsidRPr="00E711AB" w14:paraId="46753CE6" w14:textId="77777777" w:rsidTr="00BD0897">
        <w:trPr>
          <w:cantSplit/>
          <w:tblHeader/>
        </w:trPr>
        <w:tc>
          <w:tcPr>
            <w:tcW w:w="1293" w:type="dxa"/>
            <w:shd w:val="clear" w:color="auto" w:fill="D9E2F3"/>
            <w:tcMar>
              <w:top w:w="90" w:type="dxa"/>
              <w:left w:w="120" w:type="dxa"/>
              <w:bottom w:w="90" w:type="dxa"/>
              <w:right w:w="120" w:type="dxa"/>
            </w:tcMar>
            <w:vAlign w:val="center"/>
          </w:tcPr>
          <w:p w14:paraId="18484BB1" w14:textId="77777777" w:rsidR="00E773C7" w:rsidRPr="00E711AB" w:rsidRDefault="00E773C7" w:rsidP="00207ACF">
            <w:pPr>
              <w:jc w:val="center"/>
              <w:rPr>
                <w:rFonts w:ascii="Tahoma" w:hAnsi="Tahoma" w:cs="Tahoma"/>
              </w:rPr>
            </w:pPr>
            <w:r w:rsidRPr="00E711AB">
              <w:rPr>
                <w:rFonts w:ascii="Tahoma" w:hAnsi="Tahoma" w:cs="Tahoma"/>
                <w:b/>
              </w:rPr>
              <w:t>Artículo</w:t>
            </w:r>
          </w:p>
        </w:tc>
        <w:tc>
          <w:tcPr>
            <w:tcW w:w="2207" w:type="dxa"/>
            <w:shd w:val="clear" w:color="auto" w:fill="D9E2F3"/>
            <w:tcMar>
              <w:top w:w="90" w:type="dxa"/>
              <w:left w:w="120" w:type="dxa"/>
              <w:bottom w:w="90" w:type="dxa"/>
              <w:right w:w="120" w:type="dxa"/>
            </w:tcMar>
            <w:vAlign w:val="center"/>
          </w:tcPr>
          <w:p w14:paraId="288C9507" w14:textId="77777777" w:rsidR="00E773C7" w:rsidRPr="00E711AB" w:rsidRDefault="00E773C7" w:rsidP="00207ACF">
            <w:pPr>
              <w:jc w:val="center"/>
              <w:rPr>
                <w:rFonts w:ascii="Tahoma" w:hAnsi="Tahoma" w:cs="Tahoma"/>
              </w:rPr>
            </w:pPr>
            <w:r w:rsidRPr="00E711AB">
              <w:rPr>
                <w:rFonts w:ascii="Tahoma" w:hAnsi="Tahoma" w:cs="Tahoma"/>
                <w:b/>
              </w:rPr>
              <w:t>Modificación</w:t>
            </w:r>
          </w:p>
        </w:tc>
        <w:tc>
          <w:tcPr>
            <w:tcW w:w="5860" w:type="dxa"/>
            <w:shd w:val="clear" w:color="auto" w:fill="D9E2F3"/>
            <w:tcMar>
              <w:top w:w="90" w:type="dxa"/>
              <w:left w:w="120" w:type="dxa"/>
              <w:bottom w:w="90" w:type="dxa"/>
              <w:right w:w="120" w:type="dxa"/>
            </w:tcMar>
            <w:vAlign w:val="center"/>
          </w:tcPr>
          <w:p w14:paraId="343DEB36" w14:textId="77777777" w:rsidR="00E773C7" w:rsidRPr="00E711AB" w:rsidRDefault="00E773C7" w:rsidP="00207ACF">
            <w:pPr>
              <w:jc w:val="center"/>
              <w:rPr>
                <w:rFonts w:ascii="Tahoma" w:hAnsi="Tahoma" w:cs="Tahoma"/>
              </w:rPr>
            </w:pPr>
            <w:r w:rsidRPr="00E711AB">
              <w:rPr>
                <w:rFonts w:ascii="Tahoma" w:hAnsi="Tahoma" w:cs="Tahoma"/>
                <w:b/>
              </w:rPr>
              <w:t>Justificación</w:t>
            </w:r>
          </w:p>
        </w:tc>
      </w:tr>
      <w:tr w:rsidR="00E773C7" w:rsidRPr="00E711AB" w14:paraId="589E7DE9" w14:textId="77777777" w:rsidTr="00BD0897">
        <w:trPr>
          <w:cantSplit/>
        </w:trPr>
        <w:tc>
          <w:tcPr>
            <w:tcW w:w="1293" w:type="dxa"/>
            <w:tcMar>
              <w:top w:w="90" w:type="dxa"/>
              <w:left w:w="120" w:type="dxa"/>
              <w:bottom w:w="90" w:type="dxa"/>
              <w:right w:w="120" w:type="dxa"/>
            </w:tcMar>
          </w:tcPr>
          <w:p w14:paraId="1AAE2BEF" w14:textId="77777777" w:rsidR="00E773C7" w:rsidRPr="00E711AB" w:rsidRDefault="00E773C7" w:rsidP="00207ACF">
            <w:pPr>
              <w:jc w:val="center"/>
              <w:rPr>
                <w:rFonts w:ascii="Tahoma" w:hAnsi="Tahoma" w:cs="Tahoma"/>
              </w:rPr>
            </w:pPr>
            <w:r w:rsidRPr="00E711AB">
              <w:rPr>
                <w:rFonts w:ascii="Tahoma" w:hAnsi="Tahoma" w:cs="Tahoma"/>
              </w:rPr>
              <w:t>2</w:t>
            </w:r>
          </w:p>
        </w:tc>
        <w:tc>
          <w:tcPr>
            <w:tcW w:w="2207" w:type="dxa"/>
            <w:tcMar>
              <w:top w:w="90" w:type="dxa"/>
              <w:left w:w="120" w:type="dxa"/>
              <w:bottom w:w="90" w:type="dxa"/>
              <w:right w:w="120" w:type="dxa"/>
            </w:tcMar>
          </w:tcPr>
          <w:p w14:paraId="26D82447" w14:textId="77777777" w:rsidR="00E773C7" w:rsidRPr="00E711AB" w:rsidRDefault="00E773C7" w:rsidP="00207ACF">
            <w:pPr>
              <w:rPr>
                <w:rFonts w:ascii="Tahoma" w:hAnsi="Tahoma" w:cs="Tahoma"/>
              </w:rPr>
            </w:pPr>
            <w:r w:rsidRPr="00E711AB">
              <w:rPr>
                <w:rFonts w:ascii="Tahoma" w:hAnsi="Tahoma" w:cs="Tahoma"/>
              </w:rPr>
              <w:t>Responsabilidad del administrador</w:t>
            </w:r>
          </w:p>
        </w:tc>
        <w:tc>
          <w:tcPr>
            <w:tcW w:w="5860" w:type="dxa"/>
            <w:tcMar>
              <w:top w:w="90" w:type="dxa"/>
              <w:left w:w="120" w:type="dxa"/>
              <w:bottom w:w="90" w:type="dxa"/>
              <w:right w:w="120" w:type="dxa"/>
            </w:tcMar>
          </w:tcPr>
          <w:p w14:paraId="4CF470F6" w14:textId="77777777" w:rsidR="00E773C7" w:rsidRPr="00E711AB" w:rsidRDefault="00E773C7" w:rsidP="00BD0897">
            <w:pPr>
              <w:jc w:val="both"/>
              <w:rPr>
                <w:rFonts w:ascii="Tahoma" w:hAnsi="Tahoma" w:cs="Tahoma"/>
              </w:rPr>
            </w:pPr>
            <w:r w:rsidRPr="00E711AB">
              <w:rPr>
                <w:rFonts w:ascii="Tahoma" w:hAnsi="Tahoma" w:cs="Tahoma"/>
              </w:rPr>
              <w:t>Se conserva el estándar de dolo o culpa leve y la presunción vigente, evitando que la reforma reduzca la protección actualmente prevista por el artículo 50 de la Ley 675.</w:t>
            </w:r>
          </w:p>
        </w:tc>
      </w:tr>
      <w:tr w:rsidR="00E773C7" w:rsidRPr="00E711AB" w14:paraId="06ABCCDA" w14:textId="77777777" w:rsidTr="00BD0897">
        <w:trPr>
          <w:cantSplit/>
        </w:trPr>
        <w:tc>
          <w:tcPr>
            <w:tcW w:w="1293" w:type="dxa"/>
            <w:tcMar>
              <w:top w:w="90" w:type="dxa"/>
              <w:left w:w="120" w:type="dxa"/>
              <w:bottom w:w="90" w:type="dxa"/>
              <w:right w:w="120" w:type="dxa"/>
            </w:tcMar>
          </w:tcPr>
          <w:p w14:paraId="535126BD" w14:textId="77777777" w:rsidR="00E773C7" w:rsidRPr="00E711AB" w:rsidRDefault="00E773C7" w:rsidP="00207ACF">
            <w:pPr>
              <w:jc w:val="center"/>
              <w:rPr>
                <w:rFonts w:ascii="Tahoma" w:hAnsi="Tahoma" w:cs="Tahoma"/>
              </w:rPr>
            </w:pPr>
            <w:r w:rsidRPr="00E711AB">
              <w:rPr>
                <w:rFonts w:ascii="Tahoma" w:hAnsi="Tahoma" w:cs="Tahoma"/>
              </w:rPr>
              <w:lastRenderedPageBreak/>
              <w:t>5</w:t>
            </w:r>
          </w:p>
        </w:tc>
        <w:tc>
          <w:tcPr>
            <w:tcW w:w="2207" w:type="dxa"/>
            <w:tcMar>
              <w:top w:w="90" w:type="dxa"/>
              <w:left w:w="120" w:type="dxa"/>
              <w:bottom w:w="90" w:type="dxa"/>
              <w:right w:w="120" w:type="dxa"/>
            </w:tcMar>
          </w:tcPr>
          <w:p w14:paraId="6B480B5B" w14:textId="77777777" w:rsidR="00E773C7" w:rsidRPr="00E711AB" w:rsidRDefault="00E773C7" w:rsidP="00207ACF">
            <w:pPr>
              <w:rPr>
                <w:rFonts w:ascii="Tahoma" w:hAnsi="Tahoma" w:cs="Tahoma"/>
              </w:rPr>
            </w:pPr>
            <w:r w:rsidRPr="00E711AB">
              <w:rPr>
                <w:rFonts w:ascii="Tahoma" w:hAnsi="Tahoma" w:cs="Tahoma"/>
              </w:rPr>
              <w:t>Naturaleza de las nuevas reglas</w:t>
            </w:r>
          </w:p>
        </w:tc>
        <w:tc>
          <w:tcPr>
            <w:tcW w:w="5860" w:type="dxa"/>
            <w:tcMar>
              <w:top w:w="90" w:type="dxa"/>
              <w:left w:w="120" w:type="dxa"/>
              <w:bottom w:w="90" w:type="dxa"/>
              <w:right w:w="120" w:type="dxa"/>
            </w:tcMar>
          </w:tcPr>
          <w:p w14:paraId="45E89513" w14:textId="77777777" w:rsidR="00E773C7" w:rsidRPr="00E711AB" w:rsidRDefault="00E773C7" w:rsidP="007F75A6">
            <w:pPr>
              <w:jc w:val="both"/>
              <w:rPr>
                <w:rFonts w:ascii="Tahoma" w:hAnsi="Tahoma" w:cs="Tahoma"/>
              </w:rPr>
            </w:pPr>
            <w:r w:rsidRPr="00E711AB">
              <w:rPr>
                <w:rFonts w:ascii="Tahoma" w:hAnsi="Tahoma" w:cs="Tahoma"/>
              </w:rPr>
              <w:t>Se aclara que los artículos 6 a 25 conforman un régimen complementario autónomo; se elimina una adición capitular sin ubicación ni numeración dentro de la Ley 675.</w:t>
            </w:r>
          </w:p>
        </w:tc>
      </w:tr>
      <w:tr w:rsidR="00E773C7" w:rsidRPr="00E711AB" w14:paraId="79C038DD" w14:textId="77777777" w:rsidTr="00BD0897">
        <w:trPr>
          <w:cantSplit/>
        </w:trPr>
        <w:tc>
          <w:tcPr>
            <w:tcW w:w="1293" w:type="dxa"/>
            <w:tcMar>
              <w:top w:w="90" w:type="dxa"/>
              <w:left w:w="120" w:type="dxa"/>
              <w:bottom w:w="90" w:type="dxa"/>
              <w:right w:w="120" w:type="dxa"/>
            </w:tcMar>
          </w:tcPr>
          <w:p w14:paraId="07DE7D99" w14:textId="77777777" w:rsidR="00E773C7" w:rsidRPr="00E711AB" w:rsidRDefault="00E773C7" w:rsidP="00207ACF">
            <w:pPr>
              <w:jc w:val="center"/>
              <w:rPr>
                <w:rFonts w:ascii="Tahoma" w:hAnsi="Tahoma" w:cs="Tahoma"/>
              </w:rPr>
            </w:pPr>
            <w:r w:rsidRPr="00E711AB">
              <w:rPr>
                <w:rFonts w:ascii="Tahoma" w:hAnsi="Tahoma" w:cs="Tahoma"/>
              </w:rPr>
              <w:t>6</w:t>
            </w:r>
          </w:p>
        </w:tc>
        <w:tc>
          <w:tcPr>
            <w:tcW w:w="2207" w:type="dxa"/>
            <w:tcMar>
              <w:top w:w="90" w:type="dxa"/>
              <w:left w:w="120" w:type="dxa"/>
              <w:bottom w:w="90" w:type="dxa"/>
              <w:right w:w="120" w:type="dxa"/>
            </w:tcMar>
          </w:tcPr>
          <w:p w14:paraId="7D85051C" w14:textId="77777777" w:rsidR="00E773C7" w:rsidRPr="00E711AB" w:rsidRDefault="00E773C7" w:rsidP="00207ACF">
            <w:pPr>
              <w:rPr>
                <w:rFonts w:ascii="Tahoma" w:hAnsi="Tahoma" w:cs="Tahoma"/>
              </w:rPr>
            </w:pPr>
            <w:r w:rsidRPr="00E711AB">
              <w:rPr>
                <w:rFonts w:ascii="Tahoma" w:hAnsi="Tahoma" w:cs="Tahoma"/>
              </w:rPr>
              <w:t>Acceso a información</w:t>
            </w:r>
          </w:p>
        </w:tc>
        <w:tc>
          <w:tcPr>
            <w:tcW w:w="5860" w:type="dxa"/>
            <w:tcMar>
              <w:top w:w="90" w:type="dxa"/>
              <w:left w:w="120" w:type="dxa"/>
              <w:bottom w:w="90" w:type="dxa"/>
              <w:right w:w="120" w:type="dxa"/>
            </w:tcMar>
          </w:tcPr>
          <w:p w14:paraId="7321FBA7" w14:textId="77777777" w:rsidR="00E773C7" w:rsidRPr="00E711AB" w:rsidRDefault="00E773C7" w:rsidP="007F75A6">
            <w:pPr>
              <w:jc w:val="both"/>
              <w:rPr>
                <w:rFonts w:ascii="Tahoma" w:hAnsi="Tahoma" w:cs="Tahoma"/>
              </w:rPr>
            </w:pPr>
            <w:r w:rsidRPr="00E711AB">
              <w:rPr>
                <w:rFonts w:ascii="Tahoma" w:hAnsi="Tahoma" w:cs="Tahoma"/>
              </w:rPr>
              <w:t>Se armoniza el acceso con intimidad, protección de datos, reserva legal y secretos empresariales; se habilitan versiones públicas y anonimización.</w:t>
            </w:r>
          </w:p>
        </w:tc>
      </w:tr>
      <w:tr w:rsidR="00E773C7" w:rsidRPr="00E711AB" w14:paraId="6A01639C" w14:textId="77777777" w:rsidTr="00BD0897">
        <w:trPr>
          <w:cantSplit/>
        </w:trPr>
        <w:tc>
          <w:tcPr>
            <w:tcW w:w="1293" w:type="dxa"/>
            <w:tcMar>
              <w:top w:w="90" w:type="dxa"/>
              <w:left w:w="120" w:type="dxa"/>
              <w:bottom w:w="90" w:type="dxa"/>
              <w:right w:w="120" w:type="dxa"/>
            </w:tcMar>
          </w:tcPr>
          <w:p w14:paraId="5E527895" w14:textId="77777777" w:rsidR="00E773C7" w:rsidRPr="00E711AB" w:rsidRDefault="00E773C7" w:rsidP="00207ACF">
            <w:pPr>
              <w:jc w:val="center"/>
              <w:rPr>
                <w:rFonts w:ascii="Tahoma" w:hAnsi="Tahoma" w:cs="Tahoma"/>
              </w:rPr>
            </w:pPr>
            <w:r w:rsidRPr="00E711AB">
              <w:rPr>
                <w:rFonts w:ascii="Tahoma" w:hAnsi="Tahoma" w:cs="Tahoma"/>
              </w:rPr>
              <w:t>10</w:t>
            </w:r>
          </w:p>
        </w:tc>
        <w:tc>
          <w:tcPr>
            <w:tcW w:w="2207" w:type="dxa"/>
            <w:tcMar>
              <w:top w:w="90" w:type="dxa"/>
              <w:left w:w="120" w:type="dxa"/>
              <w:bottom w:w="90" w:type="dxa"/>
              <w:right w:w="120" w:type="dxa"/>
            </w:tcMar>
          </w:tcPr>
          <w:p w14:paraId="1CE8E78A" w14:textId="77777777" w:rsidR="00E773C7" w:rsidRPr="00E711AB" w:rsidRDefault="00E773C7" w:rsidP="00207ACF">
            <w:pPr>
              <w:rPr>
                <w:rFonts w:ascii="Tahoma" w:hAnsi="Tahoma" w:cs="Tahoma"/>
              </w:rPr>
            </w:pPr>
            <w:r w:rsidRPr="00E711AB">
              <w:rPr>
                <w:rFonts w:ascii="Tahoma" w:hAnsi="Tahoma" w:cs="Tahoma"/>
              </w:rPr>
              <w:t>Competencia en Bogotá</w:t>
            </w:r>
          </w:p>
        </w:tc>
        <w:tc>
          <w:tcPr>
            <w:tcW w:w="5860" w:type="dxa"/>
            <w:tcMar>
              <w:top w:w="90" w:type="dxa"/>
              <w:left w:w="120" w:type="dxa"/>
              <w:bottom w:w="90" w:type="dxa"/>
              <w:right w:w="120" w:type="dxa"/>
            </w:tcMar>
          </w:tcPr>
          <w:p w14:paraId="2E0752D4" w14:textId="77777777" w:rsidR="00E773C7" w:rsidRPr="00E711AB" w:rsidRDefault="00E773C7" w:rsidP="007F75A6">
            <w:pPr>
              <w:jc w:val="both"/>
              <w:rPr>
                <w:rFonts w:ascii="Tahoma" w:hAnsi="Tahoma" w:cs="Tahoma"/>
              </w:rPr>
            </w:pPr>
            <w:r w:rsidRPr="00E711AB">
              <w:rPr>
                <w:rFonts w:ascii="Tahoma" w:hAnsi="Tahoma" w:cs="Tahoma"/>
              </w:rPr>
              <w:t>Se remite al régimen especial del Distrito Capital y a su distribución interna de competencias, en garantía de autonomía administrativa.</w:t>
            </w:r>
          </w:p>
        </w:tc>
      </w:tr>
      <w:tr w:rsidR="00E773C7" w:rsidRPr="00E711AB" w14:paraId="7D9022CF" w14:textId="77777777" w:rsidTr="00BD0897">
        <w:trPr>
          <w:cantSplit/>
        </w:trPr>
        <w:tc>
          <w:tcPr>
            <w:tcW w:w="1293" w:type="dxa"/>
            <w:tcMar>
              <w:top w:w="90" w:type="dxa"/>
              <w:left w:w="120" w:type="dxa"/>
              <w:bottom w:w="90" w:type="dxa"/>
              <w:right w:w="120" w:type="dxa"/>
            </w:tcMar>
          </w:tcPr>
          <w:p w14:paraId="52573448" w14:textId="77777777" w:rsidR="00E773C7" w:rsidRPr="00E711AB" w:rsidRDefault="00E773C7" w:rsidP="00207ACF">
            <w:pPr>
              <w:jc w:val="center"/>
              <w:rPr>
                <w:rFonts w:ascii="Tahoma" w:hAnsi="Tahoma" w:cs="Tahoma"/>
              </w:rPr>
            </w:pPr>
            <w:r w:rsidRPr="00E711AB">
              <w:rPr>
                <w:rFonts w:ascii="Tahoma" w:hAnsi="Tahoma" w:cs="Tahoma"/>
              </w:rPr>
              <w:t>16</w:t>
            </w:r>
          </w:p>
        </w:tc>
        <w:tc>
          <w:tcPr>
            <w:tcW w:w="2207" w:type="dxa"/>
            <w:tcMar>
              <w:top w:w="90" w:type="dxa"/>
              <w:left w:w="120" w:type="dxa"/>
              <w:bottom w:w="90" w:type="dxa"/>
              <w:right w:w="120" w:type="dxa"/>
            </w:tcMar>
          </w:tcPr>
          <w:p w14:paraId="767D9B79" w14:textId="77777777" w:rsidR="00E773C7" w:rsidRPr="00E711AB" w:rsidRDefault="00E773C7" w:rsidP="00207ACF">
            <w:pPr>
              <w:rPr>
                <w:rFonts w:ascii="Tahoma" w:hAnsi="Tahoma" w:cs="Tahoma"/>
              </w:rPr>
            </w:pPr>
            <w:r w:rsidRPr="00E711AB">
              <w:rPr>
                <w:rFonts w:ascii="Tahoma" w:hAnsi="Tahoma" w:cs="Tahoma"/>
              </w:rPr>
              <w:t>Procedimiento</w:t>
            </w:r>
          </w:p>
        </w:tc>
        <w:tc>
          <w:tcPr>
            <w:tcW w:w="5860" w:type="dxa"/>
            <w:tcMar>
              <w:top w:w="90" w:type="dxa"/>
              <w:left w:w="120" w:type="dxa"/>
              <w:bottom w:w="90" w:type="dxa"/>
              <w:right w:w="120" w:type="dxa"/>
            </w:tcMar>
          </w:tcPr>
          <w:p w14:paraId="4BC271AF" w14:textId="77777777" w:rsidR="00E773C7" w:rsidRPr="00E711AB" w:rsidRDefault="00E773C7" w:rsidP="007F75A6">
            <w:pPr>
              <w:jc w:val="both"/>
              <w:rPr>
                <w:rFonts w:ascii="Tahoma" w:hAnsi="Tahoma" w:cs="Tahoma"/>
              </w:rPr>
            </w:pPr>
            <w:r w:rsidRPr="00E711AB">
              <w:rPr>
                <w:rFonts w:ascii="Tahoma" w:hAnsi="Tahoma" w:cs="Tahoma"/>
              </w:rPr>
              <w:t>Se precisa la aplicación del procedimiento administrativo sancionatorio de la Ley 1437 de 2011.</w:t>
            </w:r>
          </w:p>
        </w:tc>
      </w:tr>
      <w:tr w:rsidR="00E773C7" w:rsidRPr="00E711AB" w14:paraId="02F12AD5" w14:textId="77777777" w:rsidTr="00BD0897">
        <w:trPr>
          <w:cantSplit/>
        </w:trPr>
        <w:tc>
          <w:tcPr>
            <w:tcW w:w="1293" w:type="dxa"/>
            <w:tcMar>
              <w:top w:w="90" w:type="dxa"/>
              <w:left w:w="120" w:type="dxa"/>
              <w:bottom w:w="90" w:type="dxa"/>
              <w:right w:w="120" w:type="dxa"/>
            </w:tcMar>
          </w:tcPr>
          <w:p w14:paraId="1D94500B" w14:textId="77777777" w:rsidR="00E773C7" w:rsidRPr="00E711AB" w:rsidRDefault="00E773C7" w:rsidP="00207ACF">
            <w:pPr>
              <w:jc w:val="center"/>
              <w:rPr>
                <w:rFonts w:ascii="Tahoma" w:hAnsi="Tahoma" w:cs="Tahoma"/>
              </w:rPr>
            </w:pPr>
            <w:r w:rsidRPr="00E711AB">
              <w:rPr>
                <w:rFonts w:ascii="Tahoma" w:hAnsi="Tahoma" w:cs="Tahoma"/>
              </w:rPr>
              <w:t>17</w:t>
            </w:r>
          </w:p>
        </w:tc>
        <w:tc>
          <w:tcPr>
            <w:tcW w:w="2207" w:type="dxa"/>
            <w:tcMar>
              <w:top w:w="90" w:type="dxa"/>
              <w:left w:w="120" w:type="dxa"/>
              <w:bottom w:w="90" w:type="dxa"/>
              <w:right w:w="120" w:type="dxa"/>
            </w:tcMar>
          </w:tcPr>
          <w:p w14:paraId="5DCF7EC0" w14:textId="77777777" w:rsidR="00E773C7" w:rsidRPr="00E711AB" w:rsidRDefault="00E773C7" w:rsidP="00207ACF">
            <w:pPr>
              <w:rPr>
                <w:rFonts w:ascii="Tahoma" w:hAnsi="Tahoma" w:cs="Tahoma"/>
              </w:rPr>
            </w:pPr>
            <w:r w:rsidRPr="00E711AB">
              <w:rPr>
                <w:rFonts w:ascii="Tahoma" w:hAnsi="Tahoma" w:cs="Tahoma"/>
              </w:rPr>
              <w:t>Medidas preventivas</w:t>
            </w:r>
          </w:p>
        </w:tc>
        <w:tc>
          <w:tcPr>
            <w:tcW w:w="5860" w:type="dxa"/>
            <w:tcMar>
              <w:top w:w="90" w:type="dxa"/>
              <w:left w:w="120" w:type="dxa"/>
              <w:bottom w:w="90" w:type="dxa"/>
              <w:right w:w="120" w:type="dxa"/>
            </w:tcMar>
          </w:tcPr>
          <w:p w14:paraId="7C3E73E6" w14:textId="77777777" w:rsidR="00E773C7" w:rsidRPr="00E711AB" w:rsidRDefault="00E773C7" w:rsidP="007F75A6">
            <w:pPr>
              <w:jc w:val="both"/>
              <w:rPr>
                <w:rFonts w:ascii="Tahoma" w:hAnsi="Tahoma" w:cs="Tahoma"/>
              </w:rPr>
            </w:pPr>
            <w:r w:rsidRPr="00E711AB">
              <w:rPr>
                <w:rFonts w:ascii="Tahoma" w:hAnsi="Tahoma" w:cs="Tahoma"/>
              </w:rPr>
              <w:t>Se incorporan motivación, necesidad, urgencia, temporalidad y prohibición de sustituir a la asamblea o disponer de bienes privados.</w:t>
            </w:r>
          </w:p>
        </w:tc>
      </w:tr>
      <w:tr w:rsidR="00E773C7" w:rsidRPr="00E711AB" w14:paraId="246A794D" w14:textId="77777777" w:rsidTr="00BD0897">
        <w:trPr>
          <w:cantSplit/>
        </w:trPr>
        <w:tc>
          <w:tcPr>
            <w:tcW w:w="1293" w:type="dxa"/>
            <w:tcMar>
              <w:top w:w="90" w:type="dxa"/>
              <w:left w:w="120" w:type="dxa"/>
              <w:bottom w:w="90" w:type="dxa"/>
              <w:right w:w="120" w:type="dxa"/>
            </w:tcMar>
          </w:tcPr>
          <w:p w14:paraId="7904CC9F" w14:textId="77777777" w:rsidR="00E773C7" w:rsidRPr="00E711AB" w:rsidRDefault="00E773C7" w:rsidP="00207ACF">
            <w:pPr>
              <w:jc w:val="center"/>
              <w:rPr>
                <w:rFonts w:ascii="Tahoma" w:hAnsi="Tahoma" w:cs="Tahoma"/>
              </w:rPr>
            </w:pPr>
            <w:r w:rsidRPr="00E711AB">
              <w:rPr>
                <w:rFonts w:ascii="Tahoma" w:hAnsi="Tahoma" w:cs="Tahoma"/>
              </w:rPr>
              <w:t>18 a 20</w:t>
            </w:r>
          </w:p>
        </w:tc>
        <w:tc>
          <w:tcPr>
            <w:tcW w:w="2207" w:type="dxa"/>
            <w:tcMar>
              <w:top w:w="90" w:type="dxa"/>
              <w:left w:w="120" w:type="dxa"/>
              <w:bottom w:w="90" w:type="dxa"/>
              <w:right w:w="120" w:type="dxa"/>
            </w:tcMar>
          </w:tcPr>
          <w:p w14:paraId="482AE627" w14:textId="77777777" w:rsidR="00E773C7" w:rsidRPr="00E711AB" w:rsidRDefault="00E773C7" w:rsidP="00207ACF">
            <w:pPr>
              <w:rPr>
                <w:rFonts w:ascii="Tahoma" w:hAnsi="Tahoma" w:cs="Tahoma"/>
              </w:rPr>
            </w:pPr>
            <w:r w:rsidRPr="00E711AB">
              <w:rPr>
                <w:rFonts w:ascii="Tahoma" w:hAnsi="Tahoma" w:cs="Tahoma"/>
              </w:rPr>
              <w:t>Régimen sancionatorio</w:t>
            </w:r>
          </w:p>
        </w:tc>
        <w:tc>
          <w:tcPr>
            <w:tcW w:w="5860" w:type="dxa"/>
            <w:tcMar>
              <w:top w:w="90" w:type="dxa"/>
              <w:left w:w="120" w:type="dxa"/>
              <w:bottom w:w="90" w:type="dxa"/>
              <w:right w:w="120" w:type="dxa"/>
            </w:tcMar>
          </w:tcPr>
          <w:p w14:paraId="30CC306C" w14:textId="77777777" w:rsidR="00E773C7" w:rsidRPr="00E711AB" w:rsidRDefault="00E773C7" w:rsidP="007F75A6">
            <w:pPr>
              <w:jc w:val="both"/>
              <w:rPr>
                <w:rFonts w:ascii="Tahoma" w:hAnsi="Tahoma" w:cs="Tahoma"/>
              </w:rPr>
            </w:pPr>
            <w:r w:rsidRPr="00E711AB">
              <w:rPr>
                <w:rFonts w:ascii="Tahoma" w:hAnsi="Tahoma" w:cs="Tahoma"/>
              </w:rPr>
              <w:t>Se explicitan culpabilidad y demás principios sancionatorios; se ajustan criterios de graduación y se preserva la competencia profesional de la Junta Central de Contadores.</w:t>
            </w:r>
          </w:p>
        </w:tc>
      </w:tr>
      <w:tr w:rsidR="00E773C7" w:rsidRPr="00E711AB" w14:paraId="39BA5251" w14:textId="77777777" w:rsidTr="00BD0897">
        <w:trPr>
          <w:cantSplit/>
        </w:trPr>
        <w:tc>
          <w:tcPr>
            <w:tcW w:w="1293" w:type="dxa"/>
            <w:tcMar>
              <w:top w:w="90" w:type="dxa"/>
              <w:left w:w="120" w:type="dxa"/>
              <w:bottom w:w="90" w:type="dxa"/>
              <w:right w:w="120" w:type="dxa"/>
            </w:tcMar>
          </w:tcPr>
          <w:p w14:paraId="23BC3F30" w14:textId="77777777" w:rsidR="00E773C7" w:rsidRPr="00E711AB" w:rsidRDefault="00E773C7" w:rsidP="00207ACF">
            <w:pPr>
              <w:jc w:val="center"/>
              <w:rPr>
                <w:rFonts w:ascii="Tahoma" w:hAnsi="Tahoma" w:cs="Tahoma"/>
              </w:rPr>
            </w:pPr>
            <w:r w:rsidRPr="00E711AB">
              <w:rPr>
                <w:rFonts w:ascii="Tahoma" w:hAnsi="Tahoma" w:cs="Tahoma"/>
              </w:rPr>
              <w:t>21</w:t>
            </w:r>
          </w:p>
        </w:tc>
        <w:tc>
          <w:tcPr>
            <w:tcW w:w="2207" w:type="dxa"/>
            <w:tcMar>
              <w:top w:w="90" w:type="dxa"/>
              <w:left w:w="120" w:type="dxa"/>
              <w:bottom w:w="90" w:type="dxa"/>
              <w:right w:w="120" w:type="dxa"/>
            </w:tcMar>
          </w:tcPr>
          <w:p w14:paraId="07D0E178" w14:textId="77777777" w:rsidR="00E773C7" w:rsidRPr="00E711AB" w:rsidRDefault="00E773C7" w:rsidP="00207ACF">
            <w:pPr>
              <w:rPr>
                <w:rFonts w:ascii="Tahoma" w:hAnsi="Tahoma" w:cs="Tahoma"/>
              </w:rPr>
            </w:pPr>
            <w:r w:rsidRPr="00E711AB">
              <w:rPr>
                <w:rFonts w:ascii="Tahoma" w:hAnsi="Tahoma" w:cs="Tahoma"/>
              </w:rPr>
              <w:t>Registro de sanciones</w:t>
            </w:r>
          </w:p>
        </w:tc>
        <w:tc>
          <w:tcPr>
            <w:tcW w:w="5860" w:type="dxa"/>
            <w:tcMar>
              <w:top w:w="90" w:type="dxa"/>
              <w:left w:w="120" w:type="dxa"/>
              <w:bottom w:w="90" w:type="dxa"/>
              <w:right w:w="120" w:type="dxa"/>
            </w:tcMar>
          </w:tcPr>
          <w:p w14:paraId="73666194" w14:textId="77777777" w:rsidR="00E773C7" w:rsidRPr="00E711AB" w:rsidRDefault="00E773C7" w:rsidP="007F75A6">
            <w:pPr>
              <w:jc w:val="both"/>
              <w:rPr>
                <w:rFonts w:ascii="Tahoma" w:hAnsi="Tahoma" w:cs="Tahoma"/>
              </w:rPr>
            </w:pPr>
            <w:r w:rsidRPr="00E711AB">
              <w:rPr>
                <w:rFonts w:ascii="Tahoma" w:hAnsi="Tahoma" w:cs="Tahoma"/>
              </w:rPr>
              <w:t>Se limita la publicidad a sanciones ejecutoriadas y al tiempo necesario, con remisión al régimen de datos y acceso a información.</w:t>
            </w:r>
          </w:p>
        </w:tc>
      </w:tr>
      <w:tr w:rsidR="00E773C7" w:rsidRPr="00E711AB" w14:paraId="5F73432C" w14:textId="77777777" w:rsidTr="00BD0897">
        <w:trPr>
          <w:cantSplit/>
        </w:trPr>
        <w:tc>
          <w:tcPr>
            <w:tcW w:w="1293" w:type="dxa"/>
            <w:tcMar>
              <w:top w:w="90" w:type="dxa"/>
              <w:left w:w="120" w:type="dxa"/>
              <w:bottom w:w="90" w:type="dxa"/>
              <w:right w:w="120" w:type="dxa"/>
            </w:tcMar>
          </w:tcPr>
          <w:p w14:paraId="3BF4C877" w14:textId="77777777" w:rsidR="00E773C7" w:rsidRPr="00E711AB" w:rsidRDefault="00E773C7" w:rsidP="00207ACF">
            <w:pPr>
              <w:jc w:val="center"/>
              <w:rPr>
                <w:rFonts w:ascii="Tahoma" w:hAnsi="Tahoma" w:cs="Tahoma"/>
              </w:rPr>
            </w:pPr>
            <w:r w:rsidRPr="00E711AB">
              <w:rPr>
                <w:rFonts w:ascii="Tahoma" w:hAnsi="Tahoma" w:cs="Tahoma"/>
              </w:rPr>
              <w:t>24 y siguientes</w:t>
            </w:r>
          </w:p>
        </w:tc>
        <w:tc>
          <w:tcPr>
            <w:tcW w:w="2207" w:type="dxa"/>
            <w:tcMar>
              <w:top w:w="90" w:type="dxa"/>
              <w:left w:w="120" w:type="dxa"/>
              <w:bottom w:w="90" w:type="dxa"/>
              <w:right w:w="120" w:type="dxa"/>
            </w:tcMar>
          </w:tcPr>
          <w:p w14:paraId="38BB4B4E" w14:textId="77777777" w:rsidR="00E773C7" w:rsidRPr="00E711AB" w:rsidRDefault="00E773C7" w:rsidP="00207ACF">
            <w:pPr>
              <w:rPr>
                <w:rFonts w:ascii="Tahoma" w:hAnsi="Tahoma" w:cs="Tahoma"/>
              </w:rPr>
            </w:pPr>
            <w:r w:rsidRPr="00E711AB">
              <w:rPr>
                <w:rFonts w:ascii="Tahoma" w:hAnsi="Tahoma" w:cs="Tahoma"/>
              </w:rPr>
              <w:t>Numeración y referencia normativa</w:t>
            </w:r>
          </w:p>
        </w:tc>
        <w:tc>
          <w:tcPr>
            <w:tcW w:w="5860" w:type="dxa"/>
            <w:tcMar>
              <w:top w:w="90" w:type="dxa"/>
              <w:left w:w="120" w:type="dxa"/>
              <w:bottom w:w="90" w:type="dxa"/>
              <w:right w:w="120" w:type="dxa"/>
            </w:tcMar>
          </w:tcPr>
          <w:p w14:paraId="0444D385" w14:textId="77777777" w:rsidR="00E773C7" w:rsidRPr="00E711AB" w:rsidRDefault="00E773C7" w:rsidP="007F75A6">
            <w:pPr>
              <w:jc w:val="both"/>
              <w:rPr>
                <w:rFonts w:ascii="Tahoma" w:hAnsi="Tahoma" w:cs="Tahoma"/>
              </w:rPr>
            </w:pPr>
            <w:r w:rsidRPr="00E711AB">
              <w:rPr>
                <w:rFonts w:ascii="Tahoma" w:hAnsi="Tahoma" w:cs="Tahoma"/>
              </w:rPr>
              <w:t>Se elimina la referencia inexistente al artículo 60S, se mantiene la protección patrimonial como norma autónoma, se corrige la duplicidad del artículo 24 y se renumeran los artículos 25 a 28 como 26 a 29.</w:t>
            </w:r>
          </w:p>
        </w:tc>
      </w:tr>
    </w:tbl>
    <w:p w14:paraId="5BEA8D76"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VI. PROPOSICIÓN</w:t>
      </w:r>
    </w:p>
    <w:p w14:paraId="5041C05B" w14:textId="6227F283" w:rsidR="00E773C7" w:rsidRPr="00E711AB" w:rsidRDefault="00E773C7" w:rsidP="009173E2">
      <w:pPr>
        <w:jc w:val="both"/>
        <w:rPr>
          <w:rFonts w:ascii="Tahoma" w:hAnsi="Tahoma" w:cs="Tahoma"/>
          <w:sz w:val="24"/>
          <w:szCs w:val="24"/>
        </w:rPr>
      </w:pPr>
      <w:r w:rsidRPr="00E711AB">
        <w:rPr>
          <w:rFonts w:ascii="Tahoma" w:hAnsi="Tahoma" w:cs="Tahoma"/>
          <w:sz w:val="24"/>
          <w:szCs w:val="24"/>
        </w:rPr>
        <w:t xml:space="preserve">Con fundamento en las anteriores consideraciones, rindo ponencia positiva y solicito a los </w:t>
      </w:r>
      <w:r w:rsidR="009173E2">
        <w:rPr>
          <w:rFonts w:ascii="Tahoma" w:hAnsi="Tahoma" w:cs="Tahoma"/>
          <w:sz w:val="24"/>
          <w:szCs w:val="24"/>
        </w:rPr>
        <w:t>H</w:t>
      </w:r>
      <w:r w:rsidRPr="00E711AB">
        <w:rPr>
          <w:rFonts w:ascii="Tahoma" w:hAnsi="Tahoma" w:cs="Tahoma"/>
          <w:sz w:val="24"/>
          <w:szCs w:val="24"/>
        </w:rPr>
        <w:t xml:space="preserve">onorables </w:t>
      </w:r>
      <w:r w:rsidR="009173E2">
        <w:rPr>
          <w:rFonts w:ascii="Tahoma" w:hAnsi="Tahoma" w:cs="Tahoma"/>
          <w:sz w:val="24"/>
          <w:szCs w:val="24"/>
        </w:rPr>
        <w:t>R</w:t>
      </w:r>
      <w:r w:rsidRPr="00E711AB">
        <w:rPr>
          <w:rFonts w:ascii="Tahoma" w:hAnsi="Tahoma" w:cs="Tahoma"/>
          <w:sz w:val="24"/>
          <w:szCs w:val="24"/>
        </w:rPr>
        <w:t xml:space="preserve">epresentantes de la Comisión Primera Constitucional Permanente de la Cámara de Representantes dar primer debate y aprobar el Proyecto de Ley número 057 de 2026 Cámara, </w:t>
      </w:r>
      <w:r w:rsidRPr="009173E2">
        <w:rPr>
          <w:rFonts w:ascii="Tahoma" w:hAnsi="Tahoma" w:cs="Tahoma"/>
          <w:i/>
          <w:iCs/>
          <w:sz w:val="24"/>
          <w:szCs w:val="24"/>
        </w:rPr>
        <w:t xml:space="preserve">“Por medio de la cual se modifica parcialmente la Ley 675 de 2001, se fortalecen los mecanismos de transparencia, rendición de cuentas, </w:t>
      </w:r>
      <w:r w:rsidRPr="009173E2">
        <w:rPr>
          <w:rFonts w:ascii="Tahoma" w:hAnsi="Tahoma" w:cs="Tahoma"/>
          <w:i/>
          <w:iCs/>
          <w:sz w:val="24"/>
          <w:szCs w:val="24"/>
        </w:rPr>
        <w:lastRenderedPageBreak/>
        <w:t>responsabilidad e inspección, vigilancia y control de las personas jurídicas sometidas al régimen de propiedad horizontal y se dictan otras disposiciones</w:t>
      </w:r>
      <w:r w:rsidRPr="00E711AB">
        <w:rPr>
          <w:rFonts w:ascii="Tahoma" w:hAnsi="Tahoma" w:cs="Tahoma"/>
          <w:sz w:val="24"/>
          <w:szCs w:val="24"/>
        </w:rPr>
        <w:t>”, conforme al pliego de modificaciones y al texto propuesto que se incorpora en el presente informe.</w:t>
      </w:r>
    </w:p>
    <w:p w14:paraId="057D50C2" w14:textId="77777777" w:rsidR="00E773C7" w:rsidRPr="00E711AB" w:rsidRDefault="00E773C7" w:rsidP="00E773C7">
      <w:pPr>
        <w:rPr>
          <w:rFonts w:ascii="Tahoma" w:hAnsi="Tahoma" w:cs="Tahoma"/>
          <w:sz w:val="24"/>
          <w:szCs w:val="24"/>
        </w:rPr>
      </w:pPr>
    </w:p>
    <w:p w14:paraId="338FD2F5" w14:textId="77777777" w:rsidR="00E773C7" w:rsidRPr="00E711AB" w:rsidRDefault="00E773C7" w:rsidP="00E773C7">
      <w:pPr>
        <w:jc w:val="both"/>
        <w:rPr>
          <w:rFonts w:ascii="Tahoma" w:hAnsi="Tahoma" w:cs="Tahoma"/>
          <w:sz w:val="24"/>
          <w:szCs w:val="24"/>
        </w:rPr>
      </w:pPr>
      <w:r w:rsidRPr="00E711AB">
        <w:rPr>
          <w:rFonts w:ascii="Tahoma" w:hAnsi="Tahoma" w:cs="Tahoma"/>
          <w:sz w:val="24"/>
          <w:szCs w:val="24"/>
        </w:rPr>
        <w:t>De los honorables congresistas,</w:t>
      </w:r>
    </w:p>
    <w:p w14:paraId="2F9CC87D" w14:textId="77777777" w:rsidR="00E773C7" w:rsidRPr="00E711AB" w:rsidRDefault="00E773C7" w:rsidP="00E773C7">
      <w:pPr>
        <w:rPr>
          <w:rFonts w:ascii="Tahoma" w:hAnsi="Tahoma" w:cs="Tahoma"/>
          <w:sz w:val="24"/>
          <w:szCs w:val="24"/>
        </w:rPr>
      </w:pPr>
    </w:p>
    <w:p w14:paraId="2CC421D4" w14:textId="77777777" w:rsidR="00E773C7" w:rsidRPr="00E711AB" w:rsidRDefault="00E773C7" w:rsidP="00E773C7">
      <w:pPr>
        <w:rPr>
          <w:rFonts w:ascii="Tahoma" w:hAnsi="Tahoma" w:cs="Tahoma"/>
          <w:sz w:val="24"/>
          <w:szCs w:val="24"/>
        </w:rPr>
      </w:pPr>
    </w:p>
    <w:p w14:paraId="7B528140" w14:textId="77777777" w:rsidR="00E773C7" w:rsidRPr="00E711AB" w:rsidRDefault="00E773C7" w:rsidP="00E773C7">
      <w:pPr>
        <w:rPr>
          <w:rFonts w:ascii="Tahoma" w:hAnsi="Tahoma" w:cs="Tahoma"/>
          <w:sz w:val="24"/>
          <w:szCs w:val="24"/>
        </w:rPr>
      </w:pPr>
      <w:r w:rsidRPr="00E711AB">
        <w:rPr>
          <w:rFonts w:ascii="Tahoma" w:hAnsi="Tahoma" w:cs="Tahoma"/>
          <w:b/>
          <w:sz w:val="24"/>
          <w:szCs w:val="24"/>
        </w:rPr>
        <w:t>DAVID GERARDO COTE RODRÍGUEZ</w:t>
      </w:r>
    </w:p>
    <w:p w14:paraId="27358025" w14:textId="77777777" w:rsidR="00E773C7" w:rsidRDefault="00E773C7" w:rsidP="00E773C7">
      <w:pPr>
        <w:spacing w:after="0"/>
        <w:jc w:val="both"/>
        <w:rPr>
          <w:rFonts w:ascii="Tahoma" w:hAnsi="Tahoma" w:cs="Tahoma"/>
          <w:sz w:val="24"/>
          <w:szCs w:val="24"/>
        </w:rPr>
      </w:pPr>
      <w:r w:rsidRPr="00E711AB">
        <w:rPr>
          <w:rFonts w:ascii="Tahoma" w:hAnsi="Tahoma" w:cs="Tahoma"/>
          <w:sz w:val="24"/>
          <w:szCs w:val="24"/>
        </w:rPr>
        <w:t>Representante a la Cámara por Bogotá, D. C.</w:t>
      </w:r>
    </w:p>
    <w:p w14:paraId="6CEC1299" w14:textId="1D763F74" w:rsidR="009173E2" w:rsidRPr="00E711AB" w:rsidRDefault="009173E2" w:rsidP="00E773C7">
      <w:pPr>
        <w:spacing w:after="0"/>
        <w:jc w:val="both"/>
        <w:rPr>
          <w:rFonts w:ascii="Tahoma" w:hAnsi="Tahoma" w:cs="Tahoma"/>
          <w:sz w:val="24"/>
          <w:szCs w:val="24"/>
        </w:rPr>
      </w:pPr>
      <w:r>
        <w:rPr>
          <w:rFonts w:ascii="Tahoma" w:hAnsi="Tahoma" w:cs="Tahoma"/>
          <w:sz w:val="24"/>
          <w:szCs w:val="24"/>
        </w:rPr>
        <w:t xml:space="preserve">Partido Centro </w:t>
      </w:r>
      <w:proofErr w:type="spellStart"/>
      <w:r>
        <w:rPr>
          <w:rFonts w:ascii="Tahoma" w:hAnsi="Tahoma" w:cs="Tahoma"/>
          <w:sz w:val="24"/>
          <w:szCs w:val="24"/>
        </w:rPr>
        <w:t>Democràtico</w:t>
      </w:r>
      <w:proofErr w:type="spellEnd"/>
    </w:p>
    <w:p w14:paraId="4A81C3B6" w14:textId="77777777" w:rsidR="00E773C7" w:rsidRPr="00E711AB" w:rsidRDefault="00E773C7" w:rsidP="00E773C7">
      <w:pPr>
        <w:jc w:val="both"/>
        <w:rPr>
          <w:rFonts w:ascii="Tahoma" w:hAnsi="Tahoma" w:cs="Tahoma"/>
          <w:sz w:val="24"/>
          <w:szCs w:val="24"/>
        </w:rPr>
      </w:pPr>
      <w:r w:rsidRPr="00E711AB">
        <w:rPr>
          <w:rFonts w:ascii="Tahoma" w:hAnsi="Tahoma" w:cs="Tahoma"/>
          <w:sz w:val="24"/>
          <w:szCs w:val="24"/>
        </w:rPr>
        <w:t>Autor y ponente único</w:t>
      </w:r>
    </w:p>
    <w:p w14:paraId="6F3E06C3" w14:textId="77777777" w:rsidR="00E773C7" w:rsidRPr="00E711AB" w:rsidRDefault="00E773C7" w:rsidP="00E773C7">
      <w:pPr>
        <w:rPr>
          <w:rFonts w:ascii="Tahoma" w:hAnsi="Tahoma" w:cs="Tahoma"/>
          <w:sz w:val="24"/>
          <w:szCs w:val="24"/>
        </w:rPr>
      </w:pPr>
      <w:r w:rsidRPr="00E711AB">
        <w:rPr>
          <w:rFonts w:ascii="Tahoma" w:hAnsi="Tahoma" w:cs="Tahoma"/>
          <w:sz w:val="24"/>
          <w:szCs w:val="24"/>
        </w:rPr>
        <w:br w:type="page"/>
      </w:r>
    </w:p>
    <w:p w14:paraId="39966B64"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lastRenderedPageBreak/>
        <w:t>VII. TEXTO PROPUESTO PARA PRIMER DEBATE</w:t>
      </w:r>
    </w:p>
    <w:p w14:paraId="5AA29B3E" w14:textId="77777777" w:rsidR="00E773C7" w:rsidRPr="00E711AB" w:rsidRDefault="00E773C7" w:rsidP="00E773C7">
      <w:pPr>
        <w:jc w:val="center"/>
        <w:rPr>
          <w:rFonts w:ascii="Tahoma" w:hAnsi="Tahoma" w:cs="Tahoma"/>
          <w:sz w:val="24"/>
          <w:szCs w:val="24"/>
        </w:rPr>
      </w:pPr>
      <w:r w:rsidRPr="00E711AB">
        <w:rPr>
          <w:rFonts w:ascii="Tahoma" w:hAnsi="Tahoma" w:cs="Tahoma"/>
          <w:b/>
          <w:sz w:val="24"/>
          <w:szCs w:val="24"/>
        </w:rPr>
        <w:t>PROYECTO DE LEY NÚMERO 057 DE 2026 CÁMARA</w:t>
      </w:r>
    </w:p>
    <w:p w14:paraId="2B2A710B" w14:textId="77777777" w:rsidR="00E773C7" w:rsidRPr="00E711AB" w:rsidRDefault="00E773C7" w:rsidP="00E773C7">
      <w:pPr>
        <w:jc w:val="center"/>
        <w:rPr>
          <w:rFonts w:ascii="Tahoma" w:hAnsi="Tahoma" w:cs="Tahoma"/>
          <w:sz w:val="24"/>
          <w:szCs w:val="24"/>
        </w:rPr>
      </w:pPr>
      <w:r w:rsidRPr="00E711AB">
        <w:rPr>
          <w:rFonts w:ascii="Tahoma" w:hAnsi="Tahoma" w:cs="Tahoma"/>
          <w:b/>
          <w:i/>
          <w:sz w:val="24"/>
          <w:szCs w:val="24"/>
        </w:rPr>
        <w:t>“Por medio de la cual se modifica parcialmente la Ley 675 de 2001, se fortalecen los mecanismos de transparencia, rendición de cuentas, responsabilidad e inspección, vigilancia y control de las personas jurídicas sometidas al régimen de propiedad horizontal y se dictan otras disposiciones”</w:t>
      </w:r>
    </w:p>
    <w:p w14:paraId="163F6C78" w14:textId="77777777" w:rsidR="00E773C7" w:rsidRPr="00E711AB" w:rsidRDefault="00E773C7" w:rsidP="00E773C7">
      <w:pPr>
        <w:jc w:val="center"/>
        <w:rPr>
          <w:rFonts w:ascii="Tahoma" w:hAnsi="Tahoma" w:cs="Tahoma"/>
          <w:sz w:val="24"/>
          <w:szCs w:val="24"/>
        </w:rPr>
      </w:pPr>
      <w:r w:rsidRPr="00E711AB">
        <w:rPr>
          <w:rFonts w:ascii="Tahoma" w:hAnsi="Tahoma" w:cs="Tahoma"/>
          <w:b/>
          <w:sz w:val="24"/>
          <w:szCs w:val="24"/>
        </w:rPr>
        <w:t>El Congreso de Colombia</w:t>
      </w:r>
      <w:r w:rsidRPr="00E711AB">
        <w:rPr>
          <w:rFonts w:ascii="Tahoma" w:hAnsi="Tahoma" w:cs="Tahoma"/>
          <w:b/>
          <w:sz w:val="24"/>
          <w:szCs w:val="24"/>
        </w:rPr>
        <w:br/>
        <w:t>DECRETA:</w:t>
      </w:r>
    </w:p>
    <w:p w14:paraId="1A30F749" w14:textId="77777777" w:rsidR="00E773C7" w:rsidRPr="00E711AB" w:rsidRDefault="00E773C7" w:rsidP="00E773C7">
      <w:pPr>
        <w:spacing w:after="80"/>
        <w:jc w:val="both"/>
        <w:rPr>
          <w:rFonts w:ascii="Tahoma" w:hAnsi="Tahoma" w:cs="Tahoma"/>
          <w:sz w:val="24"/>
          <w:szCs w:val="24"/>
        </w:rPr>
      </w:pPr>
      <w:r w:rsidRPr="00E711AB">
        <w:rPr>
          <w:rFonts w:ascii="Tahoma" w:hAnsi="Tahoma" w:cs="Tahoma"/>
          <w:b/>
          <w:sz w:val="24"/>
          <w:szCs w:val="24"/>
        </w:rPr>
        <w:t>Artículo 1. Objeto:</w:t>
      </w:r>
      <w:r w:rsidRPr="00E711AB">
        <w:rPr>
          <w:rFonts w:ascii="Tahoma" w:hAnsi="Tahoma" w:cs="Tahoma"/>
          <w:sz w:val="24"/>
          <w:szCs w:val="24"/>
        </w:rPr>
        <w:t xml:space="preserve"> La presente ley tiene por objeto fortalecer la protección del derecho de propiedad de los copropietarios, la transparencia en la administración de los recursos colectivos, la rendición de cuentas, la responsabilidad de los órganos de administración, los mecanismos de acceso a la información y las funciones de inspección, vigilancia y control sobre las personas jurídicas sometidas al régimen de propiedad horizontal, mediante la modificación y adición de disposiciones de la Ley 675 de 2001.</w:t>
      </w:r>
    </w:p>
    <w:p w14:paraId="638B6E21"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 Modifíquese el artículo 50 de la Ley 675 de 2001, el cual quedará así:</w:t>
      </w:r>
      <w:r w:rsidRPr="00E711AB">
        <w:rPr>
          <w:rFonts w:ascii="Tahoma" w:hAnsi="Tahoma" w:cs="Tahoma"/>
          <w:sz w:val="24"/>
          <w:szCs w:val="24"/>
        </w:rPr>
        <w:t xml:space="preserve">  </w:t>
      </w:r>
      <w:r w:rsidRPr="00176E02">
        <w:rPr>
          <w:rFonts w:ascii="Tahoma" w:hAnsi="Tahoma" w:cs="Tahoma"/>
          <w:b/>
          <w:bCs/>
          <w:sz w:val="24"/>
          <w:szCs w:val="24"/>
        </w:rPr>
        <w:t>Artículo 50. Naturaleza del administrador y deberes generales</w:t>
      </w:r>
      <w:r w:rsidRPr="00E711AB">
        <w:rPr>
          <w:rFonts w:ascii="Tahoma" w:hAnsi="Tahoma" w:cs="Tahoma"/>
          <w:sz w:val="24"/>
          <w:szCs w:val="24"/>
        </w:rPr>
        <w:t>: La representación legal de la persona jurídica y la administración del edificio o conjunto corresponderán a un administrador designado en la forma prevista por la ley y el reglamento de propiedad horizontal.</w:t>
      </w:r>
    </w:p>
    <w:p w14:paraId="770CD42F"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El administrador responderá por los perjuicios que por dolo o culpa leve ocasione a la persona jurídica, a los propietarios o a terceros en ejercicio o con ocasión de sus funciones. Se presumirá la culpa leve del administrador en los términos del artículo 50 de la Ley 675 de 2001.</w:t>
      </w:r>
    </w:p>
    <w:p w14:paraId="4234F401"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En el ejercicio de su cargo deberá actuar con diligencia, lealtad, transparencia, buena fe y observancia estricta de la ley, del reglamento de propiedad horizontal y de las decisiones válidamente adoptadas por los órganos de dirección y administración.</w:t>
      </w:r>
    </w:p>
    <w:p w14:paraId="0481979E"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El administrador deberá proteger los intereses de la persona jurídica y de los copropietarios, garantizar la adecuada administración de los bienes y recursos comunes, prevenir situaciones de conflicto de interés y suministrar información veraz, completa, actualizada y verificable cuando legalmente corresponda.</w:t>
      </w:r>
    </w:p>
    <w:p w14:paraId="7AA24649"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lastRenderedPageBreak/>
        <w:t>Artículo 3. Modifíquese el artículo 51 de la Ley 675 de 2001, el cual quedará así:</w:t>
      </w:r>
      <w:r w:rsidRPr="00E711AB">
        <w:rPr>
          <w:rFonts w:ascii="Tahoma" w:hAnsi="Tahoma" w:cs="Tahoma"/>
          <w:sz w:val="24"/>
          <w:szCs w:val="24"/>
        </w:rPr>
        <w:t xml:space="preserve"> </w:t>
      </w:r>
      <w:r w:rsidRPr="00176E02">
        <w:rPr>
          <w:rFonts w:ascii="Tahoma" w:hAnsi="Tahoma" w:cs="Tahoma"/>
          <w:b/>
          <w:bCs/>
          <w:sz w:val="24"/>
          <w:szCs w:val="24"/>
        </w:rPr>
        <w:t>Artículo 51. Funciones del administrador:</w:t>
      </w:r>
      <w:r w:rsidRPr="00E711AB">
        <w:rPr>
          <w:rFonts w:ascii="Tahoma" w:hAnsi="Tahoma" w:cs="Tahoma"/>
          <w:sz w:val="24"/>
          <w:szCs w:val="24"/>
        </w:rPr>
        <w:t xml:space="preserve"> Son funciones del administrador:</w:t>
      </w:r>
    </w:p>
    <w:p w14:paraId="3E6F6012"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Convocar oportunamente a la asamblea general de propietarios y al consejo de administración cuando hubiere lugar a ello.</w:t>
      </w:r>
    </w:p>
    <w:p w14:paraId="51C56EA0"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Ejecutar y hacer cumplir las decisiones adoptadas por la asamblea general y el consejo de administración.</w:t>
      </w:r>
    </w:p>
    <w:p w14:paraId="1E31D308"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Velar por la conservación de los bienes comunes y ejercer la debida diligencia en la administración de los recursos de la copropiedad.</w:t>
      </w:r>
    </w:p>
    <w:p w14:paraId="7879AAC0"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Recaudar y administrar los recursos de la persona jurídica de conformidad con la ley, el reglamento de propiedad horizontal y el presupuesto aprobado.</w:t>
      </w:r>
    </w:p>
    <w:p w14:paraId="6E988793"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Llevar bajo su dependencia y responsabilidad la contabilidad de la persona jurídica.</w:t>
      </w:r>
    </w:p>
    <w:p w14:paraId="6C960E1B"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Custodiar y conservar los libros, actas, contratos, estados financieros y demás documentos relacionados con la administración de la copropiedad.</w:t>
      </w:r>
    </w:p>
    <w:p w14:paraId="53A81DD0"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Garantizar a los copropietarios el acceso a la información y documentación respecto de la cual tengan derecho legal de consulta.</w:t>
      </w:r>
    </w:p>
    <w:p w14:paraId="738CA613"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Presentar a la asamblea general de propietarios informe anual de gestión acompañado de los estados financieros correspondientes.</w:t>
      </w:r>
    </w:p>
    <w:p w14:paraId="75CC2E38"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Revelar oportunamente cualquier situación que pueda generar conflicto entre sus intereses particulares y los intereses de la persona jurídica o de los copropietarios.</w:t>
      </w:r>
    </w:p>
    <w:p w14:paraId="35161C58"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Abstenerse de intervenir en decisiones respecto de las cuales exista conflicto de interés debidamente identificado.</w:t>
      </w:r>
    </w:p>
    <w:p w14:paraId="2C4A3B81"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Celebrar los actos y contratos necesarios para la administración de la copropiedad, garantizando criterios de transparencia, eficiencia, economía y responsabilidad.</w:t>
      </w:r>
    </w:p>
    <w:p w14:paraId="36D98E0B" w14:textId="77777777" w:rsidR="00E773C7" w:rsidRPr="00176E02" w:rsidRDefault="00E773C7" w:rsidP="00176E02">
      <w:pPr>
        <w:pStyle w:val="Prrafodelista"/>
        <w:numPr>
          <w:ilvl w:val="0"/>
          <w:numId w:val="11"/>
        </w:numPr>
        <w:spacing w:after="60"/>
        <w:jc w:val="both"/>
        <w:rPr>
          <w:rFonts w:ascii="Tahoma" w:hAnsi="Tahoma" w:cs="Tahoma"/>
        </w:rPr>
      </w:pPr>
      <w:r w:rsidRPr="00176E02">
        <w:rPr>
          <w:rFonts w:ascii="Tahoma" w:hAnsi="Tahoma" w:cs="Tahoma"/>
        </w:rPr>
        <w:t>Las demás previstas en la ley, el reglamento de propiedad horizontal y las decisiones adoptadas por la asamblea general de propietarios.</w:t>
      </w:r>
    </w:p>
    <w:p w14:paraId="532B0F17"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4. Modifíquese el artículo 56 de la Ley 675 de 2001, el cual quedará así:</w:t>
      </w:r>
      <w:r w:rsidRPr="00E711AB">
        <w:rPr>
          <w:rFonts w:ascii="Tahoma" w:hAnsi="Tahoma" w:cs="Tahoma"/>
          <w:sz w:val="24"/>
          <w:szCs w:val="24"/>
        </w:rPr>
        <w:t xml:space="preserve"> </w:t>
      </w:r>
      <w:r w:rsidRPr="00176E02">
        <w:rPr>
          <w:rFonts w:ascii="Tahoma" w:hAnsi="Tahoma" w:cs="Tahoma"/>
          <w:b/>
          <w:bCs/>
          <w:sz w:val="24"/>
          <w:szCs w:val="24"/>
        </w:rPr>
        <w:t>Artículo 56. Revisor Fiscal:</w:t>
      </w:r>
      <w:r w:rsidRPr="00E711AB">
        <w:rPr>
          <w:rFonts w:ascii="Tahoma" w:hAnsi="Tahoma" w:cs="Tahoma"/>
          <w:sz w:val="24"/>
          <w:szCs w:val="24"/>
        </w:rPr>
        <w:t xml:space="preserve"> Los edificios o conjuntos de uso comercial o mixto estarán obligados a contar con Revisor Fiscal, quien deberá ser </w:t>
      </w:r>
      <w:r w:rsidRPr="00E711AB">
        <w:rPr>
          <w:rFonts w:ascii="Tahoma" w:hAnsi="Tahoma" w:cs="Tahoma"/>
          <w:sz w:val="24"/>
          <w:szCs w:val="24"/>
        </w:rPr>
        <w:lastRenderedPageBreak/>
        <w:t>contador público titulado con matrícula profesional vigente e inscrito ante la Junta Central de Contadores.</w:t>
      </w:r>
    </w:p>
    <w:p w14:paraId="35EED00E"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En los edificios o conjuntos de uso residencial será potestativo establecer la figura del Revisor Fiscal, salvo disposición en contrario del reglamento de propiedad horizontal.</w:t>
      </w:r>
    </w:p>
    <w:p w14:paraId="25B075BD"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El Revisor Fiscal ejercerá sus funciones con independencia, autonomía técnica e imparcialidad y responderá por el cumplimiento de los deberes establecidos en la ley.</w:t>
      </w:r>
    </w:p>
    <w:p w14:paraId="7DA1A687"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Son funciones del Revisor Fiscal:</w:t>
      </w:r>
    </w:p>
    <w:p w14:paraId="3D7E8533"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Verificar que las actuaciones de los órganos de administración se ajusten a la Constitución, la ley, el reglamento de propiedad horizontal y las decisiones de la asamblea general de propietarios.</w:t>
      </w:r>
    </w:p>
    <w:p w14:paraId="39C8CE9E"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Vigilar que la administración de los recursos de la persona jurídica se realice conforme a los principios de legalidad, transparencia, eficiencia y responsabilidad.</w:t>
      </w:r>
    </w:p>
    <w:p w14:paraId="67AB5C1D"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Revisar periódicamente la contabilidad, los estados financieros y los soportes documentales de la persona jurídica.</w:t>
      </w:r>
    </w:p>
    <w:p w14:paraId="33F9A0C6"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Informar oportunamente a la asamblea general de propietarios, al consejo de administración y a las autoridades competentes sobre las irregularidades que advierta en ejercicio de sus funciones.</w:t>
      </w:r>
    </w:p>
    <w:p w14:paraId="0A999669"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Presentar a la asamblea general de propietarios los informes que resulten necesarios para el adecuado ejercicio del control sobre la gestión administrativa y financiera de la copropiedad.</w:t>
      </w:r>
    </w:p>
    <w:p w14:paraId="412C02C0"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Verificar el adecuado manejo y destinación de los recursos del fondo de imprevistos y de los demás recursos administrados por la persona jurídica.</w:t>
      </w:r>
    </w:p>
    <w:p w14:paraId="507259F7" w14:textId="77777777" w:rsidR="00E773C7" w:rsidRPr="00F13BFC" w:rsidRDefault="00E773C7" w:rsidP="00F13BFC">
      <w:pPr>
        <w:pStyle w:val="Prrafodelista"/>
        <w:numPr>
          <w:ilvl w:val="0"/>
          <w:numId w:val="12"/>
        </w:numPr>
        <w:spacing w:after="60"/>
        <w:jc w:val="both"/>
        <w:rPr>
          <w:rFonts w:ascii="Tahoma" w:hAnsi="Tahoma" w:cs="Tahoma"/>
        </w:rPr>
      </w:pPr>
      <w:r w:rsidRPr="00F13BFC">
        <w:rPr>
          <w:rFonts w:ascii="Tahoma" w:hAnsi="Tahoma" w:cs="Tahoma"/>
        </w:rPr>
        <w:t>Las demás previstas en la ley y en el reglamento de propiedad horizontal.</w:t>
      </w:r>
    </w:p>
    <w:p w14:paraId="4DF226E1" w14:textId="77777777" w:rsidR="00E773C7" w:rsidRPr="00E711AB" w:rsidRDefault="00E773C7" w:rsidP="00E773C7">
      <w:pPr>
        <w:spacing w:after="60"/>
        <w:jc w:val="both"/>
        <w:rPr>
          <w:rFonts w:ascii="Tahoma" w:hAnsi="Tahoma" w:cs="Tahoma"/>
          <w:sz w:val="24"/>
          <w:szCs w:val="24"/>
        </w:rPr>
      </w:pPr>
      <w:r w:rsidRPr="00F13BFC">
        <w:rPr>
          <w:rFonts w:ascii="Tahoma" w:hAnsi="Tahoma" w:cs="Tahoma"/>
          <w:b/>
          <w:bCs/>
          <w:sz w:val="24"/>
          <w:szCs w:val="24"/>
        </w:rPr>
        <w:t>Parágrafo 1°:</w:t>
      </w:r>
      <w:r w:rsidRPr="00E711AB">
        <w:rPr>
          <w:rFonts w:ascii="Tahoma" w:hAnsi="Tahoma" w:cs="Tahoma"/>
          <w:sz w:val="24"/>
          <w:szCs w:val="24"/>
        </w:rPr>
        <w:t xml:space="preserve"> No podrá ejercer como Revisor Fiscal quien tenga vínculos de parentesco dentro del cuarto grado de consanguinidad, segundo de afinidad o primero civil con el administrador, miembros del consejo de administración o contratistas de la copropiedad.</w:t>
      </w:r>
    </w:p>
    <w:p w14:paraId="5DCA70E2" w14:textId="77777777" w:rsidR="00E773C7" w:rsidRPr="00E711AB" w:rsidRDefault="00E773C7" w:rsidP="00E773C7">
      <w:pPr>
        <w:spacing w:after="60"/>
        <w:jc w:val="both"/>
        <w:rPr>
          <w:rFonts w:ascii="Tahoma" w:hAnsi="Tahoma" w:cs="Tahoma"/>
          <w:sz w:val="24"/>
          <w:szCs w:val="24"/>
        </w:rPr>
      </w:pPr>
      <w:r w:rsidRPr="00F13BFC">
        <w:rPr>
          <w:rFonts w:ascii="Tahoma" w:hAnsi="Tahoma" w:cs="Tahoma"/>
          <w:b/>
          <w:bCs/>
          <w:sz w:val="24"/>
          <w:szCs w:val="24"/>
        </w:rPr>
        <w:t>Parágrafo 2°:</w:t>
      </w:r>
      <w:r w:rsidRPr="00E711AB">
        <w:rPr>
          <w:rFonts w:ascii="Tahoma" w:hAnsi="Tahoma" w:cs="Tahoma"/>
          <w:sz w:val="24"/>
          <w:szCs w:val="24"/>
        </w:rPr>
        <w:t xml:space="preserve"> Tampoco podrá ejercer como Revisor Fiscal quien mantenga relaciones comerciales, contractuales o económicas que comprometan su independencia respecto de la persona jurídica, el administrador o los miembros del consejo de administración.</w:t>
      </w:r>
    </w:p>
    <w:p w14:paraId="3A598490" w14:textId="77777777" w:rsidR="00E773C7" w:rsidRPr="00E711AB" w:rsidRDefault="00E773C7" w:rsidP="00E773C7">
      <w:pPr>
        <w:spacing w:after="60"/>
        <w:jc w:val="both"/>
        <w:rPr>
          <w:rFonts w:ascii="Tahoma" w:hAnsi="Tahoma" w:cs="Tahoma"/>
          <w:sz w:val="24"/>
          <w:szCs w:val="24"/>
        </w:rPr>
      </w:pPr>
      <w:r w:rsidRPr="000D1516">
        <w:rPr>
          <w:rFonts w:ascii="Tahoma" w:hAnsi="Tahoma" w:cs="Tahoma"/>
          <w:b/>
          <w:bCs/>
          <w:sz w:val="24"/>
          <w:szCs w:val="24"/>
        </w:rPr>
        <w:lastRenderedPageBreak/>
        <w:t>Parágrafo 3°:</w:t>
      </w:r>
      <w:r w:rsidRPr="00E711AB">
        <w:rPr>
          <w:rFonts w:ascii="Tahoma" w:hAnsi="Tahoma" w:cs="Tahoma"/>
          <w:sz w:val="24"/>
          <w:szCs w:val="24"/>
        </w:rPr>
        <w:t xml:space="preserve"> El incumplimiento grave o reiterado de los deberes establecidos en el presente artículo dará lugar a las sanciones previstas en la presente ley, sin perjuicio de las responsabilidades civiles, disciplinarias, fiscales o penales a que haya lugar.</w:t>
      </w:r>
    </w:p>
    <w:p w14:paraId="173F68D3" w14:textId="725C207A" w:rsidR="00E773C7" w:rsidRPr="00E711AB" w:rsidRDefault="00E773C7" w:rsidP="00E773C7">
      <w:pPr>
        <w:spacing w:after="80"/>
        <w:jc w:val="both"/>
        <w:rPr>
          <w:rFonts w:ascii="Tahoma" w:hAnsi="Tahoma" w:cs="Tahoma"/>
          <w:sz w:val="24"/>
          <w:szCs w:val="24"/>
        </w:rPr>
      </w:pPr>
      <w:r w:rsidRPr="00E711AB">
        <w:rPr>
          <w:rFonts w:ascii="Tahoma" w:hAnsi="Tahoma" w:cs="Tahoma"/>
          <w:b/>
          <w:sz w:val="24"/>
          <w:szCs w:val="24"/>
        </w:rPr>
        <w:t>Artículo 5. Régimen complementario de transparencia e inspección, vigilancia y control</w:t>
      </w:r>
      <w:r w:rsidR="000D1516">
        <w:rPr>
          <w:rFonts w:ascii="Tahoma" w:hAnsi="Tahoma" w:cs="Tahoma"/>
          <w:b/>
          <w:sz w:val="24"/>
          <w:szCs w:val="24"/>
        </w:rPr>
        <w:t>:</w:t>
      </w:r>
      <w:r w:rsidRPr="00E711AB">
        <w:rPr>
          <w:rFonts w:ascii="Tahoma" w:hAnsi="Tahoma" w:cs="Tahoma"/>
          <w:b/>
          <w:sz w:val="24"/>
          <w:szCs w:val="24"/>
        </w:rPr>
        <w:t xml:space="preserve"> </w:t>
      </w:r>
      <w:r w:rsidRPr="000D1516">
        <w:rPr>
          <w:rFonts w:ascii="Tahoma" w:hAnsi="Tahoma" w:cs="Tahoma"/>
          <w:bCs/>
          <w:sz w:val="24"/>
          <w:szCs w:val="24"/>
        </w:rPr>
        <w:t>Las disposiciones contenidas en los artículos 6 a 25 de la presente ley integran el régimen complementario de transparencia, responsabilidad e inspección, vigilancia y control aplicable a las personas jurídicas sometidas al régimen de propiedad horizontal.</w:t>
      </w:r>
    </w:p>
    <w:p w14:paraId="76A51854"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6. Derecho de acceso a la información:</w:t>
      </w:r>
      <w:r w:rsidRPr="00E711AB">
        <w:rPr>
          <w:rFonts w:ascii="Tahoma" w:hAnsi="Tahoma" w:cs="Tahoma"/>
          <w:sz w:val="24"/>
          <w:szCs w:val="24"/>
        </w:rPr>
        <w:t xml:space="preserve"> Todo propietario tendrá derecho a conocer y examinar, directamente o por conducto de apoderado, los libros, actas, contratos, estados financieros, soportes contables y demás documentos relacionados con la administración de la persona jurídica, con excepción de aquellos sometidos a reserva legal.</w:t>
      </w:r>
    </w:p>
    <w:p w14:paraId="36A338C4"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administración deberá garantizar el acceso oportuno, gratuito y, cuando resulte técnicamente posible, por medios físicos o electrónicos. El ejercicio de este derecho respetará la reserva legal, la intimidad, los datos personales y los secretos comerciales o industriales; para tal efecto podrán emplearse versiones públicas, anonimización u otras medidas idóneas de protección.</w:t>
      </w:r>
    </w:p>
    <w:p w14:paraId="2EC5808F"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negativa injustificada de acceso a la información constituirá infracción al régimen de propiedad horizontal.</w:t>
      </w:r>
    </w:p>
    <w:p w14:paraId="69E1C11E"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7. Conservación y custodia documental:</w:t>
      </w:r>
      <w:r w:rsidRPr="00E711AB">
        <w:rPr>
          <w:rFonts w:ascii="Tahoma" w:hAnsi="Tahoma" w:cs="Tahoma"/>
          <w:sz w:val="24"/>
          <w:szCs w:val="24"/>
        </w:rPr>
        <w:t xml:space="preserve"> El administrador será responsable de la adecuada conservación, organización, custodia y disponibilidad de los libros, actas, contratos, soportes contables, estados financieros y demás documentos relacionados con la administración de la copropiedad.</w:t>
      </w:r>
    </w:p>
    <w:p w14:paraId="14BA8D91"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Los documentos deberán conservarse por un término no inferior a diez (10) años, sin perjuicio de los términos superiores establecidos en otras disposiciones legales.</w:t>
      </w:r>
    </w:p>
    <w:p w14:paraId="53D5BC35"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pérdida, destrucción, alteración u ocultamiento injustificado de documentación relacionada con la administración constituirá infracción al régimen de propiedad horizontal, sin perjuicio de las demás responsabilidades a que haya lugar.</w:t>
      </w:r>
    </w:p>
    <w:p w14:paraId="49A21080"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8. Deber de revelación de conflictos de interés:</w:t>
      </w:r>
      <w:r w:rsidRPr="00E711AB">
        <w:rPr>
          <w:rFonts w:ascii="Tahoma" w:hAnsi="Tahoma" w:cs="Tahoma"/>
          <w:sz w:val="24"/>
          <w:szCs w:val="24"/>
        </w:rPr>
        <w:t xml:space="preserve"> Los administradores, miembros de los consejos de administración, revisores fiscales y demás personas que participen en la adopción de decisiones relacionadas con la administración de la persona jurídica deberán informar de manera inmediata, completa y verificable </w:t>
      </w:r>
      <w:r w:rsidRPr="00E711AB">
        <w:rPr>
          <w:rFonts w:ascii="Tahoma" w:hAnsi="Tahoma" w:cs="Tahoma"/>
          <w:sz w:val="24"/>
          <w:szCs w:val="24"/>
        </w:rPr>
        <w:lastRenderedPageBreak/>
        <w:t>cualquier situación que pueda generar conflicto entre sus intereses particulares y los intereses de la copropiedad.</w:t>
      </w:r>
    </w:p>
    <w:p w14:paraId="695FD0C5"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revelación deberá efectuarse tan pronto como la situación sea conocida por el respectivo obligado y antes de intervenir en la deliberación o adopción de la decisión correspondiente.</w:t>
      </w:r>
    </w:p>
    <w:p w14:paraId="1BD90057"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9. Deber de abstención:</w:t>
      </w:r>
      <w:r w:rsidRPr="00E711AB">
        <w:rPr>
          <w:rFonts w:ascii="Tahoma" w:hAnsi="Tahoma" w:cs="Tahoma"/>
          <w:sz w:val="24"/>
          <w:szCs w:val="24"/>
        </w:rPr>
        <w:t xml:space="preserve"> Quien se encuentre incurso en una situación de conflicto de interés deberá abstenerse de participar en la discusión, deliberación, recomendación, votación o adopción de la respectiva decisión.</w:t>
      </w:r>
    </w:p>
    <w:p w14:paraId="6EEEDD39"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omisión del deber de abstención dará lugar a las responsabilidades y sanciones previstas en la presente ley, sin perjuicio de las demás acciones que procedan conforme al ordenamiento jurídico.</w:t>
      </w:r>
    </w:p>
    <w:p w14:paraId="5CA9C8D2"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10. Autoridades competentes para el ejercicio de funciones de inspección, vigilancia y control:</w:t>
      </w:r>
      <w:r w:rsidRPr="00E711AB">
        <w:rPr>
          <w:rFonts w:ascii="Tahoma" w:hAnsi="Tahoma" w:cs="Tahoma"/>
          <w:sz w:val="24"/>
          <w:szCs w:val="24"/>
        </w:rPr>
        <w:t xml:space="preserve"> Las funciones de inspección, vigilancia y control previstas en la presente ley serán ejercidas por los municipios y distritos respecto de las personas jurídicas sometidas al régimen de propiedad horizontal ubicadas dentro de su respectiva jurisdicción.</w:t>
      </w:r>
    </w:p>
    <w:p w14:paraId="7889F687"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En Bogotá, Distrito Capital, dichas funciones serán ejercidas por la autoridad o las dependencias que determine la Administración Distrital conforme al régimen especial del Distrito Capital y a la distribución interna de competencias.</w:t>
      </w:r>
    </w:p>
    <w:p w14:paraId="5FC39BDE"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entidades territoriales ejercerán estas funciones con observancia de los principios de legalidad, coordinación, eficacia, economía, celeridad, imparcialidad, publicidad y debido proceso.</w:t>
      </w:r>
    </w:p>
    <w:p w14:paraId="6E3F732E" w14:textId="77777777" w:rsidR="00E773C7" w:rsidRPr="00E711AB" w:rsidRDefault="00E773C7" w:rsidP="00E773C7">
      <w:pPr>
        <w:spacing w:after="60"/>
        <w:jc w:val="both"/>
        <w:rPr>
          <w:rFonts w:ascii="Tahoma" w:hAnsi="Tahoma" w:cs="Tahoma"/>
          <w:sz w:val="24"/>
          <w:szCs w:val="24"/>
        </w:rPr>
      </w:pPr>
      <w:r w:rsidRPr="000328B9">
        <w:rPr>
          <w:rFonts w:ascii="Tahoma" w:hAnsi="Tahoma" w:cs="Tahoma"/>
          <w:b/>
          <w:bCs/>
          <w:sz w:val="24"/>
          <w:szCs w:val="24"/>
        </w:rPr>
        <w:t>Parágrafo:</w:t>
      </w:r>
      <w:r w:rsidRPr="00E711AB">
        <w:rPr>
          <w:rFonts w:ascii="Tahoma" w:hAnsi="Tahoma" w:cs="Tahoma"/>
          <w:sz w:val="24"/>
          <w:szCs w:val="24"/>
        </w:rPr>
        <w:t xml:space="preserve"> Las funciones previstas en este artículo serán ejercidas por las dependencias que determine cada entidad territorial conforme a su estructura administrativa y autonomía organizacional, sin que la presente ley implique la creación obligatoria de nuevas entidades, organismos, dependencias o plantas de personal.</w:t>
      </w:r>
    </w:p>
    <w:p w14:paraId="13329C42"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11. Sujetos sometidos a inspección, vigilancia y control:</w:t>
      </w:r>
      <w:r w:rsidRPr="00E711AB">
        <w:rPr>
          <w:rFonts w:ascii="Tahoma" w:hAnsi="Tahoma" w:cs="Tahoma"/>
          <w:sz w:val="24"/>
          <w:szCs w:val="24"/>
        </w:rPr>
        <w:t xml:space="preserve"> Estarán sometidos a las funciones de inspección, vigilancia y control previstas en la presente ley:</w:t>
      </w:r>
    </w:p>
    <w:p w14:paraId="17A13CDD" w14:textId="77777777" w:rsidR="00E773C7" w:rsidRPr="000328B9" w:rsidRDefault="00E773C7" w:rsidP="000328B9">
      <w:pPr>
        <w:pStyle w:val="Prrafodelista"/>
        <w:numPr>
          <w:ilvl w:val="0"/>
          <w:numId w:val="13"/>
        </w:numPr>
        <w:spacing w:after="60"/>
        <w:jc w:val="both"/>
        <w:rPr>
          <w:rFonts w:ascii="Tahoma" w:hAnsi="Tahoma" w:cs="Tahoma"/>
        </w:rPr>
      </w:pPr>
      <w:r w:rsidRPr="000328B9">
        <w:rPr>
          <w:rFonts w:ascii="Tahoma" w:hAnsi="Tahoma" w:cs="Tahoma"/>
        </w:rPr>
        <w:t>Los administradores de las personas jurídicas sometidas al régimen de propiedad horizontal.</w:t>
      </w:r>
    </w:p>
    <w:p w14:paraId="1FA89632" w14:textId="77777777" w:rsidR="00E773C7" w:rsidRPr="000328B9" w:rsidRDefault="00E773C7" w:rsidP="000328B9">
      <w:pPr>
        <w:pStyle w:val="Prrafodelista"/>
        <w:numPr>
          <w:ilvl w:val="0"/>
          <w:numId w:val="13"/>
        </w:numPr>
        <w:spacing w:after="60"/>
        <w:jc w:val="both"/>
        <w:rPr>
          <w:rFonts w:ascii="Tahoma" w:hAnsi="Tahoma" w:cs="Tahoma"/>
        </w:rPr>
      </w:pPr>
      <w:r w:rsidRPr="000328B9">
        <w:rPr>
          <w:rFonts w:ascii="Tahoma" w:hAnsi="Tahoma" w:cs="Tahoma"/>
        </w:rPr>
        <w:t>Las personas jurídicas que ejerzan profesionalmente actividades de administración de propiedad horizontal.</w:t>
      </w:r>
    </w:p>
    <w:p w14:paraId="2196C093" w14:textId="77777777" w:rsidR="00E773C7" w:rsidRPr="000328B9" w:rsidRDefault="00E773C7" w:rsidP="000328B9">
      <w:pPr>
        <w:pStyle w:val="Prrafodelista"/>
        <w:numPr>
          <w:ilvl w:val="0"/>
          <w:numId w:val="13"/>
        </w:numPr>
        <w:spacing w:after="60"/>
        <w:jc w:val="both"/>
        <w:rPr>
          <w:rFonts w:ascii="Tahoma" w:hAnsi="Tahoma" w:cs="Tahoma"/>
        </w:rPr>
      </w:pPr>
      <w:r w:rsidRPr="000328B9">
        <w:rPr>
          <w:rFonts w:ascii="Tahoma" w:hAnsi="Tahoma" w:cs="Tahoma"/>
        </w:rPr>
        <w:t>Los miembros de los consejos de administración.</w:t>
      </w:r>
    </w:p>
    <w:p w14:paraId="2F669B06" w14:textId="77777777" w:rsidR="00E773C7" w:rsidRPr="000328B9" w:rsidRDefault="00E773C7" w:rsidP="000328B9">
      <w:pPr>
        <w:pStyle w:val="Prrafodelista"/>
        <w:numPr>
          <w:ilvl w:val="0"/>
          <w:numId w:val="13"/>
        </w:numPr>
        <w:spacing w:after="60"/>
        <w:jc w:val="both"/>
        <w:rPr>
          <w:rFonts w:ascii="Tahoma" w:hAnsi="Tahoma" w:cs="Tahoma"/>
        </w:rPr>
      </w:pPr>
      <w:r w:rsidRPr="000328B9">
        <w:rPr>
          <w:rFonts w:ascii="Tahoma" w:hAnsi="Tahoma" w:cs="Tahoma"/>
        </w:rPr>
        <w:lastRenderedPageBreak/>
        <w:t>Los revisores fiscales.</w:t>
      </w:r>
    </w:p>
    <w:p w14:paraId="0E5603EF" w14:textId="77777777" w:rsidR="00E773C7" w:rsidRPr="00E711AB" w:rsidRDefault="00E773C7" w:rsidP="00E773C7">
      <w:pPr>
        <w:spacing w:after="60"/>
        <w:jc w:val="both"/>
        <w:rPr>
          <w:rFonts w:ascii="Tahoma" w:hAnsi="Tahoma" w:cs="Tahoma"/>
          <w:sz w:val="24"/>
          <w:szCs w:val="24"/>
        </w:rPr>
      </w:pPr>
      <w:r w:rsidRPr="000328B9">
        <w:rPr>
          <w:rFonts w:ascii="Tahoma" w:hAnsi="Tahoma" w:cs="Tahoma"/>
          <w:b/>
          <w:bCs/>
          <w:sz w:val="24"/>
          <w:szCs w:val="24"/>
        </w:rPr>
        <w:t>Parágrafo 1º:</w:t>
      </w:r>
      <w:r w:rsidRPr="00E711AB">
        <w:rPr>
          <w:rFonts w:ascii="Tahoma" w:hAnsi="Tahoma" w:cs="Tahoma"/>
          <w:sz w:val="24"/>
          <w:szCs w:val="24"/>
        </w:rPr>
        <w:t xml:space="preserve"> Las actuaciones administrativas que se adelanten en ejercicio de las funciones de inspección, vigilancia y control tendrán por finalidad la protección de los derechos de los copropietarios, la transparencia en la administración de los recursos comunes, el cumplimiento de la ley y la adecuada gestión de las personas jurídicas sometidas al régimen de propiedad horizontal.</w:t>
      </w:r>
    </w:p>
    <w:p w14:paraId="14E197A2" w14:textId="77777777" w:rsidR="00E773C7" w:rsidRPr="00E711AB" w:rsidRDefault="00E773C7" w:rsidP="00E773C7">
      <w:pPr>
        <w:spacing w:after="60"/>
        <w:jc w:val="both"/>
        <w:rPr>
          <w:rFonts w:ascii="Tahoma" w:hAnsi="Tahoma" w:cs="Tahoma"/>
          <w:sz w:val="24"/>
          <w:szCs w:val="24"/>
        </w:rPr>
      </w:pPr>
      <w:r w:rsidRPr="000328B9">
        <w:rPr>
          <w:rFonts w:ascii="Tahoma" w:hAnsi="Tahoma" w:cs="Tahoma"/>
          <w:b/>
          <w:bCs/>
          <w:sz w:val="24"/>
          <w:szCs w:val="24"/>
        </w:rPr>
        <w:t>Parágrafo 2º:</w:t>
      </w:r>
      <w:r w:rsidRPr="00E711AB">
        <w:rPr>
          <w:rFonts w:ascii="Tahoma" w:hAnsi="Tahoma" w:cs="Tahoma"/>
          <w:sz w:val="24"/>
          <w:szCs w:val="24"/>
        </w:rPr>
        <w:t xml:space="preserve"> las funciones de inspección, vigilancia y control no comprenden la resolución de controversias de naturaleza civil, contractual o de propiedad privada, ni sustituyen las competencias de la jurisdicción ordinaria o de la asamblea general de propietarios.</w:t>
      </w:r>
    </w:p>
    <w:p w14:paraId="2D82D0FC"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12. Facultades de inspección:</w:t>
      </w:r>
      <w:r w:rsidRPr="00E711AB">
        <w:rPr>
          <w:rFonts w:ascii="Tahoma" w:hAnsi="Tahoma" w:cs="Tahoma"/>
          <w:sz w:val="24"/>
          <w:szCs w:val="24"/>
        </w:rPr>
        <w:t xml:space="preserve"> En ejercicio de la función de inspección, las autoridades competentes podrán:</w:t>
      </w:r>
    </w:p>
    <w:p w14:paraId="0E9810B1" w14:textId="77777777" w:rsidR="00E773C7" w:rsidRPr="000328B9" w:rsidRDefault="00E773C7" w:rsidP="000328B9">
      <w:pPr>
        <w:pStyle w:val="Prrafodelista"/>
        <w:numPr>
          <w:ilvl w:val="0"/>
          <w:numId w:val="14"/>
        </w:numPr>
        <w:spacing w:after="60"/>
        <w:jc w:val="both"/>
        <w:rPr>
          <w:rFonts w:ascii="Tahoma" w:hAnsi="Tahoma" w:cs="Tahoma"/>
        </w:rPr>
      </w:pPr>
      <w:r w:rsidRPr="000328B9">
        <w:rPr>
          <w:rFonts w:ascii="Tahoma" w:hAnsi="Tahoma" w:cs="Tahoma"/>
        </w:rPr>
        <w:t>Solicitar, recibir y verificar información relacionada con el funcionamiento de las personas jurídicas sometidas al régimen de propiedad horizontal.</w:t>
      </w:r>
    </w:p>
    <w:p w14:paraId="7AC5122A" w14:textId="77777777" w:rsidR="00E773C7" w:rsidRPr="000328B9" w:rsidRDefault="00E773C7" w:rsidP="000328B9">
      <w:pPr>
        <w:pStyle w:val="Prrafodelista"/>
        <w:numPr>
          <w:ilvl w:val="0"/>
          <w:numId w:val="14"/>
        </w:numPr>
        <w:spacing w:after="60"/>
        <w:jc w:val="both"/>
        <w:rPr>
          <w:rFonts w:ascii="Tahoma" w:hAnsi="Tahoma" w:cs="Tahoma"/>
        </w:rPr>
      </w:pPr>
      <w:r w:rsidRPr="000328B9">
        <w:rPr>
          <w:rFonts w:ascii="Tahoma" w:hAnsi="Tahoma" w:cs="Tahoma"/>
        </w:rPr>
        <w:t>Requerir la presentación de libros, actas, contratos, estados financieros, soportes contables y demás documentos relacionados con la administración de la copropiedad.</w:t>
      </w:r>
    </w:p>
    <w:p w14:paraId="7556DA7A" w14:textId="77777777" w:rsidR="00E773C7" w:rsidRPr="000328B9" w:rsidRDefault="00E773C7" w:rsidP="000328B9">
      <w:pPr>
        <w:pStyle w:val="Prrafodelista"/>
        <w:numPr>
          <w:ilvl w:val="0"/>
          <w:numId w:val="14"/>
        </w:numPr>
        <w:spacing w:after="60"/>
        <w:jc w:val="both"/>
        <w:rPr>
          <w:rFonts w:ascii="Tahoma" w:hAnsi="Tahoma" w:cs="Tahoma"/>
        </w:rPr>
      </w:pPr>
      <w:r w:rsidRPr="000328B9">
        <w:rPr>
          <w:rFonts w:ascii="Tahoma" w:hAnsi="Tahoma" w:cs="Tahoma"/>
        </w:rPr>
        <w:t>Solicitar informes, certificaciones o aclaraciones relacionadas con hechos objeto de verificación.</w:t>
      </w:r>
    </w:p>
    <w:p w14:paraId="20087907" w14:textId="77777777" w:rsidR="00E773C7" w:rsidRPr="000328B9" w:rsidRDefault="00E773C7" w:rsidP="000328B9">
      <w:pPr>
        <w:pStyle w:val="Prrafodelista"/>
        <w:numPr>
          <w:ilvl w:val="0"/>
          <w:numId w:val="14"/>
        </w:numPr>
        <w:spacing w:after="60"/>
        <w:jc w:val="both"/>
        <w:rPr>
          <w:rFonts w:ascii="Tahoma" w:hAnsi="Tahoma" w:cs="Tahoma"/>
        </w:rPr>
      </w:pPr>
      <w:r w:rsidRPr="000328B9">
        <w:rPr>
          <w:rFonts w:ascii="Tahoma" w:hAnsi="Tahoma" w:cs="Tahoma"/>
        </w:rPr>
        <w:t>Realizar visitas administrativas de inspección cuando resulte necesario para verificar el cumplimiento de las disposiciones legales aplicables.</w:t>
      </w:r>
    </w:p>
    <w:p w14:paraId="0017BB04" w14:textId="77777777" w:rsidR="00E773C7" w:rsidRPr="000328B9" w:rsidRDefault="00E773C7" w:rsidP="000328B9">
      <w:pPr>
        <w:pStyle w:val="Prrafodelista"/>
        <w:numPr>
          <w:ilvl w:val="0"/>
          <w:numId w:val="14"/>
        </w:numPr>
        <w:spacing w:after="60"/>
        <w:jc w:val="both"/>
        <w:rPr>
          <w:rFonts w:ascii="Tahoma" w:hAnsi="Tahoma" w:cs="Tahoma"/>
        </w:rPr>
      </w:pPr>
      <w:r w:rsidRPr="000328B9">
        <w:rPr>
          <w:rFonts w:ascii="Tahoma" w:hAnsi="Tahoma" w:cs="Tahoma"/>
        </w:rPr>
        <w:t>Requerir la adopción de medidas orientadas al cumplimiento de obligaciones legales o reglamentarias.</w:t>
      </w:r>
    </w:p>
    <w:p w14:paraId="296E4825" w14:textId="77777777" w:rsidR="00E773C7" w:rsidRPr="00E711AB" w:rsidRDefault="00E773C7" w:rsidP="00E773C7">
      <w:pPr>
        <w:spacing w:after="60"/>
        <w:jc w:val="both"/>
        <w:rPr>
          <w:rFonts w:ascii="Tahoma" w:hAnsi="Tahoma" w:cs="Tahoma"/>
          <w:sz w:val="24"/>
          <w:szCs w:val="24"/>
        </w:rPr>
      </w:pPr>
      <w:r w:rsidRPr="000328B9">
        <w:rPr>
          <w:rFonts w:ascii="Tahoma" w:hAnsi="Tahoma" w:cs="Tahoma"/>
          <w:b/>
          <w:bCs/>
          <w:sz w:val="24"/>
          <w:szCs w:val="24"/>
        </w:rPr>
        <w:t>Parágrafo:</w:t>
      </w:r>
      <w:r w:rsidRPr="00E711AB">
        <w:rPr>
          <w:rFonts w:ascii="Tahoma" w:hAnsi="Tahoma" w:cs="Tahoma"/>
          <w:sz w:val="24"/>
          <w:szCs w:val="24"/>
        </w:rPr>
        <w:t xml:space="preserve"> Las facultades de inspección tendrán carácter preventivo y se ejercerán con respeto por la autonomía de las copropiedades y las garantías del debido proceso.</w:t>
      </w:r>
    </w:p>
    <w:p w14:paraId="06D2760F"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13. Facultades de vigilancia:</w:t>
      </w:r>
      <w:r w:rsidRPr="00E711AB">
        <w:rPr>
          <w:rFonts w:ascii="Tahoma" w:hAnsi="Tahoma" w:cs="Tahoma"/>
          <w:sz w:val="24"/>
          <w:szCs w:val="24"/>
        </w:rPr>
        <w:t xml:space="preserve"> En ejercicio de la función de vigilancia, las autoridades competentes podrán:</w:t>
      </w:r>
    </w:p>
    <w:p w14:paraId="5307CA8E" w14:textId="77777777" w:rsidR="00E773C7" w:rsidRPr="00D979FF" w:rsidRDefault="00E773C7" w:rsidP="00D979FF">
      <w:pPr>
        <w:pStyle w:val="Prrafodelista"/>
        <w:numPr>
          <w:ilvl w:val="0"/>
          <w:numId w:val="15"/>
        </w:numPr>
        <w:spacing w:after="60"/>
        <w:jc w:val="both"/>
        <w:rPr>
          <w:rFonts w:ascii="Tahoma" w:hAnsi="Tahoma" w:cs="Tahoma"/>
        </w:rPr>
      </w:pPr>
      <w:r w:rsidRPr="00D979FF">
        <w:rPr>
          <w:rFonts w:ascii="Tahoma" w:hAnsi="Tahoma" w:cs="Tahoma"/>
        </w:rPr>
        <w:t>Hacer seguimiento al cumplimiento de las obligaciones previstas en la ley y en los reglamentos de propiedad horizontal.</w:t>
      </w:r>
    </w:p>
    <w:p w14:paraId="6CF290C3" w14:textId="77777777" w:rsidR="00E773C7" w:rsidRPr="00D979FF" w:rsidRDefault="00E773C7" w:rsidP="00D979FF">
      <w:pPr>
        <w:pStyle w:val="Prrafodelista"/>
        <w:numPr>
          <w:ilvl w:val="0"/>
          <w:numId w:val="15"/>
        </w:numPr>
        <w:spacing w:after="60"/>
        <w:jc w:val="both"/>
        <w:rPr>
          <w:rFonts w:ascii="Tahoma" w:hAnsi="Tahoma" w:cs="Tahoma"/>
        </w:rPr>
      </w:pPr>
      <w:r w:rsidRPr="00D979FF">
        <w:rPr>
          <w:rFonts w:ascii="Tahoma" w:hAnsi="Tahoma" w:cs="Tahoma"/>
        </w:rPr>
        <w:t>Verificar la implementación de correctivos derivados de actuaciones administrativas anteriores.</w:t>
      </w:r>
    </w:p>
    <w:p w14:paraId="30A86740" w14:textId="77777777" w:rsidR="00E773C7" w:rsidRPr="00D979FF" w:rsidRDefault="00E773C7" w:rsidP="00D979FF">
      <w:pPr>
        <w:pStyle w:val="Prrafodelista"/>
        <w:numPr>
          <w:ilvl w:val="0"/>
          <w:numId w:val="15"/>
        </w:numPr>
        <w:spacing w:after="60"/>
        <w:jc w:val="both"/>
        <w:rPr>
          <w:rFonts w:ascii="Tahoma" w:hAnsi="Tahoma" w:cs="Tahoma"/>
        </w:rPr>
      </w:pPr>
      <w:r w:rsidRPr="00D979FF">
        <w:rPr>
          <w:rFonts w:ascii="Tahoma" w:hAnsi="Tahoma" w:cs="Tahoma"/>
        </w:rPr>
        <w:t>Requerir planes de mejoramiento cuando se identifiquen deficiencias administrativas susceptibles de corrección.</w:t>
      </w:r>
    </w:p>
    <w:p w14:paraId="478DD6FE" w14:textId="77777777" w:rsidR="00E773C7" w:rsidRPr="00D979FF" w:rsidRDefault="00E773C7" w:rsidP="00D979FF">
      <w:pPr>
        <w:pStyle w:val="Prrafodelista"/>
        <w:numPr>
          <w:ilvl w:val="0"/>
          <w:numId w:val="15"/>
        </w:numPr>
        <w:spacing w:after="60"/>
        <w:jc w:val="both"/>
        <w:rPr>
          <w:rFonts w:ascii="Tahoma" w:hAnsi="Tahoma" w:cs="Tahoma"/>
        </w:rPr>
      </w:pPr>
      <w:r w:rsidRPr="00D979FF">
        <w:rPr>
          <w:rFonts w:ascii="Tahoma" w:hAnsi="Tahoma" w:cs="Tahoma"/>
        </w:rPr>
        <w:lastRenderedPageBreak/>
        <w:t>Efectuar seguimiento a situaciones que puedan comprometer los derechos de los copropietarios o el adecuado manejo de los recursos comunes.</w:t>
      </w:r>
    </w:p>
    <w:p w14:paraId="277DB8D3" w14:textId="77777777" w:rsidR="00E773C7" w:rsidRPr="00D979FF" w:rsidRDefault="00E773C7" w:rsidP="00D979FF">
      <w:pPr>
        <w:pStyle w:val="Prrafodelista"/>
        <w:numPr>
          <w:ilvl w:val="0"/>
          <w:numId w:val="15"/>
        </w:numPr>
        <w:spacing w:after="60"/>
        <w:jc w:val="both"/>
        <w:rPr>
          <w:rFonts w:ascii="Tahoma" w:hAnsi="Tahoma" w:cs="Tahoma"/>
        </w:rPr>
      </w:pPr>
      <w:r w:rsidRPr="00D979FF">
        <w:rPr>
          <w:rFonts w:ascii="Tahoma" w:hAnsi="Tahoma" w:cs="Tahoma"/>
        </w:rPr>
        <w:t>Emitir recomendaciones y requerimientos dirigidos a promover el cumplimiento del régimen de propiedad horizontal.</w:t>
      </w:r>
    </w:p>
    <w:p w14:paraId="1D28355F" w14:textId="77777777" w:rsidR="00E773C7" w:rsidRPr="00E711AB" w:rsidRDefault="00E773C7" w:rsidP="00E773C7">
      <w:pPr>
        <w:spacing w:after="60"/>
        <w:jc w:val="both"/>
        <w:rPr>
          <w:rFonts w:ascii="Tahoma" w:hAnsi="Tahoma" w:cs="Tahoma"/>
          <w:sz w:val="24"/>
          <w:szCs w:val="24"/>
        </w:rPr>
      </w:pPr>
      <w:r w:rsidRPr="00D979FF">
        <w:rPr>
          <w:rFonts w:ascii="Tahoma" w:hAnsi="Tahoma" w:cs="Tahoma"/>
          <w:b/>
          <w:bCs/>
          <w:sz w:val="24"/>
          <w:szCs w:val="24"/>
        </w:rPr>
        <w:t>Parágrafo:</w:t>
      </w:r>
      <w:r w:rsidRPr="00E711AB">
        <w:rPr>
          <w:rFonts w:ascii="Tahoma" w:hAnsi="Tahoma" w:cs="Tahoma"/>
          <w:sz w:val="24"/>
          <w:szCs w:val="24"/>
        </w:rPr>
        <w:t xml:space="preserve"> Las actuaciones de vigilancia tendrán carácter preventivo y correctivo y estarán orientadas a evitar la ocurrencia de afectaciones al patrimonio colectivo y a los derechos de los copropietarios.</w:t>
      </w:r>
    </w:p>
    <w:p w14:paraId="2A943243"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14. Facultades de control:</w:t>
      </w:r>
      <w:r w:rsidRPr="00E711AB">
        <w:rPr>
          <w:rFonts w:ascii="Tahoma" w:hAnsi="Tahoma" w:cs="Tahoma"/>
          <w:sz w:val="24"/>
          <w:szCs w:val="24"/>
        </w:rPr>
        <w:t xml:space="preserve"> En ejercicio de la función de control, las autoridades competentes podrán:</w:t>
      </w:r>
    </w:p>
    <w:p w14:paraId="12590963" w14:textId="77777777" w:rsidR="00E773C7" w:rsidRPr="00C14DDC" w:rsidRDefault="00E773C7" w:rsidP="00C14DDC">
      <w:pPr>
        <w:pStyle w:val="Prrafodelista"/>
        <w:numPr>
          <w:ilvl w:val="0"/>
          <w:numId w:val="16"/>
        </w:numPr>
        <w:spacing w:after="60"/>
        <w:jc w:val="both"/>
        <w:rPr>
          <w:rFonts w:ascii="Tahoma" w:hAnsi="Tahoma" w:cs="Tahoma"/>
        </w:rPr>
      </w:pPr>
      <w:r w:rsidRPr="00C14DDC">
        <w:rPr>
          <w:rFonts w:ascii="Tahoma" w:hAnsi="Tahoma" w:cs="Tahoma"/>
        </w:rPr>
        <w:t>Ordenar la adopción de medidas correctivas para garantizar el cumplimiento de las disposiciones legales y reglamentarias aplicables al régimen de propiedad horizontal.</w:t>
      </w:r>
    </w:p>
    <w:p w14:paraId="7CC9D4A8" w14:textId="77777777" w:rsidR="00E773C7" w:rsidRPr="00C14DDC" w:rsidRDefault="00E773C7" w:rsidP="00C14DDC">
      <w:pPr>
        <w:pStyle w:val="Prrafodelista"/>
        <w:numPr>
          <w:ilvl w:val="0"/>
          <w:numId w:val="16"/>
        </w:numPr>
        <w:spacing w:after="60"/>
        <w:jc w:val="both"/>
        <w:rPr>
          <w:rFonts w:ascii="Tahoma" w:hAnsi="Tahoma" w:cs="Tahoma"/>
        </w:rPr>
      </w:pPr>
      <w:r w:rsidRPr="00C14DDC">
        <w:rPr>
          <w:rFonts w:ascii="Tahoma" w:hAnsi="Tahoma" w:cs="Tahoma"/>
        </w:rPr>
        <w:t>Ordenar la entrega de información, documentos o registros cuya presentación sea obligatoria conforme a la ley.</w:t>
      </w:r>
    </w:p>
    <w:p w14:paraId="65F02BFD" w14:textId="77777777" w:rsidR="00E773C7" w:rsidRPr="00C14DDC" w:rsidRDefault="00E773C7" w:rsidP="00C14DDC">
      <w:pPr>
        <w:pStyle w:val="Prrafodelista"/>
        <w:numPr>
          <w:ilvl w:val="0"/>
          <w:numId w:val="16"/>
        </w:numPr>
        <w:spacing w:after="60"/>
        <w:jc w:val="both"/>
        <w:rPr>
          <w:rFonts w:ascii="Tahoma" w:hAnsi="Tahoma" w:cs="Tahoma"/>
        </w:rPr>
      </w:pPr>
      <w:r w:rsidRPr="00C14DDC">
        <w:rPr>
          <w:rFonts w:ascii="Tahoma" w:hAnsi="Tahoma" w:cs="Tahoma"/>
        </w:rPr>
        <w:t>Ordenar la adopción de planes de mejoramiento cuando se identifiquen incumplimientos susceptibles de corrección.</w:t>
      </w:r>
    </w:p>
    <w:p w14:paraId="49D46599" w14:textId="77777777" w:rsidR="00E773C7" w:rsidRPr="00C14DDC" w:rsidRDefault="00E773C7" w:rsidP="00C14DDC">
      <w:pPr>
        <w:pStyle w:val="Prrafodelista"/>
        <w:numPr>
          <w:ilvl w:val="0"/>
          <w:numId w:val="16"/>
        </w:numPr>
        <w:spacing w:after="60"/>
        <w:jc w:val="both"/>
        <w:rPr>
          <w:rFonts w:ascii="Tahoma" w:hAnsi="Tahoma" w:cs="Tahoma"/>
        </w:rPr>
      </w:pPr>
      <w:r w:rsidRPr="00C14DDC">
        <w:rPr>
          <w:rFonts w:ascii="Tahoma" w:hAnsi="Tahoma" w:cs="Tahoma"/>
        </w:rPr>
        <w:t>Impartir órdenes administrativas dirigidas a restablecer el cumplimiento de las obligaciones legales incumplidas.</w:t>
      </w:r>
    </w:p>
    <w:p w14:paraId="744A6C81" w14:textId="77777777" w:rsidR="00E773C7" w:rsidRPr="00C14DDC" w:rsidRDefault="00E773C7" w:rsidP="00C14DDC">
      <w:pPr>
        <w:pStyle w:val="Prrafodelista"/>
        <w:numPr>
          <w:ilvl w:val="0"/>
          <w:numId w:val="16"/>
        </w:numPr>
        <w:spacing w:after="60"/>
        <w:jc w:val="both"/>
        <w:rPr>
          <w:rFonts w:ascii="Tahoma" w:hAnsi="Tahoma" w:cs="Tahoma"/>
        </w:rPr>
      </w:pPr>
      <w:r w:rsidRPr="00C14DDC">
        <w:rPr>
          <w:rFonts w:ascii="Tahoma" w:hAnsi="Tahoma" w:cs="Tahoma"/>
        </w:rPr>
        <w:t>Iniciar actuaciones administrativas sancionatorias cuando existan méritos para ello.</w:t>
      </w:r>
    </w:p>
    <w:p w14:paraId="66318D78" w14:textId="77777777" w:rsidR="00E773C7" w:rsidRPr="00C14DDC" w:rsidRDefault="00E773C7" w:rsidP="00C14DDC">
      <w:pPr>
        <w:pStyle w:val="Prrafodelista"/>
        <w:numPr>
          <w:ilvl w:val="0"/>
          <w:numId w:val="16"/>
        </w:numPr>
        <w:spacing w:after="60"/>
        <w:jc w:val="both"/>
        <w:rPr>
          <w:rFonts w:ascii="Tahoma" w:hAnsi="Tahoma" w:cs="Tahoma"/>
        </w:rPr>
      </w:pPr>
      <w:r w:rsidRPr="00C14DDC">
        <w:rPr>
          <w:rFonts w:ascii="Tahoma" w:hAnsi="Tahoma" w:cs="Tahoma"/>
        </w:rPr>
        <w:t>Adoptar las medidas preventivas previstas en la presente ley.</w:t>
      </w:r>
    </w:p>
    <w:p w14:paraId="160D1122" w14:textId="77777777" w:rsidR="00E773C7" w:rsidRPr="00E711AB" w:rsidRDefault="00E773C7" w:rsidP="00E773C7">
      <w:pPr>
        <w:spacing w:after="60"/>
        <w:jc w:val="both"/>
        <w:rPr>
          <w:rFonts w:ascii="Tahoma" w:hAnsi="Tahoma" w:cs="Tahoma"/>
          <w:sz w:val="24"/>
          <w:szCs w:val="24"/>
        </w:rPr>
      </w:pPr>
      <w:r w:rsidRPr="00C14DDC">
        <w:rPr>
          <w:rFonts w:ascii="Tahoma" w:hAnsi="Tahoma" w:cs="Tahoma"/>
          <w:b/>
          <w:bCs/>
          <w:sz w:val="24"/>
          <w:szCs w:val="24"/>
        </w:rPr>
        <w:t>Parágrafo:</w:t>
      </w:r>
      <w:r w:rsidRPr="00E711AB">
        <w:rPr>
          <w:rFonts w:ascii="Tahoma" w:hAnsi="Tahoma" w:cs="Tahoma"/>
          <w:sz w:val="24"/>
          <w:szCs w:val="24"/>
        </w:rPr>
        <w:t xml:space="preserve"> Las facultades de control se ejercerán con estricta observancia del debido proceso y con pleno respeto por la autonomía de las personas jurídicas sometidas al régimen de propiedad horizontal.</w:t>
      </w:r>
    </w:p>
    <w:p w14:paraId="0E570558"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15. Inicio de actuaciones administrativas:</w:t>
      </w:r>
      <w:r w:rsidRPr="00E711AB">
        <w:rPr>
          <w:rFonts w:ascii="Tahoma" w:hAnsi="Tahoma" w:cs="Tahoma"/>
          <w:sz w:val="24"/>
          <w:szCs w:val="24"/>
        </w:rPr>
        <w:t xml:space="preserve"> Las actuaciones administrativas podrán iniciarse:</w:t>
      </w:r>
    </w:p>
    <w:p w14:paraId="3B74B917" w14:textId="77777777" w:rsidR="00E773C7" w:rsidRPr="00E220DF" w:rsidRDefault="00E773C7" w:rsidP="00E220DF">
      <w:pPr>
        <w:pStyle w:val="Prrafodelista"/>
        <w:numPr>
          <w:ilvl w:val="0"/>
          <w:numId w:val="17"/>
        </w:numPr>
        <w:spacing w:after="60"/>
        <w:jc w:val="both"/>
        <w:rPr>
          <w:rFonts w:ascii="Tahoma" w:hAnsi="Tahoma" w:cs="Tahoma"/>
        </w:rPr>
      </w:pPr>
      <w:r w:rsidRPr="00E220DF">
        <w:rPr>
          <w:rFonts w:ascii="Tahoma" w:hAnsi="Tahoma" w:cs="Tahoma"/>
        </w:rPr>
        <w:t>De oficio.</w:t>
      </w:r>
    </w:p>
    <w:p w14:paraId="07ED8312" w14:textId="77777777" w:rsidR="00E773C7" w:rsidRPr="00E220DF" w:rsidRDefault="00E773C7" w:rsidP="00E220DF">
      <w:pPr>
        <w:pStyle w:val="Prrafodelista"/>
        <w:numPr>
          <w:ilvl w:val="0"/>
          <w:numId w:val="17"/>
        </w:numPr>
        <w:spacing w:after="60"/>
        <w:jc w:val="both"/>
        <w:rPr>
          <w:rFonts w:ascii="Tahoma" w:hAnsi="Tahoma" w:cs="Tahoma"/>
        </w:rPr>
      </w:pPr>
      <w:r w:rsidRPr="00E220DF">
        <w:rPr>
          <w:rFonts w:ascii="Tahoma" w:hAnsi="Tahoma" w:cs="Tahoma"/>
        </w:rPr>
        <w:t>Por solicitud de cualquier copropietario.</w:t>
      </w:r>
    </w:p>
    <w:p w14:paraId="3DCA099A" w14:textId="77777777" w:rsidR="00E773C7" w:rsidRPr="00E220DF" w:rsidRDefault="00E773C7" w:rsidP="00E220DF">
      <w:pPr>
        <w:pStyle w:val="Prrafodelista"/>
        <w:numPr>
          <w:ilvl w:val="0"/>
          <w:numId w:val="17"/>
        </w:numPr>
        <w:spacing w:after="60"/>
        <w:jc w:val="both"/>
        <w:rPr>
          <w:rFonts w:ascii="Tahoma" w:hAnsi="Tahoma" w:cs="Tahoma"/>
        </w:rPr>
      </w:pPr>
      <w:r w:rsidRPr="00E220DF">
        <w:rPr>
          <w:rFonts w:ascii="Tahoma" w:hAnsi="Tahoma" w:cs="Tahoma"/>
        </w:rPr>
        <w:t>Por informe del Revisor Fiscal.</w:t>
      </w:r>
    </w:p>
    <w:p w14:paraId="0ADF3E67" w14:textId="77777777" w:rsidR="00E773C7" w:rsidRPr="00E220DF" w:rsidRDefault="00E773C7" w:rsidP="00E220DF">
      <w:pPr>
        <w:pStyle w:val="Prrafodelista"/>
        <w:numPr>
          <w:ilvl w:val="0"/>
          <w:numId w:val="17"/>
        </w:numPr>
        <w:spacing w:after="60"/>
        <w:jc w:val="both"/>
        <w:rPr>
          <w:rFonts w:ascii="Tahoma" w:hAnsi="Tahoma" w:cs="Tahoma"/>
        </w:rPr>
      </w:pPr>
      <w:r w:rsidRPr="00E220DF">
        <w:rPr>
          <w:rFonts w:ascii="Tahoma" w:hAnsi="Tahoma" w:cs="Tahoma"/>
        </w:rPr>
        <w:t>Por informe de autoridades.</w:t>
      </w:r>
    </w:p>
    <w:p w14:paraId="3169A6A6" w14:textId="77777777" w:rsidR="00E773C7" w:rsidRPr="00E220DF" w:rsidRDefault="00E773C7" w:rsidP="00E220DF">
      <w:pPr>
        <w:pStyle w:val="Prrafodelista"/>
        <w:numPr>
          <w:ilvl w:val="0"/>
          <w:numId w:val="17"/>
        </w:numPr>
        <w:spacing w:after="60"/>
        <w:jc w:val="both"/>
        <w:rPr>
          <w:rFonts w:ascii="Tahoma" w:hAnsi="Tahoma" w:cs="Tahoma"/>
        </w:rPr>
      </w:pPr>
      <w:r w:rsidRPr="00E220DF">
        <w:rPr>
          <w:rFonts w:ascii="Tahoma" w:hAnsi="Tahoma" w:cs="Tahoma"/>
        </w:rPr>
        <w:t>Por queja o denuncia presentada por cualquier persona que acredite interés directo.</w:t>
      </w:r>
    </w:p>
    <w:p w14:paraId="3D2AEEBE" w14:textId="77777777" w:rsidR="00E773C7" w:rsidRPr="00E220DF" w:rsidRDefault="00E773C7" w:rsidP="00E220DF">
      <w:pPr>
        <w:pStyle w:val="Prrafodelista"/>
        <w:numPr>
          <w:ilvl w:val="0"/>
          <w:numId w:val="17"/>
        </w:numPr>
        <w:spacing w:after="60"/>
        <w:jc w:val="both"/>
        <w:rPr>
          <w:rFonts w:ascii="Tahoma" w:hAnsi="Tahoma" w:cs="Tahoma"/>
        </w:rPr>
      </w:pPr>
      <w:r w:rsidRPr="00E220DF">
        <w:rPr>
          <w:rFonts w:ascii="Tahoma" w:hAnsi="Tahoma" w:cs="Tahoma"/>
        </w:rPr>
        <w:t>Recibida la solicitud o iniciada la actuación de oficio, la autoridad competente evaluará la procedencia de la actuación administrativa y determinará las medidas a que haya lugar.</w:t>
      </w:r>
    </w:p>
    <w:p w14:paraId="3315D0F5" w14:textId="4D608018" w:rsidR="00E773C7" w:rsidRPr="00E220DF" w:rsidRDefault="00E773C7" w:rsidP="00E773C7">
      <w:pPr>
        <w:keepNext/>
        <w:spacing w:after="80"/>
        <w:jc w:val="both"/>
        <w:rPr>
          <w:rFonts w:ascii="Tahoma" w:hAnsi="Tahoma" w:cs="Tahoma"/>
          <w:bCs/>
          <w:sz w:val="24"/>
          <w:szCs w:val="24"/>
        </w:rPr>
      </w:pPr>
      <w:r w:rsidRPr="00E711AB">
        <w:rPr>
          <w:rFonts w:ascii="Tahoma" w:hAnsi="Tahoma" w:cs="Tahoma"/>
          <w:b/>
          <w:sz w:val="24"/>
          <w:szCs w:val="24"/>
        </w:rPr>
        <w:lastRenderedPageBreak/>
        <w:t>Artículo 16. Procedimiento administrativo</w:t>
      </w:r>
      <w:r w:rsidR="00E220DF">
        <w:rPr>
          <w:rFonts w:ascii="Tahoma" w:hAnsi="Tahoma" w:cs="Tahoma"/>
          <w:b/>
          <w:sz w:val="24"/>
          <w:szCs w:val="24"/>
        </w:rPr>
        <w:t>:</w:t>
      </w:r>
      <w:r w:rsidRPr="00E711AB">
        <w:rPr>
          <w:rFonts w:ascii="Tahoma" w:hAnsi="Tahoma" w:cs="Tahoma"/>
          <w:b/>
          <w:sz w:val="24"/>
          <w:szCs w:val="24"/>
        </w:rPr>
        <w:t xml:space="preserve"> </w:t>
      </w:r>
      <w:r w:rsidRPr="00E220DF">
        <w:rPr>
          <w:rFonts w:ascii="Tahoma" w:hAnsi="Tahoma" w:cs="Tahoma"/>
          <w:bCs/>
          <w:sz w:val="24"/>
          <w:szCs w:val="24"/>
        </w:rPr>
        <w:t>Las actuaciones administrativas adelantadas en ejercicio de las funciones de inspección, vigilancia y control se sujetarán a la Constitución y a la Parte Primera de la Ley 1437 de 2011. Las actuaciones sancionatorias se tramitarán conforme a su procedimiento administrativo sancionatorio.</w:t>
      </w:r>
    </w:p>
    <w:p w14:paraId="66FE09FD"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Contra los actos administrativos que se expidan en ejercicio de las facultades previstas en la presente ley procederán los recursos establecidos en la Ley 1437 de 2011 o las normas que la modifiquen, adicionen o sustituyan.</w:t>
      </w:r>
    </w:p>
    <w:p w14:paraId="3AD21796"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17. Medidas preventivas:</w:t>
      </w:r>
      <w:r w:rsidRPr="00E711AB">
        <w:rPr>
          <w:rFonts w:ascii="Tahoma" w:hAnsi="Tahoma" w:cs="Tahoma"/>
          <w:sz w:val="24"/>
          <w:szCs w:val="24"/>
        </w:rPr>
        <w:t xml:space="preserve"> Cuando existan elementos que permitan inferir la posible afectación de los derechos de los copropietarios, del patrimonio común o el incumplimiento grave de las obligaciones previstas en la ley, la autoridad competente podrá adoptar, mediante decisión motivada, las siguientes medidas preventivas:</w:t>
      </w:r>
    </w:p>
    <w:p w14:paraId="28DFA5D1" w14:textId="77777777" w:rsidR="00E773C7" w:rsidRPr="00AB162A" w:rsidRDefault="00E773C7" w:rsidP="00AB162A">
      <w:pPr>
        <w:pStyle w:val="Prrafodelista"/>
        <w:numPr>
          <w:ilvl w:val="0"/>
          <w:numId w:val="18"/>
        </w:numPr>
        <w:spacing w:after="60"/>
        <w:jc w:val="both"/>
        <w:rPr>
          <w:rFonts w:ascii="Tahoma" w:hAnsi="Tahoma" w:cs="Tahoma"/>
        </w:rPr>
      </w:pPr>
      <w:r w:rsidRPr="00AB162A">
        <w:rPr>
          <w:rFonts w:ascii="Tahoma" w:hAnsi="Tahoma" w:cs="Tahoma"/>
        </w:rPr>
        <w:t>Ordenar la presentación de información o documentación específica.</w:t>
      </w:r>
    </w:p>
    <w:p w14:paraId="26E911FA" w14:textId="77777777" w:rsidR="00E773C7" w:rsidRPr="00AB162A" w:rsidRDefault="00E773C7" w:rsidP="00AB162A">
      <w:pPr>
        <w:pStyle w:val="Prrafodelista"/>
        <w:numPr>
          <w:ilvl w:val="0"/>
          <w:numId w:val="18"/>
        </w:numPr>
        <w:spacing w:after="60"/>
        <w:jc w:val="both"/>
        <w:rPr>
          <w:rFonts w:ascii="Tahoma" w:hAnsi="Tahoma" w:cs="Tahoma"/>
        </w:rPr>
      </w:pPr>
      <w:r w:rsidRPr="00AB162A">
        <w:rPr>
          <w:rFonts w:ascii="Tahoma" w:hAnsi="Tahoma" w:cs="Tahoma"/>
        </w:rPr>
        <w:t>Ordenar la adopción de acciones correctivas inmediatas.</w:t>
      </w:r>
    </w:p>
    <w:p w14:paraId="56636F7F" w14:textId="77777777" w:rsidR="00E773C7" w:rsidRPr="00AB162A" w:rsidRDefault="00E773C7" w:rsidP="00AB162A">
      <w:pPr>
        <w:pStyle w:val="Prrafodelista"/>
        <w:numPr>
          <w:ilvl w:val="0"/>
          <w:numId w:val="18"/>
        </w:numPr>
        <w:spacing w:after="60"/>
        <w:jc w:val="both"/>
        <w:rPr>
          <w:rFonts w:ascii="Tahoma" w:hAnsi="Tahoma" w:cs="Tahoma"/>
        </w:rPr>
      </w:pPr>
      <w:r w:rsidRPr="00AB162A">
        <w:rPr>
          <w:rFonts w:ascii="Tahoma" w:hAnsi="Tahoma" w:cs="Tahoma"/>
        </w:rPr>
        <w:t>Ordenar la elaboración e implementación de planes de mejoramiento.</w:t>
      </w:r>
    </w:p>
    <w:p w14:paraId="3FB94682" w14:textId="77777777" w:rsidR="00E773C7" w:rsidRPr="00AB162A" w:rsidRDefault="00E773C7" w:rsidP="00AB162A">
      <w:pPr>
        <w:pStyle w:val="Prrafodelista"/>
        <w:numPr>
          <w:ilvl w:val="0"/>
          <w:numId w:val="18"/>
        </w:numPr>
        <w:spacing w:after="60"/>
        <w:jc w:val="both"/>
        <w:rPr>
          <w:rFonts w:ascii="Tahoma" w:hAnsi="Tahoma" w:cs="Tahoma"/>
        </w:rPr>
      </w:pPr>
      <w:r w:rsidRPr="00AB162A">
        <w:rPr>
          <w:rFonts w:ascii="Tahoma" w:hAnsi="Tahoma" w:cs="Tahoma"/>
        </w:rPr>
        <w:t>Requerir la suspensión de actuaciones administrativas que puedan generar perjuicios graves a la persona jurídica o a los copropietarios.</w:t>
      </w:r>
    </w:p>
    <w:p w14:paraId="41D2CE3B" w14:textId="77777777" w:rsidR="00E773C7" w:rsidRPr="00AB162A" w:rsidRDefault="00E773C7" w:rsidP="00AB162A">
      <w:pPr>
        <w:pStyle w:val="Prrafodelista"/>
        <w:numPr>
          <w:ilvl w:val="0"/>
          <w:numId w:val="18"/>
        </w:numPr>
        <w:spacing w:after="60"/>
        <w:jc w:val="both"/>
        <w:rPr>
          <w:rFonts w:ascii="Tahoma" w:hAnsi="Tahoma" w:cs="Tahoma"/>
        </w:rPr>
      </w:pPr>
      <w:r w:rsidRPr="00AB162A">
        <w:rPr>
          <w:rFonts w:ascii="Tahoma" w:hAnsi="Tahoma" w:cs="Tahoma"/>
        </w:rPr>
        <w:t>Ordenar la convocatoria de asamblea general extraordinaria cuando resulte necesaria para la protección de los derechos de los copropietarios, la adopción de medidas urgentes o la corrección de situaciones que afecten el adecuado funcionamiento de la persona jurídica.</w:t>
      </w:r>
    </w:p>
    <w:p w14:paraId="4F3E8194"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medidas preventivas tendrán carácter temporal, instrumental y proporcional; serán adoptadas mediante acto administrativo motivado, previa valoración de necesidad y urgencia, y podrán ser modificadas o levantadas cuando desaparezcan las causas que las originaron. No podrán implicar la disposición de bienes privados ni sustituir decisiones reservadas por la ley a la asamblea general.</w:t>
      </w:r>
    </w:p>
    <w:p w14:paraId="2BFDE3EF"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18. Sujetos sancionables:</w:t>
      </w:r>
      <w:r w:rsidRPr="00E711AB">
        <w:rPr>
          <w:rFonts w:ascii="Tahoma" w:hAnsi="Tahoma" w:cs="Tahoma"/>
          <w:sz w:val="24"/>
          <w:szCs w:val="24"/>
        </w:rPr>
        <w:t xml:space="preserve"> Podrán ser sujetos de las sanciones previstas en la presente ley:</w:t>
      </w:r>
    </w:p>
    <w:p w14:paraId="461E0125" w14:textId="77777777" w:rsidR="00E773C7" w:rsidRPr="007A0168" w:rsidRDefault="00E773C7" w:rsidP="007A0168">
      <w:pPr>
        <w:pStyle w:val="Prrafodelista"/>
        <w:numPr>
          <w:ilvl w:val="0"/>
          <w:numId w:val="19"/>
        </w:numPr>
        <w:spacing w:after="60"/>
        <w:jc w:val="both"/>
        <w:rPr>
          <w:rFonts w:ascii="Tahoma" w:hAnsi="Tahoma" w:cs="Tahoma"/>
        </w:rPr>
      </w:pPr>
      <w:r w:rsidRPr="007A0168">
        <w:rPr>
          <w:rFonts w:ascii="Tahoma" w:hAnsi="Tahoma" w:cs="Tahoma"/>
        </w:rPr>
        <w:t>Los administradores.</w:t>
      </w:r>
    </w:p>
    <w:p w14:paraId="081EC090" w14:textId="77777777" w:rsidR="00E773C7" w:rsidRPr="007A0168" w:rsidRDefault="00E773C7" w:rsidP="007A0168">
      <w:pPr>
        <w:pStyle w:val="Prrafodelista"/>
        <w:numPr>
          <w:ilvl w:val="0"/>
          <w:numId w:val="19"/>
        </w:numPr>
        <w:spacing w:after="60"/>
        <w:jc w:val="both"/>
        <w:rPr>
          <w:rFonts w:ascii="Tahoma" w:hAnsi="Tahoma" w:cs="Tahoma"/>
        </w:rPr>
      </w:pPr>
      <w:r w:rsidRPr="007A0168">
        <w:rPr>
          <w:rFonts w:ascii="Tahoma" w:hAnsi="Tahoma" w:cs="Tahoma"/>
        </w:rPr>
        <w:t>Las personas jurídicas que ejerzan profesionalmente actividades de administración de propiedad horizontal.</w:t>
      </w:r>
    </w:p>
    <w:p w14:paraId="1ECDF8CE" w14:textId="77777777" w:rsidR="00E773C7" w:rsidRPr="007A0168" w:rsidRDefault="00E773C7" w:rsidP="007A0168">
      <w:pPr>
        <w:pStyle w:val="Prrafodelista"/>
        <w:numPr>
          <w:ilvl w:val="0"/>
          <w:numId w:val="19"/>
        </w:numPr>
        <w:spacing w:after="60"/>
        <w:jc w:val="both"/>
        <w:rPr>
          <w:rFonts w:ascii="Tahoma" w:hAnsi="Tahoma" w:cs="Tahoma"/>
        </w:rPr>
      </w:pPr>
      <w:r w:rsidRPr="007A0168">
        <w:rPr>
          <w:rFonts w:ascii="Tahoma" w:hAnsi="Tahoma" w:cs="Tahoma"/>
        </w:rPr>
        <w:t>Los miembros de los consejos de administración.</w:t>
      </w:r>
    </w:p>
    <w:p w14:paraId="5ECEBBEB" w14:textId="77777777" w:rsidR="00E773C7" w:rsidRPr="007A0168" w:rsidRDefault="00E773C7" w:rsidP="007A0168">
      <w:pPr>
        <w:pStyle w:val="Prrafodelista"/>
        <w:numPr>
          <w:ilvl w:val="0"/>
          <w:numId w:val="19"/>
        </w:numPr>
        <w:spacing w:after="60"/>
        <w:jc w:val="both"/>
        <w:rPr>
          <w:rFonts w:ascii="Tahoma" w:hAnsi="Tahoma" w:cs="Tahoma"/>
        </w:rPr>
      </w:pPr>
      <w:r w:rsidRPr="007A0168">
        <w:rPr>
          <w:rFonts w:ascii="Tahoma" w:hAnsi="Tahoma" w:cs="Tahoma"/>
        </w:rPr>
        <w:t>Los revisores fiscales.</w:t>
      </w:r>
    </w:p>
    <w:p w14:paraId="3C0C1258" w14:textId="77777777" w:rsidR="00E773C7" w:rsidRPr="007A0168" w:rsidRDefault="00E773C7" w:rsidP="007A0168">
      <w:pPr>
        <w:pStyle w:val="Prrafodelista"/>
        <w:numPr>
          <w:ilvl w:val="0"/>
          <w:numId w:val="19"/>
        </w:numPr>
        <w:spacing w:after="60"/>
        <w:jc w:val="both"/>
        <w:rPr>
          <w:rFonts w:ascii="Tahoma" w:hAnsi="Tahoma" w:cs="Tahoma"/>
        </w:rPr>
      </w:pPr>
      <w:r w:rsidRPr="007A0168">
        <w:rPr>
          <w:rFonts w:ascii="Tahoma" w:hAnsi="Tahoma" w:cs="Tahoma"/>
        </w:rPr>
        <w:lastRenderedPageBreak/>
        <w:t>Solo habrá lugar a sanción por conductas realizadas con dolo o culpa, debidamente demostrados dentro de la actuación administrativa.</w:t>
      </w:r>
    </w:p>
    <w:p w14:paraId="362889FE" w14:textId="77777777" w:rsidR="00E773C7" w:rsidRPr="00E711AB" w:rsidRDefault="00E773C7" w:rsidP="00E773C7">
      <w:pPr>
        <w:spacing w:after="60"/>
        <w:jc w:val="both"/>
        <w:rPr>
          <w:rFonts w:ascii="Tahoma" w:hAnsi="Tahoma" w:cs="Tahoma"/>
          <w:sz w:val="24"/>
          <w:szCs w:val="24"/>
        </w:rPr>
      </w:pPr>
      <w:r w:rsidRPr="007A0168">
        <w:rPr>
          <w:rFonts w:ascii="Tahoma" w:hAnsi="Tahoma" w:cs="Tahoma"/>
          <w:b/>
          <w:bCs/>
          <w:sz w:val="24"/>
          <w:szCs w:val="24"/>
        </w:rPr>
        <w:t>Parágrafo 1º:</w:t>
      </w:r>
      <w:r w:rsidRPr="00E711AB">
        <w:rPr>
          <w:rFonts w:ascii="Tahoma" w:hAnsi="Tahoma" w:cs="Tahoma"/>
          <w:sz w:val="24"/>
          <w:szCs w:val="24"/>
        </w:rPr>
        <w:t xml:space="preserve"> Las sanciones recaerán sobre las personas responsables de la conducta investigada y no tendrán por finalidad trasladar cargas económicas a los copropietarios que resulten afectados por dichas conductas.</w:t>
      </w:r>
    </w:p>
    <w:p w14:paraId="4C42AED0" w14:textId="77777777" w:rsidR="00E773C7" w:rsidRPr="00E711AB" w:rsidRDefault="00E773C7" w:rsidP="00E773C7">
      <w:pPr>
        <w:spacing w:after="60"/>
        <w:jc w:val="both"/>
        <w:rPr>
          <w:rFonts w:ascii="Tahoma" w:hAnsi="Tahoma" w:cs="Tahoma"/>
          <w:sz w:val="24"/>
          <w:szCs w:val="24"/>
        </w:rPr>
      </w:pPr>
      <w:r w:rsidRPr="007A0168">
        <w:rPr>
          <w:rFonts w:ascii="Tahoma" w:hAnsi="Tahoma" w:cs="Tahoma"/>
          <w:b/>
          <w:bCs/>
          <w:sz w:val="24"/>
          <w:szCs w:val="24"/>
        </w:rPr>
        <w:t>Parágrafo 2º</w:t>
      </w:r>
      <w:r w:rsidRPr="00E711AB">
        <w:rPr>
          <w:rFonts w:ascii="Tahoma" w:hAnsi="Tahoma" w:cs="Tahoma"/>
          <w:sz w:val="24"/>
          <w:szCs w:val="24"/>
        </w:rPr>
        <w:t>: Los recursos provenientes de las multas impuestas en virtud de la presente ley ingresarán al presupuesto de la respectiva entidad territorial y podrán destinarse al fortalecimiento institucional de las funciones de inspección, vigilancia y control previstas en la presente ley, de conformidad con las normas presupuestales aplicables.</w:t>
      </w:r>
    </w:p>
    <w:p w14:paraId="35393DBA" w14:textId="630E2838" w:rsidR="00E773C7" w:rsidRPr="00E711AB" w:rsidRDefault="00E773C7" w:rsidP="00E773C7">
      <w:pPr>
        <w:spacing w:after="60"/>
        <w:jc w:val="both"/>
        <w:rPr>
          <w:rFonts w:ascii="Tahoma" w:hAnsi="Tahoma" w:cs="Tahoma"/>
          <w:sz w:val="24"/>
          <w:szCs w:val="24"/>
        </w:rPr>
      </w:pPr>
      <w:r w:rsidRPr="005674A6">
        <w:rPr>
          <w:rFonts w:ascii="Tahoma" w:hAnsi="Tahoma" w:cs="Tahoma"/>
          <w:b/>
          <w:bCs/>
          <w:sz w:val="24"/>
          <w:szCs w:val="24"/>
        </w:rPr>
        <w:t>Parágrafo 3º</w:t>
      </w:r>
      <w:r w:rsidR="005674A6">
        <w:rPr>
          <w:rFonts w:ascii="Tahoma" w:hAnsi="Tahoma" w:cs="Tahoma"/>
          <w:b/>
          <w:bCs/>
          <w:sz w:val="24"/>
          <w:szCs w:val="24"/>
        </w:rPr>
        <w:t>:</w:t>
      </w:r>
      <w:r w:rsidRPr="00E711AB">
        <w:rPr>
          <w:rFonts w:ascii="Tahoma" w:hAnsi="Tahoma" w:cs="Tahoma"/>
          <w:sz w:val="24"/>
          <w:szCs w:val="24"/>
        </w:rPr>
        <w:t xml:space="preserve"> La imposición de las sanciones se sujetará a los principios de legalidad, tipicidad, culpabilidad, proporcionalidad, favorabilidad, presunción de inocencia y non bis in idem, así como al procedimiento administrativo sancionatorio previsto en la Ley 1437 de 2011.</w:t>
      </w:r>
    </w:p>
    <w:p w14:paraId="7001CC14" w14:textId="2AAD6A5C" w:rsidR="00E773C7" w:rsidRPr="005674A6" w:rsidRDefault="00E773C7" w:rsidP="00E773C7">
      <w:pPr>
        <w:keepNext/>
        <w:spacing w:after="80"/>
        <w:jc w:val="both"/>
        <w:rPr>
          <w:rFonts w:ascii="Tahoma" w:hAnsi="Tahoma" w:cs="Tahoma"/>
          <w:bCs/>
          <w:sz w:val="24"/>
          <w:szCs w:val="24"/>
        </w:rPr>
      </w:pPr>
      <w:r w:rsidRPr="00E711AB">
        <w:rPr>
          <w:rFonts w:ascii="Tahoma" w:hAnsi="Tahoma" w:cs="Tahoma"/>
          <w:b/>
          <w:sz w:val="24"/>
          <w:szCs w:val="24"/>
        </w:rPr>
        <w:t>Artículo 19. Sanciones administrativas</w:t>
      </w:r>
      <w:r w:rsidR="005674A6">
        <w:rPr>
          <w:rFonts w:ascii="Tahoma" w:hAnsi="Tahoma" w:cs="Tahoma"/>
          <w:b/>
          <w:sz w:val="24"/>
          <w:szCs w:val="24"/>
        </w:rPr>
        <w:t>:</w:t>
      </w:r>
      <w:r w:rsidRPr="00E711AB">
        <w:rPr>
          <w:rFonts w:ascii="Tahoma" w:hAnsi="Tahoma" w:cs="Tahoma"/>
          <w:b/>
          <w:sz w:val="24"/>
          <w:szCs w:val="24"/>
        </w:rPr>
        <w:t xml:space="preserve"> </w:t>
      </w:r>
      <w:r w:rsidRPr="005674A6">
        <w:rPr>
          <w:rFonts w:ascii="Tahoma" w:hAnsi="Tahoma" w:cs="Tahoma"/>
          <w:bCs/>
          <w:sz w:val="24"/>
          <w:szCs w:val="24"/>
        </w:rPr>
        <w:t>Las autoridades competentes podrán imponer, según la gravedad de la conducta, una o varias de las siguientes sanciones:</w:t>
      </w:r>
    </w:p>
    <w:p w14:paraId="0FFF0E5C" w14:textId="77777777" w:rsidR="00E773C7" w:rsidRPr="00CE4EB2" w:rsidRDefault="00E773C7" w:rsidP="00CE4EB2">
      <w:pPr>
        <w:pStyle w:val="Prrafodelista"/>
        <w:numPr>
          <w:ilvl w:val="0"/>
          <w:numId w:val="20"/>
        </w:numPr>
        <w:spacing w:after="60"/>
        <w:jc w:val="both"/>
        <w:rPr>
          <w:rFonts w:ascii="Tahoma" w:hAnsi="Tahoma" w:cs="Tahoma"/>
        </w:rPr>
      </w:pPr>
      <w:r w:rsidRPr="00CE4EB2">
        <w:rPr>
          <w:rFonts w:ascii="Tahoma" w:hAnsi="Tahoma" w:cs="Tahoma"/>
        </w:rPr>
        <w:t>Amonestación escrita.</w:t>
      </w:r>
    </w:p>
    <w:p w14:paraId="46D692E6" w14:textId="77777777" w:rsidR="00E773C7" w:rsidRPr="00CE4EB2" w:rsidRDefault="00E773C7" w:rsidP="00CE4EB2">
      <w:pPr>
        <w:pStyle w:val="Prrafodelista"/>
        <w:numPr>
          <w:ilvl w:val="0"/>
          <w:numId w:val="20"/>
        </w:numPr>
        <w:spacing w:after="60"/>
        <w:jc w:val="both"/>
        <w:rPr>
          <w:rFonts w:ascii="Tahoma" w:hAnsi="Tahoma" w:cs="Tahoma"/>
        </w:rPr>
      </w:pPr>
      <w:r w:rsidRPr="00CE4EB2">
        <w:rPr>
          <w:rFonts w:ascii="Tahoma" w:hAnsi="Tahoma" w:cs="Tahoma"/>
        </w:rPr>
        <w:t>Multa hasta por cincuenta (50) salarios mínimos legales mensuales vigentes, conforme a la gravedad de la infracción y la capacidad económica del infractor.</w:t>
      </w:r>
    </w:p>
    <w:p w14:paraId="30CE533A" w14:textId="77777777" w:rsidR="00E773C7" w:rsidRPr="00CE4EB2" w:rsidRDefault="00E773C7" w:rsidP="00CE4EB2">
      <w:pPr>
        <w:pStyle w:val="Prrafodelista"/>
        <w:numPr>
          <w:ilvl w:val="0"/>
          <w:numId w:val="20"/>
        </w:numPr>
        <w:spacing w:after="60"/>
        <w:jc w:val="both"/>
        <w:rPr>
          <w:rFonts w:ascii="Tahoma" w:hAnsi="Tahoma" w:cs="Tahoma"/>
        </w:rPr>
      </w:pPr>
      <w:r w:rsidRPr="00CE4EB2">
        <w:rPr>
          <w:rFonts w:ascii="Tahoma" w:hAnsi="Tahoma" w:cs="Tahoma"/>
        </w:rPr>
        <w:t>Suspensión temporal hasta por cinco (5) años para ejercer actividades de administración de propiedad horizontal.</w:t>
      </w:r>
    </w:p>
    <w:p w14:paraId="765BB175" w14:textId="77777777" w:rsidR="00E773C7" w:rsidRPr="00CE4EB2" w:rsidRDefault="00E773C7" w:rsidP="00CE4EB2">
      <w:pPr>
        <w:pStyle w:val="Prrafodelista"/>
        <w:numPr>
          <w:ilvl w:val="0"/>
          <w:numId w:val="20"/>
        </w:numPr>
        <w:spacing w:after="60"/>
        <w:jc w:val="both"/>
        <w:rPr>
          <w:rFonts w:ascii="Tahoma" w:hAnsi="Tahoma" w:cs="Tahoma"/>
        </w:rPr>
      </w:pPr>
      <w:r w:rsidRPr="00CE4EB2">
        <w:rPr>
          <w:rFonts w:ascii="Tahoma" w:hAnsi="Tahoma" w:cs="Tahoma"/>
        </w:rPr>
        <w:t>Inhabilidad temporal hasta por diez (10) años para ejercer cargos de administración o dirección en propiedad horizontal.</w:t>
      </w:r>
    </w:p>
    <w:p w14:paraId="36B3CA18" w14:textId="77777777" w:rsidR="00E773C7" w:rsidRPr="00E711AB" w:rsidRDefault="00E773C7" w:rsidP="00E773C7">
      <w:pPr>
        <w:spacing w:after="60"/>
        <w:jc w:val="both"/>
        <w:rPr>
          <w:rFonts w:ascii="Tahoma" w:hAnsi="Tahoma" w:cs="Tahoma"/>
          <w:sz w:val="24"/>
          <w:szCs w:val="24"/>
        </w:rPr>
      </w:pPr>
      <w:r w:rsidRPr="00CE4EB2">
        <w:rPr>
          <w:rFonts w:ascii="Tahoma" w:hAnsi="Tahoma" w:cs="Tahoma"/>
          <w:b/>
          <w:bCs/>
          <w:sz w:val="24"/>
          <w:szCs w:val="24"/>
        </w:rPr>
        <w:t>Parágrafo.</w:t>
      </w:r>
      <w:r w:rsidRPr="00E711AB">
        <w:rPr>
          <w:rFonts w:ascii="Tahoma" w:hAnsi="Tahoma" w:cs="Tahoma"/>
          <w:sz w:val="24"/>
          <w:szCs w:val="24"/>
        </w:rPr>
        <w:t xml:space="preserve"> Cuando los hechos involucren a un revisor fiscal, la autoridad territorial podrá imponer amonestación o multa dentro del ámbito de esta ley y deberá ponerlos en conocimiento de la Junta Central de Contadores para lo de su competencia. En ningún caso la autoridad territorial podrá suspender o cancelar la inscripción profesional.</w:t>
      </w:r>
    </w:p>
    <w:p w14:paraId="2A5CC679"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20. Graduación de las sanciones:</w:t>
      </w:r>
      <w:r w:rsidRPr="00E711AB">
        <w:rPr>
          <w:rFonts w:ascii="Tahoma" w:hAnsi="Tahoma" w:cs="Tahoma"/>
          <w:sz w:val="24"/>
          <w:szCs w:val="24"/>
        </w:rPr>
        <w:t xml:space="preserve"> Para la imposición de las sanciones previstas en la presente ley se tendrán en cuenta, los siguientes criterios, según resulten aplicables:</w:t>
      </w:r>
    </w:p>
    <w:p w14:paraId="4436DBEF"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t>La gravedad de la conducta.</w:t>
      </w:r>
    </w:p>
    <w:p w14:paraId="07A040B6"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t>La afectación ocasionada a los derechos de los copropietarios.</w:t>
      </w:r>
    </w:p>
    <w:p w14:paraId="29DF3446"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t>La afectación al patrimonio común.</w:t>
      </w:r>
    </w:p>
    <w:p w14:paraId="72E53712"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t>La existencia de beneficio económico derivado de la conducta.</w:t>
      </w:r>
    </w:p>
    <w:p w14:paraId="5E7E9EFB"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lastRenderedPageBreak/>
        <w:t>La reincidencia.</w:t>
      </w:r>
    </w:p>
    <w:p w14:paraId="3AA5DD53"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t>La obstrucción de las actuaciones de inspección, vigilancia y control.</w:t>
      </w:r>
    </w:p>
    <w:p w14:paraId="08288057" w14:textId="77777777" w:rsidR="00E773C7" w:rsidRPr="00CE4EB2" w:rsidRDefault="00E773C7" w:rsidP="00CE4EB2">
      <w:pPr>
        <w:pStyle w:val="Prrafodelista"/>
        <w:numPr>
          <w:ilvl w:val="0"/>
          <w:numId w:val="21"/>
        </w:numPr>
        <w:spacing w:after="60"/>
        <w:jc w:val="both"/>
        <w:rPr>
          <w:rFonts w:ascii="Tahoma" w:hAnsi="Tahoma" w:cs="Tahoma"/>
        </w:rPr>
      </w:pPr>
      <w:r w:rsidRPr="00CE4EB2">
        <w:rPr>
          <w:rFonts w:ascii="Tahoma" w:hAnsi="Tahoma" w:cs="Tahoma"/>
        </w:rPr>
        <w:t>La colaboración con las autoridades competentes.</w:t>
      </w:r>
    </w:p>
    <w:p w14:paraId="14D02C26"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21. Registro territorial de sanciones ejecutoriadas:</w:t>
      </w:r>
      <w:r w:rsidRPr="00E711AB">
        <w:rPr>
          <w:rFonts w:ascii="Tahoma" w:hAnsi="Tahoma" w:cs="Tahoma"/>
          <w:sz w:val="24"/>
          <w:szCs w:val="24"/>
        </w:rPr>
        <w:t xml:space="preserve"> Las entidades territoriales que ejerzan funciones de inspección, vigilancia y control llevarán un registro de las sanciones ejecutoriadas impuestas en virtud de la presente ley.</w:t>
      </w:r>
    </w:p>
    <w:p w14:paraId="113A7D88"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información contenida en dicho registro será pública respecto de sanciones ejecutoriadas y durante el término estrictamente necesario para cumplir la finalidad de control, con observancia de las Leyes 1266 de 2008, 1581 de 2012 y 1712 de 2014, o de las normas que las modifiquen, adicionen o sustituyan.</w:t>
      </w:r>
    </w:p>
    <w:p w14:paraId="0BEE8813"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entidades territoriales podrán intercambiar la información contenida en dichos registros para efectos del ejercicio de las funciones previstas en la presente ley.</w:t>
      </w:r>
    </w:p>
    <w:p w14:paraId="58E7072F"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22. Orden administrativa de convocatoria extraordinaria:</w:t>
      </w:r>
      <w:r w:rsidRPr="00E711AB">
        <w:rPr>
          <w:rFonts w:ascii="Tahoma" w:hAnsi="Tahoma" w:cs="Tahoma"/>
          <w:sz w:val="24"/>
          <w:szCs w:val="24"/>
        </w:rPr>
        <w:t xml:space="preserve"> Cuando existan indicios serios de incumplimientos graves a la ley, al reglamento de propiedad horizontal o a las decisiones de la asamblea general de propietarios, y tales circunstancias puedan afectar los derechos de los copropietarios o el patrimonio común, la autoridad competente podrá ordenar al administrador o al consejo de administración la convocatoria de una asamblea general extraordinaria.</w:t>
      </w:r>
    </w:p>
    <w:p w14:paraId="320B7E73"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convocatoria deberá efectuarse dentro del término señalado por la autoridad competente.</w:t>
      </w:r>
    </w:p>
    <w:p w14:paraId="7DFEDC96"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El incumplimiento injustificado de esta orden constituirá infracción al régimen de propiedad horizontal.</w:t>
      </w:r>
    </w:p>
    <w:p w14:paraId="35616C64"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23. Deber de colaboración:</w:t>
      </w:r>
      <w:r w:rsidRPr="00E711AB">
        <w:rPr>
          <w:rFonts w:ascii="Tahoma" w:hAnsi="Tahoma" w:cs="Tahoma"/>
          <w:sz w:val="24"/>
          <w:szCs w:val="24"/>
        </w:rPr>
        <w:t xml:space="preserve"> Los administradores, miembros de consejos de administración, revisores fiscales y demás personas sometidas a las funciones de inspección, vigilancia y control deberán colaborar con las autoridades competentes y suministrar la información, documentación y explicaciones que les sean requeridas en ejercicio de sus funciones.</w:t>
      </w:r>
    </w:p>
    <w:p w14:paraId="75880294"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obstrucción, negativa injustificada, ocultamiento de información o suministro de información falsa constituirá infracción al régimen de propiedad horizontal.</w:t>
      </w:r>
    </w:p>
    <w:p w14:paraId="7DD7E830" w14:textId="259560D8"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24. Protección del patrimonio común</w:t>
      </w:r>
      <w:r w:rsidR="00ED0883">
        <w:rPr>
          <w:rFonts w:ascii="Tahoma" w:hAnsi="Tahoma" w:cs="Tahoma"/>
          <w:b/>
          <w:sz w:val="24"/>
          <w:szCs w:val="24"/>
        </w:rPr>
        <w:t>:</w:t>
      </w:r>
      <w:r w:rsidRPr="00E711AB">
        <w:rPr>
          <w:rFonts w:ascii="Tahoma" w:hAnsi="Tahoma" w:cs="Tahoma"/>
          <w:b/>
          <w:sz w:val="24"/>
          <w:szCs w:val="24"/>
        </w:rPr>
        <w:t xml:space="preserve"> </w:t>
      </w:r>
      <w:r w:rsidRPr="00ED0883">
        <w:rPr>
          <w:rFonts w:ascii="Tahoma" w:hAnsi="Tahoma" w:cs="Tahoma"/>
          <w:bCs/>
          <w:sz w:val="24"/>
          <w:szCs w:val="24"/>
        </w:rPr>
        <w:t>Los administradores, miembros de los consejos de administración y revisores fiscales deberán, dentro del ámbito de sus funciones, adoptar las medidas necesarias para la adecuada protección, conservación y destinación de los bienes y recursos comunes de la copropiedad.</w:t>
      </w:r>
    </w:p>
    <w:p w14:paraId="5EF38687"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 xml:space="preserve">Toda actuación contraria a la ley, al reglamento de propiedad horizontal o a los intereses de la persona jurídica que genere afectación al patrimonio común dará </w:t>
      </w:r>
      <w:r w:rsidRPr="00E711AB">
        <w:rPr>
          <w:rFonts w:ascii="Tahoma" w:hAnsi="Tahoma" w:cs="Tahoma"/>
          <w:sz w:val="24"/>
          <w:szCs w:val="24"/>
        </w:rPr>
        <w:lastRenderedPageBreak/>
        <w:t>lugar a las responsabilidades y sanciones previstas en la presente ley, sin perjuicio de las demás acciones judiciales o administrativas a que haya lugar.</w:t>
      </w:r>
    </w:p>
    <w:p w14:paraId="3F7CC415"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25. Remoción del administrador:</w:t>
      </w:r>
      <w:r w:rsidRPr="00E711AB">
        <w:rPr>
          <w:rFonts w:ascii="Tahoma" w:hAnsi="Tahoma" w:cs="Tahoma"/>
          <w:sz w:val="24"/>
          <w:szCs w:val="24"/>
        </w:rPr>
        <w:t xml:space="preserve"> Cuando mediante decisión administrativa debidamente ejecutoriada se establezca la comisión de infracciones graves o reiteradas al régimen de propiedad horizontal por parte del administrador, la autoridad competente podrá ordenar la convocatoria de asamblea extraordinaria para que esta adopte la decisión correspondiente.</w:t>
      </w:r>
    </w:p>
    <w:p w14:paraId="307B27B5"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 orden administrativa deberá cumplirse dentro del término que establezca la autoridad competente.</w:t>
      </w:r>
    </w:p>
    <w:p w14:paraId="7FAF0891"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El incumplimiento injustificado de la orden dará lugar a las sanciones previstas en la presente ley.</w:t>
      </w:r>
    </w:p>
    <w:p w14:paraId="78E89D41"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26. Límites a las restricciones reglamentarias y criterios de razonabilidad en el uso de bienes comunes:</w:t>
      </w:r>
      <w:r w:rsidRPr="00E711AB">
        <w:rPr>
          <w:rFonts w:ascii="Tahoma" w:hAnsi="Tahoma" w:cs="Tahoma"/>
          <w:sz w:val="24"/>
          <w:szCs w:val="24"/>
        </w:rPr>
        <w:t xml:space="preserve"> Los reglamentos de propiedad horizontal, manuales de convivencia y decisiones de los órganos de administración podrán establecer reglas para el uso, goce y disfrute de los bienes comunes, así como medidas orientadas a garantizar la seguridad, la salubridad, la tranquilidad y la adecuada convivencia dentro de la copropiedad.</w:t>
      </w:r>
    </w:p>
    <w:p w14:paraId="0EE5CD1D"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restricciones que se adopten deberán fundarse en criterios objetivos, razonables y proporcionales a la finalidad perseguida, respetar los derechos de los propietarios, residentes y tenedores, y no podrán constituir prohibiciones generales o absolutas que carezcan de justificación técnica o jurídica suficiente.</w:t>
      </w:r>
    </w:p>
    <w:p w14:paraId="20FA86D0"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No podrán establecerse prohibiciones generales o absolutas respecto del tránsito, acceso o permanencia de animales domésticos y de compañía en bienes comunes, sin perjuicio de las medidas de seguridad, salubridad, convivencia y tenencia responsable previstas en la ley y en los reglamentos de propiedad horizontal.</w:t>
      </w:r>
    </w:p>
    <w:p w14:paraId="461292A8"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regulaciones relacionadas con el uso de bienes comunes deberán orientarse a la protección de los intereses colectivos de la copropiedad y no podrán traducirse en restricciones arbitrarias o discriminatorias respecto de personas, núcleos familiares, visitantes o propietarios de animales domésticos y de compañía cuya tenencia se encuentre permitida por la legislación vigente.</w:t>
      </w:r>
    </w:p>
    <w:p w14:paraId="5191209B"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Toda medida restrictiva deberá garantizar el debido proceso y observar los principios de razonabilidad, proporcionalidad, igualdad y respeto por los derechos de los residentes.</w:t>
      </w:r>
    </w:p>
    <w:p w14:paraId="479CB186"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27. Implementación y sostenibilidad fiscal:</w:t>
      </w:r>
      <w:r w:rsidRPr="00E711AB">
        <w:rPr>
          <w:rFonts w:ascii="Tahoma" w:hAnsi="Tahoma" w:cs="Tahoma"/>
          <w:sz w:val="24"/>
          <w:szCs w:val="24"/>
        </w:rPr>
        <w:t xml:space="preserve"> La implementación de las disposiciones previstas en la presente ley se realizará con cargo a los recursos presupuestales existentes de las entidades competentes. La presente ley no autoriza </w:t>
      </w:r>
      <w:r w:rsidRPr="00E711AB">
        <w:rPr>
          <w:rFonts w:ascii="Tahoma" w:hAnsi="Tahoma" w:cs="Tahoma"/>
          <w:sz w:val="24"/>
          <w:szCs w:val="24"/>
        </w:rPr>
        <w:lastRenderedPageBreak/>
        <w:t>ni ordena la creación de entidades públicas, organismos, unidades administrativas especiales, establecimientos públicos o cualquier otra estructura administrativa del orden nacional, departamental, distrital o municipal; tampoco implicará la creación obligatoria de plantas de personal, cargos públicos o apropiaciones presupuestales adicionales para la Nación o las entidades territoriales.</w:t>
      </w:r>
    </w:p>
    <w:p w14:paraId="61534C00"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funciones de inspección, vigilancia y control previstas en esta ley serán ejercidas por las dependencias que determinen los municipios y distritos dentro de sus estructuras administrativas existentes, de conformidad con los principios de autonomía territorial, eficiencia administrativa y sostenibilidad fiscal.</w:t>
      </w:r>
    </w:p>
    <w:p w14:paraId="53979289"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Las entidades territoriales podrán financiar el ejercicio de las funciones previstas en la presente ley con cargo a los recursos de su presupuesto y a los ingresos provenientes de las multas impuestas en ejercicio de las facultades de inspección, vigilancia y control, conforme a las normas presupuestales aplicables.</w:t>
      </w:r>
    </w:p>
    <w:p w14:paraId="78DD793E" w14:textId="77777777" w:rsidR="00E773C7" w:rsidRPr="00E711AB" w:rsidRDefault="00E773C7" w:rsidP="00E773C7">
      <w:pPr>
        <w:keepNext/>
        <w:spacing w:after="80"/>
        <w:jc w:val="both"/>
        <w:rPr>
          <w:rFonts w:ascii="Tahoma" w:hAnsi="Tahoma" w:cs="Tahoma"/>
          <w:sz w:val="24"/>
          <w:szCs w:val="24"/>
        </w:rPr>
      </w:pPr>
      <w:r w:rsidRPr="00E711AB">
        <w:rPr>
          <w:rFonts w:ascii="Tahoma" w:hAnsi="Tahoma" w:cs="Tahoma"/>
          <w:b/>
          <w:sz w:val="24"/>
          <w:szCs w:val="24"/>
        </w:rPr>
        <w:t>Artículo 28. Régimen de transición:</w:t>
      </w:r>
      <w:r w:rsidRPr="00E711AB">
        <w:rPr>
          <w:rFonts w:ascii="Tahoma" w:hAnsi="Tahoma" w:cs="Tahoma"/>
          <w:sz w:val="24"/>
          <w:szCs w:val="24"/>
        </w:rPr>
        <w:t xml:space="preserve"> Las entidades territoriales contarán con un término de doce (12) meses contados a partir de la entrada en vigencia de la presente ley para adoptar las medidas administrativas necesarias para el ejercicio de las funciones de inspección, vigilancia y control previstas en la presente ley.</w:t>
      </w:r>
    </w:p>
    <w:p w14:paraId="638139CE" w14:textId="77777777" w:rsidR="00E773C7" w:rsidRPr="00E711AB" w:rsidRDefault="00E773C7" w:rsidP="00E773C7">
      <w:pPr>
        <w:spacing w:after="60"/>
        <w:jc w:val="both"/>
        <w:rPr>
          <w:rFonts w:ascii="Tahoma" w:hAnsi="Tahoma" w:cs="Tahoma"/>
          <w:sz w:val="24"/>
          <w:szCs w:val="24"/>
        </w:rPr>
      </w:pPr>
      <w:r w:rsidRPr="00E711AB">
        <w:rPr>
          <w:rFonts w:ascii="Tahoma" w:hAnsi="Tahoma" w:cs="Tahoma"/>
          <w:sz w:val="24"/>
          <w:szCs w:val="24"/>
        </w:rPr>
        <w:t>Durante dicho término continuarán aplicándose las disposiciones vigentes sobre propiedad horizontal.</w:t>
      </w:r>
    </w:p>
    <w:p w14:paraId="6F937E75" w14:textId="77777777" w:rsidR="00E773C7" w:rsidRDefault="00E773C7" w:rsidP="00E773C7">
      <w:pPr>
        <w:spacing w:after="80"/>
        <w:jc w:val="both"/>
        <w:rPr>
          <w:rFonts w:ascii="Tahoma" w:hAnsi="Tahoma" w:cs="Tahoma"/>
          <w:sz w:val="24"/>
          <w:szCs w:val="24"/>
        </w:rPr>
      </w:pPr>
      <w:r w:rsidRPr="00E711AB">
        <w:rPr>
          <w:rFonts w:ascii="Tahoma" w:hAnsi="Tahoma" w:cs="Tahoma"/>
          <w:b/>
          <w:sz w:val="24"/>
          <w:szCs w:val="24"/>
        </w:rPr>
        <w:t>Artículo 29. Vigencia y derogatorias:</w:t>
      </w:r>
      <w:r w:rsidRPr="00E711AB">
        <w:rPr>
          <w:rFonts w:ascii="Tahoma" w:hAnsi="Tahoma" w:cs="Tahoma"/>
          <w:sz w:val="24"/>
          <w:szCs w:val="24"/>
        </w:rPr>
        <w:t xml:space="preserve"> La presente ley rige a partir de su promulgación y modifica los artículos 50, 51 y 56 de la Ley 675 de 2001. Deróguense todas las disposiciones que le sean contrarias.</w:t>
      </w:r>
    </w:p>
    <w:p w14:paraId="7B3E0A5C" w14:textId="77777777" w:rsidR="00E773C7" w:rsidRPr="00E711AB" w:rsidRDefault="00E773C7" w:rsidP="00E773C7">
      <w:pPr>
        <w:pStyle w:val="Ttulo1"/>
        <w:rPr>
          <w:rFonts w:ascii="Tahoma" w:hAnsi="Tahoma" w:cs="Tahoma"/>
          <w:sz w:val="24"/>
          <w:szCs w:val="24"/>
        </w:rPr>
      </w:pPr>
      <w:r w:rsidRPr="00E711AB">
        <w:rPr>
          <w:rFonts w:ascii="Tahoma" w:hAnsi="Tahoma" w:cs="Tahoma"/>
          <w:sz w:val="24"/>
          <w:szCs w:val="24"/>
        </w:rPr>
        <w:t>VIII. FUENTES NORMATIVAS Y JURISPRUDENCIALES CONSULTADAS</w:t>
      </w:r>
    </w:p>
    <w:p w14:paraId="16207525" w14:textId="31A3FADE" w:rsidR="00E773C7" w:rsidRPr="00E711AB" w:rsidRDefault="00E773C7" w:rsidP="00E773C7">
      <w:pPr>
        <w:pStyle w:val="Listaconvietas"/>
        <w:tabs>
          <w:tab w:val="num" w:pos="360"/>
        </w:tabs>
        <w:spacing w:after="60" w:line="264" w:lineRule="auto"/>
        <w:ind w:left="360" w:hanging="360"/>
        <w:rPr>
          <w:rFonts w:ascii="Tahoma" w:hAnsi="Tahoma" w:cs="Tahoma"/>
          <w:sz w:val="24"/>
          <w:szCs w:val="24"/>
        </w:rPr>
      </w:pPr>
      <w:r w:rsidRPr="00E711AB">
        <w:rPr>
          <w:rFonts w:ascii="Tahoma" w:hAnsi="Tahoma" w:cs="Tahoma"/>
          <w:sz w:val="24"/>
          <w:szCs w:val="24"/>
        </w:rPr>
        <w:t xml:space="preserve">Constitución Política de Colombia, </w:t>
      </w:r>
      <w:r w:rsidR="008174E8" w:rsidRPr="00E711AB">
        <w:rPr>
          <w:rFonts w:ascii="Tahoma" w:hAnsi="Tahoma" w:cs="Tahoma"/>
          <w:sz w:val="24"/>
          <w:szCs w:val="24"/>
        </w:rPr>
        <w:t>artículo</w:t>
      </w:r>
      <w:r w:rsidRPr="00E711AB">
        <w:rPr>
          <w:rFonts w:ascii="Tahoma" w:hAnsi="Tahoma" w:cs="Tahoma"/>
          <w:sz w:val="24"/>
          <w:szCs w:val="24"/>
        </w:rPr>
        <w:t xml:space="preserve"> 15, 29, 58, 114, 150, 154, 158, 209, 287, 288, 311, 315 y 333.</w:t>
      </w:r>
    </w:p>
    <w:p w14:paraId="763ABA85" w14:textId="77777777" w:rsidR="00E773C7" w:rsidRDefault="00E773C7" w:rsidP="00E773C7">
      <w:pPr>
        <w:pStyle w:val="Listaconvietas"/>
        <w:tabs>
          <w:tab w:val="num" w:pos="360"/>
        </w:tabs>
        <w:spacing w:after="60" w:line="264" w:lineRule="auto"/>
        <w:ind w:left="360" w:hanging="360"/>
        <w:rPr>
          <w:rFonts w:ascii="Tahoma" w:hAnsi="Tahoma" w:cs="Tahoma"/>
          <w:sz w:val="24"/>
          <w:szCs w:val="24"/>
        </w:rPr>
      </w:pPr>
      <w:r w:rsidRPr="00E711AB">
        <w:rPr>
          <w:rFonts w:ascii="Tahoma" w:hAnsi="Tahoma" w:cs="Tahoma"/>
          <w:sz w:val="24"/>
          <w:szCs w:val="24"/>
        </w:rPr>
        <w:t>Ley 3ª de 1992; Ley 5ª de 1992; Ley 43 de 1990; Ley 675 de 2001; Ley 819 de 2003; Ley 1266 de 2008; Ley 1437 de 2011; Ley 1581 de 2012; Ley 1712 de 2014; Ley 2003 de 2019.</w:t>
      </w:r>
    </w:p>
    <w:p w14:paraId="36256ADB" w14:textId="77777777" w:rsidR="006E4EC9" w:rsidRDefault="006E4EC9" w:rsidP="006E4EC9">
      <w:pPr>
        <w:pStyle w:val="Listaconvietas"/>
        <w:numPr>
          <w:ilvl w:val="0"/>
          <w:numId w:val="0"/>
        </w:numPr>
        <w:tabs>
          <w:tab w:val="num" w:pos="360"/>
        </w:tabs>
        <w:spacing w:after="60" w:line="264" w:lineRule="auto"/>
        <w:rPr>
          <w:rFonts w:ascii="Tahoma" w:hAnsi="Tahoma" w:cs="Tahoma"/>
          <w:sz w:val="24"/>
          <w:szCs w:val="24"/>
        </w:rPr>
      </w:pPr>
    </w:p>
    <w:p w14:paraId="796442FC" w14:textId="77777777" w:rsidR="006E4EC9" w:rsidRDefault="006E4EC9" w:rsidP="006E4EC9">
      <w:pPr>
        <w:pStyle w:val="Listaconvietas"/>
        <w:numPr>
          <w:ilvl w:val="0"/>
          <w:numId w:val="0"/>
        </w:numPr>
        <w:tabs>
          <w:tab w:val="num" w:pos="360"/>
        </w:tabs>
        <w:spacing w:after="60" w:line="264" w:lineRule="auto"/>
        <w:rPr>
          <w:rFonts w:ascii="Tahoma" w:hAnsi="Tahoma" w:cs="Tahoma"/>
          <w:sz w:val="24"/>
          <w:szCs w:val="24"/>
        </w:rPr>
      </w:pPr>
    </w:p>
    <w:p w14:paraId="160FD6BE" w14:textId="77777777" w:rsidR="006E4EC9" w:rsidRDefault="006E4EC9" w:rsidP="006E4EC9">
      <w:pPr>
        <w:pStyle w:val="Listaconvietas"/>
        <w:numPr>
          <w:ilvl w:val="0"/>
          <w:numId w:val="0"/>
        </w:numPr>
        <w:tabs>
          <w:tab w:val="num" w:pos="360"/>
        </w:tabs>
        <w:spacing w:after="60" w:line="264" w:lineRule="auto"/>
        <w:rPr>
          <w:rFonts w:ascii="Tahoma" w:hAnsi="Tahoma" w:cs="Tahoma"/>
          <w:sz w:val="24"/>
          <w:szCs w:val="24"/>
        </w:rPr>
      </w:pPr>
    </w:p>
    <w:p w14:paraId="46C1775D" w14:textId="77777777" w:rsidR="006E4EC9" w:rsidRDefault="006E4EC9" w:rsidP="006E4EC9">
      <w:pPr>
        <w:pStyle w:val="Listaconvietas"/>
        <w:numPr>
          <w:ilvl w:val="0"/>
          <w:numId w:val="0"/>
        </w:numPr>
        <w:tabs>
          <w:tab w:val="num" w:pos="360"/>
        </w:tabs>
        <w:spacing w:after="60" w:line="264" w:lineRule="auto"/>
        <w:rPr>
          <w:rFonts w:ascii="Tahoma" w:hAnsi="Tahoma" w:cs="Tahoma"/>
          <w:sz w:val="24"/>
          <w:szCs w:val="24"/>
        </w:rPr>
      </w:pPr>
    </w:p>
    <w:p w14:paraId="1BF56317" w14:textId="77777777" w:rsidR="006E4EC9" w:rsidRDefault="006E4EC9" w:rsidP="006E4EC9">
      <w:pPr>
        <w:pStyle w:val="Listaconvietas"/>
        <w:numPr>
          <w:ilvl w:val="0"/>
          <w:numId w:val="0"/>
        </w:numPr>
        <w:tabs>
          <w:tab w:val="num" w:pos="360"/>
        </w:tabs>
        <w:spacing w:after="60" w:line="264" w:lineRule="auto"/>
        <w:rPr>
          <w:rFonts w:ascii="Tahoma" w:hAnsi="Tahoma" w:cs="Tahoma"/>
          <w:sz w:val="24"/>
          <w:szCs w:val="24"/>
        </w:rPr>
      </w:pPr>
    </w:p>
    <w:p w14:paraId="5118DFBD" w14:textId="77777777" w:rsidR="006E4EC9" w:rsidRPr="00E711AB" w:rsidRDefault="006E4EC9" w:rsidP="006E4EC9">
      <w:pPr>
        <w:pStyle w:val="Listaconvietas"/>
        <w:numPr>
          <w:ilvl w:val="0"/>
          <w:numId w:val="0"/>
        </w:numPr>
        <w:tabs>
          <w:tab w:val="num" w:pos="360"/>
        </w:tabs>
        <w:spacing w:after="60" w:line="264" w:lineRule="auto"/>
        <w:rPr>
          <w:rFonts w:ascii="Tahoma" w:hAnsi="Tahoma" w:cs="Tahoma"/>
          <w:sz w:val="24"/>
          <w:szCs w:val="24"/>
        </w:rPr>
      </w:pPr>
    </w:p>
    <w:p w14:paraId="4612755B" w14:textId="77777777" w:rsidR="00E773C7" w:rsidRPr="00E711AB" w:rsidRDefault="00E773C7" w:rsidP="00E773C7">
      <w:pPr>
        <w:pStyle w:val="Listaconvietas"/>
        <w:tabs>
          <w:tab w:val="num" w:pos="360"/>
        </w:tabs>
        <w:spacing w:after="60" w:line="264" w:lineRule="auto"/>
        <w:ind w:left="360" w:hanging="360"/>
        <w:rPr>
          <w:rFonts w:ascii="Tahoma" w:hAnsi="Tahoma" w:cs="Tahoma"/>
          <w:sz w:val="24"/>
          <w:szCs w:val="24"/>
        </w:rPr>
      </w:pPr>
      <w:r w:rsidRPr="00E711AB">
        <w:rPr>
          <w:rFonts w:ascii="Tahoma" w:hAnsi="Tahoma" w:cs="Tahoma"/>
          <w:sz w:val="24"/>
          <w:szCs w:val="24"/>
        </w:rPr>
        <w:lastRenderedPageBreak/>
        <w:t>Corte Constitucional, sentencias C-318 de 2002, C-488 de 2002, T-034 de 2013, T-062 de 2018 y T-283 de 2020.</w:t>
      </w:r>
    </w:p>
    <w:p w14:paraId="4D2CF368" w14:textId="77777777" w:rsidR="00E773C7" w:rsidRPr="00E711AB" w:rsidRDefault="00E773C7" w:rsidP="00E773C7">
      <w:pPr>
        <w:pStyle w:val="Listaconvietas"/>
        <w:tabs>
          <w:tab w:val="num" w:pos="360"/>
        </w:tabs>
        <w:spacing w:after="60" w:line="264" w:lineRule="auto"/>
        <w:ind w:left="360" w:hanging="360"/>
        <w:rPr>
          <w:rFonts w:ascii="Tahoma" w:hAnsi="Tahoma" w:cs="Tahoma"/>
          <w:sz w:val="24"/>
          <w:szCs w:val="24"/>
        </w:rPr>
      </w:pPr>
      <w:r w:rsidRPr="00E711AB">
        <w:rPr>
          <w:rFonts w:ascii="Tahoma" w:hAnsi="Tahoma" w:cs="Tahoma"/>
          <w:sz w:val="24"/>
          <w:szCs w:val="24"/>
        </w:rPr>
        <w:t>Cámara de Representantes, ficha oficial del Proyecto de Ley 057 de 2026 Cámara y Gaceta del Congreso número 900 de 2026.</w:t>
      </w:r>
    </w:p>
    <w:p w14:paraId="5082C455" w14:textId="77777777" w:rsidR="00E773C7" w:rsidRPr="00E711AB" w:rsidRDefault="00E773C7" w:rsidP="00E773C7">
      <w:pPr>
        <w:rPr>
          <w:rFonts w:ascii="Tahoma" w:hAnsi="Tahoma" w:cs="Tahoma"/>
          <w:sz w:val="24"/>
          <w:szCs w:val="24"/>
        </w:rPr>
      </w:pPr>
    </w:p>
    <w:p w14:paraId="43B2CBC4" w14:textId="77777777" w:rsidR="00E773C7" w:rsidRPr="00E711AB" w:rsidRDefault="00E773C7" w:rsidP="00E773C7">
      <w:pPr>
        <w:jc w:val="both"/>
        <w:rPr>
          <w:rFonts w:ascii="Tahoma" w:hAnsi="Tahoma" w:cs="Tahoma"/>
          <w:sz w:val="24"/>
          <w:szCs w:val="24"/>
        </w:rPr>
      </w:pPr>
      <w:r w:rsidRPr="00E711AB">
        <w:rPr>
          <w:rFonts w:ascii="Tahoma" w:hAnsi="Tahoma" w:cs="Tahoma"/>
          <w:sz w:val="24"/>
          <w:szCs w:val="24"/>
        </w:rPr>
        <w:t>De los honorables congresistas,</w:t>
      </w:r>
    </w:p>
    <w:p w14:paraId="3D4004B5" w14:textId="77777777" w:rsidR="00E773C7" w:rsidRPr="00E711AB" w:rsidRDefault="00E773C7" w:rsidP="00E773C7">
      <w:pPr>
        <w:rPr>
          <w:rFonts w:ascii="Tahoma" w:hAnsi="Tahoma" w:cs="Tahoma"/>
          <w:sz w:val="24"/>
          <w:szCs w:val="24"/>
        </w:rPr>
      </w:pPr>
    </w:p>
    <w:p w14:paraId="5C0159CF" w14:textId="77777777" w:rsidR="00E773C7" w:rsidRPr="00E711AB" w:rsidRDefault="00E773C7" w:rsidP="00E773C7">
      <w:pPr>
        <w:rPr>
          <w:rFonts w:ascii="Tahoma" w:hAnsi="Tahoma" w:cs="Tahoma"/>
          <w:sz w:val="24"/>
          <w:szCs w:val="24"/>
        </w:rPr>
      </w:pPr>
    </w:p>
    <w:p w14:paraId="3ADF5409" w14:textId="77777777" w:rsidR="00E773C7" w:rsidRPr="00E711AB" w:rsidRDefault="00E773C7" w:rsidP="00E773C7">
      <w:pPr>
        <w:rPr>
          <w:rFonts w:ascii="Tahoma" w:hAnsi="Tahoma" w:cs="Tahoma"/>
          <w:sz w:val="24"/>
          <w:szCs w:val="24"/>
        </w:rPr>
      </w:pPr>
      <w:r w:rsidRPr="00E711AB">
        <w:rPr>
          <w:rFonts w:ascii="Tahoma" w:hAnsi="Tahoma" w:cs="Tahoma"/>
          <w:b/>
          <w:sz w:val="24"/>
          <w:szCs w:val="24"/>
        </w:rPr>
        <w:t>DAVID GERARDO COTE RODRÍGUEZ</w:t>
      </w:r>
    </w:p>
    <w:p w14:paraId="24A79E16" w14:textId="77777777" w:rsidR="00E773C7" w:rsidRDefault="00E773C7" w:rsidP="00E773C7">
      <w:pPr>
        <w:spacing w:after="0"/>
        <w:jc w:val="both"/>
        <w:rPr>
          <w:rFonts w:ascii="Tahoma" w:hAnsi="Tahoma" w:cs="Tahoma"/>
          <w:sz w:val="24"/>
          <w:szCs w:val="24"/>
        </w:rPr>
      </w:pPr>
      <w:r w:rsidRPr="00E711AB">
        <w:rPr>
          <w:rFonts w:ascii="Tahoma" w:hAnsi="Tahoma" w:cs="Tahoma"/>
          <w:sz w:val="24"/>
          <w:szCs w:val="24"/>
        </w:rPr>
        <w:t>Representante a la Cámara por Bogotá, D. C.</w:t>
      </w:r>
    </w:p>
    <w:p w14:paraId="013CC25D" w14:textId="16B56DAC" w:rsidR="006E4EC9" w:rsidRPr="00E711AB" w:rsidRDefault="006E4EC9" w:rsidP="00E773C7">
      <w:pPr>
        <w:spacing w:after="0"/>
        <w:jc w:val="both"/>
        <w:rPr>
          <w:rFonts w:ascii="Tahoma" w:hAnsi="Tahoma" w:cs="Tahoma"/>
          <w:sz w:val="24"/>
          <w:szCs w:val="24"/>
        </w:rPr>
      </w:pPr>
      <w:r>
        <w:rPr>
          <w:rFonts w:ascii="Tahoma" w:hAnsi="Tahoma" w:cs="Tahoma"/>
          <w:sz w:val="24"/>
          <w:szCs w:val="24"/>
        </w:rPr>
        <w:t xml:space="preserve">Partido Centro </w:t>
      </w:r>
      <w:proofErr w:type="spellStart"/>
      <w:r>
        <w:rPr>
          <w:rFonts w:ascii="Tahoma" w:hAnsi="Tahoma" w:cs="Tahoma"/>
          <w:sz w:val="24"/>
          <w:szCs w:val="24"/>
        </w:rPr>
        <w:t>Democràtico</w:t>
      </w:r>
      <w:proofErr w:type="spellEnd"/>
    </w:p>
    <w:p w14:paraId="4D686A0A" w14:textId="77777777" w:rsidR="00E773C7" w:rsidRPr="00E711AB" w:rsidRDefault="00E773C7" w:rsidP="00E773C7">
      <w:pPr>
        <w:jc w:val="both"/>
        <w:rPr>
          <w:rFonts w:ascii="Tahoma" w:hAnsi="Tahoma" w:cs="Tahoma"/>
          <w:sz w:val="24"/>
          <w:szCs w:val="24"/>
        </w:rPr>
      </w:pPr>
      <w:r w:rsidRPr="00E711AB">
        <w:rPr>
          <w:rFonts w:ascii="Tahoma" w:hAnsi="Tahoma" w:cs="Tahoma"/>
          <w:sz w:val="24"/>
          <w:szCs w:val="24"/>
        </w:rPr>
        <w:t>Autor y ponente único</w:t>
      </w:r>
    </w:p>
    <w:p w14:paraId="2300B502" w14:textId="77777777" w:rsidR="003614F6" w:rsidRPr="00E711AB" w:rsidRDefault="003614F6" w:rsidP="00E773C7">
      <w:pPr>
        <w:rPr>
          <w:rFonts w:ascii="Tahoma" w:hAnsi="Tahoma" w:cs="Tahoma"/>
          <w:sz w:val="24"/>
          <w:szCs w:val="24"/>
        </w:rPr>
      </w:pPr>
    </w:p>
    <w:sectPr w:rsidR="003614F6" w:rsidRPr="00E711AB" w:rsidSect="00294A1C">
      <w:headerReference w:type="default" r:id="rId7"/>
      <w:pgSz w:w="12240" w:h="15840"/>
      <w:pgMar w:top="2268"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DB37E" w14:textId="77777777" w:rsidR="001E0CA3" w:rsidRDefault="001E0CA3" w:rsidP="00B7681D">
      <w:pPr>
        <w:spacing w:after="0" w:line="240" w:lineRule="auto"/>
      </w:pPr>
      <w:r>
        <w:separator/>
      </w:r>
    </w:p>
  </w:endnote>
  <w:endnote w:type="continuationSeparator" w:id="0">
    <w:p w14:paraId="256DE123" w14:textId="77777777" w:rsidR="001E0CA3" w:rsidRDefault="001E0CA3" w:rsidP="00B76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96543" w14:textId="77777777" w:rsidR="001E0CA3" w:rsidRDefault="001E0CA3" w:rsidP="00B7681D">
      <w:pPr>
        <w:spacing w:after="0" w:line="240" w:lineRule="auto"/>
      </w:pPr>
      <w:r>
        <w:separator/>
      </w:r>
    </w:p>
  </w:footnote>
  <w:footnote w:type="continuationSeparator" w:id="0">
    <w:p w14:paraId="12742E76" w14:textId="77777777" w:rsidR="001E0CA3" w:rsidRDefault="001E0CA3" w:rsidP="00B76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7F36D" w14:textId="77777777" w:rsidR="00B7681D" w:rsidRDefault="00B7681D">
    <w:pPr>
      <w:pStyle w:val="Encabezado"/>
    </w:pPr>
    <w:r>
      <w:rPr>
        <w:noProof/>
        <w:lang w:eastAsia="es-CO"/>
      </w:rPr>
      <w:drawing>
        <wp:anchor distT="0" distB="0" distL="114300" distR="114300" simplePos="0" relativeHeight="251658240" behindDoc="1" locked="0" layoutInCell="1" allowOverlap="1" wp14:anchorId="684AA641" wp14:editId="12D8EA67">
          <wp:simplePos x="0" y="0"/>
          <wp:positionH relativeFrom="page">
            <wp:align>left</wp:align>
          </wp:positionH>
          <wp:positionV relativeFrom="paragraph">
            <wp:posOffset>-449580</wp:posOffset>
          </wp:positionV>
          <wp:extent cx="8192574" cy="100488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ete David Cote congreso-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01550" cy="100598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E20F2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ECE340F"/>
    <w:multiLevelType w:val="multilevel"/>
    <w:tmpl w:val="E3E0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B6E75"/>
    <w:multiLevelType w:val="hybridMultilevel"/>
    <w:tmpl w:val="82D22E8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19992FA1"/>
    <w:multiLevelType w:val="multilevel"/>
    <w:tmpl w:val="04BCE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706A40"/>
    <w:multiLevelType w:val="hybridMultilevel"/>
    <w:tmpl w:val="C5969CA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36C2D01"/>
    <w:multiLevelType w:val="multilevel"/>
    <w:tmpl w:val="98D6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951E9"/>
    <w:multiLevelType w:val="hybridMultilevel"/>
    <w:tmpl w:val="46B637F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ECB6620"/>
    <w:multiLevelType w:val="hybridMultilevel"/>
    <w:tmpl w:val="E8021E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FC2565"/>
    <w:multiLevelType w:val="hybridMultilevel"/>
    <w:tmpl w:val="9AAC47D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33737568"/>
    <w:multiLevelType w:val="hybridMultilevel"/>
    <w:tmpl w:val="E258E3B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E574545"/>
    <w:multiLevelType w:val="multilevel"/>
    <w:tmpl w:val="554A5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ED6A1B"/>
    <w:multiLevelType w:val="hybridMultilevel"/>
    <w:tmpl w:val="BD40F35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5D5C5509"/>
    <w:multiLevelType w:val="hybridMultilevel"/>
    <w:tmpl w:val="6A769D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4FE2BEB"/>
    <w:multiLevelType w:val="hybridMultilevel"/>
    <w:tmpl w:val="0F6CE3A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6F340FB"/>
    <w:multiLevelType w:val="hybridMultilevel"/>
    <w:tmpl w:val="5F68A7D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68C6415F"/>
    <w:multiLevelType w:val="hybridMultilevel"/>
    <w:tmpl w:val="592AF35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6F0E43FA"/>
    <w:multiLevelType w:val="hybridMultilevel"/>
    <w:tmpl w:val="143ECD6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641000D"/>
    <w:multiLevelType w:val="hybridMultilevel"/>
    <w:tmpl w:val="28BE871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77181F12"/>
    <w:multiLevelType w:val="hybridMultilevel"/>
    <w:tmpl w:val="459013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77EB3E77"/>
    <w:multiLevelType w:val="hybridMultilevel"/>
    <w:tmpl w:val="2436AA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7A712545"/>
    <w:multiLevelType w:val="hybridMultilevel"/>
    <w:tmpl w:val="F9A25DEC"/>
    <w:lvl w:ilvl="0" w:tplc="BF000D98">
      <w:start w:val="1"/>
      <w:numFmt w:val="bullet"/>
      <w:lvlText w:val="-"/>
      <w:lvlJc w:val="left"/>
      <w:pPr>
        <w:ind w:left="1068" w:hanging="360"/>
      </w:pPr>
      <w:rPr>
        <w:rFonts w:ascii="Tahoma" w:eastAsiaTheme="minorHAnsi" w:hAnsi="Tahoma" w:cs="Tahom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16cid:durableId="1706521885">
    <w:abstractNumId w:val="10"/>
  </w:num>
  <w:num w:numId="2" w16cid:durableId="1261598940">
    <w:abstractNumId w:val="20"/>
  </w:num>
  <w:num w:numId="3" w16cid:durableId="238713204">
    <w:abstractNumId w:val="1"/>
  </w:num>
  <w:num w:numId="4" w16cid:durableId="268245268">
    <w:abstractNumId w:val="3"/>
  </w:num>
  <w:num w:numId="5" w16cid:durableId="1440678206">
    <w:abstractNumId w:val="5"/>
  </w:num>
  <w:num w:numId="6" w16cid:durableId="1540699400">
    <w:abstractNumId w:val="12"/>
  </w:num>
  <w:num w:numId="7" w16cid:durableId="1654604546">
    <w:abstractNumId w:val="7"/>
  </w:num>
  <w:num w:numId="8" w16cid:durableId="1519002378">
    <w:abstractNumId w:val="16"/>
  </w:num>
  <w:num w:numId="9" w16cid:durableId="214700342">
    <w:abstractNumId w:val="9"/>
  </w:num>
  <w:num w:numId="10" w16cid:durableId="1801336398">
    <w:abstractNumId w:val="0"/>
  </w:num>
  <w:num w:numId="11" w16cid:durableId="292516920">
    <w:abstractNumId w:val="14"/>
  </w:num>
  <w:num w:numId="12" w16cid:durableId="2111772226">
    <w:abstractNumId w:val="4"/>
  </w:num>
  <w:num w:numId="13" w16cid:durableId="60490194">
    <w:abstractNumId w:val="19"/>
  </w:num>
  <w:num w:numId="14" w16cid:durableId="294986147">
    <w:abstractNumId w:val="8"/>
  </w:num>
  <w:num w:numId="15" w16cid:durableId="1838763187">
    <w:abstractNumId w:val="6"/>
  </w:num>
  <w:num w:numId="16" w16cid:durableId="1181626553">
    <w:abstractNumId w:val="17"/>
  </w:num>
  <w:num w:numId="17" w16cid:durableId="658462847">
    <w:abstractNumId w:val="11"/>
  </w:num>
  <w:num w:numId="18" w16cid:durableId="733964724">
    <w:abstractNumId w:val="15"/>
  </w:num>
  <w:num w:numId="19" w16cid:durableId="1456145496">
    <w:abstractNumId w:val="13"/>
  </w:num>
  <w:num w:numId="20" w16cid:durableId="24722345">
    <w:abstractNumId w:val="18"/>
  </w:num>
  <w:num w:numId="21" w16cid:durableId="1551723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81D"/>
    <w:rsid w:val="00001D56"/>
    <w:rsid w:val="00024FD7"/>
    <w:rsid w:val="000328B9"/>
    <w:rsid w:val="0006029C"/>
    <w:rsid w:val="000B65C9"/>
    <w:rsid w:val="000D08AB"/>
    <w:rsid w:val="000D1516"/>
    <w:rsid w:val="001105D2"/>
    <w:rsid w:val="00162D7B"/>
    <w:rsid w:val="001674CA"/>
    <w:rsid w:val="00176E02"/>
    <w:rsid w:val="001A0210"/>
    <w:rsid w:val="001C24EB"/>
    <w:rsid w:val="001E0CA3"/>
    <w:rsid w:val="001E2998"/>
    <w:rsid w:val="00241EEA"/>
    <w:rsid w:val="002656A1"/>
    <w:rsid w:val="00276461"/>
    <w:rsid w:val="00285B22"/>
    <w:rsid w:val="00294A1C"/>
    <w:rsid w:val="002B200B"/>
    <w:rsid w:val="002E0938"/>
    <w:rsid w:val="003614F6"/>
    <w:rsid w:val="0037564D"/>
    <w:rsid w:val="003A190F"/>
    <w:rsid w:val="003B0441"/>
    <w:rsid w:val="0049735C"/>
    <w:rsid w:val="0054632E"/>
    <w:rsid w:val="005674A6"/>
    <w:rsid w:val="006066F0"/>
    <w:rsid w:val="00611324"/>
    <w:rsid w:val="006262FD"/>
    <w:rsid w:val="00626660"/>
    <w:rsid w:val="006460B3"/>
    <w:rsid w:val="006A6C57"/>
    <w:rsid w:val="006E4EC9"/>
    <w:rsid w:val="006E5167"/>
    <w:rsid w:val="006F7936"/>
    <w:rsid w:val="0070555F"/>
    <w:rsid w:val="007476FA"/>
    <w:rsid w:val="00756C52"/>
    <w:rsid w:val="00790A07"/>
    <w:rsid w:val="007A0168"/>
    <w:rsid w:val="007C421D"/>
    <w:rsid w:val="007F75A6"/>
    <w:rsid w:val="008174E8"/>
    <w:rsid w:val="008255BC"/>
    <w:rsid w:val="00882C77"/>
    <w:rsid w:val="008B58F3"/>
    <w:rsid w:val="00911D9B"/>
    <w:rsid w:val="009173E2"/>
    <w:rsid w:val="00950F18"/>
    <w:rsid w:val="0096673C"/>
    <w:rsid w:val="00975C8F"/>
    <w:rsid w:val="009E2F18"/>
    <w:rsid w:val="00A05D16"/>
    <w:rsid w:val="00A51308"/>
    <w:rsid w:val="00A83370"/>
    <w:rsid w:val="00A93A0E"/>
    <w:rsid w:val="00AB162A"/>
    <w:rsid w:val="00B163ED"/>
    <w:rsid w:val="00B3071E"/>
    <w:rsid w:val="00B7681D"/>
    <w:rsid w:val="00BB7E72"/>
    <w:rsid w:val="00BD0897"/>
    <w:rsid w:val="00C14DDC"/>
    <w:rsid w:val="00C16528"/>
    <w:rsid w:val="00C24295"/>
    <w:rsid w:val="00C3533B"/>
    <w:rsid w:val="00C37DE8"/>
    <w:rsid w:val="00C5144B"/>
    <w:rsid w:val="00CD6C58"/>
    <w:rsid w:val="00CE4EB2"/>
    <w:rsid w:val="00CF240A"/>
    <w:rsid w:val="00CF7F81"/>
    <w:rsid w:val="00D12269"/>
    <w:rsid w:val="00D33B95"/>
    <w:rsid w:val="00D979FF"/>
    <w:rsid w:val="00DA6C09"/>
    <w:rsid w:val="00E10C6F"/>
    <w:rsid w:val="00E21EFE"/>
    <w:rsid w:val="00E220DF"/>
    <w:rsid w:val="00E711AB"/>
    <w:rsid w:val="00E773C7"/>
    <w:rsid w:val="00ED0883"/>
    <w:rsid w:val="00ED259B"/>
    <w:rsid w:val="00F13BFC"/>
    <w:rsid w:val="00F37ED0"/>
    <w:rsid w:val="00F40F35"/>
    <w:rsid w:val="00F41C2C"/>
    <w:rsid w:val="00F715FB"/>
    <w:rsid w:val="00F81AA4"/>
    <w:rsid w:val="00FA1DC2"/>
    <w:rsid w:val="00FB0151"/>
    <w:rsid w:val="00FD4FA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AA5BD"/>
  <w15:chartTrackingRefBased/>
  <w15:docId w15:val="{7C5A492D-D990-4E3B-904B-DC8724A1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73C7"/>
    <w:pPr>
      <w:keepNext/>
      <w:keepLines/>
      <w:spacing w:before="280" w:after="140" w:line="276" w:lineRule="auto"/>
      <w:outlineLvl w:val="0"/>
    </w:pPr>
    <w:rPr>
      <w:rFonts w:asciiTheme="majorHAnsi" w:eastAsiaTheme="majorEastAsia" w:hAnsiTheme="majorHAnsi" w:cstheme="majorBidi"/>
      <w:b/>
      <w:bCs/>
      <w:color w:val="000000"/>
      <w:sz w:val="26"/>
      <w:szCs w:val="28"/>
      <w:lang w:val="en-US"/>
    </w:rPr>
  </w:style>
  <w:style w:type="paragraph" w:styleId="Ttulo2">
    <w:name w:val="heading 2"/>
    <w:basedOn w:val="Normal"/>
    <w:next w:val="Normal"/>
    <w:link w:val="Ttulo2Car"/>
    <w:uiPriority w:val="9"/>
    <w:unhideWhenUsed/>
    <w:qFormat/>
    <w:rsid w:val="00E773C7"/>
    <w:pPr>
      <w:keepNext/>
      <w:keepLines/>
      <w:spacing w:before="200" w:after="100" w:line="276" w:lineRule="auto"/>
      <w:outlineLvl w:val="1"/>
    </w:pPr>
    <w:rPr>
      <w:rFonts w:asciiTheme="majorHAnsi" w:eastAsiaTheme="majorEastAsia" w:hAnsiTheme="majorHAnsi" w:cstheme="majorBidi"/>
      <w:b/>
      <w:bCs/>
      <w:color w:val="000000"/>
      <w:sz w:val="23"/>
      <w:szCs w:val="2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7681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681D"/>
  </w:style>
  <w:style w:type="paragraph" w:styleId="Piedepgina">
    <w:name w:val="footer"/>
    <w:basedOn w:val="Normal"/>
    <w:link w:val="PiedepginaCar"/>
    <w:uiPriority w:val="99"/>
    <w:unhideWhenUsed/>
    <w:rsid w:val="00B768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681D"/>
  </w:style>
  <w:style w:type="paragraph" w:styleId="Sinespaciado">
    <w:name w:val="No Spacing"/>
    <w:uiPriority w:val="1"/>
    <w:qFormat/>
    <w:rsid w:val="00162D7B"/>
    <w:pPr>
      <w:spacing w:after="0" w:line="240" w:lineRule="auto"/>
    </w:pPr>
  </w:style>
  <w:style w:type="paragraph" w:customStyle="1" w:styleId="Default">
    <w:name w:val="Default"/>
    <w:rsid w:val="00A83370"/>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3614F6"/>
    <w:pPr>
      <w:spacing w:line="278" w:lineRule="auto"/>
      <w:ind w:left="720"/>
      <w:contextualSpacing/>
    </w:pPr>
    <w:rPr>
      <w:kern w:val="2"/>
      <w:sz w:val="24"/>
      <w:szCs w:val="24"/>
      <w14:ligatures w14:val="standardContextual"/>
    </w:rPr>
  </w:style>
  <w:style w:type="character" w:styleId="Hipervnculo">
    <w:name w:val="Hyperlink"/>
    <w:basedOn w:val="Fuentedeprrafopredeter"/>
    <w:uiPriority w:val="99"/>
    <w:unhideWhenUsed/>
    <w:rsid w:val="003614F6"/>
    <w:rPr>
      <w:color w:val="0563C1" w:themeColor="hyperlink"/>
      <w:u w:val="single"/>
    </w:rPr>
  </w:style>
  <w:style w:type="paragraph" w:styleId="Textonotapie">
    <w:name w:val="footnote text"/>
    <w:basedOn w:val="Normal"/>
    <w:link w:val="TextonotapieCar"/>
    <w:uiPriority w:val="99"/>
    <w:semiHidden/>
    <w:unhideWhenUsed/>
    <w:rsid w:val="003614F6"/>
    <w:pPr>
      <w:spacing w:after="0" w:line="240" w:lineRule="auto"/>
    </w:pPr>
    <w:rPr>
      <w:kern w:val="2"/>
      <w:sz w:val="20"/>
      <w:szCs w:val="20"/>
      <w14:ligatures w14:val="standardContextual"/>
    </w:rPr>
  </w:style>
  <w:style w:type="character" w:customStyle="1" w:styleId="TextonotapieCar">
    <w:name w:val="Texto nota pie Car"/>
    <w:basedOn w:val="Fuentedeprrafopredeter"/>
    <w:link w:val="Textonotapie"/>
    <w:uiPriority w:val="99"/>
    <w:semiHidden/>
    <w:rsid w:val="003614F6"/>
    <w:rPr>
      <w:kern w:val="2"/>
      <w:sz w:val="20"/>
      <w:szCs w:val="20"/>
      <w14:ligatures w14:val="standardContextual"/>
    </w:rPr>
  </w:style>
  <w:style w:type="character" w:styleId="Refdenotaalpie">
    <w:name w:val="footnote reference"/>
    <w:basedOn w:val="Fuentedeprrafopredeter"/>
    <w:uiPriority w:val="99"/>
    <w:semiHidden/>
    <w:unhideWhenUsed/>
    <w:rsid w:val="003614F6"/>
    <w:rPr>
      <w:vertAlign w:val="superscript"/>
    </w:rPr>
  </w:style>
  <w:style w:type="character" w:styleId="Fuerte">
    <w:name w:val="Strong"/>
    <w:basedOn w:val="Fuentedeprrafopredeter"/>
    <w:uiPriority w:val="22"/>
    <w:qFormat/>
    <w:rsid w:val="003614F6"/>
    <w:rPr>
      <w:b/>
      <w:bCs/>
    </w:rPr>
  </w:style>
  <w:style w:type="table" w:styleId="Tablaconcuadrcula">
    <w:name w:val="Table Grid"/>
    <w:basedOn w:val="Tablanormal"/>
    <w:uiPriority w:val="59"/>
    <w:rsid w:val="003614F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773C7"/>
    <w:rPr>
      <w:rFonts w:asciiTheme="majorHAnsi" w:eastAsiaTheme="majorEastAsia" w:hAnsiTheme="majorHAnsi" w:cstheme="majorBidi"/>
      <w:b/>
      <w:bCs/>
      <w:color w:val="000000"/>
      <w:sz w:val="26"/>
      <w:szCs w:val="28"/>
      <w:lang w:val="en-US"/>
    </w:rPr>
  </w:style>
  <w:style w:type="character" w:customStyle="1" w:styleId="Ttulo2Car">
    <w:name w:val="Título 2 Car"/>
    <w:basedOn w:val="Fuentedeprrafopredeter"/>
    <w:link w:val="Ttulo2"/>
    <w:uiPriority w:val="9"/>
    <w:rsid w:val="00E773C7"/>
    <w:rPr>
      <w:rFonts w:asciiTheme="majorHAnsi" w:eastAsiaTheme="majorEastAsia" w:hAnsiTheme="majorHAnsi" w:cstheme="majorBidi"/>
      <w:b/>
      <w:bCs/>
      <w:color w:val="000000"/>
      <w:sz w:val="23"/>
      <w:szCs w:val="26"/>
      <w:lang w:val="en-US"/>
    </w:rPr>
  </w:style>
  <w:style w:type="paragraph" w:styleId="Listaconvietas">
    <w:name w:val="List Bullet"/>
    <w:basedOn w:val="Normal"/>
    <w:uiPriority w:val="99"/>
    <w:unhideWhenUsed/>
    <w:rsid w:val="00E773C7"/>
    <w:pPr>
      <w:numPr>
        <w:numId w:val="10"/>
      </w:numPr>
      <w:tabs>
        <w:tab w:val="clear" w:pos="360"/>
      </w:tabs>
      <w:spacing w:after="100" w:line="276" w:lineRule="auto"/>
      <w:ind w:left="0" w:firstLine="0"/>
      <w:contextualSpacing/>
    </w:pPr>
    <w:rPr>
      <w:rFonts w:ascii="Arial" w:eastAsiaTheme="minorEastAsia" w:hAnsi="Arial"/>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21</Pages>
  <Words>6365</Words>
  <Characters>35010</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Felipe Beltrán</dc:creator>
  <cp:keywords/>
  <dc:description/>
  <cp:lastModifiedBy>Angélica Rueda</cp:lastModifiedBy>
  <cp:revision>48</cp:revision>
  <dcterms:created xsi:type="dcterms:W3CDTF">2026-08-29T14:41:00Z</dcterms:created>
  <dcterms:modified xsi:type="dcterms:W3CDTF">2026-08-31T21:53:00Z</dcterms:modified>
</cp:coreProperties>
</file>