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8BCEB" w14:textId="4EA29883" w:rsidR="00561DBB" w:rsidRPr="00320EE1" w:rsidRDefault="00561DBB" w:rsidP="002A71D3">
      <w:pPr>
        <w:spacing w:after="0" w:line="240" w:lineRule="auto"/>
        <w:jc w:val="center"/>
        <w:rPr>
          <w:rFonts w:ascii="Tahoma" w:hAnsi="Tahoma" w:cs="Tahoma"/>
          <w:sz w:val="22"/>
          <w:szCs w:val="22"/>
        </w:rPr>
      </w:pPr>
      <w:r w:rsidRPr="00320EE1">
        <w:rPr>
          <w:rFonts w:ascii="Tahoma" w:eastAsia="Arial" w:hAnsi="Tahoma" w:cs="Tahoma"/>
          <w:b/>
          <w:sz w:val="22"/>
          <w:szCs w:val="22"/>
        </w:rPr>
        <w:t>INFORME DE PONENCIA PARA PRIMER DEBATE</w:t>
      </w:r>
    </w:p>
    <w:p w14:paraId="187F528F" w14:textId="77777777" w:rsidR="002A07E4" w:rsidRPr="00320EE1" w:rsidRDefault="002A07E4" w:rsidP="002A71D3">
      <w:pPr>
        <w:spacing w:after="0" w:line="240" w:lineRule="auto"/>
        <w:jc w:val="center"/>
        <w:rPr>
          <w:rFonts w:ascii="Tahoma" w:eastAsia="Arial" w:hAnsi="Tahoma" w:cs="Tahoma"/>
          <w:b/>
          <w:sz w:val="22"/>
          <w:szCs w:val="22"/>
        </w:rPr>
      </w:pPr>
    </w:p>
    <w:p w14:paraId="3CE0BF9A" w14:textId="2E75B380" w:rsidR="004C124E" w:rsidRPr="00320EE1" w:rsidRDefault="00561DBB" w:rsidP="004C124E">
      <w:pPr>
        <w:spacing w:after="0" w:line="240" w:lineRule="auto"/>
        <w:jc w:val="center"/>
        <w:rPr>
          <w:rFonts w:ascii="Tahoma" w:eastAsia="Arial" w:hAnsi="Tahoma" w:cs="Tahoma"/>
          <w:b/>
          <w:sz w:val="22"/>
          <w:szCs w:val="22"/>
        </w:rPr>
      </w:pPr>
      <w:r w:rsidRPr="00320EE1">
        <w:rPr>
          <w:rFonts w:ascii="Tahoma" w:eastAsia="Arial" w:hAnsi="Tahoma" w:cs="Tahoma"/>
          <w:b/>
          <w:sz w:val="22"/>
          <w:szCs w:val="22"/>
        </w:rPr>
        <w:t>PROYECTO DE LEY No. 054 DE 2026 CÁMARA</w:t>
      </w:r>
    </w:p>
    <w:p w14:paraId="4F28F481" w14:textId="77777777" w:rsidR="00561DBB" w:rsidRPr="004C124E" w:rsidRDefault="00561DBB" w:rsidP="002A71D3">
      <w:pPr>
        <w:spacing w:after="0" w:line="240" w:lineRule="auto"/>
        <w:jc w:val="center"/>
        <w:rPr>
          <w:rFonts w:ascii="Tahoma" w:eastAsia="Arial" w:hAnsi="Tahoma" w:cs="Tahoma"/>
          <w:bCs/>
          <w:i/>
          <w:iCs/>
          <w:sz w:val="22"/>
          <w:szCs w:val="22"/>
        </w:rPr>
      </w:pPr>
      <w:r w:rsidRPr="004C124E">
        <w:rPr>
          <w:rFonts w:ascii="Tahoma" w:eastAsia="Arial" w:hAnsi="Tahoma" w:cs="Tahoma"/>
          <w:bCs/>
          <w:i/>
          <w:iCs/>
          <w:sz w:val="22"/>
          <w:szCs w:val="22"/>
        </w:rPr>
        <w:t>“Por medio de la cual se adoptan medidas contra la reincidencia específica en delitos de alto impacto, se establecen agravantes especiales, se fortalecen los criterios de valoración judicial en materia de beneficios, subrogados y medidas de aseguramiento, y se dictan otras disposiciones”</w:t>
      </w:r>
    </w:p>
    <w:p w14:paraId="2DD5A400" w14:textId="77777777" w:rsidR="002A07E4" w:rsidRPr="00320EE1" w:rsidRDefault="002A07E4" w:rsidP="002A71D3">
      <w:pPr>
        <w:spacing w:after="0" w:line="240" w:lineRule="auto"/>
        <w:jc w:val="center"/>
        <w:rPr>
          <w:rFonts w:ascii="Tahoma" w:hAnsi="Tahoma" w:cs="Tahoma"/>
          <w:sz w:val="22"/>
          <w:szCs w:val="22"/>
        </w:rPr>
      </w:pPr>
    </w:p>
    <w:p w14:paraId="7138D240" w14:textId="246AD15B" w:rsidR="00561DBB" w:rsidRPr="00320EE1" w:rsidRDefault="00561DBB" w:rsidP="002A71D3">
      <w:pPr>
        <w:spacing w:after="0" w:line="240" w:lineRule="auto"/>
        <w:rPr>
          <w:rFonts w:ascii="Tahoma" w:eastAsia="Arial" w:hAnsi="Tahoma" w:cs="Tahoma"/>
          <w:sz w:val="22"/>
          <w:szCs w:val="22"/>
        </w:rPr>
      </w:pPr>
      <w:r w:rsidRPr="00320EE1">
        <w:rPr>
          <w:rFonts w:ascii="Tahoma" w:eastAsia="Arial" w:hAnsi="Tahoma" w:cs="Tahoma"/>
          <w:sz w:val="22"/>
          <w:szCs w:val="22"/>
        </w:rPr>
        <w:t>Bogotá D.C.,</w:t>
      </w:r>
      <w:r w:rsidR="00966ECB">
        <w:rPr>
          <w:rFonts w:ascii="Tahoma" w:eastAsia="Arial" w:hAnsi="Tahoma" w:cs="Tahoma"/>
          <w:sz w:val="22"/>
          <w:szCs w:val="22"/>
        </w:rPr>
        <w:t xml:space="preserve"> </w:t>
      </w:r>
      <w:r w:rsidR="0003664D">
        <w:rPr>
          <w:rFonts w:ascii="Tahoma" w:eastAsia="Arial" w:hAnsi="Tahoma" w:cs="Tahoma"/>
          <w:sz w:val="22"/>
          <w:szCs w:val="22"/>
        </w:rPr>
        <w:t>8</w:t>
      </w:r>
      <w:r w:rsidR="00260EEB" w:rsidRPr="000F3E69">
        <w:rPr>
          <w:rFonts w:ascii="Tahoma" w:eastAsia="Arial" w:hAnsi="Tahoma" w:cs="Tahoma"/>
          <w:sz w:val="22"/>
          <w:szCs w:val="22"/>
        </w:rPr>
        <w:t xml:space="preserve"> de septiembre</w:t>
      </w:r>
      <w:r w:rsidRPr="000F3E69">
        <w:rPr>
          <w:rFonts w:ascii="Tahoma" w:eastAsia="Arial" w:hAnsi="Tahoma" w:cs="Tahoma"/>
          <w:sz w:val="22"/>
          <w:szCs w:val="22"/>
        </w:rPr>
        <w:t xml:space="preserve"> de 2026</w:t>
      </w:r>
    </w:p>
    <w:p w14:paraId="66AF4781" w14:textId="77777777" w:rsidR="002A07E4" w:rsidRPr="00320EE1" w:rsidRDefault="002A07E4" w:rsidP="002A71D3">
      <w:pPr>
        <w:spacing w:after="0" w:line="240" w:lineRule="auto"/>
        <w:rPr>
          <w:rFonts w:ascii="Tahoma" w:eastAsia="Arial" w:hAnsi="Tahoma" w:cs="Tahoma"/>
          <w:sz w:val="22"/>
          <w:szCs w:val="22"/>
        </w:rPr>
      </w:pPr>
    </w:p>
    <w:p w14:paraId="2BE6D5D7" w14:textId="6F3D24CB" w:rsidR="00561DBB" w:rsidRPr="00320EE1" w:rsidRDefault="002A71D3" w:rsidP="002A71D3">
      <w:pPr>
        <w:spacing w:after="0" w:line="240" w:lineRule="auto"/>
        <w:rPr>
          <w:rFonts w:ascii="Tahoma" w:eastAsia="Arial" w:hAnsi="Tahoma" w:cs="Tahoma"/>
          <w:sz w:val="22"/>
          <w:szCs w:val="22"/>
        </w:rPr>
      </w:pPr>
      <w:r w:rsidRPr="00320EE1">
        <w:rPr>
          <w:rFonts w:ascii="Tahoma" w:eastAsia="Arial" w:hAnsi="Tahoma" w:cs="Tahoma"/>
          <w:sz w:val="22"/>
          <w:szCs w:val="22"/>
        </w:rPr>
        <w:t>Doctor</w:t>
      </w:r>
    </w:p>
    <w:p w14:paraId="729A23C1" w14:textId="11960E49" w:rsidR="00A43E9E" w:rsidRPr="00320EE1" w:rsidRDefault="00A43E9E" w:rsidP="002A71D3">
      <w:pPr>
        <w:spacing w:after="0" w:line="240" w:lineRule="auto"/>
        <w:rPr>
          <w:rFonts w:ascii="Tahoma" w:hAnsi="Tahoma" w:cs="Tahoma"/>
          <w:b/>
          <w:bCs/>
          <w:sz w:val="22"/>
          <w:szCs w:val="22"/>
        </w:rPr>
      </w:pPr>
      <w:r w:rsidRPr="00320EE1">
        <w:rPr>
          <w:rFonts w:ascii="Tahoma" w:eastAsia="Arial" w:hAnsi="Tahoma" w:cs="Tahoma"/>
          <w:b/>
          <w:bCs/>
          <w:sz w:val="22"/>
          <w:szCs w:val="22"/>
        </w:rPr>
        <w:t>JOSE JAIME USCÁTEGUI PASTRANA</w:t>
      </w:r>
    </w:p>
    <w:p w14:paraId="51A664DB" w14:textId="7C78D072" w:rsidR="00561DBB" w:rsidRPr="00320EE1" w:rsidRDefault="00561DBB" w:rsidP="002A71D3">
      <w:pPr>
        <w:spacing w:after="0" w:line="240" w:lineRule="auto"/>
        <w:rPr>
          <w:rFonts w:ascii="Tahoma" w:hAnsi="Tahoma" w:cs="Tahoma"/>
          <w:bCs/>
          <w:sz w:val="22"/>
          <w:szCs w:val="22"/>
        </w:rPr>
      </w:pPr>
      <w:r w:rsidRPr="00320EE1">
        <w:rPr>
          <w:rFonts w:ascii="Tahoma" w:eastAsia="Arial" w:hAnsi="Tahoma" w:cs="Tahoma"/>
          <w:bCs/>
          <w:sz w:val="22"/>
          <w:szCs w:val="22"/>
        </w:rPr>
        <w:t>P</w:t>
      </w:r>
      <w:r w:rsidR="00A43E9E" w:rsidRPr="00320EE1">
        <w:rPr>
          <w:rFonts w:ascii="Tahoma" w:eastAsia="Arial" w:hAnsi="Tahoma" w:cs="Tahoma"/>
          <w:bCs/>
          <w:sz w:val="22"/>
          <w:szCs w:val="22"/>
        </w:rPr>
        <w:t>residente</w:t>
      </w:r>
    </w:p>
    <w:p w14:paraId="777817E5" w14:textId="77777777" w:rsidR="00561DBB" w:rsidRPr="00320EE1" w:rsidRDefault="00561DBB" w:rsidP="002A71D3">
      <w:pPr>
        <w:spacing w:after="0" w:line="240" w:lineRule="auto"/>
        <w:rPr>
          <w:rFonts w:ascii="Tahoma" w:hAnsi="Tahoma" w:cs="Tahoma"/>
          <w:sz w:val="22"/>
          <w:szCs w:val="22"/>
        </w:rPr>
      </w:pPr>
      <w:r w:rsidRPr="00320EE1">
        <w:rPr>
          <w:rFonts w:ascii="Tahoma" w:eastAsia="Arial" w:hAnsi="Tahoma" w:cs="Tahoma"/>
          <w:sz w:val="22"/>
          <w:szCs w:val="22"/>
        </w:rPr>
        <w:t>Comisión Primera Constitucional Permanente</w:t>
      </w:r>
    </w:p>
    <w:p w14:paraId="5539B370" w14:textId="15FA1F99" w:rsidR="00561DBB" w:rsidRPr="00320EE1" w:rsidRDefault="00A43E9E" w:rsidP="002A71D3">
      <w:pPr>
        <w:spacing w:after="0" w:line="240" w:lineRule="auto"/>
        <w:rPr>
          <w:rFonts w:ascii="Tahoma" w:hAnsi="Tahoma" w:cs="Tahoma"/>
          <w:b/>
          <w:bCs/>
          <w:sz w:val="22"/>
          <w:szCs w:val="22"/>
        </w:rPr>
      </w:pPr>
      <w:r w:rsidRPr="00320EE1">
        <w:rPr>
          <w:rFonts w:ascii="Tahoma" w:eastAsia="Arial" w:hAnsi="Tahoma" w:cs="Tahoma"/>
          <w:b/>
          <w:bCs/>
          <w:sz w:val="22"/>
          <w:szCs w:val="22"/>
        </w:rPr>
        <w:t>CÁMARA DE REPRESENTANTES</w:t>
      </w:r>
    </w:p>
    <w:p w14:paraId="21A5A449" w14:textId="77777777" w:rsidR="00561DBB" w:rsidRPr="00320EE1" w:rsidRDefault="00561DBB" w:rsidP="002A71D3">
      <w:pPr>
        <w:spacing w:after="0" w:line="240" w:lineRule="auto"/>
        <w:rPr>
          <w:rFonts w:ascii="Tahoma" w:eastAsia="Arial" w:hAnsi="Tahoma" w:cs="Tahoma"/>
          <w:sz w:val="22"/>
          <w:szCs w:val="22"/>
        </w:rPr>
      </w:pPr>
      <w:r w:rsidRPr="00320EE1">
        <w:rPr>
          <w:rFonts w:ascii="Tahoma" w:eastAsia="Arial" w:hAnsi="Tahoma" w:cs="Tahoma"/>
          <w:sz w:val="22"/>
          <w:szCs w:val="22"/>
        </w:rPr>
        <w:t>Ciudad</w:t>
      </w:r>
    </w:p>
    <w:p w14:paraId="3E198C03" w14:textId="77777777" w:rsidR="00260EEB" w:rsidRPr="00320EE1" w:rsidRDefault="00260EEB" w:rsidP="002A71D3">
      <w:pPr>
        <w:spacing w:after="0" w:line="240" w:lineRule="auto"/>
        <w:rPr>
          <w:rFonts w:ascii="Tahoma" w:hAnsi="Tahoma" w:cs="Tahoma"/>
          <w:sz w:val="22"/>
          <w:szCs w:val="22"/>
        </w:rPr>
      </w:pPr>
    </w:p>
    <w:p w14:paraId="6A9C3AC4" w14:textId="379ADCB7" w:rsidR="00561DBB" w:rsidRPr="00320EE1" w:rsidRDefault="00561DBB" w:rsidP="002A71D3">
      <w:pPr>
        <w:spacing w:after="0" w:line="240" w:lineRule="auto"/>
        <w:ind w:left="1416" w:hanging="1416"/>
        <w:rPr>
          <w:rFonts w:ascii="Tahoma" w:eastAsia="Arial" w:hAnsi="Tahoma" w:cs="Tahoma"/>
          <w:sz w:val="22"/>
          <w:szCs w:val="22"/>
        </w:rPr>
      </w:pPr>
      <w:r w:rsidRPr="00320EE1">
        <w:rPr>
          <w:rFonts w:ascii="Tahoma" w:eastAsia="Arial" w:hAnsi="Tahoma" w:cs="Tahoma"/>
          <w:b/>
          <w:sz w:val="22"/>
          <w:szCs w:val="22"/>
        </w:rPr>
        <w:t xml:space="preserve">Asunto: </w:t>
      </w:r>
      <w:r w:rsidR="00A43E9E" w:rsidRPr="00320EE1">
        <w:rPr>
          <w:rFonts w:ascii="Tahoma" w:eastAsia="Arial" w:hAnsi="Tahoma" w:cs="Tahoma"/>
          <w:b/>
          <w:sz w:val="22"/>
          <w:szCs w:val="22"/>
        </w:rPr>
        <w:tab/>
      </w:r>
      <w:r w:rsidRPr="00320EE1">
        <w:rPr>
          <w:rFonts w:ascii="Tahoma" w:eastAsia="Arial" w:hAnsi="Tahoma" w:cs="Tahoma"/>
          <w:sz w:val="22"/>
          <w:szCs w:val="22"/>
        </w:rPr>
        <w:t>Informe de Ponencia Positiva para Primer Debate al Proyecto de Ley No. 054 de 2026 Cámara.</w:t>
      </w:r>
    </w:p>
    <w:p w14:paraId="140D265F" w14:textId="77777777" w:rsidR="00A43E9E" w:rsidRPr="00320EE1" w:rsidRDefault="00A43E9E" w:rsidP="002A71D3">
      <w:pPr>
        <w:spacing w:after="0" w:line="240" w:lineRule="auto"/>
        <w:ind w:left="1416" w:hanging="1416"/>
        <w:rPr>
          <w:rFonts w:ascii="Tahoma" w:hAnsi="Tahoma" w:cs="Tahoma"/>
          <w:sz w:val="22"/>
          <w:szCs w:val="22"/>
        </w:rPr>
      </w:pPr>
    </w:p>
    <w:p w14:paraId="530190C6" w14:textId="2BCDDD10" w:rsidR="002A71D3" w:rsidRPr="00320EE1" w:rsidRDefault="002A71D3" w:rsidP="002A71D3">
      <w:pPr>
        <w:spacing w:after="0" w:line="240" w:lineRule="auto"/>
        <w:rPr>
          <w:rFonts w:ascii="Tahoma" w:hAnsi="Tahoma" w:cs="Tahoma"/>
          <w:sz w:val="22"/>
          <w:szCs w:val="22"/>
        </w:rPr>
      </w:pPr>
      <w:r w:rsidRPr="00320EE1">
        <w:rPr>
          <w:rFonts w:ascii="Tahoma" w:hAnsi="Tahoma" w:cs="Tahoma"/>
          <w:sz w:val="22"/>
          <w:szCs w:val="22"/>
        </w:rPr>
        <w:t>Respetado señor Presidente:</w:t>
      </w:r>
    </w:p>
    <w:p w14:paraId="4B8F8FFC" w14:textId="77777777" w:rsidR="002A71D3" w:rsidRPr="00320EE1" w:rsidRDefault="002A71D3" w:rsidP="002A71D3">
      <w:pPr>
        <w:spacing w:after="0" w:line="240" w:lineRule="auto"/>
        <w:rPr>
          <w:rFonts w:ascii="Tahoma" w:hAnsi="Tahoma" w:cs="Tahoma"/>
          <w:sz w:val="22"/>
          <w:szCs w:val="22"/>
        </w:rPr>
      </w:pPr>
    </w:p>
    <w:p w14:paraId="7E1BED25" w14:textId="476C28DA" w:rsidR="002A71D3" w:rsidRPr="00320EE1" w:rsidRDefault="002A71D3" w:rsidP="00A77BD8">
      <w:pPr>
        <w:spacing w:after="0" w:line="240" w:lineRule="auto"/>
        <w:jc w:val="both"/>
        <w:rPr>
          <w:rFonts w:ascii="Tahoma" w:hAnsi="Tahoma" w:cs="Tahoma"/>
          <w:sz w:val="22"/>
          <w:szCs w:val="22"/>
        </w:rPr>
      </w:pPr>
      <w:r w:rsidRPr="00320EE1">
        <w:rPr>
          <w:rFonts w:ascii="Tahoma" w:hAnsi="Tahoma" w:cs="Tahoma"/>
          <w:sz w:val="22"/>
          <w:szCs w:val="22"/>
        </w:rPr>
        <w:t>En cumplimiento de la designación efectuada por la Mesa Directiva de la Comisión Primera Constitucional Permanente de la Cámara de Representantes y de conformidad con la Constitución Política y la Ley 5ª de 1992, me permito rendir Informe de Ponencia Positiva para Primer Debate al Proyecto de Ley No. 054 de 2026 Cámara, en los siguientes términos:</w:t>
      </w:r>
    </w:p>
    <w:p w14:paraId="7DC259EE" w14:textId="77777777" w:rsidR="00A77BD8" w:rsidRPr="00320EE1" w:rsidRDefault="00A77BD8" w:rsidP="00A77BD8">
      <w:pPr>
        <w:spacing w:after="0" w:line="240" w:lineRule="auto"/>
        <w:jc w:val="both"/>
        <w:rPr>
          <w:rFonts w:ascii="Tahoma" w:hAnsi="Tahoma" w:cs="Tahoma"/>
          <w:sz w:val="22"/>
          <w:szCs w:val="22"/>
        </w:rPr>
      </w:pPr>
    </w:p>
    <w:p w14:paraId="10658FE4" w14:textId="4F422CC9" w:rsidR="002A71D3" w:rsidRPr="00320EE1" w:rsidRDefault="002A71D3" w:rsidP="00A77BD8">
      <w:pPr>
        <w:pStyle w:val="Prrafodelista"/>
        <w:keepNext/>
        <w:numPr>
          <w:ilvl w:val="0"/>
          <w:numId w:val="12"/>
        </w:numPr>
        <w:spacing w:after="0" w:line="240" w:lineRule="auto"/>
        <w:jc w:val="both"/>
        <w:rPr>
          <w:rFonts w:ascii="Tahoma" w:hAnsi="Tahoma" w:cs="Tahoma"/>
          <w:sz w:val="22"/>
          <w:szCs w:val="22"/>
        </w:rPr>
      </w:pPr>
      <w:r w:rsidRPr="00320EE1">
        <w:rPr>
          <w:rFonts w:ascii="Tahoma" w:hAnsi="Tahoma" w:cs="Tahoma"/>
          <w:b/>
          <w:sz w:val="22"/>
          <w:szCs w:val="22"/>
        </w:rPr>
        <w:t>ANTECEDENTES DEL PROYECTO</w:t>
      </w:r>
    </w:p>
    <w:p w14:paraId="1709FF73" w14:textId="77777777" w:rsidR="00A77BD8" w:rsidRPr="00320EE1" w:rsidRDefault="00A77BD8" w:rsidP="00A77BD8">
      <w:pPr>
        <w:keepNext/>
        <w:spacing w:after="0" w:line="240" w:lineRule="auto"/>
        <w:jc w:val="both"/>
        <w:rPr>
          <w:rFonts w:ascii="Tahoma" w:hAnsi="Tahoma" w:cs="Tahoma"/>
          <w:sz w:val="22"/>
          <w:szCs w:val="22"/>
        </w:rPr>
      </w:pPr>
    </w:p>
    <w:p w14:paraId="234DE397" w14:textId="33D5E04B" w:rsidR="002A71D3" w:rsidRPr="00320EE1" w:rsidRDefault="002A71D3" w:rsidP="00A77BD8">
      <w:pPr>
        <w:spacing w:after="0" w:line="240" w:lineRule="auto"/>
        <w:jc w:val="both"/>
        <w:rPr>
          <w:rFonts w:ascii="Tahoma" w:hAnsi="Tahoma" w:cs="Tahoma"/>
          <w:sz w:val="22"/>
          <w:szCs w:val="22"/>
        </w:rPr>
      </w:pPr>
      <w:r w:rsidRPr="00320EE1">
        <w:rPr>
          <w:rFonts w:ascii="Tahoma" w:hAnsi="Tahoma" w:cs="Tahoma"/>
          <w:sz w:val="22"/>
          <w:szCs w:val="22"/>
        </w:rPr>
        <w:t xml:space="preserve">El Proyecto de Ley No. 054 de 2026 Cámara es de </w:t>
      </w:r>
      <w:r w:rsidR="00A77BD8" w:rsidRPr="00320EE1">
        <w:rPr>
          <w:rFonts w:ascii="Tahoma" w:hAnsi="Tahoma" w:cs="Tahoma"/>
          <w:sz w:val="22"/>
          <w:szCs w:val="22"/>
        </w:rPr>
        <w:t>mi autoría</w:t>
      </w:r>
      <w:r w:rsidRPr="00320EE1">
        <w:rPr>
          <w:rFonts w:ascii="Tahoma" w:hAnsi="Tahoma" w:cs="Tahoma"/>
          <w:sz w:val="22"/>
          <w:szCs w:val="22"/>
        </w:rPr>
        <w:t>. El escrito de radicación está fechado el 20 de julio de 2026 y la iniciativa fue publicada en la Gaceta del Congreso No. 899 de 2026.</w:t>
      </w:r>
    </w:p>
    <w:p w14:paraId="243EE44C" w14:textId="77777777" w:rsidR="00A77BD8" w:rsidRPr="00320EE1" w:rsidRDefault="00A77BD8" w:rsidP="00A77BD8">
      <w:pPr>
        <w:spacing w:after="0" w:line="240" w:lineRule="auto"/>
        <w:jc w:val="both"/>
        <w:rPr>
          <w:rFonts w:ascii="Tahoma" w:hAnsi="Tahoma" w:cs="Tahoma"/>
          <w:sz w:val="22"/>
          <w:szCs w:val="22"/>
        </w:rPr>
      </w:pPr>
    </w:p>
    <w:p w14:paraId="7E20CF73" w14:textId="4CDBDE14" w:rsidR="002A71D3" w:rsidRPr="00320EE1" w:rsidRDefault="002A71D3" w:rsidP="00A77BD8">
      <w:pPr>
        <w:spacing w:after="0" w:line="240" w:lineRule="auto"/>
        <w:jc w:val="both"/>
        <w:rPr>
          <w:rFonts w:ascii="Tahoma" w:hAnsi="Tahoma" w:cs="Tahoma"/>
          <w:sz w:val="22"/>
          <w:szCs w:val="22"/>
        </w:rPr>
      </w:pPr>
      <w:r w:rsidRPr="00320EE1">
        <w:rPr>
          <w:rFonts w:ascii="Tahoma" w:hAnsi="Tahoma" w:cs="Tahoma"/>
          <w:sz w:val="22"/>
          <w:szCs w:val="22"/>
        </w:rPr>
        <w:t xml:space="preserve">El proyecto fue recibido en la Comisión Primera Constitucional Permanente el 19 de agosto de 2026. Mediante Acta No. 04 del 24 de agosto de 2026, la Mesa Directiva de la Comisión </w:t>
      </w:r>
      <w:r w:rsidR="004B2B0A" w:rsidRPr="00320EE1">
        <w:rPr>
          <w:rFonts w:ascii="Tahoma" w:hAnsi="Tahoma" w:cs="Tahoma"/>
          <w:sz w:val="22"/>
          <w:szCs w:val="22"/>
        </w:rPr>
        <w:t xml:space="preserve">me </w:t>
      </w:r>
      <w:r w:rsidRPr="00320EE1">
        <w:rPr>
          <w:rFonts w:ascii="Tahoma" w:hAnsi="Tahoma" w:cs="Tahoma"/>
          <w:sz w:val="22"/>
          <w:szCs w:val="22"/>
        </w:rPr>
        <w:t>designó como ponente único para primer debate, circunstancia comunicada mediante oficio C.P.C.P. 3.1–0086–2026 de la misma fecha.</w:t>
      </w:r>
    </w:p>
    <w:p w14:paraId="1965B3F0" w14:textId="77777777" w:rsidR="004B2B0A" w:rsidRPr="00320EE1" w:rsidRDefault="004B2B0A" w:rsidP="004B2B0A">
      <w:pPr>
        <w:spacing w:after="0" w:line="240" w:lineRule="auto"/>
        <w:jc w:val="both"/>
        <w:rPr>
          <w:rFonts w:ascii="Tahoma" w:hAnsi="Tahoma" w:cs="Tahoma"/>
          <w:sz w:val="22"/>
          <w:szCs w:val="22"/>
        </w:rPr>
      </w:pPr>
    </w:p>
    <w:p w14:paraId="4BC36670" w14:textId="2E942D3E" w:rsidR="002A71D3" w:rsidRPr="00320EE1" w:rsidRDefault="002A71D3" w:rsidP="004B2B0A">
      <w:pPr>
        <w:spacing w:after="0" w:line="240" w:lineRule="auto"/>
        <w:jc w:val="both"/>
        <w:rPr>
          <w:rFonts w:ascii="Tahoma" w:hAnsi="Tahoma" w:cs="Tahoma"/>
          <w:sz w:val="22"/>
          <w:szCs w:val="22"/>
        </w:rPr>
      </w:pPr>
      <w:r w:rsidRPr="00320EE1">
        <w:rPr>
          <w:rFonts w:ascii="Tahoma" w:hAnsi="Tahoma" w:cs="Tahoma"/>
          <w:sz w:val="22"/>
          <w:szCs w:val="22"/>
        </w:rPr>
        <w:t>La iniciativa consta de veintitrés (23) artículos y propone una regulación integral, aunque estrictamente delimitada, de los efectos jurídicos de la reincidencia específica relevante</w:t>
      </w:r>
      <w:r w:rsidR="00734CDD" w:rsidRPr="00320EE1">
        <w:rPr>
          <w:rFonts w:ascii="Tahoma" w:hAnsi="Tahoma" w:cs="Tahoma"/>
          <w:sz w:val="22"/>
          <w:szCs w:val="22"/>
        </w:rPr>
        <w:t xml:space="preserve"> –concepto que se crea con el proyecto de ley–</w:t>
      </w:r>
      <w:r w:rsidRPr="00320EE1">
        <w:rPr>
          <w:rFonts w:ascii="Tahoma" w:hAnsi="Tahoma" w:cs="Tahoma"/>
          <w:sz w:val="22"/>
          <w:szCs w:val="22"/>
        </w:rPr>
        <w:t xml:space="preserve"> en determinados delitos dolosos de alto impacto. Esta ponencia se rinde sobre el texto radicado y publicado, sin proponer modificación alguna a su articulado.</w:t>
      </w:r>
    </w:p>
    <w:p w14:paraId="18F47072" w14:textId="77777777" w:rsidR="00734CDD" w:rsidRPr="00320EE1" w:rsidRDefault="00734CDD" w:rsidP="004B2B0A">
      <w:pPr>
        <w:spacing w:after="0" w:line="240" w:lineRule="auto"/>
        <w:jc w:val="both"/>
        <w:rPr>
          <w:rFonts w:ascii="Tahoma" w:hAnsi="Tahoma" w:cs="Tahoma"/>
          <w:sz w:val="22"/>
          <w:szCs w:val="22"/>
        </w:rPr>
      </w:pPr>
    </w:p>
    <w:p w14:paraId="223DB3AD" w14:textId="03BFD10C" w:rsidR="002A71D3" w:rsidRPr="00320EE1" w:rsidRDefault="002A71D3" w:rsidP="00734CDD">
      <w:pPr>
        <w:pStyle w:val="Prrafodelista"/>
        <w:keepNext/>
        <w:numPr>
          <w:ilvl w:val="0"/>
          <w:numId w:val="12"/>
        </w:numPr>
        <w:spacing w:after="0" w:line="240" w:lineRule="auto"/>
        <w:rPr>
          <w:rFonts w:ascii="Tahoma" w:hAnsi="Tahoma" w:cs="Tahoma"/>
          <w:sz w:val="22"/>
          <w:szCs w:val="22"/>
        </w:rPr>
      </w:pPr>
      <w:r w:rsidRPr="00320EE1">
        <w:rPr>
          <w:rFonts w:ascii="Tahoma" w:hAnsi="Tahoma" w:cs="Tahoma"/>
          <w:b/>
          <w:sz w:val="22"/>
          <w:szCs w:val="22"/>
        </w:rPr>
        <w:lastRenderedPageBreak/>
        <w:t>OBJETO DEL PROYECTO DE LEY</w:t>
      </w:r>
    </w:p>
    <w:p w14:paraId="7B02FE18" w14:textId="77777777" w:rsidR="00734CDD" w:rsidRPr="00320EE1" w:rsidRDefault="00734CDD" w:rsidP="00734CDD">
      <w:pPr>
        <w:keepNext/>
        <w:spacing w:after="0" w:line="240" w:lineRule="auto"/>
        <w:ind w:left="360"/>
        <w:rPr>
          <w:rFonts w:ascii="Tahoma" w:hAnsi="Tahoma" w:cs="Tahoma"/>
          <w:sz w:val="22"/>
          <w:szCs w:val="22"/>
        </w:rPr>
      </w:pPr>
    </w:p>
    <w:p w14:paraId="3422B749" w14:textId="77777777" w:rsidR="002A71D3" w:rsidRPr="00320EE1" w:rsidRDefault="002A71D3" w:rsidP="00734CDD">
      <w:pPr>
        <w:spacing w:after="0" w:line="240" w:lineRule="auto"/>
        <w:jc w:val="both"/>
        <w:rPr>
          <w:rFonts w:ascii="Tahoma" w:hAnsi="Tahoma" w:cs="Tahoma"/>
          <w:sz w:val="22"/>
          <w:szCs w:val="22"/>
        </w:rPr>
      </w:pPr>
      <w:r w:rsidRPr="00320EE1">
        <w:rPr>
          <w:rFonts w:ascii="Tahoma" w:hAnsi="Tahoma" w:cs="Tahoma"/>
          <w:sz w:val="22"/>
          <w:szCs w:val="22"/>
        </w:rPr>
        <w:t>El proyecto tiene por objeto adoptar medidas penales, procesales y de política criminal frente a la reincidencia específica en delitos de alto impacto ciudadano, con el fin de proteger la seguridad pública, los derechos de las víctimas, la eficacia de la administración de justicia y la confianza ciudadana en el sistema penal. Para ello, establece agravantes especiales, reglas de valoración judicial reforzada en materia de beneficios, subrogados y mecanismos sustitutivos de la pena, criterios procesales para la imposición de medidas de aseguramiento y medidas de gestión judicial orientadas a prevenir la reiteración delictiva y el vencimiento de términos.</w:t>
      </w:r>
    </w:p>
    <w:p w14:paraId="7F8D9393" w14:textId="77777777" w:rsidR="00331221" w:rsidRPr="00320EE1" w:rsidRDefault="00331221" w:rsidP="00734CDD">
      <w:pPr>
        <w:spacing w:after="0" w:line="240" w:lineRule="auto"/>
        <w:jc w:val="both"/>
        <w:rPr>
          <w:rFonts w:ascii="Tahoma" w:hAnsi="Tahoma" w:cs="Tahoma"/>
          <w:sz w:val="22"/>
          <w:szCs w:val="22"/>
        </w:rPr>
      </w:pPr>
    </w:p>
    <w:p w14:paraId="32DE3147" w14:textId="77777777" w:rsidR="002A71D3" w:rsidRPr="00320EE1" w:rsidRDefault="002A71D3" w:rsidP="00331221">
      <w:pPr>
        <w:spacing w:after="0" w:line="240" w:lineRule="auto"/>
        <w:jc w:val="both"/>
        <w:rPr>
          <w:rFonts w:ascii="Tahoma" w:hAnsi="Tahoma" w:cs="Tahoma"/>
          <w:sz w:val="22"/>
          <w:szCs w:val="22"/>
        </w:rPr>
      </w:pPr>
      <w:r w:rsidRPr="00320EE1">
        <w:rPr>
          <w:rFonts w:ascii="Tahoma" w:hAnsi="Tahoma" w:cs="Tahoma"/>
          <w:sz w:val="22"/>
          <w:szCs w:val="22"/>
        </w:rPr>
        <w:t>La premisa normativa es precisa: la reincidencia no se convierte en un delito autónomo ni en una circunstancia genérica de mayor punibilidad. Su relevancia jurídica surge únicamente cuando existe un nuevo delito doloso, una condena previa ejecutoriada dentro del término legal de cinco años y una relación de identidad o conexidad funcional expresamente prevista por la ley. El proyecto, por tanto, diferencia la reiteración delictiva específica y reciente de la mera existencia de antecedentes.</w:t>
      </w:r>
    </w:p>
    <w:p w14:paraId="04770C89" w14:textId="77777777" w:rsidR="00331221" w:rsidRPr="00320EE1" w:rsidRDefault="00331221" w:rsidP="00331221">
      <w:pPr>
        <w:spacing w:after="0" w:line="240" w:lineRule="auto"/>
        <w:jc w:val="both"/>
        <w:rPr>
          <w:rFonts w:ascii="Tahoma" w:hAnsi="Tahoma" w:cs="Tahoma"/>
          <w:sz w:val="22"/>
          <w:szCs w:val="22"/>
        </w:rPr>
      </w:pPr>
    </w:p>
    <w:p w14:paraId="11154EC2" w14:textId="317D6583" w:rsidR="002A71D3" w:rsidRPr="00320EE1" w:rsidRDefault="002A71D3" w:rsidP="00276C39">
      <w:pPr>
        <w:pStyle w:val="Prrafodelista"/>
        <w:keepNext/>
        <w:numPr>
          <w:ilvl w:val="0"/>
          <w:numId w:val="12"/>
        </w:numPr>
        <w:spacing w:after="0" w:line="240" w:lineRule="auto"/>
        <w:rPr>
          <w:rFonts w:ascii="Tahoma" w:hAnsi="Tahoma" w:cs="Tahoma"/>
          <w:sz w:val="22"/>
          <w:szCs w:val="22"/>
        </w:rPr>
      </w:pPr>
      <w:r w:rsidRPr="00320EE1">
        <w:rPr>
          <w:rFonts w:ascii="Tahoma" w:hAnsi="Tahoma" w:cs="Tahoma"/>
          <w:b/>
          <w:sz w:val="22"/>
          <w:szCs w:val="22"/>
        </w:rPr>
        <w:t>CONTENIDO DEL PROYECTO</w:t>
      </w:r>
    </w:p>
    <w:p w14:paraId="52FC3C87" w14:textId="77777777" w:rsidR="00276C39" w:rsidRPr="00320EE1" w:rsidRDefault="00276C39" w:rsidP="00276C39">
      <w:pPr>
        <w:pStyle w:val="Prrafodelista"/>
        <w:keepNext/>
        <w:spacing w:after="0" w:line="240" w:lineRule="auto"/>
        <w:ind w:left="1080"/>
        <w:rPr>
          <w:rFonts w:ascii="Tahoma" w:hAnsi="Tahoma" w:cs="Tahoma"/>
          <w:sz w:val="22"/>
          <w:szCs w:val="22"/>
        </w:rPr>
      </w:pPr>
    </w:p>
    <w:p w14:paraId="797B1368" w14:textId="77777777" w:rsidR="002A71D3" w:rsidRPr="00320EE1" w:rsidRDefault="002A71D3" w:rsidP="00276C39">
      <w:pPr>
        <w:spacing w:after="0" w:line="240" w:lineRule="auto"/>
        <w:jc w:val="both"/>
        <w:rPr>
          <w:rFonts w:ascii="Tahoma" w:hAnsi="Tahoma" w:cs="Tahoma"/>
          <w:sz w:val="22"/>
          <w:szCs w:val="22"/>
        </w:rPr>
      </w:pPr>
      <w:r w:rsidRPr="00320EE1">
        <w:rPr>
          <w:rFonts w:ascii="Tahoma" w:hAnsi="Tahoma" w:cs="Tahoma"/>
          <w:sz w:val="22"/>
          <w:szCs w:val="22"/>
        </w:rPr>
        <w:t>El proyecto está integrado por veintitrés (23) artículos, que pueden ordenarse funcionalmente en seis bloques:</w:t>
      </w:r>
    </w:p>
    <w:p w14:paraId="041D48CB" w14:textId="77777777" w:rsidR="00276C39" w:rsidRPr="00320EE1" w:rsidRDefault="00276C39" w:rsidP="00276C39">
      <w:pPr>
        <w:spacing w:after="0" w:line="240" w:lineRule="auto"/>
        <w:jc w:val="both"/>
        <w:rPr>
          <w:rFonts w:ascii="Tahoma" w:hAnsi="Tahoma" w:cs="Tahoma"/>
          <w:sz w:val="22"/>
          <w:szCs w:val="22"/>
        </w:rPr>
      </w:pPr>
    </w:p>
    <w:p w14:paraId="01A4800F" w14:textId="72931AF6" w:rsidR="002A71D3" w:rsidRPr="00320EE1" w:rsidRDefault="002A71D3" w:rsidP="00276C39">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Los artículos 1 y 2 fijan el objeto de la ley y construyen la categoría de “reincidencia específica relevante”, con sus requisitos, límites probatorios y prohibición de doble agravación.</w:t>
      </w:r>
    </w:p>
    <w:p w14:paraId="42F617C4" w14:textId="77777777" w:rsidR="00C13A7A" w:rsidRPr="00320EE1" w:rsidRDefault="00C13A7A" w:rsidP="00C13A7A">
      <w:pPr>
        <w:pStyle w:val="Prrafodelista"/>
        <w:spacing w:after="0" w:line="240" w:lineRule="auto"/>
        <w:ind w:left="426"/>
        <w:jc w:val="both"/>
        <w:rPr>
          <w:rFonts w:ascii="Tahoma" w:hAnsi="Tahoma" w:cs="Tahoma"/>
          <w:sz w:val="22"/>
          <w:szCs w:val="22"/>
        </w:rPr>
      </w:pPr>
    </w:p>
    <w:p w14:paraId="2FC3F456" w14:textId="5ABDEB3B" w:rsidR="00C13A7A" w:rsidRPr="00320EE1" w:rsidRDefault="002A71D3" w:rsidP="00C13A7A">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Los artículos 3 a 13 consagran agravantes especiales para hurto, receptación, extorsión, violencia intrafamiliar, lesiones personales dolosas, homicidio doloso, fabricación, tráfico y porte de armas de fuego o municiones, concierto para delinquir, delitos relacionados con tráfico de estupefacientes, delitos contra la libertad, integridad y formación sexuales y delitos informáticos patrimoniales.</w:t>
      </w:r>
    </w:p>
    <w:p w14:paraId="28C65EE7" w14:textId="77777777" w:rsidR="00C13A7A" w:rsidRPr="00320EE1" w:rsidRDefault="00C13A7A" w:rsidP="00C13A7A">
      <w:pPr>
        <w:pStyle w:val="Prrafodelista"/>
        <w:spacing w:after="0" w:line="240" w:lineRule="auto"/>
        <w:ind w:left="426"/>
        <w:jc w:val="both"/>
        <w:rPr>
          <w:rFonts w:ascii="Tahoma" w:hAnsi="Tahoma" w:cs="Tahoma"/>
          <w:sz w:val="22"/>
          <w:szCs w:val="22"/>
        </w:rPr>
      </w:pPr>
    </w:p>
    <w:p w14:paraId="3A9AABCF" w14:textId="75FA922A" w:rsidR="00C13A7A" w:rsidRPr="00320EE1" w:rsidRDefault="002A71D3" w:rsidP="00C13A7A">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El artículo 14 establece una valoración reforzada y motivada para beneficios, subrogados y mecanismos sustitutivos, sin convertir la reincidencia en una causal automática de exclusión.</w:t>
      </w:r>
    </w:p>
    <w:p w14:paraId="1E5AC29E" w14:textId="77777777" w:rsidR="00C13A7A" w:rsidRPr="00320EE1" w:rsidRDefault="00C13A7A" w:rsidP="00C13A7A">
      <w:pPr>
        <w:pStyle w:val="Prrafodelista"/>
        <w:spacing w:after="0" w:line="240" w:lineRule="auto"/>
        <w:ind w:left="426"/>
        <w:jc w:val="both"/>
        <w:rPr>
          <w:rFonts w:ascii="Tahoma" w:hAnsi="Tahoma" w:cs="Tahoma"/>
          <w:sz w:val="22"/>
          <w:szCs w:val="22"/>
        </w:rPr>
      </w:pPr>
    </w:p>
    <w:p w14:paraId="220ADAE9" w14:textId="77777777" w:rsidR="00C13A7A" w:rsidRPr="00320EE1" w:rsidRDefault="002A71D3" w:rsidP="00C13A7A">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Los artículos 15 a 19 regulan efectos procesales: valoración en el peligro para la comunidad, procedencia de detención preventiva bajo los requisitos generales de necesidad y motivación, suficiencia de medidas no privativas, aplicación del procedimiento especial abreviado y limitación a la conversión de la acción penal.</w:t>
      </w:r>
    </w:p>
    <w:p w14:paraId="157CED1F" w14:textId="77777777" w:rsidR="00C13A7A" w:rsidRPr="00320EE1" w:rsidRDefault="00C13A7A" w:rsidP="00C13A7A">
      <w:pPr>
        <w:pStyle w:val="Prrafodelista"/>
        <w:rPr>
          <w:rFonts w:ascii="Tahoma" w:hAnsi="Tahoma" w:cs="Tahoma"/>
          <w:sz w:val="22"/>
          <w:szCs w:val="22"/>
        </w:rPr>
      </w:pPr>
    </w:p>
    <w:p w14:paraId="74A8D920" w14:textId="77777777" w:rsidR="00A66EC1" w:rsidRPr="00320EE1" w:rsidRDefault="002A71D3" w:rsidP="00A66EC1">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Los artículos 20 a 22 introducen herramientas de gestión, certificación e interoperabilidad, así como una evaluación posterior de política criminal que deberá medir efectos sobre reincidencia, víctimas, medidas de aseguramiento, beneficios, hacinamiento y eficacia judicial.</w:t>
      </w:r>
    </w:p>
    <w:p w14:paraId="0C9E930B" w14:textId="77777777" w:rsidR="00A66EC1" w:rsidRPr="00320EE1" w:rsidRDefault="00A66EC1" w:rsidP="00A66EC1">
      <w:pPr>
        <w:pStyle w:val="Prrafodelista"/>
        <w:rPr>
          <w:rFonts w:ascii="Tahoma" w:hAnsi="Tahoma" w:cs="Tahoma"/>
          <w:sz w:val="22"/>
          <w:szCs w:val="22"/>
        </w:rPr>
      </w:pPr>
    </w:p>
    <w:p w14:paraId="554F5F9E" w14:textId="7E6E9DCE" w:rsidR="002A71D3" w:rsidRPr="00320EE1" w:rsidRDefault="002A71D3" w:rsidP="00A66EC1">
      <w:pPr>
        <w:pStyle w:val="Prrafodelista"/>
        <w:numPr>
          <w:ilvl w:val="0"/>
          <w:numId w:val="13"/>
        </w:numPr>
        <w:spacing w:after="0" w:line="240" w:lineRule="auto"/>
        <w:ind w:left="426" w:hanging="426"/>
        <w:jc w:val="both"/>
        <w:rPr>
          <w:rFonts w:ascii="Tahoma" w:hAnsi="Tahoma" w:cs="Tahoma"/>
          <w:sz w:val="22"/>
          <w:szCs w:val="22"/>
        </w:rPr>
      </w:pPr>
      <w:r w:rsidRPr="00320EE1">
        <w:rPr>
          <w:rFonts w:ascii="Tahoma" w:hAnsi="Tahoma" w:cs="Tahoma"/>
          <w:sz w:val="22"/>
          <w:szCs w:val="22"/>
        </w:rPr>
        <w:t>El artículo 23 regula vigencia, derogatorias y aplicación prospectiva de las agravantes, con respeto expreso por el principio de favorabilidad.</w:t>
      </w:r>
    </w:p>
    <w:p w14:paraId="5FF4583C" w14:textId="77777777" w:rsidR="00A66EC1" w:rsidRPr="00320EE1" w:rsidRDefault="00A66EC1" w:rsidP="00A66EC1">
      <w:pPr>
        <w:spacing w:after="0" w:line="240" w:lineRule="auto"/>
        <w:jc w:val="both"/>
        <w:rPr>
          <w:rFonts w:ascii="Tahoma" w:hAnsi="Tahoma" w:cs="Tahoma"/>
          <w:sz w:val="22"/>
          <w:szCs w:val="22"/>
        </w:rPr>
      </w:pPr>
    </w:p>
    <w:p w14:paraId="61140F55" w14:textId="3658677D" w:rsidR="002A71D3" w:rsidRPr="00320EE1" w:rsidRDefault="002A71D3" w:rsidP="00A66EC1">
      <w:pPr>
        <w:pStyle w:val="Prrafodelista"/>
        <w:keepNext/>
        <w:numPr>
          <w:ilvl w:val="0"/>
          <w:numId w:val="12"/>
        </w:numPr>
        <w:spacing w:after="0" w:line="240" w:lineRule="auto"/>
        <w:rPr>
          <w:rFonts w:ascii="Tahoma" w:hAnsi="Tahoma" w:cs="Tahoma"/>
          <w:b/>
          <w:sz w:val="22"/>
          <w:szCs w:val="22"/>
        </w:rPr>
      </w:pPr>
      <w:r w:rsidRPr="00320EE1">
        <w:rPr>
          <w:rFonts w:ascii="Tahoma" w:hAnsi="Tahoma" w:cs="Tahoma"/>
          <w:b/>
          <w:sz w:val="22"/>
          <w:szCs w:val="22"/>
        </w:rPr>
        <w:t>MARCO CONSTITUCIONAL Y LEGAL</w:t>
      </w:r>
    </w:p>
    <w:p w14:paraId="015BA481" w14:textId="77777777" w:rsidR="00A66EC1" w:rsidRPr="00320EE1" w:rsidRDefault="00A66EC1" w:rsidP="002A71D3">
      <w:pPr>
        <w:keepNext/>
        <w:spacing w:after="0" w:line="240" w:lineRule="auto"/>
        <w:rPr>
          <w:rFonts w:ascii="Tahoma" w:hAnsi="Tahoma" w:cs="Tahoma"/>
          <w:sz w:val="22"/>
          <w:szCs w:val="22"/>
        </w:rPr>
      </w:pPr>
    </w:p>
    <w:p w14:paraId="599D0F09" w14:textId="363D73C1" w:rsidR="002A71D3" w:rsidRPr="00320EE1" w:rsidRDefault="002A71D3" w:rsidP="00A66EC1">
      <w:pPr>
        <w:pStyle w:val="Prrafodelista"/>
        <w:keepNext/>
        <w:numPr>
          <w:ilvl w:val="0"/>
          <w:numId w:val="14"/>
        </w:numPr>
        <w:spacing w:after="0" w:line="240" w:lineRule="auto"/>
        <w:rPr>
          <w:rFonts w:ascii="Tahoma" w:hAnsi="Tahoma" w:cs="Tahoma"/>
          <w:sz w:val="22"/>
          <w:szCs w:val="22"/>
          <w:u w:val="single"/>
        </w:rPr>
      </w:pPr>
      <w:r w:rsidRPr="00320EE1">
        <w:rPr>
          <w:rFonts w:ascii="Tahoma" w:hAnsi="Tahoma" w:cs="Tahoma"/>
          <w:b/>
          <w:sz w:val="22"/>
          <w:szCs w:val="22"/>
          <w:u w:val="single"/>
        </w:rPr>
        <w:t>Competencia del Congreso de la República y de la Comisión Primera</w:t>
      </w:r>
    </w:p>
    <w:p w14:paraId="1A6C1C78" w14:textId="35FCE881" w:rsidR="00A66EC1" w:rsidRPr="00320EE1" w:rsidRDefault="00A66EC1" w:rsidP="00A66EC1">
      <w:pPr>
        <w:keepNext/>
        <w:spacing w:after="0" w:line="240" w:lineRule="auto"/>
        <w:rPr>
          <w:rFonts w:ascii="Tahoma" w:hAnsi="Tahoma" w:cs="Tahoma"/>
          <w:sz w:val="22"/>
          <w:szCs w:val="22"/>
        </w:rPr>
      </w:pPr>
    </w:p>
    <w:p w14:paraId="28D76032" w14:textId="77777777" w:rsidR="00A76C83" w:rsidRPr="00320EE1" w:rsidRDefault="00A76C83" w:rsidP="00A76C83">
      <w:pPr>
        <w:spacing w:after="0" w:line="240" w:lineRule="auto"/>
        <w:jc w:val="both"/>
        <w:rPr>
          <w:rFonts w:ascii="Tahoma" w:hAnsi="Tahoma" w:cs="Tahoma"/>
          <w:sz w:val="22"/>
          <w:szCs w:val="22"/>
        </w:rPr>
      </w:pPr>
      <w:r w:rsidRPr="00320EE1">
        <w:rPr>
          <w:rFonts w:ascii="Tahoma" w:hAnsi="Tahoma" w:cs="Tahoma"/>
          <w:sz w:val="22"/>
          <w:szCs w:val="22"/>
        </w:rPr>
        <w:t xml:space="preserve">El Congreso de la República es competente para expedir y modificar códigos en todos los ramos de la legislación, de conformidad con los artículos 114 y 150, numeral 2, de la Constitución Política. </w:t>
      </w:r>
    </w:p>
    <w:p w14:paraId="260BB79C" w14:textId="77777777" w:rsidR="00A76C83" w:rsidRPr="00320EE1" w:rsidRDefault="00A76C83" w:rsidP="00A76C83">
      <w:pPr>
        <w:spacing w:after="0" w:line="240" w:lineRule="auto"/>
        <w:jc w:val="both"/>
        <w:rPr>
          <w:rFonts w:ascii="Tahoma" w:hAnsi="Tahoma" w:cs="Tahoma"/>
          <w:sz w:val="22"/>
          <w:szCs w:val="22"/>
        </w:rPr>
      </w:pPr>
    </w:p>
    <w:p w14:paraId="2ECE107E" w14:textId="69922113" w:rsidR="00A76C83" w:rsidRPr="00320EE1" w:rsidRDefault="00A76C83" w:rsidP="00A76C83">
      <w:pPr>
        <w:spacing w:after="0" w:line="240" w:lineRule="auto"/>
        <w:jc w:val="both"/>
        <w:rPr>
          <w:rFonts w:ascii="Tahoma" w:hAnsi="Tahoma" w:cs="Tahoma"/>
          <w:sz w:val="22"/>
          <w:szCs w:val="22"/>
        </w:rPr>
      </w:pPr>
      <w:r w:rsidRPr="00320EE1">
        <w:rPr>
          <w:rFonts w:ascii="Tahoma" w:hAnsi="Tahoma" w:cs="Tahoma"/>
          <w:sz w:val="22"/>
          <w:szCs w:val="22"/>
        </w:rPr>
        <w:t>La iniciativa incide en el Código Penal y en el Código de Procedimiento Penal, materias sometidas a reserva de ley y comprendidas dentro del margen de configuración legislativa del Congreso en política criminal, con sujeción a los límites constitucionales del ius puniendi.</w:t>
      </w:r>
    </w:p>
    <w:p w14:paraId="19F09D14" w14:textId="77777777" w:rsidR="00A76C83" w:rsidRPr="00320EE1" w:rsidRDefault="00A76C83" w:rsidP="00A76C83">
      <w:pPr>
        <w:spacing w:after="0" w:line="240" w:lineRule="auto"/>
        <w:jc w:val="both"/>
        <w:rPr>
          <w:rFonts w:ascii="Tahoma" w:hAnsi="Tahoma" w:cs="Tahoma"/>
          <w:sz w:val="22"/>
          <w:szCs w:val="22"/>
        </w:rPr>
      </w:pPr>
    </w:p>
    <w:p w14:paraId="325B7D3A" w14:textId="2470341F" w:rsidR="00A76C83" w:rsidRPr="00320EE1" w:rsidRDefault="00A76C83" w:rsidP="00A76C83">
      <w:pPr>
        <w:spacing w:after="0" w:line="240" w:lineRule="auto"/>
        <w:jc w:val="both"/>
        <w:rPr>
          <w:rFonts w:ascii="Tahoma" w:hAnsi="Tahoma" w:cs="Tahoma"/>
          <w:sz w:val="22"/>
          <w:szCs w:val="22"/>
        </w:rPr>
      </w:pPr>
      <w:r w:rsidRPr="00320EE1">
        <w:rPr>
          <w:rFonts w:ascii="Tahoma" w:hAnsi="Tahoma" w:cs="Tahoma"/>
          <w:sz w:val="22"/>
          <w:szCs w:val="22"/>
        </w:rPr>
        <w:t>La Comisión Primera Constitucional Permanente es competente para conocer del primer debate. La Ley 3ª de 1992 atribuye a esta Comisión, entre otras materias, los derechos, garantías y deberes, y dispone que los proyectos que modifiquen o reformen códigos deben tramitarse ante las comisiones constitucionales permanentes según la materia. La relación directa del proyecto con la libertad personal, el debido proceso, los derechos de las víctimas, la política criminal y las codificaciones penal y procesal penal confirma dicha competencia.</w:t>
      </w:r>
    </w:p>
    <w:p w14:paraId="17A703E7" w14:textId="77777777" w:rsidR="00A66EC1" w:rsidRPr="00320EE1" w:rsidRDefault="00A66EC1" w:rsidP="00A66EC1">
      <w:pPr>
        <w:keepNext/>
        <w:spacing w:after="0" w:line="240" w:lineRule="auto"/>
        <w:rPr>
          <w:rFonts w:ascii="Tahoma" w:hAnsi="Tahoma" w:cs="Tahoma"/>
          <w:sz w:val="22"/>
          <w:szCs w:val="22"/>
        </w:rPr>
      </w:pPr>
    </w:p>
    <w:p w14:paraId="6724EF0E" w14:textId="37D7DB52" w:rsidR="00A66EC1" w:rsidRPr="00320EE1" w:rsidRDefault="008B4352" w:rsidP="00A66EC1">
      <w:pPr>
        <w:pStyle w:val="Prrafodelista"/>
        <w:keepNext/>
        <w:numPr>
          <w:ilvl w:val="0"/>
          <w:numId w:val="14"/>
        </w:numPr>
        <w:spacing w:after="0" w:line="240" w:lineRule="auto"/>
        <w:rPr>
          <w:rFonts w:ascii="Tahoma" w:hAnsi="Tahoma" w:cs="Tahoma"/>
          <w:sz w:val="22"/>
          <w:szCs w:val="22"/>
          <w:u w:val="single"/>
        </w:rPr>
      </w:pPr>
      <w:r w:rsidRPr="00320EE1">
        <w:rPr>
          <w:rFonts w:ascii="Tahoma" w:hAnsi="Tahoma" w:cs="Tahoma"/>
          <w:b/>
          <w:sz w:val="22"/>
          <w:szCs w:val="22"/>
          <w:u w:val="single"/>
        </w:rPr>
        <w:t>Parámetros constitucionales aplicables</w:t>
      </w:r>
    </w:p>
    <w:p w14:paraId="481E621C" w14:textId="77777777" w:rsidR="008B4352" w:rsidRPr="00320EE1" w:rsidRDefault="008B4352" w:rsidP="008B4352">
      <w:pPr>
        <w:keepNext/>
        <w:spacing w:after="0" w:line="240" w:lineRule="auto"/>
        <w:rPr>
          <w:rFonts w:ascii="Tahoma" w:hAnsi="Tahoma" w:cs="Tahoma"/>
          <w:sz w:val="22"/>
          <w:szCs w:val="22"/>
        </w:rPr>
      </w:pPr>
    </w:p>
    <w:p w14:paraId="0EA8664E" w14:textId="77777777" w:rsidR="008B4352" w:rsidRPr="00320EE1" w:rsidRDefault="008B4352" w:rsidP="008B4352">
      <w:pPr>
        <w:spacing w:after="0" w:line="240" w:lineRule="auto"/>
        <w:jc w:val="both"/>
        <w:rPr>
          <w:rFonts w:ascii="Tahoma" w:hAnsi="Tahoma" w:cs="Tahoma"/>
          <w:sz w:val="22"/>
          <w:szCs w:val="22"/>
        </w:rPr>
      </w:pPr>
      <w:r w:rsidRPr="00320EE1">
        <w:rPr>
          <w:rFonts w:ascii="Tahoma" w:hAnsi="Tahoma" w:cs="Tahoma"/>
          <w:sz w:val="22"/>
          <w:szCs w:val="22"/>
        </w:rPr>
        <w:t xml:space="preserve">La configuración legislativa en materia penal debe armonizar, de un lado, los deberes estatales de proteger a todas las personas en su vida, honra, bienes, derechos y libertades y de asegurar la vigencia de un orden justo y, del otro, la dignidad humana, la igualdad, la libertad personal, el debido proceso, la presunción de inocencia, la culpabilidad, </w:t>
      </w:r>
      <w:proofErr w:type="gramStart"/>
      <w:r w:rsidRPr="00320EE1">
        <w:rPr>
          <w:rFonts w:ascii="Tahoma" w:hAnsi="Tahoma" w:cs="Tahoma"/>
          <w:i/>
          <w:iCs/>
          <w:sz w:val="22"/>
          <w:szCs w:val="22"/>
        </w:rPr>
        <w:t>el non bis in</w:t>
      </w:r>
      <w:proofErr w:type="gramEnd"/>
      <w:r w:rsidRPr="00320EE1">
        <w:rPr>
          <w:rFonts w:ascii="Tahoma" w:hAnsi="Tahoma" w:cs="Tahoma"/>
          <w:i/>
          <w:iCs/>
          <w:sz w:val="22"/>
          <w:szCs w:val="22"/>
        </w:rPr>
        <w:t xml:space="preserve"> </w:t>
      </w:r>
      <w:proofErr w:type="spellStart"/>
      <w:r w:rsidRPr="00320EE1">
        <w:rPr>
          <w:rFonts w:ascii="Tahoma" w:hAnsi="Tahoma" w:cs="Tahoma"/>
          <w:i/>
          <w:iCs/>
          <w:sz w:val="22"/>
          <w:szCs w:val="22"/>
        </w:rPr>
        <w:t>idem</w:t>
      </w:r>
      <w:proofErr w:type="spellEnd"/>
      <w:r w:rsidRPr="00320EE1">
        <w:rPr>
          <w:rFonts w:ascii="Tahoma" w:hAnsi="Tahoma" w:cs="Tahoma"/>
          <w:sz w:val="22"/>
          <w:szCs w:val="22"/>
        </w:rPr>
        <w:t xml:space="preserve"> y la proporcionalidad. También son relevantes la protección constitucional de la familia y de los niños, el derecho de acceso a la justicia, el régimen constitucional de antecedentes y las funciones asignadas a la Fiscalía General de la Nación en la protección de las víctimas y la solicitud de medidas de aseguramiento.</w:t>
      </w:r>
    </w:p>
    <w:p w14:paraId="5A81BBDD" w14:textId="77777777" w:rsidR="008B4352" w:rsidRPr="00320EE1" w:rsidRDefault="008B4352" w:rsidP="008B4352">
      <w:pPr>
        <w:spacing w:after="0" w:line="240" w:lineRule="auto"/>
        <w:jc w:val="both"/>
        <w:rPr>
          <w:rFonts w:ascii="Tahoma" w:hAnsi="Tahoma" w:cs="Tahoma"/>
          <w:sz w:val="22"/>
          <w:szCs w:val="22"/>
        </w:rPr>
      </w:pPr>
    </w:p>
    <w:p w14:paraId="14FED119" w14:textId="07B1C8FF" w:rsidR="008B4352" w:rsidRPr="00320EE1" w:rsidRDefault="008B4352" w:rsidP="00DE54DB">
      <w:pPr>
        <w:spacing w:after="0" w:line="240" w:lineRule="auto"/>
        <w:jc w:val="both"/>
        <w:rPr>
          <w:rFonts w:ascii="Tahoma" w:hAnsi="Tahoma" w:cs="Tahoma"/>
          <w:sz w:val="22"/>
          <w:szCs w:val="22"/>
        </w:rPr>
      </w:pPr>
      <w:r w:rsidRPr="00320EE1">
        <w:rPr>
          <w:rFonts w:ascii="Tahoma" w:hAnsi="Tahoma" w:cs="Tahoma"/>
          <w:sz w:val="22"/>
          <w:szCs w:val="22"/>
        </w:rPr>
        <w:t>En particular, el artículo 248 de la Constitución dispone que únicamente las condenas proferidas en sentencias judiciales en forma definitiva tienen la calidad de antecedentes penales y contravencionales. El proyecto adopta ese estándar de manera especialmente garantista: excluye expresamente capturas, imputaciones, acusaciones, registros policiales, investigaciones en curso y demás antecedentes no fundados en sentencia condenatoria ejecutoriada.</w:t>
      </w:r>
    </w:p>
    <w:p w14:paraId="6DADAC45" w14:textId="77777777" w:rsidR="008B4352" w:rsidRPr="00320EE1" w:rsidRDefault="008B4352" w:rsidP="008B4352">
      <w:pPr>
        <w:keepNext/>
        <w:spacing w:after="0" w:line="240" w:lineRule="auto"/>
        <w:rPr>
          <w:rFonts w:ascii="Tahoma" w:hAnsi="Tahoma" w:cs="Tahoma"/>
          <w:sz w:val="22"/>
          <w:szCs w:val="22"/>
        </w:rPr>
      </w:pPr>
    </w:p>
    <w:p w14:paraId="583C265D" w14:textId="77777777" w:rsidR="00DE54DB" w:rsidRPr="00320EE1" w:rsidRDefault="00DE54DB" w:rsidP="00A66EC1">
      <w:pPr>
        <w:pStyle w:val="Prrafodelista"/>
        <w:keepNext/>
        <w:numPr>
          <w:ilvl w:val="0"/>
          <w:numId w:val="14"/>
        </w:numPr>
        <w:spacing w:after="0" w:line="240" w:lineRule="auto"/>
        <w:rPr>
          <w:rFonts w:ascii="Tahoma" w:hAnsi="Tahoma" w:cs="Tahoma"/>
          <w:sz w:val="22"/>
          <w:szCs w:val="22"/>
          <w:u w:val="single"/>
        </w:rPr>
      </w:pPr>
      <w:r w:rsidRPr="00320EE1">
        <w:rPr>
          <w:rFonts w:ascii="Tahoma" w:hAnsi="Tahoma" w:cs="Tahoma"/>
          <w:b/>
          <w:sz w:val="22"/>
          <w:szCs w:val="22"/>
          <w:u w:val="single"/>
        </w:rPr>
        <w:t xml:space="preserve">Normas legales relacionadas </w:t>
      </w:r>
    </w:p>
    <w:p w14:paraId="7B2536F1" w14:textId="77777777" w:rsidR="00DE54DB" w:rsidRPr="00320EE1" w:rsidRDefault="00DE54DB" w:rsidP="00DE54DB">
      <w:pPr>
        <w:keepNext/>
        <w:spacing w:after="0" w:line="240" w:lineRule="auto"/>
        <w:ind w:left="360"/>
        <w:rPr>
          <w:rFonts w:ascii="Tahoma" w:hAnsi="Tahoma" w:cs="Tahoma"/>
          <w:b/>
          <w:sz w:val="22"/>
          <w:szCs w:val="22"/>
        </w:rPr>
      </w:pPr>
    </w:p>
    <w:p w14:paraId="64548073" w14:textId="62A05856" w:rsidR="00DE54DB" w:rsidRPr="00320EE1" w:rsidRDefault="00DE54DB" w:rsidP="00DE54DB">
      <w:pPr>
        <w:spacing w:after="0" w:line="240" w:lineRule="auto"/>
        <w:jc w:val="both"/>
        <w:rPr>
          <w:rFonts w:ascii="Tahoma" w:hAnsi="Tahoma" w:cs="Tahoma"/>
          <w:sz w:val="22"/>
          <w:szCs w:val="22"/>
        </w:rPr>
      </w:pPr>
      <w:r w:rsidRPr="00320EE1">
        <w:rPr>
          <w:rFonts w:ascii="Tahoma" w:hAnsi="Tahoma" w:cs="Tahoma"/>
          <w:sz w:val="22"/>
          <w:szCs w:val="22"/>
        </w:rPr>
        <w:t>La iniciativa se integra principalmente con la Ley 599 de 2000</w:t>
      </w:r>
      <w:r w:rsidR="005644FA" w:rsidRPr="00320EE1">
        <w:rPr>
          <w:rFonts w:ascii="Tahoma" w:hAnsi="Tahoma" w:cs="Tahoma"/>
          <w:sz w:val="22"/>
          <w:szCs w:val="22"/>
        </w:rPr>
        <w:t xml:space="preserve"> (</w:t>
      </w:r>
      <w:r w:rsidRPr="00320EE1">
        <w:rPr>
          <w:rFonts w:ascii="Tahoma" w:hAnsi="Tahoma" w:cs="Tahoma"/>
          <w:sz w:val="22"/>
          <w:szCs w:val="22"/>
        </w:rPr>
        <w:t>Código Penal</w:t>
      </w:r>
      <w:r w:rsidR="005644FA" w:rsidRPr="00320EE1">
        <w:rPr>
          <w:rFonts w:ascii="Tahoma" w:hAnsi="Tahoma" w:cs="Tahoma"/>
          <w:sz w:val="22"/>
          <w:szCs w:val="22"/>
        </w:rPr>
        <w:t>)</w:t>
      </w:r>
      <w:r w:rsidRPr="00320EE1">
        <w:rPr>
          <w:rFonts w:ascii="Tahoma" w:hAnsi="Tahoma" w:cs="Tahoma"/>
          <w:sz w:val="22"/>
          <w:szCs w:val="22"/>
        </w:rPr>
        <w:t xml:space="preserve"> y la Ley 906 de 2004</w:t>
      </w:r>
      <w:r w:rsidR="005644FA" w:rsidRPr="00320EE1">
        <w:rPr>
          <w:rFonts w:ascii="Tahoma" w:hAnsi="Tahoma" w:cs="Tahoma"/>
          <w:sz w:val="22"/>
          <w:szCs w:val="22"/>
        </w:rPr>
        <w:t xml:space="preserve"> (</w:t>
      </w:r>
      <w:r w:rsidRPr="00320EE1">
        <w:rPr>
          <w:rFonts w:ascii="Tahoma" w:hAnsi="Tahoma" w:cs="Tahoma"/>
          <w:sz w:val="22"/>
          <w:szCs w:val="22"/>
        </w:rPr>
        <w:t>Código de Procedimiento Penal</w:t>
      </w:r>
      <w:r w:rsidR="005644FA" w:rsidRPr="00320EE1">
        <w:rPr>
          <w:rFonts w:ascii="Tahoma" w:hAnsi="Tahoma" w:cs="Tahoma"/>
          <w:sz w:val="22"/>
          <w:szCs w:val="22"/>
        </w:rPr>
        <w:t>)</w:t>
      </w:r>
      <w:r w:rsidRPr="00320EE1">
        <w:rPr>
          <w:rFonts w:ascii="Tahoma" w:hAnsi="Tahoma" w:cs="Tahoma"/>
          <w:sz w:val="22"/>
          <w:szCs w:val="22"/>
        </w:rPr>
        <w:t>. En el Código Penal son particularmente relevantes sus normas rectoras sobre dignidad humana, necesidad, proporcionalidad y razonabilidad de la sanción, funciones de la pena, prohibición de doble incriminación, culpabilidad y proscripción de responsabilidad objetiva. En el Código de Procedimiento Penal, las reglas sobre medidas de aseguramiento exigen inferencia razonable de autoría o participación, finalidad constitucional de la medida, necesidad y control judicial.</w:t>
      </w:r>
    </w:p>
    <w:p w14:paraId="70CF3D39" w14:textId="77777777" w:rsidR="00702689" w:rsidRPr="00320EE1" w:rsidRDefault="00702689" w:rsidP="00DE54DB">
      <w:pPr>
        <w:spacing w:after="0" w:line="240" w:lineRule="auto"/>
        <w:jc w:val="both"/>
        <w:rPr>
          <w:rFonts w:ascii="Tahoma" w:hAnsi="Tahoma" w:cs="Tahoma"/>
          <w:sz w:val="22"/>
          <w:szCs w:val="22"/>
        </w:rPr>
      </w:pPr>
    </w:p>
    <w:p w14:paraId="3AC91CD3" w14:textId="77D50FD1" w:rsidR="00DE54DB" w:rsidRPr="00320EE1" w:rsidRDefault="00DE54DB" w:rsidP="00702689">
      <w:pPr>
        <w:spacing w:after="0" w:line="240" w:lineRule="auto"/>
        <w:jc w:val="both"/>
        <w:rPr>
          <w:rFonts w:ascii="Tahoma" w:hAnsi="Tahoma" w:cs="Tahoma"/>
          <w:sz w:val="22"/>
          <w:szCs w:val="22"/>
        </w:rPr>
      </w:pPr>
      <w:r w:rsidRPr="000F3E69">
        <w:rPr>
          <w:rFonts w:ascii="Tahoma" w:hAnsi="Tahoma" w:cs="Tahoma"/>
          <w:sz w:val="22"/>
          <w:szCs w:val="22"/>
        </w:rPr>
        <w:t>Por tratarse de una iniciativa en materia penal y de política criminal, resulta igualmente aplicable el artículo 167 de la Ley 65 de 1993, que asigna al Consejo Superior de Política Criminal la función de emitir concepto no vinculante sobre proyectos de ley y de acto legislativo en materia penal. Su carácter técnico y no vinculante preserva la autonomía del Congreso, sin perjuicio de la importancia de esa instancia consultiva dentro de una política criminal informada por evidencia.</w:t>
      </w:r>
    </w:p>
    <w:p w14:paraId="0EB9FFC4" w14:textId="4AC1AD5B" w:rsidR="00AA61E0" w:rsidRPr="00320EE1" w:rsidRDefault="00AA61E0" w:rsidP="00AA61E0">
      <w:pPr>
        <w:keepNext/>
        <w:spacing w:after="0" w:line="240" w:lineRule="auto"/>
        <w:rPr>
          <w:rFonts w:ascii="Tahoma" w:hAnsi="Tahoma" w:cs="Tahoma"/>
          <w:b/>
          <w:sz w:val="22"/>
          <w:szCs w:val="22"/>
        </w:rPr>
      </w:pPr>
    </w:p>
    <w:p w14:paraId="46D8604B" w14:textId="77777777" w:rsidR="00AA61E0" w:rsidRPr="00320EE1" w:rsidRDefault="00AA61E0" w:rsidP="00A66EC1">
      <w:pPr>
        <w:pStyle w:val="Prrafodelista"/>
        <w:keepNext/>
        <w:numPr>
          <w:ilvl w:val="0"/>
          <w:numId w:val="14"/>
        </w:numPr>
        <w:spacing w:after="0" w:line="240" w:lineRule="auto"/>
        <w:rPr>
          <w:rFonts w:ascii="Tahoma" w:hAnsi="Tahoma" w:cs="Tahoma"/>
          <w:sz w:val="22"/>
          <w:szCs w:val="22"/>
          <w:u w:val="single"/>
        </w:rPr>
      </w:pPr>
      <w:r w:rsidRPr="00320EE1">
        <w:rPr>
          <w:rFonts w:ascii="Tahoma" w:hAnsi="Tahoma" w:cs="Tahoma"/>
          <w:b/>
          <w:sz w:val="22"/>
          <w:szCs w:val="22"/>
          <w:u w:val="single"/>
        </w:rPr>
        <w:t xml:space="preserve">Jurisprudencia constitucional relevante </w:t>
      </w:r>
    </w:p>
    <w:p w14:paraId="641BD415" w14:textId="77777777" w:rsidR="00A66EC1" w:rsidRPr="00320EE1" w:rsidRDefault="00A66EC1" w:rsidP="00AA61E0">
      <w:pPr>
        <w:keepNext/>
        <w:spacing w:after="0" w:line="240" w:lineRule="auto"/>
        <w:rPr>
          <w:rFonts w:ascii="Tahoma" w:hAnsi="Tahoma" w:cs="Tahoma"/>
          <w:sz w:val="22"/>
          <w:szCs w:val="22"/>
        </w:rPr>
      </w:pPr>
    </w:p>
    <w:p w14:paraId="04C43F32" w14:textId="77777777" w:rsidR="00AA61E0" w:rsidRPr="00320EE1" w:rsidRDefault="00AA61E0" w:rsidP="00AA61E0">
      <w:pPr>
        <w:spacing w:after="0" w:line="240" w:lineRule="auto"/>
        <w:jc w:val="both"/>
        <w:rPr>
          <w:rFonts w:ascii="Tahoma" w:hAnsi="Tahoma" w:cs="Tahoma"/>
          <w:sz w:val="22"/>
          <w:szCs w:val="22"/>
        </w:rPr>
      </w:pPr>
      <w:r w:rsidRPr="00320EE1">
        <w:rPr>
          <w:rFonts w:ascii="Tahoma" w:hAnsi="Tahoma" w:cs="Tahoma"/>
          <w:sz w:val="22"/>
          <w:szCs w:val="22"/>
        </w:rPr>
        <w:t>La jurisprudencia constitucional permite identificar una regla matriz: la reincidencia no está prohibida por la Constitución como categoría de política criminal; lo que se encuentra constitucionalmente vedado es convertir el pasado penal del individuo, de manera genérica o automática, en sustituto de la valoración del hecho actualmente juzgado, de la culpabilidad o de las exigencias de necesidad y proporcionalidad. El examen constitucional depende, por ello, del diseño concreto de la consecuencia jurídica.</w:t>
      </w:r>
    </w:p>
    <w:p w14:paraId="75AF7046" w14:textId="77777777" w:rsidR="00E0189C" w:rsidRPr="00320EE1" w:rsidRDefault="00E0189C" w:rsidP="00E0189C">
      <w:pPr>
        <w:spacing w:after="0" w:line="240" w:lineRule="auto"/>
        <w:jc w:val="both"/>
        <w:rPr>
          <w:rFonts w:ascii="Tahoma" w:hAnsi="Tahoma" w:cs="Tahoma"/>
          <w:sz w:val="22"/>
          <w:szCs w:val="22"/>
        </w:rPr>
      </w:pPr>
    </w:p>
    <w:p w14:paraId="77B91815" w14:textId="42A9BAF3" w:rsidR="00AA61E0" w:rsidRPr="00320EE1" w:rsidRDefault="00AA61E0" w:rsidP="00E0189C">
      <w:pPr>
        <w:spacing w:after="0" w:line="240" w:lineRule="auto"/>
        <w:jc w:val="both"/>
        <w:rPr>
          <w:rFonts w:ascii="Tahoma" w:hAnsi="Tahoma" w:cs="Tahoma"/>
          <w:sz w:val="22"/>
          <w:szCs w:val="22"/>
        </w:rPr>
      </w:pPr>
      <w:r w:rsidRPr="00320EE1">
        <w:rPr>
          <w:rFonts w:ascii="Tahoma" w:hAnsi="Tahoma" w:cs="Tahoma"/>
          <w:sz w:val="22"/>
          <w:szCs w:val="22"/>
        </w:rPr>
        <w:t>La Sentencia C-504 de 2025 declaró inexequible el numeral 19 del artículo 58 del Código Penal, que establecía como circunstancia genérica de mayor punibilidad haber sido condenado por delito doloso dentro de los sesenta meses anteriores. La Corte reprochó el carácter general y automático de esa fórmula y su desconexión con el nuevo hecho. Al mismo tiempo, precisó que su decisión no equivalía a una prohibición absoluta de valorar la reincidencia y delimitó su pronunciamiento frente a otras instituciones, incluidas las causales especiales de agravación y las medidas de aseguramiento. Esta distinción es central para el presente proyecto, que deliberadamente no revive aquella causal genérica y construye, en cambio, supuestos específicos y legalmente conectados con el nuevo delito.</w:t>
      </w:r>
    </w:p>
    <w:p w14:paraId="680CDB3D" w14:textId="77777777" w:rsidR="00E0189C" w:rsidRPr="00320EE1" w:rsidRDefault="00E0189C" w:rsidP="00E0189C">
      <w:pPr>
        <w:spacing w:after="0" w:line="240" w:lineRule="auto"/>
        <w:jc w:val="both"/>
        <w:rPr>
          <w:rFonts w:ascii="Tahoma" w:hAnsi="Tahoma" w:cs="Tahoma"/>
          <w:sz w:val="22"/>
          <w:szCs w:val="22"/>
        </w:rPr>
      </w:pPr>
    </w:p>
    <w:p w14:paraId="12DDE34E" w14:textId="33C8B801" w:rsidR="00AA61E0" w:rsidRPr="00320EE1" w:rsidRDefault="00AA61E0" w:rsidP="00E0189C">
      <w:pPr>
        <w:spacing w:after="0" w:line="240" w:lineRule="auto"/>
        <w:jc w:val="both"/>
        <w:rPr>
          <w:rFonts w:ascii="Tahoma" w:hAnsi="Tahoma" w:cs="Tahoma"/>
          <w:sz w:val="22"/>
          <w:szCs w:val="22"/>
        </w:rPr>
      </w:pPr>
      <w:r w:rsidRPr="00320EE1">
        <w:rPr>
          <w:rFonts w:ascii="Tahoma" w:hAnsi="Tahoma" w:cs="Tahoma"/>
          <w:sz w:val="22"/>
          <w:szCs w:val="22"/>
        </w:rPr>
        <w:t>La Sentencia C-034 de 2026, posterior a C-504 de 2025, ofrece un criterio adicional de especial utilidad. La Corte sistematizó las categorías de reincidencia genérica y específica, temporal y permanente, simple y múltiple; recordó que deben existir condena previa, sentencia firme, eficacia temporal, delito actual y prueba de la reincidencia; y reiteró que la reacción punitiva debe fundarse en el hecho actual, no en juicios de personalidad o peligrosidad. En ese mismo fallo declaró inexequible una exclusión automática de un sustituto humanitario por enfermedad, reforzando una idea que el proyecto acoge expresamente: la reincidencia puede ser jurídicamente relevante, pero no puede vaciar de contenido la valoración judicial individualizada allí donde la Constitución la exige.</w:t>
      </w:r>
    </w:p>
    <w:p w14:paraId="7E63475E" w14:textId="77777777" w:rsidR="009D6739" w:rsidRPr="00320EE1" w:rsidRDefault="009D6739" w:rsidP="00E0189C">
      <w:pPr>
        <w:spacing w:after="0" w:line="240" w:lineRule="auto"/>
        <w:jc w:val="both"/>
        <w:rPr>
          <w:rFonts w:ascii="Tahoma" w:hAnsi="Tahoma" w:cs="Tahoma"/>
          <w:sz w:val="22"/>
          <w:szCs w:val="22"/>
        </w:rPr>
      </w:pPr>
    </w:p>
    <w:p w14:paraId="0F363F9C" w14:textId="5E4D08B3" w:rsidR="00AA61E0" w:rsidRPr="00320EE1" w:rsidRDefault="00AA61E0" w:rsidP="00994F22">
      <w:pPr>
        <w:spacing w:after="0" w:line="240" w:lineRule="auto"/>
        <w:jc w:val="both"/>
        <w:rPr>
          <w:rFonts w:ascii="Tahoma" w:hAnsi="Tahoma" w:cs="Tahoma"/>
          <w:sz w:val="22"/>
          <w:szCs w:val="22"/>
        </w:rPr>
      </w:pPr>
      <w:r w:rsidRPr="00320EE1">
        <w:rPr>
          <w:rFonts w:ascii="Tahoma" w:hAnsi="Tahoma" w:cs="Tahoma"/>
          <w:sz w:val="22"/>
          <w:szCs w:val="22"/>
        </w:rPr>
        <w:t>En materia de beneficios y subrogados, la Sentencia C-425 de 2008 reconoció un amplio margen de configuración legislativa para utilizar la reincidencia como criterio objetivo en la regulación de mecanismos sustitutivos, siempre dentro de los límites constitucionales. En materia de medidas de aseguramiento, las Sentencias C-469 de 2016 y C-1198 de 2008 han insistido en que la protección de la comunidad y de las víctimas constituye una finalidad constitucionalmente legítima, pero la privación preventiva de la libertad conserva carácter excepcional y exige necesidad, proporcionalidad, motivación judicial y examen de alternativas menos restrictivas.</w:t>
      </w:r>
    </w:p>
    <w:p w14:paraId="4C6F0946" w14:textId="4D9917F4" w:rsidR="002A71D3" w:rsidRPr="00320EE1" w:rsidRDefault="002A71D3" w:rsidP="002A71D3">
      <w:pPr>
        <w:keepNext/>
        <w:spacing w:after="0" w:line="240" w:lineRule="auto"/>
        <w:rPr>
          <w:rFonts w:ascii="Tahoma" w:hAnsi="Tahoma" w:cs="Tahoma"/>
          <w:sz w:val="22"/>
          <w:szCs w:val="22"/>
        </w:rPr>
      </w:pPr>
    </w:p>
    <w:p w14:paraId="6BC26934" w14:textId="23CF92F4" w:rsidR="002A71D3" w:rsidRPr="00320EE1" w:rsidRDefault="002A71D3" w:rsidP="00994F22">
      <w:pPr>
        <w:pStyle w:val="Prrafodelista"/>
        <w:keepNext/>
        <w:numPr>
          <w:ilvl w:val="0"/>
          <w:numId w:val="12"/>
        </w:numPr>
        <w:spacing w:after="0" w:line="240" w:lineRule="auto"/>
        <w:rPr>
          <w:rFonts w:ascii="Tahoma" w:hAnsi="Tahoma" w:cs="Tahoma"/>
          <w:b/>
          <w:sz w:val="22"/>
          <w:szCs w:val="22"/>
        </w:rPr>
      </w:pPr>
      <w:r w:rsidRPr="00320EE1">
        <w:rPr>
          <w:rFonts w:ascii="Tahoma" w:hAnsi="Tahoma" w:cs="Tahoma"/>
          <w:b/>
          <w:sz w:val="22"/>
          <w:szCs w:val="22"/>
        </w:rPr>
        <w:t>CONSIDERACIONES DEL PONENTE</w:t>
      </w:r>
    </w:p>
    <w:p w14:paraId="568FEB0E" w14:textId="2C8907E4" w:rsidR="00994F22" w:rsidRPr="00320EE1" w:rsidRDefault="00994F22" w:rsidP="00994F22">
      <w:pPr>
        <w:keepNext/>
        <w:spacing w:after="0" w:line="240" w:lineRule="auto"/>
        <w:rPr>
          <w:rFonts w:ascii="Tahoma" w:hAnsi="Tahoma" w:cs="Tahoma"/>
          <w:sz w:val="22"/>
          <w:szCs w:val="22"/>
        </w:rPr>
      </w:pPr>
    </w:p>
    <w:p w14:paraId="1C4AECCC" w14:textId="4E61FC23" w:rsidR="002A71D3" w:rsidRPr="00320EE1" w:rsidRDefault="002A71D3" w:rsidP="009A277D">
      <w:pPr>
        <w:pStyle w:val="Prrafodelista"/>
        <w:keepNext/>
        <w:numPr>
          <w:ilvl w:val="0"/>
          <w:numId w:val="15"/>
        </w:numPr>
        <w:spacing w:after="0" w:line="240" w:lineRule="auto"/>
        <w:rPr>
          <w:rFonts w:ascii="Tahoma" w:hAnsi="Tahoma" w:cs="Tahoma"/>
          <w:sz w:val="22"/>
          <w:szCs w:val="22"/>
          <w:u w:val="single"/>
        </w:rPr>
      </w:pPr>
      <w:r w:rsidRPr="00320EE1">
        <w:rPr>
          <w:rFonts w:ascii="Tahoma" w:hAnsi="Tahoma" w:cs="Tahoma"/>
          <w:b/>
          <w:sz w:val="22"/>
          <w:szCs w:val="22"/>
          <w:u w:val="single"/>
        </w:rPr>
        <w:t>La reincidencia es un problema de seguridad, justicia y confianza institucional que exige una respuesta focalizada</w:t>
      </w:r>
    </w:p>
    <w:p w14:paraId="47989B4F" w14:textId="4EB970EC" w:rsidR="009A277D" w:rsidRPr="00320EE1" w:rsidRDefault="009A277D" w:rsidP="009A277D">
      <w:pPr>
        <w:pStyle w:val="Prrafodelista"/>
        <w:keepNext/>
        <w:spacing w:after="0" w:line="240" w:lineRule="auto"/>
        <w:rPr>
          <w:rFonts w:ascii="Tahoma" w:hAnsi="Tahoma" w:cs="Tahoma"/>
          <w:sz w:val="22"/>
          <w:szCs w:val="22"/>
        </w:rPr>
      </w:pPr>
    </w:p>
    <w:p w14:paraId="016B2029" w14:textId="79AF755A" w:rsidR="002A71D3" w:rsidRPr="00320EE1" w:rsidRDefault="002A71D3" w:rsidP="009A277D">
      <w:pPr>
        <w:spacing w:after="0" w:line="240" w:lineRule="auto"/>
        <w:jc w:val="both"/>
        <w:rPr>
          <w:rFonts w:ascii="Tahoma" w:hAnsi="Tahoma" w:cs="Tahoma"/>
          <w:sz w:val="22"/>
          <w:szCs w:val="22"/>
        </w:rPr>
      </w:pPr>
      <w:r w:rsidRPr="00320EE1">
        <w:rPr>
          <w:rFonts w:ascii="Tahoma" w:hAnsi="Tahoma" w:cs="Tahoma"/>
          <w:sz w:val="22"/>
          <w:szCs w:val="22"/>
        </w:rPr>
        <w:t>La exposición de motivos parte de un diagnóstico verificable: la criminalidad de alto impacto no es un fenómeno marginal y la reiteración delictiva compromete simultáneamente la seguridad ciudadana, la protección de las víctimas y la credibilidad del sistema de justicia. En 2025, el Departamento Nacional de Planeación reportó 290.886 hurtos a personas, 141.361 casos de violencia intrafamiliar, 89.714 lesiones comunes, 32.939 delitos sexuales, 13.726 homicidios intencionales y 12.180 casos de extorsión. En violencia intrafamiliar, delitos sexuales y homicidio se registraron incrementos frente a 2024 de 5.328, 1.465 y 229 casos, respectivamente</w:t>
      </w:r>
      <w:r w:rsidR="00510828" w:rsidRPr="00320EE1">
        <w:rPr>
          <w:rStyle w:val="Refdenotaalpie"/>
          <w:rFonts w:ascii="Tahoma" w:hAnsi="Tahoma" w:cs="Tahoma"/>
          <w:sz w:val="22"/>
          <w:szCs w:val="22"/>
        </w:rPr>
        <w:footnoteReference w:id="1"/>
      </w:r>
      <w:r w:rsidRPr="00320EE1">
        <w:rPr>
          <w:rFonts w:ascii="Tahoma" w:hAnsi="Tahoma" w:cs="Tahoma"/>
          <w:sz w:val="22"/>
          <w:szCs w:val="22"/>
        </w:rPr>
        <w:t>.</w:t>
      </w:r>
    </w:p>
    <w:p w14:paraId="77CF5CE5" w14:textId="359EF585" w:rsidR="00477FCD" w:rsidRPr="00320EE1" w:rsidRDefault="00477FCD" w:rsidP="009A277D">
      <w:pPr>
        <w:spacing w:after="0" w:line="240" w:lineRule="auto"/>
        <w:jc w:val="both"/>
        <w:rPr>
          <w:rFonts w:ascii="Tahoma" w:hAnsi="Tahoma" w:cs="Tahoma"/>
          <w:sz w:val="22"/>
          <w:szCs w:val="22"/>
        </w:rPr>
      </w:pPr>
    </w:p>
    <w:p w14:paraId="4EB455F0" w14:textId="396051D7" w:rsidR="00477FCD" w:rsidRPr="00320EE1" w:rsidRDefault="00477FCD" w:rsidP="00477FCD">
      <w:pPr>
        <w:spacing w:after="0" w:line="240" w:lineRule="auto"/>
        <w:jc w:val="center"/>
        <w:rPr>
          <w:rFonts w:ascii="Tahoma" w:hAnsi="Tahoma" w:cs="Tahoma"/>
          <w:b/>
          <w:bCs/>
          <w:sz w:val="22"/>
          <w:szCs w:val="22"/>
          <w:u w:val="single"/>
        </w:rPr>
      </w:pPr>
      <w:r w:rsidRPr="00320EE1">
        <w:rPr>
          <w:rFonts w:ascii="Tahoma" w:hAnsi="Tahoma" w:cs="Tahoma"/>
          <w:b/>
          <w:bCs/>
          <w:sz w:val="22"/>
          <w:szCs w:val="22"/>
          <w:u w:val="single"/>
        </w:rPr>
        <w:t>Gráfico 1</w:t>
      </w:r>
    </w:p>
    <w:p w14:paraId="5937277B" w14:textId="3F3087A3" w:rsidR="009A277D" w:rsidRPr="00320EE1" w:rsidRDefault="00BD0EF9" w:rsidP="009A277D">
      <w:pPr>
        <w:spacing w:after="0" w:line="240" w:lineRule="auto"/>
        <w:jc w:val="both"/>
        <w:rPr>
          <w:rFonts w:ascii="Tahoma" w:hAnsi="Tahoma" w:cs="Tahoma"/>
          <w:sz w:val="22"/>
          <w:szCs w:val="22"/>
        </w:rPr>
      </w:pPr>
      <w:r w:rsidRPr="00320EE1">
        <w:rPr>
          <w:rFonts w:ascii="Tahoma" w:hAnsi="Tahoma" w:cs="Tahoma"/>
          <w:noProof/>
          <w:sz w:val="22"/>
          <w:szCs w:val="22"/>
        </w:rPr>
        <w:drawing>
          <wp:anchor distT="0" distB="0" distL="114300" distR="114300" simplePos="0" relativeHeight="251658240" behindDoc="1" locked="0" layoutInCell="1" allowOverlap="1" wp14:anchorId="4F1B777B" wp14:editId="4448356A">
            <wp:simplePos x="0" y="0"/>
            <wp:positionH relativeFrom="column">
              <wp:posOffset>565624</wp:posOffset>
            </wp:positionH>
            <wp:positionV relativeFrom="paragraph">
              <wp:posOffset>63500</wp:posOffset>
            </wp:positionV>
            <wp:extent cx="4790365" cy="3193408"/>
            <wp:effectExtent l="0" t="0" r="0" b="7620"/>
            <wp:wrapNone/>
            <wp:docPr id="195367709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677091" name="Imagen 195367709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90365" cy="3193408"/>
                    </a:xfrm>
                    <a:prstGeom prst="rect">
                      <a:avLst/>
                    </a:prstGeom>
                  </pic:spPr>
                </pic:pic>
              </a:graphicData>
            </a:graphic>
            <wp14:sizeRelH relativeFrom="margin">
              <wp14:pctWidth>0</wp14:pctWidth>
            </wp14:sizeRelH>
            <wp14:sizeRelV relativeFrom="margin">
              <wp14:pctHeight>0</wp14:pctHeight>
            </wp14:sizeRelV>
          </wp:anchor>
        </w:drawing>
      </w:r>
    </w:p>
    <w:p w14:paraId="26348F89" w14:textId="1D8FDA13" w:rsidR="00477FCD" w:rsidRPr="00320EE1" w:rsidRDefault="00477FCD" w:rsidP="00477FCD">
      <w:pPr>
        <w:pStyle w:val="NormalWeb"/>
        <w:rPr>
          <w:rFonts w:ascii="Tahoma" w:hAnsi="Tahoma" w:cs="Tahoma"/>
          <w:sz w:val="22"/>
          <w:szCs w:val="22"/>
        </w:rPr>
      </w:pPr>
    </w:p>
    <w:p w14:paraId="29462E0F" w14:textId="201187A4" w:rsidR="00477FCD" w:rsidRPr="00320EE1" w:rsidRDefault="00477FCD" w:rsidP="00477FCD">
      <w:pPr>
        <w:pStyle w:val="NormalWeb"/>
        <w:rPr>
          <w:rFonts w:ascii="Tahoma" w:hAnsi="Tahoma" w:cs="Tahoma"/>
          <w:sz w:val="22"/>
          <w:szCs w:val="22"/>
        </w:rPr>
      </w:pPr>
    </w:p>
    <w:p w14:paraId="324F75A0" w14:textId="77777777" w:rsidR="00477FCD" w:rsidRPr="00320EE1" w:rsidRDefault="00477FCD" w:rsidP="00477FCD">
      <w:pPr>
        <w:pStyle w:val="NormalWeb"/>
        <w:rPr>
          <w:rFonts w:ascii="Tahoma" w:hAnsi="Tahoma" w:cs="Tahoma"/>
          <w:sz w:val="22"/>
          <w:szCs w:val="22"/>
        </w:rPr>
      </w:pPr>
    </w:p>
    <w:p w14:paraId="5F2D6D00" w14:textId="77777777" w:rsidR="00477FCD" w:rsidRPr="00320EE1" w:rsidRDefault="00477FCD" w:rsidP="00477FCD">
      <w:pPr>
        <w:pStyle w:val="NormalWeb"/>
        <w:rPr>
          <w:rFonts w:ascii="Tahoma" w:hAnsi="Tahoma" w:cs="Tahoma"/>
          <w:sz w:val="22"/>
          <w:szCs w:val="22"/>
        </w:rPr>
      </w:pPr>
    </w:p>
    <w:p w14:paraId="68154F2C" w14:textId="2FF4145E" w:rsidR="009E77DB" w:rsidRPr="00320EE1" w:rsidRDefault="009E77DB" w:rsidP="009A277D">
      <w:pPr>
        <w:spacing w:after="0" w:line="240" w:lineRule="auto"/>
        <w:jc w:val="both"/>
        <w:rPr>
          <w:rFonts w:ascii="Tahoma" w:hAnsi="Tahoma" w:cs="Tahoma"/>
          <w:sz w:val="22"/>
          <w:szCs w:val="22"/>
        </w:rPr>
      </w:pPr>
    </w:p>
    <w:p w14:paraId="39FF1997" w14:textId="3E225159" w:rsidR="009E77DB" w:rsidRPr="00320EE1" w:rsidRDefault="009E77DB" w:rsidP="009A277D">
      <w:pPr>
        <w:spacing w:after="0" w:line="240" w:lineRule="auto"/>
        <w:jc w:val="both"/>
        <w:rPr>
          <w:rFonts w:ascii="Tahoma" w:hAnsi="Tahoma" w:cs="Tahoma"/>
          <w:sz w:val="22"/>
          <w:szCs w:val="22"/>
        </w:rPr>
      </w:pPr>
    </w:p>
    <w:p w14:paraId="40BCE50B" w14:textId="77777777" w:rsidR="00477FCD" w:rsidRPr="00320EE1" w:rsidRDefault="00477FCD" w:rsidP="009A277D">
      <w:pPr>
        <w:spacing w:after="0" w:line="240" w:lineRule="auto"/>
        <w:jc w:val="both"/>
        <w:rPr>
          <w:rFonts w:ascii="Tahoma" w:hAnsi="Tahoma" w:cs="Tahoma"/>
          <w:sz w:val="22"/>
          <w:szCs w:val="22"/>
        </w:rPr>
      </w:pPr>
    </w:p>
    <w:p w14:paraId="3C9A3D2C" w14:textId="77777777" w:rsidR="00477FCD" w:rsidRPr="00320EE1" w:rsidRDefault="00477FCD" w:rsidP="009A277D">
      <w:pPr>
        <w:spacing w:after="0" w:line="240" w:lineRule="auto"/>
        <w:jc w:val="both"/>
        <w:rPr>
          <w:rFonts w:ascii="Tahoma" w:hAnsi="Tahoma" w:cs="Tahoma"/>
          <w:sz w:val="22"/>
          <w:szCs w:val="22"/>
        </w:rPr>
      </w:pPr>
    </w:p>
    <w:p w14:paraId="13EAECC7" w14:textId="77777777" w:rsidR="003471FD" w:rsidRPr="00320EE1" w:rsidRDefault="003471FD" w:rsidP="009A277D">
      <w:pPr>
        <w:spacing w:after="0" w:line="240" w:lineRule="auto"/>
        <w:jc w:val="both"/>
        <w:rPr>
          <w:rFonts w:ascii="Tahoma" w:hAnsi="Tahoma" w:cs="Tahoma"/>
          <w:sz w:val="22"/>
          <w:szCs w:val="22"/>
        </w:rPr>
      </w:pPr>
    </w:p>
    <w:p w14:paraId="7023FE95" w14:textId="77777777" w:rsidR="003471FD" w:rsidRPr="00320EE1" w:rsidRDefault="003471FD" w:rsidP="009A277D">
      <w:pPr>
        <w:spacing w:after="0" w:line="240" w:lineRule="auto"/>
        <w:jc w:val="both"/>
        <w:rPr>
          <w:rFonts w:ascii="Tahoma" w:hAnsi="Tahoma" w:cs="Tahoma"/>
          <w:sz w:val="22"/>
          <w:szCs w:val="22"/>
        </w:rPr>
      </w:pPr>
    </w:p>
    <w:p w14:paraId="53C85C4D" w14:textId="77777777" w:rsidR="003471FD" w:rsidRPr="00320EE1" w:rsidRDefault="003471FD" w:rsidP="009A277D">
      <w:pPr>
        <w:spacing w:after="0" w:line="240" w:lineRule="auto"/>
        <w:jc w:val="both"/>
        <w:rPr>
          <w:rFonts w:ascii="Tahoma" w:hAnsi="Tahoma" w:cs="Tahoma"/>
          <w:sz w:val="22"/>
          <w:szCs w:val="22"/>
        </w:rPr>
      </w:pPr>
    </w:p>
    <w:p w14:paraId="6ADF05C2" w14:textId="77777777" w:rsidR="003471FD" w:rsidRPr="00320EE1" w:rsidRDefault="003471FD" w:rsidP="009A277D">
      <w:pPr>
        <w:spacing w:after="0" w:line="240" w:lineRule="auto"/>
        <w:jc w:val="both"/>
        <w:rPr>
          <w:rFonts w:ascii="Tahoma" w:hAnsi="Tahoma" w:cs="Tahoma"/>
          <w:sz w:val="22"/>
          <w:szCs w:val="22"/>
        </w:rPr>
      </w:pPr>
    </w:p>
    <w:p w14:paraId="4856C2A8" w14:textId="77777777" w:rsidR="00477FCD" w:rsidRPr="00320EE1" w:rsidRDefault="00477FCD" w:rsidP="009A277D">
      <w:pPr>
        <w:spacing w:after="0" w:line="240" w:lineRule="auto"/>
        <w:jc w:val="both"/>
        <w:rPr>
          <w:rFonts w:ascii="Tahoma" w:hAnsi="Tahoma" w:cs="Tahoma"/>
          <w:sz w:val="22"/>
          <w:szCs w:val="22"/>
        </w:rPr>
      </w:pPr>
    </w:p>
    <w:p w14:paraId="601FE7BC" w14:textId="77777777" w:rsidR="00477FCD" w:rsidRPr="00320EE1" w:rsidRDefault="00477FCD" w:rsidP="009A277D">
      <w:pPr>
        <w:spacing w:after="0" w:line="240" w:lineRule="auto"/>
        <w:jc w:val="both"/>
        <w:rPr>
          <w:rFonts w:ascii="Tahoma" w:hAnsi="Tahoma" w:cs="Tahoma"/>
          <w:sz w:val="22"/>
          <w:szCs w:val="22"/>
        </w:rPr>
      </w:pPr>
    </w:p>
    <w:p w14:paraId="05BD7467" w14:textId="72C31D94" w:rsidR="002A71D3" w:rsidRPr="00320EE1" w:rsidRDefault="002A71D3" w:rsidP="009A277D">
      <w:pPr>
        <w:spacing w:after="0" w:line="240" w:lineRule="auto"/>
        <w:jc w:val="both"/>
        <w:rPr>
          <w:rFonts w:ascii="Tahoma" w:hAnsi="Tahoma" w:cs="Tahoma"/>
          <w:sz w:val="22"/>
          <w:szCs w:val="22"/>
        </w:rPr>
      </w:pPr>
      <w:r w:rsidRPr="00320EE1">
        <w:rPr>
          <w:rFonts w:ascii="Tahoma" w:hAnsi="Tahoma" w:cs="Tahoma"/>
          <w:sz w:val="22"/>
          <w:szCs w:val="22"/>
        </w:rPr>
        <w:t xml:space="preserve">La información penitenciaria refuerza la necesidad de intervenir el fenómeno. En enero de 2024, el INPEC reportó 23.696 personas privadas de la libertad reincidentes frente a una población condenada de 106.375, equivalente al 22,3%. Entre los principales registros delictivos de esa población se encontraban hurto (12.847), fabricación, tráfico y porte de armas de fuego o municiones (8.239), tráfico, fabricación o porte de estupefacientes (7.426), homicidio (7.079), </w:t>
      </w:r>
      <w:r w:rsidRPr="00320EE1">
        <w:rPr>
          <w:rFonts w:ascii="Tahoma" w:hAnsi="Tahoma" w:cs="Tahoma"/>
          <w:sz w:val="22"/>
          <w:szCs w:val="22"/>
        </w:rPr>
        <w:lastRenderedPageBreak/>
        <w:t>concierto para delinquir (5.807), extorsión (1.579), violencia intrafamiliar (1.384) y lesiones personales (1.335)</w:t>
      </w:r>
      <w:r w:rsidR="009B4EE5" w:rsidRPr="00320EE1">
        <w:rPr>
          <w:rStyle w:val="Refdenotaalpie"/>
          <w:rFonts w:ascii="Tahoma" w:hAnsi="Tahoma" w:cs="Tahoma"/>
          <w:sz w:val="22"/>
          <w:szCs w:val="22"/>
        </w:rPr>
        <w:footnoteReference w:id="2"/>
      </w:r>
      <w:r w:rsidRPr="00320EE1">
        <w:rPr>
          <w:rFonts w:ascii="Tahoma" w:hAnsi="Tahoma" w:cs="Tahoma"/>
          <w:sz w:val="22"/>
          <w:szCs w:val="22"/>
        </w:rPr>
        <w:t>.</w:t>
      </w:r>
    </w:p>
    <w:p w14:paraId="35307DCE" w14:textId="4C5A8ED8" w:rsidR="00E2428B" w:rsidRPr="00320EE1" w:rsidRDefault="00E2428B" w:rsidP="009A277D">
      <w:pPr>
        <w:spacing w:after="0" w:line="240" w:lineRule="auto"/>
        <w:jc w:val="both"/>
        <w:rPr>
          <w:rFonts w:ascii="Tahoma" w:hAnsi="Tahoma" w:cs="Tahoma"/>
          <w:sz w:val="22"/>
          <w:szCs w:val="22"/>
        </w:rPr>
      </w:pPr>
    </w:p>
    <w:p w14:paraId="50274D0A" w14:textId="0E96D21D" w:rsidR="002A71D3" w:rsidRPr="00320EE1" w:rsidRDefault="002A71D3" w:rsidP="00E2589F">
      <w:pPr>
        <w:spacing w:after="0" w:line="240" w:lineRule="auto"/>
        <w:jc w:val="both"/>
        <w:rPr>
          <w:rFonts w:ascii="Tahoma" w:hAnsi="Tahoma" w:cs="Tahoma"/>
          <w:sz w:val="22"/>
          <w:szCs w:val="22"/>
        </w:rPr>
      </w:pPr>
      <w:r w:rsidRPr="00320EE1">
        <w:rPr>
          <w:rFonts w:ascii="Tahoma" w:hAnsi="Tahoma" w:cs="Tahoma"/>
          <w:sz w:val="22"/>
          <w:szCs w:val="22"/>
        </w:rPr>
        <w:t>La actualización disponible para marzo de 2026 muestra que la cuestión mantiene plena vigencia. El INPEC registró 26.209 personas con reincidencia penitenciaria sobre 108.187 personas condenadas a su cargo, esto es, el 24,2%. En la modalidad intramural la proporción fue todavía mayor: 21.804 reincidentes sobre 84.349 condenados, equivalente al 25,8%. Frente al dato de enero de 2024 utilizado en la exposición de motivos, ello representa 2.513 personas reincidentes adicionales y un aumento de 1,9 puntos porcentuales en la proporción sobre la población condenada</w:t>
      </w:r>
      <w:r w:rsidR="00E67FE3" w:rsidRPr="00320EE1">
        <w:rPr>
          <w:rStyle w:val="Refdenotaalpie"/>
          <w:rFonts w:ascii="Tahoma" w:hAnsi="Tahoma" w:cs="Tahoma"/>
          <w:sz w:val="22"/>
          <w:szCs w:val="22"/>
        </w:rPr>
        <w:footnoteReference w:id="3"/>
      </w:r>
      <w:r w:rsidRPr="00320EE1">
        <w:rPr>
          <w:rFonts w:ascii="Tahoma" w:hAnsi="Tahoma" w:cs="Tahoma"/>
          <w:sz w:val="22"/>
          <w:szCs w:val="22"/>
        </w:rPr>
        <w:t>.</w:t>
      </w:r>
    </w:p>
    <w:p w14:paraId="4446A4D6" w14:textId="1B4BF034" w:rsidR="00E67FE3" w:rsidRPr="00320EE1" w:rsidRDefault="00E67FE3" w:rsidP="002A71D3">
      <w:pPr>
        <w:keepNext/>
        <w:spacing w:after="0" w:line="240" w:lineRule="auto"/>
        <w:rPr>
          <w:rFonts w:ascii="Tahoma" w:hAnsi="Tahoma" w:cs="Tahoma"/>
          <w:b/>
          <w:sz w:val="22"/>
          <w:szCs w:val="22"/>
        </w:rPr>
      </w:pPr>
    </w:p>
    <w:p w14:paraId="7C74FD35" w14:textId="7D174ACA" w:rsidR="00504745" w:rsidRPr="00320EE1" w:rsidRDefault="003471FD" w:rsidP="00504745">
      <w:pPr>
        <w:spacing w:after="0" w:line="240" w:lineRule="auto"/>
        <w:jc w:val="center"/>
        <w:rPr>
          <w:rFonts w:ascii="Tahoma" w:hAnsi="Tahoma" w:cs="Tahoma"/>
          <w:b/>
          <w:bCs/>
          <w:sz w:val="22"/>
          <w:szCs w:val="22"/>
          <w:u w:val="single"/>
        </w:rPr>
      </w:pPr>
      <w:r w:rsidRPr="00320EE1">
        <w:rPr>
          <w:rFonts w:ascii="Tahoma" w:hAnsi="Tahoma" w:cs="Tahoma"/>
          <w:b/>
          <w:bCs/>
          <w:sz w:val="22"/>
          <w:szCs w:val="22"/>
          <w:u w:val="single"/>
        </w:rPr>
        <w:t>Gráfico 2</w:t>
      </w:r>
    </w:p>
    <w:p w14:paraId="1672AC56" w14:textId="5A87BC67" w:rsidR="003471FD" w:rsidRPr="00320EE1" w:rsidRDefault="00504745" w:rsidP="003471FD">
      <w:pPr>
        <w:spacing w:after="0" w:line="240" w:lineRule="auto"/>
        <w:jc w:val="center"/>
        <w:rPr>
          <w:rFonts w:ascii="Tahoma" w:hAnsi="Tahoma" w:cs="Tahoma"/>
          <w:b/>
          <w:bCs/>
          <w:sz w:val="22"/>
          <w:szCs w:val="22"/>
        </w:rPr>
      </w:pPr>
      <w:r w:rsidRPr="00320EE1">
        <w:rPr>
          <w:rFonts w:ascii="Tahoma" w:hAnsi="Tahoma" w:cs="Tahoma"/>
          <w:b/>
          <w:bCs/>
          <w:noProof/>
          <w:sz w:val="22"/>
          <w:szCs w:val="22"/>
        </w:rPr>
        <w:drawing>
          <wp:anchor distT="0" distB="0" distL="114300" distR="114300" simplePos="0" relativeHeight="251659264" behindDoc="1" locked="0" layoutInCell="1" allowOverlap="1" wp14:anchorId="32121193" wp14:editId="64784ECB">
            <wp:simplePos x="0" y="0"/>
            <wp:positionH relativeFrom="column">
              <wp:posOffset>687866</wp:posOffset>
            </wp:positionH>
            <wp:positionV relativeFrom="paragraph">
              <wp:posOffset>68580</wp:posOffset>
            </wp:positionV>
            <wp:extent cx="4606119" cy="3838596"/>
            <wp:effectExtent l="0" t="0" r="4445" b="0"/>
            <wp:wrapNone/>
            <wp:docPr id="98304442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044423" name="Imagen 983044423"/>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606119" cy="3838596"/>
                    </a:xfrm>
                    <a:prstGeom prst="rect">
                      <a:avLst/>
                    </a:prstGeom>
                  </pic:spPr>
                </pic:pic>
              </a:graphicData>
            </a:graphic>
            <wp14:sizeRelH relativeFrom="margin">
              <wp14:pctWidth>0</wp14:pctWidth>
            </wp14:sizeRelH>
            <wp14:sizeRelV relativeFrom="margin">
              <wp14:pctHeight>0</wp14:pctHeight>
            </wp14:sizeRelV>
          </wp:anchor>
        </w:drawing>
      </w:r>
    </w:p>
    <w:p w14:paraId="5F40D18C" w14:textId="4421AA1C" w:rsidR="003471FD" w:rsidRPr="00320EE1" w:rsidRDefault="003471FD" w:rsidP="003471FD">
      <w:pPr>
        <w:spacing w:after="0" w:line="240" w:lineRule="auto"/>
        <w:jc w:val="center"/>
        <w:rPr>
          <w:rFonts w:ascii="Tahoma" w:hAnsi="Tahoma" w:cs="Tahoma"/>
          <w:b/>
          <w:bCs/>
          <w:sz w:val="22"/>
          <w:szCs w:val="22"/>
        </w:rPr>
      </w:pPr>
    </w:p>
    <w:p w14:paraId="5648E41C" w14:textId="77777777" w:rsidR="00477FCD" w:rsidRPr="00320EE1" w:rsidRDefault="00477FCD" w:rsidP="002A71D3">
      <w:pPr>
        <w:keepNext/>
        <w:spacing w:after="0" w:line="240" w:lineRule="auto"/>
        <w:rPr>
          <w:rFonts w:ascii="Tahoma" w:hAnsi="Tahoma" w:cs="Tahoma"/>
          <w:b/>
          <w:sz w:val="22"/>
          <w:szCs w:val="22"/>
        </w:rPr>
      </w:pPr>
    </w:p>
    <w:p w14:paraId="2738FADD" w14:textId="77777777" w:rsidR="00477FCD" w:rsidRPr="00320EE1" w:rsidRDefault="00477FCD" w:rsidP="002A71D3">
      <w:pPr>
        <w:keepNext/>
        <w:spacing w:after="0" w:line="240" w:lineRule="auto"/>
        <w:rPr>
          <w:rFonts w:ascii="Tahoma" w:hAnsi="Tahoma" w:cs="Tahoma"/>
          <w:b/>
          <w:sz w:val="22"/>
          <w:szCs w:val="22"/>
        </w:rPr>
      </w:pPr>
    </w:p>
    <w:p w14:paraId="420F9DC0" w14:textId="77777777" w:rsidR="00E67FE3" w:rsidRPr="00320EE1" w:rsidRDefault="00E67FE3" w:rsidP="002A71D3">
      <w:pPr>
        <w:keepNext/>
        <w:spacing w:after="0" w:line="240" w:lineRule="auto"/>
        <w:rPr>
          <w:rFonts w:ascii="Tahoma" w:hAnsi="Tahoma" w:cs="Tahoma"/>
          <w:b/>
          <w:sz w:val="22"/>
          <w:szCs w:val="22"/>
        </w:rPr>
      </w:pPr>
    </w:p>
    <w:p w14:paraId="698442D6" w14:textId="77777777" w:rsidR="00504745" w:rsidRPr="00320EE1" w:rsidRDefault="00504745" w:rsidP="002A71D3">
      <w:pPr>
        <w:keepNext/>
        <w:spacing w:after="0" w:line="240" w:lineRule="auto"/>
        <w:rPr>
          <w:rFonts w:ascii="Tahoma" w:hAnsi="Tahoma" w:cs="Tahoma"/>
          <w:b/>
          <w:sz w:val="22"/>
          <w:szCs w:val="22"/>
        </w:rPr>
      </w:pPr>
    </w:p>
    <w:p w14:paraId="629A6345" w14:textId="77777777" w:rsidR="00504745" w:rsidRPr="00320EE1" w:rsidRDefault="00504745" w:rsidP="002A71D3">
      <w:pPr>
        <w:keepNext/>
        <w:spacing w:after="0" w:line="240" w:lineRule="auto"/>
        <w:rPr>
          <w:rFonts w:ascii="Tahoma" w:hAnsi="Tahoma" w:cs="Tahoma"/>
          <w:b/>
          <w:sz w:val="22"/>
          <w:szCs w:val="22"/>
        </w:rPr>
      </w:pPr>
    </w:p>
    <w:p w14:paraId="2B746E21" w14:textId="77777777" w:rsidR="00504745" w:rsidRPr="00320EE1" w:rsidRDefault="00504745" w:rsidP="002A71D3">
      <w:pPr>
        <w:keepNext/>
        <w:spacing w:after="0" w:line="240" w:lineRule="auto"/>
        <w:rPr>
          <w:rFonts w:ascii="Tahoma" w:hAnsi="Tahoma" w:cs="Tahoma"/>
          <w:b/>
          <w:sz w:val="22"/>
          <w:szCs w:val="22"/>
        </w:rPr>
      </w:pPr>
    </w:p>
    <w:p w14:paraId="391562D2" w14:textId="77777777" w:rsidR="00504745" w:rsidRPr="00320EE1" w:rsidRDefault="00504745" w:rsidP="002A71D3">
      <w:pPr>
        <w:keepNext/>
        <w:spacing w:after="0" w:line="240" w:lineRule="auto"/>
        <w:rPr>
          <w:rFonts w:ascii="Tahoma" w:hAnsi="Tahoma" w:cs="Tahoma"/>
          <w:b/>
          <w:sz w:val="22"/>
          <w:szCs w:val="22"/>
        </w:rPr>
      </w:pPr>
    </w:p>
    <w:p w14:paraId="44EEFD04" w14:textId="77777777" w:rsidR="00504745" w:rsidRPr="00320EE1" w:rsidRDefault="00504745" w:rsidP="002A71D3">
      <w:pPr>
        <w:keepNext/>
        <w:spacing w:after="0" w:line="240" w:lineRule="auto"/>
        <w:rPr>
          <w:rFonts w:ascii="Tahoma" w:hAnsi="Tahoma" w:cs="Tahoma"/>
          <w:b/>
          <w:sz w:val="22"/>
          <w:szCs w:val="22"/>
        </w:rPr>
      </w:pPr>
    </w:p>
    <w:p w14:paraId="439F8238" w14:textId="77777777" w:rsidR="00504745" w:rsidRPr="00320EE1" w:rsidRDefault="00504745" w:rsidP="002A71D3">
      <w:pPr>
        <w:keepNext/>
        <w:spacing w:after="0" w:line="240" w:lineRule="auto"/>
        <w:rPr>
          <w:rFonts w:ascii="Tahoma" w:hAnsi="Tahoma" w:cs="Tahoma"/>
          <w:b/>
          <w:sz w:val="22"/>
          <w:szCs w:val="22"/>
        </w:rPr>
      </w:pPr>
    </w:p>
    <w:p w14:paraId="3810E865" w14:textId="77777777" w:rsidR="00504745" w:rsidRPr="00320EE1" w:rsidRDefault="00504745" w:rsidP="002A71D3">
      <w:pPr>
        <w:keepNext/>
        <w:spacing w:after="0" w:line="240" w:lineRule="auto"/>
        <w:rPr>
          <w:rFonts w:ascii="Tahoma" w:hAnsi="Tahoma" w:cs="Tahoma"/>
          <w:b/>
          <w:sz w:val="22"/>
          <w:szCs w:val="22"/>
        </w:rPr>
      </w:pPr>
    </w:p>
    <w:p w14:paraId="7BE8A60A" w14:textId="77777777" w:rsidR="00504745" w:rsidRPr="00320EE1" w:rsidRDefault="00504745" w:rsidP="002A71D3">
      <w:pPr>
        <w:keepNext/>
        <w:spacing w:after="0" w:line="240" w:lineRule="auto"/>
        <w:rPr>
          <w:rFonts w:ascii="Tahoma" w:hAnsi="Tahoma" w:cs="Tahoma"/>
          <w:b/>
          <w:sz w:val="22"/>
          <w:szCs w:val="22"/>
        </w:rPr>
      </w:pPr>
    </w:p>
    <w:p w14:paraId="68BC9CB2" w14:textId="77777777" w:rsidR="00504745" w:rsidRPr="00320EE1" w:rsidRDefault="00504745" w:rsidP="002A71D3">
      <w:pPr>
        <w:keepNext/>
        <w:spacing w:after="0" w:line="240" w:lineRule="auto"/>
        <w:rPr>
          <w:rFonts w:ascii="Tahoma" w:hAnsi="Tahoma" w:cs="Tahoma"/>
          <w:b/>
          <w:sz w:val="22"/>
          <w:szCs w:val="22"/>
        </w:rPr>
      </w:pPr>
    </w:p>
    <w:p w14:paraId="3AAFD657" w14:textId="77777777" w:rsidR="00504745" w:rsidRPr="00320EE1" w:rsidRDefault="00504745" w:rsidP="002A71D3">
      <w:pPr>
        <w:keepNext/>
        <w:spacing w:after="0" w:line="240" w:lineRule="auto"/>
        <w:rPr>
          <w:rFonts w:ascii="Tahoma" w:hAnsi="Tahoma" w:cs="Tahoma"/>
          <w:b/>
          <w:sz w:val="22"/>
          <w:szCs w:val="22"/>
        </w:rPr>
      </w:pPr>
    </w:p>
    <w:p w14:paraId="583EFB5D" w14:textId="77777777" w:rsidR="00504745" w:rsidRPr="00320EE1" w:rsidRDefault="00504745" w:rsidP="002A71D3">
      <w:pPr>
        <w:keepNext/>
        <w:spacing w:after="0" w:line="240" w:lineRule="auto"/>
        <w:rPr>
          <w:rFonts w:ascii="Tahoma" w:hAnsi="Tahoma" w:cs="Tahoma"/>
          <w:b/>
          <w:sz w:val="22"/>
          <w:szCs w:val="22"/>
        </w:rPr>
      </w:pPr>
    </w:p>
    <w:p w14:paraId="7D550E53" w14:textId="77777777" w:rsidR="00504745" w:rsidRPr="00320EE1" w:rsidRDefault="00504745" w:rsidP="002A71D3">
      <w:pPr>
        <w:keepNext/>
        <w:spacing w:after="0" w:line="240" w:lineRule="auto"/>
        <w:rPr>
          <w:rFonts w:ascii="Tahoma" w:hAnsi="Tahoma" w:cs="Tahoma"/>
          <w:b/>
          <w:sz w:val="22"/>
          <w:szCs w:val="22"/>
        </w:rPr>
      </w:pPr>
    </w:p>
    <w:p w14:paraId="05D92DAC"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3023D5EC"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4F67CEBF"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4F03B21F"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1B79DD6A"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20E63715" w14:textId="77777777" w:rsidR="00504745" w:rsidRPr="00320EE1" w:rsidRDefault="00504745" w:rsidP="00504745">
      <w:pPr>
        <w:pStyle w:val="Prrafodelista"/>
        <w:keepNext/>
        <w:spacing w:after="0" w:line="240" w:lineRule="auto"/>
        <w:rPr>
          <w:rFonts w:ascii="Tahoma" w:hAnsi="Tahoma" w:cs="Tahoma"/>
          <w:b/>
          <w:sz w:val="22"/>
          <w:szCs w:val="22"/>
          <w:u w:val="single"/>
        </w:rPr>
      </w:pPr>
    </w:p>
    <w:p w14:paraId="727ED14E" w14:textId="77777777" w:rsidR="00504745" w:rsidRPr="00320EE1" w:rsidRDefault="00504745" w:rsidP="00504745">
      <w:pPr>
        <w:keepNext/>
        <w:spacing w:after="0" w:line="240" w:lineRule="auto"/>
        <w:rPr>
          <w:rFonts w:ascii="Tahoma" w:hAnsi="Tahoma" w:cs="Tahoma"/>
          <w:b/>
          <w:sz w:val="22"/>
          <w:szCs w:val="22"/>
          <w:u w:val="single"/>
        </w:rPr>
      </w:pPr>
    </w:p>
    <w:p w14:paraId="61A8054E" w14:textId="18BBAA3E" w:rsidR="002A71D3" w:rsidRPr="00320EE1" w:rsidRDefault="002A71D3" w:rsidP="00B326BC">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La selección de delitos responde a criterios verificables y no a una expansión indiscriminada del castigo</w:t>
      </w:r>
    </w:p>
    <w:p w14:paraId="3537910A" w14:textId="77777777" w:rsidR="00B326BC" w:rsidRPr="00320EE1" w:rsidRDefault="00B326BC" w:rsidP="00B326BC">
      <w:pPr>
        <w:pStyle w:val="Prrafodelista"/>
        <w:keepNext/>
        <w:spacing w:after="0" w:line="240" w:lineRule="auto"/>
        <w:rPr>
          <w:rFonts w:ascii="Tahoma" w:hAnsi="Tahoma" w:cs="Tahoma"/>
          <w:sz w:val="22"/>
          <w:szCs w:val="22"/>
        </w:rPr>
      </w:pPr>
    </w:p>
    <w:p w14:paraId="05E06F1C" w14:textId="77563ABB" w:rsidR="002A71D3" w:rsidRPr="00320EE1" w:rsidRDefault="002A71D3" w:rsidP="00B326BC">
      <w:pPr>
        <w:spacing w:after="0" w:line="240" w:lineRule="auto"/>
        <w:jc w:val="both"/>
        <w:rPr>
          <w:rFonts w:ascii="Tahoma" w:hAnsi="Tahoma" w:cs="Tahoma"/>
          <w:sz w:val="22"/>
          <w:szCs w:val="22"/>
        </w:rPr>
      </w:pPr>
      <w:r w:rsidRPr="00320EE1">
        <w:rPr>
          <w:rFonts w:ascii="Tahoma" w:hAnsi="Tahoma" w:cs="Tahoma"/>
          <w:sz w:val="22"/>
          <w:szCs w:val="22"/>
        </w:rPr>
        <w:t xml:space="preserve">El diseño </w:t>
      </w:r>
      <w:r w:rsidR="00B326BC" w:rsidRPr="00320EE1">
        <w:rPr>
          <w:rFonts w:ascii="Tahoma" w:hAnsi="Tahoma" w:cs="Tahoma"/>
          <w:sz w:val="22"/>
          <w:szCs w:val="22"/>
        </w:rPr>
        <w:t xml:space="preserve">del proyecto de ley </w:t>
      </w:r>
      <w:r w:rsidRPr="00320EE1">
        <w:rPr>
          <w:rFonts w:ascii="Tahoma" w:hAnsi="Tahoma" w:cs="Tahoma"/>
          <w:sz w:val="22"/>
          <w:szCs w:val="22"/>
        </w:rPr>
        <w:t xml:space="preserve">no pretende que todo antecedente penal produzca una consecuencia agravatoria. La selección de conductas se apoya en frecuencia, gravedad, afectación de bienes </w:t>
      </w:r>
      <w:r w:rsidRPr="00320EE1">
        <w:rPr>
          <w:rFonts w:ascii="Tahoma" w:hAnsi="Tahoma" w:cs="Tahoma"/>
          <w:sz w:val="22"/>
          <w:szCs w:val="22"/>
        </w:rPr>
        <w:lastRenderedPageBreak/>
        <w:t>jurídicos esenciales, presencia dentro de la población reincidente, relación con economías criminales, vulnerabilidad de las víctimas y necesidad de mejorar la respuesta judicial. Esta focalización es constitucionalmente relevante porque reduce el margen de arbitrariedad y vincula la consecuencia jurídica con un problema de política criminal identificable.</w:t>
      </w:r>
    </w:p>
    <w:p w14:paraId="2F5A7FF2" w14:textId="77777777" w:rsidR="00B326BC" w:rsidRPr="00320EE1" w:rsidRDefault="00B326BC" w:rsidP="00B326BC">
      <w:pPr>
        <w:spacing w:after="0" w:line="240" w:lineRule="auto"/>
        <w:jc w:val="both"/>
        <w:rPr>
          <w:rFonts w:ascii="Tahoma" w:hAnsi="Tahoma" w:cs="Tahoma"/>
          <w:sz w:val="22"/>
          <w:szCs w:val="22"/>
        </w:rPr>
      </w:pPr>
    </w:p>
    <w:p w14:paraId="0E133C9F" w14:textId="77777777" w:rsidR="002A71D3" w:rsidRPr="00320EE1" w:rsidRDefault="002A71D3" w:rsidP="001A71FF">
      <w:pPr>
        <w:spacing w:after="0" w:line="240" w:lineRule="auto"/>
        <w:jc w:val="both"/>
        <w:rPr>
          <w:rFonts w:ascii="Tahoma" w:hAnsi="Tahoma" w:cs="Tahoma"/>
          <w:sz w:val="22"/>
          <w:szCs w:val="22"/>
        </w:rPr>
      </w:pPr>
      <w:r w:rsidRPr="00320EE1">
        <w:rPr>
          <w:rFonts w:ascii="Tahoma" w:hAnsi="Tahoma" w:cs="Tahoma"/>
          <w:sz w:val="22"/>
          <w:szCs w:val="22"/>
        </w:rPr>
        <w:t>El hurto es el ejemplo más evidente: fue el delito de mayor número de reportes entre los principales indicadores de seguridad utilizados en la exposición de motivos y, a la vez, el principal registro delictivo dentro de la población penitenciaria reincidente analizada por el INPEC. La receptación se incorpora por su conexión funcional con los mercados que permiten realizar económicamente los bienes sustraídos. La extorsión, el concierto para delinquir, los delitos de armas y el tráfico de estupefacientes responden, además, a dinámicas que pueden sostener estructuras criminales y afectar de manera persistente territorios y comunidades.</w:t>
      </w:r>
    </w:p>
    <w:p w14:paraId="4E4B95F4" w14:textId="77777777" w:rsidR="001A71FF" w:rsidRPr="00320EE1" w:rsidRDefault="001A71FF" w:rsidP="001A71FF">
      <w:pPr>
        <w:spacing w:after="0" w:line="240" w:lineRule="auto"/>
        <w:jc w:val="both"/>
        <w:rPr>
          <w:rFonts w:ascii="Tahoma" w:hAnsi="Tahoma" w:cs="Tahoma"/>
          <w:sz w:val="22"/>
          <w:szCs w:val="22"/>
        </w:rPr>
      </w:pPr>
    </w:p>
    <w:p w14:paraId="13096320" w14:textId="04E4883F" w:rsidR="002A71D3" w:rsidRPr="00320EE1" w:rsidRDefault="002A71D3" w:rsidP="001A71FF">
      <w:pPr>
        <w:spacing w:after="0" w:line="240" w:lineRule="auto"/>
        <w:jc w:val="both"/>
        <w:rPr>
          <w:rFonts w:ascii="Tahoma" w:hAnsi="Tahoma" w:cs="Tahoma"/>
          <w:sz w:val="22"/>
          <w:szCs w:val="22"/>
        </w:rPr>
      </w:pPr>
      <w:r w:rsidRPr="00320EE1">
        <w:rPr>
          <w:rFonts w:ascii="Tahoma" w:hAnsi="Tahoma" w:cs="Tahoma"/>
          <w:sz w:val="22"/>
          <w:szCs w:val="22"/>
        </w:rPr>
        <w:t>En violencia intrafamiliar y delitos sexuales la justificación es también reforzada por la posición constitucional de las víctimas. La reiteración puede significar revictimización, escalamiento del riesgo y continuidad de patrones de violencia. En homicidio y lesiones personales está comprometida directamente la vida y la integridad personal. En los delitos informáticos patrimoniales, por su parte, la estructura repetitiva y escalable de las conductas justifica que la ley atienda tanto la identidad del delito como las conexiones funcionales expresamente delimitadas en el articulado.</w:t>
      </w:r>
    </w:p>
    <w:p w14:paraId="1087258D" w14:textId="77777777" w:rsidR="00AC1F79" w:rsidRPr="00320EE1" w:rsidRDefault="00AC1F79" w:rsidP="001A71FF">
      <w:pPr>
        <w:spacing w:after="0" w:line="240" w:lineRule="auto"/>
        <w:jc w:val="both"/>
        <w:rPr>
          <w:rFonts w:ascii="Tahoma" w:hAnsi="Tahoma" w:cs="Tahoma"/>
          <w:sz w:val="22"/>
          <w:szCs w:val="22"/>
        </w:rPr>
      </w:pPr>
    </w:p>
    <w:p w14:paraId="7854D56E" w14:textId="1E34B571" w:rsidR="00ED1F00" w:rsidRPr="00320EE1" w:rsidRDefault="00ED1F00" w:rsidP="00ED1F00">
      <w:pPr>
        <w:pStyle w:val="Prrafodelista"/>
        <w:keepNext/>
        <w:numPr>
          <w:ilvl w:val="0"/>
          <w:numId w:val="15"/>
        </w:numPr>
        <w:spacing w:after="0" w:line="240" w:lineRule="auto"/>
        <w:rPr>
          <w:rFonts w:ascii="Tahoma" w:hAnsi="Tahoma" w:cs="Tahoma"/>
          <w:b/>
          <w:bCs/>
          <w:sz w:val="22"/>
          <w:szCs w:val="22"/>
          <w:u w:val="single"/>
        </w:rPr>
      </w:pPr>
      <w:r w:rsidRPr="00320EE1">
        <w:rPr>
          <w:rFonts w:ascii="Tahoma" w:hAnsi="Tahoma" w:cs="Tahoma"/>
          <w:b/>
          <w:bCs/>
          <w:sz w:val="22"/>
          <w:szCs w:val="22"/>
          <w:u w:val="single"/>
        </w:rPr>
        <w:t>La reincidencia específica relevante: concepto, elementos y alcance de la figura</w:t>
      </w:r>
    </w:p>
    <w:p w14:paraId="3BB697EA" w14:textId="77777777" w:rsidR="00ED1F00" w:rsidRPr="00320EE1" w:rsidRDefault="00ED1F00" w:rsidP="00ED1F00">
      <w:pPr>
        <w:pStyle w:val="Prrafodelista"/>
        <w:keepNext/>
        <w:spacing w:after="0" w:line="240" w:lineRule="auto"/>
        <w:jc w:val="both"/>
        <w:rPr>
          <w:rFonts w:ascii="Tahoma" w:hAnsi="Tahoma" w:cs="Tahoma"/>
          <w:sz w:val="22"/>
          <w:szCs w:val="22"/>
        </w:rPr>
      </w:pPr>
    </w:p>
    <w:p w14:paraId="698CCAA7" w14:textId="77777777"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El eje normativo de la iniciativa es la creación de una categoría jurídica precisa denominada “reincidencia específica relevante”. No se trata de cualquier reiteración delictiva, ni de la simple existencia de antecedentes penales. Tampoco constituye un nuevo delito ni una circunstancia genérica de mayor punibilidad. Es una categoría legal de aplicación restringida, diseñada para identificar aquellos eventos en los que una persona, después de haber sido condenada mediante sentencia ejecutoriada por una conducta dolosa determinada, comete dentro de un periodo reciente un nuevo delito que reproduce o mantiene una relación jurídica específica con la conducta anteriormente sancionada.</w:t>
      </w:r>
    </w:p>
    <w:p w14:paraId="181B86D1" w14:textId="77777777" w:rsidR="00225470" w:rsidRPr="00320EE1" w:rsidRDefault="00225470" w:rsidP="00ED1F00">
      <w:pPr>
        <w:keepNext/>
        <w:spacing w:after="0" w:line="240" w:lineRule="auto"/>
        <w:jc w:val="both"/>
        <w:rPr>
          <w:rFonts w:ascii="Tahoma" w:hAnsi="Tahoma" w:cs="Tahoma"/>
          <w:sz w:val="22"/>
          <w:szCs w:val="22"/>
        </w:rPr>
      </w:pPr>
    </w:p>
    <w:p w14:paraId="594765DF" w14:textId="77777777"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El artículo 2 del proyecto propone adicionar un artículo 58A al Código Penal y define la reincidencia específica relevante a partir de varios elementos concurrentes. En primer lugar, debe existir un nuevo delito doloso. La figura no surge por el solo hecho de tener antecedentes: requiere necesariamente la comisión de una nueva conducta punible. En segundo lugar, debe existir una condena previa mediante sentencia ejecutoriada, lo que excluye cualquier efecto basado únicamente en sospechas, capturas, investigaciones o procesos todavía no concluidos. En tercer lugar, la ejecutoria de esa condena anterior debe haberse producido dentro de los cinco años anteriores a la comisión del nuevo delito. Y, finalmente, debe existir identidad o una relación jurídicamente delimitada entre ambos hechos: el nuevo delito debe corresponder al mismo delito, </w:t>
      </w:r>
      <w:r w:rsidRPr="00320EE1">
        <w:rPr>
          <w:rFonts w:ascii="Tahoma" w:hAnsi="Tahoma" w:cs="Tahoma"/>
          <w:sz w:val="22"/>
          <w:szCs w:val="22"/>
        </w:rPr>
        <w:lastRenderedPageBreak/>
        <w:t xml:space="preserve">a una modalidad calificada o agravada del mismo, a su tentativa punible o a una conducta que la propia ley haya definido expresamente como funcionalmente conexa. </w:t>
      </w:r>
    </w:p>
    <w:p w14:paraId="0854E940" w14:textId="77777777" w:rsidR="00D7075C" w:rsidRPr="00320EE1" w:rsidRDefault="00D7075C" w:rsidP="00ED1F00">
      <w:pPr>
        <w:keepNext/>
        <w:spacing w:after="0" w:line="240" w:lineRule="auto"/>
        <w:jc w:val="both"/>
        <w:rPr>
          <w:rFonts w:ascii="Tahoma" w:hAnsi="Tahoma" w:cs="Tahoma"/>
          <w:sz w:val="22"/>
          <w:szCs w:val="22"/>
        </w:rPr>
      </w:pPr>
    </w:p>
    <w:p w14:paraId="231C09DC" w14:textId="77777777"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Estos elementos permiten identificar cuatro características esenciales de la figura: es específica, temporal, judicialmente acreditada y legalmente delimitada.</w:t>
      </w:r>
    </w:p>
    <w:p w14:paraId="714B0957" w14:textId="77777777" w:rsidR="00B635C3" w:rsidRPr="00320EE1" w:rsidRDefault="00B635C3" w:rsidP="00ED1F00">
      <w:pPr>
        <w:keepNext/>
        <w:spacing w:after="0" w:line="240" w:lineRule="auto"/>
        <w:jc w:val="both"/>
        <w:rPr>
          <w:rFonts w:ascii="Tahoma" w:hAnsi="Tahoma" w:cs="Tahoma"/>
          <w:sz w:val="22"/>
          <w:szCs w:val="22"/>
        </w:rPr>
      </w:pPr>
    </w:p>
    <w:p w14:paraId="1A78FB7C" w14:textId="1CD4ADD2" w:rsidR="00112B08" w:rsidRPr="00320EE1" w:rsidRDefault="00112B08" w:rsidP="00112B08">
      <w:pPr>
        <w:keepNext/>
        <w:spacing w:after="0" w:line="240" w:lineRule="auto"/>
        <w:jc w:val="center"/>
        <w:rPr>
          <w:rFonts w:ascii="Tahoma" w:hAnsi="Tahoma" w:cs="Tahoma"/>
          <w:b/>
          <w:bCs/>
          <w:sz w:val="22"/>
          <w:szCs w:val="22"/>
          <w:u w:val="single"/>
        </w:rPr>
      </w:pPr>
      <w:r w:rsidRPr="00320EE1">
        <w:rPr>
          <w:rFonts w:ascii="Tahoma" w:hAnsi="Tahoma" w:cs="Tahoma"/>
          <w:b/>
          <w:bCs/>
          <w:sz w:val="22"/>
          <w:szCs w:val="22"/>
          <w:u w:val="single"/>
        </w:rPr>
        <w:t>G</w:t>
      </w:r>
      <w:r w:rsidR="00D628C0" w:rsidRPr="00320EE1">
        <w:rPr>
          <w:rFonts w:ascii="Tahoma" w:hAnsi="Tahoma" w:cs="Tahoma"/>
          <w:b/>
          <w:bCs/>
          <w:sz w:val="22"/>
          <w:szCs w:val="22"/>
          <w:u w:val="single"/>
        </w:rPr>
        <w:t>ráfico</w:t>
      </w:r>
      <w:r w:rsidRPr="00320EE1">
        <w:rPr>
          <w:rFonts w:ascii="Tahoma" w:hAnsi="Tahoma" w:cs="Tahoma"/>
          <w:b/>
          <w:bCs/>
          <w:sz w:val="22"/>
          <w:szCs w:val="22"/>
          <w:u w:val="single"/>
        </w:rPr>
        <w:t xml:space="preserve"> 3</w:t>
      </w:r>
    </w:p>
    <w:p w14:paraId="7BFE0461" w14:textId="77777777" w:rsidR="00112B08" w:rsidRPr="00320EE1" w:rsidRDefault="00112B08" w:rsidP="00ED1F00">
      <w:pPr>
        <w:keepNext/>
        <w:spacing w:after="0" w:line="240" w:lineRule="auto"/>
        <w:jc w:val="both"/>
        <w:rPr>
          <w:rFonts w:ascii="Tahoma" w:hAnsi="Tahoma" w:cs="Tahoma"/>
          <w:sz w:val="22"/>
          <w:szCs w:val="22"/>
        </w:rPr>
      </w:pPr>
    </w:p>
    <w:p w14:paraId="42A00120" w14:textId="72616154" w:rsidR="00D628C0" w:rsidRPr="00320EE1" w:rsidRDefault="003D6C96" w:rsidP="00484F4C">
      <w:pPr>
        <w:keepNext/>
        <w:spacing w:after="0" w:line="240" w:lineRule="auto"/>
        <w:jc w:val="center"/>
        <w:rPr>
          <w:rFonts w:ascii="Tahoma" w:hAnsi="Tahoma" w:cs="Tahoma"/>
          <w:sz w:val="22"/>
          <w:szCs w:val="22"/>
        </w:rPr>
      </w:pPr>
      <w:r w:rsidRPr="00320EE1">
        <w:rPr>
          <w:rFonts w:ascii="Tahoma" w:hAnsi="Tahoma" w:cs="Tahoma"/>
          <w:noProof/>
          <w:sz w:val="22"/>
          <w:szCs w:val="22"/>
        </w:rPr>
        <w:drawing>
          <wp:inline distT="0" distB="0" distL="0" distR="0" wp14:anchorId="1CDFD7FE" wp14:editId="423DD658">
            <wp:extent cx="4292221" cy="2861329"/>
            <wp:effectExtent l="0" t="0" r="0" b="0"/>
            <wp:docPr id="47198131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81315" name="Imagen 471981315"/>
                    <pic:cNvPicPr/>
                  </pic:nvPicPr>
                  <pic:blipFill>
                    <a:blip r:embed="rId13" cstate="print">
                      <a:extLst>
                        <a:ext uri="{28A0092B-C50C-407E-A947-70E740481C1C}">
                          <a14:useLocalDpi xmlns:a14="http://schemas.microsoft.com/office/drawing/2010/main" val="0"/>
                        </a:ext>
                      </a:extLst>
                    </a:blip>
                    <a:stretch>
                      <a:fillRect/>
                    </a:stretch>
                  </pic:blipFill>
                  <pic:spPr>
                    <a:xfrm>
                      <a:off x="0" y="0"/>
                      <a:ext cx="4336353" cy="2890749"/>
                    </a:xfrm>
                    <a:prstGeom prst="rect">
                      <a:avLst/>
                    </a:prstGeom>
                  </pic:spPr>
                </pic:pic>
              </a:graphicData>
            </a:graphic>
          </wp:inline>
        </w:drawing>
      </w:r>
    </w:p>
    <w:p w14:paraId="696C6EB6" w14:textId="77777777" w:rsidR="00112B08" w:rsidRPr="00320EE1" w:rsidRDefault="00112B08" w:rsidP="00ED1F00">
      <w:pPr>
        <w:keepNext/>
        <w:spacing w:after="0" w:line="240" w:lineRule="auto"/>
        <w:jc w:val="both"/>
        <w:rPr>
          <w:rFonts w:ascii="Tahoma" w:hAnsi="Tahoma" w:cs="Tahoma"/>
          <w:sz w:val="22"/>
          <w:szCs w:val="22"/>
        </w:rPr>
      </w:pPr>
    </w:p>
    <w:p w14:paraId="05B2FB57" w14:textId="43500E8D"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Es </w:t>
      </w:r>
      <w:r w:rsidRPr="00320EE1">
        <w:rPr>
          <w:rFonts w:ascii="Tahoma" w:hAnsi="Tahoma" w:cs="Tahoma"/>
          <w:b/>
          <w:bCs/>
          <w:sz w:val="22"/>
          <w:szCs w:val="22"/>
        </w:rPr>
        <w:t>específica</w:t>
      </w:r>
      <w:r w:rsidRPr="00320EE1">
        <w:rPr>
          <w:rFonts w:ascii="Tahoma" w:hAnsi="Tahoma" w:cs="Tahoma"/>
          <w:sz w:val="22"/>
          <w:szCs w:val="22"/>
        </w:rPr>
        <w:t xml:space="preserve"> porque no permite conectar indiscriminadamente cualquier antecedente penal con cualquier nueva conducta. El antecedente debe guardar identidad o conexidad funcional expresamente establecida por el legislador con el nuevo delito. Así, por ejemplo, el proyecto prevé que la reincidencia en hurto opere frente a condenas anteriores por hurto, hurto calificado, modalidades agravadas o tentativa; en receptación admite determinadas conexiones con delitos de hurto, pero exige que el juez motive expresamente esa relación funcional. La consecuencia jurídica no deriva, entonces, de que la persona haya delinquido antes en términos abstractos, sino de la reiteración de una conducta de la misma naturaleza o de un circuito delictivo cuya conexión ha sido definida previamente por la ley. </w:t>
      </w:r>
    </w:p>
    <w:p w14:paraId="61F927C5" w14:textId="77777777" w:rsidR="00B635C3" w:rsidRPr="00320EE1" w:rsidRDefault="00B635C3" w:rsidP="00ED1F00">
      <w:pPr>
        <w:keepNext/>
        <w:spacing w:after="0" w:line="240" w:lineRule="auto"/>
        <w:jc w:val="both"/>
        <w:rPr>
          <w:rFonts w:ascii="Tahoma" w:hAnsi="Tahoma" w:cs="Tahoma"/>
          <w:sz w:val="22"/>
          <w:szCs w:val="22"/>
        </w:rPr>
      </w:pPr>
    </w:p>
    <w:p w14:paraId="3E60F7D8" w14:textId="77777777"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Es </w:t>
      </w:r>
      <w:r w:rsidRPr="00320EE1">
        <w:rPr>
          <w:rFonts w:ascii="Tahoma" w:hAnsi="Tahoma" w:cs="Tahoma"/>
          <w:b/>
          <w:bCs/>
          <w:sz w:val="22"/>
          <w:szCs w:val="22"/>
        </w:rPr>
        <w:t>temporal</w:t>
      </w:r>
      <w:r w:rsidRPr="00320EE1">
        <w:rPr>
          <w:rFonts w:ascii="Tahoma" w:hAnsi="Tahoma" w:cs="Tahoma"/>
          <w:sz w:val="22"/>
          <w:szCs w:val="22"/>
        </w:rPr>
        <w:t xml:space="preserve"> porque el antecedente no conserva relevancia indefinidamente. El proyecto establece un término de cinco años contado desde la ejecutoria de la condena anterior hasta la comisión del nuevo hecho. Con ello, la figura identifica una reiteración reciente y evita convertir la condena pasada en una condición permanente de la persona. El transcurso del término legal hace desaparecer esa condena como presupuesto de la reincidencia específica relevante, aun </w:t>
      </w:r>
      <w:r w:rsidRPr="00320EE1">
        <w:rPr>
          <w:rFonts w:ascii="Tahoma" w:hAnsi="Tahoma" w:cs="Tahoma"/>
          <w:sz w:val="22"/>
          <w:szCs w:val="22"/>
        </w:rPr>
        <w:lastRenderedPageBreak/>
        <w:t>cuando el antecedente pueda continuar existiendo para otros efectos previstos por el ordenamiento.</w:t>
      </w:r>
    </w:p>
    <w:p w14:paraId="785CEC5B" w14:textId="77777777" w:rsidR="007332E8" w:rsidRPr="00320EE1" w:rsidRDefault="007332E8" w:rsidP="00ED1F00">
      <w:pPr>
        <w:keepNext/>
        <w:spacing w:after="0" w:line="240" w:lineRule="auto"/>
        <w:jc w:val="both"/>
        <w:rPr>
          <w:rFonts w:ascii="Tahoma" w:hAnsi="Tahoma" w:cs="Tahoma"/>
          <w:sz w:val="22"/>
          <w:szCs w:val="22"/>
        </w:rPr>
      </w:pPr>
    </w:p>
    <w:p w14:paraId="2910FF00" w14:textId="2DA39A23"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Es </w:t>
      </w:r>
      <w:r w:rsidRPr="00320EE1">
        <w:rPr>
          <w:rFonts w:ascii="Tahoma" w:hAnsi="Tahoma" w:cs="Tahoma"/>
          <w:b/>
          <w:bCs/>
          <w:sz w:val="22"/>
          <w:szCs w:val="22"/>
        </w:rPr>
        <w:t>judicialmente acreditada</w:t>
      </w:r>
      <w:r w:rsidRPr="00320EE1">
        <w:rPr>
          <w:rFonts w:ascii="Tahoma" w:hAnsi="Tahoma" w:cs="Tahoma"/>
          <w:sz w:val="22"/>
          <w:szCs w:val="22"/>
        </w:rPr>
        <w:t xml:space="preserve"> porque únicamente puede edificarse sobre una condena ejecutoriada. El artículo 2 excluye expresamente las capturas, imputaciones, acusaciones, anotaciones judiciales, registros policiales, investigaciones en curso, medidas de aseguramiento, preacuerdos no aprobados judicialmente y cualquier otro dato que no corresponda a una sentencia condenatoria firme. Esta delimitación es decisiva: una persona investigada, capturada o acusada no es, por ese solo hecho, reincidente para los efectos de la iniciativa. La figura parte exclusivamente de responsabilidad penal previamente declarada mediante decisión judicial definitiva. </w:t>
      </w:r>
    </w:p>
    <w:p w14:paraId="14C5FA82" w14:textId="77777777" w:rsidR="007332E8" w:rsidRPr="00320EE1" w:rsidRDefault="007332E8" w:rsidP="00ED1F00">
      <w:pPr>
        <w:keepNext/>
        <w:spacing w:after="0" w:line="240" w:lineRule="auto"/>
        <w:jc w:val="both"/>
        <w:rPr>
          <w:rFonts w:ascii="Tahoma" w:hAnsi="Tahoma" w:cs="Tahoma"/>
          <w:sz w:val="22"/>
          <w:szCs w:val="22"/>
        </w:rPr>
      </w:pPr>
    </w:p>
    <w:p w14:paraId="0C135B33" w14:textId="1FE44F61"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Finalmente, es </w:t>
      </w:r>
      <w:r w:rsidRPr="00320EE1">
        <w:rPr>
          <w:rFonts w:ascii="Tahoma" w:hAnsi="Tahoma" w:cs="Tahoma"/>
          <w:b/>
          <w:bCs/>
          <w:sz w:val="22"/>
          <w:szCs w:val="22"/>
        </w:rPr>
        <w:t>legalmente delimitada</w:t>
      </w:r>
      <w:r w:rsidRPr="00320EE1">
        <w:rPr>
          <w:rFonts w:ascii="Tahoma" w:hAnsi="Tahoma" w:cs="Tahoma"/>
          <w:sz w:val="22"/>
          <w:szCs w:val="22"/>
        </w:rPr>
        <w:t xml:space="preserve"> porque la reincidencia específica relevante no produce consecuencias por sí misma. El artículo 2 dispone expresamente que no constituye una circunstancia genérica de mayor punibilidad ni autoriza, por sí sola, el incremento de la pena. Sus efectos solo pueden producirse cuando una disposición legal concreta así lo establezca. De esta manera, la definición contenida en el artículo 58A propuesto funciona como una categoría general de referencia, mientras que son las disposiciones posteriores del proyecto las que determinan exactamente cuándo esa condición produce un efecto punitivo, procesal o relacionado con la ejecución de la pena. </w:t>
      </w:r>
    </w:p>
    <w:p w14:paraId="3B5C6ED0" w14:textId="77777777" w:rsidR="007332E8" w:rsidRPr="00320EE1" w:rsidRDefault="007332E8" w:rsidP="00ED1F00">
      <w:pPr>
        <w:keepNext/>
        <w:spacing w:after="0" w:line="240" w:lineRule="auto"/>
        <w:jc w:val="both"/>
        <w:rPr>
          <w:rFonts w:ascii="Tahoma" w:hAnsi="Tahoma" w:cs="Tahoma"/>
          <w:sz w:val="22"/>
          <w:szCs w:val="22"/>
        </w:rPr>
      </w:pPr>
    </w:p>
    <w:p w14:paraId="5D9E6FD8" w14:textId="0A27FE88"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Esta última precisión permite comprender la arquitectura completa del proyecto. La figura opera en dos niveles normativos. El primero es el artículo 2, que fija un estándar común y restrictivo: sentencia ejecutoriada, dolo, temporalidad de cinco años, identidad o conexidad legal y motivación judicial. El segundo está conformado por las normas especiales que atribuyen consecuencias concretas a esa condición en determinados delitos o instituciones. Por eso la sola acreditación de una condena previa no aumenta automáticamente ninguna pena: además de satisfacerse todos los elementos del artículo 58A, debe existir una disposición expresa que haya previsto para ese supuesto una consecuencia determinada.</w:t>
      </w:r>
    </w:p>
    <w:p w14:paraId="60FEB2A5" w14:textId="77777777" w:rsidR="006659F6" w:rsidRPr="00320EE1" w:rsidRDefault="006659F6" w:rsidP="00ED1F00">
      <w:pPr>
        <w:keepNext/>
        <w:spacing w:after="0" w:line="240" w:lineRule="auto"/>
        <w:jc w:val="both"/>
        <w:rPr>
          <w:rFonts w:ascii="Tahoma" w:hAnsi="Tahoma" w:cs="Tahoma"/>
          <w:sz w:val="22"/>
          <w:szCs w:val="22"/>
        </w:rPr>
      </w:pPr>
    </w:p>
    <w:p w14:paraId="223593C7" w14:textId="06FE3332"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La figura tampoco puede confundirse con la reincidencia penitenciaria utilizada por el INPEC con fines estadísticos. Como se indicó anteriormente, aquella categoría permite medir personas condenadas que vuelven a ingresar al sistema penitenciario por nuevas condenas y constituye un indicador relevante para dimensionar el problema de reiteración delictiva. La reincidencia específica relevante diseñada por este proyecto es jurídicamente mucho más estrecha: exige una relación determinada entre la condena anterior y la conducta nueva, un límite temporal preciso y el cumplimiento de requisitos legales adicionales. Por eso las cifras penitenciarias sustentan la existencia del fenómeno, pero no determinan por sí mismas quién reúne la condición jurídica creada por la iniciativa.</w:t>
      </w:r>
    </w:p>
    <w:p w14:paraId="0C7F8264" w14:textId="77777777" w:rsidR="006659F6" w:rsidRPr="00320EE1" w:rsidRDefault="006659F6" w:rsidP="00ED1F00">
      <w:pPr>
        <w:keepNext/>
        <w:spacing w:after="0" w:line="240" w:lineRule="auto"/>
        <w:jc w:val="both"/>
        <w:rPr>
          <w:rFonts w:ascii="Tahoma" w:hAnsi="Tahoma" w:cs="Tahoma"/>
          <w:sz w:val="22"/>
          <w:szCs w:val="22"/>
        </w:rPr>
      </w:pPr>
    </w:p>
    <w:p w14:paraId="2C38E0FC" w14:textId="77777777" w:rsidR="000E6C79"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A ello se agrega una garantía especialmente importante: la condena anterior no puede utilizarse dos veces para agravar la pena por la misma razón. El proyecto establece expresamente que la condena que haya servido de fundamento para una agravante especial por reincidencia específica relevante no puede emplearse nuevamente como fundamento de otra agravación basada en esa misma circunstancia. Se introduce así una regla interna de prohibición de doble valoración que </w:t>
      </w:r>
      <w:r w:rsidRPr="00320EE1">
        <w:rPr>
          <w:rFonts w:ascii="Tahoma" w:hAnsi="Tahoma" w:cs="Tahoma"/>
          <w:sz w:val="22"/>
          <w:szCs w:val="22"/>
        </w:rPr>
        <w:lastRenderedPageBreak/>
        <w:t xml:space="preserve">protege </w:t>
      </w:r>
      <w:proofErr w:type="gramStart"/>
      <w:r w:rsidRPr="00320EE1">
        <w:rPr>
          <w:rFonts w:ascii="Tahoma" w:hAnsi="Tahoma" w:cs="Tahoma"/>
          <w:i/>
          <w:iCs/>
          <w:sz w:val="22"/>
          <w:szCs w:val="22"/>
        </w:rPr>
        <w:t>el non bis in</w:t>
      </w:r>
      <w:proofErr w:type="gramEnd"/>
      <w:r w:rsidRPr="00320EE1">
        <w:rPr>
          <w:rFonts w:ascii="Tahoma" w:hAnsi="Tahoma" w:cs="Tahoma"/>
          <w:i/>
          <w:iCs/>
          <w:sz w:val="22"/>
          <w:szCs w:val="22"/>
        </w:rPr>
        <w:t xml:space="preserve"> </w:t>
      </w:r>
      <w:proofErr w:type="spellStart"/>
      <w:r w:rsidRPr="00320EE1">
        <w:rPr>
          <w:rFonts w:ascii="Tahoma" w:hAnsi="Tahoma" w:cs="Tahoma"/>
          <w:i/>
          <w:iCs/>
          <w:sz w:val="22"/>
          <w:szCs w:val="22"/>
        </w:rPr>
        <w:t>idem</w:t>
      </w:r>
      <w:proofErr w:type="spellEnd"/>
      <w:r w:rsidRPr="00320EE1">
        <w:rPr>
          <w:rFonts w:ascii="Tahoma" w:hAnsi="Tahoma" w:cs="Tahoma"/>
          <w:sz w:val="22"/>
          <w:szCs w:val="22"/>
        </w:rPr>
        <w:t xml:space="preserve"> y obliga al juez a individualizar con precisión cuál es el efecto jurídico que atribuye al antecedente.</w:t>
      </w:r>
    </w:p>
    <w:p w14:paraId="7C72F8C1" w14:textId="25BF053E"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 xml:space="preserve"> </w:t>
      </w:r>
    </w:p>
    <w:p w14:paraId="61BDFE8B" w14:textId="77777777"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En términos sencillos, la figura puede resumirse así: no basta con haber delinquido antes; debe existir una condena firme reciente, debe cometerse un nuevo delito doloso específicamente relacionado con aquel antecedente y la ley debe haber autorizado expresamente la consecuencia jurídica que se pretende aplicar. Esta estructura es la que diferencia la reincidencia específica relevante de una agravación fundada simplemente en el pasado penal de la persona.</w:t>
      </w:r>
    </w:p>
    <w:p w14:paraId="20F811A6" w14:textId="77777777" w:rsidR="005068E8" w:rsidRPr="00320EE1" w:rsidRDefault="005068E8" w:rsidP="00ED1F00">
      <w:pPr>
        <w:keepNext/>
        <w:spacing w:after="0" w:line="240" w:lineRule="auto"/>
        <w:jc w:val="both"/>
        <w:rPr>
          <w:rFonts w:ascii="Tahoma" w:hAnsi="Tahoma" w:cs="Tahoma"/>
          <w:sz w:val="22"/>
          <w:szCs w:val="22"/>
        </w:rPr>
      </w:pPr>
    </w:p>
    <w:p w14:paraId="50DB1334" w14:textId="6663E293" w:rsidR="00ED1F00" w:rsidRPr="00320EE1" w:rsidRDefault="00ED1F00" w:rsidP="00ED1F00">
      <w:pPr>
        <w:keepNext/>
        <w:spacing w:after="0" w:line="240" w:lineRule="auto"/>
        <w:jc w:val="both"/>
        <w:rPr>
          <w:rFonts w:ascii="Tahoma" w:hAnsi="Tahoma" w:cs="Tahoma"/>
          <w:sz w:val="22"/>
          <w:szCs w:val="22"/>
        </w:rPr>
      </w:pPr>
      <w:r w:rsidRPr="00320EE1">
        <w:rPr>
          <w:rFonts w:ascii="Tahoma" w:hAnsi="Tahoma" w:cs="Tahoma"/>
          <w:sz w:val="22"/>
          <w:szCs w:val="22"/>
        </w:rPr>
        <w:t>Precisamente porque este concepto constituye el presupuesto sobre el cual se construyen las agravantes especiales, la valoración reforzada de beneficios y subrogados, las reglas sobre medidas de aseguramiento, el procedimiento abreviado, la priorización judicial y las demás medidas previstas en el proyecto, su comprensión resulta indispensable antes de examinar la compatibilidad de la iniciativa con la jurisprudencia constitucional sobre reincidencia.</w:t>
      </w:r>
    </w:p>
    <w:p w14:paraId="74CF653D" w14:textId="77777777" w:rsidR="00BA0781" w:rsidRPr="00320EE1" w:rsidRDefault="00BA0781" w:rsidP="00362B4B">
      <w:pPr>
        <w:keepNext/>
        <w:spacing w:after="0" w:line="240" w:lineRule="auto"/>
        <w:rPr>
          <w:rFonts w:ascii="Tahoma" w:hAnsi="Tahoma" w:cs="Tahoma"/>
          <w:b/>
          <w:sz w:val="22"/>
          <w:szCs w:val="22"/>
          <w:u w:val="single"/>
        </w:rPr>
      </w:pPr>
    </w:p>
    <w:p w14:paraId="6A2C816A" w14:textId="346A8079" w:rsidR="002A71D3" w:rsidRPr="00320EE1" w:rsidRDefault="002A71D3" w:rsidP="00EF4EC5">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El proyecto responde, y no contradice, la Sentencia C-504 de 2025</w:t>
      </w:r>
    </w:p>
    <w:p w14:paraId="154FAF6F" w14:textId="77777777" w:rsidR="00A42E95" w:rsidRPr="00320EE1" w:rsidRDefault="00A42E95" w:rsidP="00A42E95">
      <w:pPr>
        <w:spacing w:after="0" w:line="240" w:lineRule="auto"/>
        <w:jc w:val="both"/>
        <w:rPr>
          <w:rFonts w:ascii="Tahoma" w:hAnsi="Tahoma" w:cs="Tahoma"/>
          <w:sz w:val="22"/>
          <w:szCs w:val="22"/>
        </w:rPr>
      </w:pPr>
    </w:p>
    <w:p w14:paraId="04C5FB84"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El principal desafío constitucional de esta iniciativa consiste en determinar si la valoración de una condena penal previa para atribuir consecuencias al nuevo delito resulta compatible con los límites fijados por la Corte Constitucional en la Sentencia C-504 de 2025. La respuesta es afirmativa. Lejos de desconocer ese precedente, el Proyecto de Ley 054 de 2026 fue estructurado precisamente para evitar los defectos constitucionales que condujeron a la </w:t>
      </w:r>
      <w:proofErr w:type="spellStart"/>
      <w:r w:rsidRPr="00320EE1">
        <w:rPr>
          <w:rFonts w:ascii="Tahoma" w:hAnsi="Tahoma" w:cs="Tahoma"/>
          <w:sz w:val="22"/>
          <w:szCs w:val="22"/>
        </w:rPr>
        <w:t>inexequibilidad</w:t>
      </w:r>
      <w:proofErr w:type="spellEnd"/>
      <w:r w:rsidRPr="00320EE1">
        <w:rPr>
          <w:rFonts w:ascii="Tahoma" w:hAnsi="Tahoma" w:cs="Tahoma"/>
          <w:sz w:val="22"/>
          <w:szCs w:val="22"/>
        </w:rPr>
        <w:t xml:space="preserve"> de la norma entonces examinada.</w:t>
      </w:r>
    </w:p>
    <w:p w14:paraId="37CCB4B7" w14:textId="77777777" w:rsidR="00BF12FF" w:rsidRPr="00320EE1" w:rsidRDefault="00BF12FF" w:rsidP="00BF12FF">
      <w:pPr>
        <w:keepNext/>
        <w:spacing w:after="0" w:line="240" w:lineRule="auto"/>
        <w:jc w:val="both"/>
        <w:rPr>
          <w:rFonts w:ascii="Tahoma" w:hAnsi="Tahoma" w:cs="Tahoma"/>
          <w:sz w:val="22"/>
          <w:szCs w:val="22"/>
        </w:rPr>
      </w:pPr>
    </w:p>
    <w:p w14:paraId="3A4EA4BC" w14:textId="534D5814"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Es necesario comenzar por identificar con precisión aquella disposición. En la Sentencia C-504 de 2025, la Corte declaró inexequible el numeral 19 del artículo 58 de la Ley 599 de 2000 —Código Penal—, adicionado por el artículo 7 de la Ley 2197 de 2022 y corregido por el artículo 4 del Decreto 207 de 2022. Esa norma establecía como circunstancia genérica de mayor punibilidad que el procesado hubiese sido condenado mediante sentencia en firme por cualquier delito doloso dentro de los sesenta meses anteriores a la comisión de la nueva conducta punible. </w:t>
      </w:r>
    </w:p>
    <w:p w14:paraId="1FC13CFC" w14:textId="77777777" w:rsidR="00760C82" w:rsidRPr="00320EE1" w:rsidRDefault="00760C82" w:rsidP="00BF12FF">
      <w:pPr>
        <w:keepNext/>
        <w:spacing w:after="0" w:line="240" w:lineRule="auto"/>
        <w:jc w:val="both"/>
        <w:rPr>
          <w:rFonts w:ascii="Tahoma" w:hAnsi="Tahoma" w:cs="Tahoma"/>
          <w:sz w:val="22"/>
          <w:szCs w:val="22"/>
        </w:rPr>
      </w:pPr>
    </w:p>
    <w:p w14:paraId="6DB46AF2" w14:textId="77777777" w:rsidR="00853CBF" w:rsidRPr="00320EE1" w:rsidRDefault="00853CBF" w:rsidP="00853CBF">
      <w:pPr>
        <w:keepNext/>
        <w:spacing w:after="0" w:line="240" w:lineRule="auto"/>
        <w:jc w:val="both"/>
        <w:rPr>
          <w:rFonts w:ascii="Tahoma" w:hAnsi="Tahoma" w:cs="Tahoma"/>
          <w:sz w:val="22"/>
          <w:szCs w:val="22"/>
        </w:rPr>
      </w:pPr>
      <w:r w:rsidRPr="00320EE1">
        <w:rPr>
          <w:rFonts w:ascii="Tahoma" w:hAnsi="Tahoma" w:cs="Tahoma"/>
          <w:sz w:val="22"/>
          <w:szCs w:val="22"/>
        </w:rPr>
        <w:t>Para entender el efecto de la norma declarada inexequible es útil explicar, de manera sencilla, cómo se fija una pena en Colombia. La ley establece para cada delito una pena mínima y una máxima. Dentro de ese rango, el juez debe ubicar la sanción concreta y, para hacerlo, divide ese intervalo en cuatro tramos o “cuartos”: desde el más bajo hasta el más alto. La existencia de una circunstancia de mayor punibilidad obliga al juez a apartarse del tramo más favorable y a moverse hacia una zona más severa dentro de ese rango.</w:t>
      </w:r>
    </w:p>
    <w:p w14:paraId="3D77BD34" w14:textId="77777777" w:rsidR="00853CBF" w:rsidRPr="00320EE1" w:rsidRDefault="00853CBF" w:rsidP="00853CBF">
      <w:pPr>
        <w:keepNext/>
        <w:spacing w:after="0" w:line="240" w:lineRule="auto"/>
        <w:jc w:val="both"/>
        <w:rPr>
          <w:rFonts w:ascii="Tahoma" w:hAnsi="Tahoma" w:cs="Tahoma"/>
          <w:sz w:val="22"/>
          <w:szCs w:val="22"/>
        </w:rPr>
      </w:pPr>
    </w:p>
    <w:p w14:paraId="72BDD5DC" w14:textId="35A23980" w:rsidR="00760C82" w:rsidRPr="00320EE1" w:rsidRDefault="00853CBF" w:rsidP="00853CBF">
      <w:pPr>
        <w:keepNext/>
        <w:spacing w:after="0" w:line="240" w:lineRule="auto"/>
        <w:jc w:val="both"/>
        <w:rPr>
          <w:rFonts w:ascii="Tahoma" w:hAnsi="Tahoma" w:cs="Tahoma"/>
          <w:sz w:val="22"/>
          <w:szCs w:val="22"/>
        </w:rPr>
      </w:pPr>
      <w:r w:rsidRPr="00320EE1">
        <w:rPr>
          <w:rFonts w:ascii="Tahoma" w:hAnsi="Tahoma" w:cs="Tahoma"/>
          <w:sz w:val="22"/>
          <w:szCs w:val="22"/>
        </w:rPr>
        <w:t xml:space="preserve">Eso era justamente lo que ocurría con la norma examinada por la Corte: bastaba con demostrar que la persona había sido condenada por cualquier delito doloso durante los sesenta meses anteriores para que ese antecedente hiciera más gravosa la forma de calcular la nueva pena. No era necesario que el delito anterior tuviera relación alguna con el nuevo: podían ser conductas completamente distintas, sin semejanza, conexión funcional ni repetición de un mismo patrón </w:t>
      </w:r>
      <w:r w:rsidRPr="00320EE1">
        <w:rPr>
          <w:rFonts w:ascii="Tahoma" w:hAnsi="Tahoma" w:cs="Tahoma"/>
          <w:sz w:val="22"/>
          <w:szCs w:val="22"/>
        </w:rPr>
        <w:lastRenderedPageBreak/>
        <w:t>delictivo. En términos simples, una condena previa por cualquier delito doloso podía hacer más severa la pena de otro delito doloso posterior, únicamente por existir ese antecedente.</w:t>
      </w:r>
    </w:p>
    <w:p w14:paraId="13BC119E" w14:textId="77777777" w:rsidR="00853CBF" w:rsidRPr="00320EE1" w:rsidRDefault="00853CBF" w:rsidP="00853CBF">
      <w:pPr>
        <w:keepNext/>
        <w:spacing w:after="0" w:line="240" w:lineRule="auto"/>
        <w:jc w:val="both"/>
        <w:rPr>
          <w:rFonts w:ascii="Tahoma" w:hAnsi="Tahoma" w:cs="Tahoma"/>
          <w:sz w:val="22"/>
          <w:szCs w:val="22"/>
        </w:rPr>
      </w:pPr>
    </w:p>
    <w:p w14:paraId="4296238D"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Ese diseño fue precisamente el que la Corte consideró incompatible con la Constitución. La Sala Plena concluyó que una circunstancia de mayor punibilidad genérica y automática, sustentada en una condena anterior y ajena a las características del nuevo delito, desconocía los principios de </w:t>
      </w:r>
      <w:r w:rsidRPr="00320EE1">
        <w:rPr>
          <w:rFonts w:ascii="Tahoma" w:hAnsi="Tahoma" w:cs="Tahoma"/>
          <w:i/>
          <w:iCs/>
          <w:sz w:val="22"/>
          <w:szCs w:val="22"/>
        </w:rPr>
        <w:t xml:space="preserve">non bis in </w:t>
      </w:r>
      <w:proofErr w:type="spellStart"/>
      <w:r w:rsidRPr="00320EE1">
        <w:rPr>
          <w:rFonts w:ascii="Tahoma" w:hAnsi="Tahoma" w:cs="Tahoma"/>
          <w:i/>
          <w:iCs/>
          <w:sz w:val="22"/>
          <w:szCs w:val="22"/>
        </w:rPr>
        <w:t>idem</w:t>
      </w:r>
      <w:proofErr w:type="spellEnd"/>
      <w:r w:rsidRPr="00320EE1">
        <w:rPr>
          <w:rFonts w:ascii="Tahoma" w:hAnsi="Tahoma" w:cs="Tahoma"/>
          <w:sz w:val="22"/>
          <w:szCs w:val="22"/>
        </w:rPr>
        <w:t xml:space="preserve"> y culpabilidad, particularmente la responsabilidad por el acto. El reproche constitucional consistió en que la condena anterior era nuevamente desvalorada para hacer más gravosa la respuesta frente a otro hecho y, simultáneamente, se utilizaba una circunstancia externa al delito actualmente juzgado para determinar una mayor punibilidad. </w:t>
      </w:r>
    </w:p>
    <w:p w14:paraId="2AB464C0" w14:textId="77777777" w:rsidR="00F25372" w:rsidRPr="00320EE1" w:rsidRDefault="00F25372" w:rsidP="00BF12FF">
      <w:pPr>
        <w:keepNext/>
        <w:spacing w:after="0" w:line="240" w:lineRule="auto"/>
        <w:jc w:val="both"/>
        <w:rPr>
          <w:rFonts w:ascii="Tahoma" w:hAnsi="Tahoma" w:cs="Tahoma"/>
          <w:sz w:val="22"/>
          <w:szCs w:val="22"/>
        </w:rPr>
      </w:pPr>
    </w:p>
    <w:p w14:paraId="14DEB06B"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Por ello, la enseñanza que deja C-504 de 2025 no es que el legislador tenga constitucionalmente prohibido regular la reincidencia. La sentencia proscribe una forma determinada de hacerlo: aquella que convierte el antecedente penal, de manera general y automática, en fundamento suficiente para hacer más gravosa la pena de un nuevo delito sin establecer una conexión jurídicamente relevante entre ambos hechos.</w:t>
      </w:r>
    </w:p>
    <w:p w14:paraId="74AC838E" w14:textId="77777777" w:rsidR="00F25372" w:rsidRPr="00320EE1" w:rsidRDefault="00F25372" w:rsidP="00BF12FF">
      <w:pPr>
        <w:keepNext/>
        <w:spacing w:after="0" w:line="240" w:lineRule="auto"/>
        <w:jc w:val="both"/>
        <w:rPr>
          <w:rFonts w:ascii="Tahoma" w:hAnsi="Tahoma" w:cs="Tahoma"/>
          <w:sz w:val="22"/>
          <w:szCs w:val="22"/>
        </w:rPr>
      </w:pPr>
    </w:p>
    <w:p w14:paraId="3E22A454"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Esta precisión es fundamental. La propia Corte delimitó expresamente el alcance de su decisión y señaló que su pronunciamiento no comprendía las causales especiales de agravación ni las medidas de aseguramiento privativas de la libertad. Es decir, la Corte no declaró constitucionalmente ilegítima toda utilización legislativa de la reincidencia, sino la concreta circunstancia genérica de mayor punibilidad sometida a su examen. </w:t>
      </w:r>
    </w:p>
    <w:p w14:paraId="307EBB1C" w14:textId="77777777" w:rsidR="00670052" w:rsidRPr="00320EE1" w:rsidRDefault="00670052" w:rsidP="00BF12FF">
      <w:pPr>
        <w:keepNext/>
        <w:spacing w:after="0" w:line="240" w:lineRule="auto"/>
        <w:jc w:val="both"/>
        <w:rPr>
          <w:rFonts w:ascii="Tahoma" w:hAnsi="Tahoma" w:cs="Tahoma"/>
          <w:sz w:val="22"/>
          <w:szCs w:val="22"/>
        </w:rPr>
      </w:pPr>
    </w:p>
    <w:p w14:paraId="520711D7" w14:textId="2B6CCE93"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La jurisprudencia posterior confirmó esta lectura. En la </w:t>
      </w:r>
      <w:r w:rsidR="006B4B70" w:rsidRPr="00320EE1">
        <w:rPr>
          <w:rFonts w:ascii="Tahoma" w:hAnsi="Tahoma" w:cs="Tahoma"/>
          <w:sz w:val="22"/>
          <w:szCs w:val="22"/>
        </w:rPr>
        <w:t xml:space="preserve">más reciente </w:t>
      </w:r>
      <w:r w:rsidRPr="00320EE1">
        <w:rPr>
          <w:rFonts w:ascii="Tahoma" w:hAnsi="Tahoma" w:cs="Tahoma"/>
          <w:sz w:val="22"/>
          <w:szCs w:val="22"/>
        </w:rPr>
        <w:t>Sentencia C-034 de 2026, la Corte recordó expresamente, al referirse a</w:t>
      </w:r>
      <w:r w:rsidR="006B4B70" w:rsidRPr="00320EE1">
        <w:rPr>
          <w:rFonts w:ascii="Tahoma" w:hAnsi="Tahoma" w:cs="Tahoma"/>
          <w:sz w:val="22"/>
          <w:szCs w:val="22"/>
        </w:rPr>
        <w:t xml:space="preserve"> la</w:t>
      </w:r>
      <w:r w:rsidRPr="00320EE1">
        <w:rPr>
          <w:rFonts w:ascii="Tahoma" w:hAnsi="Tahoma" w:cs="Tahoma"/>
          <w:sz w:val="22"/>
          <w:szCs w:val="22"/>
        </w:rPr>
        <w:t xml:space="preserve"> C-504 de 2025, que no existe una prohibición constitucional absoluta para que el legislador valore los antecedentes penales o la reincidencia, incluso en ámbitos como los subrogados y mecanismos sustitutivos de la pena. Lo que debe respetarse son los límites impuestos por </w:t>
      </w:r>
      <w:proofErr w:type="gramStart"/>
      <w:r w:rsidRPr="00320EE1">
        <w:rPr>
          <w:rFonts w:ascii="Tahoma" w:hAnsi="Tahoma" w:cs="Tahoma"/>
          <w:sz w:val="22"/>
          <w:szCs w:val="22"/>
        </w:rPr>
        <w:t xml:space="preserve">el </w:t>
      </w:r>
      <w:r w:rsidRPr="00320EE1">
        <w:rPr>
          <w:rFonts w:ascii="Tahoma" w:hAnsi="Tahoma" w:cs="Tahoma"/>
          <w:i/>
          <w:iCs/>
          <w:sz w:val="22"/>
          <w:szCs w:val="22"/>
        </w:rPr>
        <w:t>non bis in</w:t>
      </w:r>
      <w:proofErr w:type="gramEnd"/>
      <w:r w:rsidRPr="00320EE1">
        <w:rPr>
          <w:rFonts w:ascii="Tahoma" w:hAnsi="Tahoma" w:cs="Tahoma"/>
          <w:i/>
          <w:iCs/>
          <w:sz w:val="22"/>
          <w:szCs w:val="22"/>
        </w:rPr>
        <w:t xml:space="preserve"> </w:t>
      </w:r>
      <w:proofErr w:type="spellStart"/>
      <w:r w:rsidRPr="00320EE1">
        <w:rPr>
          <w:rFonts w:ascii="Tahoma" w:hAnsi="Tahoma" w:cs="Tahoma"/>
          <w:i/>
          <w:iCs/>
          <w:sz w:val="22"/>
          <w:szCs w:val="22"/>
        </w:rPr>
        <w:t>idem</w:t>
      </w:r>
      <w:proofErr w:type="spellEnd"/>
      <w:r w:rsidRPr="00320EE1">
        <w:rPr>
          <w:rFonts w:ascii="Tahoma" w:hAnsi="Tahoma" w:cs="Tahoma"/>
          <w:sz w:val="22"/>
          <w:szCs w:val="22"/>
        </w:rPr>
        <w:t>, la culpabilidad y la responsabilidad penal por el acto. La cuestión constitucional depende, entonces, de cómo se estructura jurídicamente la reincidencia y qué consecuencia pretende atribuirle el legislador, no de una prohibición absoluta de reconocer relevancia jurídica a la reiteración delictiva.</w:t>
      </w:r>
    </w:p>
    <w:p w14:paraId="7D8CE047" w14:textId="77777777" w:rsidR="00A62A67" w:rsidRPr="00320EE1" w:rsidRDefault="00A62A67" w:rsidP="00BF12FF">
      <w:pPr>
        <w:keepNext/>
        <w:spacing w:after="0" w:line="240" w:lineRule="auto"/>
        <w:jc w:val="both"/>
        <w:rPr>
          <w:rFonts w:ascii="Tahoma" w:hAnsi="Tahoma" w:cs="Tahoma"/>
          <w:sz w:val="22"/>
          <w:szCs w:val="22"/>
        </w:rPr>
      </w:pPr>
    </w:p>
    <w:p w14:paraId="7BF59BA4" w14:textId="3CE67773"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Es justamente en ese punto donde el Proyecto de Ley 054 de 2026 se separa estructuralmente de la norma declarada inexequible</w:t>
      </w:r>
      <w:r w:rsidR="00A62A67" w:rsidRPr="00320EE1">
        <w:rPr>
          <w:rFonts w:ascii="Tahoma" w:hAnsi="Tahoma" w:cs="Tahoma"/>
          <w:sz w:val="22"/>
          <w:szCs w:val="22"/>
        </w:rPr>
        <w:t>: c</w:t>
      </w:r>
      <w:r w:rsidRPr="00320EE1">
        <w:rPr>
          <w:rFonts w:ascii="Tahoma" w:hAnsi="Tahoma" w:cs="Tahoma"/>
          <w:sz w:val="22"/>
          <w:szCs w:val="22"/>
        </w:rPr>
        <w:t xml:space="preserve">omo se explicó en el capítulo anterior, la iniciativa no restablece el numeral 19 del artículo 58 ni incorpora una nueva circunstancia genérica de mayor punibilidad. El artículo 2 dispone expresamente que la reincidencia específica relevante no constituye circunstancia genérica de mayor punibilidad y no autoriza, por sí misma, aumento alguno de la pena. Su existencia únicamente puede producir las consecuencias que el propio legislador haya establecido expresamente y bajo los presupuestos estrictos definidos en la ley. </w:t>
      </w:r>
    </w:p>
    <w:p w14:paraId="295DED56" w14:textId="77777777" w:rsidR="00A62A67" w:rsidRPr="00320EE1" w:rsidRDefault="00A62A67" w:rsidP="00BF12FF">
      <w:pPr>
        <w:keepNext/>
        <w:spacing w:after="0" w:line="240" w:lineRule="auto"/>
        <w:jc w:val="both"/>
        <w:rPr>
          <w:rFonts w:ascii="Tahoma" w:hAnsi="Tahoma" w:cs="Tahoma"/>
          <w:sz w:val="22"/>
          <w:szCs w:val="22"/>
        </w:rPr>
      </w:pPr>
    </w:p>
    <w:p w14:paraId="1860CDF4"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La diferencia entre ambos modelos es, por tanto, material y no meramente terminológica. La disposición declarada inexequible partía del antecedente; este proyecto parte del nuevo delito. Aquella preguntaba, esencialmente, si el procesado había sido condenado por algún delito doloso durante los cinco años anteriores y, ante una respuesta afirmativa, hacía más gravosa la dosificación de la pena. Esta iniciativa pregunta algo sustancialmente distinto: si frente al nuevo </w:t>
      </w:r>
      <w:r w:rsidRPr="00320EE1">
        <w:rPr>
          <w:rFonts w:ascii="Tahoma" w:hAnsi="Tahoma" w:cs="Tahoma"/>
          <w:sz w:val="22"/>
          <w:szCs w:val="22"/>
        </w:rPr>
        <w:lastRenderedPageBreak/>
        <w:t>delito doloso existe una condena ejecutoriada reciente que guarda con él la relación específica que la propia ley ha definido y si, además, existe una disposición legal expresa que atribuya una determinada consecuencia jurídica a esa concreta forma de reiteración.</w:t>
      </w:r>
    </w:p>
    <w:p w14:paraId="5F6F62E8" w14:textId="77777777" w:rsidR="001B738F" w:rsidRPr="00320EE1" w:rsidRDefault="001B738F" w:rsidP="00BF12FF">
      <w:pPr>
        <w:keepNext/>
        <w:spacing w:after="0" w:line="240" w:lineRule="auto"/>
        <w:jc w:val="both"/>
        <w:rPr>
          <w:rFonts w:ascii="Tahoma" w:hAnsi="Tahoma" w:cs="Tahoma"/>
          <w:sz w:val="22"/>
          <w:szCs w:val="22"/>
        </w:rPr>
      </w:pPr>
    </w:p>
    <w:p w14:paraId="5C81449F" w14:textId="43AAD68D" w:rsidR="00441188" w:rsidRPr="00320EE1" w:rsidRDefault="00441188" w:rsidP="00441188">
      <w:pPr>
        <w:keepNext/>
        <w:spacing w:after="0" w:line="240" w:lineRule="auto"/>
        <w:jc w:val="center"/>
        <w:rPr>
          <w:rFonts w:ascii="Tahoma" w:hAnsi="Tahoma" w:cs="Tahoma"/>
          <w:b/>
          <w:bCs/>
          <w:sz w:val="22"/>
          <w:szCs w:val="22"/>
          <w:u w:val="single"/>
        </w:rPr>
      </w:pPr>
      <w:r w:rsidRPr="00320EE1">
        <w:rPr>
          <w:rFonts w:ascii="Tahoma" w:hAnsi="Tahoma" w:cs="Tahoma"/>
          <w:b/>
          <w:bCs/>
          <w:sz w:val="22"/>
          <w:szCs w:val="22"/>
          <w:u w:val="single"/>
        </w:rPr>
        <w:t xml:space="preserve">Gráfico </w:t>
      </w:r>
      <w:r w:rsidR="008F0188" w:rsidRPr="00320EE1">
        <w:rPr>
          <w:rFonts w:ascii="Tahoma" w:hAnsi="Tahoma" w:cs="Tahoma"/>
          <w:b/>
          <w:bCs/>
          <w:sz w:val="22"/>
          <w:szCs w:val="22"/>
          <w:u w:val="single"/>
        </w:rPr>
        <w:t>4</w:t>
      </w:r>
    </w:p>
    <w:p w14:paraId="36D1375E" w14:textId="75D4AC5B" w:rsidR="00441188" w:rsidRPr="00320EE1" w:rsidRDefault="008F0188" w:rsidP="00BF12FF">
      <w:pPr>
        <w:keepNext/>
        <w:spacing w:after="0" w:line="240" w:lineRule="auto"/>
        <w:jc w:val="both"/>
        <w:rPr>
          <w:rFonts w:ascii="Tahoma" w:hAnsi="Tahoma" w:cs="Tahoma"/>
          <w:sz w:val="22"/>
          <w:szCs w:val="22"/>
        </w:rPr>
      </w:pPr>
      <w:r w:rsidRPr="00320EE1">
        <w:rPr>
          <w:rFonts w:ascii="Tahoma" w:hAnsi="Tahoma" w:cs="Tahoma"/>
          <w:noProof/>
          <w:sz w:val="22"/>
          <w:szCs w:val="22"/>
        </w:rPr>
        <w:drawing>
          <wp:anchor distT="0" distB="0" distL="114300" distR="114300" simplePos="0" relativeHeight="251660288" behindDoc="1" locked="0" layoutInCell="1" allowOverlap="1" wp14:anchorId="5A46326B" wp14:editId="0BF5BC36">
            <wp:simplePos x="0" y="0"/>
            <wp:positionH relativeFrom="column">
              <wp:posOffset>477672</wp:posOffset>
            </wp:positionH>
            <wp:positionV relativeFrom="paragraph">
              <wp:posOffset>123683</wp:posOffset>
            </wp:positionV>
            <wp:extent cx="5029200" cy="3352622"/>
            <wp:effectExtent l="0" t="0" r="0" b="635"/>
            <wp:wrapNone/>
            <wp:docPr id="36206644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066443" name="Imagen 362066443"/>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29200" cy="3352622"/>
                    </a:xfrm>
                    <a:prstGeom prst="rect">
                      <a:avLst/>
                    </a:prstGeom>
                  </pic:spPr>
                </pic:pic>
              </a:graphicData>
            </a:graphic>
          </wp:anchor>
        </w:drawing>
      </w:r>
    </w:p>
    <w:p w14:paraId="14018D55" w14:textId="1189FDA7" w:rsidR="00441188" w:rsidRPr="00320EE1" w:rsidRDefault="00441188" w:rsidP="00BF12FF">
      <w:pPr>
        <w:keepNext/>
        <w:spacing w:after="0" w:line="240" w:lineRule="auto"/>
        <w:jc w:val="both"/>
        <w:rPr>
          <w:rFonts w:ascii="Tahoma" w:hAnsi="Tahoma" w:cs="Tahoma"/>
          <w:sz w:val="22"/>
          <w:szCs w:val="22"/>
        </w:rPr>
      </w:pPr>
    </w:p>
    <w:p w14:paraId="4799561C" w14:textId="77777777" w:rsidR="00441188" w:rsidRPr="00320EE1" w:rsidRDefault="00441188" w:rsidP="00BF12FF">
      <w:pPr>
        <w:keepNext/>
        <w:spacing w:after="0" w:line="240" w:lineRule="auto"/>
        <w:jc w:val="both"/>
        <w:rPr>
          <w:rFonts w:ascii="Tahoma" w:hAnsi="Tahoma" w:cs="Tahoma"/>
          <w:sz w:val="22"/>
          <w:szCs w:val="22"/>
        </w:rPr>
      </w:pPr>
    </w:p>
    <w:p w14:paraId="0DCC680F" w14:textId="77777777" w:rsidR="00441188" w:rsidRPr="00320EE1" w:rsidRDefault="00441188" w:rsidP="00BF12FF">
      <w:pPr>
        <w:keepNext/>
        <w:spacing w:after="0" w:line="240" w:lineRule="auto"/>
        <w:jc w:val="both"/>
        <w:rPr>
          <w:rFonts w:ascii="Tahoma" w:hAnsi="Tahoma" w:cs="Tahoma"/>
          <w:sz w:val="22"/>
          <w:szCs w:val="22"/>
        </w:rPr>
      </w:pPr>
    </w:p>
    <w:p w14:paraId="7E2BE3A1" w14:textId="77777777" w:rsidR="00441188" w:rsidRPr="00320EE1" w:rsidRDefault="00441188" w:rsidP="00BF12FF">
      <w:pPr>
        <w:keepNext/>
        <w:spacing w:after="0" w:line="240" w:lineRule="auto"/>
        <w:jc w:val="both"/>
        <w:rPr>
          <w:rFonts w:ascii="Tahoma" w:hAnsi="Tahoma" w:cs="Tahoma"/>
          <w:sz w:val="22"/>
          <w:szCs w:val="22"/>
        </w:rPr>
      </w:pPr>
    </w:p>
    <w:p w14:paraId="4BE0D089" w14:textId="77777777" w:rsidR="00441188" w:rsidRPr="00320EE1" w:rsidRDefault="00441188" w:rsidP="00BF12FF">
      <w:pPr>
        <w:keepNext/>
        <w:spacing w:after="0" w:line="240" w:lineRule="auto"/>
        <w:jc w:val="both"/>
        <w:rPr>
          <w:rFonts w:ascii="Tahoma" w:hAnsi="Tahoma" w:cs="Tahoma"/>
          <w:sz w:val="22"/>
          <w:szCs w:val="22"/>
        </w:rPr>
      </w:pPr>
    </w:p>
    <w:p w14:paraId="25CF5597" w14:textId="77777777" w:rsidR="00441188" w:rsidRPr="00320EE1" w:rsidRDefault="00441188" w:rsidP="00BF12FF">
      <w:pPr>
        <w:keepNext/>
        <w:spacing w:after="0" w:line="240" w:lineRule="auto"/>
        <w:jc w:val="both"/>
        <w:rPr>
          <w:rFonts w:ascii="Tahoma" w:hAnsi="Tahoma" w:cs="Tahoma"/>
          <w:sz w:val="22"/>
          <w:szCs w:val="22"/>
        </w:rPr>
      </w:pPr>
    </w:p>
    <w:p w14:paraId="649DF0C5" w14:textId="77777777" w:rsidR="00441188" w:rsidRPr="00320EE1" w:rsidRDefault="00441188" w:rsidP="00BF12FF">
      <w:pPr>
        <w:keepNext/>
        <w:spacing w:after="0" w:line="240" w:lineRule="auto"/>
        <w:jc w:val="both"/>
        <w:rPr>
          <w:rFonts w:ascii="Tahoma" w:hAnsi="Tahoma" w:cs="Tahoma"/>
          <w:sz w:val="22"/>
          <w:szCs w:val="22"/>
        </w:rPr>
      </w:pPr>
    </w:p>
    <w:p w14:paraId="70393E84" w14:textId="77777777" w:rsidR="00441188" w:rsidRPr="00320EE1" w:rsidRDefault="00441188" w:rsidP="00BF12FF">
      <w:pPr>
        <w:keepNext/>
        <w:spacing w:after="0" w:line="240" w:lineRule="auto"/>
        <w:jc w:val="both"/>
        <w:rPr>
          <w:rFonts w:ascii="Tahoma" w:hAnsi="Tahoma" w:cs="Tahoma"/>
          <w:sz w:val="22"/>
          <w:szCs w:val="22"/>
        </w:rPr>
      </w:pPr>
    </w:p>
    <w:p w14:paraId="7426F480" w14:textId="77777777" w:rsidR="00441188" w:rsidRPr="00320EE1" w:rsidRDefault="00441188" w:rsidP="00BF12FF">
      <w:pPr>
        <w:keepNext/>
        <w:spacing w:after="0" w:line="240" w:lineRule="auto"/>
        <w:jc w:val="both"/>
        <w:rPr>
          <w:rFonts w:ascii="Tahoma" w:hAnsi="Tahoma" w:cs="Tahoma"/>
          <w:sz w:val="22"/>
          <w:szCs w:val="22"/>
        </w:rPr>
      </w:pPr>
    </w:p>
    <w:p w14:paraId="3D51F5F8" w14:textId="77777777" w:rsidR="00441188" w:rsidRPr="00320EE1" w:rsidRDefault="00441188" w:rsidP="00BF12FF">
      <w:pPr>
        <w:keepNext/>
        <w:spacing w:after="0" w:line="240" w:lineRule="auto"/>
        <w:jc w:val="both"/>
        <w:rPr>
          <w:rFonts w:ascii="Tahoma" w:hAnsi="Tahoma" w:cs="Tahoma"/>
          <w:sz w:val="22"/>
          <w:szCs w:val="22"/>
        </w:rPr>
      </w:pPr>
    </w:p>
    <w:p w14:paraId="5989C7B2" w14:textId="77777777" w:rsidR="00441188" w:rsidRPr="00320EE1" w:rsidRDefault="00441188" w:rsidP="00BF12FF">
      <w:pPr>
        <w:keepNext/>
        <w:spacing w:after="0" w:line="240" w:lineRule="auto"/>
        <w:jc w:val="both"/>
        <w:rPr>
          <w:rFonts w:ascii="Tahoma" w:hAnsi="Tahoma" w:cs="Tahoma"/>
          <w:sz w:val="22"/>
          <w:szCs w:val="22"/>
        </w:rPr>
      </w:pPr>
    </w:p>
    <w:p w14:paraId="3A7F07A1" w14:textId="77777777" w:rsidR="008F0188" w:rsidRPr="00320EE1" w:rsidRDefault="008F0188" w:rsidP="00BF12FF">
      <w:pPr>
        <w:keepNext/>
        <w:spacing w:after="0" w:line="240" w:lineRule="auto"/>
        <w:jc w:val="both"/>
        <w:rPr>
          <w:rFonts w:ascii="Tahoma" w:hAnsi="Tahoma" w:cs="Tahoma"/>
          <w:sz w:val="22"/>
          <w:szCs w:val="22"/>
        </w:rPr>
      </w:pPr>
    </w:p>
    <w:p w14:paraId="4675E12F" w14:textId="77777777" w:rsidR="008F0188" w:rsidRPr="00320EE1" w:rsidRDefault="008F0188" w:rsidP="00BF12FF">
      <w:pPr>
        <w:keepNext/>
        <w:spacing w:after="0" w:line="240" w:lineRule="auto"/>
        <w:jc w:val="both"/>
        <w:rPr>
          <w:rFonts w:ascii="Tahoma" w:hAnsi="Tahoma" w:cs="Tahoma"/>
          <w:sz w:val="22"/>
          <w:szCs w:val="22"/>
        </w:rPr>
      </w:pPr>
    </w:p>
    <w:p w14:paraId="1FCF49F5" w14:textId="77777777" w:rsidR="008F0188" w:rsidRPr="00320EE1" w:rsidRDefault="008F0188" w:rsidP="00BF12FF">
      <w:pPr>
        <w:keepNext/>
        <w:spacing w:after="0" w:line="240" w:lineRule="auto"/>
        <w:jc w:val="both"/>
        <w:rPr>
          <w:rFonts w:ascii="Tahoma" w:hAnsi="Tahoma" w:cs="Tahoma"/>
          <w:sz w:val="22"/>
          <w:szCs w:val="22"/>
        </w:rPr>
      </w:pPr>
    </w:p>
    <w:p w14:paraId="4B1DD73C" w14:textId="77777777" w:rsidR="008F0188" w:rsidRPr="00320EE1" w:rsidRDefault="008F0188" w:rsidP="00BF12FF">
      <w:pPr>
        <w:keepNext/>
        <w:spacing w:after="0" w:line="240" w:lineRule="auto"/>
        <w:jc w:val="both"/>
        <w:rPr>
          <w:rFonts w:ascii="Tahoma" w:hAnsi="Tahoma" w:cs="Tahoma"/>
          <w:sz w:val="22"/>
          <w:szCs w:val="22"/>
        </w:rPr>
      </w:pPr>
    </w:p>
    <w:p w14:paraId="1C5D9AEC" w14:textId="77777777" w:rsidR="008F0188" w:rsidRPr="00320EE1" w:rsidRDefault="008F0188" w:rsidP="00BF12FF">
      <w:pPr>
        <w:keepNext/>
        <w:spacing w:after="0" w:line="240" w:lineRule="auto"/>
        <w:jc w:val="both"/>
        <w:rPr>
          <w:rFonts w:ascii="Tahoma" w:hAnsi="Tahoma" w:cs="Tahoma"/>
          <w:sz w:val="22"/>
          <w:szCs w:val="22"/>
        </w:rPr>
      </w:pPr>
    </w:p>
    <w:p w14:paraId="667A26AE" w14:textId="77777777" w:rsidR="008F0188" w:rsidRPr="00320EE1" w:rsidRDefault="008F0188" w:rsidP="00BF12FF">
      <w:pPr>
        <w:keepNext/>
        <w:spacing w:after="0" w:line="240" w:lineRule="auto"/>
        <w:jc w:val="both"/>
        <w:rPr>
          <w:rFonts w:ascii="Tahoma" w:hAnsi="Tahoma" w:cs="Tahoma"/>
          <w:sz w:val="22"/>
          <w:szCs w:val="22"/>
        </w:rPr>
      </w:pPr>
    </w:p>
    <w:p w14:paraId="560D614D" w14:textId="77777777" w:rsidR="00441188" w:rsidRPr="00320EE1" w:rsidRDefault="00441188" w:rsidP="00BF12FF">
      <w:pPr>
        <w:keepNext/>
        <w:spacing w:after="0" w:line="240" w:lineRule="auto"/>
        <w:jc w:val="both"/>
        <w:rPr>
          <w:rFonts w:ascii="Tahoma" w:hAnsi="Tahoma" w:cs="Tahoma"/>
          <w:sz w:val="22"/>
          <w:szCs w:val="22"/>
        </w:rPr>
      </w:pPr>
    </w:p>
    <w:p w14:paraId="60EF47B5" w14:textId="77777777" w:rsidR="00441188" w:rsidRPr="00320EE1" w:rsidRDefault="00441188" w:rsidP="00BF12FF">
      <w:pPr>
        <w:keepNext/>
        <w:spacing w:after="0" w:line="240" w:lineRule="auto"/>
        <w:jc w:val="both"/>
        <w:rPr>
          <w:rFonts w:ascii="Tahoma" w:hAnsi="Tahoma" w:cs="Tahoma"/>
          <w:sz w:val="22"/>
          <w:szCs w:val="22"/>
        </w:rPr>
      </w:pPr>
    </w:p>
    <w:p w14:paraId="27DF7F3E" w14:textId="77777777" w:rsidR="00441188" w:rsidRPr="00320EE1" w:rsidRDefault="00441188" w:rsidP="00BF12FF">
      <w:pPr>
        <w:keepNext/>
        <w:spacing w:after="0" w:line="240" w:lineRule="auto"/>
        <w:jc w:val="both"/>
        <w:rPr>
          <w:rFonts w:ascii="Tahoma" w:hAnsi="Tahoma" w:cs="Tahoma"/>
          <w:sz w:val="22"/>
          <w:szCs w:val="22"/>
        </w:rPr>
      </w:pPr>
    </w:p>
    <w:p w14:paraId="54C9C85B" w14:textId="655EF162"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En</w:t>
      </w:r>
      <w:r w:rsidR="001B738F" w:rsidRPr="00320EE1">
        <w:rPr>
          <w:rFonts w:ascii="Tahoma" w:hAnsi="Tahoma" w:cs="Tahoma"/>
          <w:sz w:val="22"/>
          <w:szCs w:val="22"/>
        </w:rPr>
        <w:t xml:space="preserve"> la Sentencia</w:t>
      </w:r>
      <w:r w:rsidRPr="00320EE1">
        <w:rPr>
          <w:rFonts w:ascii="Tahoma" w:hAnsi="Tahoma" w:cs="Tahoma"/>
          <w:sz w:val="22"/>
          <w:szCs w:val="22"/>
        </w:rPr>
        <w:t xml:space="preserve"> C-504 de 2025, por ejemplo, una condena previa por un delito completamente diferente podía afectar la dosificación del nuevo delito simplemente porque ambas conductas eran dolosas. En el Proyecto de Ley 054 esa indiferencia desaparece. La condena previa por hurto puede producir la consecuencia especial prevista para una nueva conducta de hurto en los términos delimitados por la ley; la reincidencia en extorsión se construye sobre una condena anterior por extorsión o su tentativa; en homicidio se exige una condena anterior por homicidio doloso, homicidio agravado o sus tentativas; y allí donde el proyecto admite relaciones entre delitos diferentes</w:t>
      </w:r>
      <w:r w:rsidR="00FD5BF7" w:rsidRPr="00320EE1">
        <w:rPr>
          <w:rFonts w:ascii="Tahoma" w:hAnsi="Tahoma" w:cs="Tahoma"/>
          <w:sz w:val="22"/>
          <w:szCs w:val="22"/>
        </w:rPr>
        <w:t xml:space="preserve"> –</w:t>
      </w:r>
      <w:r w:rsidRPr="00320EE1">
        <w:rPr>
          <w:rFonts w:ascii="Tahoma" w:hAnsi="Tahoma" w:cs="Tahoma"/>
          <w:sz w:val="22"/>
          <w:szCs w:val="22"/>
        </w:rPr>
        <w:t>como ocurre en determinados supuestos de receptación o criminalidad informática patrimonial</w:t>
      </w:r>
      <w:r w:rsidR="00FD5BF7" w:rsidRPr="00320EE1">
        <w:rPr>
          <w:rFonts w:ascii="Tahoma" w:hAnsi="Tahoma" w:cs="Tahoma"/>
          <w:sz w:val="22"/>
          <w:szCs w:val="22"/>
        </w:rPr>
        <w:t>–</w:t>
      </w:r>
      <w:r w:rsidRPr="00320EE1">
        <w:rPr>
          <w:rFonts w:ascii="Tahoma" w:hAnsi="Tahoma" w:cs="Tahoma"/>
          <w:sz w:val="22"/>
          <w:szCs w:val="22"/>
        </w:rPr>
        <w:t xml:space="preserve"> la conexidad se encuentra expresamente delimitada por el legislador y debe ser motivada por el juez. </w:t>
      </w:r>
    </w:p>
    <w:p w14:paraId="2E9A2405" w14:textId="77777777" w:rsidR="001B738F" w:rsidRPr="00320EE1" w:rsidRDefault="001B738F" w:rsidP="00BF12FF">
      <w:pPr>
        <w:keepNext/>
        <w:spacing w:after="0" w:line="240" w:lineRule="auto"/>
        <w:jc w:val="both"/>
        <w:rPr>
          <w:rFonts w:ascii="Tahoma" w:hAnsi="Tahoma" w:cs="Tahoma"/>
          <w:sz w:val="22"/>
          <w:szCs w:val="22"/>
        </w:rPr>
      </w:pPr>
    </w:p>
    <w:p w14:paraId="5C18262C"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De esta manera, el antecedente deja de ser una característica personal autónomamente considerada y pasa a integrar un supuesto normativo referido a la forma específica en que se produce el nuevo hecho. No se afirma que una persona merezca una respuesta penal más severa porque tenga un pasado delictivo o porque posea una supuesta personalidad proclive al delito. Lo jurídicamente relevante es que, después de una condena firme y dentro del periodo expresamente definido por la ley, se haya cometido un nuevo hecho doloso específicamente relacionado con </w:t>
      </w:r>
      <w:r w:rsidRPr="00320EE1">
        <w:rPr>
          <w:rFonts w:ascii="Tahoma" w:hAnsi="Tahoma" w:cs="Tahoma"/>
          <w:sz w:val="22"/>
          <w:szCs w:val="22"/>
        </w:rPr>
        <w:lastRenderedPageBreak/>
        <w:t>aquel antecedente y que el legislador haya determinado previamente la consecuencia correspondiente.</w:t>
      </w:r>
    </w:p>
    <w:p w14:paraId="0BE39C96" w14:textId="77777777" w:rsidR="00FD5BF7" w:rsidRPr="00320EE1" w:rsidRDefault="00FD5BF7" w:rsidP="00BF12FF">
      <w:pPr>
        <w:keepNext/>
        <w:spacing w:after="0" w:line="240" w:lineRule="auto"/>
        <w:jc w:val="both"/>
        <w:rPr>
          <w:rFonts w:ascii="Tahoma" w:hAnsi="Tahoma" w:cs="Tahoma"/>
          <w:sz w:val="22"/>
          <w:szCs w:val="22"/>
        </w:rPr>
      </w:pPr>
    </w:p>
    <w:p w14:paraId="257D3B08"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También desaparece el automatismo censurado por la Corte. La mera existencia de una condena anterior no basta. Deben acreditarse los presupuestos legales de la reincidencia específica relevante y, adicionalmente, la decisión judicial debe expresar las razones por las cuales esos presupuestos concurren en el caso concreto. En materia de beneficios y subrogados el proyecto exige valoración reforzada; en medidas de aseguramiento dispone expresamente que la reincidencia no es suficiente por sí sola para ordenar privación preventiva de la libertad; y en los eventos de conexidad funcional exige motivación judicial específica. El proyecto convierte así la motivación en una garantía contra la utilización mecánica del antecedente. </w:t>
      </w:r>
    </w:p>
    <w:p w14:paraId="7166A956" w14:textId="77777777" w:rsidR="00FD5BF7" w:rsidRPr="00320EE1" w:rsidRDefault="00FD5BF7" w:rsidP="00BF12FF">
      <w:pPr>
        <w:keepNext/>
        <w:spacing w:after="0" w:line="240" w:lineRule="auto"/>
        <w:jc w:val="both"/>
        <w:rPr>
          <w:rFonts w:ascii="Tahoma" w:hAnsi="Tahoma" w:cs="Tahoma"/>
          <w:sz w:val="22"/>
          <w:szCs w:val="22"/>
        </w:rPr>
      </w:pPr>
    </w:p>
    <w:p w14:paraId="504E5B9A"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Existe, además, una salvaguarda directa frente al </w:t>
      </w:r>
      <w:r w:rsidRPr="00320EE1">
        <w:rPr>
          <w:rFonts w:ascii="Tahoma" w:hAnsi="Tahoma" w:cs="Tahoma"/>
          <w:i/>
          <w:iCs/>
          <w:sz w:val="22"/>
          <w:szCs w:val="22"/>
        </w:rPr>
        <w:t xml:space="preserve">non bis in </w:t>
      </w:r>
      <w:proofErr w:type="spellStart"/>
      <w:r w:rsidRPr="00320EE1">
        <w:rPr>
          <w:rFonts w:ascii="Tahoma" w:hAnsi="Tahoma" w:cs="Tahoma"/>
          <w:i/>
          <w:iCs/>
          <w:sz w:val="22"/>
          <w:szCs w:val="22"/>
        </w:rPr>
        <w:t>idem</w:t>
      </w:r>
      <w:proofErr w:type="spellEnd"/>
      <w:r w:rsidRPr="00320EE1">
        <w:rPr>
          <w:rFonts w:ascii="Tahoma" w:hAnsi="Tahoma" w:cs="Tahoma"/>
          <w:sz w:val="22"/>
          <w:szCs w:val="22"/>
        </w:rPr>
        <w:t xml:space="preserve">. La condena anterior que sirva de fundamento para una agravante especial por reincidencia específica relevante no puede utilizarse nuevamente para agravar la pena por la misma razón. El hecho pasado permanece definitivamente juzgado y su sanción no se reabre ni se incrementa. La consecuencia prevista por el proyecto se predica del nuevo delito y solo puede operar dentro de los límites específicos que la ley establece para ese nuevo hecho. </w:t>
      </w:r>
    </w:p>
    <w:p w14:paraId="35DCCF19" w14:textId="77777777" w:rsidR="00DB5367" w:rsidRPr="00320EE1" w:rsidRDefault="00DB5367" w:rsidP="00BF12FF">
      <w:pPr>
        <w:keepNext/>
        <w:spacing w:after="0" w:line="240" w:lineRule="auto"/>
        <w:jc w:val="both"/>
        <w:rPr>
          <w:rFonts w:ascii="Tahoma" w:hAnsi="Tahoma" w:cs="Tahoma"/>
          <w:sz w:val="22"/>
          <w:szCs w:val="22"/>
        </w:rPr>
      </w:pPr>
    </w:p>
    <w:p w14:paraId="691CF78A" w14:textId="77777777"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Por ello, no puede afirmarse que el Proyecto de Ley 054 de 2026 pretenda eludir la Sentencia C-504 de 2025 cambiando simplemente el nombre de la figura declarada inexequible. La arquitectura normativa es diferente desde su fundamento. El numeral 19 del artículo 58 convertía cualquier condena dolosa reciente en circunstancia genérica de mayor punibilidad; el proyecto descarta expresamente esa posibilidad y construye una categoría de reincidencia específica, temporal, judicialmente acreditada, legalmente delimitada y vinculada al nuevo hecho punible, cuyas consecuencias solo existen allí donde la propia ley las establece.</w:t>
      </w:r>
    </w:p>
    <w:p w14:paraId="25F919EB" w14:textId="77777777" w:rsidR="00DB5367" w:rsidRPr="00320EE1" w:rsidRDefault="00DB5367" w:rsidP="00BF12FF">
      <w:pPr>
        <w:keepNext/>
        <w:spacing w:after="0" w:line="240" w:lineRule="auto"/>
        <w:jc w:val="both"/>
        <w:rPr>
          <w:rFonts w:ascii="Tahoma" w:hAnsi="Tahoma" w:cs="Tahoma"/>
          <w:sz w:val="22"/>
          <w:szCs w:val="22"/>
        </w:rPr>
      </w:pPr>
    </w:p>
    <w:p w14:paraId="175145BF" w14:textId="71B3486B" w:rsidR="00BF12FF" w:rsidRPr="00320EE1" w:rsidRDefault="00BF12FF" w:rsidP="00BF12FF">
      <w:pPr>
        <w:keepNext/>
        <w:spacing w:after="0" w:line="240" w:lineRule="auto"/>
        <w:jc w:val="both"/>
        <w:rPr>
          <w:rFonts w:ascii="Tahoma" w:hAnsi="Tahoma" w:cs="Tahoma"/>
          <w:sz w:val="22"/>
          <w:szCs w:val="22"/>
        </w:rPr>
      </w:pPr>
      <w:r w:rsidRPr="00320EE1">
        <w:rPr>
          <w:rFonts w:ascii="Tahoma" w:hAnsi="Tahoma" w:cs="Tahoma"/>
          <w:sz w:val="22"/>
          <w:szCs w:val="22"/>
        </w:rPr>
        <w:t xml:space="preserve">En consecuencia, </w:t>
      </w:r>
      <w:r w:rsidR="00DB5367" w:rsidRPr="00320EE1">
        <w:rPr>
          <w:rFonts w:ascii="Tahoma" w:hAnsi="Tahoma" w:cs="Tahoma"/>
          <w:sz w:val="22"/>
          <w:szCs w:val="22"/>
        </w:rPr>
        <w:t xml:space="preserve">la </w:t>
      </w:r>
      <w:r w:rsidRPr="00320EE1">
        <w:rPr>
          <w:rFonts w:ascii="Tahoma" w:hAnsi="Tahoma" w:cs="Tahoma"/>
          <w:sz w:val="22"/>
          <w:szCs w:val="22"/>
        </w:rPr>
        <w:t>C-504 de 2025 no constituye un obstáculo para esta iniciativa. Constituye, por el contrario, uno de los parámetros que explican su diseño. El proyecto recoge la advertencia de la Corte frente al derecho penal de autor, elimina la reincidencia genérica y automática, impide que cualquier antecedente pueda agravar cualquier delito y mantiene el centro de gravedad de la respuesta penal en la conducta nueva. Al mismo tiempo, ejerce el margen de configuración que la Constitución conserva en cabeza del Congreso para reconocer que una reiteración delictiva específica, reciente y objetivamente conectada con el nuevo hecho puede recibir las consecuencias jurídicas que, de manera expresa, razonable y proporcional, determine la ley.</w:t>
      </w:r>
    </w:p>
    <w:p w14:paraId="264D4044" w14:textId="77777777" w:rsidR="00BF12FF" w:rsidRPr="00320EE1" w:rsidRDefault="00BF12FF" w:rsidP="00BF12FF">
      <w:pPr>
        <w:keepNext/>
        <w:spacing w:after="0" w:line="240" w:lineRule="auto"/>
        <w:rPr>
          <w:rFonts w:ascii="Tahoma" w:hAnsi="Tahoma" w:cs="Tahoma"/>
          <w:sz w:val="22"/>
          <w:szCs w:val="22"/>
        </w:rPr>
      </w:pPr>
    </w:p>
    <w:p w14:paraId="4538A8F5" w14:textId="01E37411" w:rsidR="002466D9" w:rsidRPr="00320EE1" w:rsidRDefault="002A71D3" w:rsidP="002466D9">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 xml:space="preserve">Derecho penal de acto, culpabilidad y </w:t>
      </w:r>
      <w:r w:rsidRPr="00320EE1">
        <w:rPr>
          <w:rFonts w:ascii="Tahoma" w:hAnsi="Tahoma" w:cs="Tahoma"/>
          <w:b/>
          <w:i/>
          <w:iCs/>
          <w:sz w:val="22"/>
          <w:szCs w:val="22"/>
          <w:u w:val="single"/>
        </w:rPr>
        <w:t xml:space="preserve">non bis in </w:t>
      </w:r>
      <w:proofErr w:type="spellStart"/>
      <w:r w:rsidRPr="00320EE1">
        <w:rPr>
          <w:rFonts w:ascii="Tahoma" w:hAnsi="Tahoma" w:cs="Tahoma"/>
          <w:b/>
          <w:i/>
          <w:iCs/>
          <w:sz w:val="22"/>
          <w:szCs w:val="22"/>
          <w:u w:val="single"/>
        </w:rPr>
        <w:t>idem</w:t>
      </w:r>
      <w:proofErr w:type="spellEnd"/>
    </w:p>
    <w:p w14:paraId="511C9D6E" w14:textId="77777777" w:rsidR="002466D9" w:rsidRPr="00320EE1" w:rsidRDefault="002466D9" w:rsidP="002466D9">
      <w:pPr>
        <w:spacing w:after="0" w:line="240" w:lineRule="auto"/>
        <w:jc w:val="both"/>
        <w:rPr>
          <w:rFonts w:ascii="Tahoma" w:hAnsi="Tahoma" w:cs="Tahoma"/>
          <w:sz w:val="22"/>
          <w:szCs w:val="22"/>
        </w:rPr>
      </w:pPr>
    </w:p>
    <w:p w14:paraId="633DD9F2" w14:textId="59D14DAB" w:rsidR="002A71D3" w:rsidRPr="00320EE1" w:rsidRDefault="002A71D3" w:rsidP="002466D9">
      <w:pPr>
        <w:spacing w:after="0" w:line="240" w:lineRule="auto"/>
        <w:jc w:val="both"/>
        <w:rPr>
          <w:rFonts w:ascii="Tahoma" w:hAnsi="Tahoma" w:cs="Tahoma"/>
          <w:sz w:val="22"/>
          <w:szCs w:val="22"/>
        </w:rPr>
      </w:pPr>
      <w:r w:rsidRPr="00320EE1">
        <w:rPr>
          <w:rFonts w:ascii="Tahoma" w:hAnsi="Tahoma" w:cs="Tahoma"/>
          <w:sz w:val="22"/>
          <w:szCs w:val="22"/>
        </w:rPr>
        <w:t>El derecho penal colombiano es un derecho penal de acto. La pena debe responder a una conducta típica, antijurídica y culpable, y no a una supuesta peligrosidad, carácter o forma de vida del procesado. La Sala de Casación Penal de la Corte Suprema de Justicia, en la providencia de 20 de febrero de 2008, radicado 21731, recordó que los antecedentes no pueden ser utilizados como enseña de una personalidad proclive al delito. La exposición de motivos recoge correctamente esta restricción y el proyecto la convierte en reglas operativas.</w:t>
      </w:r>
    </w:p>
    <w:p w14:paraId="27FBC711" w14:textId="77777777" w:rsidR="002466D9" w:rsidRPr="00320EE1" w:rsidRDefault="002466D9" w:rsidP="002466D9">
      <w:pPr>
        <w:spacing w:after="0" w:line="240" w:lineRule="auto"/>
        <w:jc w:val="both"/>
        <w:rPr>
          <w:rFonts w:ascii="Tahoma" w:hAnsi="Tahoma" w:cs="Tahoma"/>
          <w:sz w:val="22"/>
          <w:szCs w:val="22"/>
        </w:rPr>
      </w:pPr>
    </w:p>
    <w:p w14:paraId="56DF081B" w14:textId="0DE86873" w:rsidR="002A71D3" w:rsidRPr="00320EE1" w:rsidRDefault="002A71D3" w:rsidP="002466D9">
      <w:pPr>
        <w:spacing w:after="0" w:line="240" w:lineRule="auto"/>
        <w:jc w:val="both"/>
        <w:rPr>
          <w:rFonts w:ascii="Tahoma" w:hAnsi="Tahoma" w:cs="Tahoma"/>
          <w:sz w:val="22"/>
          <w:szCs w:val="22"/>
        </w:rPr>
      </w:pPr>
      <w:r w:rsidRPr="00320EE1">
        <w:rPr>
          <w:rFonts w:ascii="Tahoma" w:hAnsi="Tahoma" w:cs="Tahoma"/>
          <w:sz w:val="22"/>
          <w:szCs w:val="22"/>
        </w:rPr>
        <w:lastRenderedPageBreak/>
        <w:t xml:space="preserve">Tampoco se desconoce </w:t>
      </w:r>
      <w:proofErr w:type="gramStart"/>
      <w:r w:rsidRPr="00320EE1">
        <w:rPr>
          <w:rFonts w:ascii="Tahoma" w:hAnsi="Tahoma" w:cs="Tahoma"/>
          <w:sz w:val="22"/>
          <w:szCs w:val="22"/>
        </w:rPr>
        <w:t xml:space="preserve">el </w:t>
      </w:r>
      <w:r w:rsidRPr="00320EE1">
        <w:rPr>
          <w:rFonts w:ascii="Tahoma" w:hAnsi="Tahoma" w:cs="Tahoma"/>
          <w:i/>
          <w:iCs/>
          <w:sz w:val="22"/>
          <w:szCs w:val="22"/>
        </w:rPr>
        <w:t>non bis in</w:t>
      </w:r>
      <w:proofErr w:type="gramEnd"/>
      <w:r w:rsidRPr="00320EE1">
        <w:rPr>
          <w:rFonts w:ascii="Tahoma" w:hAnsi="Tahoma" w:cs="Tahoma"/>
          <w:i/>
          <w:iCs/>
          <w:sz w:val="22"/>
          <w:szCs w:val="22"/>
        </w:rPr>
        <w:t xml:space="preserve"> </w:t>
      </w:r>
      <w:proofErr w:type="spellStart"/>
      <w:r w:rsidRPr="00320EE1">
        <w:rPr>
          <w:rFonts w:ascii="Tahoma" w:hAnsi="Tahoma" w:cs="Tahoma"/>
          <w:i/>
          <w:iCs/>
          <w:sz w:val="22"/>
          <w:szCs w:val="22"/>
        </w:rPr>
        <w:t>idem</w:t>
      </w:r>
      <w:proofErr w:type="spellEnd"/>
      <w:r w:rsidRPr="00320EE1">
        <w:rPr>
          <w:rFonts w:ascii="Tahoma" w:hAnsi="Tahoma" w:cs="Tahoma"/>
          <w:sz w:val="22"/>
          <w:szCs w:val="22"/>
        </w:rPr>
        <w:t>. La condena anterior permanece jurídicamente agotada: no se reabre el juicio, no se modifica la sanción ya impuesta y no se vuelve a declarar responsabilidad por el hecho pasado. La consecuencia prevista por la nueva ley se anuda al delito actual y a la relación específica que el legislador define entre ese nuevo hecho y la condena previa. Además, el artículo 2 incorpora una prohibición expresa de doble utilización de la misma condena anterior para agravar nuevamente la pena por la misma razón, barrera interna que debe orientar la dosificación judicial.</w:t>
      </w:r>
    </w:p>
    <w:p w14:paraId="2C44998F" w14:textId="77777777" w:rsidR="00010DBE" w:rsidRPr="00320EE1" w:rsidRDefault="00010DBE" w:rsidP="002466D9">
      <w:pPr>
        <w:spacing w:after="0" w:line="240" w:lineRule="auto"/>
        <w:jc w:val="both"/>
        <w:rPr>
          <w:rFonts w:ascii="Tahoma" w:hAnsi="Tahoma" w:cs="Tahoma"/>
          <w:sz w:val="22"/>
          <w:szCs w:val="22"/>
        </w:rPr>
      </w:pPr>
    </w:p>
    <w:p w14:paraId="4546E2ED" w14:textId="19D57A65" w:rsidR="002A71D3" w:rsidRPr="00320EE1" w:rsidRDefault="002A71D3" w:rsidP="00231812">
      <w:pPr>
        <w:pStyle w:val="Prrafodelista"/>
        <w:keepNext/>
        <w:numPr>
          <w:ilvl w:val="0"/>
          <w:numId w:val="15"/>
        </w:numPr>
        <w:spacing w:after="0" w:line="240" w:lineRule="auto"/>
        <w:jc w:val="both"/>
        <w:rPr>
          <w:rFonts w:ascii="Tahoma" w:hAnsi="Tahoma" w:cs="Tahoma"/>
          <w:b/>
          <w:sz w:val="22"/>
          <w:szCs w:val="22"/>
          <w:u w:val="single"/>
        </w:rPr>
      </w:pPr>
      <w:r w:rsidRPr="00320EE1">
        <w:rPr>
          <w:rFonts w:ascii="Tahoma" w:hAnsi="Tahoma" w:cs="Tahoma"/>
          <w:b/>
          <w:sz w:val="22"/>
          <w:szCs w:val="22"/>
          <w:u w:val="single"/>
        </w:rPr>
        <w:t>La temporalidad de cinco años y la conexidad específica aseguran razonabilidad y proporcionalidad</w:t>
      </w:r>
    </w:p>
    <w:p w14:paraId="06DC8EB2" w14:textId="77777777" w:rsidR="00231812" w:rsidRPr="00320EE1" w:rsidRDefault="00231812" w:rsidP="00231812">
      <w:pPr>
        <w:spacing w:after="0" w:line="240" w:lineRule="auto"/>
        <w:jc w:val="both"/>
        <w:rPr>
          <w:rFonts w:ascii="Tahoma" w:hAnsi="Tahoma" w:cs="Tahoma"/>
          <w:sz w:val="22"/>
          <w:szCs w:val="22"/>
        </w:rPr>
      </w:pPr>
    </w:p>
    <w:p w14:paraId="4B7C863F" w14:textId="14792712" w:rsidR="002A71D3" w:rsidRPr="00320EE1" w:rsidRDefault="002A71D3" w:rsidP="00231812">
      <w:pPr>
        <w:spacing w:after="0" w:line="240" w:lineRule="auto"/>
        <w:jc w:val="both"/>
        <w:rPr>
          <w:rFonts w:ascii="Tahoma" w:hAnsi="Tahoma" w:cs="Tahoma"/>
          <w:sz w:val="22"/>
          <w:szCs w:val="22"/>
        </w:rPr>
      </w:pPr>
      <w:r w:rsidRPr="00320EE1">
        <w:rPr>
          <w:rFonts w:ascii="Tahoma" w:hAnsi="Tahoma" w:cs="Tahoma"/>
          <w:sz w:val="22"/>
          <w:szCs w:val="22"/>
        </w:rPr>
        <w:t>El límite temporal de cinco años cumple una función material: impide convertir el antecedente en un estatus permanente. La condena anterior solo tiene relevancia si su ejecutoria es reciente respecto del nuevo delito. De esta manera, la ley distingue la reiteración cercana en el tiempo de antecedentes remotos y evita una consecuencia indefinida sobre la trayectoria vital del ciudadano. La Sentencia C-034 de 2026 reconoce, precisamente, la distinción entre reincidencia temporal y permanente y destaca que la eficacia de la condena previa no debe ser perpetua.</w:t>
      </w:r>
    </w:p>
    <w:p w14:paraId="4ACDC2C4" w14:textId="77777777" w:rsidR="00231812" w:rsidRPr="00320EE1" w:rsidRDefault="00231812" w:rsidP="00231812">
      <w:pPr>
        <w:spacing w:after="0" w:line="240" w:lineRule="auto"/>
        <w:jc w:val="both"/>
        <w:rPr>
          <w:rFonts w:ascii="Tahoma" w:hAnsi="Tahoma" w:cs="Tahoma"/>
          <w:sz w:val="22"/>
          <w:szCs w:val="22"/>
        </w:rPr>
      </w:pPr>
    </w:p>
    <w:p w14:paraId="03370B2A" w14:textId="5439DC85" w:rsidR="002A71D3" w:rsidRPr="00320EE1" w:rsidRDefault="002A71D3" w:rsidP="00231812">
      <w:pPr>
        <w:spacing w:after="0" w:line="240" w:lineRule="auto"/>
        <w:jc w:val="both"/>
        <w:rPr>
          <w:rFonts w:ascii="Tahoma" w:hAnsi="Tahoma" w:cs="Tahoma"/>
          <w:sz w:val="22"/>
          <w:szCs w:val="22"/>
        </w:rPr>
      </w:pPr>
      <w:r w:rsidRPr="00320EE1">
        <w:rPr>
          <w:rFonts w:ascii="Tahoma" w:hAnsi="Tahoma" w:cs="Tahoma"/>
          <w:sz w:val="22"/>
          <w:szCs w:val="22"/>
        </w:rPr>
        <w:t>A ello se suma la exigencia de identidad o conexidad funcional. No basta con acreditar que la persona fue condenada por cualquier delito doloso. Debe existir la relación que el legislador haya definido expresamente entre la condena anterior y la nueva conducta. Esta regla estrecha el supuesto de hecho, fortalece la legalidad y permite justificar la diferenciación sobre características objetivas de la reiteración delictiva.</w:t>
      </w:r>
    </w:p>
    <w:p w14:paraId="20D330F6" w14:textId="77777777" w:rsidR="00231812" w:rsidRPr="00320EE1" w:rsidRDefault="00231812" w:rsidP="00231812">
      <w:pPr>
        <w:spacing w:after="0" w:line="240" w:lineRule="auto"/>
        <w:jc w:val="both"/>
        <w:rPr>
          <w:rFonts w:ascii="Tahoma" w:hAnsi="Tahoma" w:cs="Tahoma"/>
          <w:sz w:val="22"/>
          <w:szCs w:val="22"/>
        </w:rPr>
      </w:pPr>
    </w:p>
    <w:p w14:paraId="6E214942" w14:textId="7DE79491" w:rsidR="00004695" w:rsidRPr="00320EE1" w:rsidRDefault="00004695" w:rsidP="00004695">
      <w:pPr>
        <w:pStyle w:val="Prrafodelista"/>
        <w:numPr>
          <w:ilvl w:val="0"/>
          <w:numId w:val="15"/>
        </w:numPr>
        <w:spacing w:after="0" w:line="240" w:lineRule="auto"/>
        <w:jc w:val="both"/>
        <w:rPr>
          <w:rFonts w:ascii="Tahoma" w:hAnsi="Tahoma" w:cs="Tahoma"/>
          <w:b/>
          <w:bCs/>
          <w:sz w:val="22"/>
          <w:szCs w:val="22"/>
          <w:u w:val="single"/>
        </w:rPr>
      </w:pPr>
      <w:r w:rsidRPr="00320EE1">
        <w:rPr>
          <w:rFonts w:ascii="Tahoma" w:hAnsi="Tahoma" w:cs="Tahoma"/>
          <w:b/>
          <w:bCs/>
          <w:sz w:val="22"/>
          <w:szCs w:val="22"/>
          <w:u w:val="single"/>
        </w:rPr>
        <w:t>La valoración de beneficios y subrogados preserva la resocialización, pero exige mayor rigor frente a la reincidencia específica</w:t>
      </w:r>
    </w:p>
    <w:p w14:paraId="1D2A6168" w14:textId="77777777" w:rsidR="00004695" w:rsidRPr="00320EE1" w:rsidRDefault="00004695" w:rsidP="00004695">
      <w:pPr>
        <w:pStyle w:val="Prrafodelista"/>
        <w:spacing w:after="0" w:line="240" w:lineRule="auto"/>
        <w:jc w:val="both"/>
        <w:rPr>
          <w:rFonts w:ascii="Tahoma" w:hAnsi="Tahoma" w:cs="Tahoma"/>
          <w:sz w:val="22"/>
          <w:szCs w:val="22"/>
        </w:rPr>
      </w:pPr>
    </w:p>
    <w:p w14:paraId="0E045793" w14:textId="5A09C6FC"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Antes de explicar la regla que propone el proyecto, es importante aclarar qué significan expresiones como “beneficios”, “subrogados penales” o “mecanismos sustitutivos de la pena”. En términos sencillos, se trata de herramientas que la ley permite utilizar, bajo determinados requisitos, para decidir cómo se cumple una condena. Pueden permitir, por ejemplo, suspender la ejecución de una pena de prisión durante un periodo de prueba, cumplirla en el domicilio en lugar de hacerlo en un establecimiento carcelario o acceder a la libertad condicional después de haber cumplido una parte de la condena. No significan que la condena desaparezca, que la persona sea declarada inocente ni que el Estado renuncie a vigilar el cumplimiento de la pena. Por el contrario, normalmente están sujetos a condiciones, obligaciones de comparecencia, buena conducta, reparación y control judicial, y pueden ser revocados si esas obligaciones se incumplen.</w:t>
      </w:r>
    </w:p>
    <w:p w14:paraId="532F0268" w14:textId="77777777" w:rsidR="00AA23DB" w:rsidRPr="00320EE1" w:rsidRDefault="00AA23DB" w:rsidP="00004695">
      <w:pPr>
        <w:spacing w:after="0" w:line="240" w:lineRule="auto"/>
        <w:jc w:val="both"/>
        <w:rPr>
          <w:rFonts w:ascii="Tahoma" w:hAnsi="Tahoma" w:cs="Tahoma"/>
          <w:sz w:val="22"/>
          <w:szCs w:val="22"/>
        </w:rPr>
      </w:pPr>
    </w:p>
    <w:p w14:paraId="57A059C6"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Esta aclaración resulta importante porque el artículo 14 del proyecto no pretende eliminar esos mecanismos para las personas reincidentes ni convertir la reincidencia en una prohibición automática. Su propósito es distinto: allí donde la ley permita estudiar un beneficio, subrogado o mecanismo sustitutivo, la existencia de reincidencia específica relevante obliga al juez a realizar un examen más cuidadoso antes de concederlo. El juez deberá analizar, entre otros aspectos, qué delito había cometido antes la persona, cuál es su relación con el nuevo delito, qué riesgo existe para la víctima y la comunidad, si se ha asegurado la reparación, cuál ha sido el comportamiento </w:t>
      </w:r>
      <w:r w:rsidRPr="00320EE1">
        <w:rPr>
          <w:rFonts w:ascii="Tahoma" w:hAnsi="Tahoma" w:cs="Tahoma"/>
          <w:sz w:val="22"/>
          <w:szCs w:val="22"/>
        </w:rPr>
        <w:lastRenderedPageBreak/>
        <w:t xml:space="preserve">procesal y penitenciario del condenado y qué condiciones pueden imponerse para disminuir el riesgo de una nueva reiteración. La decisión deberá ser expresa y motivada y, si el mecanismo se concede, tendrá que estar acompañado de obligaciones de seguimiento, comparecencia, no repetición y reparación. </w:t>
      </w:r>
    </w:p>
    <w:p w14:paraId="26787AAB" w14:textId="77777777" w:rsidR="00AA23DB" w:rsidRPr="00320EE1" w:rsidRDefault="00AA23DB" w:rsidP="00004695">
      <w:pPr>
        <w:spacing w:after="0" w:line="240" w:lineRule="auto"/>
        <w:jc w:val="both"/>
        <w:rPr>
          <w:rFonts w:ascii="Tahoma" w:hAnsi="Tahoma" w:cs="Tahoma"/>
          <w:sz w:val="22"/>
          <w:szCs w:val="22"/>
        </w:rPr>
      </w:pPr>
    </w:p>
    <w:p w14:paraId="3DA0E3B0" w14:textId="598A308E"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La necesidad de una regla de esta naturaleza no es meramente teórica. A marzo de 2026 el INPEC registraba 108.187 personas condenadas a su cargo. De ellas, 84.349 se encontraban en modalidad intramural, 19.857 en domiciliaria y 3.981 bajo vigilancia electrónica. Es decir, aproximadamente 22 de cada 100 personas condenadas a cargo del INPEC se encontraban en modalidades distintas de la reclusión intramural. Las alternativas a la cárcel, por tanto, no constituyen una figura excepcional o marginal dentro del sistema de ejecución de penas colombiano, sino un componente materialmente relevante de su funcionamiento</w:t>
      </w:r>
      <w:r w:rsidR="00D93975" w:rsidRPr="00320EE1">
        <w:rPr>
          <w:rStyle w:val="Refdenotaalpie"/>
          <w:rFonts w:ascii="Tahoma" w:hAnsi="Tahoma" w:cs="Tahoma"/>
          <w:sz w:val="22"/>
          <w:szCs w:val="22"/>
        </w:rPr>
        <w:footnoteReference w:id="4"/>
      </w:r>
      <w:r w:rsidRPr="00320EE1">
        <w:rPr>
          <w:rFonts w:ascii="Tahoma" w:hAnsi="Tahoma" w:cs="Tahoma"/>
          <w:sz w:val="22"/>
          <w:szCs w:val="22"/>
        </w:rPr>
        <w:t>.</w:t>
      </w:r>
    </w:p>
    <w:p w14:paraId="57B7D179" w14:textId="77777777" w:rsidR="00AA23DB" w:rsidRPr="00320EE1" w:rsidRDefault="00AA23DB" w:rsidP="00004695">
      <w:pPr>
        <w:spacing w:after="0" w:line="240" w:lineRule="auto"/>
        <w:jc w:val="both"/>
        <w:rPr>
          <w:rFonts w:ascii="Tahoma" w:hAnsi="Tahoma" w:cs="Tahoma"/>
          <w:sz w:val="22"/>
          <w:szCs w:val="22"/>
        </w:rPr>
      </w:pPr>
    </w:p>
    <w:p w14:paraId="604B99D9" w14:textId="68B24A49"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La información sobre reincidencia hace todavía más evidente la necesidad de una valoración judicial seria. En marzo de 2026, el INPEC reportó 26.209 personas reincidentes entre 108.187 condenados, equivalentes al 24,2 %. De esos reincidentes, 21.804 se encontraban en prisión intramural, 3.565 en domiciliaria y 840 bajo vigilancia electrónica. Dicho de otra manera, 4.405 personas reincidentes estaban cumpliendo su condena bajo modalidades distintas de la reclusión intramural, aproximadamente el 16,8 % del total de reincidentes. La proporción de reincidencia fue del 25,8 % entre los condenados intramurales, del 18,0 % entre los domiciliarios y del 21,1 % entre quienes tenían vigilancia electrónica</w:t>
      </w:r>
      <w:r w:rsidR="00E840D5" w:rsidRPr="00320EE1">
        <w:rPr>
          <w:rStyle w:val="Refdenotaalpie"/>
          <w:rFonts w:ascii="Tahoma" w:hAnsi="Tahoma" w:cs="Tahoma"/>
          <w:sz w:val="22"/>
          <w:szCs w:val="22"/>
        </w:rPr>
        <w:footnoteReference w:id="5"/>
      </w:r>
      <w:r w:rsidRPr="00320EE1">
        <w:rPr>
          <w:rFonts w:ascii="Tahoma" w:hAnsi="Tahoma" w:cs="Tahoma"/>
          <w:sz w:val="22"/>
          <w:szCs w:val="22"/>
        </w:rPr>
        <w:t xml:space="preserve">. </w:t>
      </w:r>
    </w:p>
    <w:p w14:paraId="092C74EE" w14:textId="77777777" w:rsidR="00D93975" w:rsidRPr="00320EE1" w:rsidRDefault="00D93975" w:rsidP="00004695">
      <w:pPr>
        <w:spacing w:after="0" w:line="240" w:lineRule="auto"/>
        <w:jc w:val="both"/>
        <w:rPr>
          <w:rFonts w:ascii="Tahoma" w:hAnsi="Tahoma" w:cs="Tahoma"/>
          <w:sz w:val="22"/>
          <w:szCs w:val="22"/>
        </w:rPr>
      </w:pPr>
    </w:p>
    <w:p w14:paraId="4F59FB8A"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Estas cifras deben interpretarse con cuidado. No demuestran que la prisión domiciliaria o la vigilancia electrónica causen reincidencia, ni permiten afirmar que una persona concreta reincidirá simplemente porque reciba un mecanismo sustitutivo. Sí muestran algo jurídicamente relevante: la reincidencia y las modalidades alternativas de ejecución de la pena conviven actualmente dentro del sistema, de modo que la decisión sobre su procedencia frente a quien vuelve a cometer un delito no puede tratarse como un asunto irrelevante ni resolverse mediante fórmulas mecánicas. Se requiere precisamente aquello que propone el proyecto: valoración judicial individual, información suficiente y condiciones capaces de reducir el riesgo de una nueva conducta.</w:t>
      </w:r>
    </w:p>
    <w:p w14:paraId="45C1623D" w14:textId="77777777" w:rsidR="00E840D5" w:rsidRPr="00320EE1" w:rsidRDefault="00E840D5" w:rsidP="00004695">
      <w:pPr>
        <w:spacing w:after="0" w:line="240" w:lineRule="auto"/>
        <w:jc w:val="both"/>
        <w:rPr>
          <w:rFonts w:ascii="Tahoma" w:hAnsi="Tahoma" w:cs="Tahoma"/>
          <w:sz w:val="22"/>
          <w:szCs w:val="22"/>
        </w:rPr>
      </w:pPr>
    </w:p>
    <w:p w14:paraId="4A13B194" w14:textId="1D35B3B9"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La jurisprudencia constitucional permite adoptar ese enfoque. En la Sentencia C-425 de 2008, la Corte Constitucional examinó una regla que excluía determinados beneficios y subrogados cuando existía una condena anterior por delito doloso o preterintencional dentro de los cinco años precedentes. La Corte consideró constitucionalmente legítimo que el legislador atribuyera consecuencias a la reincidencia en esta materia y señaló que los antecedentes penales pueden tener efectos jurídicos al decidir sobre la procedencia de mecanismos que sustituyen o modifican la forma de ejecución de la pena. Incluso reconoció que los beneficios y subrogados encuentran fundamento en la humanización del derecho penal y en la resocialización, sin que ello obligue al legislador a ignorar la existencia de nuevas conductas delictivas.</w:t>
      </w:r>
    </w:p>
    <w:p w14:paraId="1B0ACB5E" w14:textId="77777777" w:rsidR="00817CA8" w:rsidRPr="00320EE1" w:rsidRDefault="00817CA8" w:rsidP="00004695">
      <w:pPr>
        <w:spacing w:after="0" w:line="240" w:lineRule="auto"/>
        <w:jc w:val="both"/>
        <w:rPr>
          <w:rFonts w:ascii="Tahoma" w:hAnsi="Tahoma" w:cs="Tahoma"/>
          <w:sz w:val="22"/>
          <w:szCs w:val="22"/>
        </w:rPr>
      </w:pPr>
    </w:p>
    <w:p w14:paraId="70904970" w14:textId="39AF42C9"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Sin embargo, esa potestad legislativa tampoco es ilimitada. La reciente Sentencia C-034 de 2026 aporta una segunda regla que debe ser considerada. Allí la Corte examinó un supuesto muy </w:t>
      </w:r>
      <w:r w:rsidRPr="00320EE1">
        <w:rPr>
          <w:rFonts w:ascii="Tahoma" w:hAnsi="Tahoma" w:cs="Tahoma"/>
          <w:sz w:val="22"/>
          <w:szCs w:val="22"/>
        </w:rPr>
        <w:lastRenderedPageBreak/>
        <w:t>específico: la reclusión domiciliaria u hospitalaria de una persona cuya enfermedad resulta incompatible con la permanencia en prisión. La norma impedía automáticamente acceder nuevamente a ese mecanismo cuando existía reincidencia. La Corte declaró inexequible esa exclusión absoluta porque, en ese contexto humanitario particular, impedía al juez valorar la condición médica actual y podía conducir a mantener en prisión a una persona cuya salud era incompatible con la reclusión intramural.</w:t>
      </w:r>
    </w:p>
    <w:p w14:paraId="1D1750C1" w14:textId="77777777" w:rsidR="00817CA8" w:rsidRPr="00320EE1" w:rsidRDefault="00817CA8" w:rsidP="00004695">
      <w:pPr>
        <w:spacing w:after="0" w:line="240" w:lineRule="auto"/>
        <w:jc w:val="both"/>
        <w:rPr>
          <w:rFonts w:ascii="Tahoma" w:hAnsi="Tahoma" w:cs="Tahoma"/>
          <w:sz w:val="22"/>
          <w:szCs w:val="22"/>
        </w:rPr>
      </w:pPr>
    </w:p>
    <w:p w14:paraId="6A5E433F"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De ambas decisiones surge una regla perfectamente compatible con el proyecto: la reincidencia puede ser jurídicamente relevante al decidir sobre beneficios y mecanismos sustitutivos, pero la Constitución exige especial cautela frente a automatismos que impidan valorar las circunstancias concretas del caso. El artículo 14 adopta justamente ese punto intermedio. No afirma que todo reincidente deba permanecer necesariamente en prisión, pero tampoco acepta que una condena reciente seguida de un nuevo delito específicamente relacionado resulte indiferente al momento de decidir si la ejecución de la pena puede flexibilizarse.</w:t>
      </w:r>
    </w:p>
    <w:p w14:paraId="2608CEE8" w14:textId="77777777" w:rsidR="00322438" w:rsidRPr="00320EE1" w:rsidRDefault="00322438" w:rsidP="00004695">
      <w:pPr>
        <w:spacing w:after="0" w:line="240" w:lineRule="auto"/>
        <w:jc w:val="both"/>
        <w:rPr>
          <w:rFonts w:ascii="Tahoma" w:hAnsi="Tahoma" w:cs="Tahoma"/>
          <w:sz w:val="22"/>
          <w:szCs w:val="22"/>
        </w:rPr>
      </w:pPr>
    </w:p>
    <w:p w14:paraId="3D46C7F1"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La fórmula propuesta tiene, además, una importante dimensión de protección de víctimas. Cuando una persona previamente condenada vuelve a cometer dentro de un periodo reciente un delito de la misma naturaleza o funcionalmente conectado, el juez no debería preguntarse únicamente si formalmente reúne los requisitos para acceder a un mecanismo sustitutivo. Debe examinar también qué condiciones son necesarias para evitar la repetición del daño. De ahí que el proyecto obligue a valorar la protección de la víctima y de la comunidad, la reparación y las medidas concretas de seguimiento y no repetición. </w:t>
      </w:r>
    </w:p>
    <w:p w14:paraId="16345B99" w14:textId="77777777" w:rsidR="00322438" w:rsidRPr="00320EE1" w:rsidRDefault="00322438" w:rsidP="00004695">
      <w:pPr>
        <w:spacing w:after="0" w:line="240" w:lineRule="auto"/>
        <w:jc w:val="both"/>
        <w:rPr>
          <w:rFonts w:ascii="Tahoma" w:hAnsi="Tahoma" w:cs="Tahoma"/>
          <w:sz w:val="22"/>
          <w:szCs w:val="22"/>
        </w:rPr>
      </w:pPr>
    </w:p>
    <w:p w14:paraId="5F712C49" w14:textId="190B1513"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Esta aproximación no contradice la resocialización; la hace más seria. La resocialización no consiste simplemente en disminuir el tiempo de permanencia intramural. Implica crear condiciones para que quien ha sido condenado pueda retornar a la sociedad sin volver a delinquir. El Plan Nacional de Política Criminal 2021–2025</w:t>
      </w:r>
      <w:r w:rsidR="00524BCE" w:rsidRPr="00320EE1">
        <w:rPr>
          <w:rStyle w:val="Refdenotaalpie"/>
          <w:rFonts w:ascii="Tahoma" w:hAnsi="Tahoma" w:cs="Tahoma"/>
          <w:sz w:val="22"/>
          <w:szCs w:val="22"/>
        </w:rPr>
        <w:footnoteReference w:id="6"/>
      </w:r>
      <w:r w:rsidRPr="00320EE1">
        <w:rPr>
          <w:rFonts w:ascii="Tahoma" w:hAnsi="Tahoma" w:cs="Tahoma"/>
          <w:sz w:val="22"/>
          <w:szCs w:val="22"/>
        </w:rPr>
        <w:t xml:space="preserve"> formuló precisamente como una de sus prioridades la humanización del sistema penitenciario, el fortalecimiento de la resocialización y la disminución de la reincidencia criminal. Esos tres objetivos deben entenderse conjuntamente: humanizar la pena no significa ignorar la reiteración; resocializar significa también reducirla. </w:t>
      </w:r>
    </w:p>
    <w:p w14:paraId="403612D3" w14:textId="77777777" w:rsidR="00322438" w:rsidRPr="00320EE1" w:rsidRDefault="00322438" w:rsidP="00004695">
      <w:pPr>
        <w:spacing w:after="0" w:line="240" w:lineRule="auto"/>
        <w:jc w:val="both"/>
        <w:rPr>
          <w:rFonts w:ascii="Tahoma" w:hAnsi="Tahoma" w:cs="Tahoma"/>
          <w:sz w:val="22"/>
          <w:szCs w:val="22"/>
        </w:rPr>
      </w:pPr>
    </w:p>
    <w:p w14:paraId="13BCCE27" w14:textId="59CA1E49"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El contexto penitenciario refuerza la conveniencia de evitar prohibiciones generales. En marzo de 2026, los establecimientos del INPEC disponían de 81.025 cupos, mientras que la población intramural ascendía a 102.949 personas. Esto representa aproximadamente 21.924 personas por encima de la capacidad disponible, es decir, cerca de un 27 % de sobreocupación. Una política criminal constitucionalmente sostenible no puede responder a toda forma de reincidencia mediante el encarcelamiento automático; debe reservar la prisión intramural para los casos en que resulte necesaria y, allí donde la ley permita alternativas, exigir controles capaces de proteger simultáneamente la resocialización, las víctimas y la seguridad pública</w:t>
      </w:r>
      <w:r w:rsidR="00450407" w:rsidRPr="00320EE1">
        <w:rPr>
          <w:rStyle w:val="Refdenotaalpie"/>
          <w:rFonts w:ascii="Tahoma" w:hAnsi="Tahoma" w:cs="Tahoma"/>
          <w:sz w:val="22"/>
          <w:szCs w:val="22"/>
        </w:rPr>
        <w:footnoteReference w:id="7"/>
      </w:r>
      <w:r w:rsidRPr="00320EE1">
        <w:rPr>
          <w:rFonts w:ascii="Tahoma" w:hAnsi="Tahoma" w:cs="Tahoma"/>
          <w:sz w:val="22"/>
          <w:szCs w:val="22"/>
        </w:rPr>
        <w:t xml:space="preserve">. </w:t>
      </w:r>
    </w:p>
    <w:p w14:paraId="5D1B57F4" w14:textId="77777777" w:rsidR="00450407" w:rsidRPr="00320EE1" w:rsidRDefault="00450407" w:rsidP="00004695">
      <w:pPr>
        <w:spacing w:after="0" w:line="240" w:lineRule="auto"/>
        <w:jc w:val="both"/>
        <w:rPr>
          <w:rFonts w:ascii="Tahoma" w:hAnsi="Tahoma" w:cs="Tahoma"/>
          <w:sz w:val="22"/>
          <w:szCs w:val="22"/>
        </w:rPr>
      </w:pPr>
    </w:p>
    <w:p w14:paraId="4ABD3BBD" w14:textId="50303268"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Por ello, el artículo 14 no debe entenderse como una norma “a favor” o “en contra” de los beneficios penales. Su lógica es más precisa: una segunda oportunidad jurídicamente permitida </w:t>
      </w:r>
      <w:r w:rsidRPr="00320EE1">
        <w:rPr>
          <w:rFonts w:ascii="Tahoma" w:hAnsi="Tahoma" w:cs="Tahoma"/>
          <w:sz w:val="22"/>
          <w:szCs w:val="22"/>
        </w:rPr>
        <w:lastRenderedPageBreak/>
        <w:t>debe continuar siendo posible, pero frente a una reincidencia específica reciente no puede concederse de manera superficial. El juez deberá explicar por qué el mecanismo sigue siendo adecuado, qué garantías existen para la víctima, cómo se atenderá la reparación y qué condiciones permiten razonablemente esperar que la nueva oportunidad no termine en una nueva reiteración delictiva</w:t>
      </w:r>
    </w:p>
    <w:p w14:paraId="05D6B8E3" w14:textId="77777777" w:rsidR="00450407" w:rsidRPr="00320EE1" w:rsidRDefault="00450407" w:rsidP="00004695">
      <w:pPr>
        <w:spacing w:after="0" w:line="240" w:lineRule="auto"/>
        <w:jc w:val="both"/>
        <w:rPr>
          <w:rFonts w:ascii="Tahoma" w:hAnsi="Tahoma" w:cs="Tahoma"/>
          <w:sz w:val="22"/>
          <w:szCs w:val="22"/>
        </w:rPr>
      </w:pPr>
    </w:p>
    <w:p w14:paraId="58A9907C" w14:textId="4BB4CAEF" w:rsidR="00004695" w:rsidRPr="00320EE1" w:rsidRDefault="00004695" w:rsidP="00450407">
      <w:pPr>
        <w:pStyle w:val="Prrafodelista"/>
        <w:numPr>
          <w:ilvl w:val="0"/>
          <w:numId w:val="15"/>
        </w:numPr>
        <w:spacing w:after="0" w:line="240" w:lineRule="auto"/>
        <w:jc w:val="both"/>
        <w:rPr>
          <w:rFonts w:ascii="Tahoma" w:hAnsi="Tahoma" w:cs="Tahoma"/>
          <w:b/>
          <w:bCs/>
          <w:sz w:val="22"/>
          <w:szCs w:val="22"/>
          <w:u w:val="single"/>
        </w:rPr>
      </w:pPr>
      <w:r w:rsidRPr="00320EE1">
        <w:rPr>
          <w:rFonts w:ascii="Tahoma" w:hAnsi="Tahoma" w:cs="Tahoma"/>
          <w:b/>
          <w:bCs/>
          <w:sz w:val="22"/>
          <w:szCs w:val="22"/>
          <w:u w:val="single"/>
        </w:rPr>
        <w:t>Las medidas de aseguramiento no son una pena anticipada: la reincidencia se valora como un factor de riesgo, nunca como una orden automática de encarcelamiento</w:t>
      </w:r>
    </w:p>
    <w:p w14:paraId="4C073623" w14:textId="77777777" w:rsidR="00450407" w:rsidRPr="00320EE1" w:rsidRDefault="00450407" w:rsidP="00450407">
      <w:pPr>
        <w:pStyle w:val="Prrafodelista"/>
        <w:spacing w:after="0" w:line="240" w:lineRule="auto"/>
        <w:jc w:val="both"/>
        <w:rPr>
          <w:rFonts w:ascii="Tahoma" w:hAnsi="Tahoma" w:cs="Tahoma"/>
          <w:sz w:val="22"/>
          <w:szCs w:val="22"/>
        </w:rPr>
      </w:pPr>
    </w:p>
    <w:p w14:paraId="7C18C22E" w14:textId="76F5DB3D"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También conviene explicar esta parte del proyecto en lenguaje sencillo. Una medida de aseguramiento es una decisión temporal que puede adoptar un juez mientras se desarrolla el proceso penal y antes de que exista una condena definitiva. Su finalidad no es castigar anticipadamente al acusado, sino proteger el proceso: evitar que obstruya la justicia, asegurar que comparezca ante los jueces y, cuando exista un riesgo concreto, proteger a la comunidad y a las víctimas. La ley contempla medidas que privan de la libertad </w:t>
      </w:r>
      <w:r w:rsidR="00450407" w:rsidRPr="00320EE1">
        <w:rPr>
          <w:rFonts w:ascii="Tahoma" w:hAnsi="Tahoma" w:cs="Tahoma"/>
          <w:sz w:val="22"/>
          <w:szCs w:val="22"/>
        </w:rPr>
        <w:t>–</w:t>
      </w:r>
      <w:r w:rsidRPr="00320EE1">
        <w:rPr>
          <w:rFonts w:ascii="Tahoma" w:hAnsi="Tahoma" w:cs="Tahoma"/>
          <w:sz w:val="22"/>
          <w:szCs w:val="22"/>
        </w:rPr>
        <w:t>como la detención preventiva en establecimiento carcelario o en el domicilio</w:t>
      </w:r>
      <w:r w:rsidR="00450407" w:rsidRPr="00320EE1">
        <w:rPr>
          <w:rFonts w:ascii="Tahoma" w:hAnsi="Tahoma" w:cs="Tahoma"/>
          <w:sz w:val="22"/>
          <w:szCs w:val="22"/>
        </w:rPr>
        <w:t>–</w:t>
      </w:r>
      <w:r w:rsidRPr="00320EE1">
        <w:rPr>
          <w:rFonts w:ascii="Tahoma" w:hAnsi="Tahoma" w:cs="Tahoma"/>
          <w:sz w:val="22"/>
          <w:szCs w:val="22"/>
        </w:rPr>
        <w:t xml:space="preserve"> y otras menos intensas, como vigilancia electrónica, presentación periódica ante una autoridad, prohibición de salir de determinado territorio, prohibición de acudir a ciertos lugares o de comunicarse con determinadas personas o con la víctima.</w:t>
      </w:r>
    </w:p>
    <w:p w14:paraId="05F42374" w14:textId="77777777" w:rsidR="00450407" w:rsidRPr="00320EE1" w:rsidRDefault="00450407" w:rsidP="00004695">
      <w:pPr>
        <w:spacing w:after="0" w:line="240" w:lineRule="auto"/>
        <w:jc w:val="both"/>
        <w:rPr>
          <w:rFonts w:ascii="Tahoma" w:hAnsi="Tahoma" w:cs="Tahoma"/>
          <w:sz w:val="22"/>
          <w:szCs w:val="22"/>
        </w:rPr>
      </w:pPr>
    </w:p>
    <w:p w14:paraId="5CDE5672"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Esta distinción es fundamental porque una persona sometida a medida de aseguramiento continúa amparada por la presunción de inocencia. La detención preventiva no puede convertirse en una forma anticipada de cumplir una pena que todavía no ha sido impuesta. Por esa razón, la legislación vigente ya ordena que las medidas privativas de la libertad únicamente se utilicen cuando se demuestre que las alternativas menos restrictivas son insuficientes para alcanzar las finalidades constitucionales del proceso. </w:t>
      </w:r>
    </w:p>
    <w:p w14:paraId="0B46DC53" w14:textId="77777777" w:rsidR="00E76C67" w:rsidRPr="00320EE1" w:rsidRDefault="00E76C67" w:rsidP="00004695">
      <w:pPr>
        <w:spacing w:after="0" w:line="240" w:lineRule="auto"/>
        <w:jc w:val="both"/>
        <w:rPr>
          <w:rFonts w:ascii="Tahoma" w:hAnsi="Tahoma" w:cs="Tahoma"/>
          <w:sz w:val="22"/>
          <w:szCs w:val="22"/>
        </w:rPr>
      </w:pPr>
    </w:p>
    <w:p w14:paraId="58A73771" w14:textId="2CF0B756"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El tamaño actual de la detención preventiva permite apreciar la importancia práctica de esta garantía. En marzo de 2026, el INPEC registraba 102.949 personas privadas de la libertad en establecimientos penitenciarios: 84.349 ya habían sido condenadas y 18.600 eran sindicadas, es decir, personas sometidas a proceso penal que se encontraban privadas preventivamente de la libertad sin que todavía existiera una condena definitiva. Los sindicados representaban el 18,1 % de toda la población intramural</w:t>
      </w:r>
      <w:r w:rsidR="00F019D8" w:rsidRPr="00320EE1">
        <w:rPr>
          <w:rStyle w:val="Refdenotaalpie"/>
          <w:rFonts w:ascii="Tahoma" w:hAnsi="Tahoma" w:cs="Tahoma"/>
          <w:sz w:val="22"/>
          <w:szCs w:val="22"/>
        </w:rPr>
        <w:footnoteReference w:id="8"/>
      </w:r>
      <w:r w:rsidRPr="00320EE1">
        <w:rPr>
          <w:rFonts w:ascii="Tahoma" w:hAnsi="Tahoma" w:cs="Tahoma"/>
          <w:sz w:val="22"/>
          <w:szCs w:val="22"/>
        </w:rPr>
        <w:t>.</w:t>
      </w:r>
    </w:p>
    <w:p w14:paraId="7E5EFB75" w14:textId="77777777" w:rsidR="00E76C67" w:rsidRPr="00320EE1" w:rsidRDefault="00E76C67" w:rsidP="00004695">
      <w:pPr>
        <w:spacing w:after="0" w:line="240" w:lineRule="auto"/>
        <w:jc w:val="both"/>
        <w:rPr>
          <w:rFonts w:ascii="Tahoma" w:hAnsi="Tahoma" w:cs="Tahoma"/>
          <w:sz w:val="22"/>
          <w:szCs w:val="22"/>
        </w:rPr>
      </w:pPr>
    </w:p>
    <w:p w14:paraId="2206D6B3" w14:textId="2A80228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Estas cifras deben observarse junto con la capacidad del sistema. Frente a esos 102.949 internos, los establecimientos disponían de apenas 81.025 cupos. La diferencia era de 21.924 personas, aproximadamente un 27,1 % por encima de la capacidad instalada. La Corte Constitucional</w:t>
      </w:r>
      <w:r w:rsidR="00587BA1" w:rsidRPr="00320EE1">
        <w:rPr>
          <w:rStyle w:val="Refdenotaalpie"/>
          <w:rFonts w:ascii="Tahoma" w:hAnsi="Tahoma" w:cs="Tahoma"/>
          <w:sz w:val="22"/>
          <w:szCs w:val="22"/>
        </w:rPr>
        <w:footnoteReference w:id="9"/>
      </w:r>
      <w:r w:rsidRPr="00320EE1">
        <w:rPr>
          <w:rFonts w:ascii="Tahoma" w:hAnsi="Tahoma" w:cs="Tahoma"/>
          <w:sz w:val="22"/>
          <w:szCs w:val="22"/>
        </w:rPr>
        <w:t>, además, continúa en 2026 haciendo seguimiento al estado de cosas inconstitucional del sistema penitenciario, carcelario y de los centros de detención transitoria. Ese contexto obliga al legislador a evitar cualquier fórmula que transforme automáticamente un antecedente penal en una nueva orden de encarcelamiento preventivo.</w:t>
      </w:r>
    </w:p>
    <w:p w14:paraId="1442CD73" w14:textId="77777777" w:rsidR="00B72884" w:rsidRPr="00320EE1" w:rsidRDefault="00B72884" w:rsidP="00004695">
      <w:pPr>
        <w:spacing w:after="0" w:line="240" w:lineRule="auto"/>
        <w:jc w:val="both"/>
        <w:rPr>
          <w:rFonts w:ascii="Tahoma" w:hAnsi="Tahoma" w:cs="Tahoma"/>
          <w:sz w:val="22"/>
          <w:szCs w:val="22"/>
        </w:rPr>
      </w:pPr>
    </w:p>
    <w:p w14:paraId="7B675309" w14:textId="4BB018B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Pero evitar automatismos no significa que la reincidencia deba resultar jurídicamente invisible. Los datos muestran que la reiteración delictiva constituye un fenómeno suficientemente significativo para ser considerada dentro de una evaluación de riesgo. En marzo de 2026, 24,2 % de las personas condenadas a cargo del INPEC eran reincidentes, y entre la población condenada intramural la proporción alcanzaba el 25,8 %. Es decir, aproximadamente uno de cada cuatro condenados bajo custodia del INPEC presentaba reincidencia penitenciaria</w:t>
      </w:r>
      <w:r w:rsidR="00057357" w:rsidRPr="00320EE1">
        <w:rPr>
          <w:rStyle w:val="Refdenotaalpie"/>
          <w:rFonts w:ascii="Tahoma" w:hAnsi="Tahoma" w:cs="Tahoma"/>
          <w:sz w:val="22"/>
          <w:szCs w:val="22"/>
        </w:rPr>
        <w:footnoteReference w:id="10"/>
      </w:r>
      <w:r w:rsidRPr="00320EE1">
        <w:rPr>
          <w:rFonts w:ascii="Tahoma" w:hAnsi="Tahoma" w:cs="Tahoma"/>
          <w:sz w:val="22"/>
          <w:szCs w:val="22"/>
        </w:rPr>
        <w:t>.</w:t>
      </w:r>
    </w:p>
    <w:p w14:paraId="72CD5E85" w14:textId="77777777" w:rsidR="00057357" w:rsidRPr="00320EE1" w:rsidRDefault="00057357" w:rsidP="00004695">
      <w:pPr>
        <w:spacing w:after="0" w:line="240" w:lineRule="auto"/>
        <w:jc w:val="both"/>
        <w:rPr>
          <w:rFonts w:ascii="Tahoma" w:hAnsi="Tahoma" w:cs="Tahoma"/>
          <w:sz w:val="22"/>
          <w:szCs w:val="22"/>
        </w:rPr>
      </w:pPr>
    </w:p>
    <w:p w14:paraId="45E98172"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El dato no permite concluir que una persona concreta volverá a delinquir ni puede sustituir la prueba que debe presentarse en una audiencia de medida de aseguramiento. Tampoco la reincidencia penitenciaria estadística equivale jurídicamente a la reincidencia específica relevante creada por este proyecto. Pero sí aporta un elemento de contexto: la reiteración de conductas delictivas existe en una magnitud relevante y el sistema penal necesita herramientas para que el juez pueda valorar ese factor cuando la Fiscalía demuestre una relación específica, reciente y jurídicamente acreditada entre una condena anterior y el nuevo delito.</w:t>
      </w:r>
    </w:p>
    <w:p w14:paraId="4A0ADFBD" w14:textId="77777777" w:rsidR="00DE03A1" w:rsidRPr="00320EE1" w:rsidRDefault="00DE03A1" w:rsidP="00004695">
      <w:pPr>
        <w:spacing w:after="0" w:line="240" w:lineRule="auto"/>
        <w:jc w:val="both"/>
        <w:rPr>
          <w:rFonts w:ascii="Tahoma" w:hAnsi="Tahoma" w:cs="Tahoma"/>
          <w:sz w:val="22"/>
          <w:szCs w:val="22"/>
        </w:rPr>
      </w:pPr>
    </w:p>
    <w:p w14:paraId="2A17D1F3"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Los artículos 15, 16 y 17 construyen para ello una secuencia de garantías muy clara. Primero, el artículo 15 permite que la reincidencia específica relevante sea uno de los elementos que el juez considere al determinar si existe peligro para la comunidad. No ordena una detención. Simplemente impide que una sentencia condenatoria reciente por un delito de la misma naturaleza resulte jurídicamente irrelevante al evaluar el riesgo asociado al nuevo proceso. </w:t>
      </w:r>
    </w:p>
    <w:p w14:paraId="5FCCE8AD" w14:textId="77777777" w:rsidR="00127439" w:rsidRPr="00320EE1" w:rsidRDefault="00127439" w:rsidP="00004695">
      <w:pPr>
        <w:spacing w:after="0" w:line="240" w:lineRule="auto"/>
        <w:jc w:val="both"/>
        <w:rPr>
          <w:rFonts w:ascii="Tahoma" w:hAnsi="Tahoma" w:cs="Tahoma"/>
          <w:sz w:val="22"/>
          <w:szCs w:val="22"/>
        </w:rPr>
      </w:pPr>
    </w:p>
    <w:p w14:paraId="6EDE2174"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Segundo, el artículo 16 establece una barrera adicional: aun cuando exista reincidencia específica relevante, no habrá detención preventiva automática. El juez deberá comprobar los requisitos generales del artículo 308 del Código de Procedimiento Penal y explicar por qué las medidas menos gravosas resultan insuficientes para proteger a la víctima, garantizar la comparecencia, impedir la obstrucción de la justicia o prevenir la continuación de la actividad delictiva. El proyecto lo dice expresamente: la reincidencia específica relevante </w:t>
      </w:r>
      <w:r w:rsidRPr="00320EE1">
        <w:rPr>
          <w:rFonts w:ascii="Tahoma" w:hAnsi="Tahoma" w:cs="Tahoma"/>
          <w:i/>
          <w:iCs/>
          <w:sz w:val="22"/>
          <w:szCs w:val="22"/>
        </w:rPr>
        <w:t>“no será suficiente, por sí sola”</w:t>
      </w:r>
      <w:r w:rsidRPr="00320EE1">
        <w:rPr>
          <w:rFonts w:ascii="Tahoma" w:hAnsi="Tahoma" w:cs="Tahoma"/>
          <w:sz w:val="22"/>
          <w:szCs w:val="22"/>
        </w:rPr>
        <w:t xml:space="preserve"> para privar preventivamente de la libertad. </w:t>
      </w:r>
    </w:p>
    <w:p w14:paraId="51554167" w14:textId="77777777" w:rsidR="00127439" w:rsidRPr="00320EE1" w:rsidRDefault="00127439" w:rsidP="00004695">
      <w:pPr>
        <w:spacing w:after="0" w:line="240" w:lineRule="auto"/>
        <w:jc w:val="both"/>
        <w:rPr>
          <w:rFonts w:ascii="Tahoma" w:hAnsi="Tahoma" w:cs="Tahoma"/>
          <w:sz w:val="22"/>
          <w:szCs w:val="22"/>
        </w:rPr>
      </w:pPr>
    </w:p>
    <w:p w14:paraId="5AB65899"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Tercero, el artículo 17 obliga al juez a detenerse expresamente en la pregunta contraria: ¿puede protegerse adecuadamente el proceso y a las víctimas mediante una medida que no implique encarcelamiento? Debe valorar reforzadamente esas alternativas y motivar la decisión. La condena anterior tampoco podrá ser el único fundamento utilizado para descartarlas. </w:t>
      </w:r>
    </w:p>
    <w:p w14:paraId="56707318" w14:textId="77777777" w:rsidR="0045548C" w:rsidRPr="00320EE1" w:rsidRDefault="0045548C" w:rsidP="00004695">
      <w:pPr>
        <w:spacing w:after="0" w:line="240" w:lineRule="auto"/>
        <w:jc w:val="both"/>
        <w:rPr>
          <w:rFonts w:ascii="Tahoma" w:hAnsi="Tahoma" w:cs="Tahoma"/>
          <w:sz w:val="22"/>
          <w:szCs w:val="22"/>
        </w:rPr>
      </w:pPr>
    </w:p>
    <w:p w14:paraId="2071D05B"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El diseño puede resumirse en una fórmula comprensible: la reincidencia abre la puerta a una valoración más rigurosa; no abre automáticamente la puerta de la cárcel.</w:t>
      </w:r>
    </w:p>
    <w:p w14:paraId="115B7313" w14:textId="77777777" w:rsidR="0045548C" w:rsidRPr="00320EE1" w:rsidRDefault="0045548C" w:rsidP="00004695">
      <w:pPr>
        <w:spacing w:after="0" w:line="240" w:lineRule="auto"/>
        <w:jc w:val="both"/>
        <w:rPr>
          <w:rFonts w:ascii="Tahoma" w:hAnsi="Tahoma" w:cs="Tahoma"/>
          <w:sz w:val="22"/>
          <w:szCs w:val="22"/>
        </w:rPr>
      </w:pPr>
    </w:p>
    <w:p w14:paraId="495306AE" w14:textId="768D63E6"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Esta arquitectura coincide con la jurisprudencia constitucional. En la Sentencia C-469 de 2016, la Corte reconoció que proteger a la comunidad y particularmente a las víctimas constituye una finalidad constitucional legítima de las medidas de aseguramiento. También aceptó que el legislador determine circunstancias que ayuden al juez a valorar cuándo existe un riesgo para la </w:t>
      </w:r>
      <w:r w:rsidRPr="00320EE1">
        <w:rPr>
          <w:rFonts w:ascii="Tahoma" w:hAnsi="Tahoma" w:cs="Tahoma"/>
          <w:sz w:val="22"/>
          <w:szCs w:val="22"/>
        </w:rPr>
        <w:lastRenderedPageBreak/>
        <w:t>comunidad, siempre dentro de un sistema en el que la privación de la libertad resulte necesaria y no pueda ser sustituida por una medida menos gravosa.</w:t>
      </w:r>
    </w:p>
    <w:p w14:paraId="2E82D5D4" w14:textId="77777777" w:rsidR="0045548C" w:rsidRPr="00320EE1" w:rsidRDefault="0045548C" w:rsidP="00004695">
      <w:pPr>
        <w:spacing w:after="0" w:line="240" w:lineRule="auto"/>
        <w:jc w:val="both"/>
        <w:rPr>
          <w:rFonts w:ascii="Tahoma" w:hAnsi="Tahoma" w:cs="Tahoma"/>
          <w:sz w:val="22"/>
          <w:szCs w:val="22"/>
        </w:rPr>
      </w:pPr>
    </w:p>
    <w:p w14:paraId="11340FF7" w14:textId="73431C40"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La Sentencia C-1198 de 2008 fijó el límite complementario. La Corte encontró constitucionalmente insuficiente que una detención preventiva se sustentara únicamente en la gravedad o modalidad abstracta del delito. Exigió que el juez examine las circunstancias concretas, la necesidad de la medida y las finalidades constitucionales que se pretenden proteger. En palabras funcionales para este proyecto: un dato relevante puede integrar la evaluación, pero ningún dato aislado puede reemplazar la evaluación judicial.</w:t>
      </w:r>
    </w:p>
    <w:p w14:paraId="58A51765" w14:textId="77777777" w:rsidR="00663F6A" w:rsidRPr="00320EE1" w:rsidRDefault="00663F6A" w:rsidP="00004695">
      <w:pPr>
        <w:spacing w:after="0" w:line="240" w:lineRule="auto"/>
        <w:jc w:val="both"/>
        <w:rPr>
          <w:rFonts w:ascii="Tahoma" w:hAnsi="Tahoma" w:cs="Tahoma"/>
          <w:sz w:val="22"/>
          <w:szCs w:val="22"/>
        </w:rPr>
      </w:pPr>
    </w:p>
    <w:p w14:paraId="1555268A"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 xml:space="preserve">La Sentencia C-221 de 2017 reiteró esa concepción al señalar que las medidas de aseguramiento tienen una incidencia particularmente intensa sobre la libertad personal y que, justamente por esa razón, su utilización debe ser estrictamente excepcional y sometida a límites que impidan excesos. </w:t>
      </w:r>
    </w:p>
    <w:p w14:paraId="37AD7DD8" w14:textId="77777777" w:rsidR="00663F6A" w:rsidRPr="00320EE1" w:rsidRDefault="00663F6A" w:rsidP="00004695">
      <w:pPr>
        <w:spacing w:after="0" w:line="240" w:lineRule="auto"/>
        <w:jc w:val="both"/>
        <w:rPr>
          <w:rFonts w:ascii="Tahoma" w:hAnsi="Tahoma" w:cs="Tahoma"/>
          <w:sz w:val="22"/>
          <w:szCs w:val="22"/>
        </w:rPr>
      </w:pPr>
    </w:p>
    <w:p w14:paraId="7EB42B42"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El proyecto incorpora esas tres reglas simultáneamente. Reconoce que la seguridad de la comunidad y de las víctimas merece protección; permite que una reiteración delictiva específica y judicialmente acreditada sea considerada al evaluar el riesgo; pero mantiene intacto el deber del juez de demostrar necesidad, proporcionalidad e insuficiencia de alternativas menos restrictivas.</w:t>
      </w:r>
    </w:p>
    <w:p w14:paraId="3D7086BD" w14:textId="77777777" w:rsidR="00663F6A" w:rsidRPr="00320EE1" w:rsidRDefault="00663F6A" w:rsidP="00004695">
      <w:pPr>
        <w:spacing w:after="0" w:line="240" w:lineRule="auto"/>
        <w:jc w:val="both"/>
        <w:rPr>
          <w:rFonts w:ascii="Tahoma" w:hAnsi="Tahoma" w:cs="Tahoma"/>
          <w:sz w:val="22"/>
          <w:szCs w:val="22"/>
        </w:rPr>
      </w:pPr>
    </w:p>
    <w:p w14:paraId="60EC8CD8" w14:textId="77777777" w:rsidR="00004695" w:rsidRPr="00320EE1" w:rsidRDefault="00004695" w:rsidP="00004695">
      <w:pPr>
        <w:spacing w:after="0" w:line="240" w:lineRule="auto"/>
        <w:jc w:val="both"/>
        <w:rPr>
          <w:rFonts w:ascii="Tahoma" w:hAnsi="Tahoma" w:cs="Tahoma"/>
          <w:sz w:val="22"/>
          <w:szCs w:val="22"/>
        </w:rPr>
      </w:pPr>
      <w:r w:rsidRPr="00320EE1">
        <w:rPr>
          <w:rFonts w:ascii="Tahoma" w:hAnsi="Tahoma" w:cs="Tahoma"/>
          <w:sz w:val="22"/>
          <w:szCs w:val="22"/>
        </w:rPr>
        <w:t>Existe además una razón de política criminal para preferir esta fórmula. Un sistema que enfrenta simultáneamente una reincidencia penitenciaria del 24,2 %, 18.600 personas en detención preventiva y una población intramural aproximadamente 27 % superior a su capacidad no puede resolver el problema mediante dos extremos igualmente inadecuados: ignorar toda reiteración delictiva o encarcelar automáticamente a quien tenga un antecedente. La solución responsable consiste en mejorar la información que recibe el juez y elevar la calidad de su decisión.</w:t>
      </w:r>
    </w:p>
    <w:p w14:paraId="5E2F45D4" w14:textId="77777777" w:rsidR="00663F6A" w:rsidRPr="00320EE1" w:rsidRDefault="00663F6A" w:rsidP="00004695">
      <w:pPr>
        <w:spacing w:after="0" w:line="240" w:lineRule="auto"/>
        <w:jc w:val="both"/>
        <w:rPr>
          <w:rFonts w:ascii="Tahoma" w:hAnsi="Tahoma" w:cs="Tahoma"/>
          <w:sz w:val="22"/>
          <w:szCs w:val="22"/>
        </w:rPr>
      </w:pPr>
    </w:p>
    <w:p w14:paraId="76A61207" w14:textId="554442E0" w:rsidR="00EE527A" w:rsidRPr="00320EE1" w:rsidRDefault="00004695" w:rsidP="00436601">
      <w:pPr>
        <w:spacing w:after="0" w:line="240" w:lineRule="auto"/>
        <w:jc w:val="both"/>
        <w:rPr>
          <w:rFonts w:ascii="Tahoma" w:hAnsi="Tahoma" w:cs="Tahoma"/>
          <w:sz w:val="22"/>
          <w:szCs w:val="22"/>
        </w:rPr>
      </w:pPr>
      <w:r w:rsidRPr="00320EE1">
        <w:rPr>
          <w:rFonts w:ascii="Tahoma" w:hAnsi="Tahoma" w:cs="Tahoma"/>
          <w:sz w:val="22"/>
          <w:szCs w:val="22"/>
        </w:rPr>
        <w:t>De esa manera, los artículos 15 a 17 armonizan intereses que no deben presentarse como incompatibles. La víctima tiene derecho a que un riesgo real de repetición sea tomado en serio; la comunidad tiene derecho a ser protegida; y el procesado conserva el derecho a que su libertad no sea restringida por una presunción automática basada en su pasado. Esa es precisamente la función de la valoración judicial reforzada que propone el proyecto.</w:t>
      </w:r>
    </w:p>
    <w:p w14:paraId="77111F06" w14:textId="77777777" w:rsidR="00436601" w:rsidRPr="00320EE1" w:rsidRDefault="00436601" w:rsidP="00436601">
      <w:pPr>
        <w:spacing w:after="0" w:line="240" w:lineRule="auto"/>
        <w:jc w:val="both"/>
        <w:rPr>
          <w:rFonts w:ascii="Tahoma" w:hAnsi="Tahoma" w:cs="Tahoma"/>
          <w:sz w:val="22"/>
          <w:szCs w:val="22"/>
        </w:rPr>
      </w:pPr>
    </w:p>
    <w:p w14:paraId="77FC5C00" w14:textId="711B125F" w:rsidR="00EE527A" w:rsidRPr="00320EE1" w:rsidRDefault="00EE527A" w:rsidP="00EE527A">
      <w:pPr>
        <w:pStyle w:val="Prrafodelista"/>
        <w:keepNext/>
        <w:numPr>
          <w:ilvl w:val="0"/>
          <w:numId w:val="15"/>
        </w:numPr>
        <w:spacing w:after="0" w:line="240" w:lineRule="auto"/>
        <w:jc w:val="both"/>
        <w:rPr>
          <w:rFonts w:ascii="Tahoma" w:hAnsi="Tahoma" w:cs="Tahoma"/>
          <w:b/>
          <w:bCs/>
          <w:sz w:val="22"/>
          <w:szCs w:val="22"/>
          <w:u w:val="single"/>
        </w:rPr>
      </w:pPr>
      <w:r w:rsidRPr="00320EE1">
        <w:rPr>
          <w:rFonts w:ascii="Tahoma" w:hAnsi="Tahoma" w:cs="Tahoma"/>
          <w:b/>
          <w:bCs/>
          <w:sz w:val="22"/>
          <w:szCs w:val="22"/>
          <w:u w:val="single"/>
        </w:rPr>
        <w:t>La priorización procesal busca evitar que las fallas de gestión debiliten la respuesta penal, sin sacrificar garantías</w:t>
      </w:r>
    </w:p>
    <w:p w14:paraId="60E5F5FF" w14:textId="77777777" w:rsidR="00EE527A" w:rsidRPr="00320EE1" w:rsidRDefault="00EE527A" w:rsidP="00EE527A">
      <w:pPr>
        <w:pStyle w:val="Prrafodelista"/>
        <w:keepNext/>
        <w:spacing w:after="0" w:line="240" w:lineRule="auto"/>
        <w:jc w:val="both"/>
        <w:rPr>
          <w:rFonts w:ascii="Tahoma" w:hAnsi="Tahoma" w:cs="Tahoma"/>
          <w:sz w:val="22"/>
          <w:szCs w:val="22"/>
        </w:rPr>
      </w:pPr>
    </w:p>
    <w:p w14:paraId="276275DF"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Una política seria frente a la reincidencia no puede limitarse a modificar penas. De poco sirve que el ordenamiento reconozca jurídicamente la especial gravedad de determinados fenómenos de reiteración delictiva si los procesos llamados a aplicar esas reglas no pueden avanzar oportunamente por problemas de identificación, coordinación, programación de audiencias o verificación de antecedentes judiciales.</w:t>
      </w:r>
    </w:p>
    <w:p w14:paraId="747E96A2" w14:textId="77777777" w:rsidR="00195380" w:rsidRPr="00320EE1" w:rsidRDefault="00195380" w:rsidP="00EE527A">
      <w:pPr>
        <w:keepNext/>
        <w:spacing w:after="0" w:line="240" w:lineRule="auto"/>
        <w:jc w:val="both"/>
        <w:rPr>
          <w:rFonts w:ascii="Tahoma" w:hAnsi="Tahoma" w:cs="Tahoma"/>
          <w:sz w:val="22"/>
          <w:szCs w:val="22"/>
        </w:rPr>
      </w:pPr>
    </w:p>
    <w:p w14:paraId="0750A7E2" w14:textId="31A83706"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Este problema adquiere especial relevancia frente a la dimensión de la carga que actualmente soporta la justicia penal colombiana. Según el Informe de la Rama Judicial al Congreso </w:t>
      </w:r>
      <w:r w:rsidRPr="00320EE1">
        <w:rPr>
          <w:rFonts w:ascii="Tahoma" w:hAnsi="Tahoma" w:cs="Tahoma"/>
          <w:sz w:val="22"/>
          <w:szCs w:val="22"/>
        </w:rPr>
        <w:lastRenderedPageBreak/>
        <w:t>correspondiente a la gestión de 2024, la especialidad penal de la jurisdicción ordinaria inició el año con un inventario de 681.255 procesos, recibió 705.825 ingresos efectivos, registró 600.980 egresos efectivos y terminó el período con 675.093 procesos pendientes de decisión. La justicia penal representó el 37,2 % de los ingresos efectivos de toda la jurisdicción ordinaria y concentró el 35,9 % de su inventario final</w:t>
      </w:r>
      <w:r w:rsidR="00A711D5" w:rsidRPr="00320EE1">
        <w:rPr>
          <w:rStyle w:val="Refdenotaalpie"/>
          <w:rFonts w:ascii="Tahoma" w:hAnsi="Tahoma" w:cs="Tahoma"/>
          <w:sz w:val="22"/>
          <w:szCs w:val="22"/>
        </w:rPr>
        <w:footnoteReference w:id="11"/>
      </w:r>
      <w:r w:rsidRPr="00320EE1">
        <w:rPr>
          <w:rFonts w:ascii="Tahoma" w:hAnsi="Tahoma" w:cs="Tahoma"/>
          <w:sz w:val="22"/>
          <w:szCs w:val="22"/>
        </w:rPr>
        <w:t>.</w:t>
      </w:r>
    </w:p>
    <w:p w14:paraId="566ADA13" w14:textId="77777777" w:rsidR="00195380" w:rsidRPr="00320EE1" w:rsidRDefault="00195380" w:rsidP="00EE527A">
      <w:pPr>
        <w:keepNext/>
        <w:spacing w:after="0" w:line="240" w:lineRule="auto"/>
        <w:jc w:val="both"/>
        <w:rPr>
          <w:rFonts w:ascii="Tahoma" w:hAnsi="Tahoma" w:cs="Tahoma"/>
          <w:sz w:val="22"/>
          <w:szCs w:val="22"/>
        </w:rPr>
      </w:pPr>
    </w:p>
    <w:p w14:paraId="3C454199"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Las cifras permiten dimensionar el reto. No se trata de afirmar que la justicia penal no produzca resultados: durante 2024 fue precisamente la especialidad que concentró el 43,1 % de los egresos efectivos de la jurisdicción ordinaria. El problema es que esa capacidad institucional debe enfrentarse permanentemente a centenares de miles de actuaciones nuevas y a un inventario pendiente igualmente considerable. En un sistema sometido a semejante presión, la gestión de los tiempos, la disponibilidad de información y la capacidad de identificar tempranamente los asuntos que requieren especial atención dejan de ser cuestiones meramente administrativas y pasan a incidir directamente en la eficacia material de la justicia. </w:t>
      </w:r>
    </w:p>
    <w:p w14:paraId="32616FB7" w14:textId="77777777" w:rsidR="00132E18" w:rsidRPr="00320EE1" w:rsidRDefault="00132E18" w:rsidP="00EE527A">
      <w:pPr>
        <w:keepNext/>
        <w:spacing w:after="0" w:line="240" w:lineRule="auto"/>
        <w:jc w:val="both"/>
        <w:rPr>
          <w:rFonts w:ascii="Tahoma" w:hAnsi="Tahoma" w:cs="Tahoma"/>
          <w:sz w:val="22"/>
          <w:szCs w:val="22"/>
        </w:rPr>
      </w:pPr>
    </w:p>
    <w:p w14:paraId="47F262C6" w14:textId="64ED70E9"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Este punto es particularmente sensible cuando existe una persona privada preventivamente de la libertad. La detención preventiva no constituye una pena anticipada y, precisamente por ello, está sometida a límites temporales. La Corte Constitucional ha explicado que esos límites protegen la libertad personal y el derecho a un proceso sin dilaciones injustificadas: una privación cautelar que se prolonga indefinidamente pierde la justificación preventiva que constitucionalmente permite imponerla. El Código de Procedimiento Penal conserva, además, un límite general de duración de las medidas de aseguramiento privativas de la libertad, sujeto a las excepciones y prórrogas expresamente establecidas por la ley. </w:t>
      </w:r>
    </w:p>
    <w:p w14:paraId="42B40366" w14:textId="77777777" w:rsidR="00132E18" w:rsidRPr="00320EE1" w:rsidRDefault="00132E18" w:rsidP="00EE527A">
      <w:pPr>
        <w:keepNext/>
        <w:spacing w:after="0" w:line="240" w:lineRule="auto"/>
        <w:jc w:val="both"/>
        <w:rPr>
          <w:rFonts w:ascii="Tahoma" w:hAnsi="Tahoma" w:cs="Tahoma"/>
          <w:sz w:val="22"/>
          <w:szCs w:val="22"/>
        </w:rPr>
      </w:pPr>
    </w:p>
    <w:p w14:paraId="38C417C1"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Por esa razón, el Proyecto de Ley 054 de 2026 no propone eliminar, suspender ni ampliar las causales de libertad por vencimiento de términos. Tampoco convierte la reincidencia en una autorización para prolongar indefinidamente la detención preventiva. La opción adoptada es distinta: exige que el Estado organice mejor su capacidad institucional para que los procesos en los cuales se atribuya reincidencia específica relevante avancen oportunamente dentro de los términos que la ley ya establece.</w:t>
      </w:r>
    </w:p>
    <w:p w14:paraId="60008100" w14:textId="77777777" w:rsidR="007F7B2E" w:rsidRPr="00320EE1" w:rsidRDefault="007F7B2E" w:rsidP="00EE527A">
      <w:pPr>
        <w:keepNext/>
        <w:spacing w:after="0" w:line="240" w:lineRule="auto"/>
        <w:jc w:val="both"/>
        <w:rPr>
          <w:rFonts w:ascii="Tahoma" w:hAnsi="Tahoma" w:cs="Tahoma"/>
          <w:sz w:val="22"/>
          <w:szCs w:val="22"/>
        </w:rPr>
      </w:pPr>
    </w:p>
    <w:p w14:paraId="55D00813" w14:textId="1A689B96"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Debe hacerse aquí una precisión importante</w:t>
      </w:r>
      <w:r w:rsidR="007F7B2E" w:rsidRPr="00320EE1">
        <w:rPr>
          <w:rFonts w:ascii="Tahoma" w:hAnsi="Tahoma" w:cs="Tahoma"/>
          <w:sz w:val="22"/>
          <w:szCs w:val="22"/>
        </w:rPr>
        <w:t>:</w:t>
      </w:r>
      <w:r w:rsidRPr="00320EE1">
        <w:rPr>
          <w:rFonts w:ascii="Tahoma" w:hAnsi="Tahoma" w:cs="Tahoma"/>
          <w:sz w:val="22"/>
          <w:szCs w:val="22"/>
        </w:rPr>
        <w:t xml:space="preserve"> </w:t>
      </w:r>
      <w:r w:rsidR="007F7B2E" w:rsidRPr="00320EE1">
        <w:rPr>
          <w:rFonts w:ascii="Tahoma" w:hAnsi="Tahoma" w:cs="Tahoma"/>
          <w:sz w:val="22"/>
          <w:szCs w:val="22"/>
        </w:rPr>
        <w:t>l</w:t>
      </w:r>
      <w:r w:rsidRPr="00320EE1">
        <w:rPr>
          <w:rFonts w:ascii="Tahoma" w:hAnsi="Tahoma" w:cs="Tahoma"/>
          <w:sz w:val="22"/>
          <w:szCs w:val="22"/>
        </w:rPr>
        <w:t>a libertad por vencimiento de términos no extingue la acción penal ni equivale jurídicamente a una absolución; el proceso continúa. Sin embargo, que una actuación llegue a ese punto por deficiencias evitables de gestión sí puede comprometer los fines cautelares que justificaron la medida de aseguramiento, aumentar los riesgos para las víctimas, dificultar la realización oportuna del juicio y profundizar la percepción ciudadana de ineficacia de la justicia. Por ello, el objetivo constitucionalmente admisible no consiste en quitarle al procesado la garantía del término, sino en evitar que la administración permita innecesariamente que ese término venza.</w:t>
      </w:r>
    </w:p>
    <w:p w14:paraId="5711B7DF" w14:textId="77777777" w:rsidR="007F7B2E" w:rsidRPr="00320EE1" w:rsidRDefault="007F7B2E" w:rsidP="00EE527A">
      <w:pPr>
        <w:keepNext/>
        <w:spacing w:after="0" w:line="240" w:lineRule="auto"/>
        <w:jc w:val="both"/>
        <w:rPr>
          <w:rFonts w:ascii="Tahoma" w:hAnsi="Tahoma" w:cs="Tahoma"/>
          <w:sz w:val="22"/>
          <w:szCs w:val="22"/>
        </w:rPr>
      </w:pPr>
    </w:p>
    <w:p w14:paraId="28D2AD40"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Ese es el sentido del artículo 20. El proyecto ordena al Ministerio de Justicia y del Derecho, al Consejo Superior de la Judicatura y a la Fiscalía General de la Nación adoptar un protocolo común de priorización, gestión y seguimiento, que deberá comprender identificación temprana de los </w:t>
      </w:r>
      <w:r w:rsidRPr="00320EE1">
        <w:rPr>
          <w:rFonts w:ascii="Tahoma" w:hAnsi="Tahoma" w:cs="Tahoma"/>
          <w:sz w:val="22"/>
          <w:szCs w:val="22"/>
        </w:rPr>
        <w:lastRenderedPageBreak/>
        <w:t xml:space="preserve">casos, verificación oportuna de las sentencias condenatorias ejecutoriadas, priorización en la programación de audiencias, mecanismos frente a maniobras dilatorias, alertas tempranas sobre vencimiento de términos y coordinación entre Fiscalía, Rama Judicial, Policía Nacional, INPEC y demás autoridades competentes. </w:t>
      </w:r>
    </w:p>
    <w:p w14:paraId="403B65DC" w14:textId="77777777" w:rsidR="00C20A66" w:rsidRPr="00320EE1" w:rsidRDefault="00C20A66" w:rsidP="00EE527A">
      <w:pPr>
        <w:keepNext/>
        <w:spacing w:after="0" w:line="240" w:lineRule="auto"/>
        <w:jc w:val="both"/>
        <w:rPr>
          <w:rFonts w:ascii="Tahoma" w:hAnsi="Tahoma" w:cs="Tahoma"/>
          <w:sz w:val="22"/>
          <w:szCs w:val="22"/>
        </w:rPr>
      </w:pPr>
    </w:p>
    <w:p w14:paraId="354D3CC1"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Esta herramienta tiene especial sentido a la luz de la propia arquitectura del proyecto. La reincidencia específica relevante no puede acreditarse mediante una simple anotación policial o por la afirmación de que una persona “tiene antecedentes”. Se requiere identificar una sentencia condenatoria ejecutoriada, comprobar el delito por el cual fue impuesta, establecer la fecha de ejecutoria y determinar su relación jurídica con el nuevo hecho. Una búsqueda tardía, incompleta o fragmentada de esa información puede consumir tiempo procesal precisamente en los asuntos en los cuales la ley exige mayor rigor. Por eso el artículo 20 debe leerse </w:t>
      </w:r>
      <w:proofErr w:type="gramStart"/>
      <w:r w:rsidRPr="00320EE1">
        <w:rPr>
          <w:rFonts w:ascii="Tahoma" w:hAnsi="Tahoma" w:cs="Tahoma"/>
          <w:sz w:val="22"/>
          <w:szCs w:val="22"/>
        </w:rPr>
        <w:t>conjuntamente con</w:t>
      </w:r>
      <w:proofErr w:type="gramEnd"/>
      <w:r w:rsidRPr="00320EE1">
        <w:rPr>
          <w:rFonts w:ascii="Tahoma" w:hAnsi="Tahoma" w:cs="Tahoma"/>
          <w:sz w:val="22"/>
          <w:szCs w:val="22"/>
        </w:rPr>
        <w:t xml:space="preserve"> el artículo 21, que impone mecanismos de certificación e interoperabilidad para que esa información sea segura, actualizada y verificable. </w:t>
      </w:r>
    </w:p>
    <w:p w14:paraId="6C5B7540" w14:textId="77777777" w:rsidR="00C20A66" w:rsidRPr="00320EE1" w:rsidRDefault="00C20A66" w:rsidP="00EE527A">
      <w:pPr>
        <w:keepNext/>
        <w:spacing w:after="0" w:line="240" w:lineRule="auto"/>
        <w:jc w:val="both"/>
        <w:rPr>
          <w:rFonts w:ascii="Tahoma" w:hAnsi="Tahoma" w:cs="Tahoma"/>
          <w:sz w:val="22"/>
          <w:szCs w:val="22"/>
        </w:rPr>
      </w:pPr>
    </w:p>
    <w:p w14:paraId="6F207D0B" w14:textId="4CF7D3EE"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La priorización tampoco constituye una figura extraña a la administración de justicia penal colombiana. La Fiscalía General de la Nación cuenta con una Política de Priorización, formalizada mediante la Directiva 002 de 2023</w:t>
      </w:r>
      <w:r w:rsidR="00D63E11" w:rsidRPr="00320EE1">
        <w:rPr>
          <w:rStyle w:val="Refdenotaalpie"/>
          <w:rFonts w:ascii="Tahoma" w:hAnsi="Tahoma" w:cs="Tahoma"/>
          <w:sz w:val="22"/>
          <w:szCs w:val="22"/>
        </w:rPr>
        <w:footnoteReference w:id="12"/>
      </w:r>
      <w:r w:rsidRPr="00320EE1">
        <w:rPr>
          <w:rFonts w:ascii="Tahoma" w:hAnsi="Tahoma" w:cs="Tahoma"/>
          <w:sz w:val="22"/>
          <w:szCs w:val="22"/>
        </w:rPr>
        <w:t>. Más recientemente, en su Informe de Gestión 2024-2025</w:t>
      </w:r>
      <w:r w:rsidR="00D63E11" w:rsidRPr="00320EE1">
        <w:rPr>
          <w:rStyle w:val="Refdenotaalpie"/>
          <w:rFonts w:ascii="Tahoma" w:hAnsi="Tahoma" w:cs="Tahoma"/>
          <w:sz w:val="22"/>
          <w:szCs w:val="22"/>
        </w:rPr>
        <w:footnoteReference w:id="13"/>
      </w:r>
      <w:r w:rsidRPr="00320EE1">
        <w:rPr>
          <w:rFonts w:ascii="Tahoma" w:hAnsi="Tahoma" w:cs="Tahoma"/>
          <w:sz w:val="22"/>
          <w:szCs w:val="22"/>
        </w:rPr>
        <w:t>, la entidad ubicó entre sus cinco pilares estratégicos la priorización de investigaciones con enfoque territorial, el fortalecimiento del análisis criminal mediante tecnología y la dinamización de mecanismos de terminación anticipada. La iniciativa legislativa, por tanto, no inventa una lógica administrativa desconocida: la utiliza de manera focalizada para un fenómeno definido por la ley y exige coordinación con los demás actores del sistema penal.</w:t>
      </w:r>
    </w:p>
    <w:p w14:paraId="0AC3A0B2" w14:textId="77777777" w:rsidR="00995A4E" w:rsidRPr="00320EE1" w:rsidRDefault="00995A4E" w:rsidP="00EE527A">
      <w:pPr>
        <w:keepNext/>
        <w:spacing w:after="0" w:line="240" w:lineRule="auto"/>
        <w:jc w:val="both"/>
        <w:rPr>
          <w:rFonts w:ascii="Tahoma" w:hAnsi="Tahoma" w:cs="Tahoma"/>
          <w:sz w:val="22"/>
          <w:szCs w:val="22"/>
        </w:rPr>
      </w:pPr>
    </w:p>
    <w:p w14:paraId="4C6A1365"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Existe, además, una diferencia sustancial entre priorizar y prejuzgar. La prioridad que propone el proyecto es de gestión, no de decisión. Que una audiencia sea programada oportunamente no significa que el procesado sea culpable; que una sentencia anterior sea verificada de manera anticipada no sustituye la prueba del nuevo delito; y que exista seguimiento sobre los términos no reduce las cargas probatorias de la Fiscalía ni altera la independencia del juez.</w:t>
      </w:r>
    </w:p>
    <w:p w14:paraId="735C5A8F" w14:textId="77777777" w:rsidR="00995A4E" w:rsidRPr="00320EE1" w:rsidRDefault="00995A4E" w:rsidP="00EE527A">
      <w:pPr>
        <w:keepNext/>
        <w:spacing w:after="0" w:line="240" w:lineRule="auto"/>
        <w:jc w:val="both"/>
        <w:rPr>
          <w:rFonts w:ascii="Tahoma" w:hAnsi="Tahoma" w:cs="Tahoma"/>
          <w:sz w:val="22"/>
          <w:szCs w:val="22"/>
        </w:rPr>
      </w:pPr>
    </w:p>
    <w:p w14:paraId="1C76E209"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Por eso el propio artículo 20 incorpora una barrera expresa: el protocolo tendrá naturaleza exclusivamente administrativa y no podrá modificar competencias judiciales, reglas de reparto, términos procesales, causales de libertad, estándares probatorios ni criterios de valoración judicial. Tampoco podrá desconocer la autonomía judicial, la presunción de inocencia, el debido proceso, la defensa técnica o los derechos de las víctimas. </w:t>
      </w:r>
    </w:p>
    <w:p w14:paraId="78FD3F6F" w14:textId="77777777" w:rsidR="00995A4E" w:rsidRPr="00320EE1" w:rsidRDefault="00995A4E" w:rsidP="00EE527A">
      <w:pPr>
        <w:keepNext/>
        <w:spacing w:after="0" w:line="240" w:lineRule="auto"/>
        <w:jc w:val="both"/>
        <w:rPr>
          <w:rFonts w:ascii="Tahoma" w:hAnsi="Tahoma" w:cs="Tahoma"/>
          <w:sz w:val="22"/>
          <w:szCs w:val="22"/>
        </w:rPr>
      </w:pPr>
    </w:p>
    <w:p w14:paraId="17CA2CAB"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La solución propuesta resulta así más garantista que una respuesta legislativa basada en ampliar términos de detención o restringir causales de libertad. El proyecto exige eficiencia al Estado antes que reducir garantías al ciudadano. Frente a un sistema penal que cerró 2024 con más de 675 mil asuntos pendientes de decisión, la política criminal no puede resignarse a que la congestión sea una condición inevitable del proceso. Debe incorporar instrumentos de gestión capaces de </w:t>
      </w:r>
      <w:r w:rsidRPr="00320EE1">
        <w:rPr>
          <w:rFonts w:ascii="Tahoma" w:hAnsi="Tahoma" w:cs="Tahoma"/>
          <w:sz w:val="22"/>
          <w:szCs w:val="22"/>
        </w:rPr>
        <w:lastRenderedPageBreak/>
        <w:t xml:space="preserve">identificar los asuntos relevantes, disponer oportunamente de la información necesaria, coordinar a las instituciones y prevenir dilaciones evitables. </w:t>
      </w:r>
    </w:p>
    <w:p w14:paraId="6514228A" w14:textId="77777777" w:rsidR="00D63E11" w:rsidRPr="00320EE1" w:rsidRDefault="00D63E11" w:rsidP="00EE527A">
      <w:pPr>
        <w:keepNext/>
        <w:spacing w:after="0" w:line="240" w:lineRule="auto"/>
        <w:jc w:val="both"/>
        <w:rPr>
          <w:rFonts w:ascii="Tahoma" w:hAnsi="Tahoma" w:cs="Tahoma"/>
          <w:sz w:val="22"/>
          <w:szCs w:val="22"/>
        </w:rPr>
      </w:pPr>
    </w:p>
    <w:p w14:paraId="422054D8"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En definitiva, la finalidad del artículo 20 puede resumirse en una regla sencilla: los términos se respetan; lo que debe evitarse es que la desorganización institucional los haga vencer. La reincidencia específica relevante no justifica disminuir las garantías procesales, pero sí justifica exigir del aparato judicial una gestión especialmente diligente frente a procesos en los cuales existe una reiteración delictiva reciente, específica y jurídicamente acreditable.</w:t>
      </w:r>
    </w:p>
    <w:p w14:paraId="6D63A933" w14:textId="507DEB43" w:rsidR="00EE527A" w:rsidRPr="00320EE1" w:rsidRDefault="00EE527A" w:rsidP="00EE527A">
      <w:pPr>
        <w:keepNext/>
        <w:spacing w:after="0" w:line="240" w:lineRule="auto"/>
        <w:jc w:val="both"/>
        <w:rPr>
          <w:rFonts w:ascii="Tahoma" w:hAnsi="Tahoma" w:cs="Tahoma"/>
          <w:sz w:val="22"/>
          <w:szCs w:val="22"/>
        </w:rPr>
      </w:pPr>
    </w:p>
    <w:p w14:paraId="235EF55A" w14:textId="465F069B" w:rsidR="00EE527A" w:rsidRPr="00320EE1" w:rsidRDefault="00EE527A" w:rsidP="00D63E11">
      <w:pPr>
        <w:pStyle w:val="Prrafodelista"/>
        <w:keepNext/>
        <w:numPr>
          <w:ilvl w:val="0"/>
          <w:numId w:val="15"/>
        </w:numPr>
        <w:spacing w:after="0" w:line="240" w:lineRule="auto"/>
        <w:jc w:val="both"/>
        <w:rPr>
          <w:rFonts w:ascii="Tahoma" w:hAnsi="Tahoma" w:cs="Tahoma"/>
          <w:b/>
          <w:bCs/>
          <w:sz w:val="22"/>
          <w:szCs w:val="22"/>
          <w:u w:val="single"/>
        </w:rPr>
      </w:pPr>
      <w:r w:rsidRPr="00320EE1">
        <w:rPr>
          <w:rFonts w:ascii="Tahoma" w:hAnsi="Tahoma" w:cs="Tahoma"/>
          <w:b/>
          <w:bCs/>
          <w:sz w:val="22"/>
          <w:szCs w:val="22"/>
          <w:u w:val="single"/>
        </w:rPr>
        <w:t>El procedimiento especial abreviado permite una respuesta más oportuna sin disminuir el derecho de defensa</w:t>
      </w:r>
    </w:p>
    <w:p w14:paraId="586218D2" w14:textId="77777777" w:rsidR="00D63E11" w:rsidRPr="00320EE1" w:rsidRDefault="00D63E11" w:rsidP="00D63E11">
      <w:pPr>
        <w:pStyle w:val="Prrafodelista"/>
        <w:keepNext/>
        <w:spacing w:after="0" w:line="240" w:lineRule="auto"/>
        <w:jc w:val="both"/>
        <w:rPr>
          <w:rFonts w:ascii="Tahoma" w:hAnsi="Tahoma" w:cs="Tahoma"/>
          <w:sz w:val="22"/>
          <w:szCs w:val="22"/>
        </w:rPr>
      </w:pPr>
    </w:p>
    <w:p w14:paraId="0CF73FDC"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El segundo componente de eficiencia procesal de la iniciativa consiste en asegurar la aplicación del procedimiento especial abreviado a un grupo determinado de conductas cuando se atribuya reincidencia específica relevante. Tampoco aquí el proyecto crea un procedimiento excepcional para una categoría de personas ni reduce las garantías de quien es procesado. Utiliza un mecanismo que existe en Colombia desde la Ley 1826 de 2017 y que fue creado precisamente para hacer más ágil la investigación y el juzgamiento mediante la concentración de etapas procesales. </w:t>
      </w:r>
    </w:p>
    <w:p w14:paraId="69672D2C" w14:textId="77777777" w:rsidR="00D63E11" w:rsidRPr="00320EE1" w:rsidRDefault="00D63E11" w:rsidP="00EE527A">
      <w:pPr>
        <w:keepNext/>
        <w:spacing w:after="0" w:line="240" w:lineRule="auto"/>
        <w:jc w:val="both"/>
        <w:rPr>
          <w:rFonts w:ascii="Tahoma" w:hAnsi="Tahoma" w:cs="Tahoma"/>
          <w:sz w:val="22"/>
          <w:szCs w:val="22"/>
        </w:rPr>
      </w:pPr>
    </w:p>
    <w:p w14:paraId="04599D50" w14:textId="5F3E555F"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La necesidad de contar con canales procesales eficientes resulta evidente cuando se observa el volumen de algunas de las conductas comprendidas por la iniciativa. En 2025 se registraron en Colombia 290.886 hurtos a personas, 141.361 casos de violencia intrafamiliar y 89.714 lesiones comunes. Solo esas tres categorías estadísticas sumaron 521.961 registros durante un año</w:t>
      </w:r>
      <w:r w:rsidR="0067449D" w:rsidRPr="00320EE1">
        <w:rPr>
          <w:rStyle w:val="Refdenotaalpie"/>
          <w:rFonts w:ascii="Tahoma" w:hAnsi="Tahoma" w:cs="Tahoma"/>
          <w:sz w:val="22"/>
          <w:szCs w:val="22"/>
        </w:rPr>
        <w:footnoteReference w:id="14"/>
      </w:r>
      <w:r w:rsidR="0067449D" w:rsidRPr="00320EE1">
        <w:rPr>
          <w:rFonts w:ascii="Tahoma" w:hAnsi="Tahoma" w:cs="Tahoma"/>
          <w:sz w:val="22"/>
          <w:szCs w:val="22"/>
        </w:rPr>
        <w:t>.</w:t>
      </w:r>
      <w:r w:rsidRPr="00320EE1">
        <w:rPr>
          <w:rFonts w:ascii="Tahoma" w:hAnsi="Tahoma" w:cs="Tahoma"/>
          <w:sz w:val="22"/>
          <w:szCs w:val="22"/>
        </w:rPr>
        <w:t xml:space="preserve"> Estas cifras no equivalen al número de procesos judicializados ni todas las categorías estadísticas coinciden exactamente con cada modalidad dogmática incluida en el Código Penal, pero sí permiten dimensionar el volumen del fenómeno al cual debe responder el sistema penal. </w:t>
      </w:r>
    </w:p>
    <w:p w14:paraId="31238CFC" w14:textId="77777777" w:rsidR="0067449D" w:rsidRPr="00320EE1" w:rsidRDefault="0067449D" w:rsidP="00EE527A">
      <w:pPr>
        <w:keepNext/>
        <w:spacing w:after="0" w:line="240" w:lineRule="auto"/>
        <w:jc w:val="both"/>
        <w:rPr>
          <w:rFonts w:ascii="Tahoma" w:hAnsi="Tahoma" w:cs="Tahoma"/>
          <w:sz w:val="22"/>
          <w:szCs w:val="22"/>
        </w:rPr>
      </w:pPr>
    </w:p>
    <w:p w14:paraId="7CF4B6FD" w14:textId="116A06D4"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Precisamente frente a conductas de frecuente ocurrencia, obligar al aparato judicial a reproducir actuaciones procesales que pueden válidamente concentrarse supone utilizar tiempo de fiscales, jueces, defensores y víctimas sin una ganancia equivalente en garantías. Esa fue la lógica que dio origen al procedimiento abreviado. En su diseño legislativo se establecieron dos audiencias principales: una audiencia concentrada, en la cual se desarrollan funciones correspondientes a la acusación, descubrimiento y solicitudes probatorias, y posteriormente el juicio oral, en el que se practica y controvierte la prueba y se adopta la decisión de fondo. La formulación separada de imputación desaparece como regla general y la comunicación de los cargos se realiza mediante el traslado del escrito de acusación</w:t>
      </w:r>
      <w:r w:rsidR="002A264D" w:rsidRPr="00320EE1">
        <w:rPr>
          <w:rStyle w:val="Refdenotaalpie"/>
          <w:rFonts w:ascii="Tahoma" w:hAnsi="Tahoma" w:cs="Tahoma"/>
          <w:sz w:val="22"/>
          <w:szCs w:val="22"/>
        </w:rPr>
        <w:footnoteReference w:id="15"/>
      </w:r>
      <w:r w:rsidRPr="00320EE1">
        <w:rPr>
          <w:rFonts w:ascii="Tahoma" w:hAnsi="Tahoma" w:cs="Tahoma"/>
          <w:sz w:val="22"/>
          <w:szCs w:val="22"/>
        </w:rPr>
        <w:t>.</w:t>
      </w:r>
    </w:p>
    <w:p w14:paraId="513C9AAC" w14:textId="77777777" w:rsidR="008E3B60" w:rsidRPr="00320EE1" w:rsidRDefault="008E3B60" w:rsidP="00EE527A">
      <w:pPr>
        <w:keepNext/>
        <w:spacing w:after="0" w:line="240" w:lineRule="auto"/>
        <w:jc w:val="both"/>
        <w:rPr>
          <w:rFonts w:ascii="Tahoma" w:hAnsi="Tahoma" w:cs="Tahoma"/>
          <w:sz w:val="22"/>
          <w:szCs w:val="22"/>
        </w:rPr>
      </w:pPr>
    </w:p>
    <w:p w14:paraId="531CF933" w14:textId="3C75D8B2"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No se trata únicamente de una interpretación histórica. En la Sentencia T-521 de 2025, la Corte Constitucional volvió a describir la finalidad de la Ley 1826 de 2017 y señaló expresamente que sus disposiciones están dirigidas a promover “la descongestión judicial y la eficiencia en las </w:t>
      </w:r>
      <w:r w:rsidRPr="00320EE1">
        <w:rPr>
          <w:rFonts w:ascii="Tahoma" w:hAnsi="Tahoma" w:cs="Tahoma"/>
          <w:sz w:val="22"/>
          <w:szCs w:val="22"/>
        </w:rPr>
        <w:lastRenderedPageBreak/>
        <w:t>decisiones judiciales, mediante la simplificación y reducción de los términos e instancias procesales”, con el propósito de lograr una administración de justicia expedita y diligente.</w:t>
      </w:r>
    </w:p>
    <w:p w14:paraId="7683F65C" w14:textId="77777777" w:rsidR="002A264D" w:rsidRPr="00320EE1" w:rsidRDefault="002A264D" w:rsidP="00EE527A">
      <w:pPr>
        <w:keepNext/>
        <w:spacing w:after="0" w:line="240" w:lineRule="auto"/>
        <w:jc w:val="both"/>
        <w:rPr>
          <w:rFonts w:ascii="Tahoma" w:hAnsi="Tahoma" w:cs="Tahoma"/>
          <w:sz w:val="22"/>
          <w:szCs w:val="22"/>
        </w:rPr>
      </w:pPr>
    </w:p>
    <w:p w14:paraId="19910BF2" w14:textId="16BDD615"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El procedimiento conserva, no obstante, espacios concretos para preparar y ejercer la defensa. Después del traslado de la acusación, la Fiscalía debe presentar el escrito ante el juez dentro de los cinco días siguientes y el acusado cuenta con 60 días para preparar su defensa. Posteriormente se realiza la audiencia concentrada, en la que pueden formularse observaciones frente a la acusación y al descubrimiento probatorio, presentarse las pruebas de la defensa, alegarse nulidades, debatirse las solicitudes probatorias e interponerse los recursos correspondientes. Terminada esa etapa, el juicio oral debe ser programado dentro de los 30 días siguientes</w:t>
      </w:r>
      <w:r w:rsidR="004303BC" w:rsidRPr="00320EE1">
        <w:rPr>
          <w:rStyle w:val="Refdenotaalpie"/>
          <w:rFonts w:ascii="Tahoma" w:hAnsi="Tahoma" w:cs="Tahoma"/>
          <w:sz w:val="22"/>
          <w:szCs w:val="22"/>
        </w:rPr>
        <w:footnoteReference w:id="16"/>
      </w:r>
      <w:r w:rsidRPr="00320EE1">
        <w:rPr>
          <w:rFonts w:ascii="Tahoma" w:hAnsi="Tahoma" w:cs="Tahoma"/>
          <w:sz w:val="22"/>
          <w:szCs w:val="22"/>
        </w:rPr>
        <w:t xml:space="preserve">. </w:t>
      </w:r>
    </w:p>
    <w:p w14:paraId="72D02CC8" w14:textId="77777777" w:rsidR="002A264D" w:rsidRPr="00320EE1" w:rsidRDefault="002A264D" w:rsidP="00EE527A">
      <w:pPr>
        <w:keepNext/>
        <w:spacing w:after="0" w:line="240" w:lineRule="auto"/>
        <w:jc w:val="both"/>
        <w:rPr>
          <w:rFonts w:ascii="Tahoma" w:hAnsi="Tahoma" w:cs="Tahoma"/>
          <w:sz w:val="22"/>
          <w:szCs w:val="22"/>
        </w:rPr>
      </w:pPr>
    </w:p>
    <w:p w14:paraId="6C840466" w14:textId="303F9119"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La propia legislación demuestra que abreviado no significa carente de garantías. El artículo 548 del Código de Procedimiento Penal establece para esta ruta un régimen estricto de control temporal: la medida de aseguramiento privativa de la libertad no puede exceder, como regla del procedimiento, 180 días, y contempla causales específicas de libertad cuando hayan transcurrido 70 días desde el traslado de la acusación sin iniciar la audiencia concentrada, 30 días desde su terminación sin iniciar el juicio oral o 75 días desde el inicio del juicio sin que se haya corrido traslado de la sentencia, sin perjuicio de las reglas especiales previstas por la propia disposición</w:t>
      </w:r>
      <w:r w:rsidR="002E6EC9" w:rsidRPr="00320EE1">
        <w:rPr>
          <w:rStyle w:val="Refdenotaalpie"/>
          <w:rFonts w:ascii="Tahoma" w:hAnsi="Tahoma" w:cs="Tahoma"/>
          <w:sz w:val="22"/>
          <w:szCs w:val="22"/>
        </w:rPr>
        <w:footnoteReference w:id="17"/>
      </w:r>
      <w:r w:rsidRPr="00320EE1">
        <w:rPr>
          <w:rFonts w:ascii="Tahoma" w:hAnsi="Tahoma" w:cs="Tahoma"/>
          <w:sz w:val="22"/>
          <w:szCs w:val="22"/>
        </w:rPr>
        <w:t xml:space="preserve">. </w:t>
      </w:r>
    </w:p>
    <w:p w14:paraId="6EBCA619" w14:textId="77777777" w:rsidR="004303BC" w:rsidRPr="00320EE1" w:rsidRDefault="004303BC" w:rsidP="00EE527A">
      <w:pPr>
        <w:keepNext/>
        <w:spacing w:after="0" w:line="240" w:lineRule="auto"/>
        <w:jc w:val="both"/>
        <w:rPr>
          <w:rFonts w:ascii="Tahoma" w:hAnsi="Tahoma" w:cs="Tahoma"/>
          <w:sz w:val="22"/>
          <w:szCs w:val="22"/>
        </w:rPr>
      </w:pPr>
    </w:p>
    <w:p w14:paraId="1FA9B3D1"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Es decir, el procedimiento especial abreviado opera bajo una lógica coherente: menos dispersión procesal, mayor concentración de actuaciones y términos más definidos, pero manteniendo acusación, descubrimiento probatorio, preparación de la defensa, contradicción, juicio, sentencia y recursos.</w:t>
      </w:r>
    </w:p>
    <w:p w14:paraId="1ADE6AAB" w14:textId="77777777" w:rsidR="002E6EC9" w:rsidRPr="00320EE1" w:rsidRDefault="002E6EC9" w:rsidP="00EE527A">
      <w:pPr>
        <w:keepNext/>
        <w:spacing w:after="0" w:line="240" w:lineRule="auto"/>
        <w:jc w:val="both"/>
        <w:rPr>
          <w:rFonts w:ascii="Tahoma" w:hAnsi="Tahoma" w:cs="Tahoma"/>
          <w:sz w:val="22"/>
          <w:szCs w:val="22"/>
        </w:rPr>
      </w:pPr>
    </w:p>
    <w:p w14:paraId="4C642F05"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El Proyecto de Ley 054 de 2026 aprovecha esa estructura sin convertirla en una sanción adicional por reincidencia. El artículo 18 dispone su aplicación, cuando se impute reincidencia específica relevante, respecto de hurto, hurto calificado, hurto agravado en las hipótesis allí señaladas, receptación, lesiones personales dolosas, violencia intrafamiliar y los delitos contenidos en el Título VII Bis del Código Penal, siempre que no concurran con una conducta sometida al procedimiento ordinario. </w:t>
      </w:r>
    </w:p>
    <w:p w14:paraId="0CCC0EAB" w14:textId="77777777" w:rsidR="002E6EC9" w:rsidRPr="00320EE1" w:rsidRDefault="002E6EC9" w:rsidP="00EE527A">
      <w:pPr>
        <w:keepNext/>
        <w:spacing w:after="0" w:line="240" w:lineRule="auto"/>
        <w:jc w:val="both"/>
        <w:rPr>
          <w:rFonts w:ascii="Tahoma" w:hAnsi="Tahoma" w:cs="Tahoma"/>
          <w:sz w:val="22"/>
          <w:szCs w:val="22"/>
        </w:rPr>
      </w:pPr>
    </w:p>
    <w:p w14:paraId="3A6CA158"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La regla tiene una razón concreta. La atribución de reincidencia no debe producir, paradójicamente, un procedimiento más lento en delitos para los cuales el ordenamiento dispone de una vía concentrada y jurídicamente garantista. El hecho de que exista una condena anterior relevante no aumenta, por sí mismo, la complejidad probatoria del nuevo delito hasta el punto de hacer indispensable multiplicar audiencias. Lo que agrega la reincidencia es un elemento jurídico adicional que debe ser acreditado y controvertido correctamente.</w:t>
      </w:r>
    </w:p>
    <w:p w14:paraId="67D35271" w14:textId="77777777" w:rsidR="00C26B7E" w:rsidRPr="00320EE1" w:rsidRDefault="00C26B7E" w:rsidP="00EE527A">
      <w:pPr>
        <w:keepNext/>
        <w:spacing w:after="0" w:line="240" w:lineRule="auto"/>
        <w:jc w:val="both"/>
        <w:rPr>
          <w:rFonts w:ascii="Tahoma" w:hAnsi="Tahoma" w:cs="Tahoma"/>
          <w:sz w:val="22"/>
          <w:szCs w:val="22"/>
        </w:rPr>
      </w:pPr>
    </w:p>
    <w:p w14:paraId="74766E3A"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Y es justamente allí donde el proyecto introduce una garantía adicional. La Fiscalía no podrá limitarse a afirmar que el procesado es reincidente. Desde el traslado del escrito de acusación deberá identificar de manera precisa cuál es la sentencia condenatoria ejecutoriada que sustenta esa condición y descubrir los elementos que permitan verificar su existencia, el delito por el cual </w:t>
      </w:r>
      <w:r w:rsidRPr="00320EE1">
        <w:rPr>
          <w:rFonts w:ascii="Tahoma" w:hAnsi="Tahoma" w:cs="Tahoma"/>
          <w:sz w:val="22"/>
          <w:szCs w:val="22"/>
        </w:rPr>
        <w:lastRenderedPageBreak/>
        <w:t xml:space="preserve">fue proferida, su fecha de ejecutoria y su vigencia jurídica. La defensa conoce así desde el comienzo de esta fase no solo los cargos relativos al nuevo hecho, sino también el fundamento documental concreto de la reincidencia que se pretende atribuir, y puede discutirlo en las oportunidades procesales correspondientes. </w:t>
      </w:r>
    </w:p>
    <w:p w14:paraId="0177534A" w14:textId="77777777" w:rsidR="001A0682" w:rsidRPr="00320EE1" w:rsidRDefault="001A0682" w:rsidP="00EE527A">
      <w:pPr>
        <w:keepNext/>
        <w:spacing w:after="0" w:line="240" w:lineRule="auto"/>
        <w:jc w:val="both"/>
        <w:rPr>
          <w:rFonts w:ascii="Tahoma" w:hAnsi="Tahoma" w:cs="Tahoma"/>
          <w:sz w:val="22"/>
          <w:szCs w:val="22"/>
        </w:rPr>
      </w:pPr>
    </w:p>
    <w:p w14:paraId="7E6FAF49"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Este elemento es importante porque convierte la celeridad en celeridad con información. El proyecto no acelera el proceso ocultando elementos a la defensa ni presumiendo la existencia del antecedente; por el contrario, obliga a ponerlo tempranamente sobre la mesa. El procedimiento es más concentrado, pero la contradicción sobre la reincidencia se vuelve más explícita.</w:t>
      </w:r>
    </w:p>
    <w:p w14:paraId="248D20CC" w14:textId="77777777" w:rsidR="001A0682" w:rsidRPr="00320EE1" w:rsidRDefault="001A0682" w:rsidP="00EE527A">
      <w:pPr>
        <w:keepNext/>
        <w:spacing w:after="0" w:line="240" w:lineRule="auto"/>
        <w:jc w:val="both"/>
        <w:rPr>
          <w:rFonts w:ascii="Tahoma" w:hAnsi="Tahoma" w:cs="Tahoma"/>
          <w:sz w:val="22"/>
          <w:szCs w:val="22"/>
        </w:rPr>
      </w:pPr>
    </w:p>
    <w:p w14:paraId="1DA48C6A" w14:textId="56F62C3D"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La utilización de este instrumento coincide, además, con la comprensión institucional actual de la Fiscalía. En su programación de formación para 2026, la propia entidad mantiene un curso específico sobre la Ley 1826 de 2017 y define entre sus objetivos que fiscales y asistentes puedan aplicar adecuadamente el procedimiento abreviado para contribuir a la descongestión del sistema penal acusatorio y a una respuesta eficaz y oportuna de la administración de justicia</w:t>
      </w:r>
      <w:r w:rsidR="00AC1205" w:rsidRPr="00320EE1">
        <w:rPr>
          <w:rStyle w:val="Refdenotaalpie"/>
          <w:rFonts w:ascii="Tahoma" w:hAnsi="Tahoma" w:cs="Tahoma"/>
          <w:sz w:val="22"/>
          <w:szCs w:val="22"/>
        </w:rPr>
        <w:footnoteReference w:id="18"/>
      </w:r>
      <w:r w:rsidRPr="00320EE1">
        <w:rPr>
          <w:rFonts w:ascii="Tahoma" w:hAnsi="Tahoma" w:cs="Tahoma"/>
          <w:sz w:val="22"/>
          <w:szCs w:val="22"/>
        </w:rPr>
        <w:t xml:space="preserve">. </w:t>
      </w:r>
    </w:p>
    <w:p w14:paraId="2E27C7E2" w14:textId="77777777" w:rsidR="001A0682" w:rsidRPr="00320EE1" w:rsidRDefault="001A0682" w:rsidP="00EE527A">
      <w:pPr>
        <w:keepNext/>
        <w:spacing w:after="0" w:line="240" w:lineRule="auto"/>
        <w:jc w:val="both"/>
        <w:rPr>
          <w:rFonts w:ascii="Tahoma" w:hAnsi="Tahoma" w:cs="Tahoma"/>
          <w:sz w:val="22"/>
          <w:szCs w:val="22"/>
        </w:rPr>
      </w:pPr>
    </w:p>
    <w:p w14:paraId="4CAB92F4" w14:textId="55300474"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 xml:space="preserve">Esto adquiere especial relevancia frente a las cifras generales de la justicia penal. Si en 2024 la especialidad penal recibió más de 705 mil ingresos efectivos y terminó con 675 mil asuntos pendientes de decisión, toda herramienta procesal ya existente que permita concentrar actuaciones sin eliminar etapas esenciales del contradictorio constituye un recurso legítimo de política criminal. </w:t>
      </w:r>
    </w:p>
    <w:p w14:paraId="589FC912" w14:textId="77777777" w:rsidR="009D4359" w:rsidRPr="00320EE1" w:rsidRDefault="009D4359" w:rsidP="00EE527A">
      <w:pPr>
        <w:keepNext/>
        <w:spacing w:after="0" w:line="240" w:lineRule="auto"/>
        <w:jc w:val="both"/>
        <w:rPr>
          <w:rFonts w:ascii="Tahoma" w:hAnsi="Tahoma" w:cs="Tahoma"/>
          <w:sz w:val="22"/>
          <w:szCs w:val="22"/>
        </w:rPr>
      </w:pPr>
    </w:p>
    <w:p w14:paraId="6D316950"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Por tanto, el artículo 18 no busca procesar “más rápido” a una persona porque tenga un determinado perfil o pasado penal. Busca algo diferente: que ciertos nuevos delitos, cometidos bajo las estrictas condiciones objetivas de reincidencia específica relevante, puedan ser juzgados mediante un procedimiento legal previamente existente, concentrado y sometido a términos claros, sin que la sola atribución de reincidencia obligue a abandonar esa herramienta de eficiencia.</w:t>
      </w:r>
    </w:p>
    <w:p w14:paraId="43F575CE" w14:textId="77777777" w:rsidR="009D4359" w:rsidRPr="00320EE1" w:rsidRDefault="009D4359" w:rsidP="00EE527A">
      <w:pPr>
        <w:keepNext/>
        <w:spacing w:after="0" w:line="240" w:lineRule="auto"/>
        <w:jc w:val="both"/>
        <w:rPr>
          <w:rFonts w:ascii="Tahoma" w:hAnsi="Tahoma" w:cs="Tahoma"/>
          <w:sz w:val="22"/>
          <w:szCs w:val="22"/>
        </w:rPr>
      </w:pPr>
    </w:p>
    <w:p w14:paraId="1BA217A1" w14:textId="77777777" w:rsidR="00EE527A" w:rsidRPr="00320EE1" w:rsidRDefault="00EE527A" w:rsidP="00EE527A">
      <w:pPr>
        <w:keepNext/>
        <w:spacing w:after="0" w:line="240" w:lineRule="auto"/>
        <w:jc w:val="both"/>
        <w:rPr>
          <w:rFonts w:ascii="Tahoma" w:hAnsi="Tahoma" w:cs="Tahoma"/>
          <w:sz w:val="22"/>
          <w:szCs w:val="22"/>
        </w:rPr>
      </w:pPr>
      <w:r w:rsidRPr="00320EE1">
        <w:rPr>
          <w:rFonts w:ascii="Tahoma" w:hAnsi="Tahoma" w:cs="Tahoma"/>
          <w:sz w:val="22"/>
          <w:szCs w:val="22"/>
        </w:rPr>
        <w:t>Así, la celeridad y las garantías no aparecen como objetivos contrapuestos. Una justicia excesivamente tardía afecta a todos: a la víctima que espera una decisión, a la sociedad que exige efectividad y también al procesado que tiene derecho a que su situación jurídica sea definida dentro de un plazo razonable. La respuesta del proyecto consiste precisamente en compatibilizar esos intereses: menos dilación, mayor claridad desde la acusación y pleno derecho de contradicción.</w:t>
      </w:r>
    </w:p>
    <w:p w14:paraId="2381677B" w14:textId="77777777" w:rsidR="00EE527A" w:rsidRPr="00320EE1" w:rsidRDefault="00EE527A" w:rsidP="002A71D3">
      <w:pPr>
        <w:keepNext/>
        <w:spacing w:after="0" w:line="240" w:lineRule="auto"/>
        <w:rPr>
          <w:rFonts w:ascii="Tahoma" w:hAnsi="Tahoma" w:cs="Tahoma"/>
          <w:b/>
          <w:sz w:val="22"/>
          <w:szCs w:val="22"/>
          <w:u w:val="single"/>
        </w:rPr>
      </w:pPr>
    </w:p>
    <w:p w14:paraId="0F8B8088" w14:textId="1047207F" w:rsidR="002A71D3" w:rsidRPr="00320EE1" w:rsidRDefault="002A71D3" w:rsidP="009D4359">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Protección reforzada de víctimas y deber constitucional de seguridad</w:t>
      </w:r>
    </w:p>
    <w:p w14:paraId="609D5EB5" w14:textId="77777777" w:rsidR="009D4359" w:rsidRPr="00320EE1" w:rsidRDefault="009D4359" w:rsidP="009D4359">
      <w:pPr>
        <w:keepNext/>
        <w:spacing w:after="0" w:line="240" w:lineRule="auto"/>
        <w:ind w:left="360"/>
        <w:rPr>
          <w:rFonts w:ascii="Tahoma" w:hAnsi="Tahoma" w:cs="Tahoma"/>
          <w:sz w:val="22"/>
          <w:szCs w:val="22"/>
        </w:rPr>
      </w:pPr>
    </w:p>
    <w:p w14:paraId="75CE8D76" w14:textId="77777777" w:rsidR="002A71D3" w:rsidRPr="00320EE1" w:rsidRDefault="002A71D3" w:rsidP="009D4359">
      <w:pPr>
        <w:spacing w:after="0" w:line="240" w:lineRule="auto"/>
        <w:jc w:val="both"/>
        <w:rPr>
          <w:rFonts w:ascii="Tahoma" w:hAnsi="Tahoma" w:cs="Tahoma"/>
          <w:sz w:val="22"/>
          <w:szCs w:val="22"/>
        </w:rPr>
      </w:pPr>
      <w:r w:rsidRPr="00320EE1">
        <w:rPr>
          <w:rFonts w:ascii="Tahoma" w:hAnsi="Tahoma" w:cs="Tahoma"/>
          <w:sz w:val="22"/>
          <w:szCs w:val="22"/>
        </w:rPr>
        <w:t xml:space="preserve">La seguridad ciudadana y los derechos de las víctimas no son consideraciones extrajurídicas. El artículo 2 de la Constitución obliga a las autoridades a proteger a todas las personas en su vida, honra, bienes, creencias y demás derechos y libertades. El artículo 250 impone a la Fiscalía deberes concretos de protección de las víctimas y permite solicitar medidas necesarias para </w:t>
      </w:r>
      <w:r w:rsidRPr="00320EE1">
        <w:rPr>
          <w:rFonts w:ascii="Tahoma" w:hAnsi="Tahoma" w:cs="Tahoma"/>
          <w:sz w:val="22"/>
          <w:szCs w:val="22"/>
        </w:rPr>
        <w:lastRenderedPageBreak/>
        <w:t>asegurar comparecencia, conservación de la prueba y protección de la comunidad, en especial de las víctimas.</w:t>
      </w:r>
    </w:p>
    <w:p w14:paraId="190B58CE" w14:textId="77777777" w:rsidR="009D4359" w:rsidRPr="00320EE1" w:rsidRDefault="009D4359" w:rsidP="009D4359">
      <w:pPr>
        <w:spacing w:after="0" w:line="240" w:lineRule="auto"/>
        <w:jc w:val="both"/>
        <w:rPr>
          <w:rFonts w:ascii="Tahoma" w:hAnsi="Tahoma" w:cs="Tahoma"/>
          <w:sz w:val="22"/>
          <w:szCs w:val="22"/>
        </w:rPr>
      </w:pPr>
    </w:p>
    <w:p w14:paraId="1015E094" w14:textId="77777777" w:rsidR="002A71D3" w:rsidRPr="00320EE1" w:rsidRDefault="002A71D3" w:rsidP="009D4359">
      <w:pPr>
        <w:spacing w:after="0" w:line="240" w:lineRule="auto"/>
        <w:jc w:val="both"/>
        <w:rPr>
          <w:rFonts w:ascii="Tahoma" w:hAnsi="Tahoma" w:cs="Tahoma"/>
          <w:sz w:val="22"/>
          <w:szCs w:val="22"/>
        </w:rPr>
      </w:pPr>
      <w:r w:rsidRPr="00320EE1">
        <w:rPr>
          <w:rFonts w:ascii="Tahoma" w:hAnsi="Tahoma" w:cs="Tahoma"/>
          <w:sz w:val="22"/>
          <w:szCs w:val="22"/>
        </w:rPr>
        <w:t>La reincidencia específica adquiere especial significación cuando reproduce un daño sobre la misma víctima, el mismo núcleo familiar o personas en condición de vulnerabilidad. El proyecto reconoce esa dimensión sin erosionar la presunción de inocencia: la condena anterior solo produce los efectos que la ley define y el nuevo delito debe ser investigado, juzgado y probado con todas las garantías. La protección de las víctimas y el debido proceso no son valores incompatibles; el propósito de la iniciativa es hacerlos operar simultáneamente.</w:t>
      </w:r>
    </w:p>
    <w:p w14:paraId="2644B089" w14:textId="77777777" w:rsidR="009D4359" w:rsidRPr="00320EE1" w:rsidRDefault="009D4359" w:rsidP="009D4359">
      <w:pPr>
        <w:spacing w:after="0" w:line="240" w:lineRule="auto"/>
        <w:jc w:val="both"/>
        <w:rPr>
          <w:rFonts w:ascii="Tahoma" w:hAnsi="Tahoma" w:cs="Tahoma"/>
          <w:sz w:val="22"/>
          <w:szCs w:val="22"/>
        </w:rPr>
      </w:pPr>
    </w:p>
    <w:p w14:paraId="32555938" w14:textId="66F1DDE9" w:rsidR="002A71D3" w:rsidRPr="00320EE1" w:rsidRDefault="002A71D3" w:rsidP="00A10B47">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Igualdad: existe una razón objetiva para el tratamiento diferenciado</w:t>
      </w:r>
    </w:p>
    <w:p w14:paraId="6D295D6C" w14:textId="77777777" w:rsidR="00A10B47" w:rsidRPr="00320EE1" w:rsidRDefault="00A10B47" w:rsidP="00A10B47">
      <w:pPr>
        <w:pStyle w:val="Prrafodelista"/>
        <w:keepNext/>
        <w:spacing w:after="0" w:line="240" w:lineRule="auto"/>
        <w:rPr>
          <w:rFonts w:ascii="Tahoma" w:hAnsi="Tahoma" w:cs="Tahoma"/>
          <w:sz w:val="22"/>
          <w:szCs w:val="22"/>
        </w:rPr>
      </w:pPr>
    </w:p>
    <w:p w14:paraId="0F4C8FD0" w14:textId="77777777" w:rsidR="002A71D3" w:rsidRPr="00320EE1" w:rsidRDefault="002A71D3" w:rsidP="00A10B47">
      <w:pPr>
        <w:spacing w:after="0" w:line="240" w:lineRule="auto"/>
        <w:jc w:val="both"/>
        <w:rPr>
          <w:rFonts w:ascii="Tahoma" w:hAnsi="Tahoma" w:cs="Tahoma"/>
          <w:sz w:val="22"/>
          <w:szCs w:val="22"/>
        </w:rPr>
      </w:pPr>
      <w:r w:rsidRPr="00320EE1">
        <w:rPr>
          <w:rFonts w:ascii="Tahoma" w:hAnsi="Tahoma" w:cs="Tahoma"/>
          <w:sz w:val="22"/>
          <w:szCs w:val="22"/>
        </w:rPr>
        <w:t>El proyecto diferencia entre quien comete un delito aislado y quien, después de una condena ejecutoriada, comete dentro de un período reciente un nuevo delito doloso de la misma naturaleza o funcionalmente conectado en los casos expresamente previstos. Los grupos no se encuentran en la misma situación jurídica frente al nuevo hecho: en el segundo existe una reiteración específica, judicialmente comprobable y temporalmente delimitada.</w:t>
      </w:r>
    </w:p>
    <w:p w14:paraId="2EEFBFD2" w14:textId="77777777" w:rsidR="00A10B47" w:rsidRPr="00320EE1" w:rsidRDefault="00A10B47" w:rsidP="00A10B47">
      <w:pPr>
        <w:spacing w:after="0" w:line="240" w:lineRule="auto"/>
        <w:jc w:val="both"/>
        <w:rPr>
          <w:rFonts w:ascii="Tahoma" w:hAnsi="Tahoma" w:cs="Tahoma"/>
          <w:sz w:val="22"/>
          <w:szCs w:val="22"/>
        </w:rPr>
      </w:pPr>
    </w:p>
    <w:p w14:paraId="0735E992" w14:textId="5CEBAE46" w:rsidR="002A71D3" w:rsidRPr="00320EE1" w:rsidRDefault="002A71D3" w:rsidP="00A10B47">
      <w:pPr>
        <w:spacing w:after="0" w:line="240" w:lineRule="auto"/>
        <w:jc w:val="both"/>
        <w:rPr>
          <w:rFonts w:ascii="Tahoma" w:hAnsi="Tahoma" w:cs="Tahoma"/>
          <w:sz w:val="22"/>
          <w:szCs w:val="22"/>
        </w:rPr>
      </w:pPr>
      <w:r w:rsidRPr="00320EE1">
        <w:rPr>
          <w:rFonts w:ascii="Tahoma" w:hAnsi="Tahoma" w:cs="Tahoma"/>
          <w:sz w:val="22"/>
          <w:szCs w:val="22"/>
        </w:rPr>
        <w:t>La diferencia persigue finalidades constitucionalmente legítimas</w:t>
      </w:r>
      <w:r w:rsidR="00A10B47" w:rsidRPr="00320EE1">
        <w:rPr>
          <w:rFonts w:ascii="Tahoma" w:hAnsi="Tahoma" w:cs="Tahoma"/>
          <w:sz w:val="22"/>
          <w:szCs w:val="22"/>
        </w:rPr>
        <w:t xml:space="preserve"> –</w:t>
      </w:r>
      <w:r w:rsidRPr="00320EE1">
        <w:rPr>
          <w:rFonts w:ascii="Tahoma" w:hAnsi="Tahoma" w:cs="Tahoma"/>
          <w:sz w:val="22"/>
          <w:szCs w:val="22"/>
        </w:rPr>
        <w:t>protección de bienes jurídicos, víctimas, comunidad y eficacia de la justicia</w:t>
      </w:r>
      <w:r w:rsidR="00A10B47" w:rsidRPr="00320EE1">
        <w:rPr>
          <w:rFonts w:ascii="Tahoma" w:hAnsi="Tahoma" w:cs="Tahoma"/>
          <w:sz w:val="22"/>
          <w:szCs w:val="22"/>
        </w:rPr>
        <w:t>–</w:t>
      </w:r>
      <w:r w:rsidRPr="00320EE1">
        <w:rPr>
          <w:rFonts w:ascii="Tahoma" w:hAnsi="Tahoma" w:cs="Tahoma"/>
          <w:sz w:val="22"/>
          <w:szCs w:val="22"/>
        </w:rPr>
        <w:t xml:space="preserve"> y adopta medios limitados: no establece una cláusula general, no opera con meras anotaciones, no hace permanente el antecedente, no ordena detención automática y exige motivación judicial. En consecuencia, el trato diferenciado guarda una relación razonable con la finalidad perseguida y contiene salvaguardas suficientes contra una respuesta indiscriminada.</w:t>
      </w:r>
    </w:p>
    <w:p w14:paraId="1ADDE788" w14:textId="77777777" w:rsidR="00A10B47" w:rsidRPr="00320EE1" w:rsidRDefault="00A10B47" w:rsidP="00A10B47">
      <w:pPr>
        <w:spacing w:after="0" w:line="240" w:lineRule="auto"/>
        <w:jc w:val="both"/>
        <w:rPr>
          <w:rFonts w:ascii="Tahoma" w:hAnsi="Tahoma" w:cs="Tahoma"/>
          <w:sz w:val="22"/>
          <w:szCs w:val="22"/>
        </w:rPr>
      </w:pPr>
    </w:p>
    <w:p w14:paraId="3A4E32B2" w14:textId="39DE8BE7" w:rsidR="002A71D3" w:rsidRPr="00320EE1" w:rsidRDefault="002A71D3" w:rsidP="00A10B47">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Política criminal basada en evidencia, seguimiento y capacidad de corrección</w:t>
      </w:r>
    </w:p>
    <w:p w14:paraId="329283FF" w14:textId="77777777" w:rsidR="00A10B47" w:rsidRPr="00320EE1" w:rsidRDefault="00A10B47" w:rsidP="00A10B47">
      <w:pPr>
        <w:keepNext/>
        <w:spacing w:after="0" w:line="240" w:lineRule="auto"/>
        <w:ind w:left="360"/>
        <w:rPr>
          <w:rFonts w:ascii="Tahoma" w:hAnsi="Tahoma" w:cs="Tahoma"/>
          <w:sz w:val="22"/>
          <w:szCs w:val="22"/>
        </w:rPr>
      </w:pPr>
    </w:p>
    <w:p w14:paraId="64FBBA64" w14:textId="20E472D3" w:rsidR="002A71D3" w:rsidRPr="00320EE1" w:rsidRDefault="002A71D3" w:rsidP="00A10B47">
      <w:pPr>
        <w:spacing w:after="0" w:line="240" w:lineRule="auto"/>
        <w:jc w:val="both"/>
        <w:rPr>
          <w:rFonts w:ascii="Tahoma" w:hAnsi="Tahoma" w:cs="Tahoma"/>
          <w:sz w:val="22"/>
          <w:szCs w:val="22"/>
        </w:rPr>
      </w:pPr>
      <w:r w:rsidRPr="00320EE1">
        <w:rPr>
          <w:rFonts w:ascii="Tahoma" w:hAnsi="Tahoma" w:cs="Tahoma"/>
          <w:sz w:val="22"/>
          <w:szCs w:val="22"/>
        </w:rPr>
        <w:t>La Corte Constitucional ha exigido reiteradamente que la política criminal sea coherente, preventiva, sostenible, empíricamente fundada y compatible con la resocialización, en especial a partir de las Sentencias T-388 de 2013, T-762 de 2015 y SU-122 de 2022. La iniciativa incorpora esa exigencia no solo en su justificación, sino en su estructura: focaliza las conductas, conserva el control judicial, ordena mejorar la gestión de procesos y establece una evaluación integral a los dos años de vigencia.</w:t>
      </w:r>
    </w:p>
    <w:p w14:paraId="30B53B42" w14:textId="77777777" w:rsidR="00A10B47" w:rsidRPr="00320EE1" w:rsidRDefault="00A10B47" w:rsidP="00A10B47">
      <w:pPr>
        <w:spacing w:after="0" w:line="240" w:lineRule="auto"/>
        <w:jc w:val="both"/>
        <w:rPr>
          <w:rFonts w:ascii="Tahoma" w:hAnsi="Tahoma" w:cs="Tahoma"/>
          <w:sz w:val="22"/>
          <w:szCs w:val="22"/>
        </w:rPr>
      </w:pPr>
    </w:p>
    <w:p w14:paraId="282A8577" w14:textId="77777777" w:rsidR="002A71D3" w:rsidRPr="00320EE1" w:rsidRDefault="002A71D3" w:rsidP="002B01E9">
      <w:pPr>
        <w:spacing w:after="0" w:line="240" w:lineRule="auto"/>
        <w:jc w:val="both"/>
        <w:rPr>
          <w:rFonts w:ascii="Tahoma" w:hAnsi="Tahoma" w:cs="Tahoma"/>
          <w:sz w:val="22"/>
          <w:szCs w:val="22"/>
        </w:rPr>
      </w:pPr>
      <w:r w:rsidRPr="00320EE1">
        <w:rPr>
          <w:rFonts w:ascii="Tahoma" w:hAnsi="Tahoma" w:cs="Tahoma"/>
          <w:sz w:val="22"/>
          <w:szCs w:val="22"/>
        </w:rPr>
        <w:t>La cláusula de evaluación es especialmente valiosa porque obliga a contrastar la hipótesis legislativa con resultados reales. El Consejo Superior de Política Criminal deberá examinar efectos sobre reincidencia, protección de víctimas, medidas de aseguramiento, beneficios y subrogados, hacinamiento carcelario y eficacia de la administración de justicia. Esa información permitirá al Gobierno y al Congreso corregir, ampliar o replantear instrumentos futuros con base en evidencia, evitando que la reforma se agote en un aumento simbólico de severidad.</w:t>
      </w:r>
    </w:p>
    <w:p w14:paraId="17D6700D" w14:textId="77777777" w:rsidR="002B01E9" w:rsidRDefault="002B01E9" w:rsidP="002B01E9">
      <w:pPr>
        <w:spacing w:after="0" w:line="240" w:lineRule="auto"/>
        <w:jc w:val="both"/>
        <w:rPr>
          <w:rFonts w:ascii="Tahoma" w:hAnsi="Tahoma" w:cs="Tahoma"/>
          <w:sz w:val="22"/>
          <w:szCs w:val="22"/>
        </w:rPr>
      </w:pPr>
    </w:p>
    <w:p w14:paraId="55E09453" w14:textId="77777777" w:rsidR="00D24FD9" w:rsidRDefault="00D24FD9" w:rsidP="002B01E9">
      <w:pPr>
        <w:spacing w:after="0" w:line="240" w:lineRule="auto"/>
        <w:jc w:val="both"/>
        <w:rPr>
          <w:rFonts w:ascii="Tahoma" w:hAnsi="Tahoma" w:cs="Tahoma"/>
          <w:sz w:val="22"/>
          <w:szCs w:val="22"/>
        </w:rPr>
      </w:pPr>
    </w:p>
    <w:p w14:paraId="5D4BDE5D" w14:textId="77777777" w:rsidR="00D24FD9" w:rsidRDefault="00D24FD9" w:rsidP="002B01E9">
      <w:pPr>
        <w:spacing w:after="0" w:line="240" w:lineRule="auto"/>
        <w:jc w:val="both"/>
        <w:rPr>
          <w:rFonts w:ascii="Tahoma" w:hAnsi="Tahoma" w:cs="Tahoma"/>
          <w:sz w:val="22"/>
          <w:szCs w:val="22"/>
        </w:rPr>
      </w:pPr>
    </w:p>
    <w:p w14:paraId="549A2E5F" w14:textId="77777777" w:rsidR="00D24FD9" w:rsidRPr="00320EE1" w:rsidRDefault="00D24FD9" w:rsidP="002B01E9">
      <w:pPr>
        <w:spacing w:after="0" w:line="240" w:lineRule="auto"/>
        <w:jc w:val="both"/>
        <w:rPr>
          <w:rFonts w:ascii="Tahoma" w:hAnsi="Tahoma" w:cs="Tahoma"/>
          <w:sz w:val="22"/>
          <w:szCs w:val="22"/>
        </w:rPr>
      </w:pPr>
    </w:p>
    <w:p w14:paraId="1DDF33C3" w14:textId="6674ECFB" w:rsidR="00443888" w:rsidRPr="00320EE1" w:rsidRDefault="00443888" w:rsidP="00443888">
      <w:pPr>
        <w:pStyle w:val="Prrafodelista"/>
        <w:numPr>
          <w:ilvl w:val="0"/>
          <w:numId w:val="15"/>
        </w:numPr>
        <w:spacing w:after="0" w:line="240" w:lineRule="auto"/>
        <w:jc w:val="both"/>
        <w:rPr>
          <w:rFonts w:ascii="Tahoma" w:hAnsi="Tahoma" w:cs="Tahoma"/>
          <w:b/>
          <w:bCs/>
          <w:sz w:val="22"/>
          <w:szCs w:val="22"/>
          <w:u w:val="single"/>
        </w:rPr>
      </w:pPr>
      <w:r w:rsidRPr="00320EE1">
        <w:rPr>
          <w:rFonts w:ascii="Tahoma" w:hAnsi="Tahoma" w:cs="Tahoma"/>
          <w:b/>
          <w:bCs/>
          <w:sz w:val="22"/>
          <w:szCs w:val="22"/>
          <w:u w:val="single"/>
        </w:rPr>
        <w:lastRenderedPageBreak/>
        <w:t>Impacto institucional y fiscal: el proyecto no ordena gasto público ni genera una obligación presupuestal adicional</w:t>
      </w:r>
    </w:p>
    <w:p w14:paraId="25BD33B2" w14:textId="77777777" w:rsidR="00443888" w:rsidRPr="00320EE1" w:rsidRDefault="00443888" w:rsidP="00443888">
      <w:pPr>
        <w:pStyle w:val="Prrafodelista"/>
        <w:spacing w:after="0" w:line="240" w:lineRule="auto"/>
        <w:jc w:val="both"/>
        <w:rPr>
          <w:rFonts w:ascii="Tahoma" w:hAnsi="Tahoma" w:cs="Tahoma"/>
          <w:sz w:val="22"/>
          <w:szCs w:val="22"/>
        </w:rPr>
      </w:pPr>
    </w:p>
    <w:p w14:paraId="16D17AD0" w14:textId="207743EA" w:rsidR="00443888" w:rsidRPr="00320EE1" w:rsidRDefault="00443888" w:rsidP="00443888">
      <w:pPr>
        <w:spacing w:after="0" w:line="240" w:lineRule="auto"/>
        <w:jc w:val="both"/>
        <w:rPr>
          <w:rFonts w:ascii="Tahoma" w:hAnsi="Tahoma" w:cs="Tahoma"/>
          <w:sz w:val="22"/>
          <w:szCs w:val="22"/>
        </w:rPr>
      </w:pPr>
      <w:r w:rsidRPr="00320EE1">
        <w:rPr>
          <w:rFonts w:ascii="Tahoma" w:hAnsi="Tahoma" w:cs="Tahoma"/>
          <w:sz w:val="22"/>
          <w:szCs w:val="22"/>
        </w:rPr>
        <w:t xml:space="preserve">El Proyecto de Ley 054 de 2026 no genera impacto fiscal en los términos previstos por el artículo 7 de la Ley 819 de 2003, pues ninguna de sus disposiciones ordena la realización de gasto público ni concede beneficios tributarios. Esta precisión resulta jurídicamente relevante porque el supuesto que activa las exigencias especiales de dicha norma orgánica no es cualquier efecto administrativo que pueda acompañar la aplicación de una ley, sino específicamente que el proyecto </w:t>
      </w:r>
      <w:r w:rsidRPr="00320EE1">
        <w:rPr>
          <w:rFonts w:ascii="Tahoma" w:hAnsi="Tahoma" w:cs="Tahoma"/>
          <w:i/>
          <w:iCs/>
          <w:sz w:val="22"/>
          <w:szCs w:val="22"/>
        </w:rPr>
        <w:t>“ordene gasto”</w:t>
      </w:r>
      <w:r w:rsidRPr="00320EE1">
        <w:rPr>
          <w:rFonts w:ascii="Tahoma" w:hAnsi="Tahoma" w:cs="Tahoma"/>
          <w:sz w:val="22"/>
          <w:szCs w:val="22"/>
        </w:rPr>
        <w:t xml:space="preserve"> </w:t>
      </w:r>
      <w:r w:rsidR="00356DC7" w:rsidRPr="00320EE1">
        <w:rPr>
          <w:rFonts w:ascii="Tahoma" w:hAnsi="Tahoma" w:cs="Tahoma"/>
          <w:sz w:val="22"/>
          <w:szCs w:val="22"/>
        </w:rPr>
        <w:t>u</w:t>
      </w:r>
      <w:r w:rsidRPr="00320EE1">
        <w:rPr>
          <w:rFonts w:ascii="Tahoma" w:hAnsi="Tahoma" w:cs="Tahoma"/>
          <w:sz w:val="22"/>
          <w:szCs w:val="22"/>
        </w:rPr>
        <w:t xml:space="preserve"> </w:t>
      </w:r>
      <w:r w:rsidRPr="00320EE1">
        <w:rPr>
          <w:rFonts w:ascii="Tahoma" w:hAnsi="Tahoma" w:cs="Tahoma"/>
          <w:i/>
          <w:iCs/>
          <w:sz w:val="22"/>
          <w:szCs w:val="22"/>
        </w:rPr>
        <w:t>“otorgue beneficios tributarios”</w:t>
      </w:r>
      <w:r w:rsidRPr="00320EE1">
        <w:rPr>
          <w:rFonts w:ascii="Tahoma" w:hAnsi="Tahoma" w:cs="Tahoma"/>
          <w:sz w:val="22"/>
          <w:szCs w:val="22"/>
        </w:rPr>
        <w:t>.</w:t>
      </w:r>
    </w:p>
    <w:p w14:paraId="36729D1E" w14:textId="77777777" w:rsidR="00524497" w:rsidRPr="00320EE1" w:rsidRDefault="00524497" w:rsidP="00443888">
      <w:pPr>
        <w:spacing w:after="0" w:line="240" w:lineRule="auto"/>
        <w:jc w:val="both"/>
        <w:rPr>
          <w:rFonts w:ascii="Tahoma" w:hAnsi="Tahoma" w:cs="Tahoma"/>
          <w:sz w:val="22"/>
          <w:szCs w:val="22"/>
        </w:rPr>
      </w:pPr>
    </w:p>
    <w:p w14:paraId="7D612F29" w14:textId="77777777" w:rsidR="00443888" w:rsidRPr="00320EE1" w:rsidRDefault="00443888" w:rsidP="00443888">
      <w:pPr>
        <w:spacing w:after="0" w:line="240" w:lineRule="auto"/>
        <w:jc w:val="both"/>
        <w:rPr>
          <w:rFonts w:ascii="Tahoma" w:hAnsi="Tahoma" w:cs="Tahoma"/>
          <w:sz w:val="22"/>
          <w:szCs w:val="22"/>
        </w:rPr>
      </w:pPr>
      <w:r w:rsidRPr="00320EE1">
        <w:rPr>
          <w:rFonts w:ascii="Tahoma" w:hAnsi="Tahoma" w:cs="Tahoma"/>
          <w:sz w:val="22"/>
          <w:szCs w:val="22"/>
        </w:rPr>
        <w:t xml:space="preserve">La iniciativa no crea entidades, dependencias, fondos, programas presupuestales, cargos o plantas de personal; no establece subsidios, transferencias, compensaciones, prestaciones económicas ni beneficios fiscales; no dispone apropiaciones presupuestales; no ordena celebrar contratos; no exige adquirir infraestructura física o tecnológica; y tampoco determina cuantías que deban ser incorporadas al Presupuesto General de la Nación. El proyecto regula esencialmente criterios jurídicos aplicables por autoridades que ya integran el sistema penal, tales como la valoración de la reincidencia, las agravantes especiales, los beneficios y subrogados, las medidas de aseguramiento y las reglas de gestión de determinados procesos. </w:t>
      </w:r>
    </w:p>
    <w:p w14:paraId="0072CF1E" w14:textId="77777777" w:rsidR="00524497" w:rsidRPr="00320EE1" w:rsidRDefault="00524497" w:rsidP="00443888">
      <w:pPr>
        <w:spacing w:after="0" w:line="240" w:lineRule="auto"/>
        <w:jc w:val="both"/>
        <w:rPr>
          <w:rFonts w:ascii="Tahoma" w:hAnsi="Tahoma" w:cs="Tahoma"/>
          <w:sz w:val="22"/>
          <w:szCs w:val="22"/>
        </w:rPr>
      </w:pPr>
    </w:p>
    <w:p w14:paraId="2097C953" w14:textId="77777777" w:rsidR="00443888" w:rsidRPr="00320EE1" w:rsidRDefault="00443888" w:rsidP="00443888">
      <w:pPr>
        <w:spacing w:after="0" w:line="240" w:lineRule="auto"/>
        <w:jc w:val="both"/>
        <w:rPr>
          <w:rFonts w:ascii="Tahoma" w:hAnsi="Tahoma" w:cs="Tahoma"/>
          <w:sz w:val="22"/>
          <w:szCs w:val="22"/>
        </w:rPr>
      </w:pPr>
      <w:r w:rsidRPr="00320EE1">
        <w:rPr>
          <w:rFonts w:ascii="Tahoma" w:hAnsi="Tahoma" w:cs="Tahoma"/>
          <w:sz w:val="22"/>
          <w:szCs w:val="22"/>
        </w:rPr>
        <w:t>Por esa misma razón, respecto de esta iniciativa no se configura el supuesto normativo que obliga a identificar costos fiscales y fuentes adicionales de financiación previsto en el artículo 7 de la Ley 819 de 2003. La aplicación de la ley corresponde al ejercicio ordinario de las competencias legales y presupuestales de las autoridades que integran el sistema penal, judicial, penitenciario y de política criminal.</w:t>
      </w:r>
    </w:p>
    <w:p w14:paraId="28200EA0" w14:textId="77777777" w:rsidR="002B01E9" w:rsidRPr="00320EE1" w:rsidRDefault="002B01E9" w:rsidP="002B01E9">
      <w:pPr>
        <w:spacing w:after="0" w:line="240" w:lineRule="auto"/>
        <w:jc w:val="both"/>
        <w:rPr>
          <w:rFonts w:ascii="Tahoma" w:hAnsi="Tahoma" w:cs="Tahoma"/>
          <w:sz w:val="22"/>
          <w:szCs w:val="22"/>
        </w:rPr>
      </w:pPr>
    </w:p>
    <w:p w14:paraId="3D65AF16" w14:textId="7AAC7D76" w:rsidR="002A71D3" w:rsidRPr="00320EE1" w:rsidRDefault="002A71D3" w:rsidP="00C90489">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Unidad de materia y técnica legislativa</w:t>
      </w:r>
    </w:p>
    <w:p w14:paraId="75333270" w14:textId="77777777" w:rsidR="00C90489" w:rsidRPr="00320EE1" w:rsidRDefault="00C90489" w:rsidP="00C90489">
      <w:pPr>
        <w:spacing w:after="0" w:line="240" w:lineRule="auto"/>
        <w:jc w:val="both"/>
        <w:rPr>
          <w:rFonts w:ascii="Tahoma" w:hAnsi="Tahoma" w:cs="Tahoma"/>
          <w:sz w:val="22"/>
          <w:szCs w:val="22"/>
        </w:rPr>
      </w:pPr>
    </w:p>
    <w:p w14:paraId="00FAA188" w14:textId="211699C0" w:rsidR="002A71D3" w:rsidRPr="00320EE1" w:rsidRDefault="002A71D3" w:rsidP="00C90489">
      <w:pPr>
        <w:spacing w:after="0" w:line="240" w:lineRule="auto"/>
        <w:jc w:val="both"/>
        <w:rPr>
          <w:rFonts w:ascii="Tahoma" w:hAnsi="Tahoma" w:cs="Tahoma"/>
          <w:sz w:val="22"/>
          <w:szCs w:val="22"/>
        </w:rPr>
      </w:pPr>
      <w:r w:rsidRPr="00320EE1">
        <w:rPr>
          <w:rFonts w:ascii="Tahoma" w:hAnsi="Tahoma" w:cs="Tahoma"/>
          <w:sz w:val="22"/>
          <w:szCs w:val="22"/>
        </w:rPr>
        <w:t>Existe unidad de materia entre todas las disposiciones. El núcleo temático es uno: la respuesta penal, procesal y de gestión frente a la reincidencia específica relevante en delitos de alto impacto.</w:t>
      </w:r>
      <w:r w:rsidR="00B07167" w:rsidRPr="00320EE1">
        <w:rPr>
          <w:rFonts w:ascii="Tahoma" w:hAnsi="Tahoma" w:cs="Tahoma"/>
          <w:sz w:val="22"/>
          <w:szCs w:val="22"/>
        </w:rPr>
        <w:t xml:space="preserve"> </w:t>
      </w:r>
      <w:r w:rsidRPr="00320EE1">
        <w:rPr>
          <w:rFonts w:ascii="Tahoma" w:hAnsi="Tahoma" w:cs="Tahoma"/>
          <w:sz w:val="22"/>
          <w:szCs w:val="22"/>
        </w:rPr>
        <w:t>Las agravantes especiales, la valoración de beneficios, las medidas de aseguramiento, el procedimiento abreviado, la priorización, la certificación y la evaluación no son materias autónomas yuxtapuestas, sino instrumentos funcionalmente conectados con ese mismo eje de política criminal.</w:t>
      </w:r>
    </w:p>
    <w:p w14:paraId="0A090BE2" w14:textId="77777777" w:rsidR="00B07167" w:rsidRPr="00320EE1" w:rsidRDefault="00B07167" w:rsidP="00B07167">
      <w:pPr>
        <w:spacing w:after="0" w:line="240" w:lineRule="auto"/>
        <w:jc w:val="both"/>
        <w:rPr>
          <w:rFonts w:ascii="Tahoma" w:hAnsi="Tahoma" w:cs="Tahoma"/>
          <w:sz w:val="22"/>
          <w:szCs w:val="22"/>
        </w:rPr>
      </w:pPr>
    </w:p>
    <w:p w14:paraId="2A139D46" w14:textId="5B98A544" w:rsidR="002A71D3" w:rsidRPr="00320EE1" w:rsidRDefault="002A71D3" w:rsidP="00B07167">
      <w:pPr>
        <w:spacing w:after="0" w:line="240" w:lineRule="auto"/>
        <w:jc w:val="both"/>
        <w:rPr>
          <w:rFonts w:ascii="Tahoma" w:hAnsi="Tahoma" w:cs="Tahoma"/>
          <w:sz w:val="22"/>
          <w:szCs w:val="22"/>
        </w:rPr>
      </w:pPr>
      <w:r w:rsidRPr="00320EE1">
        <w:rPr>
          <w:rFonts w:ascii="Tahoma" w:hAnsi="Tahoma" w:cs="Tahoma"/>
          <w:sz w:val="22"/>
          <w:szCs w:val="22"/>
        </w:rPr>
        <w:t>Desde el punto de vista de técnica legislativa, el proyecto identifica de manera expresa las disposiciones del Código Penal y del Código de Procedimiento Penal que adiciona, conserva el carácter limitado de la categoría general del artículo 58A propuesto y establece una cláusula final de aplicación prospectiva para las agravantes, sin perjuicio del principio de favorabilidad. Para efectos de esta ponencia, el texto radicado se acoge integralmente y no se propone pliego de modificaciones.</w:t>
      </w:r>
    </w:p>
    <w:p w14:paraId="25FAA464" w14:textId="77777777" w:rsidR="00B07167" w:rsidRPr="00320EE1" w:rsidRDefault="00B07167" w:rsidP="00B07167">
      <w:pPr>
        <w:spacing w:after="0" w:line="240" w:lineRule="auto"/>
        <w:jc w:val="both"/>
        <w:rPr>
          <w:rFonts w:ascii="Tahoma" w:hAnsi="Tahoma" w:cs="Tahoma"/>
          <w:sz w:val="22"/>
          <w:szCs w:val="22"/>
        </w:rPr>
      </w:pPr>
    </w:p>
    <w:p w14:paraId="5E996589" w14:textId="4DE9D86B" w:rsidR="00CE5628" w:rsidRPr="00CE5628" w:rsidRDefault="00CE5628" w:rsidP="00CE5628">
      <w:pPr>
        <w:pStyle w:val="Prrafodelista"/>
        <w:keepNext/>
        <w:numPr>
          <w:ilvl w:val="0"/>
          <w:numId w:val="15"/>
        </w:numPr>
        <w:spacing w:after="0" w:line="240" w:lineRule="auto"/>
        <w:rPr>
          <w:rFonts w:ascii="Tahoma" w:hAnsi="Tahoma" w:cs="Tahoma"/>
          <w:b/>
          <w:sz w:val="22"/>
          <w:szCs w:val="22"/>
          <w:u w:val="single"/>
        </w:rPr>
      </w:pPr>
      <w:r>
        <w:rPr>
          <w:rFonts w:ascii="Tahoma" w:hAnsi="Tahoma" w:cs="Tahoma"/>
          <w:b/>
          <w:bCs/>
          <w:sz w:val="22"/>
          <w:szCs w:val="22"/>
          <w:u w:val="single"/>
        </w:rPr>
        <w:t>Co</w:t>
      </w:r>
      <w:r w:rsidRPr="00CE5628">
        <w:rPr>
          <w:rFonts w:ascii="Tahoma" w:hAnsi="Tahoma" w:cs="Tahoma"/>
          <w:b/>
          <w:bCs/>
          <w:sz w:val="22"/>
          <w:szCs w:val="22"/>
          <w:u w:val="single"/>
        </w:rPr>
        <w:t>nflicto de intereses</w:t>
      </w:r>
    </w:p>
    <w:p w14:paraId="38D457D0" w14:textId="77777777" w:rsidR="00CE5628" w:rsidRPr="00CE5628" w:rsidRDefault="00CE5628" w:rsidP="00CE5628">
      <w:pPr>
        <w:keepNext/>
        <w:spacing w:after="0" w:line="240" w:lineRule="auto"/>
        <w:ind w:left="360"/>
        <w:rPr>
          <w:rFonts w:ascii="Tahoma" w:hAnsi="Tahoma" w:cs="Tahoma"/>
          <w:b/>
          <w:sz w:val="22"/>
          <w:szCs w:val="22"/>
          <w:u w:val="single"/>
        </w:rPr>
      </w:pPr>
    </w:p>
    <w:p w14:paraId="56B99644" w14:textId="77777777" w:rsidR="00C20A5A" w:rsidRDefault="00CE5628" w:rsidP="00CE5628">
      <w:pPr>
        <w:keepNext/>
        <w:spacing w:after="0" w:line="240" w:lineRule="auto"/>
        <w:jc w:val="both"/>
        <w:rPr>
          <w:rFonts w:ascii="Tahoma" w:hAnsi="Tahoma" w:cs="Tahoma"/>
          <w:bCs/>
          <w:sz w:val="22"/>
          <w:szCs w:val="22"/>
        </w:rPr>
      </w:pPr>
      <w:r w:rsidRPr="00CE5628">
        <w:rPr>
          <w:rFonts w:ascii="Tahoma" w:hAnsi="Tahoma" w:cs="Tahoma"/>
          <w:bCs/>
          <w:sz w:val="22"/>
          <w:szCs w:val="22"/>
        </w:rPr>
        <w:t xml:space="preserve">El artículo 286 de la Ley 5 de 1992 establece que existe conflicto de interés cuando la discusión o votación de un proyecto de ley, acto legislativo o artículo puede producir para el congresista un </w:t>
      </w:r>
      <w:r w:rsidRPr="00CE5628">
        <w:rPr>
          <w:rFonts w:ascii="Tahoma" w:hAnsi="Tahoma" w:cs="Tahoma"/>
          <w:bCs/>
          <w:sz w:val="22"/>
          <w:szCs w:val="22"/>
        </w:rPr>
        <w:lastRenderedPageBreak/>
        <w:t>beneficio particular, actual y directo. La propia norma precisa que el beneficio debe ser específico, existir al momento de adoptar la decisión y recaer concretamente sobre el congresista, su cónyuge o compañero permanente o los familiares comprendidos en los grados señalados por la ley. A su vez, dispone expresamente que no existe conflicto de interés cuando el congresista participa en una iniciativa cuyos efectos son de carácter general o cuando el eventual beneficio es futuro o meramente eventual.</w:t>
      </w:r>
    </w:p>
    <w:p w14:paraId="4E635D0C" w14:textId="660130CA" w:rsidR="00CE5628" w:rsidRPr="00CE5628" w:rsidRDefault="00CE5628" w:rsidP="00CE5628">
      <w:pPr>
        <w:keepNext/>
        <w:spacing w:after="0" w:line="240" w:lineRule="auto"/>
        <w:jc w:val="both"/>
        <w:rPr>
          <w:rFonts w:ascii="Tahoma" w:hAnsi="Tahoma" w:cs="Tahoma"/>
          <w:bCs/>
          <w:sz w:val="22"/>
          <w:szCs w:val="22"/>
        </w:rPr>
      </w:pPr>
      <w:r w:rsidRPr="00CE5628">
        <w:rPr>
          <w:rFonts w:ascii="Tahoma" w:hAnsi="Tahoma" w:cs="Tahoma"/>
          <w:bCs/>
          <w:sz w:val="22"/>
          <w:szCs w:val="22"/>
        </w:rPr>
        <w:t xml:space="preserve"> </w:t>
      </w:r>
    </w:p>
    <w:p w14:paraId="54F56EE6" w14:textId="77777777" w:rsidR="00CE5628" w:rsidRDefault="00CE5628" w:rsidP="00CE5628">
      <w:pPr>
        <w:keepNext/>
        <w:spacing w:after="0" w:line="240" w:lineRule="auto"/>
        <w:jc w:val="both"/>
        <w:rPr>
          <w:rFonts w:ascii="Tahoma" w:hAnsi="Tahoma" w:cs="Tahoma"/>
          <w:bCs/>
          <w:sz w:val="22"/>
          <w:szCs w:val="22"/>
        </w:rPr>
      </w:pPr>
      <w:r w:rsidRPr="00CE5628">
        <w:rPr>
          <w:rFonts w:ascii="Tahoma" w:hAnsi="Tahoma" w:cs="Tahoma"/>
          <w:bCs/>
          <w:sz w:val="22"/>
          <w:szCs w:val="22"/>
        </w:rPr>
        <w:t xml:space="preserve">A partir de esos criterios, no se advierte conflicto de intereses para la discusión y votación del Proyecto de Ley 054 de 2026 Cámara. La iniciativa contiene una regulación general, abstracta e impersonal de política criminal: define la reincidencia específica relevante, establece consecuencias penales y procesales aplicables bajo condiciones objetivas previamente determinadas y regula criterios que deberán aplicar jueces y autoridades del sistema penal. Sus disposiciones no individualizan a ningún congresista, familiar, persona determinada, empresa, patrimonio o relación jurídica particular, ni conceden privilegios, exenciones, indemnizaciones, ventajas económicas o eliminación de obligaciones en beneficio de alguno de ellos. </w:t>
      </w:r>
    </w:p>
    <w:p w14:paraId="62A4F759" w14:textId="77777777" w:rsidR="00C20A5A" w:rsidRPr="00CE5628" w:rsidRDefault="00C20A5A" w:rsidP="00CE5628">
      <w:pPr>
        <w:keepNext/>
        <w:spacing w:after="0" w:line="240" w:lineRule="auto"/>
        <w:jc w:val="both"/>
        <w:rPr>
          <w:rFonts w:ascii="Tahoma" w:hAnsi="Tahoma" w:cs="Tahoma"/>
          <w:bCs/>
          <w:sz w:val="22"/>
          <w:szCs w:val="22"/>
        </w:rPr>
      </w:pPr>
    </w:p>
    <w:p w14:paraId="66AC49B7" w14:textId="77777777" w:rsidR="00CE5628" w:rsidRDefault="00CE5628" w:rsidP="00CE5628">
      <w:pPr>
        <w:keepNext/>
        <w:spacing w:after="0" w:line="240" w:lineRule="auto"/>
        <w:jc w:val="both"/>
        <w:rPr>
          <w:rFonts w:ascii="Tahoma" w:hAnsi="Tahoma" w:cs="Tahoma"/>
          <w:bCs/>
          <w:sz w:val="22"/>
          <w:szCs w:val="22"/>
        </w:rPr>
      </w:pPr>
      <w:r w:rsidRPr="00CE5628">
        <w:rPr>
          <w:rFonts w:ascii="Tahoma" w:hAnsi="Tahoma" w:cs="Tahoma"/>
          <w:bCs/>
          <w:sz w:val="22"/>
          <w:szCs w:val="22"/>
        </w:rPr>
        <w:t xml:space="preserve">Por el contrario, el proyecto persigue finalidades eminentemente generales: la protección de la seguridad pública, los derechos de las víctimas, la eficacia de la administración de justicia y la confianza ciudadana en el sistema penal. Las consecuencias que establece dependen de circunstancias futuras, objetivas y sometidas a comprobación judicial —como la comisión de una nueva conducta dolosa, la existencia de una sentencia condenatoria ejecutoriada y la identidad o conexidad expresamente prevista entre los delitos— y no de la condición personal de quienes intervienen en el trámite legislativo. </w:t>
      </w:r>
    </w:p>
    <w:p w14:paraId="61213FEB" w14:textId="77777777" w:rsidR="00C20A5A" w:rsidRPr="00CE5628" w:rsidRDefault="00C20A5A" w:rsidP="00CE5628">
      <w:pPr>
        <w:keepNext/>
        <w:spacing w:after="0" w:line="240" w:lineRule="auto"/>
        <w:jc w:val="both"/>
        <w:rPr>
          <w:rFonts w:ascii="Tahoma" w:hAnsi="Tahoma" w:cs="Tahoma"/>
          <w:bCs/>
          <w:sz w:val="22"/>
          <w:szCs w:val="22"/>
        </w:rPr>
      </w:pPr>
    </w:p>
    <w:p w14:paraId="284E4F98" w14:textId="77777777" w:rsidR="00CE5628" w:rsidRDefault="00CE5628" w:rsidP="00CE5628">
      <w:pPr>
        <w:keepNext/>
        <w:spacing w:after="0" w:line="240" w:lineRule="auto"/>
        <w:jc w:val="both"/>
        <w:rPr>
          <w:rFonts w:ascii="Tahoma" w:hAnsi="Tahoma" w:cs="Tahoma"/>
          <w:bCs/>
          <w:sz w:val="22"/>
          <w:szCs w:val="22"/>
        </w:rPr>
      </w:pPr>
      <w:r w:rsidRPr="00CE5628">
        <w:rPr>
          <w:rFonts w:ascii="Tahoma" w:hAnsi="Tahoma" w:cs="Tahoma"/>
          <w:bCs/>
          <w:sz w:val="22"/>
          <w:szCs w:val="22"/>
        </w:rPr>
        <w:t>En consecuencia, por el contenido, objeto, alcance general y efectos jurídicos del Proyecto de Ley 054 de 2026 Cámara, no se identifican circunstancias que configuren conflicto de intereses para su discusión y votación en los términos del artículo 286 de la Ley 5 de 1992.</w:t>
      </w:r>
    </w:p>
    <w:p w14:paraId="52002FC9" w14:textId="77777777" w:rsidR="00CE5628" w:rsidRPr="00CE5628" w:rsidRDefault="00CE5628" w:rsidP="00CE5628">
      <w:pPr>
        <w:keepNext/>
        <w:spacing w:after="0" w:line="240" w:lineRule="auto"/>
        <w:rPr>
          <w:rFonts w:ascii="Tahoma" w:hAnsi="Tahoma" w:cs="Tahoma"/>
          <w:b/>
          <w:sz w:val="22"/>
          <w:szCs w:val="22"/>
          <w:u w:val="single"/>
        </w:rPr>
      </w:pPr>
    </w:p>
    <w:p w14:paraId="4D85491E" w14:textId="39252FF2" w:rsidR="002A71D3" w:rsidRPr="00320EE1" w:rsidRDefault="002A71D3" w:rsidP="00B07167">
      <w:pPr>
        <w:pStyle w:val="Prrafodelista"/>
        <w:keepNext/>
        <w:numPr>
          <w:ilvl w:val="0"/>
          <w:numId w:val="15"/>
        </w:numPr>
        <w:spacing w:after="0" w:line="240" w:lineRule="auto"/>
        <w:rPr>
          <w:rFonts w:ascii="Tahoma" w:hAnsi="Tahoma" w:cs="Tahoma"/>
          <w:b/>
          <w:sz w:val="22"/>
          <w:szCs w:val="22"/>
          <w:u w:val="single"/>
        </w:rPr>
      </w:pPr>
      <w:r w:rsidRPr="00320EE1">
        <w:rPr>
          <w:rFonts w:ascii="Tahoma" w:hAnsi="Tahoma" w:cs="Tahoma"/>
          <w:b/>
          <w:sz w:val="22"/>
          <w:szCs w:val="22"/>
          <w:u w:val="single"/>
        </w:rPr>
        <w:t>Conclusión del ponente</w:t>
      </w:r>
    </w:p>
    <w:p w14:paraId="758CCDAC" w14:textId="77777777" w:rsidR="00B07167" w:rsidRPr="00320EE1" w:rsidRDefault="00B07167" w:rsidP="00B07167">
      <w:pPr>
        <w:pStyle w:val="Prrafodelista"/>
        <w:keepNext/>
        <w:spacing w:after="0" w:line="240" w:lineRule="auto"/>
        <w:rPr>
          <w:rFonts w:ascii="Tahoma" w:hAnsi="Tahoma" w:cs="Tahoma"/>
          <w:sz w:val="22"/>
          <w:szCs w:val="22"/>
        </w:rPr>
      </w:pPr>
    </w:p>
    <w:p w14:paraId="0D52DC34" w14:textId="77777777" w:rsidR="002A71D3" w:rsidRPr="00320EE1" w:rsidRDefault="002A71D3" w:rsidP="00B07167">
      <w:pPr>
        <w:spacing w:after="0" w:line="240" w:lineRule="auto"/>
        <w:jc w:val="both"/>
        <w:rPr>
          <w:rFonts w:ascii="Tahoma" w:hAnsi="Tahoma" w:cs="Tahoma"/>
          <w:sz w:val="22"/>
          <w:szCs w:val="22"/>
        </w:rPr>
      </w:pPr>
      <w:r w:rsidRPr="00320EE1">
        <w:rPr>
          <w:rFonts w:ascii="Tahoma" w:hAnsi="Tahoma" w:cs="Tahoma"/>
          <w:sz w:val="22"/>
          <w:szCs w:val="22"/>
        </w:rPr>
        <w:t>La reincidencia específica en delitos de alto impacto plantea un problema real y persistente. La respuesta del Estado no puede consistir en ignorar la reiteración cuando existe una condena judicial firme y un nuevo delito de la misma naturaleza o funcionalmente conectado; pero tampoco puede descansar en una presunción de peligrosidad, en antecedentes policiales o en automatismos que sustituyan la función judicial. El Proyecto de Ley 054 de 2026 Cámara adopta una fórmula intermedia constitucionalmente responsable: específica, temporal, probatoriamente exigente, motivada y sometida a evaluación.</w:t>
      </w:r>
    </w:p>
    <w:p w14:paraId="7C3B00FD" w14:textId="77777777" w:rsidR="00B07167" w:rsidRPr="00320EE1" w:rsidRDefault="00B07167" w:rsidP="00B07167">
      <w:pPr>
        <w:spacing w:after="0" w:line="240" w:lineRule="auto"/>
        <w:jc w:val="both"/>
        <w:rPr>
          <w:rFonts w:ascii="Tahoma" w:hAnsi="Tahoma" w:cs="Tahoma"/>
          <w:sz w:val="22"/>
          <w:szCs w:val="22"/>
        </w:rPr>
      </w:pPr>
    </w:p>
    <w:p w14:paraId="3ED68005" w14:textId="3077BA83" w:rsidR="002A71D3" w:rsidRPr="00320EE1" w:rsidRDefault="002A71D3" w:rsidP="00B07167">
      <w:pPr>
        <w:spacing w:after="0" w:line="240" w:lineRule="auto"/>
        <w:jc w:val="both"/>
        <w:rPr>
          <w:rFonts w:ascii="Tahoma" w:hAnsi="Tahoma" w:cs="Tahoma"/>
          <w:sz w:val="22"/>
          <w:szCs w:val="22"/>
        </w:rPr>
      </w:pPr>
      <w:r w:rsidRPr="00320EE1">
        <w:rPr>
          <w:rFonts w:ascii="Tahoma" w:hAnsi="Tahoma" w:cs="Tahoma"/>
          <w:sz w:val="22"/>
          <w:szCs w:val="22"/>
        </w:rPr>
        <w:t xml:space="preserve">La iniciativa fortalece la protección de víctimas y comunidad, conserva el debido proceso, preserva el derecho penal de acto, incorpora salvaguardas frente al </w:t>
      </w:r>
      <w:r w:rsidRPr="00320EE1">
        <w:rPr>
          <w:rFonts w:ascii="Tahoma" w:hAnsi="Tahoma" w:cs="Tahoma"/>
          <w:i/>
          <w:iCs/>
          <w:sz w:val="22"/>
          <w:szCs w:val="22"/>
        </w:rPr>
        <w:t xml:space="preserve">non bis in </w:t>
      </w:r>
      <w:proofErr w:type="spellStart"/>
      <w:r w:rsidRPr="00320EE1">
        <w:rPr>
          <w:rFonts w:ascii="Tahoma" w:hAnsi="Tahoma" w:cs="Tahoma"/>
          <w:i/>
          <w:iCs/>
          <w:sz w:val="22"/>
          <w:szCs w:val="22"/>
        </w:rPr>
        <w:t>idem</w:t>
      </w:r>
      <w:proofErr w:type="spellEnd"/>
      <w:r w:rsidRPr="00320EE1">
        <w:rPr>
          <w:rFonts w:ascii="Tahoma" w:hAnsi="Tahoma" w:cs="Tahoma"/>
          <w:sz w:val="22"/>
          <w:szCs w:val="22"/>
        </w:rPr>
        <w:t>, evita detenciones preventivas automáticas y reconoce que la política criminal debe medirse por sus resultados. Por estas razones, se considera constitucionalmente fundada, jurídicamente conveniente y adecuada para avanzar en el trámite legislativo.</w:t>
      </w:r>
    </w:p>
    <w:p w14:paraId="38E86465" w14:textId="77777777" w:rsidR="00D21D1C" w:rsidRDefault="00D21D1C" w:rsidP="00B07167">
      <w:pPr>
        <w:spacing w:after="0" w:line="240" w:lineRule="auto"/>
        <w:jc w:val="both"/>
        <w:rPr>
          <w:rFonts w:ascii="Tahoma" w:hAnsi="Tahoma" w:cs="Tahoma"/>
          <w:sz w:val="22"/>
          <w:szCs w:val="22"/>
        </w:rPr>
      </w:pPr>
    </w:p>
    <w:p w14:paraId="355DE287" w14:textId="77777777" w:rsidR="00960339" w:rsidRDefault="00960339" w:rsidP="00B07167">
      <w:pPr>
        <w:spacing w:after="0" w:line="240" w:lineRule="auto"/>
        <w:jc w:val="both"/>
        <w:rPr>
          <w:rFonts w:ascii="Tahoma" w:hAnsi="Tahoma" w:cs="Tahoma"/>
          <w:sz w:val="22"/>
          <w:szCs w:val="22"/>
        </w:rPr>
      </w:pPr>
    </w:p>
    <w:p w14:paraId="58BE1E2D" w14:textId="1B7F68F1" w:rsidR="0093667A" w:rsidRPr="00E66882" w:rsidRDefault="00E66882" w:rsidP="00E66882">
      <w:pPr>
        <w:pStyle w:val="Prrafodelista"/>
        <w:numPr>
          <w:ilvl w:val="0"/>
          <w:numId w:val="12"/>
        </w:numPr>
        <w:spacing w:after="0" w:line="240" w:lineRule="auto"/>
        <w:rPr>
          <w:rFonts w:ascii="Tahoma" w:hAnsi="Tahoma" w:cs="Tahoma"/>
          <w:b/>
          <w:sz w:val="22"/>
          <w:szCs w:val="22"/>
        </w:rPr>
      </w:pPr>
      <w:r w:rsidRPr="00E66882">
        <w:rPr>
          <w:rFonts w:ascii="Tahoma" w:hAnsi="Tahoma" w:cs="Tahoma"/>
          <w:b/>
          <w:sz w:val="22"/>
          <w:szCs w:val="22"/>
        </w:rPr>
        <w:lastRenderedPageBreak/>
        <w:t>P</w:t>
      </w:r>
      <w:r w:rsidR="0093667A" w:rsidRPr="00E66882">
        <w:rPr>
          <w:rFonts w:ascii="Tahoma" w:hAnsi="Tahoma" w:cs="Tahoma"/>
          <w:b/>
          <w:sz w:val="22"/>
          <w:szCs w:val="22"/>
        </w:rPr>
        <w:t>ROPOSICIÓN</w:t>
      </w:r>
    </w:p>
    <w:p w14:paraId="109889BB" w14:textId="77777777" w:rsidR="0093667A" w:rsidRPr="00320EE1" w:rsidRDefault="0093667A" w:rsidP="0093667A">
      <w:pPr>
        <w:pStyle w:val="Prrafodelista"/>
        <w:spacing w:after="0" w:line="240" w:lineRule="auto"/>
        <w:ind w:left="1080"/>
        <w:rPr>
          <w:rFonts w:ascii="Tahoma" w:hAnsi="Tahoma" w:cs="Tahoma"/>
          <w:sz w:val="22"/>
          <w:szCs w:val="22"/>
        </w:rPr>
      </w:pPr>
    </w:p>
    <w:p w14:paraId="46E87531" w14:textId="3D8C9B4D" w:rsidR="0093667A" w:rsidRDefault="0093667A" w:rsidP="0093667A">
      <w:pPr>
        <w:spacing w:after="0" w:line="240" w:lineRule="auto"/>
        <w:jc w:val="both"/>
        <w:rPr>
          <w:rFonts w:ascii="Tahoma" w:hAnsi="Tahoma" w:cs="Tahoma"/>
          <w:sz w:val="22"/>
          <w:szCs w:val="22"/>
        </w:rPr>
      </w:pPr>
      <w:r w:rsidRPr="00320EE1">
        <w:rPr>
          <w:rFonts w:ascii="Tahoma" w:hAnsi="Tahoma" w:cs="Tahoma"/>
          <w:sz w:val="22"/>
          <w:szCs w:val="22"/>
        </w:rPr>
        <w:t xml:space="preserve">Con fundamento en las anteriores consideraciones, rindo </w:t>
      </w:r>
      <w:r w:rsidRPr="00320EE1">
        <w:rPr>
          <w:rFonts w:ascii="Tahoma" w:hAnsi="Tahoma" w:cs="Tahoma"/>
          <w:b/>
          <w:bCs/>
          <w:sz w:val="22"/>
          <w:szCs w:val="22"/>
        </w:rPr>
        <w:t>PONENCIA POSITIVA</w:t>
      </w:r>
      <w:r w:rsidRPr="00320EE1">
        <w:rPr>
          <w:rFonts w:ascii="Tahoma" w:hAnsi="Tahoma" w:cs="Tahoma"/>
          <w:sz w:val="22"/>
          <w:szCs w:val="22"/>
        </w:rPr>
        <w:t xml:space="preserve"> y solicito a los Honorables Representantes de la Comisión Primera Constitucional Permanente de la Cámara de Representantes aprobar en primer debate el Proyecto de Ley No. 054 de 2026 Cámara, </w:t>
      </w:r>
      <w:r w:rsidRPr="00320EE1">
        <w:rPr>
          <w:rFonts w:ascii="Tahoma" w:hAnsi="Tahoma" w:cs="Tahoma"/>
          <w:i/>
          <w:iCs/>
          <w:sz w:val="22"/>
          <w:szCs w:val="22"/>
        </w:rPr>
        <w:t>“Por medio de la cual se adoptan medidas contra la reincidencia específica en delitos de alto impacto, se establecen agravantes especiales, se fortalecen los criterios de valoración judicial en materia de beneficios, subrogados y medidas de aseguramiento, y se dictan otras disposiciones”</w:t>
      </w:r>
      <w:r w:rsidRPr="00320EE1">
        <w:rPr>
          <w:rFonts w:ascii="Tahoma" w:hAnsi="Tahoma" w:cs="Tahoma"/>
          <w:sz w:val="22"/>
          <w:szCs w:val="22"/>
        </w:rPr>
        <w:t xml:space="preserve">, sin modificaciones y conforme al texto </w:t>
      </w:r>
      <w:r w:rsidR="00E66882">
        <w:rPr>
          <w:rFonts w:ascii="Tahoma" w:hAnsi="Tahoma" w:cs="Tahoma"/>
          <w:sz w:val="22"/>
          <w:szCs w:val="22"/>
        </w:rPr>
        <w:t>propuesto.</w:t>
      </w:r>
    </w:p>
    <w:p w14:paraId="5EE4C3B9" w14:textId="77777777" w:rsidR="0093667A" w:rsidRPr="00320EE1" w:rsidRDefault="0093667A" w:rsidP="0093667A">
      <w:pPr>
        <w:spacing w:after="0" w:line="240" w:lineRule="auto"/>
        <w:jc w:val="both"/>
        <w:rPr>
          <w:rFonts w:ascii="Tahoma" w:hAnsi="Tahoma" w:cs="Tahoma"/>
          <w:sz w:val="22"/>
          <w:szCs w:val="22"/>
        </w:rPr>
      </w:pPr>
    </w:p>
    <w:p w14:paraId="093571C4" w14:textId="77777777" w:rsidR="0093667A" w:rsidRDefault="0093667A" w:rsidP="0093667A">
      <w:pPr>
        <w:spacing w:after="0" w:line="240" w:lineRule="auto"/>
        <w:rPr>
          <w:rFonts w:ascii="Tahoma" w:hAnsi="Tahoma" w:cs="Tahoma"/>
          <w:sz w:val="22"/>
          <w:szCs w:val="22"/>
        </w:rPr>
      </w:pPr>
      <w:r w:rsidRPr="00320EE1">
        <w:rPr>
          <w:rFonts w:ascii="Tahoma" w:hAnsi="Tahoma" w:cs="Tahoma"/>
          <w:sz w:val="22"/>
          <w:szCs w:val="22"/>
        </w:rPr>
        <w:t>De los Honorables Representantes,</w:t>
      </w:r>
    </w:p>
    <w:p w14:paraId="625A32B5" w14:textId="77777777" w:rsidR="0093667A" w:rsidRDefault="0093667A" w:rsidP="0093667A">
      <w:pPr>
        <w:spacing w:after="0" w:line="240" w:lineRule="auto"/>
        <w:rPr>
          <w:rFonts w:ascii="Tahoma" w:hAnsi="Tahoma" w:cs="Tahoma"/>
          <w:sz w:val="22"/>
          <w:szCs w:val="22"/>
        </w:rPr>
      </w:pPr>
    </w:p>
    <w:p w14:paraId="39584709" w14:textId="77777777" w:rsidR="0093667A" w:rsidRDefault="0093667A" w:rsidP="0093667A">
      <w:pPr>
        <w:spacing w:after="0" w:line="240" w:lineRule="auto"/>
        <w:rPr>
          <w:rFonts w:ascii="Tahoma" w:hAnsi="Tahoma" w:cs="Tahoma"/>
          <w:sz w:val="22"/>
          <w:szCs w:val="22"/>
        </w:rPr>
      </w:pPr>
    </w:p>
    <w:p w14:paraId="0AA9F2B9" w14:textId="77777777" w:rsidR="0093667A" w:rsidRDefault="0093667A" w:rsidP="0093667A">
      <w:pPr>
        <w:spacing w:after="0" w:line="240" w:lineRule="auto"/>
        <w:rPr>
          <w:rFonts w:ascii="Tahoma" w:hAnsi="Tahoma" w:cs="Tahoma"/>
          <w:sz w:val="22"/>
          <w:szCs w:val="22"/>
        </w:rPr>
      </w:pPr>
    </w:p>
    <w:p w14:paraId="34D15D81" w14:textId="77777777" w:rsidR="0093667A" w:rsidRPr="00320EE1" w:rsidRDefault="0093667A" w:rsidP="0093667A">
      <w:pPr>
        <w:spacing w:after="0" w:line="240" w:lineRule="auto"/>
        <w:rPr>
          <w:rFonts w:ascii="Tahoma" w:hAnsi="Tahoma" w:cs="Tahoma"/>
          <w:sz w:val="22"/>
          <w:szCs w:val="22"/>
        </w:rPr>
      </w:pPr>
    </w:p>
    <w:p w14:paraId="5EFCDD7A" w14:textId="77777777" w:rsidR="0093667A" w:rsidRPr="00320EE1" w:rsidRDefault="0093667A" w:rsidP="0093667A">
      <w:pPr>
        <w:spacing w:after="0" w:line="240" w:lineRule="auto"/>
        <w:rPr>
          <w:rFonts w:ascii="Tahoma" w:hAnsi="Tahoma" w:cs="Tahoma"/>
          <w:sz w:val="22"/>
          <w:szCs w:val="22"/>
        </w:rPr>
      </w:pPr>
      <w:r w:rsidRPr="00320EE1">
        <w:rPr>
          <w:rFonts w:ascii="Tahoma" w:hAnsi="Tahoma" w:cs="Tahoma"/>
          <w:b/>
          <w:sz w:val="22"/>
          <w:szCs w:val="22"/>
        </w:rPr>
        <w:t>DAVID GERARDO COTE RODRÍGUEZ</w:t>
      </w:r>
    </w:p>
    <w:p w14:paraId="25C97354" w14:textId="77777777" w:rsidR="0093667A" w:rsidRPr="00320EE1" w:rsidRDefault="0093667A" w:rsidP="0093667A">
      <w:pPr>
        <w:spacing w:after="0" w:line="240" w:lineRule="auto"/>
        <w:rPr>
          <w:rFonts w:ascii="Tahoma" w:hAnsi="Tahoma" w:cs="Tahoma"/>
          <w:sz w:val="22"/>
          <w:szCs w:val="22"/>
        </w:rPr>
      </w:pPr>
      <w:r w:rsidRPr="00320EE1">
        <w:rPr>
          <w:rFonts w:ascii="Tahoma" w:hAnsi="Tahoma" w:cs="Tahoma"/>
          <w:sz w:val="22"/>
          <w:szCs w:val="22"/>
        </w:rPr>
        <w:t>Representante a la Cámara por Bogotá</w:t>
      </w:r>
    </w:p>
    <w:p w14:paraId="6FC6F93C" w14:textId="77E5DA98" w:rsidR="0093667A" w:rsidRDefault="0093667A" w:rsidP="00E66882">
      <w:pPr>
        <w:spacing w:after="0" w:line="240" w:lineRule="auto"/>
        <w:rPr>
          <w:rFonts w:ascii="Tahoma" w:hAnsi="Tahoma" w:cs="Tahoma"/>
          <w:sz w:val="22"/>
          <w:szCs w:val="22"/>
        </w:rPr>
      </w:pPr>
      <w:r w:rsidRPr="00320EE1">
        <w:rPr>
          <w:rFonts w:ascii="Tahoma" w:hAnsi="Tahoma" w:cs="Tahoma"/>
          <w:sz w:val="22"/>
          <w:szCs w:val="22"/>
        </w:rPr>
        <w:t>Ponente único</w:t>
      </w:r>
    </w:p>
    <w:p w14:paraId="245129D2" w14:textId="77777777" w:rsidR="0093667A" w:rsidRPr="00320EE1" w:rsidRDefault="0093667A" w:rsidP="00B07167">
      <w:pPr>
        <w:spacing w:after="0" w:line="240" w:lineRule="auto"/>
        <w:jc w:val="both"/>
        <w:rPr>
          <w:rFonts w:ascii="Tahoma" w:hAnsi="Tahoma" w:cs="Tahoma"/>
          <w:sz w:val="22"/>
          <w:szCs w:val="22"/>
        </w:rPr>
      </w:pPr>
    </w:p>
    <w:p w14:paraId="45FA2472" w14:textId="454645FF" w:rsidR="002A71D3" w:rsidRPr="00C73F72" w:rsidRDefault="002A71D3" w:rsidP="00C73F72">
      <w:pPr>
        <w:pStyle w:val="Prrafodelista"/>
        <w:keepNext/>
        <w:numPr>
          <w:ilvl w:val="0"/>
          <w:numId w:val="12"/>
        </w:numPr>
        <w:spacing w:after="0" w:line="240" w:lineRule="auto"/>
        <w:rPr>
          <w:rFonts w:ascii="Tahoma" w:hAnsi="Tahoma" w:cs="Tahoma"/>
          <w:sz w:val="22"/>
          <w:szCs w:val="22"/>
        </w:rPr>
      </w:pPr>
      <w:r w:rsidRPr="00C73F72">
        <w:rPr>
          <w:rFonts w:ascii="Tahoma" w:hAnsi="Tahoma" w:cs="Tahoma"/>
          <w:b/>
          <w:sz w:val="22"/>
          <w:szCs w:val="22"/>
        </w:rPr>
        <w:t>TEXTO PROPUESTO PARA PRIMER DEBATE</w:t>
      </w:r>
    </w:p>
    <w:p w14:paraId="60174A09" w14:textId="60AC9AB7" w:rsidR="002A71D3" w:rsidRPr="00320EE1" w:rsidRDefault="002A71D3" w:rsidP="002A71D3">
      <w:pPr>
        <w:spacing w:after="0" w:line="240" w:lineRule="auto"/>
        <w:rPr>
          <w:rFonts w:ascii="Tahoma" w:hAnsi="Tahoma" w:cs="Tahoma"/>
          <w:sz w:val="22"/>
          <w:szCs w:val="22"/>
        </w:rPr>
      </w:pPr>
    </w:p>
    <w:p w14:paraId="78801914" w14:textId="77777777" w:rsidR="002A71D3" w:rsidRPr="00D24FD9" w:rsidRDefault="002A71D3" w:rsidP="002A71D3">
      <w:pPr>
        <w:spacing w:after="0" w:line="240" w:lineRule="auto"/>
        <w:jc w:val="center"/>
        <w:rPr>
          <w:rFonts w:ascii="Tahoma" w:hAnsi="Tahoma" w:cs="Tahoma"/>
          <w:sz w:val="21"/>
          <w:szCs w:val="21"/>
        </w:rPr>
      </w:pPr>
      <w:r w:rsidRPr="00D24FD9">
        <w:rPr>
          <w:rFonts w:ascii="Tahoma" w:hAnsi="Tahoma" w:cs="Tahoma"/>
          <w:b/>
          <w:sz w:val="21"/>
          <w:szCs w:val="21"/>
        </w:rPr>
        <w:t>PROYECTO DE LEY No. 054 DE 2026 CÁMARA</w:t>
      </w:r>
    </w:p>
    <w:p w14:paraId="3FD4A3EF" w14:textId="77777777" w:rsidR="00C267E0" w:rsidRPr="00D24FD9" w:rsidRDefault="00C267E0" w:rsidP="002A71D3">
      <w:pPr>
        <w:spacing w:after="0" w:line="240" w:lineRule="auto"/>
        <w:jc w:val="center"/>
        <w:rPr>
          <w:rFonts w:ascii="Tahoma" w:hAnsi="Tahoma" w:cs="Tahoma"/>
          <w:bCs/>
          <w:i/>
          <w:sz w:val="21"/>
          <w:szCs w:val="21"/>
        </w:rPr>
      </w:pPr>
    </w:p>
    <w:p w14:paraId="654EFDFD" w14:textId="6F3E306C" w:rsidR="002A71D3" w:rsidRPr="00D24FD9" w:rsidRDefault="002A71D3" w:rsidP="002A71D3">
      <w:pPr>
        <w:spacing w:after="0" w:line="240" w:lineRule="auto"/>
        <w:jc w:val="center"/>
        <w:rPr>
          <w:rFonts w:ascii="Tahoma" w:hAnsi="Tahoma" w:cs="Tahoma"/>
          <w:bCs/>
          <w:i/>
          <w:sz w:val="21"/>
          <w:szCs w:val="21"/>
        </w:rPr>
      </w:pPr>
      <w:r w:rsidRPr="00D24FD9">
        <w:rPr>
          <w:rFonts w:ascii="Tahoma" w:hAnsi="Tahoma" w:cs="Tahoma"/>
          <w:bCs/>
          <w:i/>
          <w:sz w:val="21"/>
          <w:szCs w:val="21"/>
        </w:rPr>
        <w:t>“Por medio de la cual se adoptan medidas contra la reincidencia específica en delitos de alto impacto, se establecen agravantes especiales, se fortalecen los criterios de valoración judicial en materia de beneficios, subrogados y medidas de aseguramiento, y se dictan otras disposiciones.”</w:t>
      </w:r>
    </w:p>
    <w:p w14:paraId="0A48744B" w14:textId="77777777" w:rsidR="00C267E0" w:rsidRPr="00D24FD9" w:rsidRDefault="00C267E0" w:rsidP="002A71D3">
      <w:pPr>
        <w:spacing w:after="0" w:line="240" w:lineRule="auto"/>
        <w:jc w:val="center"/>
        <w:rPr>
          <w:rFonts w:ascii="Tahoma" w:hAnsi="Tahoma" w:cs="Tahoma"/>
          <w:sz w:val="21"/>
          <w:szCs w:val="21"/>
        </w:rPr>
      </w:pPr>
    </w:p>
    <w:p w14:paraId="2272B824" w14:textId="77777777" w:rsidR="002A71D3" w:rsidRPr="00D24FD9" w:rsidRDefault="002A71D3" w:rsidP="002A71D3">
      <w:pPr>
        <w:spacing w:after="0" w:line="240" w:lineRule="auto"/>
        <w:jc w:val="center"/>
        <w:rPr>
          <w:rFonts w:ascii="Tahoma" w:hAnsi="Tahoma" w:cs="Tahoma"/>
          <w:b/>
          <w:sz w:val="21"/>
          <w:szCs w:val="21"/>
        </w:rPr>
      </w:pPr>
      <w:r w:rsidRPr="00D24FD9">
        <w:rPr>
          <w:rFonts w:ascii="Tahoma" w:hAnsi="Tahoma" w:cs="Tahoma"/>
          <w:b/>
          <w:sz w:val="21"/>
          <w:szCs w:val="21"/>
        </w:rPr>
        <w:t>El Congreso de Colombia</w:t>
      </w:r>
    </w:p>
    <w:p w14:paraId="1D7D6952" w14:textId="77777777" w:rsidR="00C267E0" w:rsidRPr="00D24FD9" w:rsidRDefault="00C267E0" w:rsidP="002A71D3">
      <w:pPr>
        <w:spacing w:after="0" w:line="240" w:lineRule="auto"/>
        <w:jc w:val="center"/>
        <w:rPr>
          <w:rFonts w:ascii="Tahoma" w:hAnsi="Tahoma" w:cs="Tahoma"/>
          <w:sz w:val="21"/>
          <w:szCs w:val="21"/>
        </w:rPr>
      </w:pPr>
    </w:p>
    <w:p w14:paraId="260EFFC4" w14:textId="77777777" w:rsidR="002A71D3" w:rsidRPr="00D24FD9" w:rsidRDefault="002A71D3" w:rsidP="002A71D3">
      <w:pPr>
        <w:spacing w:after="0" w:line="240" w:lineRule="auto"/>
        <w:jc w:val="center"/>
        <w:rPr>
          <w:rFonts w:ascii="Tahoma" w:hAnsi="Tahoma" w:cs="Tahoma"/>
          <w:b/>
          <w:sz w:val="21"/>
          <w:szCs w:val="21"/>
        </w:rPr>
      </w:pPr>
      <w:r w:rsidRPr="00D24FD9">
        <w:rPr>
          <w:rFonts w:ascii="Tahoma" w:hAnsi="Tahoma" w:cs="Tahoma"/>
          <w:b/>
          <w:sz w:val="21"/>
          <w:szCs w:val="21"/>
        </w:rPr>
        <w:t>DECRETA:</w:t>
      </w:r>
    </w:p>
    <w:p w14:paraId="6A8F1D1F" w14:textId="77777777" w:rsidR="00C267E0" w:rsidRPr="00D24FD9" w:rsidRDefault="00C267E0" w:rsidP="002A71D3">
      <w:pPr>
        <w:spacing w:after="0" w:line="240" w:lineRule="auto"/>
        <w:jc w:val="center"/>
        <w:rPr>
          <w:rFonts w:ascii="Tahoma" w:hAnsi="Tahoma" w:cs="Tahoma"/>
          <w:sz w:val="21"/>
          <w:szCs w:val="21"/>
        </w:rPr>
      </w:pPr>
    </w:p>
    <w:p w14:paraId="6482BD07"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 OBJETO.</w:t>
      </w:r>
      <w:r w:rsidRPr="00D24FD9">
        <w:rPr>
          <w:rFonts w:ascii="Tahoma" w:hAnsi="Tahoma" w:cs="Tahoma"/>
          <w:sz w:val="21"/>
          <w:szCs w:val="21"/>
        </w:rPr>
        <w:t xml:space="preserve"> La presente ley tiene por objeto adoptar medidas penales, procesales y de política criminal frente a la reincidencia específica en delitos de alto impacto ciudadano, con el fin de proteger la seguridad pública, los derechos de las víctimas, la eficacia de la administración de justicia y la confianza ciudadana en el sistema penal.</w:t>
      </w:r>
    </w:p>
    <w:p w14:paraId="069AAE42" w14:textId="77777777" w:rsidR="00320EE1" w:rsidRPr="00D24FD9" w:rsidRDefault="00320EE1" w:rsidP="00320EE1">
      <w:pPr>
        <w:spacing w:after="0" w:line="240" w:lineRule="auto"/>
        <w:jc w:val="both"/>
        <w:rPr>
          <w:rFonts w:ascii="Tahoma" w:hAnsi="Tahoma" w:cs="Tahoma"/>
          <w:sz w:val="21"/>
          <w:szCs w:val="21"/>
        </w:rPr>
      </w:pPr>
    </w:p>
    <w:p w14:paraId="771BBEFD"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Para tal efecto, la presente ley establece agravantes especiales, reglas de valoración judicial reforzada en materia de beneficios, subrogados y mecanismos sustitutivos de la pena, criterios procesales para la imposición de medidas de aseguramiento y medidas de gestión judicial para prevenir la reiteración delictiva y el vencimiento de términos.</w:t>
      </w:r>
    </w:p>
    <w:p w14:paraId="7E7AE5C5" w14:textId="77777777" w:rsidR="00320EE1" w:rsidRPr="00D24FD9" w:rsidRDefault="00320EE1" w:rsidP="00320EE1">
      <w:pPr>
        <w:spacing w:after="0" w:line="240" w:lineRule="auto"/>
        <w:jc w:val="both"/>
        <w:rPr>
          <w:rFonts w:ascii="Tahoma" w:hAnsi="Tahoma" w:cs="Tahoma"/>
          <w:sz w:val="21"/>
          <w:szCs w:val="21"/>
        </w:rPr>
      </w:pPr>
    </w:p>
    <w:p w14:paraId="4BCDAC21"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2°. REINCIDENCIA ESPECÍFICA RELEVANTE.</w:t>
      </w:r>
      <w:r w:rsidRPr="00D24FD9">
        <w:rPr>
          <w:rFonts w:ascii="Tahoma" w:hAnsi="Tahoma" w:cs="Tahoma"/>
          <w:sz w:val="21"/>
          <w:szCs w:val="21"/>
        </w:rPr>
        <w:t xml:space="preserve"> Adiciónese un artículo 58A a la Ley 599 de 2000, el cual quedará así:</w:t>
      </w:r>
    </w:p>
    <w:p w14:paraId="2C5147AE" w14:textId="77777777" w:rsidR="00320EE1" w:rsidRPr="00D24FD9" w:rsidRDefault="00320EE1" w:rsidP="00320EE1">
      <w:pPr>
        <w:spacing w:after="0" w:line="240" w:lineRule="auto"/>
        <w:jc w:val="both"/>
        <w:rPr>
          <w:rFonts w:ascii="Tahoma" w:hAnsi="Tahoma" w:cs="Tahoma"/>
          <w:sz w:val="21"/>
          <w:szCs w:val="21"/>
        </w:rPr>
      </w:pPr>
    </w:p>
    <w:p w14:paraId="4537A1F2"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w:t>
      </w:r>
      <w:r w:rsidRPr="00D24FD9">
        <w:rPr>
          <w:rFonts w:ascii="Tahoma" w:hAnsi="Tahoma" w:cs="Tahoma"/>
          <w:b/>
          <w:bCs/>
          <w:i/>
          <w:iCs/>
          <w:sz w:val="21"/>
          <w:szCs w:val="21"/>
        </w:rPr>
        <w:t>ARTÍCULO 58A. REINCIDENCIA ESPECÍFICA RELEVANTE.</w:t>
      </w:r>
      <w:r w:rsidRPr="00D24FD9">
        <w:rPr>
          <w:rFonts w:ascii="Tahoma" w:hAnsi="Tahoma" w:cs="Tahoma"/>
          <w:i/>
          <w:iCs/>
          <w:sz w:val="21"/>
          <w:szCs w:val="21"/>
        </w:rPr>
        <w:t xml:space="preserve"> Para efectos de las agravantes especiales y demás consecuencias expresamente previstas en la ley, se entiende por reincidencia </w:t>
      </w:r>
      <w:r w:rsidRPr="00D24FD9">
        <w:rPr>
          <w:rFonts w:ascii="Tahoma" w:hAnsi="Tahoma" w:cs="Tahoma"/>
          <w:i/>
          <w:iCs/>
          <w:sz w:val="21"/>
          <w:szCs w:val="21"/>
        </w:rPr>
        <w:lastRenderedPageBreak/>
        <w:t>específica relevante la comisión de una nueva conducta punible dolosa cuando la persona haya sido condenada previamente, mediante sentencia ejecutoriada cuya ejecutoria se haya producido dentro de los cinco (5) años anteriores a la comisión del nuevo delito, por el mismo delito, por una modalidad calificada o agravada del mismo, por su tentativa punible, o por uno de los delitos que la ley señale de manera expresa como funcionalmente conexo.</w:t>
      </w:r>
    </w:p>
    <w:p w14:paraId="024CA28D" w14:textId="77777777" w:rsidR="00320EE1" w:rsidRPr="00D24FD9" w:rsidRDefault="00320EE1" w:rsidP="00320EE1">
      <w:pPr>
        <w:spacing w:after="0" w:line="240" w:lineRule="auto"/>
        <w:jc w:val="both"/>
        <w:rPr>
          <w:rFonts w:ascii="Tahoma" w:hAnsi="Tahoma" w:cs="Tahoma"/>
          <w:i/>
          <w:iCs/>
          <w:sz w:val="21"/>
          <w:szCs w:val="21"/>
        </w:rPr>
      </w:pPr>
    </w:p>
    <w:p w14:paraId="5104A256"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reincidencia específica relevante no constituye circunstancia genérica de mayor punibilidad ni autoriza, por sí sola, el aumento de la pena. Solo producirá efectos punitivos, procesales o de ejecución de la pena en los casos expresamente previstos por la ley.</w:t>
      </w:r>
    </w:p>
    <w:p w14:paraId="39D4900A" w14:textId="77777777" w:rsidR="00320EE1" w:rsidRPr="00D24FD9" w:rsidRDefault="00320EE1" w:rsidP="00320EE1">
      <w:pPr>
        <w:spacing w:after="0" w:line="240" w:lineRule="auto"/>
        <w:jc w:val="both"/>
        <w:rPr>
          <w:rFonts w:ascii="Tahoma" w:hAnsi="Tahoma" w:cs="Tahoma"/>
          <w:i/>
          <w:iCs/>
          <w:sz w:val="21"/>
          <w:szCs w:val="21"/>
        </w:rPr>
      </w:pPr>
    </w:p>
    <w:p w14:paraId="2AA6B576"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Para su aplicación, el juez deberá verificar y motivar de manera expresa:</w:t>
      </w:r>
    </w:p>
    <w:p w14:paraId="588C43F0" w14:textId="77777777" w:rsidR="00320EE1" w:rsidRPr="00D24FD9" w:rsidRDefault="00320EE1" w:rsidP="00320EE1">
      <w:pPr>
        <w:spacing w:after="0" w:line="240" w:lineRule="auto"/>
        <w:ind w:left="720"/>
        <w:jc w:val="both"/>
        <w:rPr>
          <w:rFonts w:ascii="Tahoma" w:hAnsi="Tahoma" w:cs="Tahoma"/>
          <w:i/>
          <w:iCs/>
          <w:sz w:val="21"/>
          <w:szCs w:val="21"/>
        </w:rPr>
      </w:pPr>
    </w:p>
    <w:p w14:paraId="18172063" w14:textId="77777777" w:rsidR="00320EE1" w:rsidRPr="00D24FD9" w:rsidRDefault="00320EE1" w:rsidP="00320EE1">
      <w:pPr>
        <w:numPr>
          <w:ilvl w:val="0"/>
          <w:numId w:val="16"/>
        </w:numPr>
        <w:tabs>
          <w:tab w:val="clear" w:pos="720"/>
        </w:tabs>
        <w:spacing w:after="0" w:line="240" w:lineRule="auto"/>
        <w:ind w:left="426" w:hanging="426"/>
        <w:jc w:val="both"/>
        <w:rPr>
          <w:rFonts w:ascii="Tahoma" w:hAnsi="Tahoma" w:cs="Tahoma"/>
          <w:i/>
          <w:iCs/>
          <w:sz w:val="21"/>
          <w:szCs w:val="21"/>
        </w:rPr>
      </w:pPr>
      <w:r w:rsidRPr="00D24FD9">
        <w:rPr>
          <w:rFonts w:ascii="Tahoma" w:hAnsi="Tahoma" w:cs="Tahoma"/>
          <w:i/>
          <w:iCs/>
          <w:sz w:val="21"/>
          <w:szCs w:val="21"/>
        </w:rPr>
        <w:t>La existencia de sentencia condenatoria ejecutoriada.</w:t>
      </w:r>
    </w:p>
    <w:p w14:paraId="4A423368" w14:textId="77777777" w:rsidR="00320EE1" w:rsidRPr="00D24FD9" w:rsidRDefault="00320EE1" w:rsidP="00320EE1">
      <w:pPr>
        <w:numPr>
          <w:ilvl w:val="0"/>
          <w:numId w:val="16"/>
        </w:numPr>
        <w:tabs>
          <w:tab w:val="clear" w:pos="720"/>
        </w:tabs>
        <w:spacing w:after="0" w:line="240" w:lineRule="auto"/>
        <w:ind w:left="426" w:hanging="426"/>
        <w:jc w:val="both"/>
        <w:rPr>
          <w:rFonts w:ascii="Tahoma" w:hAnsi="Tahoma" w:cs="Tahoma"/>
          <w:i/>
          <w:iCs/>
          <w:sz w:val="21"/>
          <w:szCs w:val="21"/>
        </w:rPr>
      </w:pPr>
      <w:r w:rsidRPr="00D24FD9">
        <w:rPr>
          <w:rFonts w:ascii="Tahoma" w:hAnsi="Tahoma" w:cs="Tahoma"/>
          <w:i/>
          <w:iCs/>
          <w:sz w:val="21"/>
          <w:szCs w:val="21"/>
        </w:rPr>
        <w:t>Que la condena anterior corresponda a delito doloso.</w:t>
      </w:r>
    </w:p>
    <w:p w14:paraId="68BAF485" w14:textId="77777777" w:rsidR="00320EE1" w:rsidRPr="00D24FD9" w:rsidRDefault="00320EE1" w:rsidP="00320EE1">
      <w:pPr>
        <w:numPr>
          <w:ilvl w:val="0"/>
          <w:numId w:val="16"/>
        </w:numPr>
        <w:tabs>
          <w:tab w:val="clear" w:pos="720"/>
        </w:tabs>
        <w:spacing w:after="0" w:line="240" w:lineRule="auto"/>
        <w:ind w:left="426" w:hanging="426"/>
        <w:jc w:val="both"/>
        <w:rPr>
          <w:rFonts w:ascii="Tahoma" w:hAnsi="Tahoma" w:cs="Tahoma"/>
          <w:i/>
          <w:iCs/>
          <w:sz w:val="21"/>
          <w:szCs w:val="21"/>
        </w:rPr>
      </w:pPr>
      <w:r w:rsidRPr="00D24FD9">
        <w:rPr>
          <w:rFonts w:ascii="Tahoma" w:hAnsi="Tahoma" w:cs="Tahoma"/>
          <w:i/>
          <w:iCs/>
          <w:sz w:val="21"/>
          <w:szCs w:val="21"/>
        </w:rPr>
        <w:t>Que la ejecutoria de la condena anterior se haya producido dentro de los cinco (5) años anteriores a la comisión del nuevo delito.</w:t>
      </w:r>
    </w:p>
    <w:p w14:paraId="6743870D" w14:textId="77777777" w:rsidR="00320EE1" w:rsidRPr="00D24FD9" w:rsidRDefault="00320EE1" w:rsidP="00320EE1">
      <w:pPr>
        <w:numPr>
          <w:ilvl w:val="0"/>
          <w:numId w:val="16"/>
        </w:numPr>
        <w:tabs>
          <w:tab w:val="clear" w:pos="720"/>
        </w:tabs>
        <w:spacing w:after="0" w:line="240" w:lineRule="auto"/>
        <w:ind w:left="426" w:hanging="426"/>
        <w:jc w:val="both"/>
        <w:rPr>
          <w:rFonts w:ascii="Tahoma" w:hAnsi="Tahoma" w:cs="Tahoma"/>
          <w:i/>
          <w:iCs/>
          <w:sz w:val="21"/>
          <w:szCs w:val="21"/>
        </w:rPr>
      </w:pPr>
      <w:r w:rsidRPr="00D24FD9">
        <w:rPr>
          <w:rFonts w:ascii="Tahoma" w:hAnsi="Tahoma" w:cs="Tahoma"/>
          <w:i/>
          <w:iCs/>
          <w:sz w:val="21"/>
          <w:szCs w:val="21"/>
        </w:rPr>
        <w:t>Que exista identidad o conexidad funcional expresamente prevista en la ley entre la conducta anterior y la nueva conducta.</w:t>
      </w:r>
    </w:p>
    <w:p w14:paraId="24A0FDC7" w14:textId="77777777" w:rsidR="00320EE1" w:rsidRPr="00D24FD9" w:rsidRDefault="00320EE1" w:rsidP="00320EE1">
      <w:pPr>
        <w:numPr>
          <w:ilvl w:val="0"/>
          <w:numId w:val="16"/>
        </w:numPr>
        <w:tabs>
          <w:tab w:val="clear" w:pos="720"/>
        </w:tabs>
        <w:spacing w:after="0" w:line="240" w:lineRule="auto"/>
        <w:ind w:left="426" w:hanging="426"/>
        <w:jc w:val="both"/>
        <w:rPr>
          <w:rFonts w:ascii="Tahoma" w:hAnsi="Tahoma" w:cs="Tahoma"/>
          <w:i/>
          <w:iCs/>
          <w:sz w:val="21"/>
          <w:szCs w:val="21"/>
        </w:rPr>
      </w:pPr>
      <w:r w:rsidRPr="00D24FD9">
        <w:rPr>
          <w:rFonts w:ascii="Tahoma" w:hAnsi="Tahoma" w:cs="Tahoma"/>
          <w:i/>
          <w:iCs/>
          <w:sz w:val="21"/>
          <w:szCs w:val="21"/>
        </w:rPr>
        <w:t>Que la valoración de la condena anterior no implique sancionar nuevamente el hecho ya juzgado, sino apreciar su relación específica con la mayor gravedad del nuevo hecho o con las consecuencias punitivas, procesales o de ejecución de la pena expresamente autorizadas por la ley.</w:t>
      </w:r>
    </w:p>
    <w:p w14:paraId="4F347F07" w14:textId="77777777" w:rsidR="00320EE1" w:rsidRPr="00D24FD9" w:rsidRDefault="00320EE1" w:rsidP="00320EE1">
      <w:pPr>
        <w:spacing w:after="0" w:line="240" w:lineRule="auto"/>
        <w:ind w:left="720"/>
        <w:jc w:val="both"/>
        <w:rPr>
          <w:rFonts w:ascii="Tahoma" w:hAnsi="Tahoma" w:cs="Tahoma"/>
          <w:i/>
          <w:iCs/>
          <w:sz w:val="21"/>
          <w:szCs w:val="21"/>
        </w:rPr>
      </w:pPr>
    </w:p>
    <w:p w14:paraId="2BFA112D"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No podrán tenerse como fundamento de la reincidencia específica relevante las capturas, imputaciones, acusaciones, anotaciones judiciales, registros policiales, investigaciones en curso, medidas de aseguramiento, preacuerdos no aprobados judicialmente ni cualquier otro registro que no corresponda a sentencia condenatoria ejecutoriada.</w:t>
      </w:r>
    </w:p>
    <w:p w14:paraId="3371B8D3" w14:textId="77777777" w:rsidR="00320EE1" w:rsidRPr="00D24FD9" w:rsidRDefault="00320EE1" w:rsidP="00320EE1">
      <w:pPr>
        <w:spacing w:after="0" w:line="240" w:lineRule="auto"/>
        <w:jc w:val="both"/>
        <w:rPr>
          <w:rFonts w:ascii="Tahoma" w:hAnsi="Tahoma" w:cs="Tahoma"/>
          <w:i/>
          <w:iCs/>
          <w:sz w:val="21"/>
          <w:szCs w:val="21"/>
        </w:rPr>
      </w:pPr>
    </w:p>
    <w:p w14:paraId="2CCC4973"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condena previa que sirva de fundamento para la aplicación de una agravante especial por reincidencia específica relevante no podrá ser utilizada nuevamente para agravar la pena por la misma razón. Lo anterior no impide su valoración en las instituciones procesales, penitenciarias, de ejecución de la pena, beneficios, subrogados o mecanismos sustitutivos, en los términos y con los límites previstos en la Constitución y la ley.”</w:t>
      </w:r>
    </w:p>
    <w:p w14:paraId="342A8F9A" w14:textId="77777777" w:rsidR="00320EE1" w:rsidRPr="00D24FD9" w:rsidRDefault="00320EE1" w:rsidP="00320EE1">
      <w:pPr>
        <w:spacing w:after="0" w:line="240" w:lineRule="auto"/>
        <w:jc w:val="both"/>
        <w:rPr>
          <w:rFonts w:ascii="Tahoma" w:hAnsi="Tahoma" w:cs="Tahoma"/>
          <w:sz w:val="21"/>
          <w:szCs w:val="21"/>
        </w:rPr>
      </w:pPr>
    </w:p>
    <w:p w14:paraId="5FD3E414"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3°. AGRAVANTE ESPECIAL POR REINCIDENCIA ESPECÍFICA EN HURTO.</w:t>
      </w:r>
      <w:r w:rsidRPr="00D24FD9">
        <w:rPr>
          <w:rFonts w:ascii="Tahoma" w:hAnsi="Tahoma" w:cs="Tahoma"/>
          <w:sz w:val="21"/>
          <w:szCs w:val="21"/>
        </w:rPr>
        <w:t xml:space="preserve"> Adiciónese un numeral nuevo al artículo 241 de la Ley 599 de 2000, modificado por el artículo 51 de la Ley 1142 de 2007, el cual quedará así:</w:t>
      </w:r>
    </w:p>
    <w:p w14:paraId="5EE1CB00" w14:textId="77777777" w:rsidR="00320EE1" w:rsidRPr="00D24FD9" w:rsidRDefault="00320EE1" w:rsidP="00320EE1">
      <w:pPr>
        <w:spacing w:after="0" w:line="240" w:lineRule="auto"/>
        <w:jc w:val="both"/>
        <w:rPr>
          <w:rFonts w:ascii="Tahoma" w:hAnsi="Tahoma" w:cs="Tahoma"/>
          <w:sz w:val="21"/>
          <w:szCs w:val="21"/>
        </w:rPr>
      </w:pPr>
    </w:p>
    <w:p w14:paraId="1735A2E2"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“16. En estado de reincidencia específica relevante respecto de condena anterior por hurto, hurto calificado, hurto en cualquiera de sus modalidades agravadas, o tentativa punible de cualquiera de estas conductas.”</w:t>
      </w:r>
    </w:p>
    <w:p w14:paraId="7FB67072" w14:textId="77777777" w:rsidR="00320EE1" w:rsidRPr="00D24FD9" w:rsidRDefault="00320EE1" w:rsidP="00320EE1">
      <w:pPr>
        <w:spacing w:after="0" w:line="240" w:lineRule="auto"/>
        <w:jc w:val="both"/>
        <w:rPr>
          <w:rFonts w:ascii="Tahoma" w:hAnsi="Tahoma" w:cs="Tahoma"/>
          <w:sz w:val="21"/>
          <w:szCs w:val="21"/>
        </w:rPr>
      </w:pPr>
    </w:p>
    <w:p w14:paraId="1504B609"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4°. AGRAVANTE ESPECIAL POR REINCIDENCIA ESPECÍFICA EN RECEPTACIÓN.</w:t>
      </w:r>
      <w:r w:rsidRPr="00D24FD9">
        <w:rPr>
          <w:rFonts w:ascii="Tahoma" w:hAnsi="Tahoma" w:cs="Tahoma"/>
          <w:sz w:val="21"/>
          <w:szCs w:val="21"/>
        </w:rPr>
        <w:t xml:space="preserve"> Adiciónese un parágrafo nuevo al artículo 447 de la Ley 599 de 2000, modificado por el artículo 45 de la Ley 1142 de 2007, el cual quedará así:</w:t>
      </w:r>
    </w:p>
    <w:p w14:paraId="70C82B0B" w14:textId="77777777" w:rsidR="00320EE1" w:rsidRPr="00D24FD9" w:rsidRDefault="00320EE1" w:rsidP="00320EE1">
      <w:pPr>
        <w:spacing w:after="0" w:line="240" w:lineRule="auto"/>
        <w:jc w:val="both"/>
        <w:rPr>
          <w:rFonts w:ascii="Tahoma" w:hAnsi="Tahoma" w:cs="Tahoma"/>
          <w:sz w:val="21"/>
          <w:szCs w:val="21"/>
        </w:rPr>
      </w:pPr>
    </w:p>
    <w:p w14:paraId="4A28328A"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lastRenderedPageBreak/>
        <w:t>“</w:t>
      </w:r>
      <w:r w:rsidRPr="00D24FD9">
        <w:rPr>
          <w:rFonts w:ascii="Tahoma" w:hAnsi="Tahoma" w:cs="Tahoma"/>
          <w:b/>
          <w:bCs/>
          <w:i/>
          <w:iCs/>
          <w:sz w:val="21"/>
          <w:szCs w:val="21"/>
        </w:rPr>
        <w:t>PARÁGRAFO.</w:t>
      </w:r>
      <w:r w:rsidRPr="00D24FD9">
        <w:rPr>
          <w:rFonts w:ascii="Tahoma" w:hAnsi="Tahoma" w:cs="Tahoma"/>
          <w:i/>
          <w:iCs/>
          <w:sz w:val="21"/>
          <w:szCs w:val="21"/>
        </w:rPr>
        <w:t xml:space="preserve"> La pena prevista en el presente artículo se aumentará de una tercera parte (1/3) a la mitad cuando la conducta sea cometida en estado de reincidencia específica relevante respecto de condena anterior por receptación.</w:t>
      </w:r>
    </w:p>
    <w:p w14:paraId="0327C78E" w14:textId="77777777" w:rsidR="00320EE1" w:rsidRPr="00D24FD9" w:rsidRDefault="00320EE1" w:rsidP="00320EE1">
      <w:pPr>
        <w:spacing w:after="0" w:line="240" w:lineRule="auto"/>
        <w:jc w:val="both"/>
        <w:rPr>
          <w:rFonts w:ascii="Tahoma" w:hAnsi="Tahoma" w:cs="Tahoma"/>
          <w:i/>
          <w:iCs/>
          <w:sz w:val="21"/>
          <w:szCs w:val="21"/>
        </w:rPr>
      </w:pPr>
    </w:p>
    <w:p w14:paraId="281F49E3"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También procederá el aumento cuando la condena anterior haya sido por hurto, hurto calificado, hurto en cualquiera de sus modalidades agravadas o hurto por medios informáticos, siempre que el juez motive de manera expresa la conexidad funcional entre la condena previa y la nueva conducta de receptación.”</w:t>
      </w:r>
    </w:p>
    <w:p w14:paraId="53623EE4" w14:textId="77777777" w:rsidR="00320EE1" w:rsidRPr="00D24FD9" w:rsidRDefault="00320EE1" w:rsidP="00320EE1">
      <w:pPr>
        <w:spacing w:after="0" w:line="240" w:lineRule="auto"/>
        <w:jc w:val="both"/>
        <w:rPr>
          <w:rFonts w:ascii="Tahoma" w:hAnsi="Tahoma" w:cs="Tahoma"/>
          <w:sz w:val="21"/>
          <w:szCs w:val="21"/>
        </w:rPr>
      </w:pPr>
    </w:p>
    <w:p w14:paraId="7B138EDC"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5°. AGRAVANTE ESPECIAL POR REINCIDENCIA ESPECÍFICA EN EXTORSIÓN.</w:t>
      </w:r>
      <w:r w:rsidRPr="00D24FD9">
        <w:rPr>
          <w:rFonts w:ascii="Tahoma" w:hAnsi="Tahoma" w:cs="Tahoma"/>
          <w:sz w:val="21"/>
          <w:szCs w:val="21"/>
        </w:rPr>
        <w:t xml:space="preserve"> Adiciónese un numeral nuevo al artículo 245 de la Ley 599 de 2000, modificado por el artículo 6 de la Ley 733 de 2002, el cual quedará así:</w:t>
      </w:r>
    </w:p>
    <w:p w14:paraId="385C8C8D" w14:textId="77777777" w:rsidR="00320EE1" w:rsidRPr="00D24FD9" w:rsidRDefault="00320EE1" w:rsidP="00320EE1">
      <w:pPr>
        <w:spacing w:after="0" w:line="240" w:lineRule="auto"/>
        <w:jc w:val="both"/>
        <w:rPr>
          <w:rFonts w:ascii="Tahoma" w:hAnsi="Tahoma" w:cs="Tahoma"/>
          <w:sz w:val="21"/>
          <w:szCs w:val="21"/>
        </w:rPr>
      </w:pPr>
    </w:p>
    <w:p w14:paraId="5188D629"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“12. Cuando la conducta sea cometida en estado de reincidencia específica relevante respecto de condena anterior por extorsión o tentativa de extorsión.”</w:t>
      </w:r>
    </w:p>
    <w:p w14:paraId="098CD40A" w14:textId="77777777" w:rsidR="00320EE1" w:rsidRPr="00D24FD9" w:rsidRDefault="00320EE1" w:rsidP="00320EE1">
      <w:pPr>
        <w:spacing w:after="0" w:line="240" w:lineRule="auto"/>
        <w:jc w:val="both"/>
        <w:rPr>
          <w:rFonts w:ascii="Tahoma" w:hAnsi="Tahoma" w:cs="Tahoma"/>
          <w:i/>
          <w:iCs/>
          <w:sz w:val="21"/>
          <w:szCs w:val="21"/>
        </w:rPr>
      </w:pPr>
    </w:p>
    <w:p w14:paraId="7AAF41BF"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6°. REINCIDENCIA Y AGRAVACIÓN ESPECIAL EN VIOLENCIA INTRAFAMILIAR.</w:t>
      </w:r>
      <w:r w:rsidRPr="00D24FD9">
        <w:rPr>
          <w:rFonts w:ascii="Tahoma" w:hAnsi="Tahoma" w:cs="Tahoma"/>
          <w:sz w:val="21"/>
          <w:szCs w:val="21"/>
        </w:rPr>
        <w:t xml:space="preserve"> Adiciónense dos incisos, después del inciso tercero, al artículo 229 de la Ley 599 de 2000, modificado por el artículo 1 de la Ley 1959 de 2019, los cuales quedarán así:</w:t>
      </w:r>
    </w:p>
    <w:p w14:paraId="307A2C7B" w14:textId="77777777" w:rsidR="00320EE1" w:rsidRPr="00D24FD9" w:rsidRDefault="00320EE1" w:rsidP="00320EE1">
      <w:pPr>
        <w:spacing w:after="0" w:line="240" w:lineRule="auto"/>
        <w:jc w:val="both"/>
        <w:rPr>
          <w:rFonts w:ascii="Tahoma" w:hAnsi="Tahoma" w:cs="Tahoma"/>
          <w:i/>
          <w:iCs/>
          <w:sz w:val="21"/>
          <w:szCs w:val="21"/>
        </w:rPr>
      </w:pPr>
    </w:p>
    <w:p w14:paraId="5A093A55"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“Sin perjuicio de lo anterior, la pena prevista en el presente artículo se aumentará de una tercera parte (1/3) a la mitad cuando la conducta sea cometida en estado de reincidencia específica relevante respecto de condena anterior ejecutoriada por el delito de violencia intrafamiliar, cuya ejecutoria se haya producido dentro de los cinco (5) años anteriores a la comisión del nuevo hecho, siempre que la nueva conducta recaiga sobre la misma víctima, sobre integrante del mismo núcleo familiar o sobre persona protegida por el presente artículo respecto de la cual el juez constate y motive un patrón de reiteración de violencia intrafamiliar.</w:t>
      </w:r>
    </w:p>
    <w:p w14:paraId="2F0FABF1" w14:textId="77777777" w:rsidR="00320EE1" w:rsidRPr="00D24FD9" w:rsidRDefault="00320EE1" w:rsidP="00320EE1">
      <w:pPr>
        <w:spacing w:after="0" w:line="240" w:lineRule="auto"/>
        <w:jc w:val="both"/>
        <w:rPr>
          <w:rFonts w:ascii="Tahoma" w:hAnsi="Tahoma" w:cs="Tahoma"/>
          <w:i/>
          <w:iCs/>
          <w:sz w:val="21"/>
          <w:szCs w:val="21"/>
        </w:rPr>
      </w:pPr>
    </w:p>
    <w:p w14:paraId="074406F5"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Cuando concurran los supuestos previstos en el inciso anterior y en el inciso tercero del presente artículo, el juez aplicará el aumento punitivo previsto para la reincidencia específica relevante y, dentro del marco punitivo resultante, individualizará la pena conforme a las reglas generales de dosificación punitiva, sin que la misma condena previa pueda ser utilizada para agravar nuevamente la pena por la misma razón.”</w:t>
      </w:r>
    </w:p>
    <w:p w14:paraId="57CBA6A4" w14:textId="77777777" w:rsidR="00320EE1" w:rsidRPr="00D24FD9" w:rsidRDefault="00320EE1" w:rsidP="00320EE1">
      <w:pPr>
        <w:spacing w:after="0" w:line="240" w:lineRule="auto"/>
        <w:jc w:val="both"/>
        <w:rPr>
          <w:rFonts w:ascii="Tahoma" w:hAnsi="Tahoma" w:cs="Tahoma"/>
          <w:sz w:val="21"/>
          <w:szCs w:val="21"/>
        </w:rPr>
      </w:pPr>
    </w:p>
    <w:p w14:paraId="3AC4BFEA"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7°. AGRAVANTE ESPECIAL POR REINCIDENCIA ESPECÍFICA EN LESIONES PERSONALES DOLOSAS.</w:t>
      </w:r>
      <w:r w:rsidRPr="00D24FD9">
        <w:rPr>
          <w:rFonts w:ascii="Tahoma" w:hAnsi="Tahoma" w:cs="Tahoma"/>
          <w:sz w:val="21"/>
          <w:szCs w:val="21"/>
        </w:rPr>
        <w:t xml:space="preserve"> Adiciónese un inciso nuevo al artículo 119 de la Ley 599 de 2000, modificado por el artículo 200 de la Ley 1098 de 2006, el cual quedará así:</w:t>
      </w:r>
    </w:p>
    <w:p w14:paraId="290341C9" w14:textId="77777777" w:rsidR="00320EE1" w:rsidRPr="00D24FD9" w:rsidRDefault="00320EE1" w:rsidP="00320EE1">
      <w:pPr>
        <w:spacing w:after="0" w:line="240" w:lineRule="auto"/>
        <w:jc w:val="both"/>
        <w:rPr>
          <w:rFonts w:ascii="Tahoma" w:hAnsi="Tahoma" w:cs="Tahoma"/>
          <w:sz w:val="21"/>
          <w:szCs w:val="21"/>
        </w:rPr>
      </w:pPr>
    </w:p>
    <w:p w14:paraId="7CFF8452"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“El mismo aumento de pena previsto en el presente artículo se aplicará cuando las lesiones personales dolosas sean cometidas en estado de reincidencia específica relevante respecto de condena anterior por lesiones personales dolosas.”</w:t>
      </w:r>
    </w:p>
    <w:p w14:paraId="718448DA" w14:textId="77777777" w:rsidR="00320EE1" w:rsidRPr="00D24FD9" w:rsidRDefault="00320EE1" w:rsidP="00320EE1">
      <w:pPr>
        <w:spacing w:after="0" w:line="240" w:lineRule="auto"/>
        <w:jc w:val="both"/>
        <w:rPr>
          <w:rFonts w:ascii="Tahoma" w:hAnsi="Tahoma" w:cs="Tahoma"/>
          <w:sz w:val="21"/>
          <w:szCs w:val="21"/>
        </w:rPr>
      </w:pPr>
    </w:p>
    <w:p w14:paraId="7AEBD831"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8°. AGRAVANTE ESPECIAL POR REINCIDENCIA ESPECÍFICA EN HOMICIDIO DOLOSO.</w:t>
      </w:r>
      <w:r w:rsidRPr="00D24FD9">
        <w:rPr>
          <w:rFonts w:ascii="Tahoma" w:hAnsi="Tahoma" w:cs="Tahoma"/>
          <w:sz w:val="21"/>
          <w:szCs w:val="21"/>
        </w:rPr>
        <w:t xml:space="preserve"> Adiciónese un numeral nuevo al segundo grupo de circunstancias de agravación previsto en el artículo 104 de la Ley 599 de 2000, modificado por el artículo 8 de la Ley 2197 de 2022 y corregido por el artículo 5 del Decreto 207 de 2022, correspondiente a los eventos sancionados con pena de quinientos (500) a setecientos (700) meses de prisión, el cual quedará así:</w:t>
      </w:r>
    </w:p>
    <w:p w14:paraId="44D1B986" w14:textId="77777777" w:rsidR="00320EE1" w:rsidRPr="00D24FD9" w:rsidRDefault="00320EE1" w:rsidP="00320EE1">
      <w:pPr>
        <w:spacing w:after="0" w:line="240" w:lineRule="auto"/>
        <w:jc w:val="both"/>
        <w:rPr>
          <w:rFonts w:ascii="Tahoma" w:hAnsi="Tahoma" w:cs="Tahoma"/>
          <w:i/>
          <w:iCs/>
          <w:sz w:val="21"/>
          <w:szCs w:val="21"/>
        </w:rPr>
      </w:pPr>
    </w:p>
    <w:p w14:paraId="3CC72EE9"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“6. Exclusivamente para los efectos de la conducta descrita en el artículo 103 de este Código, cuando el homicidio sea cometido en estado de reincidencia específica relevante respecto de condena anterior ejecutoriada por homicidio doloso, homicidio agravado, tentativa de homicidio doloso o tentativa de homicidio agravado.”</w:t>
      </w:r>
    </w:p>
    <w:p w14:paraId="405F6355" w14:textId="77777777" w:rsidR="00320EE1" w:rsidRPr="00D24FD9" w:rsidRDefault="00320EE1" w:rsidP="00320EE1">
      <w:pPr>
        <w:spacing w:after="0" w:line="240" w:lineRule="auto"/>
        <w:jc w:val="both"/>
        <w:rPr>
          <w:rFonts w:ascii="Tahoma" w:hAnsi="Tahoma" w:cs="Tahoma"/>
          <w:sz w:val="21"/>
          <w:szCs w:val="21"/>
        </w:rPr>
      </w:pPr>
    </w:p>
    <w:p w14:paraId="267280AF"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 xml:space="preserve">ARTÍCULO 9°. AGRAVANTE ESPECIAL POR REINCIDENCIA ESPECÍFICA EN FABRICACIÓN, TRÁFICO Y PORTE DE ARMAS DE FUEGO O MUNICIONES. </w:t>
      </w:r>
      <w:r w:rsidRPr="00D24FD9">
        <w:rPr>
          <w:rFonts w:ascii="Tahoma" w:hAnsi="Tahoma" w:cs="Tahoma"/>
          <w:sz w:val="21"/>
          <w:szCs w:val="21"/>
        </w:rPr>
        <w:t>Adiciónese un numeral nuevo al inciso tercero del artículo 365 de la Ley 599 de 2000, modificado por el artículo 19 de la Ley 1453 de 2011, dentro del listado de circunstancias en las cuales la pena dispuesta se duplicará, el cual quedará así:</w:t>
      </w:r>
    </w:p>
    <w:p w14:paraId="11BF7405" w14:textId="77777777" w:rsidR="00320EE1" w:rsidRPr="00D24FD9" w:rsidRDefault="00320EE1" w:rsidP="00320EE1">
      <w:pPr>
        <w:spacing w:after="0" w:line="240" w:lineRule="auto"/>
        <w:jc w:val="both"/>
        <w:rPr>
          <w:rFonts w:ascii="Tahoma" w:hAnsi="Tahoma" w:cs="Tahoma"/>
          <w:i/>
          <w:iCs/>
          <w:sz w:val="21"/>
          <w:szCs w:val="21"/>
        </w:rPr>
      </w:pPr>
    </w:p>
    <w:p w14:paraId="78D2B15D"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“9. Cuando la conducta sea cometida en estado de reincidencia específica relevante respecto de condena anterior ejecutoriada por cualquiera de las conductas previstas en los artículos 365 o 366 de la Ley 599 de 2000.”</w:t>
      </w:r>
    </w:p>
    <w:p w14:paraId="45EB3CEA" w14:textId="77777777" w:rsidR="00320EE1" w:rsidRPr="00D24FD9" w:rsidRDefault="00320EE1" w:rsidP="00320EE1">
      <w:pPr>
        <w:spacing w:after="0" w:line="240" w:lineRule="auto"/>
        <w:jc w:val="both"/>
        <w:rPr>
          <w:rFonts w:ascii="Tahoma" w:hAnsi="Tahoma" w:cs="Tahoma"/>
          <w:sz w:val="21"/>
          <w:szCs w:val="21"/>
        </w:rPr>
      </w:pPr>
    </w:p>
    <w:p w14:paraId="6C8CA7DC"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10°. AGRAVANTE ESPECIAL POR REINCIDENCIA ESPECÍFICA EN CONCIERTO PARA DELINQUIR.</w:t>
      </w:r>
      <w:r w:rsidRPr="00D24FD9">
        <w:rPr>
          <w:rFonts w:ascii="Tahoma" w:hAnsi="Tahoma" w:cs="Tahoma"/>
          <w:sz w:val="21"/>
          <w:szCs w:val="21"/>
        </w:rPr>
        <w:t xml:space="preserve"> Adiciónese un inciso nuevo al artículo 340 de la Ley 599 de 2000, modificado por el artículo 5 de la Ley 1908 de 2018, el cual quedará así:</w:t>
      </w:r>
    </w:p>
    <w:p w14:paraId="6B108E5E" w14:textId="77777777" w:rsidR="00320EE1" w:rsidRPr="00D24FD9" w:rsidRDefault="00320EE1" w:rsidP="00320EE1">
      <w:pPr>
        <w:spacing w:after="0" w:line="240" w:lineRule="auto"/>
        <w:jc w:val="both"/>
        <w:rPr>
          <w:rFonts w:ascii="Tahoma" w:hAnsi="Tahoma" w:cs="Tahoma"/>
          <w:sz w:val="21"/>
          <w:szCs w:val="21"/>
        </w:rPr>
      </w:pPr>
    </w:p>
    <w:p w14:paraId="75329844"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pena prevista para cualquiera de las modalidades del presente artículo se aumentará de una tercera parte (1/3) a la mitad cuando la conducta sea cometida en estado de reincidencia específica relevante respecto de condena anterior por concierto para delinquir.”</w:t>
      </w:r>
    </w:p>
    <w:p w14:paraId="31086D1A" w14:textId="77777777" w:rsidR="00320EE1" w:rsidRPr="00D24FD9" w:rsidRDefault="00320EE1" w:rsidP="00320EE1">
      <w:pPr>
        <w:spacing w:after="0" w:line="240" w:lineRule="auto"/>
        <w:jc w:val="both"/>
        <w:rPr>
          <w:rFonts w:ascii="Tahoma" w:hAnsi="Tahoma" w:cs="Tahoma"/>
          <w:sz w:val="21"/>
          <w:szCs w:val="21"/>
        </w:rPr>
      </w:pPr>
    </w:p>
    <w:p w14:paraId="2B4E56CA"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11°. AGRAVANTE ESPECIAL POR REINCIDENCIA ESPECÍFICA EN DELITOS RELACIONADOS CON TRÁFICO DE ESTUPEFACIENTES.</w:t>
      </w:r>
      <w:r w:rsidRPr="00D24FD9">
        <w:rPr>
          <w:rFonts w:ascii="Tahoma" w:hAnsi="Tahoma" w:cs="Tahoma"/>
          <w:sz w:val="21"/>
          <w:szCs w:val="21"/>
        </w:rPr>
        <w:t xml:space="preserve"> Adiciónese un numeral nuevo al artículo 384 de la Ley 599 de 2000, el cual quedará así:</w:t>
      </w:r>
    </w:p>
    <w:p w14:paraId="77643CC6" w14:textId="77777777" w:rsidR="00320EE1" w:rsidRPr="00D24FD9" w:rsidRDefault="00320EE1" w:rsidP="00320EE1">
      <w:pPr>
        <w:spacing w:after="0" w:line="240" w:lineRule="auto"/>
        <w:jc w:val="both"/>
        <w:rPr>
          <w:rFonts w:ascii="Tahoma" w:hAnsi="Tahoma" w:cs="Tahoma"/>
          <w:i/>
          <w:iCs/>
          <w:sz w:val="21"/>
          <w:szCs w:val="21"/>
        </w:rPr>
      </w:pPr>
    </w:p>
    <w:p w14:paraId="5B7C7D60"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“4. Cuando la conducta sea cometida en estado de reincidencia específica relevante respecto de condena anterior ejecutoriada por el mismo delito doloso previsto en los artículos anteriores del presente capítulo, por su tentativa punible, o por el mismo delito agravado conforme a este artículo.”</w:t>
      </w:r>
    </w:p>
    <w:p w14:paraId="51E2B90B" w14:textId="77777777" w:rsidR="00320EE1" w:rsidRPr="00D24FD9" w:rsidRDefault="00320EE1" w:rsidP="00320EE1">
      <w:pPr>
        <w:spacing w:after="0" w:line="240" w:lineRule="auto"/>
        <w:jc w:val="both"/>
        <w:rPr>
          <w:rFonts w:ascii="Tahoma" w:hAnsi="Tahoma" w:cs="Tahoma"/>
          <w:sz w:val="21"/>
          <w:szCs w:val="21"/>
        </w:rPr>
      </w:pPr>
    </w:p>
    <w:p w14:paraId="01E1CDCA"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12°. AGRAVANTE ESPECIAL POR REINCIDENCIA ESPECÍFICA EN DELITOS CONTRA LA LIBERTAD, INTEGRIDAD Y FORMACIÓN SEXUALES.</w:t>
      </w:r>
      <w:r w:rsidRPr="00D24FD9">
        <w:rPr>
          <w:rFonts w:ascii="Tahoma" w:hAnsi="Tahoma" w:cs="Tahoma"/>
          <w:sz w:val="21"/>
          <w:szCs w:val="21"/>
        </w:rPr>
        <w:t xml:space="preserve"> Adiciónese un numeral nuevo al artículo 211 de la Ley 599 de 2000, modificado por el artículo 7 de la Ley 1236 de 2008, el cual quedará así:</w:t>
      </w:r>
    </w:p>
    <w:p w14:paraId="4EA07C59" w14:textId="77777777" w:rsidR="00320EE1" w:rsidRPr="00D24FD9" w:rsidRDefault="00320EE1" w:rsidP="00320EE1">
      <w:pPr>
        <w:spacing w:after="0" w:line="240" w:lineRule="auto"/>
        <w:jc w:val="both"/>
        <w:rPr>
          <w:rFonts w:ascii="Tahoma" w:hAnsi="Tahoma" w:cs="Tahoma"/>
          <w:i/>
          <w:iCs/>
          <w:sz w:val="21"/>
          <w:szCs w:val="21"/>
        </w:rPr>
      </w:pPr>
    </w:p>
    <w:p w14:paraId="7DCF447D"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“9. Cuando la conducta sea cometida en estado de reincidencia específica relevante respecto de condena anterior ejecutoriada por el mismo delito doloso de los descritos en los artículos 205, 206, 207, 208, 209, 210 o 210A de este Código, por una modalidad agravada del mismo o por su tentativa punible.</w:t>
      </w:r>
    </w:p>
    <w:p w14:paraId="13835E4F" w14:textId="77777777" w:rsidR="00320EE1" w:rsidRPr="00D24FD9" w:rsidRDefault="00320EE1" w:rsidP="00320EE1">
      <w:pPr>
        <w:spacing w:after="0" w:line="240" w:lineRule="auto"/>
        <w:jc w:val="both"/>
        <w:rPr>
          <w:rFonts w:ascii="Tahoma" w:hAnsi="Tahoma" w:cs="Tahoma"/>
          <w:i/>
          <w:iCs/>
          <w:sz w:val="21"/>
          <w:szCs w:val="21"/>
        </w:rPr>
      </w:pPr>
    </w:p>
    <w:p w14:paraId="31C5A995"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También procederá esta circunstancia cuando la condena anterior haya sido por otro delito doloso previsto en los artículos señalados en el inciso anterior, siempre que la nueva conducta recaiga sobre la misma víctima, sobre víctima menor de edad, sobre víctima en situación de incapacidad de resistir o sobre víctima en condición de vulnerabilidad, y el juez motive de manera expresa la relación específica entre la condena previa y la mayor gravedad del nuevo hecho.”</w:t>
      </w:r>
    </w:p>
    <w:p w14:paraId="07078B67" w14:textId="77777777" w:rsidR="00320EE1" w:rsidRPr="00D24FD9" w:rsidRDefault="00320EE1" w:rsidP="00320EE1">
      <w:pPr>
        <w:spacing w:after="0" w:line="240" w:lineRule="auto"/>
        <w:jc w:val="both"/>
        <w:rPr>
          <w:rFonts w:ascii="Tahoma" w:hAnsi="Tahoma" w:cs="Tahoma"/>
          <w:sz w:val="21"/>
          <w:szCs w:val="21"/>
        </w:rPr>
      </w:pPr>
    </w:p>
    <w:p w14:paraId="477BB2D4"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13°. AGRAVANTE ESPECIAL POR REINCIDENCIA ESPECÍFICA EN DELITOS INFORMÁTICOS PATRIMONIALES.</w:t>
      </w:r>
      <w:r w:rsidRPr="00D24FD9">
        <w:rPr>
          <w:rFonts w:ascii="Tahoma" w:hAnsi="Tahoma" w:cs="Tahoma"/>
          <w:sz w:val="21"/>
          <w:szCs w:val="21"/>
        </w:rPr>
        <w:t xml:space="preserve"> Adiciónese un numeral nuevo y un parágrafo al artículo 269H de la Ley 599 de 2000, modificado por el artículo 1 de la Ley 1273 de 2009, el cual quedará así:</w:t>
      </w:r>
    </w:p>
    <w:p w14:paraId="6F8842A2" w14:textId="77777777" w:rsidR="00320EE1" w:rsidRPr="00D24FD9" w:rsidRDefault="00320EE1" w:rsidP="00320EE1">
      <w:pPr>
        <w:spacing w:after="0" w:line="240" w:lineRule="auto"/>
        <w:jc w:val="both"/>
        <w:rPr>
          <w:rFonts w:ascii="Tahoma" w:hAnsi="Tahoma" w:cs="Tahoma"/>
          <w:sz w:val="21"/>
          <w:szCs w:val="21"/>
        </w:rPr>
      </w:pPr>
    </w:p>
    <w:p w14:paraId="597135F7"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“Cuando la conducta sea cometida en estado de reincidencia específica relevante respecto de condena anterior por el mismo delito doloso previsto en el presente título, por una modalidad agravada del mismo o por su tentativa punible.</w:t>
      </w:r>
    </w:p>
    <w:p w14:paraId="67301AF9" w14:textId="77777777" w:rsidR="00320EE1" w:rsidRPr="00D24FD9" w:rsidRDefault="00320EE1" w:rsidP="00320EE1">
      <w:pPr>
        <w:spacing w:after="0" w:line="240" w:lineRule="auto"/>
        <w:jc w:val="both"/>
        <w:rPr>
          <w:rFonts w:ascii="Tahoma" w:hAnsi="Tahoma" w:cs="Tahoma"/>
          <w:i/>
          <w:iCs/>
          <w:sz w:val="21"/>
          <w:szCs w:val="21"/>
        </w:rPr>
      </w:pPr>
    </w:p>
    <w:p w14:paraId="3B879EEB"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b/>
          <w:bCs/>
          <w:i/>
          <w:iCs/>
          <w:sz w:val="21"/>
          <w:szCs w:val="21"/>
        </w:rPr>
        <w:t>PARÁGRAFO.</w:t>
      </w:r>
      <w:r w:rsidRPr="00D24FD9">
        <w:rPr>
          <w:rFonts w:ascii="Tahoma" w:hAnsi="Tahoma" w:cs="Tahoma"/>
          <w:i/>
          <w:iCs/>
          <w:sz w:val="21"/>
          <w:szCs w:val="21"/>
        </w:rPr>
        <w:t xml:space="preserve"> Cuando se trate de hurto por medios informáticos y semejantes o transferencia no consentida de activos, también procederá la agravante si la condena anterior fue por hurto, hurto calificado, hurto en cualquiera de sus modalidades agravadas, receptación o delito informático patrimonial, siempre que el juez motive de manera expresa la conexidad funcional entre la condena previa y la nueva conducta.”</w:t>
      </w:r>
    </w:p>
    <w:p w14:paraId="5CE87CC1" w14:textId="77777777" w:rsidR="00320EE1" w:rsidRPr="00D24FD9" w:rsidRDefault="00320EE1" w:rsidP="00320EE1">
      <w:pPr>
        <w:spacing w:after="0" w:line="240" w:lineRule="auto"/>
        <w:jc w:val="both"/>
        <w:rPr>
          <w:rFonts w:ascii="Tahoma" w:hAnsi="Tahoma" w:cs="Tahoma"/>
          <w:sz w:val="21"/>
          <w:szCs w:val="21"/>
        </w:rPr>
      </w:pPr>
    </w:p>
    <w:p w14:paraId="5E06DAB8"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 xml:space="preserve">ARTÍCULO 14°. VALORACIÓN REFORZADA EN MATERIA DE BENEFICIOS, SUBROGADOS Y MECANISMOS SUSTITUTIVOS. </w:t>
      </w:r>
      <w:r w:rsidRPr="00D24FD9">
        <w:rPr>
          <w:rFonts w:ascii="Tahoma" w:hAnsi="Tahoma" w:cs="Tahoma"/>
          <w:sz w:val="21"/>
          <w:szCs w:val="21"/>
        </w:rPr>
        <w:t>Adiciónese un parágrafo 4 al artículo 68A de la Ley 599 de 2000, el cual quedará así:</w:t>
      </w:r>
    </w:p>
    <w:p w14:paraId="4801A02E" w14:textId="77777777" w:rsidR="00320EE1" w:rsidRPr="00D24FD9" w:rsidRDefault="00320EE1" w:rsidP="00320EE1">
      <w:pPr>
        <w:spacing w:after="0" w:line="240" w:lineRule="auto"/>
        <w:jc w:val="both"/>
        <w:rPr>
          <w:rFonts w:ascii="Tahoma" w:hAnsi="Tahoma" w:cs="Tahoma"/>
          <w:b/>
          <w:bCs/>
          <w:sz w:val="21"/>
          <w:szCs w:val="21"/>
        </w:rPr>
      </w:pPr>
    </w:p>
    <w:p w14:paraId="016AEEAA"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w:t>
      </w:r>
      <w:r w:rsidRPr="00D24FD9">
        <w:rPr>
          <w:rFonts w:ascii="Tahoma" w:hAnsi="Tahoma" w:cs="Tahoma"/>
          <w:b/>
          <w:bCs/>
          <w:i/>
          <w:iCs/>
          <w:sz w:val="21"/>
          <w:szCs w:val="21"/>
        </w:rPr>
        <w:t>PARÁGRAFO 4.</w:t>
      </w:r>
      <w:r w:rsidRPr="00D24FD9">
        <w:rPr>
          <w:rFonts w:ascii="Tahoma" w:hAnsi="Tahoma" w:cs="Tahoma"/>
          <w:i/>
          <w:iCs/>
          <w:sz w:val="21"/>
          <w:szCs w:val="21"/>
        </w:rPr>
        <w:t xml:space="preserve"> En los eventos de reincidencia específica relevante previstos en la ley, el juez de conocimiento o de ejecución de penas y medidas de seguridad, según corresponda, deberá realizar una valoración reforzada, expresa y motivada sobre la procedencia de cualquier beneficio, subrogado penal, mecanismo sustitutivo de la pena privativa de la libertad, prisión domiciliaria o libertad condicional que no se encuentre expresamente excluido por la ley.</w:t>
      </w:r>
    </w:p>
    <w:p w14:paraId="7E529D16" w14:textId="77777777" w:rsidR="00320EE1" w:rsidRPr="00D24FD9" w:rsidRDefault="00320EE1" w:rsidP="00320EE1">
      <w:pPr>
        <w:spacing w:after="0" w:line="240" w:lineRule="auto"/>
        <w:jc w:val="both"/>
        <w:rPr>
          <w:rFonts w:ascii="Tahoma" w:hAnsi="Tahoma" w:cs="Tahoma"/>
          <w:i/>
          <w:iCs/>
          <w:sz w:val="21"/>
          <w:szCs w:val="21"/>
        </w:rPr>
      </w:pPr>
    </w:p>
    <w:p w14:paraId="42615113"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Dicha valoración deberá considerar, como mínimo:</w:t>
      </w:r>
    </w:p>
    <w:p w14:paraId="2A70237D" w14:textId="77777777" w:rsidR="00320EE1" w:rsidRPr="00D24FD9" w:rsidRDefault="00320EE1" w:rsidP="00320EE1">
      <w:pPr>
        <w:spacing w:after="0" w:line="240" w:lineRule="auto"/>
        <w:jc w:val="both"/>
        <w:rPr>
          <w:rFonts w:ascii="Tahoma" w:hAnsi="Tahoma" w:cs="Tahoma"/>
          <w:i/>
          <w:iCs/>
          <w:sz w:val="21"/>
          <w:szCs w:val="21"/>
        </w:rPr>
      </w:pPr>
    </w:p>
    <w:p w14:paraId="2B0E473B" w14:textId="77777777" w:rsidR="00320EE1" w:rsidRPr="00D24FD9" w:rsidRDefault="00320EE1" w:rsidP="00320EE1">
      <w:pPr>
        <w:pStyle w:val="Prrafodelista"/>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La naturaleza de la condena anterior.</w:t>
      </w:r>
    </w:p>
    <w:p w14:paraId="5DCF6D96" w14:textId="77777777" w:rsidR="00320EE1" w:rsidRPr="00D24FD9" w:rsidRDefault="00320EE1" w:rsidP="00320EE1">
      <w:pPr>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La relación entre la condena previa y la nueva conducta.</w:t>
      </w:r>
    </w:p>
    <w:p w14:paraId="79ABF472" w14:textId="77777777" w:rsidR="00320EE1" w:rsidRPr="00D24FD9" w:rsidRDefault="00320EE1" w:rsidP="00320EE1">
      <w:pPr>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La protección de la víctima y de la comunidad.</w:t>
      </w:r>
    </w:p>
    <w:p w14:paraId="54CDBB44" w14:textId="77777777" w:rsidR="00320EE1" w:rsidRPr="00D24FD9" w:rsidRDefault="00320EE1" w:rsidP="00320EE1">
      <w:pPr>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La reparación integral o su aseguramiento, salvo imposibilidad económica debidamente acreditada.</w:t>
      </w:r>
    </w:p>
    <w:p w14:paraId="7395F14C" w14:textId="77777777" w:rsidR="00320EE1" w:rsidRPr="00D24FD9" w:rsidRDefault="00320EE1" w:rsidP="00320EE1">
      <w:pPr>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El comportamiento procesal y penitenciario del condenado.</w:t>
      </w:r>
    </w:p>
    <w:p w14:paraId="5A56E964" w14:textId="77777777" w:rsidR="00320EE1" w:rsidRPr="00D24FD9" w:rsidRDefault="00320EE1" w:rsidP="00320EE1">
      <w:pPr>
        <w:numPr>
          <w:ilvl w:val="0"/>
          <w:numId w:val="17"/>
        </w:numPr>
        <w:tabs>
          <w:tab w:val="clear" w:pos="720"/>
        </w:tabs>
        <w:spacing w:after="0" w:line="240" w:lineRule="auto"/>
        <w:ind w:left="426"/>
        <w:jc w:val="both"/>
        <w:rPr>
          <w:rFonts w:ascii="Tahoma" w:hAnsi="Tahoma" w:cs="Tahoma"/>
          <w:i/>
          <w:iCs/>
          <w:sz w:val="21"/>
          <w:szCs w:val="21"/>
        </w:rPr>
      </w:pPr>
      <w:r w:rsidRPr="00D24FD9">
        <w:rPr>
          <w:rFonts w:ascii="Tahoma" w:hAnsi="Tahoma" w:cs="Tahoma"/>
          <w:i/>
          <w:iCs/>
          <w:sz w:val="21"/>
          <w:szCs w:val="21"/>
        </w:rPr>
        <w:t>La suficiencia de las obligaciones o condiciones que puedan imponerse para evitar la reiteración delictiva.</w:t>
      </w:r>
    </w:p>
    <w:p w14:paraId="53449A09" w14:textId="77777777" w:rsidR="00320EE1" w:rsidRPr="00D24FD9" w:rsidRDefault="00320EE1" w:rsidP="00320EE1">
      <w:pPr>
        <w:spacing w:after="0" w:line="240" w:lineRule="auto"/>
        <w:ind w:left="720"/>
        <w:jc w:val="both"/>
        <w:rPr>
          <w:rFonts w:ascii="Tahoma" w:hAnsi="Tahoma" w:cs="Tahoma"/>
          <w:i/>
          <w:iCs/>
          <w:sz w:val="21"/>
          <w:szCs w:val="21"/>
        </w:rPr>
      </w:pPr>
    </w:p>
    <w:p w14:paraId="09D63D04"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concesión del beneficio, subrogado o mecanismo sustitutivo deberá estar acompañada de obligaciones claras de seguimiento, comparecencia, no repetición y reparación, sin perjuicio de las demás previstas en la ley.”</w:t>
      </w:r>
    </w:p>
    <w:p w14:paraId="7AEF6B96" w14:textId="77777777" w:rsidR="00320EE1" w:rsidRPr="00D24FD9" w:rsidRDefault="00320EE1" w:rsidP="00320EE1">
      <w:pPr>
        <w:spacing w:after="0" w:line="240" w:lineRule="auto"/>
        <w:jc w:val="both"/>
        <w:rPr>
          <w:rFonts w:ascii="Tahoma" w:hAnsi="Tahoma" w:cs="Tahoma"/>
          <w:sz w:val="21"/>
          <w:szCs w:val="21"/>
        </w:rPr>
      </w:pPr>
    </w:p>
    <w:p w14:paraId="4DFF4EFB"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15°. VALORACIÓN DE LA REINCIDENCIA ESPECÍFICA RELEVANTE EN EL PELIGRO PARA LA COMUNIDAD.</w:t>
      </w:r>
      <w:r w:rsidRPr="00D24FD9">
        <w:rPr>
          <w:rFonts w:ascii="Tahoma" w:hAnsi="Tahoma" w:cs="Tahoma"/>
          <w:sz w:val="21"/>
          <w:szCs w:val="21"/>
        </w:rPr>
        <w:t xml:space="preserve"> Adiciónese un numeral nuevo al artículo 310 de la Ley 906 de 2004, modificado por el artículo 3 de la Ley 1760 de 2015, el cual quedará así:</w:t>
      </w:r>
    </w:p>
    <w:p w14:paraId="5685C5D4" w14:textId="77777777" w:rsidR="00320EE1" w:rsidRPr="00D24FD9" w:rsidRDefault="00320EE1" w:rsidP="00320EE1">
      <w:pPr>
        <w:spacing w:after="0" w:line="240" w:lineRule="auto"/>
        <w:jc w:val="both"/>
        <w:rPr>
          <w:rFonts w:ascii="Tahoma" w:hAnsi="Tahoma" w:cs="Tahoma"/>
          <w:sz w:val="21"/>
          <w:szCs w:val="21"/>
        </w:rPr>
      </w:pPr>
    </w:p>
    <w:p w14:paraId="65033D44"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“9. La existencia de reincidencia específica relevante, acreditada mediante sentencia condenatoria ejecutoriada, cuando se trate de alguno de los delitos respecto de los cuales la ley prevea agravantes especiales por reincidencia específica.”</w:t>
      </w:r>
    </w:p>
    <w:p w14:paraId="48523F15" w14:textId="77777777" w:rsidR="00320EE1" w:rsidRPr="00D24FD9" w:rsidRDefault="00320EE1" w:rsidP="00320EE1">
      <w:pPr>
        <w:spacing w:after="0" w:line="240" w:lineRule="auto"/>
        <w:jc w:val="both"/>
        <w:rPr>
          <w:rFonts w:ascii="Tahoma" w:hAnsi="Tahoma" w:cs="Tahoma"/>
          <w:b/>
          <w:bCs/>
          <w:i/>
          <w:iCs/>
          <w:sz w:val="21"/>
          <w:szCs w:val="21"/>
        </w:rPr>
      </w:pPr>
    </w:p>
    <w:p w14:paraId="164AD941"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 xml:space="preserve">ARTÍCULO 16°. PROCEDENCIA DE DETENCIÓN PREVENTIVA EN CASOS DE REINCIDENCIA ESPECÍFICA RELEVANTE. </w:t>
      </w:r>
      <w:r w:rsidRPr="00D24FD9">
        <w:rPr>
          <w:rFonts w:ascii="Tahoma" w:hAnsi="Tahoma" w:cs="Tahoma"/>
          <w:sz w:val="21"/>
          <w:szCs w:val="21"/>
        </w:rPr>
        <w:t>Adiciónese un numeral nuevo al artículo 313 de la Ley 906 de 2004, modificado por el artículo 60 de la Ley 1453 de 2011, el cual quedará así:</w:t>
      </w:r>
    </w:p>
    <w:p w14:paraId="507D572C" w14:textId="77777777" w:rsidR="00320EE1" w:rsidRPr="00D24FD9" w:rsidRDefault="00320EE1" w:rsidP="00320EE1">
      <w:pPr>
        <w:spacing w:after="0" w:line="240" w:lineRule="auto"/>
        <w:jc w:val="both"/>
        <w:rPr>
          <w:rFonts w:ascii="Tahoma" w:hAnsi="Tahoma" w:cs="Tahoma"/>
          <w:i/>
          <w:iCs/>
          <w:sz w:val="21"/>
          <w:szCs w:val="21"/>
        </w:rPr>
      </w:pPr>
    </w:p>
    <w:p w14:paraId="7386148A"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“5. En los delitos respecto de los cuales la ley prevea agravantes especiales por reincidencia específica relevante, cuando se impute la comisión de la nueva conducta en dicha condición, siempre que se satisfagan los requisitos previstos en el artículo 308 de esta Ley y el juez verifique, con motivación expresa, que las medidas de aseguramiento no privativas de la libertad resultan insuficientes para proteger a la víctima, garantizar la comparecencia del imputado, evitar la obstrucción de la justicia o prevenir la continuación de la actividad delictiva.</w:t>
      </w:r>
    </w:p>
    <w:p w14:paraId="79CEDF00" w14:textId="77777777" w:rsidR="00320EE1" w:rsidRPr="00D24FD9" w:rsidRDefault="00320EE1" w:rsidP="00320EE1">
      <w:pPr>
        <w:spacing w:after="0" w:line="240" w:lineRule="auto"/>
        <w:jc w:val="both"/>
        <w:rPr>
          <w:rFonts w:ascii="Tahoma" w:hAnsi="Tahoma" w:cs="Tahoma"/>
          <w:i/>
          <w:iCs/>
          <w:sz w:val="21"/>
          <w:szCs w:val="21"/>
        </w:rPr>
      </w:pPr>
    </w:p>
    <w:p w14:paraId="104E005C"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existencia de reincidencia específica relevante no será suficiente, por sí sola, para imponer medida de aseguramiento privativa de la libertad.”</w:t>
      </w:r>
    </w:p>
    <w:p w14:paraId="1B70788E" w14:textId="77777777" w:rsidR="00320EE1" w:rsidRPr="00D24FD9" w:rsidRDefault="00320EE1" w:rsidP="00320EE1">
      <w:pPr>
        <w:spacing w:after="0" w:line="240" w:lineRule="auto"/>
        <w:jc w:val="both"/>
        <w:rPr>
          <w:rFonts w:ascii="Tahoma" w:hAnsi="Tahoma" w:cs="Tahoma"/>
          <w:sz w:val="21"/>
          <w:szCs w:val="21"/>
        </w:rPr>
      </w:pPr>
    </w:p>
    <w:p w14:paraId="44CD9CBA"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17°. REINCIDENCIA ESPECÍFICA RELEVANTE Y MEDIDAS DE ASEGURAMIENTO NO PRIVATIVAS DE LA LIBERTAD.</w:t>
      </w:r>
      <w:r w:rsidRPr="00D24FD9">
        <w:rPr>
          <w:rFonts w:ascii="Tahoma" w:hAnsi="Tahoma" w:cs="Tahoma"/>
          <w:sz w:val="21"/>
          <w:szCs w:val="21"/>
        </w:rPr>
        <w:t xml:space="preserve"> Adiciónese un parágrafo al artículo 315 de la Ley 906 de 2004, modificado por el artículo 28 de la Ley 1142 de 2007, el cual quedará así:</w:t>
      </w:r>
    </w:p>
    <w:p w14:paraId="1F026DCE" w14:textId="77777777" w:rsidR="00320EE1" w:rsidRPr="00D24FD9" w:rsidRDefault="00320EE1" w:rsidP="00320EE1">
      <w:pPr>
        <w:spacing w:after="0" w:line="240" w:lineRule="auto"/>
        <w:jc w:val="both"/>
        <w:rPr>
          <w:rFonts w:ascii="Tahoma" w:hAnsi="Tahoma" w:cs="Tahoma"/>
          <w:i/>
          <w:iCs/>
          <w:sz w:val="21"/>
          <w:szCs w:val="21"/>
        </w:rPr>
      </w:pPr>
    </w:p>
    <w:p w14:paraId="3B3B3055"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w:t>
      </w:r>
      <w:r w:rsidRPr="00D24FD9">
        <w:rPr>
          <w:rFonts w:ascii="Tahoma" w:hAnsi="Tahoma" w:cs="Tahoma"/>
          <w:b/>
          <w:bCs/>
          <w:i/>
          <w:iCs/>
          <w:sz w:val="21"/>
          <w:szCs w:val="21"/>
        </w:rPr>
        <w:t xml:space="preserve">PARÁGRAFO. </w:t>
      </w:r>
      <w:r w:rsidRPr="00D24FD9">
        <w:rPr>
          <w:rFonts w:ascii="Tahoma" w:hAnsi="Tahoma" w:cs="Tahoma"/>
          <w:i/>
          <w:iCs/>
          <w:sz w:val="21"/>
          <w:szCs w:val="21"/>
        </w:rPr>
        <w:t>Cuando se proceda por alguno de los delitos respecto de los cuales la ley prevea agravantes especiales por reincidencia específica relevante, el juez de control de garantías deberá valorar de manera reforzada si las medidas de aseguramiento no privativas de la libertad resultan suficientes para cumplir las finalidades previstas en la ley.</w:t>
      </w:r>
    </w:p>
    <w:p w14:paraId="68BA0511" w14:textId="77777777" w:rsidR="00320EE1" w:rsidRPr="00D24FD9" w:rsidRDefault="00320EE1" w:rsidP="00320EE1">
      <w:pPr>
        <w:spacing w:after="0" w:line="240" w:lineRule="auto"/>
        <w:jc w:val="both"/>
        <w:rPr>
          <w:rFonts w:ascii="Tahoma" w:hAnsi="Tahoma" w:cs="Tahoma"/>
          <w:i/>
          <w:iCs/>
          <w:sz w:val="21"/>
          <w:szCs w:val="21"/>
        </w:rPr>
      </w:pPr>
    </w:p>
    <w:p w14:paraId="4361555C"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Lo anterior se entiende sin perjuicio de la procedencia de la detención preventiva en establecimiento carcelario cuando se cumplan los requisitos previstos en los artículos 308 y 313 de esta Ley.</w:t>
      </w:r>
    </w:p>
    <w:p w14:paraId="081491C0" w14:textId="77777777" w:rsidR="00320EE1" w:rsidRPr="00D24FD9" w:rsidRDefault="00320EE1" w:rsidP="00320EE1">
      <w:pPr>
        <w:spacing w:after="0" w:line="240" w:lineRule="auto"/>
        <w:jc w:val="both"/>
        <w:rPr>
          <w:rFonts w:ascii="Tahoma" w:hAnsi="Tahoma" w:cs="Tahoma"/>
          <w:i/>
          <w:iCs/>
          <w:sz w:val="21"/>
          <w:szCs w:val="21"/>
        </w:rPr>
      </w:pPr>
    </w:p>
    <w:p w14:paraId="182838BC"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decisión deberá ser motivada y no podrá fundarse exclusivamente en la existencia de condena anterior.”</w:t>
      </w:r>
    </w:p>
    <w:p w14:paraId="5A1550CC" w14:textId="77777777" w:rsidR="00320EE1" w:rsidRPr="00D24FD9" w:rsidRDefault="00320EE1" w:rsidP="00320EE1">
      <w:pPr>
        <w:spacing w:after="0" w:line="240" w:lineRule="auto"/>
        <w:jc w:val="both"/>
        <w:rPr>
          <w:rFonts w:ascii="Tahoma" w:hAnsi="Tahoma" w:cs="Tahoma"/>
          <w:sz w:val="21"/>
          <w:szCs w:val="21"/>
        </w:rPr>
      </w:pPr>
    </w:p>
    <w:p w14:paraId="7EC98D67"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18°. PROCEDIMIENTO ESPECIAL ABREVIADO EN CASOS DE REINCIDENCIA ESPECÍFICA RELEVANTE.</w:t>
      </w:r>
      <w:r w:rsidRPr="00D24FD9">
        <w:rPr>
          <w:rFonts w:ascii="Tahoma" w:hAnsi="Tahoma" w:cs="Tahoma"/>
          <w:sz w:val="21"/>
          <w:szCs w:val="21"/>
        </w:rPr>
        <w:t xml:space="preserve"> El parágrafo actual del artículo 534 de la Ley 906 de 2004 será parágrafo primero. Adiciónese un parágrafo segundo al mismo artículo, el cual quedará así:</w:t>
      </w:r>
    </w:p>
    <w:p w14:paraId="1542ACD2" w14:textId="77777777" w:rsidR="00320EE1" w:rsidRPr="00D24FD9" w:rsidRDefault="00320EE1" w:rsidP="00320EE1">
      <w:pPr>
        <w:spacing w:after="0" w:line="240" w:lineRule="auto"/>
        <w:jc w:val="both"/>
        <w:rPr>
          <w:rFonts w:ascii="Tahoma" w:hAnsi="Tahoma" w:cs="Tahoma"/>
          <w:i/>
          <w:iCs/>
          <w:sz w:val="21"/>
          <w:szCs w:val="21"/>
        </w:rPr>
      </w:pPr>
    </w:p>
    <w:p w14:paraId="39ECA644"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w:t>
      </w:r>
      <w:r w:rsidRPr="00D24FD9">
        <w:rPr>
          <w:rFonts w:ascii="Tahoma" w:hAnsi="Tahoma" w:cs="Tahoma"/>
          <w:b/>
          <w:bCs/>
          <w:i/>
          <w:iCs/>
          <w:sz w:val="21"/>
          <w:szCs w:val="21"/>
        </w:rPr>
        <w:t>PARÁGRAFO SEGUNDO.</w:t>
      </w:r>
      <w:r w:rsidRPr="00D24FD9">
        <w:rPr>
          <w:rFonts w:ascii="Tahoma" w:hAnsi="Tahoma" w:cs="Tahoma"/>
          <w:i/>
          <w:iCs/>
          <w:sz w:val="21"/>
          <w:szCs w:val="21"/>
        </w:rPr>
        <w:t xml:space="preserve"> El procedimiento especial abreviado se aplicará, en todo caso, a los delitos de hurto, hurto calificado, hurto agravado por cualquiera de las causales previstas en el artículo 241 de la Ley 599 de 2000, receptación, lesiones personales dolosas, violencia intrafamiliar y delitos contenidos en el Título VII Bis de la Ley 599 de 2000, cuando se impute su comisión en estado de reincidencia específica relevante, siempre que no concurran con una conducta punible sometida al procedimiento ordinario.</w:t>
      </w:r>
    </w:p>
    <w:p w14:paraId="46B35E76" w14:textId="77777777" w:rsidR="00320EE1" w:rsidRPr="00D24FD9" w:rsidRDefault="00320EE1" w:rsidP="00320EE1">
      <w:pPr>
        <w:spacing w:after="0" w:line="240" w:lineRule="auto"/>
        <w:jc w:val="both"/>
        <w:rPr>
          <w:rFonts w:ascii="Tahoma" w:hAnsi="Tahoma" w:cs="Tahoma"/>
          <w:i/>
          <w:iCs/>
          <w:sz w:val="21"/>
          <w:szCs w:val="21"/>
        </w:rPr>
      </w:pPr>
    </w:p>
    <w:p w14:paraId="6A3BB3F3"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La imputación de la reincidencia específica relevante no excluirá, por sí sola, la aplicación del procedimiento especial abreviado respecto de las conductas señaladas en el inciso anterior.</w:t>
      </w:r>
    </w:p>
    <w:p w14:paraId="0F735E60" w14:textId="77777777" w:rsidR="00320EE1" w:rsidRPr="00D24FD9" w:rsidRDefault="00320EE1" w:rsidP="00320EE1">
      <w:pPr>
        <w:spacing w:after="0" w:line="240" w:lineRule="auto"/>
        <w:jc w:val="both"/>
        <w:rPr>
          <w:rFonts w:ascii="Tahoma" w:hAnsi="Tahoma" w:cs="Tahoma"/>
          <w:i/>
          <w:iCs/>
          <w:sz w:val="21"/>
          <w:szCs w:val="21"/>
        </w:rPr>
      </w:pPr>
    </w:p>
    <w:p w14:paraId="57F84E55"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 xml:space="preserve">Cuando la Fiscalía atribuya la comisión de la conducta en estado de reincidencia específica relevante, deberá indicar de manera precisa, desde el traslado del escrito de acusación, la sentencia condenatoria ejecutoriada que fundamenta dicha condición y descubrir los elementos que acrediten su existencia, </w:t>
      </w:r>
      <w:r w:rsidRPr="00D24FD9">
        <w:rPr>
          <w:rFonts w:ascii="Tahoma" w:hAnsi="Tahoma" w:cs="Tahoma"/>
          <w:i/>
          <w:iCs/>
          <w:sz w:val="21"/>
          <w:szCs w:val="21"/>
        </w:rPr>
        <w:lastRenderedPageBreak/>
        <w:t>delito, fecha de ejecutoria y vigencia jurídica, sin perjuicio del derecho de contradicción de la defensa en las oportunidades procesales correspondientes.”</w:t>
      </w:r>
    </w:p>
    <w:p w14:paraId="6BE1FB54" w14:textId="77777777" w:rsidR="00320EE1" w:rsidRPr="00D24FD9" w:rsidRDefault="00320EE1" w:rsidP="00320EE1">
      <w:pPr>
        <w:spacing w:after="0" w:line="240" w:lineRule="auto"/>
        <w:jc w:val="both"/>
        <w:rPr>
          <w:rFonts w:ascii="Tahoma" w:hAnsi="Tahoma" w:cs="Tahoma"/>
          <w:sz w:val="21"/>
          <w:szCs w:val="21"/>
        </w:rPr>
      </w:pPr>
    </w:p>
    <w:p w14:paraId="5773A74C"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19°. IMPROCEDENCIA DE LA CONVERSIÓN DE LA ACCIÓN PENAL EN CASOS DE REINCIDENCIA ESPECÍFICA RELEVANTE.</w:t>
      </w:r>
      <w:r w:rsidRPr="00D24FD9">
        <w:rPr>
          <w:rFonts w:ascii="Tahoma" w:hAnsi="Tahoma" w:cs="Tahoma"/>
          <w:sz w:val="21"/>
          <w:szCs w:val="21"/>
        </w:rPr>
        <w:t xml:space="preserve"> Adiciónese un inciso al artículo 550 de la Ley 906 de 2004, modificado por el artículo 5 de la Ley 1959 de 2019, el cual quedará así:</w:t>
      </w:r>
    </w:p>
    <w:p w14:paraId="0AE5EA1A" w14:textId="77777777" w:rsidR="00320EE1" w:rsidRPr="00D24FD9" w:rsidRDefault="00320EE1" w:rsidP="00320EE1">
      <w:pPr>
        <w:spacing w:after="0" w:line="240" w:lineRule="auto"/>
        <w:jc w:val="both"/>
        <w:rPr>
          <w:rFonts w:ascii="Tahoma" w:hAnsi="Tahoma" w:cs="Tahoma"/>
          <w:sz w:val="21"/>
          <w:szCs w:val="21"/>
        </w:rPr>
      </w:pPr>
    </w:p>
    <w:p w14:paraId="3152929B" w14:textId="77777777" w:rsidR="00320EE1" w:rsidRPr="00D24FD9" w:rsidRDefault="00320EE1" w:rsidP="00320EE1">
      <w:pPr>
        <w:spacing w:after="0" w:line="240" w:lineRule="auto"/>
        <w:jc w:val="both"/>
        <w:rPr>
          <w:rFonts w:ascii="Tahoma" w:hAnsi="Tahoma" w:cs="Tahoma"/>
          <w:i/>
          <w:iCs/>
          <w:sz w:val="21"/>
          <w:szCs w:val="21"/>
        </w:rPr>
      </w:pPr>
      <w:r w:rsidRPr="00D24FD9">
        <w:rPr>
          <w:rFonts w:ascii="Tahoma" w:hAnsi="Tahoma" w:cs="Tahoma"/>
          <w:i/>
          <w:iCs/>
          <w:sz w:val="21"/>
          <w:szCs w:val="21"/>
        </w:rPr>
        <w:t>“Tampoco procederá la conversión de la acción penal pública en acción penal privada cuando se impute la comisión de la conducta en estado de reincidencia específica relevante.”</w:t>
      </w:r>
    </w:p>
    <w:p w14:paraId="47CF0FC3" w14:textId="77777777" w:rsidR="00320EE1" w:rsidRPr="00D24FD9" w:rsidRDefault="00320EE1" w:rsidP="00320EE1">
      <w:pPr>
        <w:spacing w:after="0" w:line="240" w:lineRule="auto"/>
        <w:jc w:val="both"/>
        <w:rPr>
          <w:rFonts w:ascii="Tahoma" w:hAnsi="Tahoma" w:cs="Tahoma"/>
          <w:sz w:val="21"/>
          <w:szCs w:val="21"/>
        </w:rPr>
      </w:pPr>
    </w:p>
    <w:p w14:paraId="6D9C824E"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20°. PRIORIZACIÓN JUDICIAL DE PROCESOS POR REINCIDENCIA ESPECÍFICA RELEVANTE.</w:t>
      </w:r>
      <w:r w:rsidRPr="00D24FD9">
        <w:rPr>
          <w:rFonts w:ascii="Tahoma" w:hAnsi="Tahoma" w:cs="Tahoma"/>
          <w:sz w:val="21"/>
          <w:szCs w:val="21"/>
        </w:rPr>
        <w:t xml:space="preserve"> El Ministerio de Justicia y del Derecho, el Consejo Superior de la Judicatura y la Fiscalía General de la Nación, dentro de los seis (6) meses siguientes a la promulgación de la presente ley y en el marco de sus competencias, adoptarán un protocolo de priorización, gestión y seguimiento de los procesos penales en los que se atribuya o invoque reincidencia específica relevante en los delitos previstos en esta ley.</w:t>
      </w:r>
    </w:p>
    <w:p w14:paraId="283FDBB4" w14:textId="77777777" w:rsidR="00320EE1" w:rsidRPr="00D24FD9" w:rsidRDefault="00320EE1" w:rsidP="00320EE1">
      <w:pPr>
        <w:spacing w:after="0" w:line="240" w:lineRule="auto"/>
        <w:jc w:val="both"/>
        <w:rPr>
          <w:rFonts w:ascii="Tahoma" w:hAnsi="Tahoma" w:cs="Tahoma"/>
          <w:sz w:val="21"/>
          <w:szCs w:val="21"/>
        </w:rPr>
      </w:pPr>
    </w:p>
    <w:p w14:paraId="34DC5B7D"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Dicho protocolo deberá incluir, como mínimo:</w:t>
      </w:r>
    </w:p>
    <w:p w14:paraId="04AE8EC0" w14:textId="77777777" w:rsidR="00320EE1" w:rsidRPr="00D24FD9" w:rsidRDefault="00320EE1" w:rsidP="00320EE1">
      <w:pPr>
        <w:spacing w:after="0" w:line="240" w:lineRule="auto"/>
        <w:jc w:val="both"/>
        <w:rPr>
          <w:rFonts w:ascii="Tahoma" w:hAnsi="Tahoma" w:cs="Tahoma"/>
          <w:sz w:val="21"/>
          <w:szCs w:val="21"/>
        </w:rPr>
      </w:pPr>
    </w:p>
    <w:p w14:paraId="37A7020A"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Identificación temprana de casos con reincidencia específica relevante.</w:t>
      </w:r>
    </w:p>
    <w:p w14:paraId="1D060C82"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Verificación oportuna de sentencias condenatorias ejecutoriadas.</w:t>
      </w:r>
    </w:p>
    <w:p w14:paraId="0C1A86A9"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Priorización en la programación de audiencias.</w:t>
      </w:r>
    </w:p>
    <w:p w14:paraId="70ACB40B"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Mecanismos para evitar maniobras dilatorias.</w:t>
      </w:r>
    </w:p>
    <w:p w14:paraId="2C84021C"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Alertas tempranas frente al riesgo de vencimiento de términos.</w:t>
      </w:r>
    </w:p>
    <w:p w14:paraId="5F51A63D"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Coordinación entre Fiscalía General de la Nación, Rama Judicial, Policía Nacional, Instituto Nacional Penitenciario y Carcelario (INPEC) y demás entidades competentes.</w:t>
      </w:r>
    </w:p>
    <w:p w14:paraId="5A636998" w14:textId="77777777" w:rsidR="00320EE1" w:rsidRPr="00D24FD9" w:rsidRDefault="00320EE1" w:rsidP="00320EE1">
      <w:pPr>
        <w:pStyle w:val="Prrafodelista"/>
        <w:numPr>
          <w:ilvl w:val="0"/>
          <w:numId w:val="18"/>
        </w:numPr>
        <w:spacing w:after="0" w:line="240" w:lineRule="auto"/>
        <w:ind w:left="426" w:hanging="426"/>
        <w:jc w:val="both"/>
        <w:rPr>
          <w:rFonts w:ascii="Tahoma" w:hAnsi="Tahoma" w:cs="Tahoma"/>
          <w:sz w:val="21"/>
          <w:szCs w:val="21"/>
        </w:rPr>
      </w:pPr>
      <w:r w:rsidRPr="00D24FD9">
        <w:rPr>
          <w:rFonts w:ascii="Tahoma" w:hAnsi="Tahoma" w:cs="Tahoma"/>
          <w:sz w:val="21"/>
          <w:szCs w:val="21"/>
        </w:rPr>
        <w:t>Respeto estricto de la presunción de inocencia, el debido proceso, la defensa técnica y los derechos de las víctimas.</w:t>
      </w:r>
    </w:p>
    <w:p w14:paraId="32D6DA97" w14:textId="77777777" w:rsidR="00320EE1" w:rsidRPr="00D24FD9" w:rsidRDefault="00320EE1" w:rsidP="00320EE1">
      <w:pPr>
        <w:spacing w:after="0" w:line="240" w:lineRule="auto"/>
        <w:jc w:val="both"/>
        <w:rPr>
          <w:rFonts w:ascii="Tahoma" w:hAnsi="Tahoma" w:cs="Tahoma"/>
          <w:sz w:val="21"/>
          <w:szCs w:val="21"/>
        </w:rPr>
      </w:pPr>
    </w:p>
    <w:p w14:paraId="778C9BAF"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El protocolo tendrá naturaleza administrativa y de gestión, y no podrá modificar competencias judiciales, reglas de reparto, términos procesales, causales de libertad, estándares probatorios ni criterios de valoración judicial. En todo caso, su aplicación deberá respetar la autonomía e independencia judicial, el debido proceso, la presunción de inocencia y los derechos de las víctimas.</w:t>
      </w:r>
    </w:p>
    <w:p w14:paraId="683D77B1" w14:textId="77777777" w:rsidR="00320EE1" w:rsidRPr="00D24FD9" w:rsidRDefault="00320EE1" w:rsidP="00320EE1">
      <w:pPr>
        <w:spacing w:after="0" w:line="240" w:lineRule="auto"/>
        <w:jc w:val="both"/>
        <w:rPr>
          <w:rFonts w:ascii="Tahoma" w:hAnsi="Tahoma" w:cs="Tahoma"/>
          <w:sz w:val="21"/>
          <w:szCs w:val="21"/>
        </w:rPr>
      </w:pPr>
    </w:p>
    <w:p w14:paraId="1925A987"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21°. CERTIFICACIÓN JUDICIAL DE LA REINCIDENCIA ESPECÍFICA RELEVANTE.</w:t>
      </w:r>
      <w:r w:rsidRPr="00D24FD9">
        <w:rPr>
          <w:rFonts w:ascii="Tahoma" w:hAnsi="Tahoma" w:cs="Tahoma"/>
          <w:sz w:val="21"/>
          <w:szCs w:val="21"/>
        </w:rPr>
        <w:t xml:space="preserve"> La reincidencia específica relevante solo podrá acreditarse mediante copia de la sentencia condenatoria ejecutoriada, certificación judicial de ejecutoria o registro oficial de antecedentes judiciales que permita verificar la existencia, fecha, delito y vigencia jurídica de la condena anterior.</w:t>
      </w:r>
    </w:p>
    <w:p w14:paraId="54E56CEB" w14:textId="77777777" w:rsidR="00320EE1" w:rsidRPr="00D24FD9" w:rsidRDefault="00320EE1" w:rsidP="00320EE1">
      <w:pPr>
        <w:spacing w:after="0" w:line="240" w:lineRule="auto"/>
        <w:jc w:val="both"/>
        <w:rPr>
          <w:rFonts w:ascii="Tahoma" w:hAnsi="Tahoma" w:cs="Tahoma"/>
          <w:sz w:val="21"/>
          <w:szCs w:val="21"/>
        </w:rPr>
      </w:pPr>
    </w:p>
    <w:p w14:paraId="00905B27"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La Fiscalía General de la Nación, la Rama Judicial, la Policía Nacional, el INPEC y las demás entidades que administren información penal o penitenciaria deberán garantizar mecanismos de interoperabilidad y consulta segura, actualizada y verificable de la información necesaria para la aplicación de la presente ley, con sujeción a las normas sobre habeas data, reserva legal, presunción de inocencia y protección de datos personales.</w:t>
      </w:r>
    </w:p>
    <w:p w14:paraId="3D058A3C" w14:textId="77777777" w:rsidR="00320EE1" w:rsidRPr="00D24FD9" w:rsidRDefault="00320EE1" w:rsidP="00320EE1">
      <w:pPr>
        <w:spacing w:after="0" w:line="240" w:lineRule="auto"/>
        <w:jc w:val="both"/>
        <w:rPr>
          <w:rFonts w:ascii="Tahoma" w:hAnsi="Tahoma" w:cs="Tahoma"/>
          <w:sz w:val="21"/>
          <w:szCs w:val="21"/>
        </w:rPr>
      </w:pPr>
    </w:p>
    <w:p w14:paraId="1894F9F1"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lastRenderedPageBreak/>
        <w:t>ARTÍCULO 22°. EVALUACIÓN DE POLÍTICA CRIMINAL.</w:t>
      </w:r>
      <w:r w:rsidRPr="00D24FD9">
        <w:rPr>
          <w:rFonts w:ascii="Tahoma" w:hAnsi="Tahoma" w:cs="Tahoma"/>
          <w:sz w:val="21"/>
          <w:szCs w:val="21"/>
        </w:rPr>
        <w:t xml:space="preserve"> Dentro de los dos (2) años siguientes a la </w:t>
      </w:r>
      <w:proofErr w:type="gramStart"/>
      <w:r w:rsidRPr="00D24FD9">
        <w:rPr>
          <w:rFonts w:ascii="Tahoma" w:hAnsi="Tahoma" w:cs="Tahoma"/>
          <w:sz w:val="21"/>
          <w:szCs w:val="21"/>
        </w:rPr>
        <w:t>entrada en vigencia</w:t>
      </w:r>
      <w:proofErr w:type="gramEnd"/>
      <w:r w:rsidRPr="00D24FD9">
        <w:rPr>
          <w:rFonts w:ascii="Tahoma" w:hAnsi="Tahoma" w:cs="Tahoma"/>
          <w:sz w:val="21"/>
          <w:szCs w:val="21"/>
        </w:rPr>
        <w:t xml:space="preserve"> de la presente ley, el Consejo Superior de Política Criminal realizará una evaluación integral de sus efectos sobre la reincidencia delictiva, la protección de las víctimas, la imposición de medidas de aseguramiento, la concesión de beneficios y subrogados penales, el hacinamiento carcelario y la eficacia de la administración de justicia.</w:t>
      </w:r>
    </w:p>
    <w:p w14:paraId="26453ED6" w14:textId="77777777" w:rsidR="00320EE1" w:rsidRPr="00D24FD9" w:rsidRDefault="00320EE1" w:rsidP="00320EE1">
      <w:pPr>
        <w:spacing w:after="0" w:line="240" w:lineRule="auto"/>
        <w:jc w:val="both"/>
        <w:rPr>
          <w:rFonts w:ascii="Tahoma" w:hAnsi="Tahoma" w:cs="Tahoma"/>
          <w:sz w:val="21"/>
          <w:szCs w:val="21"/>
        </w:rPr>
      </w:pPr>
    </w:p>
    <w:p w14:paraId="498858A1"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Con base en dicha evaluación, el Gobierno Nacional podrá presentar al Congreso de la República las iniciativas legislativas o de política pública que resulten necesarias.</w:t>
      </w:r>
    </w:p>
    <w:p w14:paraId="0EBCFDDF" w14:textId="77777777" w:rsidR="00320EE1" w:rsidRPr="00D24FD9" w:rsidRDefault="00320EE1" w:rsidP="00320EE1">
      <w:pPr>
        <w:spacing w:after="0" w:line="240" w:lineRule="auto"/>
        <w:jc w:val="both"/>
        <w:rPr>
          <w:rFonts w:ascii="Tahoma" w:hAnsi="Tahoma" w:cs="Tahoma"/>
          <w:sz w:val="21"/>
          <w:szCs w:val="21"/>
        </w:rPr>
      </w:pPr>
    </w:p>
    <w:p w14:paraId="0363FE46"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b/>
          <w:bCs/>
          <w:sz w:val="21"/>
          <w:szCs w:val="21"/>
        </w:rPr>
        <w:t>ARTÍCULO 23°. VIGENCIA Y DEROGATORIAS.</w:t>
      </w:r>
      <w:r w:rsidRPr="00D24FD9">
        <w:rPr>
          <w:rFonts w:ascii="Tahoma" w:hAnsi="Tahoma" w:cs="Tahoma"/>
          <w:sz w:val="21"/>
          <w:szCs w:val="21"/>
        </w:rPr>
        <w:t xml:space="preserve"> La presente ley rige a partir de su promulgación y deroga las disposiciones que le sean contrarias.</w:t>
      </w:r>
    </w:p>
    <w:p w14:paraId="2E1E87FE" w14:textId="77777777" w:rsidR="00320EE1" w:rsidRPr="00D24FD9" w:rsidRDefault="00320EE1" w:rsidP="00320EE1">
      <w:pPr>
        <w:spacing w:after="0" w:line="240" w:lineRule="auto"/>
        <w:jc w:val="both"/>
        <w:rPr>
          <w:rFonts w:ascii="Tahoma" w:hAnsi="Tahoma" w:cs="Tahoma"/>
          <w:sz w:val="21"/>
          <w:szCs w:val="21"/>
        </w:rPr>
      </w:pPr>
    </w:p>
    <w:p w14:paraId="6453D677" w14:textId="77777777" w:rsidR="00320EE1" w:rsidRPr="00D24FD9" w:rsidRDefault="00320EE1" w:rsidP="00320EE1">
      <w:pPr>
        <w:spacing w:after="0" w:line="240" w:lineRule="auto"/>
        <w:jc w:val="both"/>
        <w:rPr>
          <w:rFonts w:ascii="Tahoma" w:hAnsi="Tahoma" w:cs="Tahoma"/>
          <w:sz w:val="21"/>
          <w:szCs w:val="21"/>
        </w:rPr>
      </w:pPr>
      <w:r w:rsidRPr="00D24FD9">
        <w:rPr>
          <w:rFonts w:ascii="Tahoma" w:hAnsi="Tahoma" w:cs="Tahoma"/>
          <w:sz w:val="21"/>
          <w:szCs w:val="21"/>
        </w:rPr>
        <w:t xml:space="preserve">Las agravantes especiales previstas en la presente ley solo serán aplicables a conductas cometidas con posterioridad a su </w:t>
      </w:r>
      <w:proofErr w:type="gramStart"/>
      <w:r w:rsidRPr="00D24FD9">
        <w:rPr>
          <w:rFonts w:ascii="Tahoma" w:hAnsi="Tahoma" w:cs="Tahoma"/>
          <w:sz w:val="21"/>
          <w:szCs w:val="21"/>
        </w:rPr>
        <w:t>entrada en vigencia</w:t>
      </w:r>
      <w:proofErr w:type="gramEnd"/>
      <w:r w:rsidRPr="00D24FD9">
        <w:rPr>
          <w:rFonts w:ascii="Tahoma" w:hAnsi="Tahoma" w:cs="Tahoma"/>
          <w:sz w:val="21"/>
          <w:szCs w:val="21"/>
        </w:rPr>
        <w:t>, sin perjuicio del principio de favorabilidad penal.</w:t>
      </w:r>
    </w:p>
    <w:p w14:paraId="014C479A" w14:textId="77777777" w:rsidR="00320EE1" w:rsidRPr="00320EE1" w:rsidRDefault="00320EE1" w:rsidP="00320EE1">
      <w:pPr>
        <w:spacing w:after="0" w:line="240" w:lineRule="auto"/>
        <w:jc w:val="both"/>
        <w:rPr>
          <w:rFonts w:ascii="Tahoma" w:hAnsi="Tahoma" w:cs="Tahoma"/>
          <w:sz w:val="22"/>
          <w:szCs w:val="22"/>
        </w:rPr>
      </w:pPr>
    </w:p>
    <w:p w14:paraId="513E37FE" w14:textId="77777777" w:rsidR="002A71D3" w:rsidRDefault="002A71D3" w:rsidP="002A71D3">
      <w:pPr>
        <w:spacing w:after="0" w:line="240" w:lineRule="auto"/>
        <w:rPr>
          <w:rFonts w:ascii="Tahoma" w:hAnsi="Tahoma" w:cs="Tahoma"/>
          <w:sz w:val="22"/>
          <w:szCs w:val="22"/>
        </w:rPr>
      </w:pPr>
      <w:r w:rsidRPr="00320EE1">
        <w:rPr>
          <w:rFonts w:ascii="Tahoma" w:hAnsi="Tahoma" w:cs="Tahoma"/>
          <w:sz w:val="22"/>
          <w:szCs w:val="22"/>
        </w:rPr>
        <w:t>De los Honorables Representantes,</w:t>
      </w:r>
    </w:p>
    <w:p w14:paraId="12BEC463" w14:textId="77777777" w:rsidR="00320EE1" w:rsidRDefault="00320EE1" w:rsidP="002A71D3">
      <w:pPr>
        <w:spacing w:after="0" w:line="240" w:lineRule="auto"/>
        <w:rPr>
          <w:rFonts w:ascii="Tahoma" w:hAnsi="Tahoma" w:cs="Tahoma"/>
          <w:sz w:val="22"/>
          <w:szCs w:val="22"/>
        </w:rPr>
      </w:pPr>
    </w:p>
    <w:p w14:paraId="57858BFA" w14:textId="77777777" w:rsidR="00320EE1" w:rsidRDefault="00320EE1" w:rsidP="002A71D3">
      <w:pPr>
        <w:spacing w:after="0" w:line="240" w:lineRule="auto"/>
        <w:rPr>
          <w:rFonts w:ascii="Tahoma" w:hAnsi="Tahoma" w:cs="Tahoma"/>
          <w:sz w:val="22"/>
          <w:szCs w:val="22"/>
        </w:rPr>
      </w:pPr>
    </w:p>
    <w:p w14:paraId="7A644571" w14:textId="77777777" w:rsidR="00320EE1" w:rsidRDefault="00320EE1" w:rsidP="002A71D3">
      <w:pPr>
        <w:spacing w:after="0" w:line="240" w:lineRule="auto"/>
        <w:rPr>
          <w:rFonts w:ascii="Tahoma" w:hAnsi="Tahoma" w:cs="Tahoma"/>
          <w:sz w:val="22"/>
          <w:szCs w:val="22"/>
        </w:rPr>
      </w:pPr>
    </w:p>
    <w:p w14:paraId="7E586F2C" w14:textId="77777777" w:rsidR="00320EE1" w:rsidRPr="00320EE1" w:rsidRDefault="00320EE1" w:rsidP="002A71D3">
      <w:pPr>
        <w:spacing w:after="0" w:line="240" w:lineRule="auto"/>
        <w:rPr>
          <w:rFonts w:ascii="Tahoma" w:hAnsi="Tahoma" w:cs="Tahoma"/>
          <w:sz w:val="22"/>
          <w:szCs w:val="22"/>
        </w:rPr>
      </w:pPr>
    </w:p>
    <w:p w14:paraId="5AF6E7F5" w14:textId="77777777" w:rsidR="002A71D3" w:rsidRPr="00320EE1" w:rsidRDefault="002A71D3" w:rsidP="002A71D3">
      <w:pPr>
        <w:spacing w:after="0" w:line="240" w:lineRule="auto"/>
        <w:rPr>
          <w:rFonts w:ascii="Tahoma" w:hAnsi="Tahoma" w:cs="Tahoma"/>
          <w:sz w:val="22"/>
          <w:szCs w:val="22"/>
        </w:rPr>
      </w:pPr>
      <w:r w:rsidRPr="00320EE1">
        <w:rPr>
          <w:rFonts w:ascii="Tahoma" w:hAnsi="Tahoma" w:cs="Tahoma"/>
          <w:b/>
          <w:sz w:val="22"/>
          <w:szCs w:val="22"/>
        </w:rPr>
        <w:t>DAVID GERARDO COTE RODRÍGUEZ</w:t>
      </w:r>
    </w:p>
    <w:p w14:paraId="4D2D964B" w14:textId="77777777" w:rsidR="002A71D3" w:rsidRPr="00320EE1" w:rsidRDefault="002A71D3" w:rsidP="002A71D3">
      <w:pPr>
        <w:spacing w:after="0" w:line="240" w:lineRule="auto"/>
        <w:rPr>
          <w:rFonts w:ascii="Tahoma" w:hAnsi="Tahoma" w:cs="Tahoma"/>
          <w:sz w:val="22"/>
          <w:szCs w:val="22"/>
        </w:rPr>
      </w:pPr>
      <w:r w:rsidRPr="00320EE1">
        <w:rPr>
          <w:rFonts w:ascii="Tahoma" w:hAnsi="Tahoma" w:cs="Tahoma"/>
          <w:sz w:val="22"/>
          <w:szCs w:val="22"/>
        </w:rPr>
        <w:t>Representante a la Cámara por Bogotá</w:t>
      </w:r>
    </w:p>
    <w:p w14:paraId="68EB917D" w14:textId="77777777" w:rsidR="002A71D3" w:rsidRPr="00320EE1" w:rsidRDefault="002A71D3" w:rsidP="002A71D3">
      <w:pPr>
        <w:spacing w:after="0" w:line="240" w:lineRule="auto"/>
        <w:rPr>
          <w:rFonts w:ascii="Tahoma" w:hAnsi="Tahoma" w:cs="Tahoma"/>
          <w:sz w:val="22"/>
          <w:szCs w:val="22"/>
        </w:rPr>
      </w:pPr>
      <w:r w:rsidRPr="00320EE1">
        <w:rPr>
          <w:rFonts w:ascii="Tahoma" w:hAnsi="Tahoma" w:cs="Tahoma"/>
          <w:sz w:val="22"/>
          <w:szCs w:val="22"/>
        </w:rPr>
        <w:t>Ponente único</w:t>
      </w:r>
    </w:p>
    <w:p w14:paraId="1E46E0CD" w14:textId="77777777" w:rsidR="00744684" w:rsidRPr="00320EE1" w:rsidRDefault="00744684" w:rsidP="002A71D3">
      <w:pPr>
        <w:spacing w:after="0" w:line="240" w:lineRule="auto"/>
        <w:jc w:val="both"/>
        <w:rPr>
          <w:rFonts w:ascii="Tahoma" w:hAnsi="Tahoma" w:cs="Tahoma"/>
          <w:sz w:val="22"/>
          <w:szCs w:val="22"/>
        </w:rPr>
      </w:pPr>
    </w:p>
    <w:sectPr w:rsidR="00744684" w:rsidRPr="00320EE1" w:rsidSect="003277BA">
      <w:headerReference w:type="default" r:id="rId15"/>
      <w:footerReference w:type="default" r:id="rId16"/>
      <w:pgSz w:w="12240" w:h="15840" w:code="1"/>
      <w:pgMar w:top="2268" w:right="1418" w:bottom="1418" w:left="1418"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FBBFE" w14:textId="77777777" w:rsidR="00C25BEA" w:rsidRDefault="00C25BEA" w:rsidP="00DB114F">
      <w:pPr>
        <w:spacing w:after="0" w:line="240" w:lineRule="auto"/>
      </w:pPr>
      <w:r>
        <w:separator/>
      </w:r>
    </w:p>
  </w:endnote>
  <w:endnote w:type="continuationSeparator" w:id="0">
    <w:p w14:paraId="5CFBEDB1" w14:textId="77777777" w:rsidR="00C25BEA" w:rsidRDefault="00C25BEA" w:rsidP="00DB1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sz w:val="20"/>
        <w:szCs w:val="20"/>
      </w:rPr>
      <w:id w:val="-2077435762"/>
      <w:docPartObj>
        <w:docPartGallery w:val="Page Numbers (Bottom of Page)"/>
        <w:docPartUnique/>
      </w:docPartObj>
    </w:sdtPr>
    <w:sdtContent>
      <w:p w14:paraId="4B429E90" w14:textId="35A97C67" w:rsidR="009B193F" w:rsidRPr="009B193F" w:rsidRDefault="009B193F">
        <w:pPr>
          <w:pStyle w:val="Piedepgina"/>
          <w:jc w:val="right"/>
          <w:rPr>
            <w:rFonts w:ascii="Tahoma" w:hAnsi="Tahoma" w:cs="Tahoma"/>
            <w:sz w:val="20"/>
            <w:szCs w:val="20"/>
          </w:rPr>
        </w:pPr>
        <w:r w:rsidRPr="009B193F">
          <w:rPr>
            <w:rFonts w:ascii="Tahoma" w:hAnsi="Tahoma" w:cs="Tahoma"/>
            <w:sz w:val="20"/>
            <w:szCs w:val="20"/>
          </w:rPr>
          <w:fldChar w:fldCharType="begin"/>
        </w:r>
        <w:r w:rsidRPr="009B193F">
          <w:rPr>
            <w:rFonts w:ascii="Tahoma" w:hAnsi="Tahoma" w:cs="Tahoma"/>
            <w:sz w:val="20"/>
            <w:szCs w:val="20"/>
          </w:rPr>
          <w:instrText>PAGE   \* MERGEFORMAT</w:instrText>
        </w:r>
        <w:r w:rsidRPr="009B193F">
          <w:rPr>
            <w:rFonts w:ascii="Tahoma" w:hAnsi="Tahoma" w:cs="Tahoma"/>
            <w:sz w:val="20"/>
            <w:szCs w:val="20"/>
          </w:rPr>
          <w:fldChar w:fldCharType="separate"/>
        </w:r>
        <w:r w:rsidRPr="009B193F">
          <w:rPr>
            <w:rFonts w:ascii="Tahoma" w:hAnsi="Tahoma" w:cs="Tahoma"/>
            <w:sz w:val="20"/>
            <w:szCs w:val="20"/>
            <w:lang w:val="es-ES"/>
          </w:rPr>
          <w:t>2</w:t>
        </w:r>
        <w:r w:rsidRPr="009B193F">
          <w:rPr>
            <w:rFonts w:ascii="Tahoma" w:hAnsi="Tahoma" w:cs="Tahoma"/>
            <w:sz w:val="20"/>
            <w:szCs w:val="20"/>
          </w:rPr>
          <w:fldChar w:fldCharType="end"/>
        </w:r>
      </w:p>
    </w:sdtContent>
  </w:sdt>
  <w:p w14:paraId="2A727B21" w14:textId="77777777" w:rsidR="003277BA" w:rsidRDefault="003277B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ABC5C" w14:textId="77777777" w:rsidR="00C25BEA" w:rsidRDefault="00C25BEA" w:rsidP="00DB114F">
      <w:pPr>
        <w:spacing w:after="0" w:line="240" w:lineRule="auto"/>
      </w:pPr>
      <w:r>
        <w:separator/>
      </w:r>
    </w:p>
  </w:footnote>
  <w:footnote w:type="continuationSeparator" w:id="0">
    <w:p w14:paraId="0F5EBA95" w14:textId="77777777" w:rsidR="00C25BEA" w:rsidRDefault="00C25BEA" w:rsidP="00DB114F">
      <w:pPr>
        <w:spacing w:after="0" w:line="240" w:lineRule="auto"/>
      </w:pPr>
      <w:r>
        <w:continuationSeparator/>
      </w:r>
    </w:p>
  </w:footnote>
  <w:footnote w:id="1">
    <w:p w14:paraId="0E070571" w14:textId="7A335947" w:rsidR="00510828" w:rsidRPr="00D47B23" w:rsidRDefault="00510828"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Departamento Nacional de Planeación (DNP), </w:t>
      </w:r>
      <w:r w:rsidRPr="00D47B23">
        <w:rPr>
          <w:rFonts w:ascii="Tahoma" w:hAnsi="Tahoma" w:cs="Tahoma"/>
          <w:i/>
          <w:iCs/>
          <w:sz w:val="16"/>
          <w:szCs w:val="16"/>
        </w:rPr>
        <w:t>“Informe de Seguridad y Convivencia Ciudadana”</w:t>
      </w:r>
      <w:r w:rsidRPr="00D47B23">
        <w:rPr>
          <w:rFonts w:ascii="Tahoma" w:hAnsi="Tahoma" w:cs="Tahoma"/>
          <w:sz w:val="16"/>
          <w:szCs w:val="16"/>
        </w:rPr>
        <w:t xml:space="preserve">, Subdirección de Seguridad y Defensa, 2026. </w:t>
      </w:r>
    </w:p>
  </w:footnote>
  <w:footnote w:id="2">
    <w:p w14:paraId="4A1AFFDB" w14:textId="246D7C70" w:rsidR="009B4EE5" w:rsidRPr="00D47B23" w:rsidRDefault="009B4EE5"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Instituto Nacional Penitenciario y Carcelario (INPEC), </w:t>
      </w:r>
      <w:r w:rsidRPr="00D47B23">
        <w:rPr>
          <w:rFonts w:ascii="Tahoma" w:hAnsi="Tahoma" w:cs="Tahoma"/>
          <w:i/>
          <w:iCs/>
          <w:sz w:val="16"/>
          <w:szCs w:val="16"/>
        </w:rPr>
        <w:t>“Boletín Estadístico”</w:t>
      </w:r>
      <w:r w:rsidRPr="00D47B23">
        <w:rPr>
          <w:rFonts w:ascii="Tahoma" w:hAnsi="Tahoma" w:cs="Tahoma"/>
          <w:sz w:val="16"/>
          <w:szCs w:val="16"/>
        </w:rPr>
        <w:t>. Enero de 2024, Oficina Asesora de Planeación – Grupo Estadística, fuente SISIPEC, págs. 24 y 25.</w:t>
      </w:r>
    </w:p>
  </w:footnote>
  <w:footnote w:id="3">
    <w:p w14:paraId="413AB7DE" w14:textId="316C26F5" w:rsidR="00E67FE3" w:rsidRPr="00D47B23" w:rsidRDefault="00E67FE3"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Instituto Nacional Penitenciario y Carcelario (INPEC), </w:t>
      </w:r>
      <w:r w:rsidRPr="00D47B23">
        <w:rPr>
          <w:rFonts w:ascii="Tahoma" w:hAnsi="Tahoma" w:cs="Tahoma"/>
          <w:i/>
          <w:iCs/>
          <w:sz w:val="16"/>
          <w:szCs w:val="16"/>
        </w:rPr>
        <w:t>“Boletín Primer Trimestre 2026”</w:t>
      </w:r>
      <w:r w:rsidRPr="00D47B23">
        <w:rPr>
          <w:rFonts w:ascii="Tahoma" w:hAnsi="Tahoma" w:cs="Tahoma"/>
          <w:sz w:val="16"/>
          <w:szCs w:val="16"/>
        </w:rPr>
        <w:t xml:space="preserve">, sección 5 </w:t>
      </w:r>
      <w:r w:rsidRPr="00D47B23">
        <w:rPr>
          <w:rFonts w:ascii="Tahoma" w:hAnsi="Tahoma" w:cs="Tahoma"/>
          <w:i/>
          <w:iCs/>
          <w:sz w:val="16"/>
          <w:szCs w:val="16"/>
        </w:rPr>
        <w:t>“Reincidencia penitenciaria”</w:t>
      </w:r>
      <w:r w:rsidRPr="00D47B23">
        <w:rPr>
          <w:rFonts w:ascii="Tahoma" w:hAnsi="Tahoma" w:cs="Tahoma"/>
          <w:sz w:val="16"/>
          <w:szCs w:val="16"/>
        </w:rPr>
        <w:t>, Cuadro 8, pág. 32, corte marzo de 2026. Fuente: SISIPEC/Tablero Estadístico Reincidencias.</w:t>
      </w:r>
    </w:p>
  </w:footnote>
  <w:footnote w:id="4">
    <w:p w14:paraId="2575A090" w14:textId="7A92148D" w:rsidR="00D93975" w:rsidRPr="00D47B23" w:rsidRDefault="00D93975"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INPEC, “</w:t>
      </w:r>
      <w:r w:rsidRPr="00D47B23">
        <w:rPr>
          <w:rFonts w:ascii="Tahoma" w:hAnsi="Tahoma" w:cs="Tahoma"/>
          <w:i/>
          <w:iCs/>
          <w:sz w:val="16"/>
          <w:szCs w:val="16"/>
        </w:rPr>
        <w:t>Boletín Estadístico. Primer trimestre de 2026”</w:t>
      </w:r>
      <w:r w:rsidRPr="00D47B23">
        <w:rPr>
          <w:rFonts w:ascii="Tahoma" w:hAnsi="Tahoma" w:cs="Tahoma"/>
          <w:sz w:val="16"/>
          <w:szCs w:val="16"/>
        </w:rPr>
        <w:t>, información a marzo de 2026.</w:t>
      </w:r>
    </w:p>
  </w:footnote>
  <w:footnote w:id="5">
    <w:p w14:paraId="1AD8CE61" w14:textId="78B0F1A5" w:rsidR="00E840D5" w:rsidRPr="00D47B23" w:rsidRDefault="00E840D5"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w:t>
      </w:r>
      <w:r w:rsidRPr="00D47B23">
        <w:rPr>
          <w:rFonts w:ascii="Tahoma" w:hAnsi="Tahoma" w:cs="Tahoma"/>
          <w:i/>
          <w:iCs/>
          <w:sz w:val="16"/>
          <w:szCs w:val="16"/>
        </w:rPr>
        <w:t>Ídem.</w:t>
      </w:r>
    </w:p>
  </w:footnote>
  <w:footnote w:id="6">
    <w:p w14:paraId="06E6EDD2" w14:textId="45D196B8" w:rsidR="00524BCE" w:rsidRPr="00D47B23" w:rsidRDefault="00524BCE"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Ministerio de Justicia y del Derecho-Consejo Superior de Política Criminal,</w:t>
      </w:r>
      <w:r w:rsidRPr="00D47B23">
        <w:rPr>
          <w:rFonts w:ascii="Tahoma" w:hAnsi="Tahoma" w:cs="Tahoma"/>
          <w:sz w:val="16"/>
          <w:szCs w:val="16"/>
        </w:rPr>
        <w:t xml:space="preserve"> “</w:t>
      </w:r>
      <w:r w:rsidRPr="00D47B23">
        <w:rPr>
          <w:rFonts w:ascii="Tahoma" w:hAnsi="Tahoma" w:cs="Tahoma"/>
          <w:i/>
          <w:iCs/>
          <w:sz w:val="16"/>
          <w:szCs w:val="16"/>
        </w:rPr>
        <w:t>Plan Nacional de Política Criminal 2021–2025”</w:t>
      </w:r>
      <w:r w:rsidRPr="00D47B23">
        <w:rPr>
          <w:rFonts w:ascii="Tahoma" w:hAnsi="Tahoma" w:cs="Tahoma"/>
          <w:sz w:val="16"/>
          <w:szCs w:val="16"/>
        </w:rPr>
        <w:t xml:space="preserve">, Prioridad 4: </w:t>
      </w:r>
      <w:r w:rsidRPr="00D47B23">
        <w:rPr>
          <w:rFonts w:ascii="Tahoma" w:hAnsi="Tahoma" w:cs="Tahoma"/>
          <w:i/>
          <w:iCs/>
          <w:sz w:val="16"/>
          <w:szCs w:val="16"/>
        </w:rPr>
        <w:t>“Humanizar el sistema penitenciario, fortalecer la resocialización y disminuir la reincidencia criminal”.</w:t>
      </w:r>
    </w:p>
  </w:footnote>
  <w:footnote w:id="7">
    <w:p w14:paraId="39F8CB09" w14:textId="336BA268" w:rsidR="00450407" w:rsidRPr="00D47B23" w:rsidRDefault="00450407"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INPEC, “</w:t>
      </w:r>
      <w:r w:rsidRPr="00D47B23">
        <w:rPr>
          <w:rFonts w:ascii="Tahoma" w:hAnsi="Tahoma" w:cs="Tahoma"/>
          <w:i/>
          <w:iCs/>
          <w:sz w:val="16"/>
          <w:szCs w:val="16"/>
        </w:rPr>
        <w:t>Boletín Estadístico. Primer trimestre de 2026”.</w:t>
      </w:r>
    </w:p>
  </w:footnote>
  <w:footnote w:id="8">
    <w:p w14:paraId="29B62D25" w14:textId="064F884F" w:rsidR="00F019D8" w:rsidRPr="00D47B23" w:rsidRDefault="00F019D8"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i/>
          <w:iCs/>
          <w:sz w:val="16"/>
          <w:szCs w:val="16"/>
        </w:rPr>
        <w:t xml:space="preserve"> </w:t>
      </w:r>
      <w:r w:rsidR="00B23309" w:rsidRPr="00D47B23">
        <w:rPr>
          <w:rFonts w:ascii="Tahoma" w:hAnsi="Tahoma" w:cs="Tahoma"/>
          <w:i/>
          <w:iCs/>
          <w:sz w:val="16"/>
          <w:szCs w:val="16"/>
        </w:rPr>
        <w:t>Ídem</w:t>
      </w:r>
      <w:r w:rsidR="00B23309" w:rsidRPr="00D47B23">
        <w:rPr>
          <w:rFonts w:ascii="Tahoma" w:hAnsi="Tahoma" w:cs="Tahoma"/>
          <w:sz w:val="16"/>
          <w:szCs w:val="16"/>
        </w:rPr>
        <w:t>.</w:t>
      </w:r>
    </w:p>
  </w:footnote>
  <w:footnote w:id="9">
    <w:p w14:paraId="10B9576F" w14:textId="718B1A2A" w:rsidR="00587BA1" w:rsidRPr="00D47B23" w:rsidRDefault="00587BA1"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w:t>
      </w:r>
      <w:r w:rsidR="00AE6D02" w:rsidRPr="00D47B23">
        <w:rPr>
          <w:rFonts w:ascii="Tahoma" w:hAnsi="Tahoma" w:cs="Tahoma"/>
          <w:sz w:val="16"/>
          <w:szCs w:val="16"/>
        </w:rPr>
        <w:t>Corte Constitucional, Sentencia SU-122 de 2022 y Auto 528 de 2026, seguimiento al estado de cosas inconstitucional penitenciario, carcelario y de centros de detención transitoria.</w:t>
      </w:r>
    </w:p>
  </w:footnote>
  <w:footnote w:id="10">
    <w:p w14:paraId="3DB0FCD2" w14:textId="523AE9B4" w:rsidR="00057357" w:rsidRPr="00D47B23" w:rsidRDefault="00057357"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w:t>
      </w:r>
      <w:r w:rsidR="00DE03A1" w:rsidRPr="00D47B23">
        <w:rPr>
          <w:rFonts w:ascii="Tahoma" w:hAnsi="Tahoma" w:cs="Tahoma"/>
          <w:sz w:val="16"/>
          <w:szCs w:val="16"/>
        </w:rPr>
        <w:t xml:space="preserve">INPEC, </w:t>
      </w:r>
      <w:r w:rsidR="00DE03A1" w:rsidRPr="00D47B23">
        <w:rPr>
          <w:rFonts w:ascii="Tahoma" w:hAnsi="Tahoma" w:cs="Tahoma"/>
          <w:i/>
          <w:iCs/>
          <w:sz w:val="16"/>
          <w:szCs w:val="16"/>
        </w:rPr>
        <w:t>“Boletín Estadístico. Primer trimestre de 2026”</w:t>
      </w:r>
      <w:r w:rsidR="00DE03A1" w:rsidRPr="00D47B23">
        <w:rPr>
          <w:rFonts w:ascii="Tahoma" w:hAnsi="Tahoma" w:cs="Tahoma"/>
          <w:sz w:val="16"/>
          <w:szCs w:val="16"/>
        </w:rPr>
        <w:t>.</w:t>
      </w:r>
    </w:p>
  </w:footnote>
  <w:footnote w:id="11">
    <w:p w14:paraId="1D53AD3C" w14:textId="34CAA7DD" w:rsidR="00A711D5" w:rsidRPr="00D47B23" w:rsidRDefault="00A711D5"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Consejo Superior de la Judicatura, “</w:t>
      </w:r>
      <w:r w:rsidRPr="00D47B23">
        <w:rPr>
          <w:rFonts w:ascii="Tahoma" w:hAnsi="Tahoma" w:cs="Tahoma"/>
          <w:i/>
          <w:iCs/>
          <w:sz w:val="16"/>
          <w:szCs w:val="16"/>
        </w:rPr>
        <w:t>Informe de la Rama Judicial al Congreso de la República 2024”</w:t>
      </w:r>
      <w:r w:rsidRPr="00D47B23">
        <w:rPr>
          <w:rFonts w:ascii="Tahoma" w:hAnsi="Tahoma" w:cs="Tahoma"/>
          <w:sz w:val="16"/>
          <w:szCs w:val="16"/>
        </w:rPr>
        <w:t xml:space="preserve">, capítulo 1, Tabla 4, </w:t>
      </w:r>
      <w:r w:rsidRPr="00D47B23">
        <w:rPr>
          <w:rFonts w:ascii="Tahoma" w:hAnsi="Tahoma" w:cs="Tahoma"/>
          <w:i/>
          <w:iCs/>
          <w:sz w:val="16"/>
          <w:szCs w:val="16"/>
        </w:rPr>
        <w:t>“Distribución del movimiento de procesos por especialidad en la Jurisdicción Ordinaria”</w:t>
      </w:r>
      <w:r w:rsidRPr="00D47B23">
        <w:rPr>
          <w:rFonts w:ascii="Tahoma" w:hAnsi="Tahoma" w:cs="Tahoma"/>
          <w:sz w:val="16"/>
          <w:szCs w:val="16"/>
        </w:rPr>
        <w:t>.</w:t>
      </w:r>
    </w:p>
  </w:footnote>
  <w:footnote w:id="12">
    <w:p w14:paraId="5A8A2F1F" w14:textId="3CB8A262" w:rsidR="00D63E11" w:rsidRPr="00D47B23" w:rsidRDefault="00D63E11"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Fiscalía General de la Nación, Directiva 002 de 2023, </w:t>
      </w:r>
      <w:r w:rsidRPr="00D47B23">
        <w:rPr>
          <w:rFonts w:ascii="Tahoma" w:hAnsi="Tahoma" w:cs="Tahoma"/>
          <w:i/>
          <w:iCs/>
          <w:sz w:val="16"/>
          <w:szCs w:val="16"/>
        </w:rPr>
        <w:t>“Por medio de la cual se establecen lineamientos para la implementación de la Política de Priorización al interior de la Fiscalía General de la Nación”.</w:t>
      </w:r>
    </w:p>
  </w:footnote>
  <w:footnote w:id="13">
    <w:p w14:paraId="182D857A" w14:textId="5D34C85F" w:rsidR="00D63E11" w:rsidRPr="00D47B23" w:rsidRDefault="00D63E11"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Fiscalía General de la Nación, “</w:t>
      </w:r>
      <w:r w:rsidRPr="00D47B23">
        <w:rPr>
          <w:rFonts w:ascii="Tahoma" w:hAnsi="Tahoma" w:cs="Tahoma"/>
          <w:i/>
          <w:iCs/>
          <w:sz w:val="16"/>
          <w:szCs w:val="16"/>
        </w:rPr>
        <w:t>Informe de Gestión 2024-2025”</w:t>
      </w:r>
      <w:r w:rsidRPr="00D47B23">
        <w:rPr>
          <w:rFonts w:ascii="Tahoma" w:hAnsi="Tahoma" w:cs="Tahoma"/>
          <w:sz w:val="16"/>
          <w:szCs w:val="16"/>
        </w:rPr>
        <w:t xml:space="preserve">. </w:t>
      </w:r>
    </w:p>
  </w:footnote>
  <w:footnote w:id="14">
    <w:p w14:paraId="755E04AF" w14:textId="6C21A82B" w:rsidR="0067449D" w:rsidRPr="00D47B23" w:rsidRDefault="0067449D"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Departamento Nacional de Planeación, “</w:t>
      </w:r>
      <w:r w:rsidRPr="00D47B23">
        <w:rPr>
          <w:rFonts w:ascii="Tahoma" w:hAnsi="Tahoma" w:cs="Tahoma"/>
          <w:i/>
          <w:iCs/>
          <w:sz w:val="16"/>
          <w:szCs w:val="16"/>
        </w:rPr>
        <w:t>Informe de Seguridad y Convivencia Ciudadana”</w:t>
      </w:r>
      <w:r w:rsidRPr="00D47B23">
        <w:rPr>
          <w:rFonts w:ascii="Tahoma" w:hAnsi="Tahoma" w:cs="Tahoma"/>
          <w:sz w:val="16"/>
          <w:szCs w:val="16"/>
        </w:rPr>
        <w:t>, Subdirección de Seguridad y Defensa, 2026, págs. 4 y 6</w:t>
      </w:r>
      <w:r w:rsidR="00D47B23">
        <w:rPr>
          <w:rFonts w:ascii="Tahoma" w:hAnsi="Tahoma" w:cs="Tahoma"/>
          <w:sz w:val="16"/>
          <w:szCs w:val="16"/>
        </w:rPr>
        <w:t>.</w:t>
      </w:r>
    </w:p>
  </w:footnote>
  <w:footnote w:id="15">
    <w:p w14:paraId="2B94A00D" w14:textId="4EC94D98" w:rsidR="002A264D" w:rsidRPr="00D47B23" w:rsidRDefault="002A264D"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Fiscalía General de la Nación, “</w:t>
      </w:r>
      <w:r w:rsidRPr="00D47B23">
        <w:rPr>
          <w:rFonts w:ascii="Tahoma" w:hAnsi="Tahoma" w:cs="Tahoma"/>
          <w:i/>
          <w:iCs/>
          <w:sz w:val="16"/>
          <w:szCs w:val="16"/>
        </w:rPr>
        <w:t>Manual de Procedimiento Penal Abreviado y Acusador Privado”</w:t>
      </w:r>
      <w:r w:rsidRPr="00D47B23">
        <w:rPr>
          <w:rFonts w:ascii="Tahoma" w:hAnsi="Tahoma" w:cs="Tahoma"/>
          <w:sz w:val="16"/>
          <w:szCs w:val="16"/>
        </w:rPr>
        <w:t>, 2017.</w:t>
      </w:r>
    </w:p>
  </w:footnote>
  <w:footnote w:id="16">
    <w:p w14:paraId="0BCAACFD" w14:textId="49FDB837" w:rsidR="004303BC" w:rsidRPr="00D47B23" w:rsidRDefault="004303BC"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Ministerio de Justicia y del Derecho, LegalApp, </w:t>
      </w:r>
      <w:r w:rsidRPr="00D47B23">
        <w:rPr>
          <w:rFonts w:ascii="Tahoma" w:hAnsi="Tahoma" w:cs="Tahoma"/>
          <w:i/>
          <w:iCs/>
          <w:sz w:val="16"/>
          <w:szCs w:val="16"/>
        </w:rPr>
        <w:t>“¿Cómo funciona el procedimiento penal especial abreviado?”</w:t>
      </w:r>
      <w:r w:rsidRPr="00D47B23">
        <w:rPr>
          <w:rFonts w:ascii="Tahoma" w:hAnsi="Tahoma" w:cs="Tahoma"/>
          <w:sz w:val="16"/>
          <w:szCs w:val="16"/>
        </w:rPr>
        <w:t>, actualización de 8 de julio de 2025</w:t>
      </w:r>
    </w:p>
  </w:footnote>
  <w:footnote w:id="17">
    <w:p w14:paraId="11AE34CE" w14:textId="676A4C6A" w:rsidR="002E6EC9" w:rsidRPr="00D47B23" w:rsidRDefault="002E6EC9"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Ley 1826 de 2017, artículo 25, que adicionó el artículo 548 de la Ley 906 de 2004. </w:t>
      </w:r>
    </w:p>
  </w:footnote>
  <w:footnote w:id="18">
    <w:p w14:paraId="3D0C1041" w14:textId="667D1268" w:rsidR="00AC1205" w:rsidRPr="00D47B23" w:rsidRDefault="00AC1205" w:rsidP="00D47B23">
      <w:pPr>
        <w:pStyle w:val="Textonotapie"/>
        <w:jc w:val="both"/>
        <w:rPr>
          <w:rFonts w:ascii="Tahoma" w:hAnsi="Tahoma" w:cs="Tahoma"/>
          <w:sz w:val="16"/>
          <w:szCs w:val="16"/>
        </w:rPr>
      </w:pPr>
      <w:r w:rsidRPr="00D47B23">
        <w:rPr>
          <w:rStyle w:val="Refdenotaalpie"/>
          <w:rFonts w:ascii="Tahoma" w:hAnsi="Tahoma" w:cs="Tahoma"/>
          <w:sz w:val="16"/>
          <w:szCs w:val="16"/>
        </w:rPr>
        <w:footnoteRef/>
      </w:r>
      <w:r w:rsidRPr="00D47B23">
        <w:rPr>
          <w:rFonts w:ascii="Tahoma" w:hAnsi="Tahoma" w:cs="Tahoma"/>
          <w:sz w:val="16"/>
          <w:szCs w:val="16"/>
        </w:rPr>
        <w:t xml:space="preserve"> Fiscalía General de la Nación, “</w:t>
      </w:r>
      <w:r w:rsidRPr="00D47B23">
        <w:rPr>
          <w:rFonts w:ascii="Tahoma" w:hAnsi="Tahoma" w:cs="Tahoma"/>
          <w:i/>
          <w:iCs/>
          <w:sz w:val="16"/>
          <w:szCs w:val="16"/>
        </w:rPr>
        <w:t>Plan Institucional de Formación y Capacitación 2026”</w:t>
      </w:r>
      <w:r w:rsidRPr="00D47B23">
        <w:rPr>
          <w:rFonts w:ascii="Tahoma" w:hAnsi="Tahoma" w:cs="Tahoma"/>
          <w:sz w:val="16"/>
          <w:szCs w:val="16"/>
        </w:rPr>
        <w:t xml:space="preserve">, acción formativa </w:t>
      </w:r>
      <w:r w:rsidRPr="00D47B23">
        <w:rPr>
          <w:rFonts w:ascii="Tahoma" w:hAnsi="Tahoma" w:cs="Tahoma"/>
          <w:i/>
          <w:iCs/>
          <w:sz w:val="16"/>
          <w:szCs w:val="16"/>
        </w:rPr>
        <w:t>“Ley 1826 de 2017: procedimiento penal abreviado”</w:t>
      </w:r>
      <w:r w:rsidRPr="00D47B23">
        <w:rPr>
          <w:rFonts w:ascii="Tahoma" w:hAnsi="Tahoma" w:cs="Tahom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E3501" w14:textId="1389D6C4" w:rsidR="00DB114F" w:rsidRDefault="00DB114F">
    <w:pPr>
      <w:pStyle w:val="Encabezado"/>
    </w:pPr>
    <w:r>
      <w:rPr>
        <w:noProof/>
      </w:rPr>
      <w:drawing>
        <wp:anchor distT="0" distB="0" distL="114300" distR="114300" simplePos="0" relativeHeight="251658240" behindDoc="1" locked="0" layoutInCell="1" allowOverlap="1" wp14:anchorId="2A00D70D" wp14:editId="3F64D727">
          <wp:simplePos x="0" y="0"/>
          <wp:positionH relativeFrom="page">
            <wp:posOffset>0</wp:posOffset>
          </wp:positionH>
          <wp:positionV relativeFrom="paragraph">
            <wp:posOffset>-445422</wp:posOffset>
          </wp:positionV>
          <wp:extent cx="7869554" cy="10183762"/>
          <wp:effectExtent l="0" t="0" r="0" b="8255"/>
          <wp:wrapNone/>
          <wp:docPr id="14835710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57107" name="Imagen 148357107"/>
                  <pic:cNvPicPr/>
                </pic:nvPicPr>
                <pic:blipFill>
                  <a:blip r:embed="rId1">
                    <a:extLst>
                      <a:ext uri="{28A0092B-C50C-407E-A947-70E740481C1C}">
                        <a14:useLocalDpi xmlns:a14="http://schemas.microsoft.com/office/drawing/2010/main" val="0"/>
                      </a:ext>
                    </a:extLst>
                  </a:blip>
                  <a:stretch>
                    <a:fillRect/>
                  </a:stretch>
                </pic:blipFill>
                <pic:spPr>
                  <a:xfrm>
                    <a:off x="0" y="0"/>
                    <a:ext cx="7869554" cy="10183762"/>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494993C"/>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6464F21"/>
    <w:multiLevelType w:val="hybridMultilevel"/>
    <w:tmpl w:val="98CC3396"/>
    <w:lvl w:ilvl="0" w:tplc="4CB29AFC">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B131A27"/>
    <w:multiLevelType w:val="hybridMultilevel"/>
    <w:tmpl w:val="DEAAC2C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0D97EA0"/>
    <w:multiLevelType w:val="hybridMultilevel"/>
    <w:tmpl w:val="39ACF4E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35D16E4"/>
    <w:multiLevelType w:val="hybridMultilevel"/>
    <w:tmpl w:val="535EAD10"/>
    <w:lvl w:ilvl="0" w:tplc="FFFFFFFF">
      <w:start w:val="1"/>
      <w:numFmt w:val="upperRoman"/>
      <w:lvlText w:val="%1."/>
      <w:lvlJc w:val="left"/>
      <w:pPr>
        <w:ind w:left="1080" w:hanging="720"/>
      </w:pPr>
      <w:rPr>
        <w:rFonts w:hint="default"/>
        <w:b/>
      </w:rPr>
    </w:lvl>
    <w:lvl w:ilvl="1" w:tplc="FFFFFFFF">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D87520C"/>
    <w:multiLevelType w:val="multilevel"/>
    <w:tmpl w:val="D42A0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FB7A62"/>
    <w:multiLevelType w:val="hybridMultilevel"/>
    <w:tmpl w:val="C790661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372412FC"/>
    <w:multiLevelType w:val="multilevel"/>
    <w:tmpl w:val="A20E9DAC"/>
    <w:lvl w:ilvl="0">
      <w:start w:val="1"/>
      <w:numFmt w:val="decimal"/>
      <w:lvlText w:val="%1."/>
      <w:lvlJc w:val="left"/>
      <w:pPr>
        <w:tabs>
          <w:tab w:val="num" w:pos="720"/>
        </w:tabs>
        <w:ind w:left="720" w:hanging="360"/>
      </w:pPr>
      <w:rPr>
        <w:rFonts w:ascii="Arial" w:eastAsiaTheme="minorHAnsi" w:hAnsi="Arial" w:cs="Arial"/>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FA641E"/>
    <w:multiLevelType w:val="hybridMultilevel"/>
    <w:tmpl w:val="3B326B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3C18162A"/>
    <w:multiLevelType w:val="hybridMultilevel"/>
    <w:tmpl w:val="02363C5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3C584B3A"/>
    <w:multiLevelType w:val="hybridMultilevel"/>
    <w:tmpl w:val="E1E0D104"/>
    <w:lvl w:ilvl="0" w:tplc="CAC6BC7E">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3C9E4847"/>
    <w:multiLevelType w:val="hybridMultilevel"/>
    <w:tmpl w:val="2DD4763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DB4531D"/>
    <w:multiLevelType w:val="hybridMultilevel"/>
    <w:tmpl w:val="7BFE3E1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4AF13E9D"/>
    <w:multiLevelType w:val="hybridMultilevel"/>
    <w:tmpl w:val="7F36CEF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F0C520A"/>
    <w:multiLevelType w:val="hybridMultilevel"/>
    <w:tmpl w:val="0AB2977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B5466D1"/>
    <w:multiLevelType w:val="hybridMultilevel"/>
    <w:tmpl w:val="3EA6DD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67585EB4"/>
    <w:multiLevelType w:val="hybridMultilevel"/>
    <w:tmpl w:val="535EAD10"/>
    <w:lvl w:ilvl="0" w:tplc="402413F2">
      <w:start w:val="1"/>
      <w:numFmt w:val="upperRoman"/>
      <w:lvlText w:val="%1."/>
      <w:lvlJc w:val="left"/>
      <w:pPr>
        <w:ind w:left="1080" w:hanging="720"/>
      </w:pPr>
      <w:rPr>
        <w:rFonts w:hint="default"/>
        <w:b/>
      </w:rPr>
    </w:lvl>
    <w:lvl w:ilvl="1" w:tplc="EB1E8DDA">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D3D7FA6"/>
    <w:multiLevelType w:val="hybridMultilevel"/>
    <w:tmpl w:val="B726C9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7CF47BCB"/>
    <w:multiLevelType w:val="hybridMultilevel"/>
    <w:tmpl w:val="F6047A0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34663704">
    <w:abstractNumId w:val="15"/>
  </w:num>
  <w:num w:numId="2" w16cid:durableId="1614701298">
    <w:abstractNumId w:val="9"/>
  </w:num>
  <w:num w:numId="3" w16cid:durableId="1888951137">
    <w:abstractNumId w:val="2"/>
  </w:num>
  <w:num w:numId="4" w16cid:durableId="1842161726">
    <w:abstractNumId w:val="3"/>
  </w:num>
  <w:num w:numId="5" w16cid:durableId="309872133">
    <w:abstractNumId w:val="17"/>
  </w:num>
  <w:num w:numId="6" w16cid:durableId="476920483">
    <w:abstractNumId w:val="11"/>
  </w:num>
  <w:num w:numId="7" w16cid:durableId="612632510">
    <w:abstractNumId w:val="8"/>
  </w:num>
  <w:num w:numId="8" w16cid:durableId="849639763">
    <w:abstractNumId w:val="6"/>
  </w:num>
  <w:num w:numId="9" w16cid:durableId="1641880672">
    <w:abstractNumId w:val="14"/>
  </w:num>
  <w:num w:numId="10" w16cid:durableId="744185892">
    <w:abstractNumId w:val="18"/>
  </w:num>
  <w:num w:numId="11" w16cid:durableId="1858732068">
    <w:abstractNumId w:val="0"/>
  </w:num>
  <w:num w:numId="12" w16cid:durableId="821433919">
    <w:abstractNumId w:val="16"/>
  </w:num>
  <w:num w:numId="13" w16cid:durableId="1106774504">
    <w:abstractNumId w:val="12"/>
  </w:num>
  <w:num w:numId="14" w16cid:durableId="2062316888">
    <w:abstractNumId w:val="1"/>
  </w:num>
  <w:num w:numId="15" w16cid:durableId="1067341111">
    <w:abstractNumId w:val="10"/>
  </w:num>
  <w:num w:numId="16" w16cid:durableId="1719435187">
    <w:abstractNumId w:val="5"/>
  </w:num>
  <w:num w:numId="17" w16cid:durableId="1299070914">
    <w:abstractNumId w:val="7"/>
  </w:num>
  <w:num w:numId="18" w16cid:durableId="90201392">
    <w:abstractNumId w:val="13"/>
  </w:num>
  <w:num w:numId="19" w16cid:durableId="15380825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14F"/>
    <w:rsid w:val="000029EB"/>
    <w:rsid w:val="00004695"/>
    <w:rsid w:val="00010DBE"/>
    <w:rsid w:val="0003664D"/>
    <w:rsid w:val="000415C5"/>
    <w:rsid w:val="00057357"/>
    <w:rsid w:val="000637B8"/>
    <w:rsid w:val="00065675"/>
    <w:rsid w:val="000E6C79"/>
    <w:rsid w:val="000F0FBF"/>
    <w:rsid w:val="000F3E69"/>
    <w:rsid w:val="000F7320"/>
    <w:rsid w:val="00112B08"/>
    <w:rsid w:val="00127439"/>
    <w:rsid w:val="00132E18"/>
    <w:rsid w:val="00195380"/>
    <w:rsid w:val="001A0682"/>
    <w:rsid w:val="001A71FF"/>
    <w:rsid w:val="001B738F"/>
    <w:rsid w:val="00225470"/>
    <w:rsid w:val="00230332"/>
    <w:rsid w:val="00231812"/>
    <w:rsid w:val="002466D9"/>
    <w:rsid w:val="0025790C"/>
    <w:rsid w:val="00260EEB"/>
    <w:rsid w:val="00263AEB"/>
    <w:rsid w:val="00276C39"/>
    <w:rsid w:val="00291B28"/>
    <w:rsid w:val="002A07E4"/>
    <w:rsid w:val="002A264D"/>
    <w:rsid w:val="002A71D3"/>
    <w:rsid w:val="002B01E9"/>
    <w:rsid w:val="002C45CC"/>
    <w:rsid w:val="002D0B36"/>
    <w:rsid w:val="002D2395"/>
    <w:rsid w:val="002E6EC9"/>
    <w:rsid w:val="00320EE1"/>
    <w:rsid w:val="00322438"/>
    <w:rsid w:val="003277BA"/>
    <w:rsid w:val="00331221"/>
    <w:rsid w:val="00340FFA"/>
    <w:rsid w:val="003471FD"/>
    <w:rsid w:val="003564D5"/>
    <w:rsid w:val="00356DC7"/>
    <w:rsid w:val="00362B4B"/>
    <w:rsid w:val="0039707F"/>
    <w:rsid w:val="003D6C96"/>
    <w:rsid w:val="003F6F88"/>
    <w:rsid w:val="004303BC"/>
    <w:rsid w:val="00436601"/>
    <w:rsid w:val="00441188"/>
    <w:rsid w:val="00443888"/>
    <w:rsid w:val="00450407"/>
    <w:rsid w:val="0045548C"/>
    <w:rsid w:val="00457F99"/>
    <w:rsid w:val="0047073C"/>
    <w:rsid w:val="00477FCD"/>
    <w:rsid w:val="00484F4C"/>
    <w:rsid w:val="004B2B0A"/>
    <w:rsid w:val="004C124E"/>
    <w:rsid w:val="004C7B0D"/>
    <w:rsid w:val="00504745"/>
    <w:rsid w:val="005068E8"/>
    <w:rsid w:val="00510828"/>
    <w:rsid w:val="0052328E"/>
    <w:rsid w:val="00524497"/>
    <w:rsid w:val="00524BCE"/>
    <w:rsid w:val="00561DBB"/>
    <w:rsid w:val="005644FA"/>
    <w:rsid w:val="0057009E"/>
    <w:rsid w:val="0057315C"/>
    <w:rsid w:val="0058657E"/>
    <w:rsid w:val="00587BA1"/>
    <w:rsid w:val="00591686"/>
    <w:rsid w:val="005E359A"/>
    <w:rsid w:val="005E5C48"/>
    <w:rsid w:val="005F102B"/>
    <w:rsid w:val="00630FF3"/>
    <w:rsid w:val="0065065B"/>
    <w:rsid w:val="00657C97"/>
    <w:rsid w:val="00663F6A"/>
    <w:rsid w:val="006659F6"/>
    <w:rsid w:val="00670052"/>
    <w:rsid w:val="0067449D"/>
    <w:rsid w:val="00675BF5"/>
    <w:rsid w:val="006B4B70"/>
    <w:rsid w:val="006B5B66"/>
    <w:rsid w:val="006D26B8"/>
    <w:rsid w:val="006D6B78"/>
    <w:rsid w:val="006F4512"/>
    <w:rsid w:val="00702689"/>
    <w:rsid w:val="00706CFE"/>
    <w:rsid w:val="007332E8"/>
    <w:rsid w:val="00734CDD"/>
    <w:rsid w:val="00740D5F"/>
    <w:rsid w:val="00744684"/>
    <w:rsid w:val="00752B1C"/>
    <w:rsid w:val="00760C82"/>
    <w:rsid w:val="00770092"/>
    <w:rsid w:val="007D1337"/>
    <w:rsid w:val="007F7B2E"/>
    <w:rsid w:val="00817CA8"/>
    <w:rsid w:val="00827AC1"/>
    <w:rsid w:val="00853CBF"/>
    <w:rsid w:val="008A0858"/>
    <w:rsid w:val="008B4352"/>
    <w:rsid w:val="008D1784"/>
    <w:rsid w:val="008E3B60"/>
    <w:rsid w:val="008F0188"/>
    <w:rsid w:val="008F1DED"/>
    <w:rsid w:val="0093553D"/>
    <w:rsid w:val="0093667A"/>
    <w:rsid w:val="00942E08"/>
    <w:rsid w:val="00943701"/>
    <w:rsid w:val="009528F7"/>
    <w:rsid w:val="00960339"/>
    <w:rsid w:val="00966ECB"/>
    <w:rsid w:val="00994F22"/>
    <w:rsid w:val="00995A4E"/>
    <w:rsid w:val="009A277D"/>
    <w:rsid w:val="009B193F"/>
    <w:rsid w:val="009B4EE5"/>
    <w:rsid w:val="009D4359"/>
    <w:rsid w:val="009D6739"/>
    <w:rsid w:val="009E77DB"/>
    <w:rsid w:val="00A10B47"/>
    <w:rsid w:val="00A42E95"/>
    <w:rsid w:val="00A43E9E"/>
    <w:rsid w:val="00A57D63"/>
    <w:rsid w:val="00A62A67"/>
    <w:rsid w:val="00A62ADB"/>
    <w:rsid w:val="00A66EC1"/>
    <w:rsid w:val="00A711D5"/>
    <w:rsid w:val="00A76C83"/>
    <w:rsid w:val="00A77BD8"/>
    <w:rsid w:val="00A96660"/>
    <w:rsid w:val="00AA23DB"/>
    <w:rsid w:val="00AA61E0"/>
    <w:rsid w:val="00AB493D"/>
    <w:rsid w:val="00AB68D2"/>
    <w:rsid w:val="00AC1205"/>
    <w:rsid w:val="00AC1F79"/>
    <w:rsid w:val="00AE6D02"/>
    <w:rsid w:val="00B07167"/>
    <w:rsid w:val="00B23309"/>
    <w:rsid w:val="00B326BC"/>
    <w:rsid w:val="00B41114"/>
    <w:rsid w:val="00B51FD4"/>
    <w:rsid w:val="00B635C3"/>
    <w:rsid w:val="00B72884"/>
    <w:rsid w:val="00BA0781"/>
    <w:rsid w:val="00BA189C"/>
    <w:rsid w:val="00BA545F"/>
    <w:rsid w:val="00BD0EF9"/>
    <w:rsid w:val="00BD75B6"/>
    <w:rsid w:val="00BF12FF"/>
    <w:rsid w:val="00C13A7A"/>
    <w:rsid w:val="00C20A5A"/>
    <w:rsid w:val="00C20A66"/>
    <w:rsid w:val="00C25BEA"/>
    <w:rsid w:val="00C267E0"/>
    <w:rsid w:val="00C26B7E"/>
    <w:rsid w:val="00C65AD5"/>
    <w:rsid w:val="00C73F72"/>
    <w:rsid w:val="00C81DBD"/>
    <w:rsid w:val="00C90489"/>
    <w:rsid w:val="00CE5628"/>
    <w:rsid w:val="00CF7817"/>
    <w:rsid w:val="00D21D1C"/>
    <w:rsid w:val="00D228E1"/>
    <w:rsid w:val="00D24FD9"/>
    <w:rsid w:val="00D47B23"/>
    <w:rsid w:val="00D519ED"/>
    <w:rsid w:val="00D628C0"/>
    <w:rsid w:val="00D63E11"/>
    <w:rsid w:val="00D7075C"/>
    <w:rsid w:val="00D93975"/>
    <w:rsid w:val="00DB114F"/>
    <w:rsid w:val="00DB5367"/>
    <w:rsid w:val="00DE03A1"/>
    <w:rsid w:val="00DE54DB"/>
    <w:rsid w:val="00E0189C"/>
    <w:rsid w:val="00E07200"/>
    <w:rsid w:val="00E2428B"/>
    <w:rsid w:val="00E2589F"/>
    <w:rsid w:val="00E61541"/>
    <w:rsid w:val="00E66882"/>
    <w:rsid w:val="00E67FE3"/>
    <w:rsid w:val="00E76C67"/>
    <w:rsid w:val="00E840D5"/>
    <w:rsid w:val="00EA7D1D"/>
    <w:rsid w:val="00ED1F00"/>
    <w:rsid w:val="00EE527A"/>
    <w:rsid w:val="00EF4EC5"/>
    <w:rsid w:val="00F019D8"/>
    <w:rsid w:val="00F1444A"/>
    <w:rsid w:val="00F25372"/>
    <w:rsid w:val="00F3297A"/>
    <w:rsid w:val="00F650DD"/>
    <w:rsid w:val="00F92F6A"/>
    <w:rsid w:val="00FD5BF7"/>
    <w:rsid w:val="00FD6A7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94C92"/>
  <w15:chartTrackingRefBased/>
  <w15:docId w15:val="{79F0A333-7B43-4271-B0C2-FC3A27F36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B11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unhideWhenUsed/>
    <w:qFormat/>
    <w:rsid w:val="00DB11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B114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B114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B114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B114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B114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B114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B114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B114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rsid w:val="00DB114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B114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B114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B114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B114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B114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B114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B114F"/>
    <w:rPr>
      <w:rFonts w:eastAsiaTheme="majorEastAsia" w:cstheme="majorBidi"/>
      <w:color w:val="272727" w:themeColor="text1" w:themeTint="D8"/>
    </w:rPr>
  </w:style>
  <w:style w:type="paragraph" w:styleId="Ttulo">
    <w:name w:val="Title"/>
    <w:basedOn w:val="Normal"/>
    <w:next w:val="Normal"/>
    <w:link w:val="TtuloCar"/>
    <w:uiPriority w:val="10"/>
    <w:qFormat/>
    <w:rsid w:val="00DB11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B114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B114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B114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B114F"/>
    <w:pPr>
      <w:spacing w:before="160"/>
      <w:jc w:val="center"/>
    </w:pPr>
    <w:rPr>
      <w:i/>
      <w:iCs/>
      <w:color w:val="404040" w:themeColor="text1" w:themeTint="BF"/>
    </w:rPr>
  </w:style>
  <w:style w:type="character" w:customStyle="1" w:styleId="CitaCar">
    <w:name w:val="Cita Car"/>
    <w:basedOn w:val="Fuentedeprrafopredeter"/>
    <w:link w:val="Cita"/>
    <w:uiPriority w:val="29"/>
    <w:rsid w:val="00DB114F"/>
    <w:rPr>
      <w:i/>
      <w:iCs/>
      <w:color w:val="404040" w:themeColor="text1" w:themeTint="BF"/>
    </w:rPr>
  </w:style>
  <w:style w:type="paragraph" w:styleId="Prrafodelista">
    <w:name w:val="List Paragraph"/>
    <w:basedOn w:val="Normal"/>
    <w:uiPriority w:val="34"/>
    <w:qFormat/>
    <w:rsid w:val="00DB114F"/>
    <w:pPr>
      <w:ind w:left="720"/>
      <w:contextualSpacing/>
    </w:pPr>
  </w:style>
  <w:style w:type="character" w:styleId="nfasisintenso">
    <w:name w:val="Intense Emphasis"/>
    <w:basedOn w:val="Fuentedeprrafopredeter"/>
    <w:uiPriority w:val="21"/>
    <w:qFormat/>
    <w:rsid w:val="00DB114F"/>
    <w:rPr>
      <w:i/>
      <w:iCs/>
      <w:color w:val="0F4761" w:themeColor="accent1" w:themeShade="BF"/>
    </w:rPr>
  </w:style>
  <w:style w:type="paragraph" w:styleId="Citadestacada">
    <w:name w:val="Intense Quote"/>
    <w:basedOn w:val="Normal"/>
    <w:next w:val="Normal"/>
    <w:link w:val="CitadestacadaCar"/>
    <w:uiPriority w:val="30"/>
    <w:qFormat/>
    <w:rsid w:val="00DB11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B114F"/>
    <w:rPr>
      <w:i/>
      <w:iCs/>
      <w:color w:val="0F4761" w:themeColor="accent1" w:themeShade="BF"/>
    </w:rPr>
  </w:style>
  <w:style w:type="character" w:styleId="Referenciaintensa">
    <w:name w:val="Intense Reference"/>
    <w:basedOn w:val="Fuentedeprrafopredeter"/>
    <w:uiPriority w:val="32"/>
    <w:qFormat/>
    <w:rsid w:val="00DB114F"/>
    <w:rPr>
      <w:b/>
      <w:bCs/>
      <w:smallCaps/>
      <w:color w:val="0F4761" w:themeColor="accent1" w:themeShade="BF"/>
      <w:spacing w:val="5"/>
    </w:rPr>
  </w:style>
  <w:style w:type="paragraph" w:styleId="Encabezado">
    <w:name w:val="header"/>
    <w:basedOn w:val="Normal"/>
    <w:link w:val="EncabezadoCar"/>
    <w:uiPriority w:val="99"/>
    <w:unhideWhenUsed/>
    <w:rsid w:val="00DB114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114F"/>
  </w:style>
  <w:style w:type="paragraph" w:styleId="Piedepgina">
    <w:name w:val="footer"/>
    <w:basedOn w:val="Normal"/>
    <w:link w:val="PiedepginaCar"/>
    <w:uiPriority w:val="99"/>
    <w:unhideWhenUsed/>
    <w:rsid w:val="00DB114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114F"/>
  </w:style>
  <w:style w:type="paragraph" w:styleId="Textonotapie">
    <w:name w:val="footnote text"/>
    <w:basedOn w:val="Normal"/>
    <w:link w:val="TextonotapieCar"/>
    <w:uiPriority w:val="99"/>
    <w:semiHidden/>
    <w:unhideWhenUsed/>
    <w:rsid w:val="0065065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5065B"/>
    <w:rPr>
      <w:sz w:val="20"/>
      <w:szCs w:val="20"/>
    </w:rPr>
  </w:style>
  <w:style w:type="character" w:styleId="Refdenotaalpie">
    <w:name w:val="footnote reference"/>
    <w:basedOn w:val="Fuentedeprrafopredeter"/>
    <w:uiPriority w:val="99"/>
    <w:semiHidden/>
    <w:unhideWhenUsed/>
    <w:rsid w:val="0065065B"/>
    <w:rPr>
      <w:vertAlign w:val="superscript"/>
    </w:rPr>
  </w:style>
  <w:style w:type="character" w:styleId="Hipervnculo">
    <w:name w:val="Hyperlink"/>
    <w:basedOn w:val="Fuentedeprrafopredeter"/>
    <w:uiPriority w:val="99"/>
    <w:unhideWhenUsed/>
    <w:rsid w:val="0065065B"/>
    <w:rPr>
      <w:color w:val="467886" w:themeColor="hyperlink"/>
      <w:u w:val="single"/>
    </w:rPr>
  </w:style>
  <w:style w:type="character" w:styleId="Mencinsinresolver">
    <w:name w:val="Unresolved Mention"/>
    <w:basedOn w:val="Fuentedeprrafopredeter"/>
    <w:uiPriority w:val="99"/>
    <w:semiHidden/>
    <w:unhideWhenUsed/>
    <w:rsid w:val="0065065B"/>
    <w:rPr>
      <w:color w:val="605E5C"/>
      <w:shd w:val="clear" w:color="auto" w:fill="E1DFDD"/>
    </w:rPr>
  </w:style>
  <w:style w:type="paragraph" w:styleId="Listaconvietas">
    <w:name w:val="List Bullet"/>
    <w:basedOn w:val="Normal"/>
    <w:uiPriority w:val="99"/>
    <w:unhideWhenUsed/>
    <w:rsid w:val="00561DBB"/>
    <w:pPr>
      <w:numPr>
        <w:numId w:val="11"/>
      </w:numPr>
      <w:tabs>
        <w:tab w:val="clear" w:pos="360"/>
      </w:tabs>
      <w:spacing w:after="90" w:line="276" w:lineRule="auto"/>
      <w:ind w:left="0" w:firstLine="0"/>
      <w:contextualSpacing/>
    </w:pPr>
    <w:rPr>
      <w:rFonts w:ascii="Arial" w:eastAsiaTheme="minorEastAsia" w:hAnsi="Arial"/>
      <w:kern w:val="0"/>
      <w:sz w:val="22"/>
      <w:szCs w:val="22"/>
      <w:lang w:val="en-US"/>
      <w14:ligatures w14:val="none"/>
    </w:rPr>
  </w:style>
  <w:style w:type="paragraph" w:customStyle="1" w:styleId="Articulado">
    <w:name w:val="Articulado"/>
    <w:rsid w:val="002A71D3"/>
    <w:pPr>
      <w:spacing w:after="80" w:line="256" w:lineRule="auto"/>
    </w:pPr>
    <w:rPr>
      <w:rFonts w:ascii="Times New Roman" w:eastAsia="Times New Roman" w:hAnsi="Times New Roman"/>
      <w:kern w:val="0"/>
      <w:sz w:val="22"/>
      <w:szCs w:val="22"/>
      <w:lang w:val="en-US"/>
      <w14:ligatures w14:val="none"/>
    </w:rPr>
  </w:style>
  <w:style w:type="paragraph" w:styleId="NormalWeb">
    <w:name w:val="Normal (Web)"/>
    <w:basedOn w:val="Normal"/>
    <w:uiPriority w:val="99"/>
    <w:semiHidden/>
    <w:unhideWhenUsed/>
    <w:rsid w:val="00477FCD"/>
    <w:pPr>
      <w:spacing w:before="100" w:beforeAutospacing="1" w:after="100" w:afterAutospacing="1" w:line="240" w:lineRule="auto"/>
    </w:pPr>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10bdc9a1-2840-480e-8ba5-effef074777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A85DFEDD667996488AB85DC660839D5E" ma:contentTypeVersion="14" ma:contentTypeDescription="Crear nuevo documento." ma:contentTypeScope="" ma:versionID="cc297a937073dcf6c93d8d50258f989f">
  <xsd:schema xmlns:xsd="http://www.w3.org/2001/XMLSchema" xmlns:xs="http://www.w3.org/2001/XMLSchema" xmlns:p="http://schemas.microsoft.com/office/2006/metadata/properties" xmlns:ns3="10bdc9a1-2840-480e-8ba5-effef0747770" xmlns:ns4="d46acb5d-8d6c-407f-890f-d1b4b73667c2" targetNamespace="http://schemas.microsoft.com/office/2006/metadata/properties" ma:root="true" ma:fieldsID="774191807c33ff30bcb7f1d87c040ce8" ns3:_="" ns4:_="">
    <xsd:import namespace="10bdc9a1-2840-480e-8ba5-effef0747770"/>
    <xsd:import namespace="d46acb5d-8d6c-407f-890f-d1b4b73667c2"/>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bdc9a1-2840-480e-8ba5-effef07477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6acb5d-8d6c-407f-890f-d1b4b73667c2" elementFormDefault="qualified">
    <xsd:import namespace="http://schemas.microsoft.com/office/2006/documentManagement/types"/>
    <xsd:import namespace="http://schemas.microsoft.com/office/infopath/2007/PartnerControls"/>
    <xsd:element name="SharedWithUsers" ma:index="1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Detalles de uso compartido" ma:internalName="SharedWithDetails" ma:readOnly="true">
      <xsd:simpleType>
        <xsd:restriction base="dms:Note">
          <xsd:maxLength value="255"/>
        </xsd:restriction>
      </xsd:simpleType>
    </xsd:element>
    <xsd:element name="SharingHintHash" ma:index="13"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83AA79-B886-430C-9DD1-64DE81D86996}">
  <ds:schemaRefs>
    <ds:schemaRef ds:uri="http://schemas.openxmlformats.org/officeDocument/2006/bibliography"/>
  </ds:schemaRefs>
</ds:datastoreItem>
</file>

<file path=customXml/itemProps2.xml><?xml version="1.0" encoding="utf-8"?>
<ds:datastoreItem xmlns:ds="http://schemas.openxmlformats.org/officeDocument/2006/customXml" ds:itemID="{6C8D24B7-6B63-4CA1-8079-01C1F1855B54}">
  <ds:schemaRefs>
    <ds:schemaRef ds:uri="http://schemas.microsoft.com/office/2006/metadata/properties"/>
    <ds:schemaRef ds:uri="http://schemas.microsoft.com/office/infopath/2007/PartnerControls"/>
    <ds:schemaRef ds:uri="10bdc9a1-2840-480e-8ba5-effef0747770"/>
  </ds:schemaRefs>
</ds:datastoreItem>
</file>

<file path=customXml/itemProps3.xml><?xml version="1.0" encoding="utf-8"?>
<ds:datastoreItem xmlns:ds="http://schemas.openxmlformats.org/officeDocument/2006/customXml" ds:itemID="{A4E255D2-9887-406F-9F52-567B39D83597}">
  <ds:schemaRefs>
    <ds:schemaRef ds:uri="http://schemas.microsoft.com/sharepoint/v3/contenttype/forms"/>
  </ds:schemaRefs>
</ds:datastoreItem>
</file>

<file path=customXml/itemProps4.xml><?xml version="1.0" encoding="utf-8"?>
<ds:datastoreItem xmlns:ds="http://schemas.openxmlformats.org/officeDocument/2006/customXml" ds:itemID="{A51BD739-88C5-45FD-BFEC-B88638F1F6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bdc9a1-2840-480e-8ba5-effef0747770"/>
    <ds:schemaRef ds:uri="d46acb5d-8d6c-407f-890f-d1b4b73667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280</TotalTime>
  <Pages>35</Pages>
  <Words>15142</Words>
  <Characters>83285</Characters>
  <Application>Microsoft Office Word</Application>
  <DocSecurity>0</DocSecurity>
  <Lines>694</Lines>
  <Paragraphs>196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98231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ISABEL BARBOSA MOLINA</dc:creator>
  <cp:keywords/>
  <dc:description/>
  <cp:lastModifiedBy>Daniel Barahona Diaz</cp:lastModifiedBy>
  <cp:revision>168</cp:revision>
  <cp:lastPrinted>2026-09-07T16:25:00Z</cp:lastPrinted>
  <dcterms:created xsi:type="dcterms:W3CDTF">2026-09-03T16:20:00Z</dcterms:created>
  <dcterms:modified xsi:type="dcterms:W3CDTF">2026-09-08T14:31:00Z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0x010100A85DFEDD667996488AB85DC660839D5E</vt:lpwstr>
  </property>
</Properties>
</file>