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1 de septiembre del 2026.</w:t>
      </w:r>
    </w:p>
    <w:p w:rsidR="00000000" w:rsidDel="00000000" w:rsidP="00000000" w:rsidRDefault="00000000" w:rsidRPr="00000000" w14:paraId="00000002">
      <w:pPr>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03">
      <w:pPr>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HONORABLE REPRESENTANTE</w:t>
      </w:r>
    </w:p>
    <w:p w:rsidR="00000000" w:rsidDel="00000000" w:rsidP="00000000" w:rsidRDefault="00000000" w:rsidRPr="00000000" w14:paraId="00000004">
      <w:pPr>
        <w:jc w:val="both"/>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Jose Jaime Uscátegui Pastrana</w:t>
      </w:r>
    </w:p>
    <w:p w:rsidR="00000000" w:rsidDel="00000000" w:rsidP="00000000" w:rsidRDefault="00000000" w:rsidRPr="00000000" w14:paraId="00000005">
      <w:pPr>
        <w:jc w:val="both"/>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Presidente</w:t>
      </w:r>
    </w:p>
    <w:p w:rsidR="00000000" w:rsidDel="00000000" w:rsidP="00000000" w:rsidRDefault="00000000" w:rsidRPr="00000000" w14:paraId="00000006">
      <w:pPr>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COMISIÓN PRIMERA CONSTITUCIONAL</w:t>
      </w:r>
    </w:p>
    <w:p w:rsidR="00000000" w:rsidDel="00000000" w:rsidP="00000000" w:rsidRDefault="00000000" w:rsidRPr="00000000" w14:paraId="00000007">
      <w:pPr>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CONGRESO DE LA REPÚBLICA</w:t>
      </w:r>
    </w:p>
    <w:p w:rsidR="00000000" w:rsidDel="00000000" w:rsidP="00000000" w:rsidRDefault="00000000" w:rsidRPr="00000000" w14:paraId="00000008">
      <w:pPr>
        <w:spacing w:line="240"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09">
      <w:pPr>
        <w:spacing w:lin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DOCTORA</w:t>
      </w:r>
    </w:p>
    <w:p w:rsidR="00000000" w:rsidDel="00000000" w:rsidP="00000000" w:rsidRDefault="00000000" w:rsidRPr="00000000" w14:paraId="0000000A">
      <w:pPr>
        <w:spacing w:line="240" w:lineRule="auto"/>
        <w:jc w:val="both"/>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Amparo Yaneth Calderón Perdomo</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pacing w:after="200" w:line="240" w:lineRule="auto"/>
        <w:jc w:val="left"/>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Secretaria</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pacing w:after="200" w:line="240" w:lineRule="auto"/>
        <w:jc w:val="left"/>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CAMARA DE REPRESENTANTES</w:t>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pacing w:after="200" w:line="276" w:lineRule="auto"/>
        <w:jc w:val="left"/>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pacing w:after="200" w:line="276" w:lineRule="auto"/>
        <w:jc w:val="both"/>
        <w:rPr>
          <w:rFonts w:ascii="Sorts Mill Goudy" w:cs="Sorts Mill Goudy" w:eastAsia="Sorts Mill Goudy" w:hAnsi="Sorts Mill Goudy"/>
          <w:i w:val="1"/>
          <w:iCs w:val="1"/>
          <w:sz w:val="24"/>
          <w:szCs w:val="24"/>
        </w:rPr>
      </w:pPr>
      <w:r w:rsidDel="00000000" w:rsidR="00000000" w:rsidRPr="00000000">
        <w:rPr>
          <w:rFonts w:ascii="Sorts Mill Goudy" w:cs="Sorts Mill Goudy" w:eastAsia="Sorts Mill Goudy" w:hAnsi="Sorts Mill Goudy"/>
          <w:b w:val="1"/>
          <w:bCs w:val="1"/>
          <w:sz w:val="24"/>
          <w:szCs w:val="24"/>
          <w:rtl w:val="0"/>
        </w:rPr>
        <w:t xml:space="preserve">Asunto: </w:t>
      </w:r>
      <w:r w:rsidDel="00000000" w:rsidR="00000000" w:rsidRPr="00000000">
        <w:rPr>
          <w:rFonts w:ascii="Sorts Mill Goudy" w:cs="Sorts Mill Goudy" w:eastAsia="Sorts Mill Goudy" w:hAnsi="Sorts Mill Goudy"/>
          <w:sz w:val="24"/>
          <w:szCs w:val="24"/>
          <w:rtl w:val="0"/>
        </w:rPr>
        <w:t xml:space="preserve">Informe de ponencia negativa para primer debate en la Comisión Primera Constitucional de la Honorable Cámara de Representantes del proyecto de ley 040/2026 Cámara </w:t>
      </w:r>
      <w:r w:rsidDel="00000000" w:rsidR="00000000" w:rsidRPr="00000000">
        <w:rPr>
          <w:rFonts w:ascii="Sorts Mill Goudy" w:cs="Sorts Mill Goudy" w:eastAsia="Sorts Mill Goudy" w:hAnsi="Sorts Mill Goudy"/>
          <w:i w:val="1"/>
          <w:iCs w:val="1"/>
          <w:sz w:val="24"/>
          <w:szCs w:val="24"/>
          <w:rtl w:val="0"/>
        </w:rPr>
        <w:t xml:space="preserve">“Por Medio De La Cual Se Garantiza La Primacía De La Justicia Y La Protección De Las Víctimas, Se Modifican Y Derogan Disposiciones De La Ley 2272 De 2022, Y Se Dictan Otras Disposiciones”.</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pacing w:after="20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Honorable Presidente y respetada Secretaria reciban un cordial saludo.</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pacing w:after="200" w:lineRule="auto"/>
        <w:jc w:val="both"/>
        <w:rPr>
          <w:rFonts w:ascii="Sorts Mill Goudy" w:cs="Sorts Mill Goudy" w:eastAsia="Sorts Mill Goudy" w:hAnsi="Sorts Mill Goudy"/>
          <w:i w:val="1"/>
          <w:iCs w:val="1"/>
          <w:sz w:val="24"/>
          <w:szCs w:val="24"/>
        </w:rPr>
      </w:pPr>
      <w:r w:rsidDel="00000000" w:rsidR="00000000" w:rsidRPr="00000000">
        <w:rPr>
          <w:rFonts w:ascii="Sorts Mill Goudy" w:cs="Sorts Mill Goudy" w:eastAsia="Sorts Mill Goudy" w:hAnsi="Sorts Mill Goudy"/>
          <w:sz w:val="24"/>
          <w:szCs w:val="24"/>
          <w:rtl w:val="0"/>
        </w:rPr>
        <w:t xml:space="preserve">Atendiendo a lo dispuesto en los artículos 150, 153, y 156 de la Ley 5ª de 1992, y conforme a la designación hecha por la Mesa Directiva como ponentes de esta iniciativa, nos permitimos, rendir informe de ponencia negativa para primer debate al Proyecto de Ley No 040/2026C “</w:t>
      </w:r>
      <w:r w:rsidDel="00000000" w:rsidR="00000000" w:rsidRPr="00000000">
        <w:rPr>
          <w:rFonts w:ascii="Sorts Mill Goudy" w:cs="Sorts Mill Goudy" w:eastAsia="Sorts Mill Goudy" w:hAnsi="Sorts Mill Goudy"/>
          <w:i w:val="1"/>
          <w:iCs w:val="1"/>
          <w:sz w:val="24"/>
          <w:szCs w:val="24"/>
          <w:rtl w:val="0"/>
        </w:rPr>
        <w:t xml:space="preserve">“Por Medio De La Cual Se Garantiza La Primacía De La Justicia Y La Protección De Las Víctimas, Se Modifican Y Derogan Disposiciones De La Ley 2272 De 2022, Y Se Dictan Otras Disposiciones”. </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pacing w:after="200" w:lineRule="auto"/>
        <w:jc w:val="both"/>
        <w:rPr>
          <w:rFonts w:ascii="Sorts Mill Goudy" w:cs="Sorts Mill Goudy" w:eastAsia="Sorts Mill Goudy" w:hAnsi="Sorts Mill Goudy"/>
          <w:i w:val="1"/>
          <w:iCs w:val="1"/>
          <w:sz w:val="24"/>
          <w:szCs w:val="24"/>
        </w:rPr>
      </w:pP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pacing w:after="200" w:lineRule="auto"/>
        <w:jc w:val="both"/>
        <w:rPr>
          <w:rFonts w:ascii="Sorts Mill Goudy" w:cs="Sorts Mill Goudy" w:eastAsia="Sorts Mill Goudy" w:hAnsi="Sorts Mill Goudy"/>
          <w:i w:val="1"/>
          <w:iCs w:val="1"/>
          <w:sz w:val="24"/>
          <w:szCs w:val="24"/>
        </w:rPr>
      </w:pPr>
      <w:r w:rsidDel="00000000" w:rsidR="00000000" w:rsidRPr="00000000">
        <w:rPr>
          <w:rtl w:val="0"/>
        </w:rPr>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pacing w:after="20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De la Honorable Congresista</w:t>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pacing w:after="200"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after="20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Ana Leidy Erazo Ruiz</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pacing w:after="20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REPRESENTANTE CÁMARA VALLE DEL CAUCA</w:t>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PROYECTO DE LEY N° 040 DE 2026</w:t>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“POR MEDIO DE LA CUAL SE GARANTIZA LA PRIMACÍA DE LA</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JUSTICIA Y LA PROTECCIÓN DE LAS VÍCTIMAS, SE MODIFICAN Y</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DEROGAN DISPOSICIONES DE LA LEY 2272 DE 2022, Y SE DICTAN</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OTRAS DISPOSICIONES”.</w:t>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EL CONGRESO DE COLOMBIA</w:t>
      </w:r>
    </w:p>
    <w:p w:rsidR="00000000" w:rsidDel="00000000" w:rsidP="00000000" w:rsidRDefault="00000000" w:rsidRPr="00000000" w14:paraId="0000001F">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spacing w:line="276" w:lineRule="auto"/>
        <w:jc w:val="center"/>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DECRETA</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b w:val="1"/>
          <w:bCs w:val="1"/>
          <w:sz w:val="24"/>
          <w:szCs w:val="24"/>
          <w:rtl w:val="0"/>
        </w:rPr>
        <w:t xml:space="preserve">ARTÍCULO 1. OBJETO DE LA LEY.</w:t>
      </w:r>
      <w:r w:rsidDel="00000000" w:rsidR="00000000" w:rsidRPr="00000000">
        <w:rPr>
          <w:rFonts w:ascii="Sorts Mill Goudy" w:cs="Sorts Mill Goudy" w:eastAsia="Sorts Mill Goudy" w:hAnsi="Sorts Mill Goudy"/>
          <w:sz w:val="24"/>
          <w:szCs w:val="24"/>
          <w:rtl w:val="0"/>
        </w:rPr>
        <w:t xml:space="preserve"> La presente ley tiene por objeto fortalecer el Estado de Derecho y garantizar la tutela judicial efectiva de las víctimas, mediante la eliminación de disposiciones legales que permiten la suspensión de medidas judiciales contra estructuras de crimen de alto impacto sin un marco de sometimiento previo y riguroso.</w:t>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b w:val="1"/>
          <w:bCs w:val="1"/>
          <w:sz w:val="24"/>
          <w:szCs w:val="24"/>
          <w:rtl w:val="0"/>
        </w:rPr>
        <w:t xml:space="preserve">ARTÍCULO 2. ÁMBITO DE APLICACIÓN</w:t>
      </w:r>
      <w:r w:rsidDel="00000000" w:rsidR="00000000" w:rsidRPr="00000000">
        <w:rPr>
          <w:rFonts w:ascii="Sorts Mill Goudy" w:cs="Sorts Mill Goudy" w:eastAsia="Sorts Mill Goudy" w:hAnsi="Sorts Mill Goudy"/>
          <w:sz w:val="24"/>
          <w:szCs w:val="24"/>
          <w:rtl w:val="0"/>
        </w:rPr>
        <w:t xml:space="preserve">. Las disposiciones contenidas en la presente ley son de orden público y se aplicarán en todo el territorio nacional, vinculando a todas las autoridades de las ramas del poder público en el marco de sus competencias constitucionales y legales.</w:t>
      </w:r>
    </w:p>
    <w:p w:rsidR="00000000" w:rsidDel="00000000" w:rsidP="00000000" w:rsidRDefault="00000000" w:rsidRPr="00000000" w14:paraId="00000024">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b w:val="1"/>
          <w:bCs w:val="1"/>
          <w:sz w:val="24"/>
          <w:szCs w:val="24"/>
          <w:rtl w:val="0"/>
        </w:rPr>
        <w:t xml:space="preserve">ARTÍCULO 3. DEROGATORIAS. </w:t>
      </w:r>
      <w:r w:rsidDel="00000000" w:rsidR="00000000" w:rsidRPr="00000000">
        <w:rPr>
          <w:rFonts w:ascii="Sorts Mill Goudy" w:cs="Sorts Mill Goudy" w:eastAsia="Sorts Mill Goudy" w:hAnsi="Sorts Mill Goudy"/>
          <w:sz w:val="24"/>
          <w:szCs w:val="24"/>
          <w:rtl w:val="0"/>
        </w:rPr>
        <w:t xml:space="preserve">Deróguese los artículos 2 literal c, 5, 6 y 7 de la Ley 2272 de 2022.</w:t>
      </w:r>
    </w:p>
    <w:p w:rsidR="00000000" w:rsidDel="00000000" w:rsidP="00000000" w:rsidRDefault="00000000" w:rsidRPr="00000000" w14:paraId="00000025">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2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28">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b w:val="1"/>
          <w:bCs w:val="1"/>
          <w:sz w:val="24"/>
          <w:szCs w:val="24"/>
          <w:rtl w:val="0"/>
        </w:rPr>
        <w:t xml:space="preserve">ARTÍCULO 4. SUPREMACÍA DE LA FUNCIÓN JUDICIAL.</w:t>
      </w:r>
      <w:r w:rsidDel="00000000" w:rsidR="00000000" w:rsidRPr="00000000">
        <w:rPr>
          <w:rFonts w:ascii="Sorts Mill Goudy" w:cs="Sorts Mill Goudy" w:eastAsia="Sorts Mill Goudy" w:hAnsi="Sorts Mill Goudy"/>
          <w:sz w:val="24"/>
          <w:szCs w:val="24"/>
          <w:rtl w:val="0"/>
        </w:rPr>
        <w:t xml:space="preserve"> El levantamiento o suspensión de órdenes de captura, medidas de aseguramiento o penas privativas de la libertad de miembros de estructuras armadas organizadas de crimen de alto impacto, solo podrá proceder cuando exista una ley de sometimiento a la justicia previa que defina condiciones de verdad, reparación y penas privativas de la libertad efectivas, en cumplimiento de los estándares internacionales y el precedente constitucional de derechos de las víctimas.</w:t>
      </w:r>
    </w:p>
    <w:p w:rsidR="00000000" w:rsidDel="00000000" w:rsidP="00000000" w:rsidRDefault="00000000" w:rsidRPr="00000000" w14:paraId="00000029">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b w:val="1"/>
          <w:bCs w:val="1"/>
          <w:sz w:val="24"/>
          <w:szCs w:val="24"/>
          <w:rtl w:val="0"/>
        </w:rPr>
        <w:t xml:space="preserve">ARTÍCULO 5. PROHIBICIÓN DE TRATAMIENTO POLÍTICO A ESTRUCTURAS CRIMINALES</w:t>
      </w:r>
      <w:r w:rsidDel="00000000" w:rsidR="00000000" w:rsidRPr="00000000">
        <w:rPr>
          <w:rFonts w:ascii="Sorts Mill Goudy" w:cs="Sorts Mill Goudy" w:eastAsia="Sorts Mill Goudy" w:hAnsi="Sorts Mill Goudy"/>
          <w:sz w:val="24"/>
          <w:szCs w:val="24"/>
          <w:rtl w:val="0"/>
        </w:rPr>
        <w:t xml:space="preserve">. Las autoridades del Ejecutivo no podrán reconocer estatus político, ni otorgar beneficios propios de procesos de paz, a organizaciones que no tengan un origen y naturaleza de carácter político- militar conforme al Derecho Internacional Humanitario. El sometimiento de estructuras criminales de alto impacto se regirá exclusivamente por el marco de la justicia ordinaria o el que determine el legislador para tal fin.</w:t>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ARTÍCULO 6. RÉGIMEN DE TRANSICIÓN Y SUSPENSIÓN DE PROCESOS</w:t>
      </w:r>
    </w:p>
    <w:p w:rsidR="00000000" w:rsidDel="00000000" w:rsidP="00000000" w:rsidRDefault="00000000" w:rsidRPr="00000000" w14:paraId="0000002B">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b w:val="1"/>
          <w:bCs w:val="1"/>
          <w:sz w:val="24"/>
          <w:szCs w:val="24"/>
          <w:rtl w:val="0"/>
        </w:rPr>
        <w:t xml:space="preserve">EN CURSO.</w:t>
      </w:r>
      <w:r w:rsidDel="00000000" w:rsidR="00000000" w:rsidRPr="00000000">
        <w:rPr>
          <w:rFonts w:ascii="Sorts Mill Goudy" w:cs="Sorts Mill Goudy" w:eastAsia="Sorts Mill Goudy" w:hAnsi="Sorts Mill Goudy"/>
          <w:sz w:val="24"/>
          <w:szCs w:val="24"/>
          <w:rtl w:val="0"/>
        </w:rPr>
        <w:t xml:space="preserve"> A partir de la promulgación de la presente ley, todos los acercamientos, conversaciones, diálogos o procesos de sometimiento con estructuras armadas organizadas de crimen de alto impacto que se encuentren en curso bajo el amparo de la Ley 2272 de 2022, quedarán suspendidos de pleno derecho.</w:t>
      </w:r>
    </w:p>
    <w:p w:rsidR="00000000" w:rsidDel="00000000" w:rsidP="00000000" w:rsidRDefault="00000000" w:rsidRPr="00000000" w14:paraId="0000002C">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b w:val="1"/>
          <w:bCs w:val="1"/>
          <w:sz w:val="24"/>
          <w:szCs w:val="24"/>
          <w:rtl w:val="0"/>
        </w:rPr>
        <w:t xml:space="preserve">PARÁGRAFO PRIMERO.</w:t>
      </w:r>
      <w:r w:rsidDel="00000000" w:rsidR="00000000" w:rsidRPr="00000000">
        <w:rPr>
          <w:rFonts w:ascii="Sorts Mill Goudy" w:cs="Sorts Mill Goudy" w:eastAsia="Sorts Mill Goudy" w:hAnsi="Sorts Mill Goudy"/>
          <w:sz w:val="24"/>
          <w:szCs w:val="24"/>
          <w:rtl w:val="0"/>
        </w:rPr>
        <w:t xml:space="preserve"> La suspensión o terminación de los procesos de que trata este artículo conlleva la reactivación inmediata de todas las órdenes de captura, medidas de aseguramiento y penas privativas de la libertad que hubieren sido suspendidas en favor de los miembros o voceros de dichas estructuras. Las autoridades judiciales y de policía deberán proceder a su ejecución sin necesidad de requerimiento adicional.</w:t>
      </w:r>
    </w:p>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b w:val="1"/>
          <w:bCs w:val="1"/>
          <w:sz w:val="24"/>
          <w:szCs w:val="24"/>
          <w:rtl w:val="0"/>
        </w:rPr>
        <w:t xml:space="preserve">ARTÍCULO 7. VIGENCIA.</w:t>
      </w:r>
      <w:r w:rsidDel="00000000" w:rsidR="00000000" w:rsidRPr="00000000">
        <w:rPr>
          <w:rFonts w:ascii="Sorts Mill Goudy" w:cs="Sorts Mill Goudy" w:eastAsia="Sorts Mill Goudy" w:hAnsi="Sorts Mill Goudy"/>
          <w:sz w:val="24"/>
          <w:szCs w:val="24"/>
          <w:rtl w:val="0"/>
        </w:rPr>
        <w:t xml:space="preserve"> La presente ley rige a partir de la fecha de su promulgación y deroga las disposiciones que le sean contrarias.</w:t>
      </w:r>
    </w:p>
    <w:p w:rsidR="00000000" w:rsidDel="00000000" w:rsidP="00000000" w:rsidRDefault="00000000" w:rsidRPr="00000000" w14:paraId="0000002E">
      <w:pPr>
        <w:pBdr>
          <w:top w:color="000000" w:space="0" w:sz="0" w:val="none"/>
          <w:left w:color="000000" w:space="0" w:sz="0" w:val="none"/>
          <w:bottom w:color="000000" w:space="0" w:sz="0" w:val="none"/>
          <w:right w:color="000000" w:space="0" w:sz="0" w:val="none"/>
          <w:between w:color="000000" w:space="0" w:sz="0" w:val="none"/>
        </w:pBdr>
        <w:spacing w:after="200"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2F">
      <w:pPr>
        <w:pBdr>
          <w:top w:color="000000" w:space="0" w:sz="0" w:val="none"/>
          <w:left w:color="000000" w:space="0" w:sz="0" w:val="none"/>
          <w:bottom w:color="000000" w:space="0" w:sz="0" w:val="none"/>
          <w:right w:color="000000" w:space="0" w:sz="0" w:val="none"/>
          <w:between w:color="000000" w:space="0" w:sz="0" w:val="none"/>
        </w:pBdr>
        <w:spacing w:after="200" w:line="276"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30">
      <w:pPr>
        <w:pBdr>
          <w:top w:color="000000" w:space="0" w:sz="0" w:val="none"/>
          <w:left w:color="000000" w:space="0" w:sz="0" w:val="none"/>
          <w:bottom w:color="000000" w:space="0" w:sz="0" w:val="none"/>
          <w:right w:color="000000" w:space="0" w:sz="0" w:val="none"/>
          <w:between w:color="000000" w:space="0" w:sz="0" w:val="none"/>
        </w:pBdr>
        <w:spacing w:after="200" w:line="276"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31">
      <w:pPr>
        <w:pBdr>
          <w:top w:color="000000" w:space="0" w:sz="0" w:val="none"/>
          <w:left w:color="000000" w:space="0" w:sz="0" w:val="none"/>
          <w:bottom w:color="000000" w:space="0" w:sz="0" w:val="none"/>
          <w:right w:color="000000" w:space="0" w:sz="0" w:val="none"/>
          <w:between w:color="000000" w:space="0" w:sz="0" w:val="none"/>
        </w:pBdr>
        <w:spacing w:after="200" w:line="276" w:lineRule="auto"/>
        <w:jc w:val="center"/>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ARGUMENTACIÓN DE LA PONENCIA</w:t>
      </w:r>
    </w:p>
    <w:p w:rsidR="00000000" w:rsidDel="00000000" w:rsidP="00000000" w:rsidRDefault="00000000" w:rsidRPr="00000000" w14:paraId="00000032">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Esta ponencia gira en torno al postulado de que el Proyecto de Ley 040 de 2026 carece de una lógica suficiente de pertinencia, necesidad y coherencia constitucional para justificar su aprobación. No estamos frente a una iniciativa que simplemente corrige excesos o ajusta técnicamente la política de paz, estamos frente a un proyecto que mezcla derogatorias de disposiciones cuya vigencia está próxima a agotarse, elimina herramientas jurídicas sin proponer herramientas que las reemplacen, incorpora restricciones problemáticas frente al orden constitucional y presenta falencias de redacción y técnica legislativa que terminan revelando la concepción regresiva sobre la manera como el Estado debe enfrentar la violencia. El resultado es una iniciativa que, en lugar de buscar mejorar los instrumentos existentes, pretende desmontar parte de una arquitectura jurídica construida durante décadas por gobiernos de distintas orillas políticas para dotar al Estado de mecanismos mínimos de negociación, acercamiento, sometimiento, desmovilización, desarme y construcción de convivencia.</w:t>
      </w:r>
    </w:p>
    <w:p w:rsidR="00000000" w:rsidDel="00000000" w:rsidP="00000000" w:rsidRDefault="00000000" w:rsidRPr="00000000" w14:paraId="00000033">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Sin embargo, el problema de fondo es todavía más profundo. Este proyecto se aparta del espíritu constitucional que Colombia ha construido alrededor de la paz como derecho, como deber y como finalidad permanente del Estado, consagrado en el artículo 22 de la Constitución y desarrollado por una extensa jurisprudencia. Pretende  entonces reducir problemas derivados de un conflicto armado histórico y de múltiples formas de violencia organizada a una respuesta predominantemente retributiva y punitiva, como si la única expresión posible de justicia fuera perseguir, bombardear y acabar con quienes para el autor, son enemigos del Estado y no actores irregulares. Por ello, algunos artículos, la exposición e incluso marco constitucional y jurisprudencial que propone el autor del proyecto de ley ignora abiertamente décadas de evolución jurídica nacional e internacional hacia modelos que articulan justicia, verdad, reparación, garantías de no repetición, restauración del tejido social y protección efectiva de las víctimas. Más grave aún, desconoce una realidad que el país ha venido evidenciando a través de mecanismos de justicia como la JEP: las víctimas no se protegen únicamente aumentando penas ni estableciendo mecanismos de justicia retributiva; se protegen evitando nuevas victimizaciones, desmantelando estructuras, recuperando territorios, esclareciendo la verdad, reparando el daño y creando condiciones reales para que la violencia no se repita. En lugar de avanzar sobre esa experiencia histórica, el Proyecto de Ley 040 propone retroceder décadas y volver a una comprensión de la seguridad y de la justicia que el propio constitucionalismo colombiano y el derecho internacional contemporáneo han venido superando ya. </w:t>
      </w:r>
    </w:p>
    <w:p w:rsidR="00000000" w:rsidDel="00000000" w:rsidP="00000000" w:rsidRDefault="00000000" w:rsidRPr="00000000" w14:paraId="00000034">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Por esa razón, esta ponencia abordará de manera individual los principales fundamentos de inconveniencia, falta de necesidad normativa y reparos de constitucionalidad que impiden acompañar favorablemente la iniciativa. Con esto no sostenemos que la ley 2272 del 2022 no tenga falencias o que haya obtenido los efectos esperados por sus impulsores y por las y los Colombianos, mucho menos que el Congreso no tenga competencia para modificarla, se trata de exigir que una reforma que pretende alterar la arquitectura jurídica mediante la cual el Estado colombiano busca enfrentar el conflicto armado, promover sometimientos y proteger a las víctimas tenga al menos una justificación constitucionalmente consistente y una propuesta normativa superior a aquello que pretende desmontar. Nuestra ponencia apunta a demostrar que no supera este estándar. </w:t>
      </w:r>
    </w:p>
    <w:p w:rsidR="00000000" w:rsidDel="00000000" w:rsidP="00000000" w:rsidRDefault="00000000" w:rsidRPr="00000000" w14:paraId="00000035">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color w:val="000000"/>
          <w:sz w:val="24"/>
          <w:szCs w:val="24"/>
          <w:rtl w:val="0"/>
        </w:rPr>
        <w:t xml:space="preserve">1. </w:t>
      </w:r>
      <w:r w:rsidDel="00000000" w:rsidR="00000000" w:rsidRPr="00000000">
        <w:rPr>
          <w:rFonts w:ascii="Sorts Mill Goudy" w:cs="Sorts Mill Goudy" w:eastAsia="Sorts Mill Goudy" w:hAnsi="Sorts Mill Goudy"/>
          <w:sz w:val="24"/>
          <w:szCs w:val="24"/>
          <w:rtl w:val="0"/>
        </w:rPr>
        <w:t xml:space="preserve">Artículo 1. OBJETO DE LA LEY. El </w:t>
      </w:r>
      <w:r w:rsidDel="00000000" w:rsidR="00000000" w:rsidRPr="00000000">
        <w:rPr>
          <w:rFonts w:ascii="Sorts Mill Goudy" w:cs="Sorts Mill Goudy" w:eastAsia="Sorts Mill Goudy" w:hAnsi="Sorts Mill Goudy"/>
          <w:color w:val="000000"/>
          <w:sz w:val="24"/>
          <w:szCs w:val="24"/>
          <w:rtl w:val="0"/>
        </w:rPr>
        <w:t xml:space="preserve">objeto de la ley est</w:t>
      </w:r>
      <w:r w:rsidDel="00000000" w:rsidR="00000000" w:rsidRPr="00000000">
        <w:rPr>
          <w:rFonts w:ascii="Sorts Mill Goudy" w:cs="Sorts Mill Goudy" w:eastAsia="Sorts Mill Goudy" w:hAnsi="Sorts Mill Goudy"/>
          <w:sz w:val="24"/>
          <w:szCs w:val="24"/>
          <w:rtl w:val="0"/>
        </w:rPr>
        <w:t xml:space="preserve">á </w:t>
      </w:r>
      <w:r w:rsidDel="00000000" w:rsidR="00000000" w:rsidRPr="00000000">
        <w:rPr>
          <w:rFonts w:ascii="Sorts Mill Goudy" w:cs="Sorts Mill Goudy" w:eastAsia="Sorts Mill Goudy" w:hAnsi="Sorts Mill Goudy"/>
          <w:color w:val="000000"/>
          <w:sz w:val="24"/>
          <w:szCs w:val="24"/>
          <w:rtl w:val="0"/>
        </w:rPr>
        <w:t xml:space="preserve">construido sobre una premisa equivocada: no se fortalece el Estado de Derecho insinuando que el Congreso y la Corte Constitucional previamente lo debilitaron. </w:t>
      </w:r>
      <w:r w:rsidDel="00000000" w:rsidR="00000000" w:rsidRPr="00000000">
        <w:rPr>
          <w:rFonts w:ascii="Sorts Mill Goudy" w:cs="Sorts Mill Goudy" w:eastAsia="Sorts Mill Goudy" w:hAnsi="Sorts Mill Goudy"/>
          <w:sz w:val="24"/>
          <w:szCs w:val="24"/>
          <w:rtl w:val="0"/>
        </w:rPr>
        <w:t xml:space="preserve">Este sostiene que su objeto consiste en</w:t>
      </w:r>
      <w:r w:rsidDel="00000000" w:rsidR="00000000" w:rsidRPr="00000000">
        <w:rPr>
          <w:rFonts w:ascii="Sorts Mill Goudy" w:cs="Sorts Mill Goudy" w:eastAsia="Sorts Mill Goudy" w:hAnsi="Sorts Mill Goudy"/>
          <w:i w:val="1"/>
          <w:iCs w:val="1"/>
          <w:sz w:val="24"/>
          <w:szCs w:val="24"/>
          <w:rtl w:val="0"/>
        </w:rPr>
        <w:t xml:space="preserve"> “fortalecer el Estado de Derecho y garantizar la tutela judicial efectiva de las víctimas”</w:t>
      </w:r>
      <w:r w:rsidDel="00000000" w:rsidR="00000000" w:rsidRPr="00000000">
        <w:rPr>
          <w:rFonts w:ascii="Sorts Mill Goudy" w:cs="Sorts Mill Goudy" w:eastAsia="Sorts Mill Goudy" w:hAnsi="Sorts Mill Goudy"/>
          <w:sz w:val="24"/>
          <w:szCs w:val="24"/>
          <w:rtl w:val="0"/>
        </w:rPr>
        <w:t xml:space="preserve"> mediante la eliminación de determinadas disposiciones de la Ley 2272 de 2022. Esa formulación es en realidad una afirmación política y jurídica muy grave la cual apunta a que la legislación aprobada por el Congreso en 2022 habría debilitado el Estado de Derecho y que quienes promovieron o acompañaron con su voto aquella iniciativa,  debilitaron institucionalmente el Estado. </w:t>
      </w:r>
    </w:p>
    <w:p w:rsidR="00000000" w:rsidDel="00000000" w:rsidP="00000000" w:rsidRDefault="00000000" w:rsidRPr="00000000" w14:paraId="00000036">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La Ley 2272 de 2022 no surgió como un mecanismo clandestino para desmontar la justicia ni como una autorización abierta para que el Ejecutivo actuara por fuera de la constitución. Fue debatida y aprobada por el Congreso de la República con sus respectivos debates y posteriormente sometida a control por parte de la Corte Constitucional. La Corte no encontró que la sola existencia de acercamientos con estructuras armadas de crimen de alto impacto implicara una renuncia al Estado de Derecho. Por el contrario, en la Sentencia C-525 de 2023 declaró exequible la facultad del Gobierno Nacional de adelantar actos tendientes a entablar acercamientos y conversaciones con estas estructuras cuando demuestren voluntad de transitar hacia el Estado de Derecho, y explicó que esa potestad encuentra sustento en la competencia presidencial de conservación del orden público y en lo que la propia jurisprudencia denomina la “Constitución para la Paz”, integrada en el Preámbulo y los artículos 2, 22, 95 y 67 de la Constitución.</w:t>
      </w:r>
    </w:p>
    <w:p w:rsidR="00000000" w:rsidDel="00000000" w:rsidP="00000000" w:rsidRDefault="00000000" w:rsidRPr="00000000" w14:paraId="00000037">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Es decir, la Corte Constitucional ya  resolvió una parte de la discusión que el Proyecto de Ley 040 pretende presentar hoy como si jurídicamente estuviera inaugurándola. La respuesta de la corte no fue que los instrumentos de acercamiento fueran contrarios al Estado de Derecho, fue bastante más precisa ya que la consideró constitucionalmente admisibles, pero fijó límites. Determinó que los términos de sometimiento deben ser definidos por el legislador, que los derechos de las víctimas deben ser garantizados y que la suspensión de órdenes de captura requiere justificación gubernamental y valoración por la autoridad judicial competente.  </w:t>
      </w:r>
    </w:p>
    <w:p w:rsidR="00000000" w:rsidDel="00000000" w:rsidP="00000000" w:rsidRDefault="00000000" w:rsidRPr="00000000" w14:paraId="00000038">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En conclusión, si tomáramos en serio la formulación del autor, tocaría concluir que el Congreso en el 2022 aprobó un proyecto de ley que buscaba debilitar el Estado de Derecho y que la Corte Constitucional, después de estudiarla, decidió aceptar que ese debilitamiento se diera. Esa conclusión no guarda ninguna razón lógica y en realidad termina siendo una descalificación del propio Congreso de la República. </w:t>
      </w:r>
    </w:p>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2. Artículo 2. ÁMBITO DE APLICACIÓN. El proyecto pretende sustentar un alcance nacional sustentado en una exposición de motivos encerrada en Medellín y el Valle de Aburrá. </w:t>
      </w:r>
    </w:p>
    <w:p w:rsidR="00000000" w:rsidDel="00000000" w:rsidP="00000000" w:rsidRDefault="00000000" w:rsidRPr="00000000" w14:paraId="0000003A">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Pareciera que la gentrificación de Medellín también alcanzó la exposición de motivos del proyecto y desplazó al resto del país. Cauca, Nariño, Chocó, Arauca, Catatumbo, Putumayo, Valle del Cauca y los demás territorios atravesados por dinámicas completamente distintas de conflicto armado y criminalidad organizada desaparecen de la argumentación.</w:t>
      </w:r>
    </w:p>
    <w:p w:rsidR="00000000" w:rsidDel="00000000" w:rsidP="00000000" w:rsidRDefault="00000000" w:rsidRPr="00000000" w14:paraId="0000003B">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Peor aún, se hacen afirmaciones presentadas como verdades  irrefutables sin metodología ni soporte alguno. El proyecto sostiene que en el Valle de Aburrá tienen asiento “10 de las 22 estructuras criminales que operan en Colombia” y, de allí, concluye que esto representa “el 45% de la criminalidad organizada a nivel nacional”. Pero una cosa es afirmar que 10 de 22 estructuras identificadas tienen presencia en determinado territorio, dato sin siquiera una cita que permita comprobarlo, y otra completamente distinta concluir que allí se concentra el 45% de toda la criminalidad organizada del país. El número de estructuras no equivale al volumen de criminalidad, ni permite medir integrantes, rentas ilícitas, control territorial, capacidad armada, homicidios, extorsiones o población sometida. Es una extrapolación estadísticamente insostenible presentada como si fuera evidencia nacional. No se puede diseñar una política nacional de paz, sometimiento y orden público tomando como regla general la experiencia particular de una ciudad. Si el proyecto quiere producir efectos en todo Colombia, tiene la obligación mínima de explicar qué problema nacional pretende resolver y demostrar que ese problema existe con evidencia nacional. </w:t>
      </w:r>
    </w:p>
    <w:p w:rsidR="00000000" w:rsidDel="00000000" w:rsidP="00000000" w:rsidRDefault="00000000" w:rsidRPr="00000000" w14:paraId="0000003C">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Al menos hay que abonarle al autor una dosis de sinceridad. En su intento por demostrar el supuesto fracaso de la política de paz, termina concediéndole la razón a Gustavo Petro e Iván Cepeda sobre el diagnóstico que durante años han sostenido sobre Medellín y Antioquia. Es el propio autor el que describe al Valle de Aburrá como un “laboratorio de un experimento de seguridad nacional” y es el mismo el que presenta su región como una explosión de estructuras criminales. </w:t>
      </w:r>
    </w:p>
    <w:p w:rsidR="00000000" w:rsidDel="00000000" w:rsidP="00000000" w:rsidRDefault="00000000" w:rsidRPr="00000000" w14:paraId="0000003D">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3. Artículo 3. DEROGATORIAS. El artículo 3 es, sin duda, la nuez de la inconveniencia de este proyecto. Allí se propone derogar el literal c) del artículo 2 y los artículos 5, 6 y 7 de la Ley 2272 de 2022. El problema es que el autor mezcla todo en una misma bolsa de derogaciones, como si esas normas tuvieran la misma naturaleza y la misma vigencia. No es así. Los artículos 5, 6 y 7 tienen una temporalidad expresa de cuatro años y están próximos a perder vigencia. El literal c) del artículo 2, en cambio, no vence y tiene vocación de permanencia. Desde ahí empieza a desordenarse toda la lógica del proyecto.</w:t>
      </w:r>
    </w:p>
    <w:p w:rsidR="00000000" w:rsidDel="00000000" w:rsidP="00000000" w:rsidRDefault="00000000" w:rsidRPr="00000000" w14:paraId="0000003E">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¿Para qué poner al Congreso a tramitar una ley para derogar normas que en pocos meses van a dejar de producir efectos por sí mismas? ¿Cuál es la urgencia real? ¿Cuál es la necesidad normativa? Porque si el objetivo fuera corregir la política de paz, actualizarla o reemplazarla por algo mejor, el proyecto debería traer una propuesta nueva, pero no la trae. Lo que trae es una argumentación política para declarar derrotada la “Paz Total”, incluso allí donde jurídicamente ya no hay mucho que derrotar porque varias de esas disposiciones están próximas a expirar.</w:t>
      </w:r>
    </w:p>
    <w:p w:rsidR="00000000" w:rsidDel="00000000" w:rsidP="00000000" w:rsidRDefault="00000000" w:rsidRPr="00000000" w14:paraId="0000003F">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Por ello, mientras el proyecto pierde tiempo derogando lo que se va a vencer, el proyecto sí se lleva por delante algo que sigue siendo necesario: el literal c) del artículo 2, que diferencia dos cosas que cualquier política seria de seguridad debería poder distinguir: una negociación política con un grupo armado y un acercamiento con una estructura criminal para lograr su sometimiento y desmantelamiento. Esa norma no convierte delincuentes en actores políticos, hace exactamente lo contrario y es que permite no confundirlos.</w:t>
      </w:r>
    </w:p>
    <w:p w:rsidR="00000000" w:rsidDel="00000000" w:rsidP="00000000" w:rsidRDefault="00000000" w:rsidRPr="00000000" w14:paraId="00000040">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Por eso resulta tan paradójico que un proyecto que dice combatir la impunidad pretenda eliminar justamente la categoría que le permitiría al propio Presidente  Abelardo de la Espriella decirle a una estructura criminal que no le acepta el autodenominado estatus político y le da la opción de sometimiento.  El autor con esto  elimina los instrumentos jurídicos para establecer acercamientos y conversaciones encaminadas precisamente al sometimiento. Es necesario que el autor del proyecto sepa que los grupos armados no se rinden por generación espontánea.</w:t>
      </w:r>
    </w:p>
    <w:p w:rsidR="00000000" w:rsidDel="00000000" w:rsidP="00000000" w:rsidRDefault="00000000" w:rsidRPr="00000000" w14:paraId="00000041">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4.Artículo 4. SUPREMACÍA DE LA FUNCIÓN JUDICIAL. Este artículo parte nuevamente de una premisa engañosa. Bajo el título de “Supremacía de la función judicial”, pretende establecer que las órdenes de captura contra integrantes de estructuras armadas organizadas de crimen de alto impacto solo puedan suspenderse cuando exista previamente una ley de sometimiento que contemple, entre otras condiciones, penas privativas de la libertad efectivas. El problema es que el ordenamiento colombiano ya regula esta materia. El artículo 8 de la Ley 418 de 1997 contempla la suspensión temporal de órdenes de captura como un instrumento operativo para facilitar acercamientos, conversaciones, procesos de paz y sometimiento a la justicia. No es una ocurrencia del Gobierno anterior, es una herramienta que Colombia viene utilizando dentro de su legislación de orden público y paz hace casi 30 años.</w:t>
      </w:r>
    </w:p>
    <w:p w:rsidR="00000000" w:rsidDel="00000000" w:rsidP="00000000" w:rsidRDefault="00000000" w:rsidRPr="00000000" w14:paraId="00000042">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A propósito de esta discusión que se da en la comisión primera, existe una sentencia que precisamente ordena esta materia,  la Sentencia C-525 de 2023 producto de una demanda del propio Presidente de la comisión, el señor Jose Jaime Uscátegui, el cual demandó por inconstitucionalidad la ley 2272 del 2022 y finalmente la Corte no declaró inconstitucional la suspensión de órdenes de captura. La declaró constitucional bajo condiciones como que debe existir justificación del Gobierno sobre su necesidad, temporalidad y alcance territorial, y la autoridad judicial competente debe valorar esos presupuestos. El Proyecto 040 actúa como si esa sentencia no existiera.</w:t>
      </w:r>
    </w:p>
    <w:p w:rsidR="00000000" w:rsidDel="00000000" w:rsidP="00000000" w:rsidRDefault="00000000" w:rsidRPr="00000000" w14:paraId="00000043">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La Corte explicó que la suspensión de una orden de captura no equivale a perdonar el delito, extinguir la acción penal ni regalar impunidad, la caracterizó como una medida excepcional, temporal y operativa, que paraliza transitoriamente la ejecución de una captura para hacer posible un proceso determinado. El artículo 4 mezcla esa herramienta provisional con el resultado definitivo de un proceso de sometimiento, además que exige que antes de suspender una captura ya exista una ley que determine incluso “penas privativas de la libertad efectivas”. Es decir que para poder adelantar el acercamiento que permita construir un sometimiento, el proyecto exige que buena parte del sometimiento ya esté jurídicamente resuelto, una incoherencia lógica de tiempo y forma.</w:t>
      </w:r>
    </w:p>
    <w:p w:rsidR="00000000" w:rsidDel="00000000" w:rsidP="00000000" w:rsidRDefault="00000000" w:rsidRPr="00000000" w14:paraId="00000044">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5. Artículo 5. PROHIBICIÓN DE TRATAMIENTO POLÍTICO A ESTRUCTURAS CRIMINALES.  El título de este apartado intenta instalar una idea políticamente útil para su autor, pero jurídicamente falsa y es que durante el Gobierno de Gustavo Petro se habría otorgado “estatus político” a estructuras criminales y que ahora sería necesario prohibir semejante práctica. Debemos decirlo claramente, esto no ocurrió. La Ley 2272 hizo exactamente lo contrario: diferenció expresamente entre los grupos con los cuales pueden adelantar negociaciones de carácter político y las estructuras armadas organizadas de crimen de alto impacto, respecto de las cuales únicamente autorizó acercamientos y conversaciones dirigidos a su sometimiento a la justicia y desmantelamiento.  La Sentencia C-525 de 2023 producto de la demanda del hoy Presidente de la comisión, explicó que la Ley 2272 estableció dos rutas distintas: las negociaciones y diálogos de carácter político con grupos armados organizados al margen de la ley, dirigidos a pactar acuerdos de paz, y los acercamientos y conversaciones con estructuras armadas organizadas de crimen de alto impacto, cuyo objeto es exclusivamente lograr su sometimiento a la justicia y desmantelamiento. La misma Corte recordó, además, que los beneficios constitucionalmente reservados a la delincuencia política no pueden extenderse a organizaciones que no tengan esa naturaleza. En consecuencia, resulta falso presentar la Ley 2272 como una norma que hubiera convertido estructuras criminales en actores políticos ya que su diseño jurídico hizo precisamente la diferenciación contraria.</w:t>
      </w:r>
    </w:p>
    <w:p w:rsidR="00000000" w:rsidDel="00000000" w:rsidP="00000000" w:rsidRDefault="00000000" w:rsidRPr="00000000" w14:paraId="00000045">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Es por ello que debemos ser claros en que este artículo de esta ley busca “prohibir” una conducta que la ley vigente nunca autorizó. Realmente el autor construye el fantasma de que Petro “le dio tratamiento político a los criminales” para después presentar como gran conquista legislativa la prohibición de algo que el ordenamiento ya diferenciaba, lo cual puede ser un recurso que le puede servir para un discurso en redes sociales pero es bastante pobre como técnica legislativa. </w:t>
      </w:r>
    </w:p>
    <w:p w:rsidR="00000000" w:rsidDel="00000000" w:rsidP="00000000" w:rsidRDefault="00000000" w:rsidRPr="00000000" w14:paraId="00000046">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6. Artículo 6. RÉGIMEN DE TRANSICIÓN Y SUSPENSIÓN DE PROCESOS EN CURSO. Este artículo termina cruzando todas las líneas de la separación de poderes. Claramente el Congreso tiene competencia para regular, modificar e incluso derogar el marco legal de los procesos de paz y sometimiento, es la discusión del proyecto de ley mismo, pero,  lo que resulta constitucionalmente muy distinto es que, mediante una ley, pretenda ordenar que todos los acercamientos, conversaciones, diálogos o procesos de sometimiento que el Ejecutivo tenga en curso queden suspendidos automáticamente “de pleno derecho”.  Con este artículo el legislador deja de limitarse a establecer reglas generales y entra a tomar directamente una decisión que la Constitución ubica dentro de la conducción del orden público por parte del Presidente de la República.</w:t>
      </w:r>
    </w:p>
    <w:p w:rsidR="00000000" w:rsidDel="00000000" w:rsidP="00000000" w:rsidRDefault="00000000" w:rsidRPr="00000000" w14:paraId="00000047">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El artículo 189  de la Constitución atribuye al Presidente la responsabilidad de “conservar en todo el territorio el orden público y restablecerlo donde fuere turbado” y la Corte ha explicado que esa atribución le da un margen amplio al Presidente para decidir cómo, cuándo y con quién adelantar mecanismos de diálogo. En la Sentencia C-069 de 2020 fue todavía más allá y sostuvo que ninguna otra autoridad puede condicionar la potestad presidencial para determinar cómo, cuándo y con quién llevar a cabo diálogos de paz, precisamente porque se trata de decisiones estrechamente vinculadas con la dirección del orden público. </w:t>
      </w:r>
    </w:p>
    <w:p w:rsidR="00000000" w:rsidDel="00000000" w:rsidP="00000000" w:rsidRDefault="00000000" w:rsidRPr="00000000" w14:paraId="00000048">
      <w:pPr>
        <w:pBdr>
          <w:top w:color="000000" w:space="0" w:sz="0" w:val="none"/>
          <w:left w:color="000000" w:space="0" w:sz="0" w:val="none"/>
          <w:bottom w:color="000000" w:space="0" w:sz="0" w:val="none"/>
          <w:right w:color="000000" w:space="0" w:sz="0" w:val="none"/>
          <w:between w:color="000000" w:space="0" w:sz="0" w:val="none"/>
        </w:pBdr>
        <w:spacing w:after="240" w:before="240" w:lineRule="auto"/>
        <w:ind w:left="850.3937007874017" w:firstLine="0"/>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En la misma misma C-525 de 2023 la Corte estudió específicamente los acercamientos con estructuras armadas organizadas de crimen de alto impacto y concluyó que esa posibilidad no vulnera la separación de poderes porque se encuentra vinculada con la “amplia facultad que tiene el Presidente de la República de conservar el orden público en todo el territorio nacional” mediante mecanismos pacíficos compatibles con la Constitución. En conclusión, la Corte ya reconoció que el Presidente puede utilizar los acercamientos con Estructuras Armadas Organizadas de Crimen de Alto Impacto como una herramienta constitucional de preservación del orden público. Ahora el Proyecto 040 pretende que el Congreso le ordene suspenderlos todos, indiscriminadamente y por ministerio de la ley, un absurdo. El Congreso pone las reglas del juego, no juega el partido por el Presidente.</w:t>
      </w:r>
    </w:p>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4A">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4B">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Ahora bien, es precisamente en la exposición de motivos donde el Proyecto de Ley 040 empieza a delatar sus principales debilidades. La exposición de motivos no es un espacio para acumular opiniones, hacer homenajes políticos a alcaldes o insertar frases de campaña. La exposición de motivos es donde el autor tiene la carga de demostrar qué problema existe, con qué evidencia sostiene sus argumentos y por qué la respuesta legislativa que propone es necesaria, pero es aquí donde ocurre exactamente lo contrario: mientras más intenta justificar la iniciativa, más evidentes se hacen sus contradicciones, la precariedad de algunas de sus fuentes y el profundo sesgo político en el que se para el autor para defender su proyecto. </w:t>
      </w:r>
    </w:p>
    <w:p w:rsidR="00000000" w:rsidDel="00000000" w:rsidP="00000000" w:rsidRDefault="00000000" w:rsidRPr="00000000" w14:paraId="0000004C">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Desde la primera línea de la exposición de motivos ya aparecen las inconsistencias ya que sostiene que “El presente borrador de proyecto de ley…”. lo cual es un error elemental. Esta Comisión no recibió un borrador para ayudarle al autor a terminarlo, recibió un proyecto de ley formalmente radicado que pretende modificar la arquitectura jurídica de la paz en Colombia. Desafortunadamente el resto de la exposición de motivos pareciera indicar a los ponentes que estamos ante un borrador y no un proyecto.</w:t>
      </w:r>
    </w:p>
    <w:p w:rsidR="00000000" w:rsidDel="00000000" w:rsidP="00000000" w:rsidRDefault="00000000" w:rsidRPr="00000000" w14:paraId="0000004D">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Seguidamente la exposición sostiene que “el propósito central radica en garantizar la tutela judicial efectiva para las víctimas”, pero cuando uno busca esa centralidad en el articulado, no la encuentra. No hay un solo mecanismo nuevo de participación de las víctimas, no hay una ruta de reparación; no hay una obligación adicional de esclarecimiento de la verdad, no existe un instrumento de garantías de no repetición ni una medida concreta para acompañar a las comunidades afectadas. Las víctimas aparecen repetidamente en el discurso pero prácticamente desaparecen cuando el autor presenta el articulado.. El artículo 4 menciona verdad y reparación como condiciones de un eventual sometimiento, sí, pero el proyecto no desarrolla ninguna de ellas. Las víctimas terminan siendo la justificación retórica de una iniciativa cuyo articulado está concentrado en prohibir, suspender y reactivar órdenes de captura.</w:t>
      </w:r>
    </w:p>
    <w:p w:rsidR="00000000" w:rsidDel="00000000" w:rsidP="00000000" w:rsidRDefault="00000000" w:rsidRPr="00000000" w14:paraId="0000004E">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La exposición afirma que el sometimiento debe regirse por la justicia penal ordinaria para impedir que se envíe a la sociedad el mensaje de que “el crimen sí paga”. Esa frase puede funcionar en una tarima, pero desconoce décadas de construcción constitucional sobre justicia transicional y restaurativa. Justicia restaurativa no significa ausencia de sanción ni impunidad. En 2025, por ejemplo, la JEP impuso a siete integrantes del antiguo Secretariado de las Farc la máxima sanción propia de ocho años, después de que reconocieran responsabilidad por crímenes de guerra y de lesa humanidad relacionados con al menos 21.396 secuestros; la propia Jurisdicción señaló que esos crímenes habían registrado previamente niveles de impunidad cercanos al 92 %. Esas sanciones incorporan restricciones efectivas de derechos y libertades y trabajos dirigidos a búsqueda de desaparecidos, acción contra minas, recuperación ambiental y reparación simbólica. </w:t>
      </w:r>
    </w:p>
    <w:p w:rsidR="00000000" w:rsidDel="00000000" w:rsidP="00000000" w:rsidRDefault="00000000" w:rsidRPr="00000000" w14:paraId="0000004F">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La experiencia de la JEP demuestra justamente que el falso dilema entre cárcel o impunidad hace rato fue superado por nuestro orden constitucional. La Corte Constitucional sostuvo desde la Sentencia C-674 de 2017 que el Sistema Integral busca justicia no solamente mediante sanciones retributivas, sino también mediante verdad, reconocimiento de responsabilidad, reparación y no repetición, con las víctimas como eje del sistema, incluso para el 2024 la JEP reportaba más de 353.000 víctimas acreditadas, 200 trabajos, obras y actividades reparadoras-restauradoras certificados y procesos que permitieron esclarecer macrocriminalidad que durante años permaneció impune. El crimen no “paga” porque exista justicia restaurativa, está precisamente empieza a dejar de pagar cuando quienes durante décadas no respondieron tienen que reconocer públicamente lo que hicieron, aportar verdad, reparar y someterse a una sanción judicial, como ha sido el caso de algún expresidente. </w:t>
      </w:r>
    </w:p>
    <w:p w:rsidR="00000000" w:rsidDel="00000000" w:rsidP="00000000" w:rsidRDefault="00000000" w:rsidRPr="00000000" w14:paraId="00000050">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Así mismo la exposición afirma que el proyecto establece un “régimen de transición claro” para “suspender de forma inmediata” los procesos de diálogo. ¿Un regimen de transición para suspender de forma inmediata? Un régimen de transición supone precisamente establecer cómo se pasa de un régimen jurídico a otro, qué ocurre con las situaciones en curso, qué garantías subsisten, cuáles obligaciones permanecen y cómo se evita generar vacíos o inseguridad jurídica. Aquí no hay transición alguna, lo que hay es una motosierra, la cual acaba todo y punto. </w:t>
      </w:r>
    </w:p>
    <w:p w:rsidR="00000000" w:rsidDel="00000000" w:rsidP="00000000" w:rsidRDefault="00000000" w:rsidRPr="00000000" w14:paraId="00000051">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Luego aparece una afirmación todavía más grave, la cual dice  que durante la Paz Total el Estado habría terminado “renunciando de facto a su soberanía jurisdiccional”. ¿En qué momento ocurrió semejante renuncia? ¿Qué juez colombiano perdió jurisdicción? ¿Qué tribunal extranjero sustituyó a nuestros jueces? ¿Qué acción penal quedó extinguida porque existiera una mesa? Suspender temporalmente una orden de captura bajo controles legales no significa renunciar a la soberanía judicial, mucho menos cuando la Sentencia C-525 de 2023 precisamente reforzó la intervención judicial y estableció límites a esas suspensiones. Nuevamente el autor demuestra que sus opiniones y exageraciones políticas lo que terminan es saboteando su propio proyecto. </w:t>
      </w:r>
    </w:p>
    <w:p w:rsidR="00000000" w:rsidDel="00000000" w:rsidP="00000000" w:rsidRDefault="00000000" w:rsidRPr="00000000" w14:paraId="00000052">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Es por ello que resulta paradójico que quienes escribieron hace unas semanas que el Gobierno anterior estaba entregando la “soberanía” por mantener instrumentos de diálogo hoy acompañan a un Gobierno que ha autorizado, según informó públicamente el secretario de Defensa de Estados Unidos, operaciones militares conjuntas con fuerzas estadounidenses en territorio colombiano, mientras simultáneamente ha anunciado un nuevo alineamiento estratégico con Israel. Se puede defender políticamente esa decisión, por supuesto. Parece que el autor tiene una concepción extraña y exótica de soberanía.</w:t>
      </w:r>
    </w:p>
    <w:p w:rsidR="00000000" w:rsidDel="00000000" w:rsidP="00000000" w:rsidRDefault="00000000" w:rsidRPr="00000000" w14:paraId="00000053">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Posteriormente la exposición abandona cualquier intención de neutralidad y habla abiertamente de una supuesta “Paz Mafiosa”, a la que atribuye como propósito el repliegue de la Fuerza Pública, la reorganización criminal, el fortalecimiento financiero de estructuras y otras consecuencias de enorme gravedad. El problema no es que un congresista tenga esa opinión, está en todo su derecho. El problema es pretender convertir una acusación política en fundamento de una ley nacional sin aportar la evidencia que permita demostrar que existió una“Paz Mafiosa”, la cual pone en riesgo de vida incluso a quienes elaboraron e impulsaron esta ley, miembros de mi partido. </w:t>
      </w:r>
    </w:p>
    <w:p w:rsidR="00000000" w:rsidDel="00000000" w:rsidP="00000000" w:rsidRDefault="00000000" w:rsidRPr="00000000" w14:paraId="00000054">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Otro problema del proyecto es hacer del mismo, la oportunidad de realizar homenajes políticos a alcaldes. El proyecto reconoce que entre 2023 y 2025 los homicidios en Medellín disminuyeron 8,5 %, pero inmediatamente adjudica cualquier mejoría exclusivamente a las autoridades distritales y cualquier deterioro a la Paz Total. Luego exhibe reducciones entre 2025 y 2026 del 25 % en homicidios, 52 % en hurto al comercio, 54 % en hurto de motocicletas, 51 % en hurto a residencias y 22 % en atracos, y decreta, sin  evidencia alguna, que todos esos resultados son producto de la administración distrital y ninguno puede relacionarse con dinámicas de desescalamiento. Esta es la metodología cómoda de alcaldes como el de Cali Alejandro Eder: cuando Medellín mejora, gobierna Federico Gutiérrez; cuando empeora, gobierna Gustavo Petro. </w:t>
      </w:r>
    </w:p>
    <w:p w:rsidR="00000000" w:rsidDel="00000000" w:rsidP="00000000" w:rsidRDefault="00000000" w:rsidRPr="00000000" w14:paraId="00000055">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Ya en el final hay una consideración incluso de fechas y es que el proyecto fue radicado el 21 de julio de 2026, apenas 17 días antes de finalizar el Gobierno de Gustavo Petro. Sin embargo, buena parte de la exposición está escrita como una acusación directa contra “el Gobierno Nacional”, sus decisiones, sus cifras y su política. El Gobierno contra el cual fue materialmente redactada esta exposición ya terminó y hoy gobierna Abelardo De La Espriella, aliado político del autor de esta iniciativa, y paradójicamente algunas de las herramientas que el proyecto pretende desmontar pueden resultar indispensables para ejecutar los sometimientos y rendiciones que el propio nuevo Presidente anuncia. El Congreso está siendo llamado a convertir en legislación permanente un escrito concebido, en buena medida, como documento de oposición contra un Gobierno que dejó de existir antes de que comenzara el debate de esta ponencia.</w:t>
      </w:r>
    </w:p>
    <w:p w:rsidR="00000000" w:rsidDel="00000000" w:rsidP="00000000" w:rsidRDefault="00000000" w:rsidRPr="00000000" w14:paraId="00000056">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En suma, la exposición de motivos termina siendo quizás la mejor prueba de por qué esta iniciativa no está ni cerca de estar madura para convertirse en ley. Tiene víctimas en el discurso pero pocas garantías para ellas en el articulado; reclama soberanía donde no demuestra que se haya perdido; llama transición a una suspensión inmediata; presenta opiniones como hechos; confunde correlación con causalidad; utiliza una reforma nacional para defender una gestión municipal; fue escrita contra un Gobierno que terminó diecisiete días después de su radicación. </w:t>
      </w:r>
    </w:p>
    <w:p w:rsidR="00000000" w:rsidDel="00000000" w:rsidP="00000000" w:rsidRDefault="00000000" w:rsidRPr="00000000" w14:paraId="00000057">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Esto lo que demuestra es que primero se tomó la decisión política de acabar con una política de paz que si bien tiene muchos reparos, es un instrumento legítimo. Después el autor salió a buscar argumentos para justificarla pero no los encontró. </w:t>
      </w:r>
    </w:p>
    <w:p w:rsidR="00000000" w:rsidDel="00000000" w:rsidP="00000000" w:rsidRDefault="00000000" w:rsidRPr="00000000" w14:paraId="00000058">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center"/>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b w:val="1"/>
          <w:bCs w:val="1"/>
          <w:sz w:val="24"/>
          <w:szCs w:val="24"/>
          <w:rtl w:val="0"/>
        </w:rPr>
        <w:t xml:space="preserve">CONFLICTO DE INTERESES</w:t>
      </w:r>
      <w:r w:rsidDel="00000000" w:rsidR="00000000" w:rsidRPr="00000000">
        <w:rPr>
          <w:rtl w:val="0"/>
        </w:rPr>
      </w:r>
    </w:p>
    <w:p w:rsidR="00000000" w:rsidDel="00000000" w:rsidP="00000000" w:rsidRDefault="00000000" w:rsidRPr="00000000" w14:paraId="00000059">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De conformidad con lo dispuesto en el artículo 286 de la Ley 5ª de 1992, modificado por la Ley 2003 de 2019, y una vez revisado el contenido, alcance y efectos del Proyecto de Ley 040 de 2026 Cámara, se declara que no se advierte la existencia de circunstancias que configuren conflicto de intereses para el ponente, toda vez que la discusión y votación de la iniciativa no genera un beneficio particular, actual y directo, de carácter económico o moral, a su favor, de su cónyuge, compañero o compañera permanente o de sus parientes en los grados previstos por la ley.</w:t>
      </w:r>
    </w:p>
    <w:p w:rsidR="00000000" w:rsidDel="00000000" w:rsidP="00000000" w:rsidRDefault="00000000" w:rsidRPr="00000000" w14:paraId="0000005A">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center"/>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IMPACTO FISCAL </w:t>
      </w:r>
    </w:p>
    <w:p w:rsidR="00000000" w:rsidDel="00000000" w:rsidP="00000000" w:rsidRDefault="00000000" w:rsidRPr="00000000" w14:paraId="0000005B">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De acuerdo con el contenido de la iniciativa presentada por su autor y para efectos de lo previsto en el artículo 7 de la Ley 819 de 2003, se considera que el Proyecto de Ley 040 de 2026 Cámara no genera impacto fiscal directo, en la medida en que sus disposiciones no crean nuevas erogaciones con cargo al Presupuesto General de la Nación, no establecen beneficios o exenciones tributarias ni ordenan la creación de programas, entidades o compromisos presupuestales adicionales; por tanto, su aprobación no supone, en principio, la incorporación de nuevos gastos públicos ni una afectación directa de las fuentes de financiación del Estado.</w:t>
      </w:r>
    </w:p>
    <w:p w:rsidR="00000000" w:rsidDel="00000000" w:rsidP="00000000" w:rsidRDefault="00000000" w:rsidRPr="00000000" w14:paraId="0000005C">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center"/>
        <w:rPr>
          <w:rFonts w:ascii="Sorts Mill Goudy" w:cs="Sorts Mill Goudy" w:eastAsia="Sorts Mill Goudy" w:hAnsi="Sorts Mill Goudy"/>
          <w:b w:val="1"/>
          <w:bCs w:val="1"/>
          <w:sz w:val="24"/>
          <w:szCs w:val="24"/>
        </w:rPr>
      </w:pPr>
      <w:r w:rsidDel="00000000" w:rsidR="00000000" w:rsidRPr="00000000">
        <w:rPr>
          <w:rFonts w:ascii="Sorts Mill Goudy" w:cs="Sorts Mill Goudy" w:eastAsia="Sorts Mill Goudy" w:hAnsi="Sorts Mill Goudy"/>
          <w:b w:val="1"/>
          <w:bCs w:val="1"/>
          <w:sz w:val="24"/>
          <w:szCs w:val="24"/>
          <w:rtl w:val="0"/>
        </w:rPr>
        <w:t xml:space="preserve">PROPOSICIÔN DE ARCHIVO</w:t>
      </w:r>
    </w:p>
    <w:p w:rsidR="00000000" w:rsidDel="00000000" w:rsidP="00000000" w:rsidRDefault="00000000" w:rsidRPr="00000000" w14:paraId="0000005D">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Ana Leidy Erazo Ruiz, Honorable Representante a la Cámara por el Valle del Cauca, presento la siguiente proposición de archivo del del proyecto de ley 040/2026 Cámara “Por Medio De La Cual Se Garantiza La Primacía De La Justicia Y La Protección De Las Víctimas, Se Modifican Y Derogan Disposiciones De La Ley 2272 De 2022 Y Se Dictan Otras Disposiciones”, autoría del Honorable Representante a la Cámara por Antioquía, </w:t>
      </w:r>
    </w:p>
    <w:p w:rsidR="00000000" w:rsidDel="00000000" w:rsidP="00000000" w:rsidRDefault="00000000" w:rsidRPr="00000000" w14:paraId="0000005E">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5F">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60">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Fonts w:ascii="Sorts Mill Goudy" w:cs="Sorts Mill Goudy" w:eastAsia="Sorts Mill Goudy" w:hAnsi="Sorts Mill Goudy"/>
          <w:sz w:val="24"/>
          <w:szCs w:val="24"/>
          <w:rtl w:val="0"/>
        </w:rPr>
        <w:t xml:space="preserve">el señor Simón Molina, por los motivos expuestos en la ponencia que he rendido por solicitud de la mesa directiva de la Comisión Primera Constitucional. </w:t>
      </w:r>
    </w:p>
    <w:p w:rsidR="00000000" w:rsidDel="00000000" w:rsidP="00000000" w:rsidRDefault="00000000" w:rsidRPr="00000000" w14:paraId="00000061">
      <w:pPr>
        <w:spacing w:after="160" w:line="259" w:lineRule="auto"/>
        <w:jc w:val="both"/>
        <w:rPr>
          <w:rFonts w:ascii="Sorts Mill Goudy" w:cs="Sorts Mill Goudy" w:eastAsia="Sorts Mill Goudy" w:hAnsi="Sorts Mill Goudy"/>
          <w:sz w:val="26"/>
          <w:szCs w:val="26"/>
        </w:rPr>
      </w:pPr>
      <w:r w:rsidDel="00000000" w:rsidR="00000000" w:rsidRPr="00000000">
        <w:rPr>
          <w:rFonts w:ascii="Sorts Mill Goudy" w:cs="Sorts Mill Goudy" w:eastAsia="Sorts Mill Goudy" w:hAnsi="Sorts Mill Goudy"/>
          <w:sz w:val="26"/>
          <w:szCs w:val="26"/>
          <w:rtl w:val="0"/>
        </w:rPr>
        <w:t xml:space="preserve">Cordialmente,</w:t>
      </w:r>
    </w:p>
    <w:p w:rsidR="00000000" w:rsidDel="00000000" w:rsidP="00000000" w:rsidRDefault="00000000" w:rsidRPr="00000000" w14:paraId="00000062">
      <w:pPr>
        <w:jc w:val="both"/>
        <w:rPr>
          <w:rFonts w:ascii="Sorts Mill Goudy" w:cs="Sorts Mill Goudy" w:eastAsia="Sorts Mill Goudy" w:hAnsi="Sorts Mill Goudy"/>
          <w:sz w:val="26"/>
          <w:szCs w:val="26"/>
        </w:rPr>
      </w:pPr>
      <w:r w:rsidDel="00000000" w:rsidR="00000000" w:rsidRPr="00000000">
        <w:rPr>
          <w:rtl w:val="0"/>
        </w:rPr>
      </w:r>
    </w:p>
    <w:p w:rsidR="00000000" w:rsidDel="00000000" w:rsidP="00000000" w:rsidRDefault="00000000" w:rsidRPr="00000000" w14:paraId="00000063">
      <w:pPr>
        <w:jc w:val="both"/>
        <w:rPr>
          <w:rFonts w:ascii="Sorts Mill Goudy" w:cs="Sorts Mill Goudy" w:eastAsia="Sorts Mill Goudy" w:hAnsi="Sorts Mill Goudy"/>
          <w:sz w:val="26"/>
          <w:szCs w:val="26"/>
        </w:rPr>
      </w:pPr>
      <w:r w:rsidDel="00000000" w:rsidR="00000000" w:rsidRPr="00000000">
        <w:rPr>
          <w:rtl w:val="0"/>
        </w:rPr>
      </w:r>
    </w:p>
    <w:p w:rsidR="00000000" w:rsidDel="00000000" w:rsidP="00000000" w:rsidRDefault="00000000" w:rsidRPr="00000000" w14:paraId="00000064">
      <w:pPr>
        <w:spacing w:after="160" w:line="259" w:lineRule="auto"/>
        <w:jc w:val="both"/>
        <w:rPr>
          <w:rFonts w:ascii="Sorts Mill Goudy" w:cs="Sorts Mill Goudy" w:eastAsia="Sorts Mill Goudy" w:hAnsi="Sorts Mill Goudy"/>
          <w:sz w:val="26"/>
          <w:szCs w:val="26"/>
        </w:rPr>
      </w:pPr>
      <w:r w:rsidDel="00000000" w:rsidR="00000000" w:rsidRPr="00000000">
        <w:rPr>
          <w:rFonts w:ascii="Sorts Mill Goudy" w:cs="Sorts Mill Goudy" w:eastAsia="Sorts Mill Goudy" w:hAnsi="Sorts Mill Goudy"/>
          <w:sz w:val="26"/>
          <w:szCs w:val="26"/>
          <w:rtl w:val="0"/>
        </w:rPr>
        <w:t xml:space="preserve">Ana Leidy Erazo Ruiz. </w:t>
      </w:r>
    </w:p>
    <w:p w:rsidR="00000000" w:rsidDel="00000000" w:rsidP="00000000" w:rsidRDefault="00000000" w:rsidRPr="00000000" w14:paraId="00000065">
      <w:pPr>
        <w:spacing w:line="259" w:lineRule="auto"/>
        <w:jc w:val="both"/>
        <w:rPr>
          <w:rFonts w:ascii="Sorts Mill Goudy" w:cs="Sorts Mill Goudy" w:eastAsia="Sorts Mill Goudy" w:hAnsi="Sorts Mill Goudy"/>
          <w:b w:val="1"/>
          <w:bCs w:val="1"/>
          <w:sz w:val="26"/>
          <w:szCs w:val="26"/>
        </w:rPr>
      </w:pPr>
      <w:r w:rsidDel="00000000" w:rsidR="00000000" w:rsidRPr="00000000">
        <w:rPr>
          <w:rFonts w:ascii="Sorts Mill Goudy" w:cs="Sorts Mill Goudy" w:eastAsia="Sorts Mill Goudy" w:hAnsi="Sorts Mill Goudy"/>
          <w:sz w:val="26"/>
          <w:szCs w:val="26"/>
          <w:rtl w:val="0"/>
        </w:rPr>
        <w:t xml:space="preserve">Representante Cámara de Representantes Valle del Cauca.</w:t>
      </w:r>
      <w:r w:rsidDel="00000000" w:rsidR="00000000" w:rsidRPr="00000000">
        <w:rPr>
          <w:rtl w:val="0"/>
        </w:rPr>
      </w:r>
    </w:p>
    <w:p w:rsidR="00000000" w:rsidDel="00000000" w:rsidP="00000000" w:rsidRDefault="00000000" w:rsidRPr="00000000" w14:paraId="00000066">
      <w:pPr>
        <w:spacing w:line="259" w:lineRule="auto"/>
        <w:jc w:val="both"/>
        <w:rPr>
          <w:rFonts w:ascii="Sorts Mill Goudy" w:cs="Sorts Mill Goudy" w:eastAsia="Sorts Mill Goudy" w:hAnsi="Sorts Mill Goudy"/>
          <w:b w:val="1"/>
          <w:bCs w:val="1"/>
          <w:sz w:val="26"/>
          <w:szCs w:val="26"/>
        </w:rPr>
      </w:pPr>
      <w:r w:rsidDel="00000000" w:rsidR="00000000" w:rsidRPr="00000000">
        <w:rPr>
          <w:rFonts w:ascii="Sorts Mill Goudy" w:cs="Sorts Mill Goudy" w:eastAsia="Sorts Mill Goudy" w:hAnsi="Sorts Mill Goudy"/>
          <w:b w:val="1"/>
          <w:bCs w:val="1"/>
          <w:sz w:val="26"/>
          <w:szCs w:val="26"/>
          <w:rtl w:val="0"/>
        </w:rPr>
        <w:t xml:space="preserve">Pacto Histórico.</w:t>
      </w:r>
    </w:p>
    <w:p w:rsidR="00000000" w:rsidDel="00000000" w:rsidP="00000000" w:rsidRDefault="00000000" w:rsidRPr="00000000" w14:paraId="00000067">
      <w:pPr>
        <w:spacing w:line="259" w:lineRule="auto"/>
        <w:jc w:val="both"/>
        <w:rPr>
          <w:rFonts w:ascii="Sorts Mill Goudy" w:cs="Sorts Mill Goudy" w:eastAsia="Sorts Mill Goudy" w:hAnsi="Sorts Mill Goudy"/>
          <w:b w:val="1"/>
          <w:bCs w:val="1"/>
          <w:sz w:val="26"/>
          <w:szCs w:val="26"/>
        </w:rPr>
      </w:pPr>
      <w:r w:rsidDel="00000000" w:rsidR="00000000" w:rsidRPr="00000000">
        <w:rPr>
          <w:rFonts w:ascii="Sorts Mill Goudy" w:cs="Sorts Mill Goudy" w:eastAsia="Sorts Mill Goudy" w:hAnsi="Sorts Mill Goudy"/>
          <w:b w:val="1"/>
          <w:bCs w:val="1"/>
          <w:sz w:val="26"/>
          <w:szCs w:val="26"/>
          <w:rtl w:val="0"/>
        </w:rPr>
        <w:t xml:space="preserve">C.C 67.023.947</w:t>
      </w:r>
    </w:p>
    <w:p w:rsidR="00000000" w:rsidDel="00000000" w:rsidP="00000000" w:rsidRDefault="00000000" w:rsidRPr="00000000" w14:paraId="00000068">
      <w:pPr>
        <w:spacing w:line="259" w:lineRule="auto"/>
        <w:jc w:val="both"/>
        <w:rPr>
          <w:rFonts w:ascii="Sorts Mill Goudy" w:cs="Sorts Mill Goudy" w:eastAsia="Sorts Mill Goudy" w:hAnsi="Sorts Mill Goudy"/>
          <w:b w:val="1"/>
          <w:bCs w:val="1"/>
          <w:sz w:val="26"/>
          <w:szCs w:val="26"/>
        </w:rPr>
      </w:pPr>
      <w:hyperlink r:id="rId7">
        <w:r w:rsidDel="00000000" w:rsidR="00000000" w:rsidRPr="00000000">
          <w:rPr>
            <w:rFonts w:ascii="Sorts Mill Goudy" w:cs="Sorts Mill Goudy" w:eastAsia="Sorts Mill Goudy" w:hAnsi="Sorts Mill Goudy"/>
            <w:b w:val="1"/>
            <w:bCs w:val="1"/>
            <w:color w:val="1155cc"/>
            <w:sz w:val="26"/>
            <w:szCs w:val="26"/>
            <w:u w:val="single"/>
            <w:rtl w:val="0"/>
          </w:rPr>
          <w:t xml:space="preserve">ana.erazo@camara.gov.co</w:t>
        </w:r>
      </w:hyperlink>
      <w:r w:rsidDel="00000000" w:rsidR="00000000" w:rsidRPr="00000000">
        <w:rPr>
          <w:rFonts w:ascii="Sorts Mill Goudy" w:cs="Sorts Mill Goudy" w:eastAsia="Sorts Mill Goudy" w:hAnsi="Sorts Mill Goudy"/>
          <w:b w:val="1"/>
          <w:bCs w:val="1"/>
          <w:sz w:val="26"/>
          <w:szCs w:val="26"/>
          <w:rtl w:val="0"/>
        </w:rPr>
        <w:t xml:space="preserve"> </w:t>
      </w:r>
    </w:p>
    <w:p w:rsidR="00000000" w:rsidDel="00000000" w:rsidP="00000000" w:rsidRDefault="00000000" w:rsidRPr="00000000" w14:paraId="00000069">
      <w:pPr>
        <w:spacing w:line="259" w:lineRule="auto"/>
        <w:jc w:val="both"/>
        <w:rPr>
          <w:rFonts w:ascii="Sorts Mill Goudy" w:cs="Sorts Mill Goudy" w:eastAsia="Sorts Mill Goudy" w:hAnsi="Sorts Mill Goudy"/>
          <w:b w:val="1"/>
          <w:bCs w:val="1"/>
          <w:sz w:val="26"/>
          <w:szCs w:val="26"/>
        </w:rPr>
      </w:pPr>
      <w:hyperlink r:id="rId8">
        <w:r w:rsidDel="00000000" w:rsidR="00000000" w:rsidRPr="00000000">
          <w:rPr>
            <w:rFonts w:ascii="Sorts Mill Goudy" w:cs="Sorts Mill Goudy" w:eastAsia="Sorts Mill Goudy" w:hAnsi="Sorts Mill Goudy"/>
            <w:b w:val="1"/>
            <w:bCs w:val="1"/>
            <w:color w:val="1155cc"/>
            <w:sz w:val="26"/>
            <w:szCs w:val="26"/>
            <w:u w:val="single"/>
            <w:rtl w:val="0"/>
          </w:rPr>
          <w:t xml:space="preserve">contacto@anaerazo.com</w:t>
        </w:r>
      </w:hyperlink>
      <w:r w:rsidDel="00000000" w:rsidR="00000000" w:rsidRPr="00000000">
        <w:rPr>
          <w:rtl w:val="0"/>
        </w:rPr>
      </w:r>
    </w:p>
    <w:p w:rsidR="00000000" w:rsidDel="00000000" w:rsidP="00000000" w:rsidRDefault="00000000" w:rsidRPr="00000000" w14:paraId="0000006A">
      <w:pPr>
        <w:spacing w:line="259" w:lineRule="auto"/>
        <w:jc w:val="both"/>
        <w:rPr>
          <w:rFonts w:ascii="Sorts Mill Goudy" w:cs="Sorts Mill Goudy" w:eastAsia="Sorts Mill Goudy" w:hAnsi="Sorts Mill Goudy"/>
          <w:b w:val="1"/>
          <w:bCs w:val="1"/>
          <w:sz w:val="26"/>
          <w:szCs w:val="26"/>
        </w:rPr>
      </w:pPr>
      <w:r w:rsidDel="00000000" w:rsidR="00000000" w:rsidRPr="00000000">
        <w:rPr>
          <w:rtl w:val="0"/>
        </w:rPr>
      </w:r>
    </w:p>
    <w:p w:rsidR="00000000" w:rsidDel="00000000" w:rsidP="00000000" w:rsidRDefault="00000000" w:rsidRPr="00000000" w14:paraId="0000006B">
      <w:pPr>
        <w:spacing w:after="240" w:before="240"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6C">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6D">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6E">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center"/>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center"/>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0">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2">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7">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8">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B">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C">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spacing w:after="240" w:before="240" w:lineRule="auto"/>
        <w:jc w:val="both"/>
        <w:rPr>
          <w:rFonts w:ascii="Sorts Mill Goudy" w:cs="Sorts Mill Goudy" w:eastAsia="Sorts Mill Goudy" w:hAnsi="Sorts Mill Goudy"/>
          <w:b w:val="1"/>
          <w:bCs w:val="1"/>
          <w:sz w:val="24"/>
          <w:szCs w:val="24"/>
        </w:rPr>
      </w:pPr>
      <w:r w:rsidDel="00000000" w:rsidR="00000000" w:rsidRPr="00000000">
        <w:rPr>
          <w:rtl w:val="0"/>
        </w:rPr>
      </w:r>
    </w:p>
    <w:p w:rsidR="00000000" w:rsidDel="00000000" w:rsidP="00000000" w:rsidRDefault="00000000" w:rsidRPr="00000000" w14:paraId="0000007F">
      <w:pPr>
        <w:jc w:val="both"/>
        <w:rPr>
          <w:rFonts w:ascii="Sorts Mill Goudy" w:cs="Sorts Mill Goudy" w:eastAsia="Sorts Mill Goudy" w:hAnsi="Sorts Mill Goudy"/>
          <w:sz w:val="24"/>
          <w:szCs w:val="24"/>
        </w:rPr>
      </w:pPr>
      <w:r w:rsidDel="00000000" w:rsidR="00000000" w:rsidRPr="00000000">
        <w:rPr>
          <w:rtl w:val="0"/>
        </w:rPr>
      </w:r>
    </w:p>
    <w:p w:rsidR="00000000" w:rsidDel="00000000" w:rsidP="00000000" w:rsidRDefault="00000000" w:rsidRPr="00000000" w14:paraId="00000080">
      <w:pPr>
        <w:jc w:val="left"/>
        <w:rPr>
          <w:rFonts w:ascii="Sorts Mill Goudy" w:cs="Sorts Mill Goudy" w:eastAsia="Sorts Mill Goudy" w:hAnsi="Sorts Mill Goudy"/>
          <w:sz w:val="24"/>
          <w:szCs w:val="24"/>
        </w:rPr>
      </w:pPr>
      <w:r w:rsidDel="00000000" w:rsidR="00000000" w:rsidRPr="00000000">
        <w:rPr>
          <w:rtl w:val="0"/>
        </w:rPr>
      </w:r>
    </w:p>
    <w:sectPr>
      <w:headerReference r:id="rId9" w:type="default"/>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rts Mill Goudy">
    <w:embedRegular w:fontKey="{00000000-0000-0000-0000-000000000000}" r:id="rId1" w:subsetted="0"/>
    <w:embedItalic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rPr/>
    </w:pPr>
    <w:r w:rsidDel="00000000" w:rsidR="00000000" w:rsidRPr="00000000">
      <w:rPr/>
      <w:drawing>
        <wp:inline distB="114300" distT="114300" distL="114300" distR="114300">
          <wp:extent cx="5731200" cy="1231900"/>
          <wp:effectExtent b="0" l="0" r="0" t="0"/>
          <wp:docPr id="4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731200" cy="12319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rPr/>
    </w:pPr>
    <w:r w:rsidDel="00000000" w:rsidR="00000000" w:rsidRPr="00000000">
      <w:rPr/>
      <w:drawing>
        <wp:inline distB="114300" distT="114300" distL="114300" distR="114300">
          <wp:extent cx="2033724" cy="757238"/>
          <wp:effectExtent b="0" l="0" r="0" t="0"/>
          <wp:docPr id="4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33724" cy="757238"/>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690688" cy="993497"/>
          <wp:effectExtent b="0" l="0" r="0" t="0"/>
          <wp:docPr id="50"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690688" cy="99349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na.erazo@camara.gov.co" TargetMode="External"/><Relationship Id="rId8" Type="http://schemas.openxmlformats.org/officeDocument/2006/relationships/hyperlink" Target="mailto:contacto@anaeraz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rtsMillGoudy-regular.ttf"/><Relationship Id="rId2" Type="http://schemas.openxmlformats.org/officeDocument/2006/relationships/font" Target="fonts/SortsMillGoudy-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8e1XVecS1GFfVqTULthx2J0kHQ==">CgMxLjA4AHIhMTJnV3Jfc0pKbFZwWU0wa0ZQZHJfdzdObHRSblNwRmRP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