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CA8A6" w14:textId="77777777" w:rsidR="003A4451" w:rsidRPr="00B02115" w:rsidRDefault="007C798D" w:rsidP="00400D37">
      <w:pPr>
        <w:jc w:val="right"/>
        <w:rPr>
          <w:rFonts w:ascii="Cambria" w:hAnsi="Cambria"/>
          <w:sz w:val="24"/>
          <w:szCs w:val="24"/>
        </w:rPr>
      </w:pPr>
      <w:r w:rsidRPr="00B02115">
        <w:rPr>
          <w:rFonts w:ascii="Cambria" w:hAnsi="Cambria"/>
          <w:sz w:val="24"/>
          <w:szCs w:val="24"/>
        </w:rPr>
        <w:t>Bogotá D.C. septiembre de 2026</w:t>
      </w:r>
    </w:p>
    <w:p w14:paraId="1B3EADEA" w14:textId="77777777" w:rsidR="003A4451" w:rsidRPr="00B02115" w:rsidRDefault="003A4451" w:rsidP="00400D37">
      <w:pPr>
        <w:rPr>
          <w:rFonts w:ascii="Cambria" w:hAnsi="Cambria"/>
          <w:sz w:val="24"/>
          <w:szCs w:val="24"/>
        </w:rPr>
      </w:pPr>
    </w:p>
    <w:p w14:paraId="4EA2BA08" w14:textId="77777777" w:rsidR="003A4451" w:rsidRPr="00B02115" w:rsidRDefault="007C798D" w:rsidP="00400D37">
      <w:pPr>
        <w:spacing w:line="240" w:lineRule="auto"/>
        <w:rPr>
          <w:rFonts w:ascii="Cambria" w:hAnsi="Cambria"/>
          <w:sz w:val="24"/>
          <w:szCs w:val="24"/>
        </w:rPr>
      </w:pPr>
      <w:r w:rsidRPr="00B02115">
        <w:rPr>
          <w:rFonts w:ascii="Cambria" w:hAnsi="Cambria"/>
          <w:sz w:val="24"/>
          <w:szCs w:val="24"/>
        </w:rPr>
        <w:t>Señor</w:t>
      </w:r>
    </w:p>
    <w:p w14:paraId="53C79E72" w14:textId="77777777" w:rsidR="003A4451" w:rsidRPr="00B02115" w:rsidRDefault="007C798D" w:rsidP="00400D37">
      <w:pPr>
        <w:spacing w:line="240" w:lineRule="auto"/>
        <w:rPr>
          <w:rFonts w:ascii="Cambria" w:hAnsi="Cambria"/>
          <w:b/>
          <w:bCs/>
          <w:sz w:val="24"/>
          <w:szCs w:val="24"/>
        </w:rPr>
      </w:pPr>
      <w:r w:rsidRPr="00B02115">
        <w:rPr>
          <w:rFonts w:ascii="Cambria" w:hAnsi="Cambria"/>
          <w:b/>
          <w:bCs/>
          <w:sz w:val="24"/>
          <w:szCs w:val="24"/>
        </w:rPr>
        <w:t>ALFREDO APE CUELLO</w:t>
      </w:r>
    </w:p>
    <w:p w14:paraId="2C165794" w14:textId="77777777" w:rsidR="003A4451" w:rsidRPr="00B02115" w:rsidRDefault="007C798D" w:rsidP="00400D37">
      <w:pPr>
        <w:spacing w:line="240" w:lineRule="auto"/>
        <w:rPr>
          <w:rFonts w:ascii="Cambria" w:hAnsi="Cambria"/>
          <w:sz w:val="24"/>
          <w:szCs w:val="24"/>
        </w:rPr>
      </w:pPr>
      <w:r w:rsidRPr="00B02115">
        <w:rPr>
          <w:rFonts w:ascii="Cambria" w:hAnsi="Cambria"/>
          <w:sz w:val="24"/>
          <w:szCs w:val="24"/>
        </w:rPr>
        <w:t>Presidente</w:t>
      </w:r>
    </w:p>
    <w:p w14:paraId="702A8C46" w14:textId="77777777" w:rsidR="003A4451" w:rsidRPr="00B02115" w:rsidRDefault="007C798D" w:rsidP="00400D37">
      <w:pPr>
        <w:tabs>
          <w:tab w:val="center" w:pos="4419"/>
        </w:tabs>
        <w:spacing w:line="240" w:lineRule="auto"/>
        <w:rPr>
          <w:rFonts w:ascii="Cambria" w:eastAsia="Cambria" w:hAnsi="Cambria" w:cs="Cambria"/>
          <w:sz w:val="24"/>
          <w:szCs w:val="24"/>
        </w:rPr>
      </w:pPr>
      <w:r w:rsidRPr="00B02115">
        <w:rPr>
          <w:rFonts w:ascii="Cambria" w:eastAsia="Cambria" w:hAnsi="Cambria" w:cs="Cambria"/>
          <w:b/>
          <w:bCs/>
          <w:sz w:val="24"/>
          <w:szCs w:val="24"/>
        </w:rPr>
        <w:t>COMISIÓN TERCERA CONSTITUCIONAL PERMANENTE DE LA CÁMARA DE REPRESENTANTES</w:t>
      </w:r>
    </w:p>
    <w:p w14:paraId="2B544C85" w14:textId="77777777" w:rsidR="003A4451" w:rsidRPr="00B02115" w:rsidRDefault="007C798D" w:rsidP="00400D37">
      <w:pPr>
        <w:tabs>
          <w:tab w:val="center" w:pos="4419"/>
        </w:tabs>
        <w:spacing w:line="240" w:lineRule="auto"/>
        <w:rPr>
          <w:rFonts w:ascii="Cambria" w:eastAsia="Cambria" w:hAnsi="Cambria" w:cs="Cambria"/>
          <w:sz w:val="24"/>
          <w:szCs w:val="24"/>
        </w:rPr>
      </w:pPr>
      <w:r w:rsidRPr="00B02115">
        <w:rPr>
          <w:rFonts w:ascii="Cambria" w:eastAsia="Cambria" w:hAnsi="Cambria" w:cs="Cambria"/>
          <w:sz w:val="24"/>
          <w:szCs w:val="24"/>
        </w:rPr>
        <w:t xml:space="preserve">E.S.D. </w:t>
      </w:r>
    </w:p>
    <w:p w14:paraId="5C086427" w14:textId="77777777" w:rsidR="003A4451" w:rsidRPr="00B02115" w:rsidRDefault="003A4451">
      <w:pPr>
        <w:tabs>
          <w:tab w:val="center" w:pos="4419"/>
        </w:tabs>
        <w:spacing w:line="240" w:lineRule="auto"/>
        <w:rPr>
          <w:rFonts w:ascii="Cambria" w:eastAsia="Cambria" w:hAnsi="Cambria" w:cs="Cambria"/>
          <w:sz w:val="24"/>
          <w:szCs w:val="24"/>
        </w:rPr>
      </w:pPr>
    </w:p>
    <w:p w14:paraId="48F72434" w14:textId="77777777" w:rsidR="003A4451" w:rsidRPr="00B02115" w:rsidRDefault="003A4451">
      <w:pPr>
        <w:tabs>
          <w:tab w:val="center" w:pos="4419"/>
        </w:tabs>
        <w:spacing w:line="240" w:lineRule="auto"/>
        <w:rPr>
          <w:rFonts w:ascii="Cambria" w:eastAsia="Cambria" w:hAnsi="Cambria" w:cs="Cambria"/>
          <w:sz w:val="24"/>
          <w:szCs w:val="24"/>
        </w:rPr>
      </w:pPr>
    </w:p>
    <w:p w14:paraId="4C34B848" w14:textId="77777777" w:rsidR="003A4451" w:rsidRPr="00B02115" w:rsidRDefault="007C798D">
      <w:pPr>
        <w:tabs>
          <w:tab w:val="center" w:pos="4419"/>
        </w:tabs>
        <w:spacing w:line="240" w:lineRule="auto"/>
        <w:ind w:left="2160" w:hanging="2160"/>
        <w:rPr>
          <w:rFonts w:ascii="Cambria" w:eastAsia="Cambria" w:hAnsi="Cambria" w:cs="Cambria"/>
          <w:sz w:val="24"/>
          <w:szCs w:val="24"/>
        </w:rPr>
      </w:pPr>
      <w:r w:rsidRPr="00B02115">
        <w:rPr>
          <w:rFonts w:ascii="Cambria" w:eastAsia="Cambria" w:hAnsi="Cambria" w:cs="Cambria"/>
          <w:b/>
          <w:bCs/>
          <w:sz w:val="24"/>
          <w:szCs w:val="24"/>
        </w:rPr>
        <w:t xml:space="preserve">ASUNTO: </w:t>
      </w:r>
      <w:r w:rsidRPr="00B02115">
        <w:rPr>
          <w:rFonts w:ascii="Cambria" w:eastAsia="Cambria" w:hAnsi="Cambria" w:cs="Cambria"/>
          <w:b/>
          <w:bCs/>
          <w:sz w:val="24"/>
          <w:szCs w:val="24"/>
        </w:rPr>
        <w:tab/>
      </w:r>
      <w:r w:rsidRPr="00B02115">
        <w:rPr>
          <w:rFonts w:ascii="Cambria" w:eastAsia="Cambria" w:hAnsi="Cambria" w:cs="Cambria"/>
          <w:sz w:val="24"/>
          <w:szCs w:val="24"/>
        </w:rPr>
        <w:t>Radicación ponencia para segundo debate.</w:t>
      </w:r>
    </w:p>
    <w:p w14:paraId="1D8E7062" w14:textId="77777777" w:rsidR="003A4451" w:rsidRPr="00B02115" w:rsidRDefault="003A4451">
      <w:pPr>
        <w:tabs>
          <w:tab w:val="center" w:pos="4419"/>
        </w:tabs>
        <w:spacing w:line="240" w:lineRule="auto"/>
        <w:ind w:left="2160" w:hanging="2160"/>
        <w:rPr>
          <w:rFonts w:ascii="Cambria" w:eastAsia="Cambria" w:hAnsi="Cambria" w:cs="Cambria"/>
          <w:i/>
          <w:iCs/>
          <w:sz w:val="24"/>
          <w:szCs w:val="24"/>
        </w:rPr>
      </w:pPr>
    </w:p>
    <w:p w14:paraId="7C7A2B5A" w14:textId="77777777" w:rsidR="003A4451" w:rsidRPr="00B02115" w:rsidRDefault="007C798D">
      <w:pPr>
        <w:tabs>
          <w:tab w:val="center" w:pos="4419"/>
        </w:tabs>
        <w:spacing w:line="240" w:lineRule="auto"/>
        <w:ind w:left="2160" w:hanging="2160"/>
        <w:rPr>
          <w:rFonts w:ascii="Cambria" w:eastAsia="Cambria" w:hAnsi="Cambria" w:cs="Cambria"/>
          <w:sz w:val="24"/>
          <w:szCs w:val="24"/>
        </w:rPr>
      </w:pPr>
      <w:r w:rsidRPr="00B02115">
        <w:rPr>
          <w:rFonts w:ascii="Cambria" w:eastAsia="Cambria" w:hAnsi="Cambria" w:cs="Cambria"/>
          <w:b/>
          <w:bCs/>
          <w:sz w:val="24"/>
          <w:szCs w:val="24"/>
        </w:rPr>
        <w:t>PROYECTO DE LEY:</w:t>
      </w:r>
      <w:r w:rsidRPr="00B02115">
        <w:rPr>
          <w:rFonts w:ascii="Cambria" w:eastAsia="Cambria" w:hAnsi="Cambria" w:cs="Cambria"/>
          <w:sz w:val="24"/>
          <w:szCs w:val="24"/>
        </w:rPr>
        <w:tab/>
      </w:r>
      <w:r w:rsidRPr="00B02115">
        <w:rPr>
          <w:rFonts w:ascii="Cambria" w:eastAsia="Cambria" w:hAnsi="Cambria" w:cs="Cambria"/>
          <w:b/>
          <w:bCs/>
          <w:color w:val="000000"/>
          <w:sz w:val="24"/>
          <w:szCs w:val="24"/>
        </w:rPr>
        <w:t>466 de 2025 Cámara</w:t>
      </w:r>
      <w:r w:rsidRPr="00B02115">
        <w:rPr>
          <w:rFonts w:ascii="Cambria" w:eastAsia="Cambria" w:hAnsi="Cambria" w:cs="Cambria"/>
          <w:i/>
          <w:iCs/>
          <w:color w:val="000000"/>
          <w:sz w:val="24"/>
          <w:szCs w:val="24"/>
        </w:rPr>
        <w:t xml:space="preserve"> “Por medio de la cual se modifica el valor para la exención del impuesto sobre las ventas (IVA) a la importación de productos bajo la modalidad de tráfico postal y envíos urgentes, se modifica parcialmente el estatuto tributario y se dictan otras disposiciones”</w:t>
      </w:r>
    </w:p>
    <w:p w14:paraId="75DE0E08" w14:textId="77777777" w:rsidR="003A4451" w:rsidRPr="00B02115" w:rsidRDefault="003A4451">
      <w:pPr>
        <w:tabs>
          <w:tab w:val="center" w:pos="4419"/>
        </w:tabs>
        <w:spacing w:line="240" w:lineRule="auto"/>
        <w:rPr>
          <w:rFonts w:ascii="Cambria" w:eastAsia="Cambria" w:hAnsi="Cambria" w:cs="Cambria"/>
          <w:sz w:val="24"/>
          <w:szCs w:val="24"/>
        </w:rPr>
      </w:pPr>
    </w:p>
    <w:p w14:paraId="62CD5026" w14:textId="77777777" w:rsidR="003A4451" w:rsidRPr="00B02115" w:rsidRDefault="003A4451">
      <w:pPr>
        <w:tabs>
          <w:tab w:val="center" w:pos="4419"/>
        </w:tabs>
        <w:spacing w:line="240" w:lineRule="auto"/>
        <w:rPr>
          <w:rFonts w:ascii="Cambria" w:eastAsia="Cambria" w:hAnsi="Cambria" w:cs="Cambria"/>
          <w:sz w:val="24"/>
          <w:szCs w:val="24"/>
        </w:rPr>
      </w:pPr>
    </w:p>
    <w:p w14:paraId="7988BCC2" w14:textId="25EC0339" w:rsidR="003A4451" w:rsidRPr="00B02115" w:rsidRDefault="007C798D">
      <w:pPr>
        <w:tabs>
          <w:tab w:val="center" w:pos="4419"/>
        </w:tabs>
        <w:spacing w:line="240" w:lineRule="auto"/>
        <w:rPr>
          <w:rFonts w:ascii="Cambria" w:eastAsia="Cambria" w:hAnsi="Cambria" w:cs="Cambria"/>
          <w:i/>
          <w:iCs/>
          <w:color w:val="000000"/>
          <w:sz w:val="24"/>
          <w:szCs w:val="24"/>
        </w:rPr>
      </w:pPr>
      <w:r w:rsidRPr="00B02115">
        <w:rPr>
          <w:rFonts w:ascii="Cambria" w:eastAsia="Cambria" w:hAnsi="Cambria" w:cs="Cambria"/>
          <w:sz w:val="24"/>
          <w:szCs w:val="24"/>
        </w:rPr>
        <w:t xml:space="preserve">En mi condición de Representante a la Cámara del Congreso de la República, y en cumplimiento de los términos estipulados en el artículo 153 de la Ley 5° de 1992, me permito rendir informe de </w:t>
      </w:r>
      <w:r w:rsidRPr="00B02115">
        <w:rPr>
          <w:rFonts w:ascii="Cambria" w:eastAsia="Cambria" w:hAnsi="Cambria" w:cs="Cambria"/>
          <w:b/>
          <w:bCs/>
          <w:sz w:val="24"/>
          <w:szCs w:val="24"/>
        </w:rPr>
        <w:t>PONENCIA POSITIVA</w:t>
      </w:r>
      <w:r w:rsidRPr="00B02115">
        <w:rPr>
          <w:rFonts w:ascii="Cambria" w:eastAsia="Cambria" w:hAnsi="Cambria" w:cs="Cambria"/>
          <w:sz w:val="24"/>
          <w:szCs w:val="24"/>
        </w:rPr>
        <w:t xml:space="preserve"> para segundo debate en la </w:t>
      </w:r>
      <w:r w:rsidRPr="00B02115">
        <w:rPr>
          <w:rFonts w:ascii="Cambria" w:eastAsia="Cambria" w:hAnsi="Cambria" w:cs="Cambria"/>
          <w:b/>
          <w:bCs/>
          <w:sz w:val="24"/>
          <w:szCs w:val="24"/>
        </w:rPr>
        <w:t xml:space="preserve">PLENARIA DE LA CÁMARA DE REPRESENTANTES </w:t>
      </w:r>
      <w:r w:rsidRPr="00B02115">
        <w:rPr>
          <w:rFonts w:ascii="Cambria" w:eastAsia="Cambria" w:hAnsi="Cambria" w:cs="Cambria"/>
          <w:sz w:val="24"/>
          <w:szCs w:val="24"/>
        </w:rPr>
        <w:t xml:space="preserve">del </w:t>
      </w:r>
      <w:r w:rsidRPr="00B02115">
        <w:rPr>
          <w:rFonts w:ascii="Cambria" w:eastAsia="Cambria" w:hAnsi="Cambria" w:cs="Cambria"/>
          <w:b/>
          <w:bCs/>
          <w:sz w:val="24"/>
          <w:szCs w:val="24"/>
        </w:rPr>
        <w:t xml:space="preserve">PROYECTO DE LEY NO. </w:t>
      </w:r>
      <w:r w:rsidRPr="00B02115">
        <w:rPr>
          <w:rFonts w:ascii="Cambria" w:eastAsia="Cambria" w:hAnsi="Cambria" w:cs="Cambria"/>
          <w:b/>
          <w:bCs/>
          <w:color w:val="000000"/>
          <w:sz w:val="24"/>
          <w:szCs w:val="24"/>
        </w:rPr>
        <w:t>466 de 2025 Cámara</w:t>
      </w:r>
      <w:r w:rsidRPr="00B02115">
        <w:rPr>
          <w:rFonts w:ascii="Cambria" w:eastAsia="Cambria" w:hAnsi="Cambria" w:cs="Cambria"/>
          <w:i/>
          <w:iCs/>
          <w:color w:val="000000"/>
          <w:sz w:val="24"/>
          <w:szCs w:val="24"/>
        </w:rPr>
        <w:t xml:space="preserve"> “Por medio de la cual se modifica el valor para la exención del impuesto sobre las ventas (IVA) a la importación de productos bajo la modalidad de tráfico postal y envíos urgentes, se modifica parcialmente el estatuto tributario y se dictan otras disposiciones”</w:t>
      </w:r>
    </w:p>
    <w:p w14:paraId="74766A6B" w14:textId="30FC7832" w:rsidR="002A3D75" w:rsidRPr="00B02115" w:rsidRDefault="002A3D75">
      <w:pPr>
        <w:tabs>
          <w:tab w:val="center" w:pos="4419"/>
        </w:tabs>
        <w:spacing w:line="240" w:lineRule="auto"/>
        <w:rPr>
          <w:rFonts w:ascii="Cambria" w:eastAsia="Cambria" w:hAnsi="Cambria" w:cs="Cambria"/>
          <w:i/>
          <w:iCs/>
          <w:color w:val="000000"/>
          <w:sz w:val="24"/>
          <w:szCs w:val="24"/>
        </w:rPr>
      </w:pPr>
    </w:p>
    <w:p w14:paraId="06CC0B40" w14:textId="70C0A249" w:rsidR="00536567" w:rsidRPr="00B02115" w:rsidRDefault="002A3D75">
      <w:pPr>
        <w:tabs>
          <w:tab w:val="center" w:pos="4419"/>
        </w:tabs>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 xml:space="preserve">Cordialmente, </w:t>
      </w:r>
    </w:p>
    <w:p w14:paraId="0DBE6174" w14:textId="40E5B1A4" w:rsidR="003A4451" w:rsidRPr="00B02115" w:rsidRDefault="003A4451">
      <w:pPr>
        <w:tabs>
          <w:tab w:val="center" w:pos="4419"/>
        </w:tabs>
        <w:spacing w:line="240" w:lineRule="auto"/>
        <w:rPr>
          <w:rFonts w:ascii="Cambria" w:eastAsia="Cambria" w:hAnsi="Cambria" w:cs="Cambria"/>
          <w:i/>
          <w:iCs/>
          <w:sz w:val="24"/>
          <w:szCs w:val="24"/>
        </w:rPr>
      </w:pPr>
    </w:p>
    <w:tbl>
      <w:tblPr>
        <w:tblW w:w="8828" w:type="dxa"/>
        <w:tblBorders>
          <w:top w:val="nil"/>
          <w:left w:val="nil"/>
          <w:bottom w:val="nil"/>
          <w:right w:val="nil"/>
          <w:insideH w:val="nil"/>
          <w:insideV w:val="nil"/>
        </w:tblBorders>
        <w:tblLayout w:type="fixed"/>
        <w:tblLook w:val="0400" w:firstRow="0" w:lastRow="0" w:firstColumn="0" w:lastColumn="0" w:noHBand="0" w:noVBand="1"/>
      </w:tblPr>
      <w:tblGrid>
        <w:gridCol w:w="4414"/>
        <w:gridCol w:w="4414"/>
      </w:tblGrid>
      <w:tr w:rsidR="002A3D75" w:rsidRPr="00B02115" w14:paraId="0E9E7D83" w14:textId="77777777" w:rsidTr="00E41010">
        <w:tc>
          <w:tcPr>
            <w:tcW w:w="4414" w:type="dxa"/>
          </w:tcPr>
          <w:p w14:paraId="40907664" w14:textId="77777777" w:rsidR="002A3D75" w:rsidRPr="00B02115" w:rsidRDefault="002A3D75" w:rsidP="002A3D75">
            <w:pPr>
              <w:tabs>
                <w:tab w:val="center" w:pos="4419"/>
              </w:tabs>
              <w:spacing w:line="240" w:lineRule="auto"/>
              <w:jc w:val="center"/>
              <w:rPr>
                <w:rFonts w:ascii="Cambria" w:eastAsia="Cambria" w:hAnsi="Cambria" w:cs="Cambria"/>
                <w:b/>
                <w:bCs/>
                <w:sz w:val="24"/>
                <w:szCs w:val="24"/>
              </w:rPr>
            </w:pPr>
          </w:p>
          <w:p w14:paraId="011AB05A" w14:textId="77777777" w:rsidR="002A3D75" w:rsidRPr="00B02115" w:rsidRDefault="002A3D75" w:rsidP="002A3D75">
            <w:pPr>
              <w:tabs>
                <w:tab w:val="center" w:pos="4419"/>
              </w:tabs>
              <w:spacing w:line="240" w:lineRule="auto"/>
              <w:jc w:val="center"/>
              <w:rPr>
                <w:rFonts w:ascii="Cambria" w:eastAsia="Cambria" w:hAnsi="Cambria" w:cs="Cambria"/>
                <w:b/>
                <w:bCs/>
                <w:sz w:val="24"/>
                <w:szCs w:val="24"/>
              </w:rPr>
            </w:pPr>
          </w:p>
          <w:p w14:paraId="77EC0DE3" w14:textId="77777777" w:rsidR="002A3D75" w:rsidRDefault="002A3D75" w:rsidP="002A3D75">
            <w:pPr>
              <w:tabs>
                <w:tab w:val="center" w:pos="4419"/>
              </w:tabs>
              <w:spacing w:line="240" w:lineRule="auto"/>
              <w:jc w:val="center"/>
              <w:rPr>
                <w:rFonts w:ascii="Cambria" w:eastAsia="Cambria" w:hAnsi="Cambria" w:cs="Cambria"/>
                <w:b/>
                <w:bCs/>
                <w:sz w:val="24"/>
                <w:szCs w:val="24"/>
              </w:rPr>
            </w:pPr>
          </w:p>
          <w:p w14:paraId="544EC94C" w14:textId="77777777" w:rsidR="00141395" w:rsidRPr="00B02115" w:rsidRDefault="00141395" w:rsidP="002A3D75">
            <w:pPr>
              <w:tabs>
                <w:tab w:val="center" w:pos="4419"/>
              </w:tabs>
              <w:spacing w:line="240" w:lineRule="auto"/>
              <w:jc w:val="center"/>
              <w:rPr>
                <w:rFonts w:ascii="Cambria" w:eastAsia="Cambria" w:hAnsi="Cambria" w:cs="Cambria"/>
                <w:b/>
                <w:bCs/>
                <w:sz w:val="24"/>
                <w:szCs w:val="24"/>
              </w:rPr>
            </w:pPr>
          </w:p>
          <w:p w14:paraId="5C79EF2A" w14:textId="77777777" w:rsidR="00141395" w:rsidRPr="00B02115" w:rsidRDefault="00141395" w:rsidP="002C1D66">
            <w:pPr>
              <w:tabs>
                <w:tab w:val="center" w:pos="4419"/>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JHON JAIRO BERRÍO LÓPEZ</w:t>
            </w:r>
          </w:p>
          <w:p w14:paraId="13B169A4" w14:textId="77777777" w:rsidR="002A3D75" w:rsidRPr="00B02115" w:rsidRDefault="002A3D75" w:rsidP="002A3D75">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Miembro de la Cámara de Representantes</w:t>
            </w:r>
          </w:p>
          <w:p w14:paraId="182E7712" w14:textId="77777777" w:rsidR="002A3D75" w:rsidRPr="00B02115" w:rsidRDefault="002A3D75" w:rsidP="002A3D75">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Congreso de la República de Colombia</w:t>
            </w:r>
          </w:p>
        </w:tc>
        <w:tc>
          <w:tcPr>
            <w:tcW w:w="4414" w:type="dxa"/>
          </w:tcPr>
          <w:p w14:paraId="4EEE87CB" w14:textId="25379228" w:rsidR="002A3D75" w:rsidRDefault="002A3D75" w:rsidP="002A3D75">
            <w:pPr>
              <w:tabs>
                <w:tab w:val="center" w:pos="4419"/>
              </w:tabs>
              <w:spacing w:line="240" w:lineRule="auto"/>
              <w:jc w:val="center"/>
              <w:rPr>
                <w:rFonts w:ascii="Cambria" w:eastAsia="Cambria" w:hAnsi="Cambria" w:cs="Cambria"/>
                <w:b/>
                <w:bCs/>
                <w:sz w:val="24"/>
                <w:szCs w:val="24"/>
              </w:rPr>
            </w:pPr>
          </w:p>
          <w:p w14:paraId="3C68A056" w14:textId="77777777" w:rsidR="00FF1F69" w:rsidRPr="00B02115" w:rsidRDefault="00FF1F69" w:rsidP="002A3D75">
            <w:pPr>
              <w:tabs>
                <w:tab w:val="center" w:pos="4419"/>
              </w:tabs>
              <w:spacing w:line="240" w:lineRule="auto"/>
              <w:jc w:val="center"/>
              <w:rPr>
                <w:rFonts w:ascii="Cambria" w:eastAsia="Cambria" w:hAnsi="Cambria" w:cs="Cambria"/>
                <w:b/>
                <w:bCs/>
                <w:sz w:val="24"/>
                <w:szCs w:val="24"/>
              </w:rPr>
            </w:pPr>
          </w:p>
          <w:p w14:paraId="2FDC55AE" w14:textId="6DE8840A" w:rsidR="002A3D75" w:rsidRPr="00B02115" w:rsidRDefault="002A3D75" w:rsidP="002A3D75">
            <w:pPr>
              <w:tabs>
                <w:tab w:val="center" w:pos="4419"/>
              </w:tabs>
              <w:spacing w:line="240" w:lineRule="auto"/>
              <w:jc w:val="center"/>
              <w:rPr>
                <w:rFonts w:ascii="Cambria" w:eastAsia="Cambria" w:hAnsi="Cambria" w:cs="Cambria"/>
                <w:b/>
                <w:bCs/>
                <w:sz w:val="24"/>
                <w:szCs w:val="24"/>
              </w:rPr>
            </w:pPr>
          </w:p>
          <w:p w14:paraId="32CFD35F" w14:textId="77777777" w:rsidR="002A3D75" w:rsidRPr="00B02115" w:rsidRDefault="002A3D75" w:rsidP="002A3D75">
            <w:pPr>
              <w:tabs>
                <w:tab w:val="center" w:pos="4419"/>
              </w:tabs>
              <w:spacing w:line="240" w:lineRule="auto"/>
              <w:jc w:val="center"/>
              <w:rPr>
                <w:rFonts w:ascii="Cambria" w:eastAsia="Cambria" w:hAnsi="Cambria" w:cs="Cambria"/>
                <w:b/>
                <w:bCs/>
                <w:sz w:val="24"/>
                <w:szCs w:val="24"/>
              </w:rPr>
            </w:pPr>
          </w:p>
          <w:p w14:paraId="69ECB136" w14:textId="743DBA3E" w:rsidR="002A3D75" w:rsidRPr="00B02115" w:rsidRDefault="00141395" w:rsidP="002A3D75">
            <w:pPr>
              <w:tabs>
                <w:tab w:val="center" w:pos="4419"/>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 xml:space="preserve">MARÍA DEL MAR PIZARRO </w:t>
            </w:r>
          </w:p>
          <w:p w14:paraId="38574C52" w14:textId="77777777" w:rsidR="002A3D75" w:rsidRPr="00B02115" w:rsidRDefault="002A3D75" w:rsidP="002A3D75">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Miembro de la Cámara de Representantes</w:t>
            </w:r>
          </w:p>
          <w:p w14:paraId="0817A841" w14:textId="77777777" w:rsidR="002A3D75" w:rsidRPr="00B02115" w:rsidRDefault="002A3D75" w:rsidP="002A3D75">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Congreso de la República de Colombia</w:t>
            </w:r>
          </w:p>
        </w:tc>
      </w:tr>
      <w:tr w:rsidR="002A3D75" w:rsidRPr="00B02115" w14:paraId="126B0D04" w14:textId="77777777" w:rsidTr="00E41010">
        <w:tc>
          <w:tcPr>
            <w:tcW w:w="4414" w:type="dxa"/>
          </w:tcPr>
          <w:p w14:paraId="7141D165" w14:textId="77777777" w:rsidR="002A3D75" w:rsidRPr="00B02115" w:rsidRDefault="002A3D75" w:rsidP="002A3D75">
            <w:pPr>
              <w:tabs>
                <w:tab w:val="center" w:pos="4419"/>
              </w:tabs>
              <w:spacing w:line="240" w:lineRule="auto"/>
              <w:rPr>
                <w:rFonts w:ascii="Cambria" w:eastAsia="Cambria" w:hAnsi="Cambria" w:cs="Cambria"/>
                <w:b/>
                <w:bCs/>
                <w:sz w:val="24"/>
                <w:szCs w:val="24"/>
              </w:rPr>
            </w:pPr>
          </w:p>
        </w:tc>
        <w:tc>
          <w:tcPr>
            <w:tcW w:w="4414" w:type="dxa"/>
          </w:tcPr>
          <w:p w14:paraId="050B027C" w14:textId="77777777" w:rsidR="002A3D75" w:rsidRPr="00B02115" w:rsidRDefault="002A3D75" w:rsidP="002A3D75">
            <w:pPr>
              <w:tabs>
                <w:tab w:val="center" w:pos="4419"/>
              </w:tabs>
              <w:spacing w:line="240" w:lineRule="auto"/>
              <w:jc w:val="center"/>
              <w:rPr>
                <w:rFonts w:ascii="Cambria" w:eastAsia="Cambria" w:hAnsi="Cambria" w:cs="Cambria"/>
                <w:b/>
                <w:bCs/>
                <w:sz w:val="24"/>
                <w:szCs w:val="24"/>
              </w:rPr>
            </w:pPr>
          </w:p>
        </w:tc>
      </w:tr>
    </w:tbl>
    <w:p w14:paraId="6359CF5E" w14:textId="77777777" w:rsidR="002A3D75" w:rsidRPr="00B02115" w:rsidRDefault="002A3D75" w:rsidP="002A3D75">
      <w:pPr>
        <w:tabs>
          <w:tab w:val="center" w:pos="4419"/>
        </w:tabs>
        <w:spacing w:line="240" w:lineRule="auto"/>
        <w:rPr>
          <w:rFonts w:ascii="Cambria" w:eastAsia="Cambria" w:hAnsi="Cambria" w:cs="Cambria"/>
          <w:b/>
          <w:bCs/>
          <w:sz w:val="24"/>
          <w:szCs w:val="24"/>
        </w:rPr>
      </w:pPr>
    </w:p>
    <w:p w14:paraId="69F0876C" w14:textId="77777777" w:rsidR="002A3D75" w:rsidRPr="00B02115" w:rsidRDefault="002A3D75" w:rsidP="002A3D75">
      <w:pPr>
        <w:tabs>
          <w:tab w:val="center" w:pos="4419"/>
        </w:tabs>
        <w:spacing w:line="240" w:lineRule="auto"/>
        <w:rPr>
          <w:rFonts w:ascii="Cambria" w:eastAsia="Cambria" w:hAnsi="Cambria" w:cs="Cambria"/>
          <w:b/>
          <w:bCs/>
          <w:sz w:val="24"/>
          <w:szCs w:val="24"/>
        </w:rPr>
      </w:pPr>
    </w:p>
    <w:p w14:paraId="1B94FAAC" w14:textId="77777777" w:rsidR="003A4451" w:rsidRPr="00B02115" w:rsidRDefault="007C798D">
      <w:pPr>
        <w:tabs>
          <w:tab w:val="center" w:pos="4419"/>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TABLA DE CONTENIDO</w:t>
      </w:r>
    </w:p>
    <w:p w14:paraId="3D616BE1" w14:textId="77777777" w:rsidR="003A4451" w:rsidRPr="00B02115" w:rsidRDefault="003A4451">
      <w:pPr>
        <w:tabs>
          <w:tab w:val="center" w:pos="4419"/>
        </w:tabs>
        <w:spacing w:line="240" w:lineRule="auto"/>
        <w:jc w:val="center"/>
        <w:rPr>
          <w:rFonts w:ascii="Cambria" w:eastAsia="Cambria" w:hAnsi="Cambria" w:cs="Cambria"/>
          <w:b/>
          <w:bCs/>
          <w:sz w:val="24"/>
          <w:szCs w:val="24"/>
        </w:rPr>
      </w:pPr>
    </w:p>
    <w:p w14:paraId="5D7476F2" w14:textId="77777777" w:rsidR="003A4451" w:rsidRPr="00B02115" w:rsidRDefault="007C798D">
      <w:pPr>
        <w:numPr>
          <w:ilvl w:val="0"/>
          <w:numId w:val="1"/>
        </w:numPr>
        <w:pBdr>
          <w:top w:val="nil"/>
          <w:left w:val="nil"/>
          <w:bottom w:val="nil"/>
          <w:right w:val="nil"/>
          <w:between w:val="nil"/>
        </w:pBdr>
        <w:tabs>
          <w:tab w:val="center" w:pos="4419"/>
        </w:tabs>
        <w:spacing w:line="240" w:lineRule="auto"/>
        <w:rPr>
          <w:color w:val="000000"/>
          <w:sz w:val="24"/>
          <w:szCs w:val="24"/>
        </w:rPr>
      </w:pPr>
      <w:r w:rsidRPr="00B02115">
        <w:rPr>
          <w:rFonts w:ascii="Cambria" w:eastAsia="Cambria" w:hAnsi="Cambria" w:cs="Cambria"/>
          <w:b/>
          <w:bCs/>
          <w:color w:val="000000"/>
          <w:sz w:val="24"/>
          <w:szCs w:val="24"/>
        </w:rPr>
        <w:t>TRÁMITE LEGISLATIVO Y ANTECEDENTES</w:t>
      </w:r>
    </w:p>
    <w:p w14:paraId="58040472" w14:textId="77777777" w:rsidR="003A4451" w:rsidRPr="00B02115" w:rsidRDefault="007C798D">
      <w:pPr>
        <w:numPr>
          <w:ilvl w:val="0"/>
          <w:numId w:val="1"/>
        </w:numPr>
        <w:pBdr>
          <w:top w:val="nil"/>
          <w:left w:val="nil"/>
          <w:bottom w:val="nil"/>
          <w:right w:val="nil"/>
          <w:between w:val="nil"/>
        </w:pBdr>
        <w:tabs>
          <w:tab w:val="center" w:pos="4419"/>
        </w:tabs>
        <w:spacing w:line="240" w:lineRule="auto"/>
        <w:rPr>
          <w:color w:val="000000"/>
          <w:sz w:val="24"/>
          <w:szCs w:val="24"/>
        </w:rPr>
      </w:pPr>
      <w:r w:rsidRPr="00B02115">
        <w:rPr>
          <w:rFonts w:ascii="Cambria" w:eastAsia="Cambria" w:hAnsi="Cambria" w:cs="Cambria"/>
          <w:b/>
          <w:bCs/>
          <w:color w:val="000000"/>
          <w:sz w:val="24"/>
          <w:szCs w:val="24"/>
        </w:rPr>
        <w:t>OBJETO CONTENIDO Y JUSTIFICACIÓN DEL PROYECTO DE LEY</w:t>
      </w:r>
    </w:p>
    <w:p w14:paraId="2D2B5DC9" w14:textId="77777777" w:rsidR="003A4451" w:rsidRPr="00B02115" w:rsidRDefault="007C798D">
      <w:pPr>
        <w:numPr>
          <w:ilvl w:val="0"/>
          <w:numId w:val="1"/>
        </w:numPr>
        <w:pBdr>
          <w:top w:val="nil"/>
          <w:left w:val="nil"/>
          <w:bottom w:val="nil"/>
          <w:right w:val="nil"/>
          <w:between w:val="nil"/>
        </w:pBdr>
        <w:tabs>
          <w:tab w:val="center" w:pos="4419"/>
        </w:tabs>
        <w:spacing w:line="240" w:lineRule="auto"/>
        <w:rPr>
          <w:color w:val="000000"/>
          <w:sz w:val="24"/>
          <w:szCs w:val="24"/>
        </w:rPr>
      </w:pPr>
      <w:r w:rsidRPr="00B02115">
        <w:rPr>
          <w:rFonts w:ascii="Cambria" w:eastAsia="Cambria" w:hAnsi="Cambria" w:cs="Cambria"/>
          <w:b/>
          <w:bCs/>
          <w:color w:val="000000"/>
          <w:sz w:val="24"/>
          <w:szCs w:val="24"/>
        </w:rPr>
        <w:t>FUNDAMENTOS JURÍDICOS DEL PROYECTO DE LEY</w:t>
      </w:r>
    </w:p>
    <w:p w14:paraId="73B9AFB9" w14:textId="77777777" w:rsidR="003A4451" w:rsidRPr="00B02115" w:rsidRDefault="007C798D">
      <w:pPr>
        <w:numPr>
          <w:ilvl w:val="0"/>
          <w:numId w:val="1"/>
        </w:numPr>
        <w:pBdr>
          <w:top w:val="nil"/>
          <w:left w:val="nil"/>
          <w:bottom w:val="nil"/>
          <w:right w:val="nil"/>
          <w:between w:val="nil"/>
        </w:pBdr>
        <w:tabs>
          <w:tab w:val="center" w:pos="4419"/>
        </w:tabs>
        <w:spacing w:line="240" w:lineRule="auto"/>
        <w:rPr>
          <w:color w:val="000000"/>
          <w:sz w:val="24"/>
          <w:szCs w:val="24"/>
        </w:rPr>
      </w:pPr>
      <w:r w:rsidRPr="00B02115">
        <w:rPr>
          <w:rFonts w:ascii="Cambria" w:eastAsia="Cambria" w:hAnsi="Cambria" w:cs="Cambria"/>
          <w:b/>
          <w:bCs/>
          <w:color w:val="000000"/>
          <w:sz w:val="24"/>
          <w:szCs w:val="24"/>
        </w:rPr>
        <w:t>IMPACTO FISCAL</w:t>
      </w:r>
    </w:p>
    <w:p w14:paraId="359745E4" w14:textId="77777777" w:rsidR="003A4451" w:rsidRPr="00B02115" w:rsidRDefault="007C798D">
      <w:pPr>
        <w:numPr>
          <w:ilvl w:val="0"/>
          <w:numId w:val="1"/>
        </w:numPr>
        <w:pBdr>
          <w:top w:val="nil"/>
          <w:left w:val="nil"/>
          <w:bottom w:val="nil"/>
          <w:right w:val="nil"/>
          <w:between w:val="nil"/>
        </w:pBdr>
        <w:tabs>
          <w:tab w:val="center" w:pos="4419"/>
        </w:tabs>
        <w:spacing w:line="240" w:lineRule="auto"/>
        <w:rPr>
          <w:color w:val="000000"/>
          <w:sz w:val="24"/>
          <w:szCs w:val="24"/>
        </w:rPr>
      </w:pPr>
      <w:r w:rsidRPr="00B02115">
        <w:rPr>
          <w:rFonts w:ascii="Cambria" w:eastAsia="Cambria" w:hAnsi="Cambria" w:cs="Cambria"/>
          <w:b/>
          <w:bCs/>
          <w:color w:val="000000"/>
          <w:sz w:val="24"/>
          <w:szCs w:val="24"/>
        </w:rPr>
        <w:t>CONFLICTO DE INTERÉS</w:t>
      </w:r>
    </w:p>
    <w:p w14:paraId="07611512" w14:textId="77777777" w:rsidR="003A4451" w:rsidRPr="00B02115" w:rsidRDefault="007C798D">
      <w:pPr>
        <w:numPr>
          <w:ilvl w:val="0"/>
          <w:numId w:val="1"/>
        </w:numPr>
        <w:pBdr>
          <w:top w:val="nil"/>
          <w:left w:val="nil"/>
          <w:bottom w:val="nil"/>
          <w:right w:val="nil"/>
          <w:between w:val="nil"/>
        </w:pBdr>
        <w:tabs>
          <w:tab w:val="center" w:pos="4419"/>
        </w:tabs>
        <w:spacing w:line="240" w:lineRule="auto"/>
        <w:rPr>
          <w:color w:val="000000"/>
          <w:sz w:val="24"/>
          <w:szCs w:val="24"/>
        </w:rPr>
      </w:pPr>
      <w:r w:rsidRPr="00B02115">
        <w:rPr>
          <w:rFonts w:ascii="Cambria" w:eastAsia="Cambria" w:hAnsi="Cambria" w:cs="Cambria"/>
          <w:b/>
          <w:bCs/>
          <w:color w:val="000000"/>
          <w:sz w:val="24"/>
          <w:szCs w:val="24"/>
        </w:rPr>
        <w:t>PROPOSICIÓN</w:t>
      </w:r>
    </w:p>
    <w:p w14:paraId="327213D4" w14:textId="77777777" w:rsidR="003A4451" w:rsidRPr="00B02115" w:rsidRDefault="007C798D">
      <w:pPr>
        <w:numPr>
          <w:ilvl w:val="0"/>
          <w:numId w:val="1"/>
        </w:numPr>
        <w:pBdr>
          <w:top w:val="nil"/>
          <w:left w:val="nil"/>
          <w:bottom w:val="nil"/>
          <w:right w:val="nil"/>
          <w:between w:val="nil"/>
        </w:pBdr>
        <w:tabs>
          <w:tab w:val="center" w:pos="4419"/>
        </w:tabs>
        <w:spacing w:line="240" w:lineRule="auto"/>
        <w:rPr>
          <w:color w:val="000000"/>
          <w:sz w:val="24"/>
          <w:szCs w:val="24"/>
        </w:rPr>
      </w:pPr>
      <w:r w:rsidRPr="00B02115">
        <w:rPr>
          <w:rFonts w:ascii="Cambria" w:eastAsia="Cambria" w:hAnsi="Cambria" w:cs="Cambria"/>
          <w:b/>
          <w:bCs/>
          <w:color w:val="000000"/>
          <w:sz w:val="24"/>
          <w:szCs w:val="24"/>
        </w:rPr>
        <w:t>TEXTO PROPUESTO.</w:t>
      </w:r>
    </w:p>
    <w:p w14:paraId="5D6F8002" w14:textId="77777777" w:rsidR="003A4451" w:rsidRPr="00B02115" w:rsidRDefault="003A4451">
      <w:pPr>
        <w:tabs>
          <w:tab w:val="center" w:pos="4419"/>
        </w:tabs>
        <w:spacing w:line="240" w:lineRule="auto"/>
        <w:rPr>
          <w:rFonts w:ascii="Cambria" w:eastAsia="Cambria" w:hAnsi="Cambria" w:cs="Cambria"/>
          <w:b/>
          <w:bCs/>
          <w:sz w:val="24"/>
          <w:szCs w:val="24"/>
        </w:rPr>
      </w:pPr>
    </w:p>
    <w:p w14:paraId="198EBE52" w14:textId="77777777" w:rsidR="003A4451" w:rsidRPr="00B02115" w:rsidRDefault="003A4451">
      <w:pPr>
        <w:tabs>
          <w:tab w:val="center" w:pos="4419"/>
        </w:tabs>
        <w:spacing w:line="240" w:lineRule="auto"/>
        <w:rPr>
          <w:rFonts w:ascii="Cambria" w:eastAsia="Cambria" w:hAnsi="Cambria" w:cs="Cambria"/>
          <w:b/>
          <w:bCs/>
          <w:sz w:val="24"/>
          <w:szCs w:val="24"/>
        </w:rPr>
      </w:pPr>
    </w:p>
    <w:p w14:paraId="1428115B" w14:textId="77777777" w:rsidR="003A4451" w:rsidRPr="00B02115" w:rsidRDefault="007C798D">
      <w:pPr>
        <w:numPr>
          <w:ilvl w:val="0"/>
          <w:numId w:val="7"/>
        </w:numPr>
        <w:pBdr>
          <w:top w:val="nil"/>
          <w:left w:val="nil"/>
          <w:bottom w:val="nil"/>
          <w:right w:val="nil"/>
          <w:between w:val="nil"/>
        </w:pBdr>
        <w:tabs>
          <w:tab w:val="center" w:pos="4419"/>
        </w:tabs>
        <w:spacing w:line="240" w:lineRule="auto"/>
        <w:jc w:val="center"/>
        <w:rPr>
          <w:color w:val="000000"/>
          <w:sz w:val="24"/>
          <w:szCs w:val="24"/>
        </w:rPr>
      </w:pPr>
      <w:r w:rsidRPr="00B02115">
        <w:rPr>
          <w:rFonts w:ascii="Cambria" w:eastAsia="Cambria" w:hAnsi="Cambria" w:cs="Cambria"/>
          <w:b/>
          <w:bCs/>
          <w:color w:val="000000"/>
          <w:sz w:val="24"/>
          <w:szCs w:val="24"/>
        </w:rPr>
        <w:t>TRÁMITE LEGISLATIVO Y ANTECEDENTES</w:t>
      </w:r>
    </w:p>
    <w:p w14:paraId="602E810F" w14:textId="77777777" w:rsidR="003A4451" w:rsidRPr="00B02115" w:rsidRDefault="003A4451">
      <w:pPr>
        <w:tabs>
          <w:tab w:val="center" w:pos="4419"/>
        </w:tabs>
        <w:spacing w:line="240" w:lineRule="auto"/>
        <w:rPr>
          <w:rFonts w:ascii="Cambria" w:eastAsia="Cambria" w:hAnsi="Cambria" w:cs="Cambria"/>
          <w:b/>
          <w:bCs/>
          <w:sz w:val="24"/>
          <w:szCs w:val="24"/>
        </w:rPr>
      </w:pPr>
    </w:p>
    <w:p w14:paraId="731A14B5" w14:textId="77777777" w:rsidR="003A4451" w:rsidRPr="00B02115" w:rsidRDefault="007C798D">
      <w:pPr>
        <w:tabs>
          <w:tab w:val="center" w:pos="4419"/>
        </w:tabs>
        <w:spacing w:line="240" w:lineRule="auto"/>
        <w:rPr>
          <w:rFonts w:ascii="Cambria" w:eastAsia="Cambria" w:hAnsi="Cambria" w:cs="Cambria"/>
          <w:sz w:val="24"/>
          <w:szCs w:val="24"/>
        </w:rPr>
      </w:pPr>
      <w:r w:rsidRPr="00B02115">
        <w:rPr>
          <w:rFonts w:ascii="Cambria" w:eastAsia="Cambria" w:hAnsi="Cambria" w:cs="Cambria"/>
          <w:sz w:val="24"/>
          <w:szCs w:val="24"/>
        </w:rPr>
        <w:t xml:space="preserve">Este es un </w:t>
      </w:r>
      <w:r w:rsidRPr="00B02115">
        <w:rPr>
          <w:rFonts w:ascii="Cambria" w:eastAsia="Cambria" w:hAnsi="Cambria" w:cs="Cambria"/>
          <w:b/>
          <w:bCs/>
          <w:sz w:val="24"/>
          <w:szCs w:val="24"/>
        </w:rPr>
        <w:t>PROYECTO DE LEY ORDINARIA</w:t>
      </w:r>
      <w:r w:rsidRPr="00B02115">
        <w:rPr>
          <w:rFonts w:ascii="Cambria" w:eastAsia="Cambria" w:hAnsi="Cambria" w:cs="Cambria"/>
          <w:sz w:val="24"/>
          <w:szCs w:val="24"/>
        </w:rPr>
        <w:t xml:space="preserve">, de contenido congresional, que, según el contenido de su articulado y su justificación, le correspondió su </w:t>
      </w:r>
      <w:r w:rsidRPr="00B02115">
        <w:rPr>
          <w:rFonts w:ascii="Cambria" w:eastAsia="Cambria" w:hAnsi="Cambria" w:cs="Cambria"/>
          <w:b/>
          <w:bCs/>
          <w:sz w:val="24"/>
          <w:szCs w:val="24"/>
        </w:rPr>
        <w:t>COMPETENCIA</w:t>
      </w:r>
      <w:r w:rsidRPr="00B02115">
        <w:rPr>
          <w:rFonts w:ascii="Cambria" w:eastAsia="Cambria" w:hAnsi="Cambria" w:cs="Cambria"/>
          <w:sz w:val="24"/>
          <w:szCs w:val="24"/>
        </w:rPr>
        <w:t xml:space="preserve"> a la Comisión Tercera Constitucional Permanente de la Cámara de Representantes, esto de conformidad con el cuarto inciso del artículo 2° de la Ley 3° de 1992 y 183 de la ley 5° de 1992. </w:t>
      </w:r>
    </w:p>
    <w:p w14:paraId="4A99520C" w14:textId="77777777" w:rsidR="003A4451" w:rsidRPr="00B02115" w:rsidRDefault="003A4451">
      <w:pPr>
        <w:tabs>
          <w:tab w:val="center" w:pos="4419"/>
        </w:tabs>
        <w:spacing w:line="240" w:lineRule="auto"/>
        <w:rPr>
          <w:rFonts w:ascii="Cambria" w:eastAsia="Cambria" w:hAnsi="Cambria" w:cs="Cambria"/>
          <w:sz w:val="24"/>
          <w:szCs w:val="24"/>
        </w:rPr>
      </w:pPr>
    </w:p>
    <w:p w14:paraId="76ED7E95"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El presente proyecto de ley es de </w:t>
      </w:r>
      <w:r w:rsidRPr="00B02115">
        <w:rPr>
          <w:rFonts w:ascii="Cambria" w:eastAsia="Cambria" w:hAnsi="Cambria" w:cs="Cambria"/>
          <w:b/>
          <w:bCs/>
          <w:sz w:val="24"/>
          <w:szCs w:val="24"/>
        </w:rPr>
        <w:t>INICIATIVA CONGRESIONAL</w:t>
      </w:r>
      <w:r w:rsidRPr="00B02115">
        <w:rPr>
          <w:rFonts w:ascii="Cambria" w:eastAsia="Cambria" w:hAnsi="Cambria" w:cs="Cambria"/>
          <w:sz w:val="24"/>
          <w:szCs w:val="24"/>
        </w:rPr>
        <w:t xml:space="preserve">, y fue radicado el día 12 de noviembre de 2025 ante la Secretaría General de la Cámara de Representantes para que se le diera el trámite dispuesto en el artículo 144 de la ley 5° de 1992 por los Honorables Representantes </w:t>
      </w:r>
      <w:proofErr w:type="spellStart"/>
      <w:r w:rsidRPr="00B02115">
        <w:rPr>
          <w:rFonts w:ascii="Cambria" w:eastAsia="Cambria" w:hAnsi="Cambria" w:cs="Cambria"/>
          <w:sz w:val="24"/>
          <w:szCs w:val="24"/>
        </w:rPr>
        <w:t>Aramndo</w:t>
      </w:r>
      <w:proofErr w:type="spellEnd"/>
      <w:r w:rsidRPr="00B02115">
        <w:rPr>
          <w:rFonts w:ascii="Cambria" w:eastAsia="Cambria" w:hAnsi="Cambria" w:cs="Cambria"/>
          <w:sz w:val="24"/>
          <w:szCs w:val="24"/>
        </w:rPr>
        <w:t xml:space="preserve"> Antonio </w:t>
      </w:r>
      <w:proofErr w:type="spellStart"/>
      <w:r w:rsidRPr="00B02115">
        <w:rPr>
          <w:rFonts w:ascii="Cambria" w:eastAsia="Cambria" w:hAnsi="Cambria" w:cs="Cambria"/>
          <w:sz w:val="24"/>
          <w:szCs w:val="24"/>
        </w:rPr>
        <w:t>Zabaraín</w:t>
      </w:r>
      <w:proofErr w:type="spellEnd"/>
      <w:r w:rsidRPr="00B02115">
        <w:rPr>
          <w:rFonts w:ascii="Cambria" w:eastAsia="Cambria" w:hAnsi="Cambria" w:cs="Cambria"/>
          <w:sz w:val="24"/>
          <w:szCs w:val="24"/>
        </w:rPr>
        <w:t xml:space="preserve"> de Arce, Carlos Edward Osorio Aguiar, </w:t>
      </w:r>
      <w:proofErr w:type="spellStart"/>
      <w:r w:rsidRPr="00B02115">
        <w:rPr>
          <w:rFonts w:ascii="Cambria" w:eastAsia="Cambria" w:hAnsi="Cambria" w:cs="Cambria"/>
          <w:sz w:val="24"/>
          <w:szCs w:val="24"/>
        </w:rPr>
        <w:t>Edinson</w:t>
      </w:r>
      <w:proofErr w:type="spellEnd"/>
      <w:r w:rsidRPr="00B02115">
        <w:rPr>
          <w:rFonts w:ascii="Cambria" w:eastAsia="Cambria" w:hAnsi="Cambria" w:cs="Cambria"/>
          <w:sz w:val="24"/>
          <w:szCs w:val="24"/>
        </w:rPr>
        <w:t xml:space="preserve"> Vladimir Olaya Mancipe, Elkin Rodolfo Ospina </w:t>
      </w:r>
      <w:proofErr w:type="spellStart"/>
      <w:r w:rsidRPr="00B02115">
        <w:rPr>
          <w:rFonts w:ascii="Cambria" w:eastAsia="Cambria" w:hAnsi="Cambria" w:cs="Cambria"/>
          <w:sz w:val="24"/>
          <w:szCs w:val="24"/>
        </w:rPr>
        <w:t>Ospina</w:t>
      </w:r>
      <w:proofErr w:type="spellEnd"/>
      <w:r w:rsidRPr="00B02115">
        <w:rPr>
          <w:rFonts w:ascii="Cambria" w:eastAsia="Cambria" w:hAnsi="Cambria" w:cs="Cambria"/>
          <w:sz w:val="24"/>
          <w:szCs w:val="24"/>
        </w:rPr>
        <w:t xml:space="preserve">, Hugo Danilo Lozano Pimiento, Jairo Humberto Cristo Correa, Jhon Jairo Berrío López, Juan Felipe Corzo Álvarez, Luis Carlos </w:t>
      </w:r>
      <w:proofErr w:type="spellStart"/>
      <w:r w:rsidRPr="00B02115">
        <w:rPr>
          <w:rFonts w:ascii="Cambria" w:eastAsia="Cambria" w:hAnsi="Cambria" w:cs="Cambria"/>
          <w:sz w:val="24"/>
          <w:szCs w:val="24"/>
        </w:rPr>
        <w:t>Ohoa</w:t>
      </w:r>
      <w:proofErr w:type="spellEnd"/>
      <w:r w:rsidRPr="00B02115">
        <w:rPr>
          <w:rFonts w:ascii="Cambria" w:eastAsia="Cambria" w:hAnsi="Cambria" w:cs="Cambria"/>
          <w:sz w:val="24"/>
          <w:szCs w:val="24"/>
        </w:rPr>
        <w:t xml:space="preserve"> Tobón, maría del Mar Pizarro García, Modesto Enrique Aguilera Vides, Olmes de Jesús Echeverría de la Rosa y </w:t>
      </w:r>
      <w:proofErr w:type="spellStart"/>
      <w:r w:rsidRPr="00B02115">
        <w:rPr>
          <w:rFonts w:ascii="Cambria" w:eastAsia="Cambria" w:hAnsi="Cambria" w:cs="Cambria"/>
          <w:sz w:val="24"/>
          <w:szCs w:val="24"/>
        </w:rPr>
        <w:t>Yenica</w:t>
      </w:r>
      <w:proofErr w:type="spellEnd"/>
      <w:r w:rsidRPr="00B02115">
        <w:rPr>
          <w:rFonts w:ascii="Cambria" w:eastAsia="Cambria" w:hAnsi="Cambria" w:cs="Cambria"/>
          <w:sz w:val="24"/>
          <w:szCs w:val="24"/>
        </w:rPr>
        <w:t xml:space="preserve"> </w:t>
      </w:r>
      <w:proofErr w:type="spellStart"/>
      <w:r w:rsidRPr="00B02115">
        <w:rPr>
          <w:rFonts w:ascii="Cambria" w:eastAsia="Cambria" w:hAnsi="Cambria" w:cs="Cambria"/>
          <w:sz w:val="24"/>
          <w:szCs w:val="24"/>
        </w:rPr>
        <w:t>Sugein</w:t>
      </w:r>
      <w:proofErr w:type="spellEnd"/>
      <w:r w:rsidRPr="00B02115">
        <w:rPr>
          <w:rFonts w:ascii="Cambria" w:eastAsia="Cambria" w:hAnsi="Cambria" w:cs="Cambria"/>
          <w:sz w:val="24"/>
          <w:szCs w:val="24"/>
        </w:rPr>
        <w:t xml:space="preserve"> Acosta Infante, quedando publicado en la gaceta del congreso No. 2160 de 2025</w:t>
      </w:r>
    </w:p>
    <w:p w14:paraId="101E0D5F" w14:textId="77777777" w:rsidR="003A4451" w:rsidRPr="00B02115" w:rsidRDefault="003A4451">
      <w:pPr>
        <w:spacing w:line="240" w:lineRule="auto"/>
        <w:rPr>
          <w:rFonts w:ascii="Cambria" w:eastAsia="Cambria" w:hAnsi="Cambria" w:cs="Cambria"/>
          <w:sz w:val="24"/>
          <w:szCs w:val="24"/>
        </w:rPr>
      </w:pPr>
    </w:p>
    <w:p w14:paraId="6BF3B6EC" w14:textId="77777777" w:rsidR="003A4451" w:rsidRPr="00B02115" w:rsidRDefault="007C798D">
      <w:pPr>
        <w:pBdr>
          <w:top w:val="nil"/>
          <w:left w:val="nil"/>
          <w:bottom w:val="nil"/>
          <w:right w:val="nil"/>
          <w:between w:val="nil"/>
        </w:pBdr>
        <w:spacing w:line="240" w:lineRule="auto"/>
        <w:rPr>
          <w:rFonts w:ascii="Cambria" w:eastAsia="Cambria" w:hAnsi="Cambria" w:cs="Cambria"/>
          <w:sz w:val="24"/>
          <w:szCs w:val="24"/>
        </w:rPr>
      </w:pPr>
      <w:r w:rsidRPr="00B02115">
        <w:rPr>
          <w:rFonts w:ascii="Cambria" w:eastAsia="Cambria" w:hAnsi="Cambria" w:cs="Cambria"/>
          <w:sz w:val="24"/>
          <w:szCs w:val="24"/>
        </w:rPr>
        <w:t xml:space="preserve">El día 10 de diciembre de 2025, el secretario general de la Comisión Tercera de la Cámara de Representantes, mediante oficio No. </w:t>
      </w:r>
      <w:r w:rsidRPr="00B02115">
        <w:rPr>
          <w:rFonts w:ascii="Cambria" w:eastAsia="Cambria" w:hAnsi="Cambria" w:cs="Cambria"/>
          <w:b/>
          <w:bCs/>
          <w:sz w:val="24"/>
          <w:szCs w:val="24"/>
        </w:rPr>
        <w:t xml:space="preserve">CSCP - 3.3.614-25C, </w:t>
      </w:r>
      <w:r w:rsidRPr="00B02115">
        <w:rPr>
          <w:rFonts w:ascii="Cambria" w:eastAsia="Cambria" w:hAnsi="Cambria" w:cs="Cambria"/>
          <w:sz w:val="24"/>
          <w:szCs w:val="24"/>
        </w:rPr>
        <w:t>designo como ponentes del proyecto de ley en mención a los Honorables Representantes Olmes de Jesús Echeverría de la Rosa</w:t>
      </w:r>
      <w:r w:rsidRPr="00B02115">
        <w:rPr>
          <w:rFonts w:ascii="Cambria" w:eastAsia="Cambria" w:hAnsi="Cambria" w:cs="Cambria"/>
          <w:color w:val="000000"/>
          <w:sz w:val="24"/>
          <w:szCs w:val="24"/>
        </w:rPr>
        <w:t xml:space="preserve"> y María del Mar Pizarro</w:t>
      </w:r>
      <w:r w:rsidRPr="00B02115">
        <w:rPr>
          <w:rFonts w:ascii="Cambria" w:eastAsia="Cambria" w:hAnsi="Cambria" w:cs="Cambria"/>
          <w:i/>
          <w:iCs/>
          <w:sz w:val="24"/>
          <w:szCs w:val="24"/>
        </w:rPr>
        <w:t xml:space="preserve">, </w:t>
      </w:r>
      <w:r w:rsidRPr="00B02115">
        <w:rPr>
          <w:rFonts w:ascii="Cambria" w:eastAsia="Cambria" w:hAnsi="Cambria" w:cs="Cambria"/>
          <w:sz w:val="24"/>
          <w:szCs w:val="24"/>
        </w:rPr>
        <w:t>teniendo un plazo de quince (15) días calendarios a partir de la fecha de su notificación para rendir la ponencia respectiva.</w:t>
      </w:r>
    </w:p>
    <w:p w14:paraId="7FBD6B86" w14:textId="77777777" w:rsidR="003A4451" w:rsidRPr="00B02115" w:rsidRDefault="003A4451">
      <w:pPr>
        <w:pBdr>
          <w:top w:val="nil"/>
          <w:left w:val="nil"/>
          <w:bottom w:val="nil"/>
          <w:right w:val="nil"/>
          <w:between w:val="nil"/>
        </w:pBdr>
        <w:spacing w:line="240" w:lineRule="auto"/>
        <w:rPr>
          <w:rFonts w:ascii="Cambria" w:eastAsia="Cambria" w:hAnsi="Cambria" w:cs="Cambria"/>
          <w:sz w:val="24"/>
          <w:szCs w:val="24"/>
        </w:rPr>
      </w:pPr>
    </w:p>
    <w:p w14:paraId="20D2F42F" w14:textId="77777777" w:rsidR="003A4451" w:rsidRPr="00B02115" w:rsidRDefault="007C798D">
      <w:pPr>
        <w:pBdr>
          <w:top w:val="nil"/>
          <w:left w:val="nil"/>
          <w:bottom w:val="nil"/>
          <w:right w:val="nil"/>
          <w:between w:val="nil"/>
        </w:pBdr>
        <w:spacing w:line="240" w:lineRule="auto"/>
        <w:rPr>
          <w:rFonts w:ascii="Cambria" w:eastAsia="Cambria" w:hAnsi="Cambria" w:cs="Cambria"/>
          <w:sz w:val="24"/>
          <w:szCs w:val="24"/>
        </w:rPr>
      </w:pPr>
      <w:r w:rsidRPr="00B02115">
        <w:rPr>
          <w:rFonts w:ascii="Cambria" w:eastAsia="Cambria" w:hAnsi="Cambria" w:cs="Cambria"/>
          <w:sz w:val="24"/>
          <w:szCs w:val="24"/>
        </w:rPr>
        <w:lastRenderedPageBreak/>
        <w:t>Fueron radicadas dos Ponencias de carácter positivo respecto del presente Proyecto de Ley, una por cada uno de los ponentes de la iniciativa.</w:t>
      </w:r>
    </w:p>
    <w:p w14:paraId="57EE7654" w14:textId="77777777" w:rsidR="003A4451" w:rsidRPr="00B02115" w:rsidRDefault="003A4451">
      <w:pPr>
        <w:pBdr>
          <w:top w:val="nil"/>
          <w:left w:val="nil"/>
          <w:bottom w:val="nil"/>
          <w:right w:val="nil"/>
          <w:between w:val="nil"/>
        </w:pBdr>
        <w:spacing w:line="240" w:lineRule="auto"/>
        <w:rPr>
          <w:rFonts w:ascii="Cambria" w:eastAsia="Cambria" w:hAnsi="Cambria" w:cs="Cambria"/>
          <w:sz w:val="24"/>
          <w:szCs w:val="24"/>
        </w:rPr>
      </w:pPr>
    </w:p>
    <w:p w14:paraId="723E6AC0" w14:textId="77777777" w:rsidR="003A4451" w:rsidRPr="00B02115" w:rsidRDefault="007C798D">
      <w:pPr>
        <w:pBdr>
          <w:top w:val="nil"/>
          <w:left w:val="nil"/>
          <w:bottom w:val="nil"/>
          <w:right w:val="nil"/>
          <w:between w:val="nil"/>
        </w:pBdr>
        <w:spacing w:line="240" w:lineRule="auto"/>
        <w:rPr>
          <w:rFonts w:ascii="Cambria" w:eastAsia="Cambria" w:hAnsi="Cambria" w:cs="Cambria"/>
          <w:sz w:val="24"/>
          <w:szCs w:val="24"/>
        </w:rPr>
      </w:pPr>
      <w:r w:rsidRPr="00B02115">
        <w:rPr>
          <w:rFonts w:ascii="Cambria" w:eastAsia="Cambria" w:hAnsi="Cambria" w:cs="Cambria"/>
          <w:sz w:val="24"/>
          <w:szCs w:val="24"/>
        </w:rPr>
        <w:t xml:space="preserve">La iniciativa fue considerada en primer debate por la Comisión Tercera Constitucional Permanente en sesión del día 8 de abril de 2026, en donde el H.R. Olmes de Jesús Echeverría de la Rosa decidió allanarse a la ponencia radicada por la H.R. María del Mar Pizarro, en esta misma sesión se rindió ponencia positiva a esta iniciativa. Luego de ser considerada y discutida, el proyecto de ley fue aprobado por los integrantes de esta célula legislativa con proposiciones modificatorias, que se describirán más adelante; permitiendo así su curso a la plenaria de esta misma corporación. </w:t>
      </w:r>
    </w:p>
    <w:p w14:paraId="5F9239B7" w14:textId="77777777" w:rsidR="003A4451" w:rsidRPr="00B02115" w:rsidRDefault="003A4451">
      <w:pPr>
        <w:pBdr>
          <w:top w:val="nil"/>
          <w:left w:val="nil"/>
          <w:bottom w:val="nil"/>
          <w:right w:val="nil"/>
          <w:between w:val="nil"/>
        </w:pBdr>
        <w:spacing w:line="240" w:lineRule="auto"/>
        <w:rPr>
          <w:rFonts w:ascii="Cambria" w:eastAsia="Cambria" w:hAnsi="Cambria" w:cs="Cambria"/>
          <w:sz w:val="24"/>
          <w:szCs w:val="24"/>
        </w:rPr>
      </w:pPr>
    </w:p>
    <w:p w14:paraId="07BD05F7" w14:textId="77777777" w:rsidR="003A4451" w:rsidRPr="00B02115" w:rsidRDefault="007C798D">
      <w:pPr>
        <w:pBdr>
          <w:top w:val="nil"/>
          <w:left w:val="nil"/>
          <w:bottom w:val="nil"/>
          <w:right w:val="nil"/>
          <w:between w:val="nil"/>
        </w:pBdr>
        <w:spacing w:line="240" w:lineRule="auto"/>
        <w:rPr>
          <w:rFonts w:ascii="Cambria" w:eastAsia="Cambria" w:hAnsi="Cambria" w:cs="Cambria"/>
          <w:sz w:val="24"/>
          <w:szCs w:val="24"/>
        </w:rPr>
      </w:pPr>
      <w:r w:rsidRPr="00B02115">
        <w:rPr>
          <w:rFonts w:ascii="Cambria" w:eastAsia="Cambria" w:hAnsi="Cambria" w:cs="Cambria"/>
          <w:sz w:val="24"/>
          <w:szCs w:val="24"/>
        </w:rPr>
        <w:t>El 23 de abril de 2026, mediante oficio No. C.T.P.3.3.951C-26  ratificó la designación como ponentes a los Honorables Representantes María del Mar Pizarro y Olmes de Jesús Echeverría de la Rosa.</w:t>
      </w:r>
    </w:p>
    <w:p w14:paraId="799A7818" w14:textId="77777777" w:rsidR="003A4451" w:rsidRPr="00716168" w:rsidRDefault="003A4451" w:rsidP="00716168">
      <w:pPr>
        <w:spacing w:line="240" w:lineRule="auto"/>
        <w:rPr>
          <w:rFonts w:ascii="Cambria" w:hAnsi="Cambria"/>
          <w:sz w:val="24"/>
          <w:szCs w:val="24"/>
        </w:rPr>
      </w:pPr>
    </w:p>
    <w:p w14:paraId="35FE26BB" w14:textId="77777777" w:rsidR="003A4451" w:rsidRPr="00716168" w:rsidRDefault="007C798D" w:rsidP="00716168">
      <w:pPr>
        <w:spacing w:line="240" w:lineRule="auto"/>
        <w:rPr>
          <w:rFonts w:ascii="Cambria" w:hAnsi="Cambria"/>
          <w:sz w:val="24"/>
          <w:szCs w:val="24"/>
        </w:rPr>
      </w:pPr>
      <w:r w:rsidRPr="00716168">
        <w:rPr>
          <w:rFonts w:ascii="Cambria" w:hAnsi="Cambria"/>
          <w:sz w:val="24"/>
          <w:szCs w:val="24"/>
        </w:rPr>
        <w:t>Es importante anotar que, dado el inicio de un nuevo periodo constitucional y que el Proyecto de Ley no alcanzó a ser discutido en segundo debate antes del 20 de junio de 2026, la Comisión Tercera reasignó nuevos ponentes para segundo debate a los Honorables Representantes María del Mar Pizarro y Jhon Jairo Berrío López mediante oficio C.T.C.P.3.3-080-26C.</w:t>
      </w:r>
    </w:p>
    <w:p w14:paraId="7220B111" w14:textId="77777777" w:rsidR="003A4451" w:rsidRPr="00716168" w:rsidRDefault="003A4451" w:rsidP="00716168">
      <w:pPr>
        <w:spacing w:line="240" w:lineRule="auto"/>
        <w:rPr>
          <w:rFonts w:ascii="Cambria" w:hAnsi="Cambria"/>
          <w:sz w:val="24"/>
          <w:szCs w:val="24"/>
        </w:rPr>
      </w:pPr>
    </w:p>
    <w:p w14:paraId="6B35D0E9" w14:textId="77777777" w:rsidR="003A4451" w:rsidRPr="00B02115" w:rsidRDefault="003A4451">
      <w:pPr>
        <w:pBdr>
          <w:top w:val="nil"/>
          <w:left w:val="nil"/>
          <w:bottom w:val="nil"/>
          <w:right w:val="nil"/>
          <w:between w:val="nil"/>
        </w:pBdr>
        <w:spacing w:line="240" w:lineRule="auto"/>
        <w:rPr>
          <w:rFonts w:ascii="Cambria" w:eastAsia="Cambria" w:hAnsi="Cambria" w:cs="Cambria"/>
          <w:sz w:val="24"/>
          <w:szCs w:val="24"/>
        </w:rPr>
      </w:pPr>
    </w:p>
    <w:p w14:paraId="0A9C5E87" w14:textId="77777777" w:rsidR="003A4451" w:rsidRPr="00B02115" w:rsidRDefault="007C798D">
      <w:pPr>
        <w:numPr>
          <w:ilvl w:val="1"/>
          <w:numId w:val="6"/>
        </w:num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b/>
          <w:bCs/>
          <w:color w:val="000000"/>
          <w:sz w:val="24"/>
          <w:szCs w:val="24"/>
        </w:rPr>
        <w:t>PROPOSICIONES RADICADAS</w:t>
      </w:r>
    </w:p>
    <w:p w14:paraId="2BE31977" w14:textId="77777777" w:rsidR="003A4451" w:rsidRPr="00B02115" w:rsidRDefault="003A4451">
      <w:pPr>
        <w:pBdr>
          <w:top w:val="nil"/>
          <w:left w:val="nil"/>
          <w:bottom w:val="nil"/>
          <w:right w:val="nil"/>
          <w:between w:val="nil"/>
        </w:pBdr>
        <w:spacing w:line="240" w:lineRule="auto"/>
        <w:rPr>
          <w:rFonts w:ascii="Cambria" w:eastAsia="Cambria" w:hAnsi="Cambria" w:cs="Cambria"/>
          <w:sz w:val="24"/>
          <w:szCs w:val="24"/>
        </w:rPr>
      </w:pPr>
    </w:p>
    <w:tbl>
      <w:tblPr>
        <w:tblStyle w:val="a0"/>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9"/>
        <w:gridCol w:w="1113"/>
        <w:gridCol w:w="1606"/>
        <w:gridCol w:w="2548"/>
        <w:gridCol w:w="2242"/>
      </w:tblGrid>
      <w:tr w:rsidR="003A4451" w:rsidRPr="00B02115" w14:paraId="561EA36D" w14:textId="77777777">
        <w:tc>
          <w:tcPr>
            <w:tcW w:w="1319" w:type="dxa"/>
          </w:tcPr>
          <w:p w14:paraId="4254BB74" w14:textId="77777777" w:rsidR="003A4451" w:rsidRPr="00B02115" w:rsidRDefault="007C798D">
            <w:pPr>
              <w:rPr>
                <w:rFonts w:ascii="Cambria" w:eastAsia="Cambria" w:hAnsi="Cambria" w:cs="Cambria"/>
                <w:b/>
                <w:bCs/>
                <w:sz w:val="24"/>
                <w:szCs w:val="24"/>
              </w:rPr>
            </w:pPr>
            <w:r w:rsidRPr="00B02115">
              <w:rPr>
                <w:rFonts w:ascii="Cambria" w:eastAsia="Cambria" w:hAnsi="Cambria" w:cs="Cambria"/>
                <w:b/>
                <w:bCs/>
                <w:sz w:val="24"/>
                <w:szCs w:val="24"/>
              </w:rPr>
              <w:t>Autores</w:t>
            </w:r>
          </w:p>
        </w:tc>
        <w:tc>
          <w:tcPr>
            <w:tcW w:w="1113" w:type="dxa"/>
          </w:tcPr>
          <w:p w14:paraId="47A82715" w14:textId="77777777" w:rsidR="003A4451" w:rsidRPr="00B02115" w:rsidRDefault="007C798D">
            <w:pPr>
              <w:rPr>
                <w:rFonts w:ascii="Cambria" w:eastAsia="Cambria" w:hAnsi="Cambria" w:cs="Cambria"/>
                <w:b/>
                <w:bCs/>
                <w:sz w:val="24"/>
                <w:szCs w:val="24"/>
              </w:rPr>
            </w:pPr>
            <w:r w:rsidRPr="00B02115">
              <w:rPr>
                <w:rFonts w:ascii="Cambria" w:eastAsia="Cambria" w:hAnsi="Cambria" w:cs="Cambria"/>
                <w:b/>
                <w:bCs/>
                <w:sz w:val="24"/>
                <w:szCs w:val="24"/>
              </w:rPr>
              <w:t>Artículo</w:t>
            </w:r>
          </w:p>
        </w:tc>
        <w:tc>
          <w:tcPr>
            <w:tcW w:w="1606" w:type="dxa"/>
          </w:tcPr>
          <w:p w14:paraId="18F03795" w14:textId="77777777" w:rsidR="003A4451" w:rsidRPr="00B02115" w:rsidRDefault="007C798D">
            <w:pPr>
              <w:rPr>
                <w:rFonts w:ascii="Cambria" w:eastAsia="Cambria" w:hAnsi="Cambria" w:cs="Cambria"/>
                <w:b/>
                <w:bCs/>
                <w:sz w:val="24"/>
                <w:szCs w:val="24"/>
              </w:rPr>
            </w:pPr>
            <w:r w:rsidRPr="00B02115">
              <w:rPr>
                <w:rFonts w:ascii="Cambria" w:eastAsia="Cambria" w:hAnsi="Cambria" w:cs="Cambria"/>
                <w:b/>
                <w:bCs/>
                <w:sz w:val="24"/>
                <w:szCs w:val="24"/>
              </w:rPr>
              <w:t>Clasificación</w:t>
            </w:r>
          </w:p>
        </w:tc>
        <w:tc>
          <w:tcPr>
            <w:tcW w:w="2548" w:type="dxa"/>
          </w:tcPr>
          <w:p w14:paraId="529118A2" w14:textId="77777777" w:rsidR="003A4451" w:rsidRPr="00B02115" w:rsidRDefault="007C798D">
            <w:pPr>
              <w:rPr>
                <w:rFonts w:ascii="Cambria" w:eastAsia="Cambria" w:hAnsi="Cambria" w:cs="Cambria"/>
                <w:b/>
                <w:bCs/>
                <w:sz w:val="24"/>
                <w:szCs w:val="24"/>
              </w:rPr>
            </w:pPr>
            <w:r w:rsidRPr="00B02115">
              <w:rPr>
                <w:rFonts w:ascii="Cambria" w:eastAsia="Cambria" w:hAnsi="Cambria" w:cs="Cambria"/>
                <w:b/>
                <w:bCs/>
                <w:sz w:val="24"/>
                <w:szCs w:val="24"/>
              </w:rPr>
              <w:t>Proposición</w:t>
            </w:r>
          </w:p>
        </w:tc>
        <w:tc>
          <w:tcPr>
            <w:tcW w:w="2242" w:type="dxa"/>
          </w:tcPr>
          <w:p w14:paraId="236ADFF6" w14:textId="77777777" w:rsidR="003A4451" w:rsidRPr="00B02115" w:rsidRDefault="007C798D">
            <w:pPr>
              <w:rPr>
                <w:rFonts w:ascii="Cambria" w:eastAsia="Cambria" w:hAnsi="Cambria" w:cs="Cambria"/>
                <w:b/>
                <w:bCs/>
                <w:sz w:val="24"/>
                <w:szCs w:val="24"/>
              </w:rPr>
            </w:pPr>
            <w:r w:rsidRPr="00B02115">
              <w:rPr>
                <w:rFonts w:ascii="Cambria" w:eastAsia="Cambria" w:hAnsi="Cambria" w:cs="Cambria"/>
                <w:b/>
                <w:bCs/>
                <w:sz w:val="24"/>
                <w:szCs w:val="24"/>
              </w:rPr>
              <w:t>Aprobada/Negada</w:t>
            </w:r>
          </w:p>
        </w:tc>
      </w:tr>
      <w:tr w:rsidR="003A4451" w:rsidRPr="00B02115" w14:paraId="0A8BF4A2" w14:textId="77777777">
        <w:tc>
          <w:tcPr>
            <w:tcW w:w="1319" w:type="dxa"/>
          </w:tcPr>
          <w:p w14:paraId="70707C3D" w14:textId="77777777" w:rsidR="003A4451" w:rsidRPr="00B02115" w:rsidRDefault="007C798D">
            <w:pPr>
              <w:rPr>
                <w:rFonts w:ascii="Cambria" w:eastAsia="Cambria" w:hAnsi="Cambria" w:cs="Cambria"/>
                <w:sz w:val="20"/>
                <w:szCs w:val="20"/>
              </w:rPr>
            </w:pPr>
            <w:r w:rsidRPr="00B02115">
              <w:rPr>
                <w:rFonts w:ascii="Cambria" w:eastAsia="Cambria" w:hAnsi="Cambria" w:cs="Cambria"/>
                <w:sz w:val="20"/>
                <w:szCs w:val="20"/>
              </w:rPr>
              <w:t>Óscar Darío Pérez Pineda, Christian Munir Garcés Aljure, María Del Mar Pizarro.</w:t>
            </w:r>
          </w:p>
        </w:tc>
        <w:tc>
          <w:tcPr>
            <w:tcW w:w="1113" w:type="dxa"/>
          </w:tcPr>
          <w:p w14:paraId="265B22BA" w14:textId="77777777" w:rsidR="003A4451" w:rsidRPr="00B02115" w:rsidRDefault="007C798D">
            <w:pPr>
              <w:rPr>
                <w:rFonts w:ascii="Cambria" w:eastAsia="Cambria" w:hAnsi="Cambria" w:cs="Cambria"/>
                <w:sz w:val="20"/>
                <w:szCs w:val="20"/>
              </w:rPr>
            </w:pPr>
            <w:r w:rsidRPr="00B02115">
              <w:rPr>
                <w:rFonts w:ascii="Cambria" w:eastAsia="Cambria" w:hAnsi="Cambria" w:cs="Cambria"/>
                <w:sz w:val="20"/>
                <w:szCs w:val="20"/>
              </w:rPr>
              <w:t>2.</w:t>
            </w:r>
          </w:p>
        </w:tc>
        <w:tc>
          <w:tcPr>
            <w:tcW w:w="1606" w:type="dxa"/>
          </w:tcPr>
          <w:p w14:paraId="11500913" w14:textId="77777777" w:rsidR="003A4451" w:rsidRPr="00B02115" w:rsidRDefault="007C798D">
            <w:pPr>
              <w:rPr>
                <w:rFonts w:ascii="Cambria" w:eastAsia="Cambria" w:hAnsi="Cambria" w:cs="Cambria"/>
                <w:sz w:val="20"/>
                <w:szCs w:val="20"/>
              </w:rPr>
            </w:pPr>
            <w:r w:rsidRPr="00B02115">
              <w:rPr>
                <w:rFonts w:ascii="Cambria" w:eastAsia="Cambria" w:hAnsi="Cambria" w:cs="Cambria"/>
                <w:sz w:val="20"/>
                <w:szCs w:val="20"/>
              </w:rPr>
              <w:t>Modificatoria</w:t>
            </w:r>
          </w:p>
        </w:tc>
        <w:tc>
          <w:tcPr>
            <w:tcW w:w="2548" w:type="dxa"/>
          </w:tcPr>
          <w:p w14:paraId="4678C6AA" w14:textId="77777777" w:rsidR="003A4451" w:rsidRPr="00B02115" w:rsidRDefault="007C798D">
            <w:pPr>
              <w:rPr>
                <w:rFonts w:ascii="Cambria" w:eastAsia="Cambria" w:hAnsi="Cambria" w:cs="Cambria"/>
                <w:sz w:val="20"/>
                <w:szCs w:val="20"/>
              </w:rPr>
            </w:pPr>
            <w:r w:rsidRPr="00B02115">
              <w:rPr>
                <w:rFonts w:ascii="Cambria" w:eastAsia="Cambria" w:hAnsi="Cambria" w:cs="Cambria"/>
                <w:sz w:val="20"/>
                <w:szCs w:val="20"/>
              </w:rPr>
              <w:t xml:space="preserve">j) La importación de bienes objeto de tráfico postal, envíos urgentes o envíos de entrega rápida cuyo valor no exceda de </w:t>
            </w:r>
            <w:r w:rsidRPr="00B02115">
              <w:rPr>
                <w:rFonts w:ascii="Cambria" w:eastAsia="Cambria" w:hAnsi="Cambria" w:cs="Cambria"/>
                <w:strike/>
                <w:sz w:val="20"/>
                <w:szCs w:val="20"/>
              </w:rPr>
              <w:t>cinco</w:t>
            </w:r>
            <w:r w:rsidRPr="00B02115">
              <w:rPr>
                <w:rFonts w:ascii="Cambria" w:eastAsia="Cambria" w:hAnsi="Cambria" w:cs="Cambria"/>
                <w:sz w:val="20"/>
                <w:szCs w:val="20"/>
              </w:rPr>
              <w:t xml:space="preserve"> cero dólares (USD $</w:t>
            </w:r>
            <w:r w:rsidRPr="00B02115">
              <w:rPr>
                <w:rFonts w:ascii="Cambria" w:eastAsia="Cambria" w:hAnsi="Cambria" w:cs="Cambria"/>
                <w:strike/>
                <w:sz w:val="20"/>
                <w:szCs w:val="20"/>
              </w:rPr>
              <w:t>5</w:t>
            </w:r>
            <w:r w:rsidRPr="00B02115">
              <w:rPr>
                <w:rFonts w:ascii="Cambria" w:eastAsia="Cambria" w:hAnsi="Cambria" w:cs="Cambria"/>
                <w:sz w:val="20"/>
                <w:szCs w:val="20"/>
              </w:rPr>
              <w:t xml:space="preserve">0), de acuerdo con lo establecido en cada acuerdo o tratado de Libre Comercio, en virtud del cual se obligue expresamente al no cobro de este impuesto. </w:t>
            </w:r>
          </w:p>
          <w:p w14:paraId="226A3A68" w14:textId="77777777" w:rsidR="003A4451" w:rsidRPr="00B02115" w:rsidRDefault="003A4451">
            <w:pPr>
              <w:rPr>
                <w:rFonts w:ascii="Cambria" w:eastAsia="Cambria" w:hAnsi="Cambria" w:cs="Cambria"/>
                <w:sz w:val="20"/>
                <w:szCs w:val="20"/>
              </w:rPr>
            </w:pPr>
          </w:p>
          <w:p w14:paraId="604F68AB" w14:textId="77777777" w:rsidR="003A4451" w:rsidRPr="00B02115" w:rsidRDefault="007C798D">
            <w:pPr>
              <w:rPr>
                <w:rFonts w:ascii="Cambria" w:eastAsia="Cambria" w:hAnsi="Cambria" w:cs="Cambria"/>
                <w:sz w:val="20"/>
                <w:szCs w:val="20"/>
              </w:rPr>
            </w:pPr>
            <w:r w:rsidRPr="00B02115">
              <w:rPr>
                <w:rFonts w:ascii="Cambria" w:eastAsia="Cambria" w:hAnsi="Cambria" w:cs="Cambria"/>
                <w:sz w:val="20"/>
                <w:szCs w:val="20"/>
              </w:rPr>
              <w:t xml:space="preserve">La Dirección de Impuestos y Aduanas Nacionales (DIAN) establecerá los </w:t>
            </w:r>
            <w:r w:rsidRPr="00B02115">
              <w:rPr>
                <w:rFonts w:ascii="Cambria" w:eastAsia="Cambria" w:hAnsi="Cambria" w:cs="Cambria"/>
                <w:sz w:val="20"/>
                <w:szCs w:val="20"/>
              </w:rPr>
              <w:lastRenderedPageBreak/>
              <w:t xml:space="preserve">controles de fiscalización e investigación correspondientes para asegurar el pago efectivo del impuesto cuando haya lugar al mismo en un plazo de 6 meses. </w:t>
            </w:r>
          </w:p>
          <w:p w14:paraId="616F4D7F" w14:textId="77777777" w:rsidR="003A4451" w:rsidRPr="00B02115" w:rsidRDefault="003A4451">
            <w:pPr>
              <w:rPr>
                <w:rFonts w:ascii="Cambria" w:eastAsia="Cambria" w:hAnsi="Cambria" w:cs="Cambria"/>
                <w:sz w:val="20"/>
                <w:szCs w:val="20"/>
              </w:rPr>
            </w:pPr>
          </w:p>
          <w:p w14:paraId="05FCF820" w14:textId="77777777" w:rsidR="003A4451" w:rsidRPr="00B02115" w:rsidRDefault="007C798D">
            <w:pPr>
              <w:rPr>
                <w:rFonts w:ascii="Cambria" w:eastAsia="Cambria" w:hAnsi="Cambria" w:cs="Cambria"/>
                <w:sz w:val="20"/>
                <w:szCs w:val="20"/>
              </w:rPr>
            </w:pPr>
            <w:r w:rsidRPr="00B02115">
              <w:rPr>
                <w:rFonts w:ascii="Cambria" w:eastAsia="Cambria" w:hAnsi="Cambria" w:cs="Cambria"/>
                <w:sz w:val="20"/>
                <w:szCs w:val="20"/>
              </w:rPr>
              <w:t>Por lo anterior, en todos los casos de envíos postales urgentes que ingresen al país solicitados mediante plataformas de comercio, las empresas de mensajería y los intermediarios de transporte internacional estarán obligados a identificar el medio de compra, el país de origen, el valor de la mercancía y el destinatario final, y a reportar dicha información a la DIAN en los términos que esta determine”</w:t>
            </w:r>
          </w:p>
        </w:tc>
        <w:tc>
          <w:tcPr>
            <w:tcW w:w="2242" w:type="dxa"/>
          </w:tcPr>
          <w:p w14:paraId="54C7A82F" w14:textId="77777777" w:rsidR="003A4451" w:rsidRPr="00B02115" w:rsidRDefault="007C798D">
            <w:pPr>
              <w:rPr>
                <w:rFonts w:ascii="Cambria" w:eastAsia="Cambria" w:hAnsi="Cambria" w:cs="Cambria"/>
                <w:sz w:val="20"/>
                <w:szCs w:val="20"/>
              </w:rPr>
            </w:pPr>
            <w:r w:rsidRPr="00B02115">
              <w:rPr>
                <w:rFonts w:ascii="Cambria" w:eastAsia="Cambria" w:hAnsi="Cambria" w:cs="Cambria"/>
                <w:sz w:val="20"/>
                <w:szCs w:val="20"/>
              </w:rPr>
              <w:lastRenderedPageBreak/>
              <w:t>Aprobada</w:t>
            </w:r>
          </w:p>
        </w:tc>
      </w:tr>
    </w:tbl>
    <w:p w14:paraId="3634B15C" w14:textId="77777777" w:rsidR="003A4451" w:rsidRPr="00B02115" w:rsidRDefault="003A4451">
      <w:pPr>
        <w:pBdr>
          <w:top w:val="nil"/>
          <w:left w:val="nil"/>
          <w:bottom w:val="nil"/>
          <w:right w:val="nil"/>
          <w:between w:val="nil"/>
        </w:pBdr>
        <w:spacing w:line="240" w:lineRule="auto"/>
        <w:rPr>
          <w:rFonts w:ascii="Cambria" w:eastAsia="Cambria" w:hAnsi="Cambria" w:cs="Cambria"/>
          <w:sz w:val="24"/>
          <w:szCs w:val="24"/>
        </w:rPr>
      </w:pPr>
    </w:p>
    <w:p w14:paraId="1E84ED57" w14:textId="77777777" w:rsidR="003A4451" w:rsidRPr="00B02115" w:rsidRDefault="003A4451">
      <w:pPr>
        <w:pBdr>
          <w:top w:val="nil"/>
          <w:left w:val="nil"/>
          <w:bottom w:val="nil"/>
          <w:right w:val="nil"/>
          <w:between w:val="nil"/>
        </w:pBdr>
        <w:spacing w:line="240" w:lineRule="auto"/>
        <w:rPr>
          <w:rFonts w:ascii="Cambria" w:eastAsia="Cambria" w:hAnsi="Cambria" w:cs="Cambria"/>
          <w:sz w:val="24"/>
          <w:szCs w:val="24"/>
        </w:rPr>
      </w:pPr>
    </w:p>
    <w:p w14:paraId="6C91F10E" w14:textId="77777777" w:rsidR="003A4451" w:rsidRPr="00B02115" w:rsidRDefault="007C798D">
      <w:pPr>
        <w:numPr>
          <w:ilvl w:val="0"/>
          <w:numId w:val="7"/>
        </w:numPr>
        <w:pBdr>
          <w:top w:val="nil"/>
          <w:left w:val="nil"/>
          <w:bottom w:val="nil"/>
          <w:right w:val="nil"/>
          <w:between w:val="nil"/>
        </w:pBdr>
        <w:spacing w:line="240" w:lineRule="auto"/>
        <w:jc w:val="center"/>
        <w:rPr>
          <w:color w:val="000000"/>
          <w:sz w:val="24"/>
          <w:szCs w:val="24"/>
        </w:rPr>
      </w:pPr>
      <w:r w:rsidRPr="00B02115">
        <w:rPr>
          <w:rFonts w:ascii="Cambria" w:eastAsia="Cambria" w:hAnsi="Cambria" w:cs="Cambria"/>
          <w:b/>
          <w:bCs/>
          <w:color w:val="000000"/>
          <w:sz w:val="24"/>
          <w:szCs w:val="24"/>
        </w:rPr>
        <w:t>OBJETO, CONTENIDO Y JUSTIFICACIÓN DEL PROYECTO DE LEY</w:t>
      </w:r>
    </w:p>
    <w:p w14:paraId="35D986BF" w14:textId="77777777" w:rsidR="003A4451" w:rsidRPr="00B02115" w:rsidRDefault="003A4451">
      <w:pPr>
        <w:spacing w:line="240" w:lineRule="auto"/>
        <w:rPr>
          <w:rFonts w:ascii="Cambria" w:eastAsia="Cambria" w:hAnsi="Cambria" w:cs="Cambria"/>
          <w:sz w:val="24"/>
          <w:szCs w:val="24"/>
        </w:rPr>
      </w:pPr>
    </w:p>
    <w:p w14:paraId="75130CFF" w14:textId="77777777" w:rsidR="003A4451" w:rsidRPr="00B02115" w:rsidRDefault="007C798D">
      <w:p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 xml:space="preserve">El </w:t>
      </w:r>
      <w:r w:rsidRPr="00B02115">
        <w:rPr>
          <w:rFonts w:ascii="Cambria" w:eastAsia="Cambria" w:hAnsi="Cambria" w:cs="Cambria"/>
          <w:b/>
          <w:bCs/>
          <w:color w:val="000000"/>
          <w:sz w:val="24"/>
          <w:szCs w:val="24"/>
        </w:rPr>
        <w:t>OBJETO</w:t>
      </w:r>
      <w:r w:rsidRPr="00B02115">
        <w:rPr>
          <w:rFonts w:ascii="Cambria" w:eastAsia="Cambria" w:hAnsi="Cambria" w:cs="Cambria"/>
          <w:color w:val="000000"/>
          <w:sz w:val="24"/>
          <w:szCs w:val="24"/>
        </w:rPr>
        <w:t xml:space="preserve"> central de este proyecto de ley es la adopción de una medida de política económica y fiscal de carácter urgente y específico, orientada a la protección de la industria nacional colombiana.</w:t>
      </w:r>
    </w:p>
    <w:p w14:paraId="76E69B01" w14:textId="77777777" w:rsidR="003A4451" w:rsidRPr="00B02115" w:rsidRDefault="003A4451">
      <w:pPr>
        <w:pBdr>
          <w:top w:val="nil"/>
          <w:left w:val="nil"/>
          <w:bottom w:val="nil"/>
          <w:right w:val="nil"/>
          <w:between w:val="nil"/>
        </w:pBdr>
        <w:spacing w:line="240" w:lineRule="auto"/>
        <w:rPr>
          <w:rFonts w:ascii="Cambria" w:eastAsia="Cambria" w:hAnsi="Cambria" w:cs="Cambria"/>
          <w:color w:val="000000"/>
          <w:sz w:val="24"/>
          <w:szCs w:val="24"/>
        </w:rPr>
      </w:pPr>
    </w:p>
    <w:p w14:paraId="07D565AF" w14:textId="77777777" w:rsidR="003A4451" w:rsidRPr="00B02115" w:rsidRDefault="007C798D">
      <w:p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El proyecto busca corregir la severa distorsión competitiva generada por el régimen de importaciones "de minimis", el cual es sistemáticamente explotado por plataformas digitales de comercio electrónico transfronterizo para comercializar sus productos en el territorio nacional con una ventaja tributaria artificial del 19% de IVA.</w:t>
      </w:r>
    </w:p>
    <w:p w14:paraId="20AAA8D8" w14:textId="77777777" w:rsidR="003A4451" w:rsidRPr="00B02115" w:rsidRDefault="003A4451">
      <w:pPr>
        <w:pBdr>
          <w:top w:val="nil"/>
          <w:left w:val="nil"/>
          <w:bottom w:val="nil"/>
          <w:right w:val="nil"/>
          <w:between w:val="nil"/>
        </w:pBdr>
        <w:spacing w:line="240" w:lineRule="auto"/>
        <w:rPr>
          <w:rFonts w:ascii="Cambria" w:eastAsia="Cambria" w:hAnsi="Cambria" w:cs="Cambria"/>
          <w:color w:val="000000"/>
          <w:sz w:val="24"/>
          <w:szCs w:val="24"/>
          <w:u w:val="single"/>
        </w:rPr>
      </w:pPr>
    </w:p>
    <w:p w14:paraId="4E1C17C5"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La finalidad última es restaurar el principio de equidad tributaria, salvaguardar cerca del 99% de las empresas colombianas que generan bienes y productos nacionales, protegiendo los empleos que dependen de este sector productivo, y modernizar la respuesta del Estado frente a los modelos de negocio disruptivos de la economía digital que hoy amenazan la industria nacional.</w:t>
      </w:r>
    </w:p>
    <w:p w14:paraId="26C8CE57" w14:textId="77777777" w:rsidR="003A4451" w:rsidRPr="00B02115" w:rsidRDefault="003A4451">
      <w:pPr>
        <w:spacing w:line="240" w:lineRule="auto"/>
        <w:rPr>
          <w:rFonts w:ascii="Cambria" w:eastAsia="Cambria" w:hAnsi="Cambria" w:cs="Cambria"/>
          <w:sz w:val="24"/>
          <w:szCs w:val="24"/>
        </w:rPr>
      </w:pPr>
    </w:p>
    <w:p w14:paraId="00A0970E" w14:textId="77777777" w:rsidR="003A4451" w:rsidRPr="00B02115" w:rsidRDefault="007C798D">
      <w:p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lastRenderedPageBreak/>
        <w:t xml:space="preserve">Este proyecto de ley se encuentra integrado por el siguiente </w:t>
      </w:r>
      <w:r w:rsidRPr="00B02115">
        <w:rPr>
          <w:rFonts w:ascii="Cambria" w:eastAsia="Cambria" w:hAnsi="Cambria" w:cs="Cambria"/>
          <w:b/>
          <w:bCs/>
          <w:color w:val="000000"/>
          <w:sz w:val="24"/>
          <w:szCs w:val="24"/>
        </w:rPr>
        <w:t>CONTENIDO</w:t>
      </w:r>
      <w:r w:rsidRPr="00B02115">
        <w:rPr>
          <w:rFonts w:ascii="Cambria" w:eastAsia="Cambria" w:hAnsi="Cambria" w:cs="Cambria"/>
          <w:color w:val="000000"/>
          <w:sz w:val="24"/>
          <w:szCs w:val="24"/>
        </w:rPr>
        <w:t>:</w:t>
      </w:r>
    </w:p>
    <w:p w14:paraId="2BCFB773" w14:textId="77777777" w:rsidR="003A4451" w:rsidRPr="00B02115" w:rsidRDefault="003A4451">
      <w:pPr>
        <w:pBdr>
          <w:top w:val="nil"/>
          <w:left w:val="nil"/>
          <w:bottom w:val="nil"/>
          <w:right w:val="nil"/>
          <w:between w:val="nil"/>
        </w:pBdr>
        <w:spacing w:line="240" w:lineRule="auto"/>
        <w:rPr>
          <w:rFonts w:ascii="Cambria" w:eastAsia="Cambria" w:hAnsi="Cambria" w:cs="Cambria"/>
          <w:color w:val="000000"/>
          <w:sz w:val="24"/>
          <w:szCs w:val="24"/>
        </w:rPr>
      </w:pPr>
    </w:p>
    <w:tbl>
      <w:tblPr>
        <w:tblStyle w:val="a1"/>
        <w:tblW w:w="78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8"/>
        <w:gridCol w:w="6456"/>
      </w:tblGrid>
      <w:tr w:rsidR="003A4451" w:rsidRPr="00B02115" w14:paraId="04BFA897" w14:textId="77777777">
        <w:trPr>
          <w:jc w:val="center"/>
        </w:trPr>
        <w:tc>
          <w:tcPr>
            <w:tcW w:w="1368" w:type="dxa"/>
            <w:vAlign w:val="center"/>
          </w:tcPr>
          <w:p w14:paraId="5ABD7591" w14:textId="77777777" w:rsidR="003A4451" w:rsidRPr="00B02115" w:rsidRDefault="007C798D">
            <w:pPr>
              <w:tabs>
                <w:tab w:val="center" w:pos="4419"/>
              </w:tabs>
              <w:jc w:val="center"/>
              <w:rPr>
                <w:rFonts w:ascii="Cambria" w:eastAsia="Cambria" w:hAnsi="Cambria" w:cs="Cambria"/>
                <w:b/>
                <w:bCs/>
                <w:sz w:val="24"/>
                <w:szCs w:val="24"/>
              </w:rPr>
            </w:pPr>
            <w:r w:rsidRPr="00B02115">
              <w:rPr>
                <w:rFonts w:ascii="Cambria" w:eastAsia="Cambria" w:hAnsi="Cambria" w:cs="Cambria"/>
                <w:b/>
                <w:bCs/>
                <w:sz w:val="24"/>
                <w:szCs w:val="24"/>
              </w:rPr>
              <w:t>ARTÍCULO</w:t>
            </w:r>
          </w:p>
        </w:tc>
        <w:tc>
          <w:tcPr>
            <w:tcW w:w="6456" w:type="dxa"/>
            <w:vAlign w:val="center"/>
          </w:tcPr>
          <w:p w14:paraId="31542942" w14:textId="77777777" w:rsidR="003A4451" w:rsidRPr="00B02115" w:rsidRDefault="007C798D">
            <w:pPr>
              <w:tabs>
                <w:tab w:val="center" w:pos="4419"/>
              </w:tabs>
              <w:jc w:val="center"/>
              <w:rPr>
                <w:rFonts w:ascii="Cambria" w:eastAsia="Cambria" w:hAnsi="Cambria" w:cs="Cambria"/>
                <w:b/>
                <w:bCs/>
                <w:sz w:val="24"/>
                <w:szCs w:val="24"/>
              </w:rPr>
            </w:pPr>
            <w:r w:rsidRPr="00B02115">
              <w:rPr>
                <w:rFonts w:ascii="Cambria" w:eastAsia="Cambria" w:hAnsi="Cambria" w:cs="Cambria"/>
                <w:b/>
                <w:bCs/>
                <w:sz w:val="24"/>
                <w:szCs w:val="24"/>
              </w:rPr>
              <w:t>CONTENIDO</w:t>
            </w:r>
          </w:p>
        </w:tc>
      </w:tr>
      <w:tr w:rsidR="003A4451" w:rsidRPr="00B02115" w14:paraId="2155D14C" w14:textId="77777777">
        <w:trPr>
          <w:jc w:val="center"/>
        </w:trPr>
        <w:tc>
          <w:tcPr>
            <w:tcW w:w="1368" w:type="dxa"/>
            <w:vAlign w:val="center"/>
          </w:tcPr>
          <w:p w14:paraId="47B353A4" w14:textId="77777777" w:rsidR="003A4451" w:rsidRPr="00B02115" w:rsidRDefault="007C798D">
            <w:pPr>
              <w:tabs>
                <w:tab w:val="center" w:pos="4419"/>
              </w:tabs>
              <w:rPr>
                <w:rFonts w:ascii="Cambria" w:eastAsia="Cambria" w:hAnsi="Cambria" w:cs="Cambria"/>
                <w:b/>
                <w:bCs/>
                <w:sz w:val="24"/>
                <w:szCs w:val="24"/>
              </w:rPr>
            </w:pPr>
            <w:r w:rsidRPr="00B02115">
              <w:rPr>
                <w:rFonts w:ascii="Cambria" w:eastAsia="Cambria" w:hAnsi="Cambria" w:cs="Cambria"/>
                <w:b/>
                <w:bCs/>
                <w:sz w:val="24"/>
                <w:szCs w:val="24"/>
              </w:rPr>
              <w:t>1</w:t>
            </w:r>
          </w:p>
        </w:tc>
        <w:tc>
          <w:tcPr>
            <w:tcW w:w="6456" w:type="dxa"/>
            <w:vAlign w:val="center"/>
          </w:tcPr>
          <w:p w14:paraId="459C898D" w14:textId="77777777" w:rsidR="003A4451" w:rsidRPr="00B02115" w:rsidRDefault="007C798D">
            <w:pPr>
              <w:tabs>
                <w:tab w:val="center" w:pos="4419"/>
              </w:tabs>
              <w:rPr>
                <w:rFonts w:ascii="Cambria" w:eastAsia="Cambria" w:hAnsi="Cambria" w:cs="Cambria"/>
                <w:sz w:val="24"/>
                <w:szCs w:val="24"/>
              </w:rPr>
            </w:pPr>
            <w:r w:rsidRPr="00B02115">
              <w:rPr>
                <w:rFonts w:ascii="Cambria" w:eastAsia="Cambria" w:hAnsi="Cambria" w:cs="Cambria"/>
                <w:sz w:val="24"/>
                <w:szCs w:val="24"/>
              </w:rPr>
              <w:t>Objeto</w:t>
            </w:r>
          </w:p>
        </w:tc>
      </w:tr>
      <w:tr w:rsidR="003A4451" w:rsidRPr="00B02115" w14:paraId="7EA68A9F" w14:textId="77777777">
        <w:trPr>
          <w:jc w:val="center"/>
        </w:trPr>
        <w:tc>
          <w:tcPr>
            <w:tcW w:w="1368" w:type="dxa"/>
            <w:vAlign w:val="center"/>
          </w:tcPr>
          <w:p w14:paraId="744B19BD" w14:textId="77777777" w:rsidR="003A4451" w:rsidRPr="00B02115" w:rsidRDefault="007C798D">
            <w:pPr>
              <w:tabs>
                <w:tab w:val="center" w:pos="4419"/>
              </w:tabs>
              <w:rPr>
                <w:rFonts w:ascii="Cambria" w:eastAsia="Cambria" w:hAnsi="Cambria" w:cs="Cambria"/>
                <w:b/>
                <w:bCs/>
                <w:sz w:val="24"/>
                <w:szCs w:val="24"/>
              </w:rPr>
            </w:pPr>
            <w:r w:rsidRPr="00B02115">
              <w:rPr>
                <w:rFonts w:ascii="Cambria" w:eastAsia="Cambria" w:hAnsi="Cambria" w:cs="Cambria"/>
                <w:b/>
                <w:bCs/>
                <w:sz w:val="24"/>
                <w:szCs w:val="24"/>
              </w:rPr>
              <w:t>2</w:t>
            </w:r>
          </w:p>
        </w:tc>
        <w:tc>
          <w:tcPr>
            <w:tcW w:w="6456" w:type="dxa"/>
            <w:vAlign w:val="center"/>
          </w:tcPr>
          <w:p w14:paraId="00274C4B" w14:textId="77777777" w:rsidR="003A4451" w:rsidRPr="00B02115" w:rsidRDefault="007C798D">
            <w:pPr>
              <w:tabs>
                <w:tab w:val="center" w:pos="4419"/>
              </w:tabs>
              <w:rPr>
                <w:rFonts w:ascii="Cambria" w:eastAsia="Cambria" w:hAnsi="Cambria" w:cs="Cambria"/>
                <w:sz w:val="24"/>
                <w:szCs w:val="24"/>
              </w:rPr>
            </w:pPr>
            <w:r w:rsidRPr="00B02115">
              <w:rPr>
                <w:rFonts w:ascii="Cambria" w:eastAsia="Cambria" w:hAnsi="Cambria" w:cs="Cambria"/>
                <w:color w:val="1B1C1D"/>
                <w:sz w:val="24"/>
                <w:szCs w:val="24"/>
              </w:rPr>
              <w:t>Modificación del Estatuto Tributario y eliminación del literal</w:t>
            </w:r>
          </w:p>
        </w:tc>
      </w:tr>
      <w:tr w:rsidR="003A4451" w:rsidRPr="00B02115" w14:paraId="3BA8A4B5" w14:textId="77777777">
        <w:trPr>
          <w:jc w:val="center"/>
        </w:trPr>
        <w:tc>
          <w:tcPr>
            <w:tcW w:w="1368" w:type="dxa"/>
            <w:vAlign w:val="center"/>
          </w:tcPr>
          <w:p w14:paraId="5620EA80" w14:textId="77777777" w:rsidR="003A4451" w:rsidRPr="00B02115" w:rsidRDefault="007C798D">
            <w:pPr>
              <w:tabs>
                <w:tab w:val="center" w:pos="4419"/>
              </w:tabs>
              <w:rPr>
                <w:rFonts w:ascii="Cambria" w:eastAsia="Cambria" w:hAnsi="Cambria" w:cs="Cambria"/>
                <w:b/>
                <w:bCs/>
                <w:sz w:val="24"/>
                <w:szCs w:val="24"/>
              </w:rPr>
            </w:pPr>
            <w:r w:rsidRPr="00B02115">
              <w:rPr>
                <w:rFonts w:ascii="Cambria" w:eastAsia="Cambria" w:hAnsi="Cambria" w:cs="Cambria"/>
                <w:b/>
                <w:bCs/>
                <w:sz w:val="24"/>
                <w:szCs w:val="24"/>
              </w:rPr>
              <w:t>3</w:t>
            </w:r>
          </w:p>
        </w:tc>
        <w:tc>
          <w:tcPr>
            <w:tcW w:w="6456" w:type="dxa"/>
            <w:vAlign w:val="center"/>
          </w:tcPr>
          <w:p w14:paraId="47D11893" w14:textId="77777777" w:rsidR="003A4451" w:rsidRPr="00B02115" w:rsidRDefault="007C798D">
            <w:pPr>
              <w:tabs>
                <w:tab w:val="center" w:pos="4419"/>
              </w:tabs>
              <w:rPr>
                <w:rFonts w:ascii="Cambria" w:eastAsia="Cambria" w:hAnsi="Cambria" w:cs="Cambria"/>
                <w:sz w:val="24"/>
                <w:szCs w:val="24"/>
              </w:rPr>
            </w:pPr>
            <w:r w:rsidRPr="00B02115">
              <w:rPr>
                <w:rFonts w:ascii="Cambria" w:eastAsia="Cambria" w:hAnsi="Cambria" w:cs="Cambria"/>
                <w:color w:val="1B1C1D"/>
                <w:sz w:val="24"/>
                <w:szCs w:val="24"/>
              </w:rPr>
              <w:t>Base Gravable</w:t>
            </w:r>
          </w:p>
        </w:tc>
      </w:tr>
      <w:tr w:rsidR="003A4451" w:rsidRPr="00B02115" w14:paraId="66E698D5" w14:textId="77777777">
        <w:trPr>
          <w:jc w:val="center"/>
        </w:trPr>
        <w:tc>
          <w:tcPr>
            <w:tcW w:w="1368" w:type="dxa"/>
            <w:vAlign w:val="center"/>
          </w:tcPr>
          <w:p w14:paraId="4FC37D68" w14:textId="77777777" w:rsidR="003A4451" w:rsidRPr="00B02115" w:rsidRDefault="007C798D">
            <w:pPr>
              <w:tabs>
                <w:tab w:val="center" w:pos="4419"/>
              </w:tabs>
              <w:rPr>
                <w:rFonts w:ascii="Cambria" w:eastAsia="Cambria" w:hAnsi="Cambria" w:cs="Cambria"/>
                <w:b/>
                <w:bCs/>
                <w:sz w:val="24"/>
                <w:szCs w:val="24"/>
              </w:rPr>
            </w:pPr>
            <w:r w:rsidRPr="00B02115">
              <w:rPr>
                <w:rFonts w:ascii="Cambria" w:eastAsia="Cambria" w:hAnsi="Cambria" w:cs="Cambria"/>
                <w:b/>
                <w:bCs/>
                <w:sz w:val="24"/>
                <w:szCs w:val="24"/>
              </w:rPr>
              <w:t>4</w:t>
            </w:r>
          </w:p>
        </w:tc>
        <w:tc>
          <w:tcPr>
            <w:tcW w:w="6456" w:type="dxa"/>
            <w:vAlign w:val="center"/>
          </w:tcPr>
          <w:p w14:paraId="19AEEDD4" w14:textId="77777777" w:rsidR="003A4451" w:rsidRPr="00B02115" w:rsidRDefault="007C798D">
            <w:pPr>
              <w:tabs>
                <w:tab w:val="center" w:pos="4419"/>
              </w:tabs>
              <w:rPr>
                <w:rFonts w:ascii="Cambria" w:eastAsia="Cambria" w:hAnsi="Cambria" w:cs="Cambria"/>
                <w:sz w:val="24"/>
                <w:szCs w:val="24"/>
              </w:rPr>
            </w:pPr>
            <w:r w:rsidRPr="00B02115">
              <w:rPr>
                <w:rFonts w:ascii="Cambria" w:eastAsia="Cambria" w:hAnsi="Cambria" w:cs="Cambria"/>
                <w:sz w:val="24"/>
                <w:szCs w:val="24"/>
              </w:rPr>
              <w:t>Implementación y fiscalización</w:t>
            </w:r>
          </w:p>
        </w:tc>
      </w:tr>
      <w:tr w:rsidR="003A4451" w:rsidRPr="00B02115" w14:paraId="106936EF" w14:textId="77777777">
        <w:trPr>
          <w:jc w:val="center"/>
        </w:trPr>
        <w:tc>
          <w:tcPr>
            <w:tcW w:w="1368" w:type="dxa"/>
            <w:vAlign w:val="center"/>
          </w:tcPr>
          <w:p w14:paraId="378213C6" w14:textId="77777777" w:rsidR="003A4451" w:rsidRPr="00B02115" w:rsidRDefault="007C798D">
            <w:pPr>
              <w:tabs>
                <w:tab w:val="center" w:pos="4419"/>
              </w:tabs>
              <w:rPr>
                <w:rFonts w:ascii="Cambria" w:eastAsia="Cambria" w:hAnsi="Cambria" w:cs="Cambria"/>
                <w:b/>
                <w:bCs/>
                <w:sz w:val="24"/>
                <w:szCs w:val="24"/>
              </w:rPr>
            </w:pPr>
            <w:r w:rsidRPr="00B02115">
              <w:rPr>
                <w:rFonts w:ascii="Cambria" w:eastAsia="Cambria" w:hAnsi="Cambria" w:cs="Cambria"/>
                <w:b/>
                <w:bCs/>
                <w:sz w:val="24"/>
                <w:szCs w:val="24"/>
              </w:rPr>
              <w:t>5</w:t>
            </w:r>
          </w:p>
        </w:tc>
        <w:tc>
          <w:tcPr>
            <w:tcW w:w="6456" w:type="dxa"/>
            <w:vAlign w:val="center"/>
          </w:tcPr>
          <w:p w14:paraId="143D5817" w14:textId="77777777" w:rsidR="003A4451" w:rsidRPr="00B02115" w:rsidRDefault="007C798D">
            <w:pPr>
              <w:tabs>
                <w:tab w:val="center" w:pos="4419"/>
              </w:tabs>
              <w:rPr>
                <w:rFonts w:ascii="Cambria" w:eastAsia="Cambria" w:hAnsi="Cambria" w:cs="Cambria"/>
                <w:sz w:val="24"/>
                <w:szCs w:val="24"/>
              </w:rPr>
            </w:pPr>
            <w:r w:rsidRPr="00B02115">
              <w:rPr>
                <w:rFonts w:ascii="Cambria" w:eastAsia="Cambria" w:hAnsi="Cambria" w:cs="Cambria"/>
                <w:sz w:val="24"/>
                <w:szCs w:val="24"/>
              </w:rPr>
              <w:t>Vigencia</w:t>
            </w:r>
          </w:p>
        </w:tc>
      </w:tr>
    </w:tbl>
    <w:p w14:paraId="2F6D3ABA" w14:textId="77777777" w:rsidR="003A4451" w:rsidRPr="00B02115" w:rsidRDefault="003A4451">
      <w:pPr>
        <w:spacing w:line="240" w:lineRule="auto"/>
        <w:rPr>
          <w:rFonts w:ascii="Cambria" w:eastAsia="Cambria" w:hAnsi="Cambria" w:cs="Cambria"/>
          <w:sz w:val="24"/>
          <w:szCs w:val="24"/>
        </w:rPr>
      </w:pPr>
    </w:p>
    <w:p w14:paraId="0C72CB7D"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La </w:t>
      </w:r>
      <w:r w:rsidRPr="00B02115">
        <w:rPr>
          <w:rFonts w:ascii="Cambria" w:eastAsia="Cambria" w:hAnsi="Cambria" w:cs="Cambria"/>
          <w:b/>
          <w:bCs/>
          <w:sz w:val="24"/>
          <w:szCs w:val="24"/>
        </w:rPr>
        <w:t>JUSTIFICACIÓN</w:t>
      </w:r>
      <w:r w:rsidRPr="00B02115">
        <w:rPr>
          <w:rFonts w:ascii="Cambria" w:eastAsia="Cambria" w:hAnsi="Cambria" w:cs="Cambria"/>
          <w:sz w:val="24"/>
          <w:szCs w:val="24"/>
        </w:rPr>
        <w:t xml:space="preserve"> de este proyecto de ley tiene su fundamento en </w:t>
      </w:r>
    </w:p>
    <w:p w14:paraId="2AF52CB0" w14:textId="77777777" w:rsidR="003A4451" w:rsidRPr="00B02115" w:rsidRDefault="003A4451">
      <w:pPr>
        <w:spacing w:line="240" w:lineRule="auto"/>
        <w:rPr>
          <w:rFonts w:ascii="Cambria" w:eastAsia="Cambria" w:hAnsi="Cambria" w:cs="Cambria"/>
          <w:sz w:val="24"/>
          <w:szCs w:val="24"/>
        </w:rPr>
      </w:pPr>
    </w:p>
    <w:p w14:paraId="1AC03135" w14:textId="77777777" w:rsidR="003A4451" w:rsidRPr="00B02115" w:rsidRDefault="007C798D">
      <w:pPr>
        <w:pStyle w:val="Ttulo3"/>
        <w:numPr>
          <w:ilvl w:val="1"/>
          <w:numId w:val="3"/>
        </w:numPr>
      </w:pPr>
      <w:bookmarkStart w:id="0" w:name="_heading=h.yoe189soyfoe" w:colFirst="0" w:colLast="0"/>
      <w:bookmarkEnd w:id="0"/>
      <w:r w:rsidRPr="00B02115">
        <w:rPr>
          <w:rFonts w:ascii="Cambria" w:eastAsia="Cambria" w:hAnsi="Cambria" w:cs="Cambria"/>
          <w:sz w:val="24"/>
          <w:szCs w:val="24"/>
        </w:rPr>
        <w:t>El Mecanismo de la Distorsión: Aplicaciones Digitales y el Abuso del Régimen "De Minimis"</w:t>
      </w:r>
    </w:p>
    <w:p w14:paraId="5A2C8CDA" w14:textId="77777777" w:rsidR="003A4451" w:rsidRPr="00B02115" w:rsidRDefault="003A4451">
      <w:pPr>
        <w:pStyle w:val="Ttulo3"/>
        <w:rPr>
          <w:rFonts w:ascii="Cambria" w:eastAsia="Cambria" w:hAnsi="Cambria" w:cs="Cambria"/>
          <w:sz w:val="24"/>
          <w:szCs w:val="24"/>
        </w:rPr>
      </w:pPr>
    </w:p>
    <w:p w14:paraId="7A2475C9" w14:textId="77777777" w:rsidR="003A4451" w:rsidRPr="00B02115" w:rsidRDefault="007C798D">
      <w:p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El artículo 428 literal J) del Estatuto Tributario permite que las importaciones inferiores a USD 200 ingresen al país sin pagar IVA ni arancel, siempre que sean compras personales y sin carácter comercial- Sin embargo, este beneficio ha sido sistemáticamente desnaturalizado por plataformas extranjeras que fraccionan pedidos y utilizan intermediarios para introducir mercancía a gran escala.</w:t>
      </w:r>
    </w:p>
    <w:p w14:paraId="63C7A41E" w14:textId="77777777" w:rsidR="003A4451" w:rsidRPr="00B02115" w:rsidRDefault="003A4451">
      <w:pPr>
        <w:pBdr>
          <w:top w:val="nil"/>
          <w:left w:val="nil"/>
          <w:bottom w:val="nil"/>
          <w:right w:val="nil"/>
          <w:between w:val="nil"/>
        </w:pBdr>
        <w:spacing w:line="240" w:lineRule="auto"/>
        <w:rPr>
          <w:rFonts w:ascii="Cambria" w:eastAsia="Cambria" w:hAnsi="Cambria" w:cs="Cambria"/>
          <w:color w:val="000000"/>
          <w:sz w:val="24"/>
          <w:szCs w:val="24"/>
        </w:rPr>
      </w:pPr>
    </w:p>
    <w:p w14:paraId="7CEFF5BA" w14:textId="77777777" w:rsidR="003A4451" w:rsidRPr="00B02115" w:rsidRDefault="007C798D">
      <w:p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Estas plataformas no son simples tiendas en línea; son ecosistemas logísticos y de marketing altamente sofisticados cuyo modelo se perfecciona en tres pasos.</w:t>
      </w:r>
    </w:p>
    <w:p w14:paraId="1CB2D0D1" w14:textId="77777777" w:rsidR="003A4451" w:rsidRPr="00B02115" w:rsidRDefault="003A4451">
      <w:pPr>
        <w:pBdr>
          <w:top w:val="nil"/>
          <w:left w:val="nil"/>
          <w:bottom w:val="nil"/>
          <w:right w:val="nil"/>
          <w:between w:val="nil"/>
        </w:pBdr>
        <w:spacing w:line="240" w:lineRule="auto"/>
        <w:rPr>
          <w:rFonts w:ascii="Cambria" w:eastAsia="Cambria" w:hAnsi="Cambria" w:cs="Cambria"/>
          <w:color w:val="000000"/>
          <w:sz w:val="24"/>
          <w:szCs w:val="24"/>
        </w:rPr>
      </w:pPr>
    </w:p>
    <w:p w14:paraId="13019927" w14:textId="77777777" w:rsidR="003A4451" w:rsidRPr="00B02115" w:rsidRDefault="007C798D">
      <w:pPr>
        <w:numPr>
          <w:ilvl w:val="0"/>
          <w:numId w:val="8"/>
        </w:numPr>
        <w:spacing w:line="240" w:lineRule="auto"/>
        <w:rPr>
          <w:rFonts w:ascii="Cambria" w:eastAsia="Cambria" w:hAnsi="Cambria" w:cs="Cambria"/>
          <w:sz w:val="24"/>
          <w:szCs w:val="24"/>
        </w:rPr>
      </w:pPr>
      <w:r w:rsidRPr="00B02115">
        <w:rPr>
          <w:rFonts w:ascii="Cambria" w:eastAsia="Cambria" w:hAnsi="Cambria" w:cs="Cambria"/>
          <w:b/>
          <w:bCs/>
          <w:sz w:val="24"/>
          <w:szCs w:val="24"/>
        </w:rPr>
        <w:t>Captura del Consumidor:</w:t>
      </w:r>
      <w:r w:rsidRPr="00B02115">
        <w:rPr>
          <w:rFonts w:ascii="Cambria" w:eastAsia="Cambria" w:hAnsi="Cambria" w:cs="Cambria"/>
          <w:sz w:val="24"/>
          <w:szCs w:val="24"/>
        </w:rPr>
        <w:t xml:space="preserve"> A través de inversiones millonarias en publicidad en redes sociales (Instagram, </w:t>
      </w:r>
      <w:proofErr w:type="spellStart"/>
      <w:r w:rsidRPr="00B02115">
        <w:rPr>
          <w:rFonts w:ascii="Cambria" w:eastAsia="Cambria" w:hAnsi="Cambria" w:cs="Cambria"/>
          <w:sz w:val="24"/>
          <w:szCs w:val="24"/>
        </w:rPr>
        <w:t>TikTok</w:t>
      </w:r>
      <w:proofErr w:type="spellEnd"/>
      <w:r w:rsidRPr="00B02115">
        <w:rPr>
          <w:rFonts w:ascii="Cambria" w:eastAsia="Cambria" w:hAnsi="Cambria" w:cs="Cambria"/>
          <w:sz w:val="24"/>
          <w:szCs w:val="24"/>
        </w:rPr>
        <w:t>, Facebook) y el uso de algoritmos de inteligencia artificial, estas aplicaciones se instalan en los teléfonos de millones de colombianos, creando una demanda constante mediante la micro segmentación y la promoción de tendencias de consumo ultrarrápido.</w:t>
      </w:r>
      <w:r w:rsidRPr="00B02115">
        <w:rPr>
          <w:noProof/>
        </w:rPr>
        <mc:AlternateContent>
          <mc:Choice Requires="wps">
            <w:drawing>
              <wp:anchor distT="0" distB="0" distL="114300" distR="114300" simplePos="0" relativeHeight="251659264" behindDoc="0" locked="0" layoutInCell="1" hidden="0" allowOverlap="1" wp14:anchorId="5F9B2103" wp14:editId="5D4E541E">
                <wp:simplePos x="0" y="0"/>
                <wp:positionH relativeFrom="column">
                  <wp:posOffset>-116273</wp:posOffset>
                </wp:positionH>
                <wp:positionV relativeFrom="paragraph">
                  <wp:posOffset>623015</wp:posOffset>
                </wp:positionV>
                <wp:extent cx="739278" cy="1045049"/>
                <wp:effectExtent l="0" t="0" r="0" b="0"/>
                <wp:wrapNone/>
                <wp:docPr id="223" name="Flecha: curvada hacia la derecha 223"/>
                <wp:cNvGraphicFramePr/>
                <a:graphic xmlns:a="http://schemas.openxmlformats.org/drawingml/2006/main">
                  <a:graphicData uri="http://schemas.microsoft.com/office/word/2010/wordprocessingShape">
                    <wps:wsp>
                      <wps:cNvSpPr/>
                      <wps:spPr>
                        <a:xfrm rot="-1065847">
                          <a:off x="5117400" y="3313275"/>
                          <a:ext cx="457200" cy="933450"/>
                        </a:xfrm>
                        <a:prstGeom prst="curvedRightArrow">
                          <a:avLst>
                            <a:gd name="adj1" fmla="val 20766"/>
                            <a:gd name="adj2" fmla="val 56300"/>
                            <a:gd name="adj3" fmla="val 25000"/>
                          </a:avLst>
                        </a:prstGeom>
                        <a:solidFill>
                          <a:srgbClr val="FF0000"/>
                        </a:solidFill>
                        <a:ln w="12700" cap="flat" cmpd="sng">
                          <a:solidFill>
                            <a:srgbClr val="C00000"/>
                          </a:solidFill>
                          <a:prstDash val="solid"/>
                          <a:miter lim="8000"/>
                          <a:headEnd type="none" w="sm" len="sm"/>
                          <a:tailEnd type="none" w="sm" len="sm"/>
                        </a:ln>
                      </wps:spPr>
                      <wps:txbx>
                        <w:txbxContent>
                          <w:p w14:paraId="6A5F4D94" w14:textId="77777777" w:rsidR="003A4451" w:rsidRDefault="003A4451">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5F9B2103"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echa: curvada hacia la derecha 223" o:spid="_x0000_s1026" type="#_x0000_t102" style="position:absolute;left:0;text-align:left;margin-left:-9.15pt;margin-top:49.05pt;width:58.2pt;height:82.3pt;rotation:-1164189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" adj="15644,19720,16200" fillcolor="red" strokecolor="#c00000" strokeweight="1pt">
                <v:stroke startarrowwidth="narrow" startarrowlength="short" endarrowwidth="narrow" endarrowlength="short" miterlimit="5243f"/>
                <v:textbox inset="2.53958mm,2.53958mm,2.53958mm,2.53958mm">
                  <w:txbxContent>
                    <w:p w14:paraId="6A5F4D94" w14:textId="77777777" w:rsidR="003A4451" w:rsidRDefault="003A4451">
                      <w:pPr>
                        <w:spacing w:line="240" w:lineRule="auto"/>
                        <w:jc w:val="left"/>
                        <w:textDirection w:val="btLr"/>
                      </w:pPr>
                    </w:p>
                  </w:txbxContent>
                </v:textbox>
              </v:shape>
            </w:pict>
          </mc:Fallback>
        </mc:AlternateContent>
      </w:r>
    </w:p>
    <w:p w14:paraId="3F5D1BA0" w14:textId="77777777" w:rsidR="003A4451" w:rsidRPr="00B02115" w:rsidRDefault="003A4451">
      <w:pPr>
        <w:spacing w:line="240" w:lineRule="auto"/>
        <w:ind w:left="720"/>
        <w:rPr>
          <w:rFonts w:ascii="Cambria" w:eastAsia="Cambria" w:hAnsi="Cambria" w:cs="Cambria"/>
          <w:sz w:val="24"/>
          <w:szCs w:val="24"/>
        </w:rPr>
      </w:pPr>
    </w:p>
    <w:p w14:paraId="71F99446" w14:textId="77777777" w:rsidR="003A4451" w:rsidRPr="00B02115" w:rsidRDefault="007C798D">
      <w:pPr>
        <w:numPr>
          <w:ilvl w:val="0"/>
          <w:numId w:val="8"/>
        </w:numPr>
        <w:spacing w:line="240" w:lineRule="auto"/>
        <w:ind w:left="1418" w:hanging="152"/>
        <w:rPr>
          <w:rFonts w:ascii="Cambria" w:eastAsia="Cambria" w:hAnsi="Cambria" w:cs="Cambria"/>
          <w:sz w:val="24"/>
          <w:szCs w:val="24"/>
        </w:rPr>
      </w:pPr>
      <w:r w:rsidRPr="00B02115">
        <w:rPr>
          <w:rFonts w:ascii="Cambria" w:eastAsia="Cambria" w:hAnsi="Cambria" w:cs="Cambria"/>
          <w:b/>
          <w:bCs/>
          <w:sz w:val="24"/>
          <w:szCs w:val="24"/>
        </w:rPr>
        <w:t>Transacción Individualizada:</w:t>
      </w:r>
      <w:r w:rsidRPr="00B02115">
        <w:rPr>
          <w:rFonts w:ascii="Cambria" w:eastAsia="Cambria" w:hAnsi="Cambria" w:cs="Cambria"/>
          <w:sz w:val="24"/>
          <w:szCs w:val="24"/>
        </w:rPr>
        <w:t xml:space="preserve"> Cada compra realizada por un consumidor, sin importar si forma parte de una ofensiva comercial de millones de transacciones diarias, es procesada como un envío individual e independiente. El sistema está diseñado para que el valor de cada paquete casi nunca supere el umbral de los 200 dólares.</w:t>
      </w:r>
      <w:r w:rsidRPr="00B02115">
        <w:rPr>
          <w:noProof/>
        </w:rPr>
        <mc:AlternateContent>
          <mc:Choice Requires="wps">
            <w:drawing>
              <wp:anchor distT="0" distB="0" distL="114300" distR="114300" simplePos="0" relativeHeight="251660288" behindDoc="0" locked="0" layoutInCell="1" hidden="0" allowOverlap="1" wp14:anchorId="20FDEF8C" wp14:editId="48DB8FDF">
                <wp:simplePos x="0" y="0"/>
                <wp:positionH relativeFrom="column">
                  <wp:posOffset>267826</wp:posOffset>
                </wp:positionH>
                <wp:positionV relativeFrom="paragraph">
                  <wp:posOffset>726596</wp:posOffset>
                </wp:positionV>
                <wp:extent cx="763619" cy="954352"/>
                <wp:effectExtent l="0" t="0" r="0" b="0"/>
                <wp:wrapNone/>
                <wp:docPr id="224" name="Flecha: curvada hacia la derecha 224"/>
                <wp:cNvGraphicFramePr/>
                <a:graphic xmlns:a="http://schemas.openxmlformats.org/drawingml/2006/main">
                  <a:graphicData uri="http://schemas.microsoft.com/office/word/2010/wordprocessingShape">
                    <wps:wsp>
                      <wps:cNvSpPr/>
                      <wps:spPr>
                        <a:xfrm rot="-1575129">
                          <a:off x="5142135" y="3357913"/>
                          <a:ext cx="407731" cy="844174"/>
                        </a:xfrm>
                        <a:prstGeom prst="curvedRightArrow">
                          <a:avLst>
                            <a:gd name="adj1" fmla="val 20766"/>
                            <a:gd name="adj2" fmla="val 56300"/>
                            <a:gd name="adj3" fmla="val 25000"/>
                          </a:avLst>
                        </a:prstGeom>
                        <a:solidFill>
                          <a:srgbClr val="FF0000"/>
                        </a:solidFill>
                        <a:ln w="12700" cap="flat" cmpd="sng">
                          <a:solidFill>
                            <a:srgbClr val="C00000"/>
                          </a:solidFill>
                          <a:prstDash val="solid"/>
                          <a:miter lim="8000"/>
                          <a:headEnd type="none" w="sm" len="sm"/>
                          <a:tailEnd type="none" w="sm" len="sm"/>
                        </a:ln>
                      </wps:spPr>
                      <wps:txbx>
                        <w:txbxContent>
                          <w:p w14:paraId="039306ED" w14:textId="77777777" w:rsidR="003A4451" w:rsidRDefault="003A4451">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0FDEF8C" id="Flecha: curvada hacia la derecha 224" o:spid="_x0000_s1027" type="#_x0000_t102" style="position:absolute;left:0;text-align:left;margin-left:21.1pt;margin-top:57.2pt;width:60.15pt;height:75.15pt;rotation:-1720461fd;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" adj="15726,19746,16200" fillcolor="red" strokecolor="#c00000" strokeweight="1pt">
                <v:stroke startarrowwidth="narrow" startarrowlength="short" endarrowwidth="narrow" endarrowlength="short" miterlimit="5243f"/>
                <v:textbox inset="2.53958mm,2.53958mm,2.53958mm,2.53958mm">
                  <w:txbxContent>
                    <w:p w14:paraId="039306ED" w14:textId="77777777" w:rsidR="003A4451" w:rsidRDefault="003A4451">
                      <w:pPr>
                        <w:spacing w:line="240" w:lineRule="auto"/>
                        <w:jc w:val="left"/>
                        <w:textDirection w:val="btLr"/>
                      </w:pPr>
                    </w:p>
                  </w:txbxContent>
                </v:textbox>
              </v:shape>
            </w:pict>
          </mc:Fallback>
        </mc:AlternateContent>
      </w:r>
    </w:p>
    <w:p w14:paraId="0EBA48C1" w14:textId="77777777" w:rsidR="003A4451" w:rsidRPr="00B02115" w:rsidRDefault="003A4451">
      <w:pPr>
        <w:spacing w:line="240" w:lineRule="auto"/>
        <w:ind w:left="1418"/>
        <w:rPr>
          <w:rFonts w:ascii="Cambria" w:eastAsia="Cambria" w:hAnsi="Cambria" w:cs="Cambria"/>
          <w:sz w:val="24"/>
          <w:szCs w:val="24"/>
        </w:rPr>
      </w:pPr>
    </w:p>
    <w:p w14:paraId="1B85C93D" w14:textId="77777777" w:rsidR="003A4451" w:rsidRPr="00B02115" w:rsidRDefault="007C798D">
      <w:pPr>
        <w:numPr>
          <w:ilvl w:val="0"/>
          <w:numId w:val="8"/>
        </w:numPr>
        <w:spacing w:line="240" w:lineRule="auto"/>
        <w:ind w:left="2410"/>
        <w:rPr>
          <w:rFonts w:ascii="Cambria" w:eastAsia="Cambria" w:hAnsi="Cambria" w:cs="Cambria"/>
          <w:sz w:val="24"/>
          <w:szCs w:val="24"/>
        </w:rPr>
      </w:pPr>
      <w:r w:rsidRPr="00B02115">
        <w:rPr>
          <w:rFonts w:ascii="Cambria" w:eastAsia="Cambria" w:hAnsi="Cambria" w:cs="Cambria"/>
          <w:b/>
          <w:bCs/>
          <w:sz w:val="24"/>
          <w:szCs w:val="24"/>
        </w:rPr>
        <w:t>Explotación de la Ventaja Fiscal:</w:t>
      </w:r>
      <w:r w:rsidRPr="00B02115">
        <w:rPr>
          <w:rFonts w:ascii="Cambria" w:eastAsia="Cambria" w:hAnsi="Cambria" w:cs="Cambria"/>
          <w:sz w:val="24"/>
          <w:szCs w:val="24"/>
        </w:rPr>
        <w:t xml:space="preserve"> Al ingresar al país como un envío "de minimis", el paquete está legalmente exento del 19% </w:t>
      </w:r>
      <w:r w:rsidRPr="00B02115">
        <w:rPr>
          <w:rFonts w:ascii="Cambria" w:eastAsia="Cambria" w:hAnsi="Cambria" w:cs="Cambria"/>
          <w:sz w:val="24"/>
          <w:szCs w:val="24"/>
        </w:rPr>
        <w:lastRenderedPageBreak/>
        <w:t xml:space="preserve">de IVA. Esto se traduce en una ventaja de precio directa e insuperable. </w:t>
      </w:r>
    </w:p>
    <w:p w14:paraId="7685FAAE" w14:textId="77777777" w:rsidR="003A4451" w:rsidRPr="00B02115" w:rsidRDefault="003A4451">
      <w:pPr>
        <w:spacing w:line="240" w:lineRule="auto"/>
        <w:rPr>
          <w:rFonts w:ascii="Cambria" w:eastAsia="Cambria" w:hAnsi="Cambria" w:cs="Cambria"/>
          <w:sz w:val="24"/>
          <w:szCs w:val="24"/>
        </w:rPr>
      </w:pPr>
    </w:p>
    <w:p w14:paraId="0CEED708"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Es por lo anterior que un bien vendido por un productor nacional en $100.000 debe incluir $19.000 de IVA; la aplicación internacional vende un producto similar en $81.000 y aun así obtiene el mismo ingreso base.</w:t>
      </w:r>
    </w:p>
    <w:p w14:paraId="41BBFE16" w14:textId="77777777" w:rsidR="003A4451" w:rsidRPr="00B02115" w:rsidRDefault="003A4451">
      <w:pPr>
        <w:spacing w:line="240" w:lineRule="auto"/>
        <w:rPr>
          <w:rFonts w:ascii="Cambria" w:eastAsia="Cambria" w:hAnsi="Cambria" w:cs="Cambria"/>
          <w:sz w:val="24"/>
          <w:szCs w:val="24"/>
        </w:rPr>
      </w:pPr>
    </w:p>
    <w:p w14:paraId="640F63F6" w14:textId="77777777" w:rsidR="003A4451" w:rsidRPr="00716168" w:rsidRDefault="007C798D" w:rsidP="00716168">
      <w:pPr>
        <w:spacing w:line="240" w:lineRule="auto"/>
        <w:rPr>
          <w:rFonts w:ascii="Cambria" w:hAnsi="Cambria"/>
          <w:sz w:val="24"/>
          <w:szCs w:val="24"/>
        </w:rPr>
      </w:pPr>
      <w:r w:rsidRPr="00B02115">
        <w:rPr>
          <w:rFonts w:ascii="Cambria" w:eastAsia="Cambria" w:hAnsi="Cambria" w:cs="Cambria"/>
          <w:color w:val="000000"/>
          <w:sz w:val="24"/>
          <w:szCs w:val="24"/>
        </w:rPr>
        <w:t xml:space="preserve">Este fenómeno constituye un </w:t>
      </w:r>
      <w:r w:rsidRPr="00B02115">
        <w:rPr>
          <w:rFonts w:ascii="Cambria" w:eastAsia="Cambria" w:hAnsi="Cambria" w:cs="Cambria"/>
          <w:b/>
          <w:bCs/>
          <w:color w:val="000000"/>
          <w:sz w:val="24"/>
          <w:szCs w:val="24"/>
        </w:rPr>
        <w:t>contrabando técnico a escala masiva, amparado por una norma obsoleta</w:t>
      </w:r>
      <w:r w:rsidRPr="00B02115">
        <w:rPr>
          <w:rFonts w:ascii="Cambria" w:eastAsia="Cambria" w:hAnsi="Cambria" w:cs="Cambria"/>
          <w:color w:val="000000"/>
          <w:sz w:val="24"/>
          <w:szCs w:val="24"/>
        </w:rPr>
        <w:t xml:space="preserve">, por lo que NO se trata de una evasión, sino de una elusión tributaria sistemática y planeada que se opone a la política de fomento de la industria </w:t>
      </w:r>
      <w:r w:rsidRPr="00716168">
        <w:rPr>
          <w:rFonts w:ascii="Cambria" w:hAnsi="Cambria"/>
          <w:sz w:val="24"/>
          <w:szCs w:val="24"/>
        </w:rPr>
        <w:t>nacional y de equidad fiscal del país.</w:t>
      </w:r>
    </w:p>
    <w:p w14:paraId="3D7AC9A1" w14:textId="77777777" w:rsidR="003A4451" w:rsidRPr="00716168" w:rsidRDefault="003A4451" w:rsidP="00716168">
      <w:pPr>
        <w:spacing w:line="240" w:lineRule="auto"/>
        <w:rPr>
          <w:rFonts w:ascii="Cambria" w:hAnsi="Cambria"/>
          <w:sz w:val="24"/>
          <w:szCs w:val="24"/>
        </w:rPr>
      </w:pPr>
    </w:p>
    <w:p w14:paraId="2A960998" w14:textId="77777777" w:rsidR="003A4451" w:rsidRPr="00716168" w:rsidRDefault="007C798D" w:rsidP="00716168">
      <w:pPr>
        <w:spacing w:line="240" w:lineRule="auto"/>
        <w:rPr>
          <w:rFonts w:ascii="Cambria" w:hAnsi="Cambria"/>
          <w:sz w:val="24"/>
          <w:szCs w:val="24"/>
        </w:rPr>
      </w:pPr>
      <w:r w:rsidRPr="00716168">
        <w:rPr>
          <w:rFonts w:ascii="Cambria" w:hAnsi="Cambria"/>
          <w:sz w:val="24"/>
          <w:szCs w:val="24"/>
        </w:rPr>
        <w:t>Según la Cámara Colombiana de Comercio Electrónico, las plataformas extranjeras ya representan el 37,3 % del mercado analizado, equivalente a cerca de 6 billones de pesos sobre un mercado estimado de 16 billones de pesos para el primer trimestre de 2026, lo que evidencia que el comercio transfronterizo ya tiene una participación</w:t>
      </w:r>
    </w:p>
    <w:p w14:paraId="58FAD978" w14:textId="77777777" w:rsidR="003A4451" w:rsidRPr="00716168" w:rsidRDefault="007C798D" w:rsidP="00716168">
      <w:pPr>
        <w:spacing w:line="240" w:lineRule="auto"/>
        <w:rPr>
          <w:rFonts w:ascii="Cambria" w:hAnsi="Cambria"/>
          <w:sz w:val="24"/>
          <w:szCs w:val="24"/>
        </w:rPr>
      </w:pPr>
      <w:r w:rsidRPr="00716168">
        <w:rPr>
          <w:rFonts w:ascii="Cambria" w:hAnsi="Cambria"/>
          <w:sz w:val="24"/>
          <w:szCs w:val="24"/>
        </w:rPr>
        <w:t>significativa en el mercado colombiano.</w:t>
      </w:r>
    </w:p>
    <w:p w14:paraId="2A75B4D9" w14:textId="77777777" w:rsidR="003A4451" w:rsidRPr="00716168" w:rsidRDefault="003A4451" w:rsidP="00716168">
      <w:pPr>
        <w:spacing w:line="240" w:lineRule="auto"/>
        <w:rPr>
          <w:rFonts w:ascii="Cambria" w:hAnsi="Cambria"/>
          <w:sz w:val="24"/>
          <w:szCs w:val="24"/>
        </w:rPr>
      </w:pPr>
    </w:p>
    <w:p w14:paraId="00A7C406" w14:textId="77777777" w:rsidR="003A4451" w:rsidRPr="00716168" w:rsidRDefault="007C798D" w:rsidP="00716168">
      <w:pPr>
        <w:spacing w:line="240" w:lineRule="auto"/>
        <w:rPr>
          <w:rFonts w:ascii="Cambria" w:hAnsi="Cambria"/>
          <w:sz w:val="24"/>
          <w:szCs w:val="24"/>
        </w:rPr>
      </w:pPr>
      <w:r w:rsidRPr="00716168">
        <w:rPr>
          <w:rFonts w:ascii="Cambria" w:hAnsi="Cambria"/>
          <w:sz w:val="24"/>
          <w:szCs w:val="24"/>
        </w:rPr>
        <w:t>Adicionalmente la misma Cámara señala que el IVA equivalente asociado a este segmento asciende a aproximadamente 1,13 billones de pesos, si se toma como referencia una tarifa del 19 %, lo que pone de manifiesto la relevancia fiscal de cerrar las brechas en el tratamiento tributario de estas operaciones, y de esta manera lograr un mayor recaudo fiscal y al mismo tiempo garantizar que la industria nacional pueda competir sin desventajas.</w:t>
      </w:r>
    </w:p>
    <w:p w14:paraId="3F17CFD4" w14:textId="77777777" w:rsidR="003A4451" w:rsidRPr="00716168" w:rsidRDefault="003A4451" w:rsidP="00716168">
      <w:pPr>
        <w:spacing w:line="240" w:lineRule="auto"/>
        <w:rPr>
          <w:rFonts w:ascii="Cambria" w:hAnsi="Cambria"/>
          <w:sz w:val="24"/>
          <w:szCs w:val="24"/>
        </w:rPr>
      </w:pPr>
    </w:p>
    <w:p w14:paraId="0F8CD3F5" w14:textId="77777777" w:rsidR="003A4451" w:rsidRPr="00B02115" w:rsidRDefault="003A4451">
      <w:pPr>
        <w:pBdr>
          <w:top w:val="nil"/>
          <w:left w:val="nil"/>
          <w:bottom w:val="nil"/>
          <w:right w:val="nil"/>
          <w:between w:val="nil"/>
        </w:pBdr>
        <w:spacing w:line="240" w:lineRule="auto"/>
        <w:rPr>
          <w:rFonts w:ascii="Cambria" w:eastAsia="Cambria" w:hAnsi="Cambria" w:cs="Cambria"/>
          <w:color w:val="000000"/>
          <w:sz w:val="24"/>
          <w:szCs w:val="24"/>
        </w:rPr>
      </w:pPr>
    </w:p>
    <w:p w14:paraId="28AC1813" w14:textId="77777777" w:rsidR="003A4451" w:rsidRPr="00B02115" w:rsidRDefault="007C798D">
      <w:pPr>
        <w:pStyle w:val="Ttulo3"/>
        <w:numPr>
          <w:ilvl w:val="1"/>
          <w:numId w:val="4"/>
        </w:numPr>
        <w:rPr>
          <w:rFonts w:ascii="Cambria" w:eastAsia="Cambria" w:hAnsi="Cambria" w:cs="Cambria"/>
          <w:sz w:val="24"/>
          <w:szCs w:val="24"/>
        </w:rPr>
      </w:pPr>
      <w:bookmarkStart w:id="1" w:name="_heading=h.j89ylqenh4sc" w:colFirst="0" w:colLast="0"/>
      <w:bookmarkEnd w:id="1"/>
      <w:r w:rsidRPr="00B02115">
        <w:rPr>
          <w:rFonts w:ascii="Cambria" w:eastAsia="Cambria" w:hAnsi="Cambria" w:cs="Cambria"/>
          <w:sz w:val="24"/>
          <w:szCs w:val="24"/>
        </w:rPr>
        <w:t>IMPORTACIONES DE BAJO COSTO – MINIMIS</w:t>
      </w:r>
    </w:p>
    <w:p w14:paraId="6D2461F9"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A pesar de que la importación de todo tipo de bienes o servicios se encuentra sujeta al pago de IVA, la importación de productos de bajo costo, minimis</w:t>
      </w:r>
      <w:r w:rsidRPr="00B02115">
        <w:rPr>
          <w:rFonts w:ascii="Cambria" w:eastAsia="Cambria" w:hAnsi="Cambria" w:cs="Cambria"/>
          <w:sz w:val="24"/>
          <w:szCs w:val="24"/>
          <w:vertAlign w:val="superscript"/>
        </w:rPr>
        <w:footnoteReference w:id="1"/>
      </w:r>
      <w:r w:rsidRPr="00B02115">
        <w:rPr>
          <w:rFonts w:ascii="Cambria" w:eastAsia="Cambria" w:hAnsi="Cambria" w:cs="Cambria"/>
          <w:sz w:val="24"/>
          <w:szCs w:val="24"/>
        </w:rPr>
        <w:t>, se encuentra exenta del pago de este impuesto al momento de ingresar al país.</w:t>
      </w:r>
    </w:p>
    <w:p w14:paraId="27CF7BD4" w14:textId="77777777" w:rsidR="003A4451" w:rsidRPr="00B02115" w:rsidRDefault="003A4451">
      <w:pPr>
        <w:spacing w:line="240" w:lineRule="auto"/>
        <w:rPr>
          <w:rFonts w:ascii="Cambria" w:eastAsia="Cambria" w:hAnsi="Cambria" w:cs="Cambria"/>
          <w:sz w:val="24"/>
          <w:szCs w:val="24"/>
        </w:rPr>
      </w:pPr>
    </w:p>
    <w:p w14:paraId="5DCE3CEB"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Esta medida, fue incorporada por medio de la Ley 1607 de 2012 como reflejo de una práctica ampliamente usada en su momento a nivel internacional, y que permitía reducir el costo de recaudo del IVA.</w:t>
      </w:r>
    </w:p>
    <w:p w14:paraId="4C03F975" w14:textId="77777777" w:rsidR="003A4451" w:rsidRPr="00B02115" w:rsidRDefault="003A4451">
      <w:pPr>
        <w:spacing w:line="240" w:lineRule="auto"/>
        <w:rPr>
          <w:rFonts w:ascii="Cambria" w:eastAsia="Cambria" w:hAnsi="Cambria" w:cs="Cambria"/>
          <w:sz w:val="24"/>
          <w:szCs w:val="24"/>
        </w:rPr>
      </w:pPr>
    </w:p>
    <w:p w14:paraId="4F85E188"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lastRenderedPageBreak/>
        <w:t>De acuerdo con la OCDE</w:t>
      </w:r>
      <w:r w:rsidRPr="00B02115">
        <w:rPr>
          <w:rFonts w:ascii="Cambria" w:eastAsia="Cambria" w:hAnsi="Cambria" w:cs="Cambria"/>
          <w:sz w:val="24"/>
          <w:szCs w:val="24"/>
          <w:vertAlign w:val="superscript"/>
        </w:rPr>
        <w:footnoteReference w:id="2"/>
      </w:r>
      <w:r w:rsidRPr="00B02115">
        <w:rPr>
          <w:rFonts w:ascii="Cambria" w:eastAsia="Cambria" w:hAnsi="Cambria" w:cs="Cambria"/>
          <w:sz w:val="24"/>
          <w:szCs w:val="24"/>
        </w:rPr>
        <w:t>, en años donde las mercancías de bajo costo representaban una pequeña proporción del comercio total, la importación de minimis por medio del sistema arancelario tradicional generalmente implicaba mayores costos relativos a los beneficios percibidos por el recaudo del impuesto.</w:t>
      </w:r>
    </w:p>
    <w:p w14:paraId="5E2A0B0D" w14:textId="77777777" w:rsidR="003A4451" w:rsidRPr="00B02115" w:rsidRDefault="003A4451">
      <w:pPr>
        <w:spacing w:line="240" w:lineRule="auto"/>
        <w:rPr>
          <w:rFonts w:ascii="Cambria" w:eastAsia="Cambria" w:hAnsi="Cambria" w:cs="Cambria"/>
          <w:sz w:val="24"/>
          <w:szCs w:val="24"/>
        </w:rPr>
      </w:pPr>
    </w:p>
    <w:p w14:paraId="0DF6DA1A"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No obstante, el incremento acelerado del comercio minorista (</w:t>
      </w:r>
      <w:proofErr w:type="spellStart"/>
      <w:r w:rsidRPr="00B02115">
        <w:rPr>
          <w:rFonts w:ascii="Cambria" w:eastAsia="Cambria" w:hAnsi="Cambria" w:cs="Cambria"/>
          <w:sz w:val="24"/>
          <w:szCs w:val="24"/>
        </w:rPr>
        <w:t>retail</w:t>
      </w:r>
      <w:proofErr w:type="spellEnd"/>
      <w:r w:rsidRPr="00B02115">
        <w:rPr>
          <w:rFonts w:ascii="Cambria" w:eastAsia="Cambria" w:hAnsi="Cambria" w:cs="Cambria"/>
          <w:sz w:val="24"/>
          <w:szCs w:val="24"/>
        </w:rPr>
        <w:t xml:space="preserve">) digital durante los últimos años, se ha traducido en un aumento del costo por la exención del IVA a los minimis. Gracias al auge reciente del </w:t>
      </w:r>
      <w:proofErr w:type="spellStart"/>
      <w:r w:rsidRPr="00B02115">
        <w:rPr>
          <w:rFonts w:ascii="Cambria" w:eastAsia="Cambria" w:hAnsi="Cambria" w:cs="Cambria"/>
          <w:sz w:val="24"/>
          <w:szCs w:val="24"/>
        </w:rPr>
        <w:t>retail</w:t>
      </w:r>
      <w:proofErr w:type="spellEnd"/>
      <w:r w:rsidRPr="00B02115">
        <w:rPr>
          <w:rFonts w:ascii="Cambria" w:eastAsia="Cambria" w:hAnsi="Cambria" w:cs="Cambria"/>
          <w:sz w:val="24"/>
          <w:szCs w:val="24"/>
        </w:rPr>
        <w:t xml:space="preserve"> digital, se ha observado un incremento acelerado del comercio de productos de bajo costo por medio de internet, especialmente por parte de negocios localizados en jurisdicciones donde no causan el pago de IVA</w:t>
      </w:r>
      <w:r w:rsidRPr="00B02115">
        <w:rPr>
          <w:rFonts w:ascii="Cambria" w:eastAsia="Cambria" w:hAnsi="Cambria" w:cs="Cambria"/>
          <w:sz w:val="24"/>
          <w:szCs w:val="24"/>
          <w:vertAlign w:val="superscript"/>
        </w:rPr>
        <w:footnoteReference w:id="3"/>
      </w:r>
      <w:r w:rsidRPr="00B02115">
        <w:rPr>
          <w:rFonts w:ascii="Cambria" w:eastAsia="Cambria" w:hAnsi="Cambria" w:cs="Cambria"/>
          <w:sz w:val="24"/>
          <w:szCs w:val="24"/>
        </w:rPr>
        <w:t>.</w:t>
      </w:r>
    </w:p>
    <w:p w14:paraId="5219CBE5" w14:textId="77777777" w:rsidR="003A4451" w:rsidRPr="00B02115" w:rsidRDefault="003A4451">
      <w:pPr>
        <w:spacing w:line="240" w:lineRule="auto"/>
        <w:rPr>
          <w:rFonts w:ascii="Cambria" w:eastAsia="Cambria" w:hAnsi="Cambria" w:cs="Cambria"/>
          <w:sz w:val="24"/>
          <w:szCs w:val="24"/>
        </w:rPr>
      </w:pPr>
    </w:p>
    <w:p w14:paraId="42AFEFBA"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Lo anterior, se traduce en la disminución de la equidad horizontal con empresas domésticas, la cuales enfrentan una desigualdad de condiciones debido al pago de impuestos al interior del país, y de acuerdo con la Acción 1 del programa BEPS</w:t>
      </w:r>
      <w:r w:rsidRPr="00B02115">
        <w:rPr>
          <w:rFonts w:ascii="Cambria" w:eastAsia="Cambria" w:hAnsi="Cambria" w:cs="Cambria"/>
          <w:sz w:val="24"/>
          <w:szCs w:val="24"/>
          <w:vertAlign w:val="superscript"/>
        </w:rPr>
        <w:footnoteReference w:id="4"/>
      </w:r>
      <w:r w:rsidRPr="00B02115">
        <w:rPr>
          <w:rFonts w:ascii="Cambria" w:eastAsia="Cambria" w:hAnsi="Cambria" w:cs="Cambria"/>
          <w:sz w:val="24"/>
          <w:szCs w:val="24"/>
        </w:rPr>
        <w:t xml:space="preserve"> , este es una problemática que requiere ser atendida para equiparar los costos y beneficios del recaudo de IVA a nivel internacional.</w:t>
      </w:r>
    </w:p>
    <w:p w14:paraId="728C7CBF" w14:textId="77777777" w:rsidR="003A4451" w:rsidRPr="00B02115" w:rsidRDefault="003A4451">
      <w:pPr>
        <w:spacing w:line="240" w:lineRule="auto"/>
        <w:rPr>
          <w:rFonts w:ascii="Cambria" w:eastAsia="Cambria" w:hAnsi="Cambria" w:cs="Cambria"/>
          <w:sz w:val="24"/>
          <w:szCs w:val="24"/>
        </w:rPr>
      </w:pPr>
    </w:p>
    <w:p w14:paraId="129AA4D9"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En consecuencia, durante los últimos años, varios países han optado por la eliminación de la exención del IVA a los minimis, incrementando el recaudo y eliminando las distorsiones que esta exención genera, resaltando en particular, que desde 2018, países como Australia, Nueva Zelanda, Noruega, Suiza, Reino Unido y la Unión Europea han eliminado o modificado la exención a los minimis, con el objetivo de igualar las condiciones entre comercio </w:t>
      </w:r>
      <w:proofErr w:type="spellStart"/>
      <w:r w:rsidRPr="00B02115">
        <w:rPr>
          <w:rFonts w:ascii="Cambria" w:eastAsia="Cambria" w:hAnsi="Cambria" w:cs="Cambria"/>
          <w:sz w:val="24"/>
          <w:szCs w:val="24"/>
        </w:rPr>
        <w:t>retail</w:t>
      </w:r>
      <w:proofErr w:type="spellEnd"/>
      <w:r w:rsidRPr="00B02115">
        <w:rPr>
          <w:rFonts w:ascii="Cambria" w:eastAsia="Cambria" w:hAnsi="Cambria" w:cs="Cambria"/>
          <w:sz w:val="24"/>
          <w:szCs w:val="24"/>
        </w:rPr>
        <w:t xml:space="preserve"> doméstico y el </w:t>
      </w:r>
      <w:proofErr w:type="spellStart"/>
      <w:r w:rsidRPr="00B02115">
        <w:rPr>
          <w:rFonts w:ascii="Cambria" w:eastAsia="Cambria" w:hAnsi="Cambria" w:cs="Cambria"/>
          <w:sz w:val="24"/>
          <w:szCs w:val="24"/>
        </w:rPr>
        <w:t>retail</w:t>
      </w:r>
      <w:proofErr w:type="spellEnd"/>
      <w:r w:rsidRPr="00B02115">
        <w:rPr>
          <w:rFonts w:ascii="Cambria" w:eastAsia="Cambria" w:hAnsi="Cambria" w:cs="Cambria"/>
          <w:sz w:val="24"/>
          <w:szCs w:val="24"/>
        </w:rPr>
        <w:t xml:space="preserve"> por medio de canales virtuales. </w:t>
      </w:r>
    </w:p>
    <w:p w14:paraId="51B2DD3E" w14:textId="77777777" w:rsidR="003A4451" w:rsidRPr="00B02115" w:rsidRDefault="003A4451">
      <w:pPr>
        <w:spacing w:line="240" w:lineRule="auto"/>
        <w:rPr>
          <w:rFonts w:ascii="Cambria" w:eastAsia="Cambria" w:hAnsi="Cambria" w:cs="Cambria"/>
          <w:sz w:val="24"/>
          <w:szCs w:val="24"/>
        </w:rPr>
      </w:pPr>
    </w:p>
    <w:p w14:paraId="55DE6724"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Asimismo, existen ejemplos recientes de países que también han implementado la eliminación de la exención a la importación de productos de bajo costo, como el caso Estados Unidos, en donde existía una exención de IVA a la importación de minimis por valor inferior a los USD $800</w:t>
      </w:r>
      <w:r w:rsidRPr="00B02115">
        <w:rPr>
          <w:rFonts w:ascii="Cambria" w:eastAsia="Cambria" w:hAnsi="Cambria" w:cs="Cambria"/>
          <w:sz w:val="24"/>
          <w:szCs w:val="24"/>
          <w:vertAlign w:val="superscript"/>
        </w:rPr>
        <w:footnoteReference w:id="5"/>
      </w:r>
      <w:r w:rsidRPr="00B02115">
        <w:rPr>
          <w:rFonts w:ascii="Cambria" w:eastAsia="Cambria" w:hAnsi="Cambria" w:cs="Cambria"/>
          <w:sz w:val="24"/>
          <w:szCs w:val="24"/>
        </w:rPr>
        <w:t xml:space="preserve">. En la actualidad, de acuerdo con el estudio </w:t>
      </w:r>
      <w:proofErr w:type="spellStart"/>
      <w:r w:rsidRPr="00B02115">
        <w:rPr>
          <w:rFonts w:ascii="Cambria" w:eastAsia="Cambria" w:hAnsi="Cambria" w:cs="Cambria"/>
          <w:sz w:val="24"/>
          <w:szCs w:val="24"/>
        </w:rPr>
        <w:t>Consumption</w:t>
      </w:r>
      <w:proofErr w:type="spellEnd"/>
      <w:r w:rsidRPr="00B02115">
        <w:rPr>
          <w:rFonts w:ascii="Cambria" w:eastAsia="Cambria" w:hAnsi="Cambria" w:cs="Cambria"/>
          <w:sz w:val="24"/>
          <w:szCs w:val="24"/>
        </w:rPr>
        <w:t xml:space="preserve"> </w:t>
      </w:r>
      <w:proofErr w:type="spellStart"/>
      <w:r w:rsidRPr="00B02115">
        <w:rPr>
          <w:rFonts w:ascii="Cambria" w:eastAsia="Cambria" w:hAnsi="Cambria" w:cs="Cambria"/>
          <w:sz w:val="24"/>
          <w:szCs w:val="24"/>
        </w:rPr>
        <w:lastRenderedPageBreak/>
        <w:t>Tax</w:t>
      </w:r>
      <w:proofErr w:type="spellEnd"/>
      <w:r w:rsidRPr="00B02115">
        <w:rPr>
          <w:rFonts w:ascii="Cambria" w:eastAsia="Cambria" w:hAnsi="Cambria" w:cs="Cambria"/>
          <w:sz w:val="24"/>
          <w:szCs w:val="24"/>
        </w:rPr>
        <w:t xml:space="preserve"> </w:t>
      </w:r>
      <w:proofErr w:type="spellStart"/>
      <w:r w:rsidRPr="00B02115">
        <w:rPr>
          <w:rFonts w:ascii="Cambria" w:eastAsia="Cambria" w:hAnsi="Cambria" w:cs="Cambria"/>
          <w:sz w:val="24"/>
          <w:szCs w:val="24"/>
        </w:rPr>
        <w:t>Trends</w:t>
      </w:r>
      <w:proofErr w:type="spellEnd"/>
      <w:r w:rsidRPr="00B02115">
        <w:rPr>
          <w:rFonts w:ascii="Cambria" w:eastAsia="Cambria" w:hAnsi="Cambria" w:cs="Cambria"/>
          <w:sz w:val="24"/>
          <w:szCs w:val="24"/>
        </w:rPr>
        <w:t xml:space="preserve"> 2024 de la OCDE</w:t>
      </w:r>
      <w:r w:rsidRPr="00B02115">
        <w:rPr>
          <w:rFonts w:ascii="Cambria" w:eastAsia="Cambria" w:hAnsi="Cambria" w:cs="Cambria"/>
          <w:sz w:val="24"/>
          <w:szCs w:val="24"/>
          <w:vertAlign w:val="superscript"/>
        </w:rPr>
        <w:footnoteReference w:id="6"/>
      </w:r>
      <w:r w:rsidRPr="00B02115">
        <w:rPr>
          <w:rFonts w:ascii="Cambria" w:eastAsia="Cambria" w:hAnsi="Cambria" w:cs="Cambria"/>
          <w:sz w:val="24"/>
          <w:szCs w:val="24"/>
        </w:rPr>
        <w:t xml:space="preserve">, solo 10 países de una muestra de 37 presentan algún tipo de exención en la importación de minimis, entre los cuales Colombia resalta por presentar el segundo umbral más alto (USD $200), solo superado por Costa Rica ($500). </w:t>
      </w:r>
    </w:p>
    <w:p w14:paraId="5027C531" w14:textId="77777777" w:rsidR="003A4451" w:rsidRPr="00B02115" w:rsidRDefault="003A4451">
      <w:pPr>
        <w:spacing w:line="240" w:lineRule="auto"/>
        <w:rPr>
          <w:rFonts w:ascii="Cambria" w:eastAsia="Cambria" w:hAnsi="Cambria" w:cs="Cambria"/>
          <w:sz w:val="24"/>
          <w:szCs w:val="24"/>
        </w:rPr>
      </w:pPr>
    </w:p>
    <w:p w14:paraId="20C4BEF8"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De esta forma, el presente Proyecto de Ley propone la derogación del numeral j del artículo 428 del ET, eliminando así la exención de IVA a la importación de minimis, y con esta modificación, se busca eliminar las distorsiones negativas de esta exención sobre el comercio local, así como fortalecer el recaudo del IVA al interior del territorio nacional. De acuerdo con estimaciones realizadas por la DIAN, la implementación de esta propuesta permitiría incrementar el recaudo en aproximadamente $640mm para el año 2026.</w:t>
      </w:r>
    </w:p>
    <w:p w14:paraId="36DF0596" w14:textId="77777777" w:rsidR="003A4451" w:rsidRPr="00B02115" w:rsidRDefault="003A4451">
      <w:pPr>
        <w:spacing w:line="240" w:lineRule="auto"/>
        <w:rPr>
          <w:rFonts w:ascii="Cambria" w:eastAsia="Cambria" w:hAnsi="Cambria" w:cs="Cambria"/>
          <w:b/>
          <w:bCs/>
          <w:sz w:val="24"/>
          <w:szCs w:val="24"/>
        </w:rPr>
      </w:pPr>
    </w:p>
    <w:p w14:paraId="24E62F00" w14:textId="77777777" w:rsidR="003A4451" w:rsidRPr="00B02115" w:rsidRDefault="007C798D">
      <w:pPr>
        <w:pStyle w:val="Ttulo3"/>
        <w:numPr>
          <w:ilvl w:val="1"/>
          <w:numId w:val="4"/>
        </w:numPr>
        <w:rPr>
          <w:rFonts w:ascii="Cambria" w:eastAsia="Cambria" w:hAnsi="Cambria" w:cs="Cambria"/>
          <w:sz w:val="24"/>
          <w:szCs w:val="24"/>
        </w:rPr>
      </w:pPr>
      <w:r w:rsidRPr="00B02115">
        <w:rPr>
          <w:rFonts w:ascii="Cambria" w:eastAsia="Cambria" w:hAnsi="Cambria" w:cs="Cambria"/>
          <w:sz w:val="24"/>
          <w:szCs w:val="24"/>
        </w:rPr>
        <w:t>LA URGENCIA DE NIVELAR EL TERRENO: EQUIDAD, EMPLEO Y SOBERANÍA PRODUCTIVA</w:t>
      </w:r>
    </w:p>
    <w:p w14:paraId="2DA5CEDF" w14:textId="77777777" w:rsidR="003A4451" w:rsidRPr="00B02115" w:rsidRDefault="003A4451">
      <w:pPr>
        <w:pStyle w:val="Ttulo3"/>
        <w:rPr>
          <w:rFonts w:ascii="Cambria" w:eastAsia="Cambria" w:hAnsi="Cambria" w:cs="Cambria"/>
          <w:b w:val="0"/>
          <w:bCs w:val="0"/>
          <w:sz w:val="24"/>
          <w:szCs w:val="24"/>
        </w:rPr>
      </w:pPr>
    </w:p>
    <w:p w14:paraId="4CFDF982" w14:textId="77777777" w:rsidR="003A4451" w:rsidRPr="00B02115" w:rsidRDefault="007C798D">
      <w:p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La presente ley es una respuesta directa y necesaria a esta realidad social y actual; no busca prohibir ni limitar el comercio electrónico, ni mucho menos, sino que busca modernizar la regulación para que refleje las realidades del comercio del siglo XXI protegiendo una empresa nacional compuesta por productores, fabricantes y exportadores.</w:t>
      </w:r>
    </w:p>
    <w:p w14:paraId="4659C86B" w14:textId="77777777" w:rsidR="003A4451" w:rsidRPr="00B02115" w:rsidRDefault="003A4451">
      <w:pPr>
        <w:pBdr>
          <w:top w:val="nil"/>
          <w:left w:val="nil"/>
          <w:bottom w:val="nil"/>
          <w:right w:val="nil"/>
          <w:between w:val="nil"/>
        </w:pBdr>
        <w:spacing w:line="240" w:lineRule="auto"/>
        <w:rPr>
          <w:rFonts w:ascii="Cambria" w:eastAsia="Cambria" w:hAnsi="Cambria" w:cs="Cambria"/>
          <w:color w:val="000000"/>
          <w:sz w:val="24"/>
          <w:szCs w:val="24"/>
        </w:rPr>
      </w:pPr>
    </w:p>
    <w:p w14:paraId="7D6A82B0" w14:textId="77777777" w:rsidR="003A4451" w:rsidRPr="00B02115" w:rsidRDefault="007C798D">
      <w:p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Es necesario regular el tema por:</w:t>
      </w:r>
    </w:p>
    <w:p w14:paraId="7A24A7A0" w14:textId="77777777" w:rsidR="003A4451" w:rsidRPr="00B02115" w:rsidRDefault="003A4451">
      <w:pPr>
        <w:pBdr>
          <w:top w:val="nil"/>
          <w:left w:val="nil"/>
          <w:bottom w:val="nil"/>
          <w:right w:val="nil"/>
          <w:between w:val="nil"/>
        </w:pBdr>
        <w:spacing w:line="240" w:lineRule="auto"/>
        <w:rPr>
          <w:rFonts w:ascii="Cambria" w:eastAsia="Cambria" w:hAnsi="Cambria" w:cs="Cambria"/>
          <w:color w:val="000000"/>
          <w:sz w:val="24"/>
          <w:szCs w:val="24"/>
        </w:rPr>
      </w:pPr>
    </w:p>
    <w:p w14:paraId="6B3F918B" w14:textId="77777777" w:rsidR="003A4451" w:rsidRPr="00B02115" w:rsidRDefault="007C798D">
      <w:pPr>
        <w:numPr>
          <w:ilvl w:val="0"/>
          <w:numId w:val="2"/>
        </w:numPr>
        <w:spacing w:line="240" w:lineRule="auto"/>
      </w:pPr>
      <w:r w:rsidRPr="00B02115">
        <w:rPr>
          <w:rFonts w:ascii="Cambria" w:eastAsia="Cambria" w:hAnsi="Cambria" w:cs="Cambria"/>
          <w:b/>
          <w:bCs/>
          <w:sz w:val="24"/>
          <w:szCs w:val="24"/>
        </w:rPr>
        <w:t>Por Equidad Tributaria (Art. 363, Constitución Política):</w:t>
      </w:r>
      <w:r w:rsidRPr="00B02115">
        <w:rPr>
          <w:rFonts w:ascii="Cambria" w:eastAsia="Cambria" w:hAnsi="Cambria" w:cs="Cambria"/>
          <w:sz w:val="24"/>
          <w:szCs w:val="24"/>
        </w:rPr>
        <w:t xml:space="preserve"> Es insostenible que una PYME en Itagüí, Bogotá o Cúcuta deba competir con una corporación multinacional que goza de una exención del 19% de IVA por el simple hecho de operar a través de una aplicación. </w:t>
      </w:r>
    </w:p>
    <w:p w14:paraId="00BF7B69" w14:textId="77777777" w:rsidR="003A4451" w:rsidRPr="00B02115" w:rsidRDefault="003A4451">
      <w:pPr>
        <w:spacing w:line="240" w:lineRule="auto"/>
        <w:ind w:left="720"/>
        <w:rPr>
          <w:rFonts w:ascii="Cambria" w:eastAsia="Cambria" w:hAnsi="Cambria" w:cs="Cambria"/>
          <w:sz w:val="24"/>
          <w:szCs w:val="24"/>
        </w:rPr>
      </w:pPr>
    </w:p>
    <w:p w14:paraId="4CEE0CA3" w14:textId="77777777" w:rsidR="003A4451" w:rsidRPr="00B02115" w:rsidRDefault="007C798D">
      <w:pPr>
        <w:spacing w:line="240" w:lineRule="auto"/>
        <w:ind w:left="720"/>
        <w:rPr>
          <w:rFonts w:ascii="Cambria" w:eastAsia="Cambria" w:hAnsi="Cambria" w:cs="Cambria"/>
          <w:sz w:val="24"/>
          <w:szCs w:val="24"/>
        </w:rPr>
      </w:pPr>
      <w:r w:rsidRPr="00B02115">
        <w:rPr>
          <w:rFonts w:ascii="Cambria" w:eastAsia="Cambria" w:hAnsi="Cambria" w:cs="Cambria"/>
          <w:sz w:val="24"/>
          <w:szCs w:val="24"/>
        </w:rPr>
        <w:t>Esta ley elimina ese privilegio y obliga a todos los actores a competir bajo la misma carga impositiva.</w:t>
      </w:r>
    </w:p>
    <w:p w14:paraId="6367AA79" w14:textId="77777777" w:rsidR="003A4451" w:rsidRPr="00B02115" w:rsidRDefault="007C798D">
      <w:pPr>
        <w:numPr>
          <w:ilvl w:val="0"/>
          <w:numId w:val="2"/>
        </w:numPr>
        <w:spacing w:line="240" w:lineRule="auto"/>
      </w:pPr>
      <w:r w:rsidRPr="00B02115">
        <w:rPr>
          <w:rFonts w:ascii="Cambria" w:eastAsia="Cambria" w:hAnsi="Cambria" w:cs="Cambria"/>
          <w:b/>
          <w:bCs/>
          <w:sz w:val="24"/>
          <w:szCs w:val="24"/>
        </w:rPr>
        <w:t>Por la Protección del Empleo:</w:t>
      </w:r>
      <w:r w:rsidRPr="00B02115">
        <w:rPr>
          <w:rFonts w:ascii="Cambria" w:eastAsia="Cambria" w:hAnsi="Cambria" w:cs="Cambria"/>
          <w:sz w:val="24"/>
          <w:szCs w:val="24"/>
        </w:rPr>
        <w:t xml:space="preserve"> La pérdida de cada punto porcentual de participación de mercado de la industria nacional frente a estas importaciones se traduce en la destrucción de miles de empleos formales. </w:t>
      </w:r>
    </w:p>
    <w:p w14:paraId="1B03C06C" w14:textId="77777777" w:rsidR="003A4451" w:rsidRPr="00B02115" w:rsidRDefault="003A4451">
      <w:pPr>
        <w:spacing w:line="240" w:lineRule="auto"/>
        <w:ind w:left="720"/>
        <w:rPr>
          <w:rFonts w:ascii="Cambria" w:eastAsia="Cambria" w:hAnsi="Cambria" w:cs="Cambria"/>
          <w:sz w:val="24"/>
          <w:szCs w:val="24"/>
        </w:rPr>
      </w:pPr>
    </w:p>
    <w:p w14:paraId="79F9A840" w14:textId="77777777" w:rsidR="003A4451" w:rsidRPr="00B02115" w:rsidRDefault="007C798D">
      <w:pPr>
        <w:spacing w:line="240" w:lineRule="auto"/>
        <w:ind w:left="720"/>
        <w:rPr>
          <w:rFonts w:ascii="Cambria" w:eastAsia="Cambria" w:hAnsi="Cambria" w:cs="Cambria"/>
          <w:sz w:val="24"/>
          <w:szCs w:val="24"/>
        </w:rPr>
      </w:pPr>
      <w:r w:rsidRPr="00B02115">
        <w:rPr>
          <w:rFonts w:ascii="Cambria" w:eastAsia="Cambria" w:hAnsi="Cambria" w:cs="Cambria"/>
          <w:sz w:val="24"/>
          <w:szCs w:val="24"/>
        </w:rPr>
        <w:t>Gravar estas importaciones no solo frena la sangría de puestos de trabajo, sino que incentiva la reinversión en la producción local.</w:t>
      </w:r>
    </w:p>
    <w:p w14:paraId="79B8A837" w14:textId="77777777" w:rsidR="003A4451" w:rsidRPr="00B02115" w:rsidRDefault="003A4451">
      <w:pPr>
        <w:spacing w:line="240" w:lineRule="auto"/>
        <w:ind w:left="720"/>
        <w:rPr>
          <w:rFonts w:ascii="Cambria" w:eastAsia="Cambria" w:hAnsi="Cambria" w:cs="Cambria"/>
          <w:sz w:val="24"/>
          <w:szCs w:val="24"/>
        </w:rPr>
      </w:pPr>
    </w:p>
    <w:p w14:paraId="3C1A47AF" w14:textId="77777777" w:rsidR="003A4451" w:rsidRPr="00B02115" w:rsidRDefault="007C798D">
      <w:pPr>
        <w:numPr>
          <w:ilvl w:val="0"/>
          <w:numId w:val="2"/>
        </w:numPr>
        <w:spacing w:line="240" w:lineRule="auto"/>
      </w:pPr>
      <w:r w:rsidRPr="00B02115">
        <w:rPr>
          <w:rFonts w:ascii="Cambria" w:eastAsia="Cambria" w:hAnsi="Cambria" w:cs="Cambria"/>
          <w:b/>
          <w:bCs/>
          <w:sz w:val="24"/>
          <w:szCs w:val="24"/>
        </w:rPr>
        <w:t>Por Soberanía Productiva:</w:t>
      </w:r>
      <w:r w:rsidRPr="00B02115">
        <w:rPr>
          <w:rFonts w:ascii="Cambria" w:eastAsia="Cambria" w:hAnsi="Cambria" w:cs="Cambria"/>
          <w:sz w:val="24"/>
          <w:szCs w:val="24"/>
        </w:rPr>
        <w:t xml:space="preserve"> Un país que renuncia a su capacidad de producir bienes esenciales como el vestuario y el calzado pierde autonomía y se vuelve vulnerable a las fluctuaciones de las cadenas de suministro globales. </w:t>
      </w:r>
    </w:p>
    <w:p w14:paraId="573CC83C" w14:textId="77777777" w:rsidR="003A4451" w:rsidRPr="00B02115" w:rsidRDefault="007C798D">
      <w:pPr>
        <w:spacing w:line="240" w:lineRule="auto"/>
        <w:ind w:left="720"/>
        <w:rPr>
          <w:rFonts w:ascii="Cambria" w:eastAsia="Cambria" w:hAnsi="Cambria" w:cs="Cambria"/>
          <w:sz w:val="24"/>
          <w:szCs w:val="24"/>
        </w:rPr>
      </w:pPr>
      <w:r w:rsidRPr="00B02115">
        <w:rPr>
          <w:rFonts w:ascii="Cambria" w:eastAsia="Cambria" w:hAnsi="Cambria" w:cs="Cambria"/>
          <w:sz w:val="24"/>
          <w:szCs w:val="24"/>
        </w:rPr>
        <w:t>Fortalecer la industria nacional es una decisión estratégica.</w:t>
      </w:r>
    </w:p>
    <w:p w14:paraId="51DA8076" w14:textId="77777777" w:rsidR="003A4451" w:rsidRPr="00B02115" w:rsidRDefault="003A4451">
      <w:pPr>
        <w:spacing w:line="240" w:lineRule="auto"/>
        <w:rPr>
          <w:rFonts w:ascii="Cambria" w:eastAsia="Cambria" w:hAnsi="Cambria" w:cs="Cambria"/>
          <w:sz w:val="24"/>
          <w:szCs w:val="24"/>
        </w:rPr>
      </w:pPr>
    </w:p>
    <w:p w14:paraId="467F0077" w14:textId="77777777" w:rsidR="003A4451" w:rsidRPr="00B02115" w:rsidRDefault="007C798D">
      <w:pPr>
        <w:pStyle w:val="Ttulo3"/>
        <w:numPr>
          <w:ilvl w:val="1"/>
          <w:numId w:val="4"/>
        </w:numPr>
        <w:rPr>
          <w:rFonts w:ascii="Cambria" w:eastAsia="Cambria" w:hAnsi="Cambria" w:cs="Cambria"/>
          <w:sz w:val="24"/>
          <w:szCs w:val="24"/>
        </w:rPr>
      </w:pPr>
      <w:bookmarkStart w:id="2" w:name="_heading=h.by7ikbtbfy4v" w:colFirst="0" w:colLast="0"/>
      <w:bookmarkEnd w:id="2"/>
      <w:r w:rsidRPr="00B02115">
        <w:rPr>
          <w:rFonts w:ascii="Cambria" w:eastAsia="Cambria" w:hAnsi="Cambria" w:cs="Cambria"/>
          <w:sz w:val="24"/>
          <w:szCs w:val="24"/>
        </w:rPr>
        <w:t>JUSTIFICACIÓN TÉCNICA Y ECONÓMICA: UNA MEDIDA QUIRÚRGICA Y FACTIBLE</w:t>
      </w:r>
    </w:p>
    <w:p w14:paraId="1141A7A8" w14:textId="77777777" w:rsidR="003A4451" w:rsidRPr="00B02115" w:rsidRDefault="003A4451">
      <w:pPr>
        <w:pStyle w:val="Ttulo3"/>
        <w:rPr>
          <w:rFonts w:ascii="Cambria" w:eastAsia="Cambria" w:hAnsi="Cambria" w:cs="Cambria"/>
          <w:sz w:val="24"/>
          <w:szCs w:val="24"/>
        </w:rPr>
      </w:pPr>
    </w:p>
    <w:p w14:paraId="1EC98404" w14:textId="77777777" w:rsidR="003A4451" w:rsidRPr="00B02115" w:rsidRDefault="007C798D">
      <w:p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La solución que propone este proyecto es tecnológicamente viable y económicamente racional.</w:t>
      </w:r>
    </w:p>
    <w:p w14:paraId="33DA58D5" w14:textId="77777777" w:rsidR="003A4451" w:rsidRPr="00B02115" w:rsidRDefault="003A4451">
      <w:pPr>
        <w:pBdr>
          <w:top w:val="nil"/>
          <w:left w:val="nil"/>
          <w:bottom w:val="nil"/>
          <w:right w:val="nil"/>
          <w:between w:val="nil"/>
        </w:pBdr>
        <w:spacing w:line="240" w:lineRule="auto"/>
        <w:rPr>
          <w:rFonts w:ascii="Cambria" w:eastAsia="Cambria" w:hAnsi="Cambria" w:cs="Cambria"/>
          <w:color w:val="000000"/>
          <w:sz w:val="24"/>
          <w:szCs w:val="24"/>
        </w:rPr>
      </w:pPr>
    </w:p>
    <w:p w14:paraId="5A8EB2E0"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En primer lugar, la viabilidad Técnica, aquí, la DIAN tiene la capacidad de implementar esta medida, donde la fiscalización se focalizará en las subpartidas arancelarias de los productos.</w:t>
      </w:r>
    </w:p>
    <w:p w14:paraId="2F7130DD" w14:textId="77777777" w:rsidR="003A4451" w:rsidRPr="00B02115" w:rsidRDefault="003A4451">
      <w:pPr>
        <w:spacing w:line="240" w:lineRule="auto"/>
        <w:rPr>
          <w:rFonts w:ascii="Cambria" w:eastAsia="Cambria" w:hAnsi="Cambria" w:cs="Cambria"/>
          <w:sz w:val="24"/>
          <w:szCs w:val="24"/>
        </w:rPr>
      </w:pPr>
    </w:p>
    <w:p w14:paraId="246C60EF"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La clave de la implementación, como lo demuestra la experiencia en la Unión Europea, es hacer responsables a los facilitadores del comercio: las propias plataformas y las empresas de mensajería. </w:t>
      </w:r>
    </w:p>
    <w:p w14:paraId="6CCF71B6" w14:textId="77777777" w:rsidR="003A4451" w:rsidRPr="00B02115" w:rsidRDefault="003A4451">
      <w:pPr>
        <w:spacing w:line="240" w:lineRule="auto"/>
        <w:rPr>
          <w:rFonts w:ascii="Cambria" w:eastAsia="Cambria" w:hAnsi="Cambria" w:cs="Cambria"/>
          <w:sz w:val="24"/>
          <w:szCs w:val="24"/>
        </w:rPr>
      </w:pPr>
    </w:p>
    <w:p w14:paraId="6D4A387E"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La ley mandata a la DIAN a desarrollar los mecanismos para que estas empresas liquiden y recauden el IVA en el punto de venta digital, así, si una aplicación puede procesar un pago con tarjeta de crédito en milisegundos, también puede liquidar y añadir el impuesto correspondiente al país de destino.</w:t>
      </w:r>
    </w:p>
    <w:p w14:paraId="536630D5" w14:textId="77777777" w:rsidR="003A4451" w:rsidRPr="00B02115" w:rsidRDefault="003A4451">
      <w:pPr>
        <w:spacing w:line="240" w:lineRule="auto"/>
        <w:rPr>
          <w:rFonts w:ascii="Cambria" w:eastAsia="Cambria" w:hAnsi="Cambria" w:cs="Cambria"/>
          <w:sz w:val="24"/>
          <w:szCs w:val="24"/>
        </w:rPr>
      </w:pPr>
    </w:p>
    <w:p w14:paraId="126C4D59"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Por otro lado, la racionalidad Económica, pues el impacto fiscal de esta medida es positivo por partida doble. Primero, genera un recaudo directo que hoy el Estado no percibe y segundo, y más importante, genera un beneficio económico indirecto al proteger la base gravable existente (empresas nacionales), preservar el empleo (y el consumo que este genera) y fomentar un entorno de competencia leal que atraiga inversión a la industria local.</w:t>
      </w:r>
    </w:p>
    <w:p w14:paraId="5FE00D5F" w14:textId="77777777" w:rsidR="003A4451" w:rsidRPr="00B02115" w:rsidRDefault="003A4451">
      <w:pPr>
        <w:spacing w:line="240" w:lineRule="auto"/>
        <w:rPr>
          <w:rFonts w:ascii="Cambria" w:eastAsia="Cambria" w:hAnsi="Cambria" w:cs="Cambria"/>
          <w:sz w:val="24"/>
          <w:szCs w:val="24"/>
        </w:rPr>
      </w:pPr>
    </w:p>
    <w:p w14:paraId="316DDEA3"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El costo fiscal de no actuar y permitir el desmantelamiento de este sector es incalculablemente mayor que cualquier costo de implementación.</w:t>
      </w:r>
    </w:p>
    <w:p w14:paraId="5F02E6FC" w14:textId="77777777" w:rsidR="003A4451" w:rsidRPr="00B02115" w:rsidRDefault="003A4451">
      <w:pPr>
        <w:spacing w:line="240" w:lineRule="auto"/>
        <w:rPr>
          <w:rFonts w:ascii="Cambria" w:eastAsia="Cambria" w:hAnsi="Cambria" w:cs="Cambria"/>
          <w:sz w:val="24"/>
          <w:szCs w:val="24"/>
        </w:rPr>
      </w:pPr>
    </w:p>
    <w:p w14:paraId="0D642E3D" w14:textId="77777777" w:rsidR="003A4451" w:rsidRPr="00B02115" w:rsidRDefault="007C798D">
      <w:pPr>
        <w:numPr>
          <w:ilvl w:val="1"/>
          <w:numId w:val="4"/>
        </w:num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b/>
          <w:bCs/>
          <w:color w:val="000000"/>
          <w:sz w:val="24"/>
          <w:szCs w:val="24"/>
        </w:rPr>
        <w:t>EVIDENCIAS DE USO INDEBIDO</w:t>
      </w:r>
    </w:p>
    <w:p w14:paraId="574E81B9" w14:textId="77777777" w:rsidR="003A4451" w:rsidRPr="00B02115" w:rsidRDefault="003A4451">
      <w:pPr>
        <w:spacing w:line="240" w:lineRule="auto"/>
        <w:rPr>
          <w:rFonts w:ascii="Cambria" w:eastAsia="Cambria" w:hAnsi="Cambria" w:cs="Cambria"/>
          <w:b/>
          <w:bCs/>
          <w:sz w:val="24"/>
          <w:szCs w:val="24"/>
        </w:rPr>
      </w:pPr>
    </w:p>
    <w:p w14:paraId="79D36C72"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El informe de justificación del Proyecto de Ley número 300 de 2024 Cámara, presentado por el Ministerio de Hacienda, señaló que, aunque en Colombia todas las </w:t>
      </w:r>
      <w:r w:rsidRPr="00B02115">
        <w:rPr>
          <w:rFonts w:ascii="Cambria" w:eastAsia="Cambria" w:hAnsi="Cambria" w:cs="Cambria"/>
          <w:sz w:val="24"/>
          <w:szCs w:val="24"/>
        </w:rPr>
        <w:lastRenderedPageBreak/>
        <w:t>importaciones de bienes y servicios están sujetas al IVA, las operaciones de bajo valor (régimen de minimis) se encuentran exentas del pago de este impuesto en el momento de su ingreso al país.</w:t>
      </w:r>
    </w:p>
    <w:p w14:paraId="3EF4543D" w14:textId="77777777" w:rsidR="003A4451" w:rsidRPr="00B02115" w:rsidRDefault="003A4451">
      <w:pPr>
        <w:spacing w:line="240" w:lineRule="auto"/>
        <w:rPr>
          <w:rFonts w:ascii="Cambria" w:eastAsia="Cambria" w:hAnsi="Cambria" w:cs="Cambria"/>
          <w:sz w:val="24"/>
          <w:szCs w:val="24"/>
        </w:rPr>
      </w:pPr>
    </w:p>
    <w:p w14:paraId="3E50878B"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Esta excepción fue incorporada mediante la Ley 1607 de 2012, siguiendo una práctica común en la mayoría de las economías de la OCDE en ese momento, cuyo propósito era simplificar la administración tributaria y reducir los costos de recaudo asociados a operaciones de escaso valor fiscal.</w:t>
      </w:r>
    </w:p>
    <w:p w14:paraId="326CC21A" w14:textId="77777777" w:rsidR="003A4451" w:rsidRPr="00B02115" w:rsidRDefault="003A4451">
      <w:pPr>
        <w:spacing w:line="240" w:lineRule="auto"/>
        <w:rPr>
          <w:rFonts w:ascii="Cambria" w:eastAsia="Cambria" w:hAnsi="Cambria" w:cs="Cambria"/>
          <w:sz w:val="24"/>
          <w:szCs w:val="24"/>
        </w:rPr>
      </w:pPr>
    </w:p>
    <w:p w14:paraId="115F3AC9"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Según la OCDE, en los años en que las mercancías de bajo valor representaban una fracción mínima del comercio internacional, los costos administrativos de gravar estos envíos superaban los ingresos obtenidos por el recaudo del IVA, razón por la cual su exención era económicamente eficiente. Sin embargo, el crecimiento acelerado del comercio digital minorista en los últimos años transformó este panorama. El auge de plataformas internacionales que venden directamente al consumidor, muchas de ellas radicadas en jurisdicciones donde no se genera IVA, ha provocado un aumento significativo del volumen de envíos de bajo costo, incrementando el costo fiscal de la exención.</w:t>
      </w:r>
    </w:p>
    <w:p w14:paraId="0D5EF49C" w14:textId="77777777" w:rsidR="003A4451" w:rsidRPr="00B02115" w:rsidRDefault="003A4451">
      <w:pPr>
        <w:spacing w:line="240" w:lineRule="auto"/>
        <w:rPr>
          <w:rFonts w:ascii="Cambria" w:eastAsia="Cambria" w:hAnsi="Cambria" w:cs="Cambria"/>
          <w:sz w:val="24"/>
          <w:szCs w:val="24"/>
        </w:rPr>
      </w:pPr>
    </w:p>
    <w:p w14:paraId="0EDAB202"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Este fenómeno ha erosionado la equidad tributaria, ya que las empresas nacionales que operan formalmente dentro del país sí deben asumir el IVA y otros gravámenes, enfrentando condiciones competitivas desiguales.</w:t>
      </w:r>
    </w:p>
    <w:p w14:paraId="76EBA614" w14:textId="77777777" w:rsidR="003A4451" w:rsidRPr="00B02115" w:rsidRDefault="003A4451">
      <w:pPr>
        <w:spacing w:line="240" w:lineRule="auto"/>
        <w:rPr>
          <w:rFonts w:ascii="Cambria" w:eastAsia="Cambria" w:hAnsi="Cambria" w:cs="Cambria"/>
          <w:sz w:val="24"/>
          <w:szCs w:val="24"/>
        </w:rPr>
      </w:pPr>
    </w:p>
    <w:p w14:paraId="494F45AD"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De acuerdo con la Acción 1 del Plan BEPS de la OCDE, este tipo de asimetrías fiscales debe corregirse mediante mecanismos que nivelen las cargas tributarias entre el comercio local y el transfronterizo. </w:t>
      </w:r>
    </w:p>
    <w:p w14:paraId="0130D3CB" w14:textId="77777777" w:rsidR="003A4451" w:rsidRPr="00B02115" w:rsidRDefault="003A4451">
      <w:pPr>
        <w:spacing w:line="240" w:lineRule="auto"/>
        <w:rPr>
          <w:rFonts w:ascii="Cambria" w:eastAsia="Cambria" w:hAnsi="Cambria" w:cs="Cambria"/>
          <w:sz w:val="24"/>
          <w:szCs w:val="24"/>
        </w:rPr>
      </w:pPr>
    </w:p>
    <w:p w14:paraId="4939D356"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En respuesta, numerosos países han eliminado o modificado sus regímenes de exención para los minimis. </w:t>
      </w:r>
    </w:p>
    <w:p w14:paraId="4A6D53BF" w14:textId="77777777" w:rsidR="003A4451" w:rsidRPr="00B02115" w:rsidRDefault="003A4451">
      <w:pPr>
        <w:spacing w:line="240" w:lineRule="auto"/>
        <w:rPr>
          <w:rFonts w:ascii="Cambria" w:eastAsia="Cambria" w:hAnsi="Cambria" w:cs="Cambria"/>
          <w:sz w:val="24"/>
          <w:szCs w:val="24"/>
        </w:rPr>
      </w:pPr>
    </w:p>
    <w:p w14:paraId="5F32B2F5"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Desde 2018, Australia, Nueva Zelanda, Noruega, Suiza, el Reino Unido y la Unión Europea han eliminado el beneficio o ajustado sus umbrales con el objetivo de equiparar las condiciones entre el comercio tradicional y el digital. Incluso Estados Unidos, que históricamente mantenía una exención para envíos inferiores a USD 800, ha empezado a restringirla para ciertos países de origen y categorías de producto. </w:t>
      </w:r>
    </w:p>
    <w:p w14:paraId="37084269"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El estudio “</w:t>
      </w:r>
      <w:proofErr w:type="spellStart"/>
      <w:r w:rsidRPr="00B02115">
        <w:rPr>
          <w:rFonts w:ascii="Cambria" w:eastAsia="Cambria" w:hAnsi="Cambria" w:cs="Cambria"/>
          <w:sz w:val="24"/>
          <w:szCs w:val="24"/>
        </w:rPr>
        <w:t>Consumption</w:t>
      </w:r>
      <w:proofErr w:type="spellEnd"/>
      <w:r w:rsidRPr="00B02115">
        <w:rPr>
          <w:rFonts w:ascii="Cambria" w:eastAsia="Cambria" w:hAnsi="Cambria" w:cs="Cambria"/>
          <w:sz w:val="24"/>
          <w:szCs w:val="24"/>
        </w:rPr>
        <w:t xml:space="preserve"> </w:t>
      </w:r>
      <w:proofErr w:type="spellStart"/>
      <w:r w:rsidRPr="00B02115">
        <w:rPr>
          <w:rFonts w:ascii="Cambria" w:eastAsia="Cambria" w:hAnsi="Cambria" w:cs="Cambria"/>
          <w:sz w:val="24"/>
          <w:szCs w:val="24"/>
        </w:rPr>
        <w:t>Tax</w:t>
      </w:r>
      <w:proofErr w:type="spellEnd"/>
      <w:r w:rsidRPr="00B02115">
        <w:rPr>
          <w:rFonts w:ascii="Cambria" w:eastAsia="Cambria" w:hAnsi="Cambria" w:cs="Cambria"/>
          <w:sz w:val="24"/>
          <w:szCs w:val="24"/>
        </w:rPr>
        <w:t xml:space="preserve"> </w:t>
      </w:r>
      <w:proofErr w:type="spellStart"/>
      <w:r w:rsidRPr="00B02115">
        <w:rPr>
          <w:rFonts w:ascii="Cambria" w:eastAsia="Cambria" w:hAnsi="Cambria" w:cs="Cambria"/>
          <w:sz w:val="24"/>
          <w:szCs w:val="24"/>
        </w:rPr>
        <w:t>Trends</w:t>
      </w:r>
      <w:proofErr w:type="spellEnd"/>
      <w:r w:rsidRPr="00B02115">
        <w:rPr>
          <w:rFonts w:ascii="Cambria" w:eastAsia="Cambria" w:hAnsi="Cambria" w:cs="Cambria"/>
          <w:sz w:val="24"/>
          <w:szCs w:val="24"/>
        </w:rPr>
        <w:t xml:space="preserve"> 2024” de la OCDE evidencia esta tendencia: solo 10 de los 37 países analizados mantienen algún tipo de exención en importaciones de bajo valor. En ese grupo, Colombia sobresale por tener el segundo umbral más alto del </w:t>
      </w:r>
      <w:r w:rsidRPr="00B02115">
        <w:rPr>
          <w:rFonts w:ascii="Cambria" w:eastAsia="Cambria" w:hAnsi="Cambria" w:cs="Cambria"/>
          <w:sz w:val="24"/>
          <w:szCs w:val="24"/>
        </w:rPr>
        <w:lastRenderedPageBreak/>
        <w:t xml:space="preserve">mundo (USD 200), superada únicamente por Costa Rica (USD 500), lo que la posiciona entre las jurisdicciones más permisivas en esta materia. </w:t>
      </w:r>
    </w:p>
    <w:p w14:paraId="52E89514" w14:textId="77777777" w:rsidR="003A4451" w:rsidRPr="00B02115" w:rsidRDefault="003A4451">
      <w:pPr>
        <w:spacing w:line="240" w:lineRule="auto"/>
        <w:rPr>
          <w:rFonts w:ascii="Cambria" w:eastAsia="Cambria" w:hAnsi="Cambria" w:cs="Cambria"/>
          <w:sz w:val="24"/>
          <w:szCs w:val="24"/>
        </w:rPr>
      </w:pPr>
    </w:p>
    <w:p w14:paraId="3FABFF6D"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De acuerdo con el mismo proyecto de ley citado, se afirma que en 2024 las importaciones por tráfico postal y envíos urgentes de hasta USD 200 alcanzaron USD 1.552 millones, el doble que en 2022. Este mismo análisis señala que la diferencia de precio frente al comercio formal puede ir de 19% a 60%, lo que incentiva </w:t>
      </w:r>
      <w:proofErr w:type="spellStart"/>
      <w:r w:rsidRPr="00B02115">
        <w:rPr>
          <w:rFonts w:ascii="Cambria" w:eastAsia="Cambria" w:hAnsi="Cambria" w:cs="Cambria"/>
          <w:sz w:val="24"/>
          <w:szCs w:val="24"/>
        </w:rPr>
        <w:t>showrooming</w:t>
      </w:r>
      <w:proofErr w:type="spellEnd"/>
      <w:r w:rsidRPr="00B02115">
        <w:rPr>
          <w:rFonts w:ascii="Cambria" w:eastAsia="Cambria" w:hAnsi="Cambria" w:cs="Cambria"/>
          <w:sz w:val="24"/>
          <w:szCs w:val="24"/>
        </w:rPr>
        <w:t xml:space="preserve">: probar en tienda física y comprar por la ruta exenta. </w:t>
      </w:r>
    </w:p>
    <w:p w14:paraId="4472C64C" w14:textId="77777777" w:rsidR="003A4451" w:rsidRPr="00B02115" w:rsidRDefault="003A4451">
      <w:pPr>
        <w:spacing w:line="240" w:lineRule="auto"/>
        <w:rPr>
          <w:rFonts w:ascii="Cambria" w:eastAsia="Cambria" w:hAnsi="Cambria" w:cs="Cambria"/>
          <w:sz w:val="24"/>
          <w:szCs w:val="24"/>
        </w:rPr>
      </w:pPr>
    </w:p>
    <w:p w14:paraId="022E3950"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Para conocer la prueba del uso abusivo del beneficio otorgado en el régimen de “</w:t>
      </w:r>
      <w:proofErr w:type="spellStart"/>
      <w:r w:rsidRPr="00B02115">
        <w:rPr>
          <w:rFonts w:ascii="Cambria" w:eastAsia="Cambria" w:hAnsi="Cambria" w:cs="Cambria"/>
          <w:sz w:val="24"/>
          <w:szCs w:val="24"/>
        </w:rPr>
        <w:t>mínimis</w:t>
      </w:r>
      <w:proofErr w:type="spellEnd"/>
      <w:r w:rsidRPr="00B02115">
        <w:rPr>
          <w:rFonts w:ascii="Cambria" w:eastAsia="Cambria" w:hAnsi="Cambria" w:cs="Cambria"/>
          <w:sz w:val="24"/>
          <w:szCs w:val="24"/>
        </w:rPr>
        <w:t>”, basta con visitar cualquier población en Colombia y evidenciar los “Centros de Distribución” informales que quienes comercializan este tipo de elementos han establecido para la distribución a clientes finales. Es claro que la importación de estos productos de manera fraccionada se hace con la intensión de su reventa desnaturalizando la exención de arancel e IVA otorgada en la norma.  Las fotos que a continuación se aportan como evidencias, son de ciudades capitales de departamento como Cúcuta y Popayán, pero también de poblaciones como Andes, Antioquia (población de 43.000 habitantes) y Titiribí, Antioquia (población de 12.000 habitantes que recibe entre 80 y 100 bolsas de las SHEIN al día). Así mismo, en algunas poblaciones ya identifican sus locales comerciales como “Centros de Distribución” de SHEIN.</w:t>
      </w:r>
    </w:p>
    <w:p w14:paraId="42597486" w14:textId="77777777" w:rsidR="003A4451" w:rsidRPr="00B02115" w:rsidRDefault="007C798D">
      <w:pPr>
        <w:spacing w:line="240" w:lineRule="auto"/>
        <w:rPr>
          <w:rFonts w:ascii="Cambria" w:eastAsia="Cambria" w:hAnsi="Cambria" w:cs="Cambria"/>
          <w:sz w:val="24"/>
          <w:szCs w:val="24"/>
        </w:rPr>
      </w:pPr>
      <w:r w:rsidRPr="00B02115">
        <w:rPr>
          <w:noProof/>
        </w:rPr>
        <w:lastRenderedPageBreak/>
        <w:drawing>
          <wp:anchor distT="0" distB="0" distL="0" distR="0" simplePos="0" relativeHeight="251661312" behindDoc="0" locked="0" layoutInCell="1" hidden="0" allowOverlap="1" wp14:anchorId="2A2B38D4" wp14:editId="572FD62F">
            <wp:simplePos x="0" y="0"/>
            <wp:positionH relativeFrom="column">
              <wp:posOffset>104775</wp:posOffset>
            </wp:positionH>
            <wp:positionV relativeFrom="paragraph">
              <wp:posOffset>278420</wp:posOffset>
            </wp:positionV>
            <wp:extent cx="1974627" cy="3505200"/>
            <wp:effectExtent l="0" t="0" r="0" b="0"/>
            <wp:wrapTopAndBottom distT="0" distB="0"/>
            <wp:docPr id="22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974627" cy="3505200"/>
                    </a:xfrm>
                    <a:prstGeom prst="rect">
                      <a:avLst/>
                    </a:prstGeom>
                    <a:ln/>
                  </pic:spPr>
                </pic:pic>
              </a:graphicData>
            </a:graphic>
          </wp:anchor>
        </w:drawing>
      </w:r>
      <w:r w:rsidRPr="00B02115">
        <w:rPr>
          <w:noProof/>
        </w:rPr>
        <w:drawing>
          <wp:anchor distT="0" distB="0" distL="0" distR="0" simplePos="0" relativeHeight="251662336" behindDoc="0" locked="0" layoutInCell="1" hidden="0" allowOverlap="1" wp14:anchorId="6138B99D" wp14:editId="5835B57E">
            <wp:simplePos x="0" y="0"/>
            <wp:positionH relativeFrom="column">
              <wp:posOffset>2931795</wp:posOffset>
            </wp:positionH>
            <wp:positionV relativeFrom="paragraph">
              <wp:posOffset>230504</wp:posOffset>
            </wp:positionV>
            <wp:extent cx="2680335" cy="3573779"/>
            <wp:effectExtent l="0" t="0" r="0" b="0"/>
            <wp:wrapTopAndBottom distT="0" distB="0"/>
            <wp:docPr id="228" name="image4.jpg" descr="La fachada de un local comercial  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4.jpg" descr="La fachada de un local comercial  El contenido generado por IA puede ser incorrecto."/>
                    <pic:cNvPicPr preferRelativeResize="0"/>
                  </pic:nvPicPr>
                  <pic:blipFill>
                    <a:blip r:embed="rId9"/>
                    <a:srcRect/>
                    <a:stretch>
                      <a:fillRect/>
                    </a:stretch>
                  </pic:blipFill>
                  <pic:spPr>
                    <a:xfrm>
                      <a:off x="0" y="0"/>
                      <a:ext cx="2680335" cy="3573779"/>
                    </a:xfrm>
                    <a:prstGeom prst="rect">
                      <a:avLst/>
                    </a:prstGeom>
                    <a:ln/>
                  </pic:spPr>
                </pic:pic>
              </a:graphicData>
            </a:graphic>
          </wp:anchor>
        </w:drawing>
      </w:r>
    </w:p>
    <w:p w14:paraId="7CD816F0" w14:textId="77777777" w:rsidR="003A4451" w:rsidRPr="00B02115" w:rsidRDefault="007C798D">
      <w:pPr>
        <w:widowControl w:val="0"/>
        <w:pBdr>
          <w:top w:val="nil"/>
          <w:left w:val="nil"/>
          <w:bottom w:val="nil"/>
          <w:right w:val="nil"/>
          <w:between w:val="nil"/>
        </w:pBdr>
        <w:spacing w:line="240" w:lineRule="auto"/>
        <w:ind w:left="495"/>
        <w:jc w:val="left"/>
        <w:rPr>
          <w:rFonts w:ascii="Cambria" w:eastAsia="Cambria" w:hAnsi="Cambria" w:cs="Cambria"/>
          <w:b/>
          <w:bCs/>
          <w:color w:val="000000"/>
          <w:sz w:val="24"/>
          <w:szCs w:val="24"/>
        </w:rPr>
      </w:pPr>
      <w:r w:rsidRPr="00B02115">
        <w:rPr>
          <w:rFonts w:ascii="Cambria" w:eastAsia="Cambria" w:hAnsi="Cambria" w:cs="Cambria"/>
          <w:b/>
          <w:bCs/>
          <w:color w:val="000000"/>
          <w:sz w:val="24"/>
          <w:szCs w:val="24"/>
        </w:rPr>
        <w:t>Popayán, Cauca</w:t>
      </w:r>
      <w:r w:rsidRPr="00B02115">
        <w:rPr>
          <w:rFonts w:ascii="Cambria" w:eastAsia="Cambria" w:hAnsi="Cambria" w:cs="Cambria"/>
          <w:b/>
          <w:bCs/>
          <w:color w:val="000000"/>
          <w:sz w:val="24"/>
          <w:szCs w:val="24"/>
        </w:rPr>
        <w:tab/>
      </w:r>
      <w:r w:rsidRPr="00B02115">
        <w:rPr>
          <w:rFonts w:ascii="Cambria" w:eastAsia="Cambria" w:hAnsi="Cambria" w:cs="Cambria"/>
          <w:b/>
          <w:bCs/>
          <w:color w:val="000000"/>
          <w:sz w:val="24"/>
          <w:szCs w:val="24"/>
        </w:rPr>
        <w:tab/>
      </w:r>
      <w:r w:rsidRPr="00B02115">
        <w:rPr>
          <w:rFonts w:ascii="Cambria" w:eastAsia="Cambria" w:hAnsi="Cambria" w:cs="Cambria"/>
          <w:b/>
          <w:bCs/>
          <w:color w:val="000000"/>
          <w:sz w:val="24"/>
          <w:szCs w:val="24"/>
        </w:rPr>
        <w:tab/>
      </w:r>
      <w:r w:rsidRPr="00B02115">
        <w:rPr>
          <w:rFonts w:ascii="Cambria" w:eastAsia="Cambria" w:hAnsi="Cambria" w:cs="Cambria"/>
          <w:b/>
          <w:bCs/>
          <w:color w:val="000000"/>
          <w:sz w:val="24"/>
          <w:szCs w:val="24"/>
        </w:rPr>
        <w:tab/>
      </w:r>
      <w:r w:rsidRPr="00B02115">
        <w:rPr>
          <w:rFonts w:ascii="Cambria" w:eastAsia="Cambria" w:hAnsi="Cambria" w:cs="Cambria"/>
          <w:b/>
          <w:bCs/>
          <w:color w:val="000000"/>
          <w:sz w:val="24"/>
          <w:szCs w:val="24"/>
        </w:rPr>
        <w:tab/>
      </w:r>
      <w:r w:rsidRPr="00B02115">
        <w:rPr>
          <w:rFonts w:ascii="Cambria" w:eastAsia="Cambria" w:hAnsi="Cambria" w:cs="Cambria"/>
          <w:b/>
          <w:bCs/>
          <w:color w:val="000000"/>
          <w:sz w:val="24"/>
          <w:szCs w:val="24"/>
        </w:rPr>
        <w:tab/>
        <w:t>Popayán, Cauca</w:t>
      </w:r>
    </w:p>
    <w:p w14:paraId="08F4F95D" w14:textId="77777777" w:rsidR="003A4451" w:rsidRPr="00B02115" w:rsidRDefault="003A4451">
      <w:pPr>
        <w:widowControl w:val="0"/>
        <w:pBdr>
          <w:top w:val="nil"/>
          <w:left w:val="nil"/>
          <w:bottom w:val="nil"/>
          <w:right w:val="nil"/>
          <w:between w:val="nil"/>
        </w:pBdr>
        <w:spacing w:line="240" w:lineRule="auto"/>
        <w:ind w:left="495"/>
        <w:jc w:val="left"/>
        <w:rPr>
          <w:rFonts w:ascii="Cambria" w:eastAsia="Cambria" w:hAnsi="Cambria" w:cs="Cambria"/>
          <w:b/>
          <w:bCs/>
          <w:color w:val="000000"/>
          <w:sz w:val="24"/>
          <w:szCs w:val="24"/>
        </w:rPr>
      </w:pPr>
    </w:p>
    <w:p w14:paraId="390F2825" w14:textId="77777777" w:rsidR="003A4451" w:rsidRPr="00B02115" w:rsidRDefault="007C798D">
      <w:pPr>
        <w:pBdr>
          <w:top w:val="nil"/>
          <w:left w:val="nil"/>
          <w:bottom w:val="nil"/>
          <w:right w:val="nil"/>
          <w:between w:val="nil"/>
        </w:pBdr>
        <w:tabs>
          <w:tab w:val="left" w:pos="5496"/>
        </w:tabs>
        <w:spacing w:line="240" w:lineRule="auto"/>
        <w:ind w:left="495"/>
        <w:rPr>
          <w:rFonts w:ascii="Cambria" w:eastAsia="Cambria" w:hAnsi="Cambria" w:cs="Cambria"/>
          <w:color w:val="000000"/>
          <w:sz w:val="40"/>
          <w:szCs w:val="40"/>
          <w:vertAlign w:val="superscript"/>
        </w:rPr>
      </w:pPr>
      <w:r w:rsidRPr="00B02115">
        <w:rPr>
          <w:rFonts w:ascii="Cambria" w:eastAsia="Cambria" w:hAnsi="Cambria" w:cs="Cambria"/>
          <w:noProof/>
          <w:color w:val="000000"/>
          <w:sz w:val="24"/>
          <w:szCs w:val="24"/>
        </w:rPr>
        <w:drawing>
          <wp:inline distT="0" distB="0" distL="0" distR="0" wp14:anchorId="1F808D79" wp14:editId="21C0279C">
            <wp:extent cx="1852860" cy="2476880"/>
            <wp:effectExtent l="0" t="0" r="0" b="0"/>
            <wp:docPr id="22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1852860" cy="2476880"/>
                    </a:xfrm>
                    <a:prstGeom prst="rect">
                      <a:avLst/>
                    </a:prstGeom>
                    <a:ln/>
                  </pic:spPr>
                </pic:pic>
              </a:graphicData>
            </a:graphic>
          </wp:inline>
        </w:drawing>
      </w:r>
      <w:r w:rsidRPr="00B02115">
        <w:rPr>
          <w:rFonts w:ascii="Cambria" w:eastAsia="Cambria" w:hAnsi="Cambria" w:cs="Cambria"/>
          <w:color w:val="000000"/>
          <w:sz w:val="40"/>
          <w:szCs w:val="40"/>
          <w:vertAlign w:val="superscript"/>
        </w:rPr>
        <w:tab/>
      </w:r>
      <w:r w:rsidRPr="00B02115">
        <w:rPr>
          <w:rFonts w:ascii="Cambria" w:eastAsia="Cambria" w:hAnsi="Cambria" w:cs="Cambria"/>
          <w:noProof/>
          <w:color w:val="000000"/>
          <w:sz w:val="24"/>
          <w:szCs w:val="24"/>
        </w:rPr>
        <w:drawing>
          <wp:inline distT="0" distB="0" distL="0" distR="0" wp14:anchorId="63BC5E8A" wp14:editId="4C83D04A">
            <wp:extent cx="1826409" cy="2438400"/>
            <wp:effectExtent l="0" t="0" r="0" b="0"/>
            <wp:docPr id="230" name="image6.jpg" descr="Texto, Carta  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6.jpg" descr="Texto, Carta  El contenido generado por IA puede ser incorrecto."/>
                    <pic:cNvPicPr preferRelativeResize="0"/>
                  </pic:nvPicPr>
                  <pic:blipFill>
                    <a:blip r:embed="rId11"/>
                    <a:srcRect/>
                    <a:stretch>
                      <a:fillRect/>
                    </a:stretch>
                  </pic:blipFill>
                  <pic:spPr>
                    <a:xfrm>
                      <a:off x="0" y="0"/>
                      <a:ext cx="1826409" cy="2438400"/>
                    </a:xfrm>
                    <a:prstGeom prst="rect">
                      <a:avLst/>
                    </a:prstGeom>
                    <a:ln/>
                  </pic:spPr>
                </pic:pic>
              </a:graphicData>
            </a:graphic>
          </wp:inline>
        </w:drawing>
      </w:r>
    </w:p>
    <w:p w14:paraId="1583F899" w14:textId="77777777" w:rsidR="003A4451" w:rsidRPr="00B02115" w:rsidRDefault="007C798D">
      <w:pPr>
        <w:pBdr>
          <w:top w:val="nil"/>
          <w:left w:val="nil"/>
          <w:bottom w:val="nil"/>
          <w:right w:val="nil"/>
          <w:between w:val="nil"/>
        </w:pBdr>
        <w:tabs>
          <w:tab w:val="left" w:pos="5496"/>
        </w:tabs>
        <w:spacing w:line="240" w:lineRule="auto"/>
        <w:ind w:left="495"/>
        <w:rPr>
          <w:rFonts w:ascii="Cambria" w:eastAsia="Cambria" w:hAnsi="Cambria" w:cs="Cambria"/>
          <w:color w:val="000000"/>
          <w:sz w:val="24"/>
          <w:szCs w:val="24"/>
        </w:rPr>
      </w:pPr>
      <w:r w:rsidRPr="00B02115">
        <w:rPr>
          <w:rFonts w:ascii="Cambria" w:eastAsia="Cambria" w:hAnsi="Cambria" w:cs="Cambria"/>
          <w:b/>
          <w:bCs/>
          <w:color w:val="000000"/>
          <w:sz w:val="24"/>
          <w:szCs w:val="24"/>
        </w:rPr>
        <w:lastRenderedPageBreak/>
        <w:t xml:space="preserve">Buzón </w:t>
      </w:r>
      <w:proofErr w:type="spellStart"/>
      <w:r w:rsidRPr="00B02115">
        <w:rPr>
          <w:rFonts w:ascii="Cambria" w:eastAsia="Cambria" w:hAnsi="Cambria" w:cs="Cambria"/>
          <w:b/>
          <w:bCs/>
          <w:color w:val="000000"/>
          <w:sz w:val="24"/>
          <w:szCs w:val="24"/>
        </w:rPr>
        <w:t>Shein</w:t>
      </w:r>
      <w:proofErr w:type="spellEnd"/>
      <w:r w:rsidRPr="00B02115">
        <w:rPr>
          <w:rFonts w:ascii="Cambria" w:eastAsia="Cambria" w:hAnsi="Cambria" w:cs="Cambria"/>
          <w:b/>
          <w:bCs/>
          <w:color w:val="000000"/>
          <w:sz w:val="24"/>
          <w:szCs w:val="24"/>
        </w:rPr>
        <w:t>, Titiribí, Antioquia</w:t>
      </w:r>
      <w:r w:rsidRPr="00B02115">
        <w:rPr>
          <w:rFonts w:ascii="Cambria" w:eastAsia="Cambria" w:hAnsi="Cambria" w:cs="Cambria"/>
          <w:b/>
          <w:bCs/>
          <w:color w:val="000000"/>
          <w:sz w:val="24"/>
          <w:szCs w:val="24"/>
        </w:rPr>
        <w:tab/>
        <w:t xml:space="preserve">   Buzón </w:t>
      </w:r>
      <w:proofErr w:type="spellStart"/>
      <w:r w:rsidRPr="00B02115">
        <w:rPr>
          <w:rFonts w:ascii="Cambria" w:eastAsia="Cambria" w:hAnsi="Cambria" w:cs="Cambria"/>
          <w:b/>
          <w:bCs/>
          <w:color w:val="000000"/>
          <w:sz w:val="24"/>
          <w:szCs w:val="24"/>
        </w:rPr>
        <w:t>Shein</w:t>
      </w:r>
      <w:proofErr w:type="spellEnd"/>
      <w:r w:rsidRPr="00B02115">
        <w:rPr>
          <w:rFonts w:ascii="Cambria" w:eastAsia="Cambria" w:hAnsi="Cambria" w:cs="Cambria"/>
          <w:b/>
          <w:bCs/>
          <w:color w:val="000000"/>
          <w:sz w:val="24"/>
          <w:szCs w:val="24"/>
        </w:rPr>
        <w:t>, Titiribí, Antioquia</w:t>
      </w:r>
    </w:p>
    <w:p w14:paraId="02E4C14E" w14:textId="77777777" w:rsidR="003A4451" w:rsidRPr="00B02115" w:rsidRDefault="007C798D">
      <w:pPr>
        <w:tabs>
          <w:tab w:val="left" w:pos="5338"/>
        </w:tabs>
        <w:spacing w:line="240" w:lineRule="auto"/>
        <w:rPr>
          <w:rFonts w:ascii="Cambria" w:eastAsia="Cambria" w:hAnsi="Cambria" w:cs="Cambria"/>
          <w:b/>
          <w:bCs/>
          <w:sz w:val="24"/>
          <w:szCs w:val="24"/>
        </w:rPr>
      </w:pPr>
      <w:r w:rsidRPr="00B02115">
        <w:rPr>
          <w:noProof/>
        </w:rPr>
        <w:drawing>
          <wp:anchor distT="0" distB="0" distL="0" distR="0" simplePos="0" relativeHeight="251663360" behindDoc="0" locked="0" layoutInCell="1" hidden="0" allowOverlap="1" wp14:anchorId="77DA7FE5" wp14:editId="14696C4E">
            <wp:simplePos x="0" y="0"/>
            <wp:positionH relativeFrom="column">
              <wp:posOffset>104775</wp:posOffset>
            </wp:positionH>
            <wp:positionV relativeFrom="paragraph">
              <wp:posOffset>52239</wp:posOffset>
            </wp:positionV>
            <wp:extent cx="3962659" cy="1832610"/>
            <wp:effectExtent l="0" t="0" r="0" b="0"/>
            <wp:wrapTopAndBottom distT="0" distB="0"/>
            <wp:docPr id="22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3962659" cy="1832610"/>
                    </a:xfrm>
                    <a:prstGeom prst="rect">
                      <a:avLst/>
                    </a:prstGeom>
                    <a:ln/>
                  </pic:spPr>
                </pic:pic>
              </a:graphicData>
            </a:graphic>
          </wp:anchor>
        </w:drawing>
      </w:r>
      <w:r w:rsidRPr="00B02115">
        <w:rPr>
          <w:noProof/>
        </w:rPr>
        <w:drawing>
          <wp:anchor distT="0" distB="0" distL="0" distR="0" simplePos="0" relativeHeight="251664384" behindDoc="0" locked="0" layoutInCell="1" hidden="0" allowOverlap="1" wp14:anchorId="2B6CA668" wp14:editId="0238B4DC">
            <wp:simplePos x="0" y="0"/>
            <wp:positionH relativeFrom="column">
              <wp:posOffset>0</wp:posOffset>
            </wp:positionH>
            <wp:positionV relativeFrom="paragraph">
              <wp:posOffset>2147739</wp:posOffset>
            </wp:positionV>
            <wp:extent cx="3878529" cy="1797367"/>
            <wp:effectExtent l="0" t="0" r="0" b="0"/>
            <wp:wrapTopAndBottom distT="0" distB="0"/>
            <wp:docPr id="233" name="image9.jpg" descr="Un cuarto color naranja  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9.jpg" descr="Un cuarto color naranja  El contenido generado por IA puede ser incorrecto."/>
                    <pic:cNvPicPr preferRelativeResize="0"/>
                  </pic:nvPicPr>
                  <pic:blipFill>
                    <a:blip r:embed="rId13"/>
                    <a:srcRect/>
                    <a:stretch>
                      <a:fillRect/>
                    </a:stretch>
                  </pic:blipFill>
                  <pic:spPr>
                    <a:xfrm>
                      <a:off x="0" y="0"/>
                      <a:ext cx="3878529" cy="1797367"/>
                    </a:xfrm>
                    <a:prstGeom prst="rect">
                      <a:avLst/>
                    </a:prstGeom>
                    <a:ln/>
                  </pic:spPr>
                </pic:pic>
              </a:graphicData>
            </a:graphic>
          </wp:anchor>
        </w:drawing>
      </w:r>
    </w:p>
    <w:p w14:paraId="1CD877E6" w14:textId="77777777" w:rsidR="003A4451" w:rsidRPr="00B02115" w:rsidRDefault="007C798D">
      <w:pPr>
        <w:pBdr>
          <w:top w:val="nil"/>
          <w:left w:val="nil"/>
          <w:bottom w:val="nil"/>
          <w:right w:val="nil"/>
          <w:between w:val="nil"/>
        </w:pBdr>
        <w:spacing w:line="240" w:lineRule="auto"/>
        <w:ind w:left="495"/>
        <w:rPr>
          <w:rFonts w:ascii="Cambria" w:eastAsia="Cambria" w:hAnsi="Cambria" w:cs="Cambria"/>
          <w:color w:val="000000"/>
          <w:sz w:val="24"/>
          <w:szCs w:val="24"/>
        </w:rPr>
      </w:pPr>
      <w:r w:rsidRPr="00B02115">
        <w:rPr>
          <w:rFonts w:ascii="Cambria" w:eastAsia="Cambria" w:hAnsi="Cambria" w:cs="Cambria"/>
          <w:b/>
          <w:bCs/>
          <w:color w:val="000000"/>
          <w:sz w:val="24"/>
          <w:szCs w:val="24"/>
        </w:rPr>
        <w:t>Buzón plataformas digitales, Andes, Antioquia</w:t>
      </w:r>
      <w:r w:rsidRPr="00B02115">
        <w:rPr>
          <w:rFonts w:ascii="Cambria" w:eastAsia="Cambria" w:hAnsi="Cambria" w:cs="Cambria"/>
          <w:color w:val="000000"/>
          <w:sz w:val="24"/>
          <w:szCs w:val="24"/>
        </w:rPr>
        <w:t>.</w:t>
      </w:r>
    </w:p>
    <w:p w14:paraId="377C6CA1" w14:textId="77777777" w:rsidR="003A4451" w:rsidRPr="00B02115" w:rsidRDefault="003A4451">
      <w:pPr>
        <w:pBdr>
          <w:top w:val="nil"/>
          <w:left w:val="nil"/>
          <w:bottom w:val="nil"/>
          <w:right w:val="nil"/>
          <w:between w:val="nil"/>
        </w:pBdr>
        <w:spacing w:line="240" w:lineRule="auto"/>
        <w:ind w:left="495"/>
        <w:rPr>
          <w:rFonts w:ascii="Cambria" w:eastAsia="Cambria" w:hAnsi="Cambria" w:cs="Cambria"/>
          <w:color w:val="000000"/>
          <w:sz w:val="24"/>
          <w:szCs w:val="24"/>
        </w:rPr>
      </w:pPr>
    </w:p>
    <w:p w14:paraId="3B601E33" w14:textId="77777777" w:rsidR="003A4451" w:rsidRPr="00B02115" w:rsidRDefault="007C798D">
      <w:pPr>
        <w:numPr>
          <w:ilvl w:val="1"/>
          <w:numId w:val="4"/>
        </w:num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b/>
          <w:bCs/>
          <w:color w:val="000000"/>
          <w:sz w:val="24"/>
          <w:szCs w:val="24"/>
        </w:rPr>
        <w:t>CIFRAS RELEVANTES</w:t>
      </w:r>
    </w:p>
    <w:p w14:paraId="71736FD4" w14:textId="77777777" w:rsidR="003A4451" w:rsidRPr="00B02115" w:rsidRDefault="003A4451">
      <w:pPr>
        <w:spacing w:line="240" w:lineRule="auto"/>
        <w:ind w:left="142"/>
        <w:rPr>
          <w:rFonts w:ascii="Cambria" w:eastAsia="Cambria" w:hAnsi="Cambria" w:cs="Cambria"/>
          <w:b/>
          <w:bCs/>
          <w:sz w:val="24"/>
          <w:szCs w:val="24"/>
        </w:rPr>
      </w:pPr>
    </w:p>
    <w:p w14:paraId="74960808" w14:textId="77777777" w:rsidR="003A4451" w:rsidRPr="00B02115" w:rsidRDefault="007C798D">
      <w:pPr>
        <w:numPr>
          <w:ilvl w:val="0"/>
          <w:numId w:val="5"/>
        </w:numPr>
        <w:pBdr>
          <w:top w:val="nil"/>
          <w:left w:val="nil"/>
          <w:bottom w:val="nil"/>
          <w:right w:val="nil"/>
          <w:between w:val="nil"/>
        </w:pBdr>
        <w:spacing w:line="240" w:lineRule="auto"/>
        <w:rPr>
          <w:color w:val="000000"/>
          <w:sz w:val="24"/>
          <w:szCs w:val="24"/>
        </w:rPr>
      </w:pPr>
      <w:r w:rsidRPr="00B02115">
        <w:rPr>
          <w:rFonts w:ascii="Cambria" w:eastAsia="Cambria" w:hAnsi="Cambria" w:cs="Cambria"/>
          <w:color w:val="000000"/>
          <w:sz w:val="24"/>
          <w:szCs w:val="24"/>
        </w:rPr>
        <w:t>USD 1.552 millones en 2024 por envíos ≤ USD 200. Fuente: Ministerio de Hacienda y Crédito Público. Exposición de motivos – Proyecto de Ley número 300 de 2024 (Ley de Financiamiento). Bogotá D.C., 2024. (Min Hacienda, Exposición de Motivos PL 300/2024).</w:t>
      </w:r>
    </w:p>
    <w:p w14:paraId="3ABF0A07" w14:textId="77777777" w:rsidR="003A4451" w:rsidRPr="00B02115" w:rsidRDefault="003A4451">
      <w:pPr>
        <w:pBdr>
          <w:top w:val="nil"/>
          <w:left w:val="nil"/>
          <w:bottom w:val="nil"/>
          <w:right w:val="nil"/>
          <w:between w:val="nil"/>
        </w:pBdr>
        <w:spacing w:line="240" w:lineRule="auto"/>
        <w:ind w:left="720"/>
        <w:rPr>
          <w:rFonts w:ascii="Cambria" w:eastAsia="Cambria" w:hAnsi="Cambria" w:cs="Cambria"/>
          <w:color w:val="000000"/>
          <w:sz w:val="24"/>
          <w:szCs w:val="24"/>
        </w:rPr>
      </w:pPr>
    </w:p>
    <w:p w14:paraId="4DF07068" w14:textId="77777777" w:rsidR="003A4451" w:rsidRPr="00B02115" w:rsidRDefault="007C798D">
      <w:pPr>
        <w:numPr>
          <w:ilvl w:val="0"/>
          <w:numId w:val="5"/>
        </w:numPr>
        <w:pBdr>
          <w:top w:val="nil"/>
          <w:left w:val="nil"/>
          <w:bottom w:val="nil"/>
          <w:right w:val="nil"/>
          <w:between w:val="nil"/>
        </w:pBdr>
        <w:spacing w:line="240" w:lineRule="auto"/>
        <w:rPr>
          <w:b/>
          <w:bCs/>
          <w:color w:val="000000"/>
          <w:sz w:val="24"/>
          <w:szCs w:val="24"/>
        </w:rPr>
      </w:pPr>
      <w:r w:rsidRPr="00B02115">
        <w:rPr>
          <w:rFonts w:ascii="Cambria" w:eastAsia="Cambria" w:hAnsi="Cambria" w:cs="Cambria"/>
          <w:color w:val="000000"/>
          <w:sz w:val="24"/>
          <w:szCs w:val="24"/>
        </w:rPr>
        <w:t>Crecimiento de venta por unidades en 2024 x2 respecto de 2022. Fuente: Cálculo incluido en la exposición de motivos del Proyecto de Ley número 300 de 2024, con base en estadísticas de comercio exterior de la DIAN (2022–2024). Min Hacienda, Exposición de Motivos PL 300/2024.</w:t>
      </w:r>
    </w:p>
    <w:p w14:paraId="1C1512A9" w14:textId="77777777" w:rsidR="003A4451" w:rsidRPr="00B02115" w:rsidRDefault="003A4451">
      <w:pPr>
        <w:pBdr>
          <w:top w:val="nil"/>
          <w:left w:val="nil"/>
          <w:bottom w:val="nil"/>
          <w:right w:val="nil"/>
          <w:between w:val="nil"/>
        </w:pBdr>
        <w:spacing w:line="240" w:lineRule="auto"/>
        <w:ind w:left="720"/>
        <w:rPr>
          <w:rFonts w:ascii="Cambria" w:eastAsia="Cambria" w:hAnsi="Cambria" w:cs="Cambria"/>
          <w:b/>
          <w:bCs/>
          <w:color w:val="000000"/>
          <w:sz w:val="24"/>
          <w:szCs w:val="24"/>
        </w:rPr>
      </w:pPr>
    </w:p>
    <w:p w14:paraId="6F799ECE" w14:textId="77777777" w:rsidR="003A4451" w:rsidRPr="00B02115" w:rsidRDefault="007C798D">
      <w:pPr>
        <w:numPr>
          <w:ilvl w:val="0"/>
          <w:numId w:val="5"/>
        </w:numPr>
        <w:pBdr>
          <w:top w:val="nil"/>
          <w:left w:val="nil"/>
          <w:bottom w:val="nil"/>
          <w:right w:val="nil"/>
          <w:between w:val="nil"/>
        </w:pBdr>
        <w:spacing w:line="240" w:lineRule="auto"/>
        <w:rPr>
          <w:b/>
          <w:bCs/>
          <w:color w:val="000000"/>
          <w:sz w:val="24"/>
          <w:szCs w:val="24"/>
        </w:rPr>
      </w:pPr>
      <w:r w:rsidRPr="00B02115">
        <w:rPr>
          <w:rFonts w:ascii="Cambria" w:eastAsia="Cambria" w:hAnsi="Cambria" w:cs="Cambria"/>
          <w:color w:val="000000"/>
          <w:sz w:val="24"/>
          <w:szCs w:val="24"/>
        </w:rPr>
        <w:lastRenderedPageBreak/>
        <w:t>Origen China ≈ 75% y composición textil/confección/calzado/accesorios ≈ 60%. Dirección de Impuestos y Aduanas Nacionales (DIAN). Estadísticas de comercio exterior: importaciones por tráfico postal y envíos urgentes, 2022-2024.</w:t>
      </w:r>
    </w:p>
    <w:p w14:paraId="27CE34A1" w14:textId="77777777" w:rsidR="003A4451" w:rsidRPr="00B02115" w:rsidRDefault="003A4451">
      <w:pPr>
        <w:pBdr>
          <w:top w:val="nil"/>
          <w:left w:val="nil"/>
          <w:bottom w:val="nil"/>
          <w:right w:val="nil"/>
          <w:between w:val="nil"/>
        </w:pBdr>
        <w:spacing w:line="240" w:lineRule="auto"/>
        <w:ind w:left="720"/>
        <w:rPr>
          <w:rFonts w:ascii="Cambria" w:eastAsia="Cambria" w:hAnsi="Cambria" w:cs="Cambria"/>
          <w:color w:val="000000"/>
          <w:sz w:val="24"/>
          <w:szCs w:val="24"/>
        </w:rPr>
      </w:pPr>
    </w:p>
    <w:p w14:paraId="2CC5DEA1" w14:textId="77777777" w:rsidR="003A4451" w:rsidRPr="00B02115" w:rsidRDefault="007C798D">
      <w:pPr>
        <w:numPr>
          <w:ilvl w:val="0"/>
          <w:numId w:val="5"/>
        </w:numPr>
        <w:pBdr>
          <w:top w:val="nil"/>
          <w:left w:val="nil"/>
          <w:bottom w:val="nil"/>
          <w:right w:val="nil"/>
          <w:between w:val="nil"/>
        </w:pBdr>
        <w:spacing w:line="240" w:lineRule="auto"/>
        <w:rPr>
          <w:b/>
          <w:bCs/>
          <w:color w:val="000000"/>
          <w:sz w:val="24"/>
          <w:szCs w:val="24"/>
        </w:rPr>
      </w:pPr>
      <w:r w:rsidRPr="00B02115">
        <w:rPr>
          <w:rFonts w:ascii="Cambria" w:eastAsia="Cambria" w:hAnsi="Cambria" w:cs="Cambria"/>
          <w:color w:val="000000"/>
          <w:sz w:val="24"/>
          <w:szCs w:val="24"/>
        </w:rPr>
        <w:t>Recaudo dejado de percibir ≈ COP 1,8 billones. Estimación con base en datos de comercio exterior de la DIAN (2024) y tarifas promedio arancelarias y de IVA reportadas por la Organización Mundial del Comercio (OMC) (</w:t>
      </w:r>
      <w:proofErr w:type="spellStart"/>
      <w:r w:rsidRPr="00B02115">
        <w:rPr>
          <w:rFonts w:ascii="Cambria" w:eastAsia="Cambria" w:hAnsi="Cambria" w:cs="Cambria"/>
          <w:color w:val="000000"/>
          <w:sz w:val="24"/>
          <w:szCs w:val="24"/>
        </w:rPr>
        <w:t>Trade</w:t>
      </w:r>
      <w:proofErr w:type="spellEnd"/>
      <w:r w:rsidRPr="00B02115">
        <w:rPr>
          <w:rFonts w:ascii="Cambria" w:eastAsia="Cambria" w:hAnsi="Cambria" w:cs="Cambria"/>
          <w:color w:val="000000"/>
          <w:sz w:val="24"/>
          <w:szCs w:val="24"/>
        </w:rPr>
        <w:t xml:space="preserve"> </w:t>
      </w:r>
      <w:proofErr w:type="spellStart"/>
      <w:r w:rsidRPr="00B02115">
        <w:rPr>
          <w:rFonts w:ascii="Cambria" w:eastAsia="Cambria" w:hAnsi="Cambria" w:cs="Cambria"/>
          <w:color w:val="000000"/>
          <w:sz w:val="24"/>
          <w:szCs w:val="24"/>
        </w:rPr>
        <w:t>Policy</w:t>
      </w:r>
      <w:proofErr w:type="spellEnd"/>
      <w:r w:rsidRPr="00B02115">
        <w:rPr>
          <w:rFonts w:ascii="Cambria" w:eastAsia="Cambria" w:hAnsi="Cambria" w:cs="Cambria"/>
          <w:color w:val="000000"/>
          <w:sz w:val="24"/>
          <w:szCs w:val="24"/>
        </w:rPr>
        <w:t xml:space="preserve"> </w:t>
      </w:r>
      <w:proofErr w:type="spellStart"/>
      <w:r w:rsidRPr="00B02115">
        <w:rPr>
          <w:rFonts w:ascii="Cambria" w:eastAsia="Cambria" w:hAnsi="Cambria" w:cs="Cambria"/>
          <w:color w:val="000000"/>
          <w:sz w:val="24"/>
          <w:szCs w:val="24"/>
        </w:rPr>
        <w:t>Review</w:t>
      </w:r>
      <w:proofErr w:type="spellEnd"/>
      <w:r w:rsidRPr="00B02115">
        <w:rPr>
          <w:rFonts w:ascii="Cambria" w:eastAsia="Cambria" w:hAnsi="Cambria" w:cs="Cambria"/>
          <w:color w:val="000000"/>
          <w:sz w:val="24"/>
          <w:szCs w:val="24"/>
        </w:rPr>
        <w:t xml:space="preserve"> Colombia 2024). </w:t>
      </w:r>
    </w:p>
    <w:p w14:paraId="3DFA8DAC" w14:textId="77777777" w:rsidR="003A4451" w:rsidRPr="00B02115" w:rsidRDefault="003A4451">
      <w:pPr>
        <w:pBdr>
          <w:top w:val="nil"/>
          <w:left w:val="nil"/>
          <w:bottom w:val="nil"/>
          <w:right w:val="nil"/>
          <w:between w:val="nil"/>
        </w:pBdr>
        <w:spacing w:line="240" w:lineRule="auto"/>
        <w:ind w:left="720"/>
        <w:rPr>
          <w:rFonts w:ascii="Cambria" w:eastAsia="Cambria" w:hAnsi="Cambria" w:cs="Cambria"/>
          <w:b/>
          <w:bCs/>
          <w:color w:val="000000"/>
          <w:sz w:val="24"/>
          <w:szCs w:val="24"/>
        </w:rPr>
      </w:pPr>
    </w:p>
    <w:p w14:paraId="5019C864" w14:textId="77777777" w:rsidR="003A4451" w:rsidRPr="00B02115" w:rsidRDefault="007C798D">
      <w:pPr>
        <w:numPr>
          <w:ilvl w:val="0"/>
          <w:numId w:val="5"/>
        </w:numPr>
        <w:pBdr>
          <w:top w:val="nil"/>
          <w:left w:val="nil"/>
          <w:bottom w:val="nil"/>
          <w:right w:val="nil"/>
          <w:between w:val="nil"/>
        </w:pBdr>
        <w:spacing w:line="240" w:lineRule="auto"/>
        <w:rPr>
          <w:b/>
          <w:bCs/>
          <w:color w:val="000000"/>
          <w:sz w:val="24"/>
          <w:szCs w:val="24"/>
        </w:rPr>
      </w:pPr>
      <w:r w:rsidRPr="00B02115">
        <w:rPr>
          <w:rFonts w:ascii="Cambria" w:eastAsia="Cambria" w:hAnsi="Cambria" w:cs="Cambria"/>
          <w:color w:val="000000"/>
          <w:sz w:val="24"/>
          <w:szCs w:val="24"/>
        </w:rPr>
        <w:t>Comercio electrónico 2023: COP 62,1 billones y 370,5 millones de transacciones. Fuente: Cámara Colombiana de Comercio Electrónico (CCCE). Informe de comportamiento del comercio electrónico en Colombia 2023. Bogotá, D. C., febrero de 2024. CCCE, Informe e-Commerce Colombia 2023.</w:t>
      </w:r>
    </w:p>
    <w:p w14:paraId="0829740E" w14:textId="77777777" w:rsidR="003A4451" w:rsidRPr="00B02115" w:rsidRDefault="003A4451">
      <w:pPr>
        <w:spacing w:line="240" w:lineRule="auto"/>
        <w:rPr>
          <w:rFonts w:ascii="Cambria" w:eastAsia="Cambria" w:hAnsi="Cambria" w:cs="Cambria"/>
          <w:b/>
          <w:bCs/>
          <w:sz w:val="24"/>
          <w:szCs w:val="24"/>
        </w:rPr>
      </w:pPr>
    </w:p>
    <w:p w14:paraId="3955FAC1" w14:textId="77777777" w:rsidR="003A4451" w:rsidRPr="00B02115" w:rsidRDefault="007C798D">
      <w:pPr>
        <w:numPr>
          <w:ilvl w:val="1"/>
          <w:numId w:val="4"/>
        </w:num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b/>
          <w:bCs/>
          <w:color w:val="000000"/>
          <w:sz w:val="24"/>
          <w:szCs w:val="24"/>
        </w:rPr>
        <w:t>ABUSO DEL DERECHO Y RÉGIMEN DE COMPETENCIA</w:t>
      </w:r>
    </w:p>
    <w:p w14:paraId="32818466" w14:textId="77777777" w:rsidR="003A4451" w:rsidRPr="00B02115" w:rsidRDefault="003A4451">
      <w:pPr>
        <w:spacing w:line="240" w:lineRule="auto"/>
        <w:rPr>
          <w:rFonts w:ascii="Cambria" w:eastAsia="Cambria" w:hAnsi="Cambria" w:cs="Cambria"/>
          <w:b/>
          <w:bCs/>
          <w:sz w:val="24"/>
          <w:szCs w:val="24"/>
        </w:rPr>
      </w:pPr>
    </w:p>
    <w:p w14:paraId="2DC0FF11"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Cuando un operador divide pedidos, usa reiteradamente el tope de USD 200 o importa unidades idénticas con destino a reventa, usa un beneficio fiscal para un fin distinto al legislado: eso es abuso del derecho (artículo 83 C.P.). La jurisprudencia ha sancionado la fragmentación para eludir tributos. </w:t>
      </w:r>
    </w:p>
    <w:p w14:paraId="600609FD" w14:textId="77777777" w:rsidR="003A4451" w:rsidRPr="00B02115" w:rsidRDefault="003A4451">
      <w:pPr>
        <w:spacing w:line="240" w:lineRule="auto"/>
        <w:rPr>
          <w:rFonts w:ascii="Cambria" w:eastAsia="Cambria" w:hAnsi="Cambria" w:cs="Cambria"/>
          <w:sz w:val="24"/>
          <w:szCs w:val="24"/>
        </w:rPr>
      </w:pPr>
    </w:p>
    <w:p w14:paraId="62BA0E71"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Esto genera competencia desleal frente a productores nacionales y comercio organizado que sí pagan tributos. </w:t>
      </w:r>
    </w:p>
    <w:p w14:paraId="16C8F599" w14:textId="77777777" w:rsidR="003A4451" w:rsidRPr="00B02115" w:rsidRDefault="003A4451">
      <w:pPr>
        <w:spacing w:line="240" w:lineRule="auto"/>
        <w:rPr>
          <w:rFonts w:ascii="Cambria" w:eastAsia="Cambria" w:hAnsi="Cambria" w:cs="Cambria"/>
          <w:sz w:val="24"/>
          <w:szCs w:val="24"/>
        </w:rPr>
      </w:pPr>
    </w:p>
    <w:p w14:paraId="36829B51"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El abuso en materia tributaria en Colombia está regulado principalmente por el artículo 869 del Estatuto Tributario (ET). Este artículo, introducido por la Ley 1819 de 2016, otorga a la DIAN la facultad de reconfigurar operaciones o series de operaciones que constituyan abuso tributario y, en consecuencia, desconocer sus efectos fiscales. </w:t>
      </w:r>
    </w:p>
    <w:p w14:paraId="4B8D36C3" w14:textId="77777777" w:rsidR="003A4451" w:rsidRPr="00B02115" w:rsidRDefault="003A4451">
      <w:pPr>
        <w:spacing w:line="240" w:lineRule="auto"/>
        <w:rPr>
          <w:rFonts w:ascii="Cambria" w:eastAsia="Cambria" w:hAnsi="Cambria" w:cs="Cambria"/>
          <w:sz w:val="24"/>
          <w:szCs w:val="24"/>
        </w:rPr>
      </w:pPr>
    </w:p>
    <w:p w14:paraId="037AA37F"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En línea con lo anterior se considera abuso tributario cuando se utilizan actos o negocios jurídicos artificiosos sin un propósito económico o comercial válido, con el objetivo de obtener un provecho tributario. Así mismo, se consideran artificiosos aquellos actos o negocios que no son razonables en términos económicos, generan un beneficio fiscal elevado sin asumir riesgos empresariales, o cuya forma legal esconde la verdadera intención de las partes. En estos casos, la DIAN tiene la potestad de determinar la verdadera naturaleza de una operación, más allá de cómo la presente el contribuyente, y calcular los impuestos, intereses y sanciones correspondientes.</w:t>
      </w:r>
    </w:p>
    <w:p w14:paraId="12DEEBA6" w14:textId="77777777" w:rsidR="003A4451" w:rsidRPr="00B02115" w:rsidRDefault="003A4451">
      <w:pPr>
        <w:spacing w:line="240" w:lineRule="auto"/>
        <w:rPr>
          <w:rFonts w:ascii="Cambria" w:eastAsia="Cambria" w:hAnsi="Cambria" w:cs="Cambria"/>
          <w:sz w:val="24"/>
          <w:szCs w:val="24"/>
        </w:rPr>
      </w:pPr>
    </w:p>
    <w:p w14:paraId="0D02EEBD" w14:textId="77777777" w:rsidR="003A4451" w:rsidRPr="00B02115" w:rsidRDefault="007C798D">
      <w:pPr>
        <w:numPr>
          <w:ilvl w:val="1"/>
          <w:numId w:val="4"/>
        </w:numPr>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b/>
          <w:bCs/>
          <w:color w:val="000000"/>
          <w:sz w:val="24"/>
          <w:szCs w:val="24"/>
        </w:rPr>
        <w:t xml:space="preserve">COMPARATIVO CON OTRAS LEGISLACIONES </w:t>
      </w:r>
    </w:p>
    <w:p w14:paraId="448D7B50" w14:textId="77777777" w:rsidR="003A4451" w:rsidRPr="00B02115" w:rsidRDefault="003A4451">
      <w:pPr>
        <w:spacing w:line="240" w:lineRule="auto"/>
        <w:ind w:left="142"/>
        <w:rPr>
          <w:rFonts w:ascii="Cambria" w:eastAsia="Cambria" w:hAnsi="Cambria" w:cs="Cambria"/>
          <w:b/>
          <w:bCs/>
          <w:sz w:val="24"/>
          <w:szCs w:val="24"/>
        </w:rPr>
      </w:pPr>
    </w:p>
    <w:p w14:paraId="02C07DD0" w14:textId="77777777" w:rsidR="003A4451" w:rsidRPr="00B02115" w:rsidRDefault="007C798D">
      <w:pPr>
        <w:spacing w:line="240" w:lineRule="auto"/>
        <w:ind w:left="142"/>
        <w:rPr>
          <w:rFonts w:ascii="Cambria" w:eastAsia="Cambria" w:hAnsi="Cambria" w:cs="Cambria"/>
          <w:sz w:val="24"/>
          <w:szCs w:val="24"/>
        </w:rPr>
      </w:pPr>
      <w:r w:rsidRPr="00B02115">
        <w:rPr>
          <w:rFonts w:ascii="Cambria" w:eastAsia="Cambria" w:hAnsi="Cambria" w:cs="Cambria"/>
          <w:sz w:val="24"/>
          <w:szCs w:val="24"/>
        </w:rPr>
        <w:t xml:space="preserve">Colombia posee uno de los umbrales más altos y permisivos del continente, lo que la convierte en un destino atractivo para estrategias de evasión fiscal. </w:t>
      </w:r>
    </w:p>
    <w:p w14:paraId="2DA74E8F" w14:textId="77777777" w:rsidR="003A4451" w:rsidRPr="00B02115" w:rsidRDefault="003A4451">
      <w:pPr>
        <w:spacing w:line="240" w:lineRule="auto"/>
        <w:ind w:left="142"/>
        <w:rPr>
          <w:rFonts w:ascii="Cambria" w:eastAsia="Cambria" w:hAnsi="Cambria" w:cs="Cambria"/>
          <w:sz w:val="24"/>
          <w:szCs w:val="24"/>
        </w:rPr>
      </w:pPr>
    </w:p>
    <w:tbl>
      <w:tblPr>
        <w:tblStyle w:val="a2"/>
        <w:tblW w:w="9978" w:type="dxa"/>
        <w:jc w:val="center"/>
        <w:tblBorders>
          <w:top w:val="single" w:sz="6" w:space="0" w:color="CCCCCC"/>
          <w:bottom w:val="single" w:sz="6" w:space="0" w:color="CCCCCC"/>
          <w:insideH w:val="single" w:sz="4" w:space="0" w:color="CCCCCC"/>
        </w:tblBorders>
        <w:tblLayout w:type="fixed"/>
        <w:tblLook w:val="0400" w:firstRow="0" w:lastRow="0" w:firstColumn="0" w:lastColumn="0" w:noHBand="0" w:noVBand="1"/>
      </w:tblPr>
      <w:tblGrid>
        <w:gridCol w:w="1357"/>
        <w:gridCol w:w="1676"/>
        <w:gridCol w:w="2268"/>
        <w:gridCol w:w="4677"/>
      </w:tblGrid>
      <w:tr w:rsidR="003A4451" w:rsidRPr="00B02115" w14:paraId="0A31E960" w14:textId="77777777">
        <w:trPr>
          <w:cantSplit/>
          <w:tblHeader/>
          <w:jc w:val="center"/>
        </w:trPr>
        <w:tc>
          <w:tcPr>
            <w:tcW w:w="1357" w:type="dxa"/>
            <w:shd w:val="clear" w:color="auto" w:fill="0F2043"/>
            <w:tcMar>
              <w:top w:w="140" w:type="dxa"/>
              <w:left w:w="150" w:type="dxa"/>
              <w:bottom w:w="140" w:type="dxa"/>
              <w:right w:w="150" w:type="dxa"/>
            </w:tcMar>
          </w:tcPr>
          <w:p w14:paraId="067D8E0F" w14:textId="77777777" w:rsidR="003A4451" w:rsidRPr="00B02115" w:rsidRDefault="007C798D">
            <w:pPr>
              <w:rPr>
                <w:rFonts w:ascii="Cambria" w:eastAsia="Cambria" w:hAnsi="Cambria" w:cs="Cambria"/>
              </w:rPr>
            </w:pPr>
            <w:r w:rsidRPr="00B02115">
              <w:rPr>
                <w:rFonts w:ascii="Cambria" w:eastAsia="Cambria" w:hAnsi="Cambria" w:cs="Cambria"/>
                <w:b/>
                <w:bCs/>
                <w:color w:val="FFFFFF"/>
                <w:sz w:val="20"/>
                <w:szCs w:val="20"/>
              </w:rPr>
              <w:t>PAÍS</w:t>
            </w:r>
          </w:p>
        </w:tc>
        <w:tc>
          <w:tcPr>
            <w:tcW w:w="1676" w:type="dxa"/>
            <w:shd w:val="clear" w:color="auto" w:fill="0F2043"/>
            <w:tcMar>
              <w:top w:w="140" w:type="dxa"/>
              <w:left w:w="150" w:type="dxa"/>
              <w:bottom w:w="140" w:type="dxa"/>
              <w:right w:w="150" w:type="dxa"/>
            </w:tcMar>
          </w:tcPr>
          <w:p w14:paraId="19BF9238" w14:textId="77777777" w:rsidR="003A4451" w:rsidRPr="00B02115" w:rsidRDefault="007C798D">
            <w:pPr>
              <w:rPr>
                <w:rFonts w:ascii="Cambria" w:eastAsia="Cambria" w:hAnsi="Cambria" w:cs="Cambria"/>
              </w:rPr>
            </w:pPr>
            <w:r w:rsidRPr="00B02115">
              <w:rPr>
                <w:rFonts w:ascii="Cambria" w:eastAsia="Cambria" w:hAnsi="Cambria" w:cs="Cambria"/>
                <w:b/>
                <w:bCs/>
                <w:color w:val="FFFFFF"/>
                <w:sz w:val="20"/>
                <w:szCs w:val="20"/>
              </w:rPr>
              <w:t>DE MINIMIS A LA IMPORTACIÓN</w:t>
            </w:r>
          </w:p>
        </w:tc>
        <w:tc>
          <w:tcPr>
            <w:tcW w:w="2268" w:type="dxa"/>
            <w:shd w:val="clear" w:color="auto" w:fill="0F2043"/>
            <w:tcMar>
              <w:top w:w="140" w:type="dxa"/>
              <w:left w:w="150" w:type="dxa"/>
              <w:bottom w:w="140" w:type="dxa"/>
              <w:right w:w="150" w:type="dxa"/>
            </w:tcMar>
          </w:tcPr>
          <w:p w14:paraId="65592DBB" w14:textId="77777777" w:rsidR="003A4451" w:rsidRPr="00B02115" w:rsidRDefault="007C798D">
            <w:pPr>
              <w:rPr>
                <w:rFonts w:ascii="Cambria" w:eastAsia="Cambria" w:hAnsi="Cambria" w:cs="Cambria"/>
              </w:rPr>
            </w:pPr>
            <w:r w:rsidRPr="00B02115">
              <w:rPr>
                <w:rFonts w:ascii="Cambria" w:eastAsia="Cambria" w:hAnsi="Cambria" w:cs="Cambria"/>
                <w:b/>
                <w:bCs/>
                <w:color w:val="FFFFFF"/>
                <w:sz w:val="20"/>
                <w:szCs w:val="20"/>
              </w:rPr>
              <w:t>ARANCEL POR ORIGEN: ESTADOS UNIDOS (</w:t>
            </w:r>
            <w:proofErr w:type="spellStart"/>
            <w:r w:rsidRPr="00B02115">
              <w:rPr>
                <w:rFonts w:ascii="Cambria" w:eastAsia="Cambria" w:hAnsi="Cambria" w:cs="Cambria"/>
                <w:b/>
                <w:bCs/>
                <w:color w:val="FFFFFF"/>
                <w:sz w:val="20"/>
                <w:szCs w:val="20"/>
              </w:rPr>
              <w:t>TLCs</w:t>
            </w:r>
            <w:proofErr w:type="spellEnd"/>
            <w:r w:rsidRPr="00B02115">
              <w:rPr>
                <w:rFonts w:ascii="Cambria" w:eastAsia="Cambria" w:hAnsi="Cambria" w:cs="Cambria"/>
                <w:b/>
                <w:bCs/>
                <w:color w:val="FFFFFF"/>
                <w:sz w:val="20"/>
                <w:szCs w:val="20"/>
              </w:rPr>
              <w:t>)</w:t>
            </w:r>
          </w:p>
        </w:tc>
        <w:tc>
          <w:tcPr>
            <w:tcW w:w="4678" w:type="dxa"/>
            <w:shd w:val="clear" w:color="auto" w:fill="0F2043"/>
            <w:tcMar>
              <w:top w:w="140" w:type="dxa"/>
              <w:left w:w="150" w:type="dxa"/>
              <w:bottom w:w="140" w:type="dxa"/>
              <w:right w:w="150" w:type="dxa"/>
            </w:tcMar>
          </w:tcPr>
          <w:p w14:paraId="293C5266" w14:textId="77777777" w:rsidR="003A4451" w:rsidRPr="00B02115" w:rsidRDefault="007C798D">
            <w:pPr>
              <w:rPr>
                <w:rFonts w:ascii="Cambria" w:eastAsia="Cambria" w:hAnsi="Cambria" w:cs="Cambria"/>
              </w:rPr>
            </w:pPr>
            <w:r w:rsidRPr="00B02115">
              <w:rPr>
                <w:rFonts w:ascii="Cambria" w:eastAsia="Cambria" w:hAnsi="Cambria" w:cs="Cambria"/>
                <w:b/>
                <w:bCs/>
                <w:color w:val="FFFFFF"/>
                <w:sz w:val="20"/>
                <w:szCs w:val="20"/>
              </w:rPr>
              <w:t>ARANCEL POR ORIGEN: CHINA / GENERAL Y NOTAS TRIBUTARIAS</w:t>
            </w:r>
          </w:p>
        </w:tc>
      </w:tr>
      <w:tr w:rsidR="003A4451" w:rsidRPr="00B02115" w14:paraId="556C2868" w14:textId="77777777">
        <w:trPr>
          <w:cantSplit/>
          <w:jc w:val="center"/>
        </w:trPr>
        <w:tc>
          <w:tcPr>
            <w:tcW w:w="1357" w:type="dxa"/>
            <w:shd w:val="clear" w:color="auto" w:fill="F9FAFC"/>
            <w:tcMar>
              <w:top w:w="100" w:type="dxa"/>
              <w:left w:w="120" w:type="dxa"/>
              <w:bottom w:w="100" w:type="dxa"/>
              <w:right w:w="120" w:type="dxa"/>
            </w:tcMar>
          </w:tcPr>
          <w:p w14:paraId="37D2C4F1"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t>México</w:t>
            </w:r>
          </w:p>
        </w:tc>
        <w:tc>
          <w:tcPr>
            <w:tcW w:w="1676" w:type="dxa"/>
            <w:shd w:val="clear" w:color="auto" w:fill="F9FAFC"/>
            <w:tcMar>
              <w:top w:w="100" w:type="dxa"/>
              <w:left w:w="120" w:type="dxa"/>
              <w:bottom w:w="100" w:type="dxa"/>
              <w:right w:w="120" w:type="dxa"/>
            </w:tcMar>
          </w:tcPr>
          <w:p w14:paraId="2BDA2CD1"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USD 50</w:t>
            </w:r>
          </w:p>
        </w:tc>
        <w:tc>
          <w:tcPr>
            <w:tcW w:w="2268" w:type="dxa"/>
            <w:shd w:val="clear" w:color="auto" w:fill="F9FAFC"/>
            <w:tcMar>
              <w:top w:w="100" w:type="dxa"/>
              <w:left w:w="120" w:type="dxa"/>
              <w:bottom w:w="100" w:type="dxa"/>
              <w:right w:w="120" w:type="dxa"/>
            </w:tcMar>
          </w:tcPr>
          <w:p w14:paraId="6BF60A8A"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Productos &lt; USD 50: Exentos</w:t>
            </w:r>
            <w:r w:rsidRPr="00B02115">
              <w:rPr>
                <w:rFonts w:ascii="Cambria" w:eastAsia="Cambria" w:hAnsi="Cambria" w:cs="Cambria"/>
                <w:color w:val="282828"/>
                <w:sz w:val="19"/>
                <w:szCs w:val="19"/>
              </w:rPr>
              <w:br/>
              <w:t xml:space="preserve">• USD 50 &lt;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&lt; USD 117: 17% IGI*</w:t>
            </w:r>
            <w:r w:rsidRPr="00B02115">
              <w:rPr>
                <w:rFonts w:ascii="Cambria" w:eastAsia="Cambria" w:hAnsi="Cambria" w:cs="Cambria"/>
                <w:color w:val="282828"/>
                <w:sz w:val="19"/>
                <w:szCs w:val="19"/>
              </w:rPr>
              <w:br/>
              <w:t xml:space="preserve">• USD 117 &lt;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&lt; USD 300: 19% IGI</w:t>
            </w:r>
            <w:r w:rsidRPr="00B02115">
              <w:rPr>
                <w:rFonts w:ascii="Cambria" w:eastAsia="Cambria" w:hAnsi="Cambria" w:cs="Cambria"/>
                <w:color w:val="282828"/>
                <w:sz w:val="19"/>
                <w:szCs w:val="19"/>
              </w:rPr>
              <w:br/>
              <w:t xml:space="preserve">• USD 300 &lt;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&lt; USD 1000: 19% IGI</w:t>
            </w:r>
          </w:p>
        </w:tc>
        <w:tc>
          <w:tcPr>
            <w:tcW w:w="4678" w:type="dxa"/>
            <w:shd w:val="clear" w:color="auto" w:fill="F9FAFC"/>
            <w:tcMar>
              <w:top w:w="100" w:type="dxa"/>
              <w:left w:w="120" w:type="dxa"/>
              <w:bottom w:w="100" w:type="dxa"/>
              <w:right w:w="120" w:type="dxa"/>
            </w:tcMar>
          </w:tcPr>
          <w:p w14:paraId="58FF4E50"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Productos &lt; USD 50: Exentos</w:t>
            </w:r>
            <w:r w:rsidRPr="00B02115">
              <w:rPr>
                <w:rFonts w:ascii="Cambria" w:eastAsia="Cambria" w:hAnsi="Cambria" w:cs="Cambria"/>
                <w:color w:val="282828"/>
                <w:sz w:val="19"/>
                <w:szCs w:val="19"/>
              </w:rPr>
              <w:br/>
              <w:t xml:space="preserve">• USD 50 &lt;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&lt; USD 1000: 19% IGI</w:t>
            </w:r>
            <w:r w:rsidRPr="00B02115">
              <w:rPr>
                <w:rFonts w:ascii="Cambria" w:eastAsia="Cambria" w:hAnsi="Cambria" w:cs="Cambria"/>
                <w:color w:val="282828"/>
                <w:sz w:val="19"/>
                <w:szCs w:val="19"/>
              </w:rPr>
              <w:br/>
              <w:t xml:space="preserve">• USD 1000 &lt;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&lt; USD 2500: 20% IGI</w:t>
            </w:r>
            <w:r w:rsidRPr="00B02115">
              <w:rPr>
                <w:rFonts w:ascii="Cambria" w:eastAsia="Cambria" w:hAnsi="Cambria" w:cs="Cambria"/>
                <w:color w:val="282828"/>
                <w:sz w:val="19"/>
                <w:szCs w:val="19"/>
              </w:rPr>
              <w:br/>
            </w:r>
            <w:r w:rsidRPr="00B02115">
              <w:rPr>
                <w:rFonts w:ascii="Cambria" w:eastAsia="Cambria" w:hAnsi="Cambria" w:cs="Cambria"/>
                <w:color w:val="282828"/>
                <w:sz w:val="19"/>
                <w:szCs w:val="19"/>
              </w:rPr>
              <w:br/>
              <w:t>*IGI = Impuesto General de Importación (sobre valor del producto).</w:t>
            </w:r>
          </w:p>
        </w:tc>
      </w:tr>
      <w:tr w:rsidR="003A4451" w:rsidRPr="00B02115" w14:paraId="17857C7A" w14:textId="77777777">
        <w:trPr>
          <w:cantSplit/>
          <w:jc w:val="center"/>
        </w:trPr>
        <w:tc>
          <w:tcPr>
            <w:tcW w:w="1357" w:type="dxa"/>
            <w:shd w:val="clear" w:color="auto" w:fill="FFFFFF"/>
            <w:tcMar>
              <w:top w:w="100" w:type="dxa"/>
              <w:left w:w="120" w:type="dxa"/>
              <w:bottom w:w="100" w:type="dxa"/>
              <w:right w:w="120" w:type="dxa"/>
            </w:tcMar>
          </w:tcPr>
          <w:p w14:paraId="3156F35A"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t>Brasil</w:t>
            </w:r>
          </w:p>
        </w:tc>
        <w:tc>
          <w:tcPr>
            <w:tcW w:w="1676" w:type="dxa"/>
            <w:shd w:val="clear" w:color="auto" w:fill="FFFFFF"/>
            <w:tcMar>
              <w:top w:w="100" w:type="dxa"/>
              <w:left w:w="120" w:type="dxa"/>
              <w:bottom w:w="100" w:type="dxa"/>
              <w:right w:w="120" w:type="dxa"/>
            </w:tcMar>
          </w:tcPr>
          <w:p w14:paraId="6FC287CD"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No aplica para envíos comerciales (todos sujetos a aranceles)</w:t>
            </w:r>
          </w:p>
        </w:tc>
        <w:tc>
          <w:tcPr>
            <w:tcW w:w="2268" w:type="dxa"/>
            <w:shd w:val="clear" w:color="auto" w:fill="FFFFFF"/>
            <w:tcMar>
              <w:top w:w="100" w:type="dxa"/>
              <w:left w:w="120" w:type="dxa"/>
              <w:bottom w:w="100" w:type="dxa"/>
              <w:right w:w="120" w:type="dxa"/>
            </w:tcMar>
          </w:tcPr>
          <w:p w14:paraId="14E0C7F3"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N/A</w:t>
            </w:r>
          </w:p>
        </w:tc>
        <w:tc>
          <w:tcPr>
            <w:tcW w:w="4678" w:type="dxa"/>
            <w:shd w:val="clear" w:color="auto" w:fill="FFFFFF"/>
            <w:tcMar>
              <w:top w:w="100" w:type="dxa"/>
              <w:left w:w="120" w:type="dxa"/>
              <w:bottom w:w="100" w:type="dxa"/>
              <w:right w:w="120" w:type="dxa"/>
            </w:tcMar>
          </w:tcPr>
          <w:p w14:paraId="0E636E27"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xml:space="preserve">Programa </w:t>
            </w:r>
            <w:proofErr w:type="spellStart"/>
            <w:r w:rsidRPr="00B02115">
              <w:rPr>
                <w:rFonts w:ascii="Cambria" w:eastAsia="Cambria" w:hAnsi="Cambria" w:cs="Cambria"/>
                <w:color w:val="282828"/>
                <w:sz w:val="19"/>
                <w:szCs w:val="19"/>
              </w:rPr>
              <w:t>Mobilidade</w:t>
            </w:r>
            <w:proofErr w:type="spellEnd"/>
            <w:r w:rsidRPr="00B02115">
              <w:rPr>
                <w:rFonts w:ascii="Cambria" w:eastAsia="Cambria" w:hAnsi="Cambria" w:cs="Cambria"/>
                <w:color w:val="282828"/>
                <w:sz w:val="19"/>
                <w:szCs w:val="19"/>
              </w:rPr>
              <w:t xml:space="preserve"> Verde e </w:t>
            </w:r>
            <w:proofErr w:type="spellStart"/>
            <w:r w:rsidRPr="00B02115">
              <w:rPr>
                <w:rFonts w:ascii="Cambria" w:eastAsia="Cambria" w:hAnsi="Cambria" w:cs="Cambria"/>
                <w:color w:val="282828"/>
                <w:sz w:val="19"/>
                <w:szCs w:val="19"/>
              </w:rPr>
              <w:t>Inovação</w:t>
            </w:r>
            <w:proofErr w:type="spellEnd"/>
            <w:r w:rsidRPr="00B02115">
              <w:rPr>
                <w:rFonts w:ascii="Cambria" w:eastAsia="Cambria" w:hAnsi="Cambria" w:cs="Cambria"/>
                <w:color w:val="282828"/>
                <w:sz w:val="19"/>
                <w:szCs w:val="19"/>
              </w:rPr>
              <w:t xml:space="preserve"> (Programa Mover, Ley 14902/2024):</w:t>
            </w:r>
            <w:r w:rsidRPr="00B02115">
              <w:rPr>
                <w:rFonts w:ascii="Cambria" w:eastAsia="Cambria" w:hAnsi="Cambria" w:cs="Cambria"/>
                <w:color w:val="282828"/>
                <w:sz w:val="19"/>
                <w:szCs w:val="19"/>
              </w:rPr>
              <w:br/>
              <w:t>• Se cobra arancel entre 20% y 60% por Impuesto de Importación + ICMS.</w:t>
            </w:r>
            <w:r w:rsidRPr="00B02115">
              <w:rPr>
                <w:rFonts w:ascii="Cambria" w:eastAsia="Cambria" w:hAnsi="Cambria" w:cs="Cambria"/>
                <w:color w:val="282828"/>
                <w:sz w:val="19"/>
                <w:szCs w:val="19"/>
              </w:rPr>
              <w:br/>
              <w:t xml:space="preserve">•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&lt; USD 50: Impuesto Imp. 20% + 17% ICMS.</w:t>
            </w:r>
            <w:r w:rsidRPr="00B02115">
              <w:rPr>
                <w:rFonts w:ascii="Cambria" w:eastAsia="Cambria" w:hAnsi="Cambria" w:cs="Cambria"/>
                <w:color w:val="282828"/>
                <w:sz w:val="19"/>
                <w:szCs w:val="19"/>
              </w:rPr>
              <w:br/>
              <w:t xml:space="preserve">•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&gt; USD 50: Impuesto Imp. 60% + 17% ICMS.</w:t>
            </w:r>
            <w:r w:rsidRPr="00B02115">
              <w:rPr>
                <w:rFonts w:ascii="Cambria" w:eastAsia="Cambria" w:hAnsi="Cambria" w:cs="Cambria"/>
                <w:color w:val="282828"/>
                <w:sz w:val="19"/>
                <w:szCs w:val="19"/>
              </w:rPr>
              <w:br/>
              <w:t xml:space="preserve">• Descuento de </w:t>
            </w:r>
            <w:proofErr w:type="spellStart"/>
            <w:r w:rsidRPr="00B02115">
              <w:rPr>
                <w:rFonts w:ascii="Cambria" w:eastAsia="Cambria" w:hAnsi="Cambria" w:cs="Cambria"/>
                <w:color w:val="282828"/>
                <w:sz w:val="19"/>
                <w:szCs w:val="19"/>
              </w:rPr>
              <w:t>Receita</w:t>
            </w:r>
            <w:proofErr w:type="spellEnd"/>
            <w:r w:rsidRPr="00B02115">
              <w:rPr>
                <w:rFonts w:ascii="Cambria" w:eastAsia="Cambria" w:hAnsi="Cambria" w:cs="Cambria"/>
                <w:color w:val="282828"/>
                <w:sz w:val="19"/>
                <w:szCs w:val="19"/>
              </w:rPr>
              <w:t xml:space="preserve"> Federal de USD 20 sobre impuesto para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entre USD 50 y USD 3000.</w:t>
            </w:r>
            <w:r w:rsidRPr="00B02115">
              <w:rPr>
                <w:rFonts w:ascii="Cambria" w:eastAsia="Cambria" w:hAnsi="Cambria" w:cs="Cambria"/>
                <w:color w:val="282828"/>
                <w:sz w:val="19"/>
                <w:szCs w:val="19"/>
              </w:rPr>
              <w:br/>
              <w:t>• Convenio ICMS 135/24 permite subir ICMS al 20% desde 25/04/25.</w:t>
            </w:r>
          </w:p>
        </w:tc>
      </w:tr>
      <w:tr w:rsidR="003A4451" w:rsidRPr="00B02115" w14:paraId="2EC01E37" w14:textId="77777777">
        <w:trPr>
          <w:cantSplit/>
          <w:jc w:val="center"/>
        </w:trPr>
        <w:tc>
          <w:tcPr>
            <w:tcW w:w="1357" w:type="dxa"/>
            <w:shd w:val="clear" w:color="auto" w:fill="F9FAFC"/>
            <w:tcMar>
              <w:top w:w="100" w:type="dxa"/>
              <w:left w:w="120" w:type="dxa"/>
              <w:bottom w:w="100" w:type="dxa"/>
              <w:right w:w="120" w:type="dxa"/>
            </w:tcMar>
          </w:tcPr>
          <w:p w14:paraId="77051189"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t>Colombia</w:t>
            </w:r>
          </w:p>
        </w:tc>
        <w:tc>
          <w:tcPr>
            <w:tcW w:w="1676" w:type="dxa"/>
            <w:shd w:val="clear" w:color="auto" w:fill="F9FAFC"/>
            <w:tcMar>
              <w:top w:w="100" w:type="dxa"/>
              <w:left w:w="120" w:type="dxa"/>
              <w:bottom w:w="100" w:type="dxa"/>
              <w:right w:w="120" w:type="dxa"/>
            </w:tcMar>
          </w:tcPr>
          <w:p w14:paraId="187E9DF9"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USD 200</w:t>
            </w:r>
          </w:p>
        </w:tc>
        <w:tc>
          <w:tcPr>
            <w:tcW w:w="2268" w:type="dxa"/>
            <w:shd w:val="clear" w:color="auto" w:fill="F9FAFC"/>
            <w:tcMar>
              <w:top w:w="100" w:type="dxa"/>
              <w:left w:w="120" w:type="dxa"/>
              <w:bottom w:w="100" w:type="dxa"/>
              <w:right w:w="120" w:type="dxa"/>
            </w:tcMar>
          </w:tcPr>
          <w:p w14:paraId="4C7F0DD5"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Productos &lt; USD 200: Exentos (cumpliendo reglas de origen del TLC con EE. UU.).</w:t>
            </w:r>
          </w:p>
        </w:tc>
        <w:tc>
          <w:tcPr>
            <w:tcW w:w="4678" w:type="dxa"/>
            <w:shd w:val="clear" w:color="auto" w:fill="F9FAFC"/>
            <w:tcMar>
              <w:top w:w="100" w:type="dxa"/>
              <w:left w:w="120" w:type="dxa"/>
              <w:bottom w:w="100" w:type="dxa"/>
              <w:right w:w="120" w:type="dxa"/>
            </w:tcMar>
          </w:tcPr>
          <w:p w14:paraId="41427CF2"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Productos &lt; USD 200: Exentos.</w:t>
            </w:r>
            <w:r w:rsidRPr="00B02115">
              <w:rPr>
                <w:rFonts w:ascii="Cambria" w:eastAsia="Cambria" w:hAnsi="Cambria" w:cs="Cambria"/>
                <w:color w:val="282828"/>
                <w:sz w:val="19"/>
                <w:szCs w:val="19"/>
              </w:rPr>
              <w:br/>
              <w:t>• Paquetes Postales &gt; USD 200: 19% IVA + 10% Arancel + Impuesto al Consumo (si aplica).</w:t>
            </w:r>
            <w:r w:rsidRPr="00B02115">
              <w:rPr>
                <w:rFonts w:ascii="Cambria" w:eastAsia="Cambria" w:hAnsi="Cambria" w:cs="Cambria"/>
                <w:color w:val="282828"/>
                <w:sz w:val="19"/>
                <w:szCs w:val="19"/>
              </w:rPr>
              <w:br/>
              <w:t xml:space="preserve">•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200-2.000: 19% IVA + Impuesto al Consumo.</w:t>
            </w:r>
            <w:r w:rsidRPr="00B02115">
              <w:rPr>
                <w:rFonts w:ascii="Cambria" w:eastAsia="Cambria" w:hAnsi="Cambria" w:cs="Cambria"/>
                <w:color w:val="282828"/>
                <w:sz w:val="19"/>
                <w:szCs w:val="19"/>
              </w:rPr>
              <w:br/>
              <w:t>• PC/Laptops &gt; $560: 19% IVA.</w:t>
            </w:r>
            <w:r w:rsidRPr="00B02115">
              <w:rPr>
                <w:rFonts w:ascii="Cambria" w:eastAsia="Cambria" w:hAnsi="Cambria" w:cs="Cambria"/>
                <w:color w:val="282828"/>
                <w:sz w:val="19"/>
                <w:szCs w:val="19"/>
              </w:rPr>
              <w:br/>
              <w:t>• Celulares/</w:t>
            </w:r>
            <w:proofErr w:type="spellStart"/>
            <w:r w:rsidRPr="00B02115">
              <w:rPr>
                <w:rFonts w:ascii="Cambria" w:eastAsia="Cambria" w:hAnsi="Cambria" w:cs="Cambria"/>
                <w:color w:val="282828"/>
                <w:sz w:val="19"/>
                <w:szCs w:val="19"/>
              </w:rPr>
              <w:t>Tablets</w:t>
            </w:r>
            <w:proofErr w:type="spellEnd"/>
            <w:r w:rsidRPr="00B02115">
              <w:rPr>
                <w:rFonts w:ascii="Cambria" w:eastAsia="Cambria" w:hAnsi="Cambria" w:cs="Cambria"/>
                <w:color w:val="282828"/>
                <w:sz w:val="19"/>
                <w:szCs w:val="19"/>
              </w:rPr>
              <w:t xml:space="preserve"> &lt; $230: 0% IVA | &gt; $230: 19% IVA.</w:t>
            </w:r>
          </w:p>
        </w:tc>
      </w:tr>
      <w:tr w:rsidR="003A4451" w:rsidRPr="00B02115" w14:paraId="18961917" w14:textId="77777777">
        <w:trPr>
          <w:cantSplit/>
          <w:jc w:val="center"/>
        </w:trPr>
        <w:tc>
          <w:tcPr>
            <w:tcW w:w="1357" w:type="dxa"/>
            <w:shd w:val="clear" w:color="auto" w:fill="FFFFFF"/>
            <w:tcMar>
              <w:top w:w="100" w:type="dxa"/>
              <w:left w:w="120" w:type="dxa"/>
              <w:bottom w:w="100" w:type="dxa"/>
              <w:right w:w="120" w:type="dxa"/>
            </w:tcMar>
          </w:tcPr>
          <w:p w14:paraId="1B53F6B4"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t>Argentina</w:t>
            </w:r>
          </w:p>
        </w:tc>
        <w:tc>
          <w:tcPr>
            <w:tcW w:w="1676" w:type="dxa"/>
            <w:shd w:val="clear" w:color="auto" w:fill="FFFFFF"/>
            <w:tcMar>
              <w:top w:w="100" w:type="dxa"/>
              <w:left w:w="120" w:type="dxa"/>
              <w:bottom w:w="100" w:type="dxa"/>
              <w:right w:w="120" w:type="dxa"/>
            </w:tcMar>
          </w:tcPr>
          <w:p w14:paraId="7F2C1F3E"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USD 50 (Postales)</w:t>
            </w:r>
            <w:r w:rsidRPr="00B02115">
              <w:rPr>
                <w:rFonts w:ascii="Cambria" w:eastAsia="Cambria" w:hAnsi="Cambria" w:cs="Cambria"/>
                <w:color w:val="282828"/>
                <w:sz w:val="19"/>
                <w:szCs w:val="19"/>
              </w:rPr>
              <w:br/>
              <w:t>• USD 400 (Courier)</w:t>
            </w:r>
          </w:p>
        </w:tc>
        <w:tc>
          <w:tcPr>
            <w:tcW w:w="2268" w:type="dxa"/>
            <w:shd w:val="clear" w:color="auto" w:fill="FFFFFF"/>
            <w:tcMar>
              <w:top w:w="100" w:type="dxa"/>
              <w:left w:w="120" w:type="dxa"/>
              <w:bottom w:w="100" w:type="dxa"/>
              <w:right w:w="120" w:type="dxa"/>
            </w:tcMar>
          </w:tcPr>
          <w:p w14:paraId="5AB79524"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N/A</w:t>
            </w:r>
          </w:p>
        </w:tc>
        <w:tc>
          <w:tcPr>
            <w:tcW w:w="4678" w:type="dxa"/>
            <w:shd w:val="clear" w:color="auto" w:fill="FFFFFF"/>
            <w:tcMar>
              <w:top w:w="100" w:type="dxa"/>
              <w:left w:w="120" w:type="dxa"/>
              <w:bottom w:w="100" w:type="dxa"/>
              <w:right w:w="120" w:type="dxa"/>
            </w:tcMar>
          </w:tcPr>
          <w:p w14:paraId="4FE17D70"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xml:space="preserve">1. Envíos postales: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&lt; USD 50 exentos (franquicia hasta 12 envíos/año; desde el #13 paga 50% del total).</w:t>
            </w:r>
            <w:r w:rsidRPr="00B02115">
              <w:rPr>
                <w:rFonts w:ascii="Cambria" w:eastAsia="Cambria" w:hAnsi="Cambria" w:cs="Cambria"/>
                <w:color w:val="282828"/>
                <w:sz w:val="19"/>
                <w:szCs w:val="19"/>
              </w:rPr>
              <w:br/>
              <w:t xml:space="preserve">2. Courier puerta a puerta: </w:t>
            </w:r>
            <w:proofErr w:type="spellStart"/>
            <w:r w:rsidRPr="00B02115">
              <w:rPr>
                <w:rFonts w:ascii="Cambria" w:eastAsia="Cambria" w:hAnsi="Cambria" w:cs="Cambria"/>
                <w:color w:val="282828"/>
                <w:sz w:val="19"/>
                <w:szCs w:val="19"/>
              </w:rPr>
              <w:t>Prod</w:t>
            </w:r>
            <w:proofErr w:type="spellEnd"/>
            <w:r w:rsidRPr="00B02115">
              <w:rPr>
                <w:rFonts w:ascii="Cambria" w:eastAsia="Cambria" w:hAnsi="Cambria" w:cs="Cambria"/>
                <w:color w:val="282828"/>
                <w:sz w:val="19"/>
                <w:szCs w:val="19"/>
              </w:rPr>
              <w:t xml:space="preserve"> &lt; USD 400 exentos de arancel pero pagan IVA 21%. Límite de USD 3.000 por envío, </w:t>
            </w:r>
            <w:proofErr w:type="spellStart"/>
            <w:r w:rsidRPr="00B02115">
              <w:rPr>
                <w:rFonts w:ascii="Cambria" w:eastAsia="Cambria" w:hAnsi="Cambria" w:cs="Cambria"/>
                <w:color w:val="282828"/>
                <w:sz w:val="19"/>
                <w:szCs w:val="19"/>
              </w:rPr>
              <w:t>máx</w:t>
            </w:r>
            <w:proofErr w:type="spellEnd"/>
            <w:r w:rsidRPr="00B02115">
              <w:rPr>
                <w:rFonts w:ascii="Cambria" w:eastAsia="Cambria" w:hAnsi="Cambria" w:cs="Cambria"/>
                <w:color w:val="282828"/>
                <w:sz w:val="19"/>
                <w:szCs w:val="19"/>
              </w:rPr>
              <w:t xml:space="preserve"> 20 kg, uso personal.</w:t>
            </w:r>
          </w:p>
        </w:tc>
      </w:tr>
      <w:tr w:rsidR="003A4451" w:rsidRPr="00B02115" w14:paraId="1DCB130E" w14:textId="77777777">
        <w:trPr>
          <w:cantSplit/>
          <w:jc w:val="center"/>
        </w:trPr>
        <w:tc>
          <w:tcPr>
            <w:tcW w:w="1357" w:type="dxa"/>
            <w:shd w:val="clear" w:color="auto" w:fill="F9FAFC"/>
            <w:tcMar>
              <w:top w:w="100" w:type="dxa"/>
              <w:left w:w="120" w:type="dxa"/>
              <w:bottom w:w="100" w:type="dxa"/>
              <w:right w:w="120" w:type="dxa"/>
            </w:tcMar>
          </w:tcPr>
          <w:p w14:paraId="514D544E"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t>Chile</w:t>
            </w:r>
          </w:p>
        </w:tc>
        <w:tc>
          <w:tcPr>
            <w:tcW w:w="1676" w:type="dxa"/>
            <w:shd w:val="clear" w:color="auto" w:fill="F9FAFC"/>
            <w:tcMar>
              <w:top w:w="100" w:type="dxa"/>
              <w:left w:w="120" w:type="dxa"/>
              <w:bottom w:w="100" w:type="dxa"/>
              <w:right w:w="120" w:type="dxa"/>
            </w:tcMar>
          </w:tcPr>
          <w:p w14:paraId="1EA82315"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USD 41</w:t>
            </w:r>
          </w:p>
        </w:tc>
        <w:tc>
          <w:tcPr>
            <w:tcW w:w="2268" w:type="dxa"/>
            <w:shd w:val="clear" w:color="auto" w:fill="F9FAFC"/>
            <w:tcMar>
              <w:top w:w="100" w:type="dxa"/>
              <w:left w:w="120" w:type="dxa"/>
              <w:bottom w:w="100" w:type="dxa"/>
              <w:right w:w="120" w:type="dxa"/>
            </w:tcMar>
          </w:tcPr>
          <w:p w14:paraId="3356A1F0"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N/A</w:t>
            </w:r>
          </w:p>
        </w:tc>
        <w:tc>
          <w:tcPr>
            <w:tcW w:w="4678" w:type="dxa"/>
            <w:shd w:val="clear" w:color="auto" w:fill="F9FAFC"/>
            <w:tcMar>
              <w:top w:w="100" w:type="dxa"/>
              <w:left w:w="120" w:type="dxa"/>
              <w:bottom w:w="100" w:type="dxa"/>
              <w:right w:w="120" w:type="dxa"/>
            </w:tcMar>
          </w:tcPr>
          <w:p w14:paraId="1D8F4EB4"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Actualmente compras &gt; USD 41 pagan Arancel Aduanero (6%) + IVA (19%).</w:t>
            </w:r>
            <w:r w:rsidRPr="00B02115">
              <w:rPr>
                <w:rFonts w:ascii="Cambria" w:eastAsia="Cambria" w:hAnsi="Cambria" w:cs="Cambria"/>
                <w:color w:val="282828"/>
                <w:sz w:val="19"/>
                <w:szCs w:val="19"/>
              </w:rPr>
              <w:br/>
              <w:t>• Ley 21713 de 2024 (a partir de oct 2025): Exención arancelaria aumenta de USD 41 a USD 500 FOB, pero elimina la exención de IVA (se cobra IVA 19% a compras de USD 500 o menos).</w:t>
            </w:r>
          </w:p>
        </w:tc>
      </w:tr>
      <w:tr w:rsidR="003A4451" w:rsidRPr="00B02115" w14:paraId="6F951851" w14:textId="77777777">
        <w:trPr>
          <w:cantSplit/>
          <w:jc w:val="center"/>
        </w:trPr>
        <w:tc>
          <w:tcPr>
            <w:tcW w:w="1357" w:type="dxa"/>
            <w:shd w:val="clear" w:color="auto" w:fill="FFFFFF"/>
            <w:tcMar>
              <w:top w:w="100" w:type="dxa"/>
              <w:left w:w="120" w:type="dxa"/>
              <w:bottom w:w="100" w:type="dxa"/>
              <w:right w:w="120" w:type="dxa"/>
            </w:tcMar>
          </w:tcPr>
          <w:p w14:paraId="12A6B464"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lastRenderedPageBreak/>
              <w:t>Perú</w:t>
            </w:r>
          </w:p>
        </w:tc>
        <w:tc>
          <w:tcPr>
            <w:tcW w:w="1676" w:type="dxa"/>
            <w:shd w:val="clear" w:color="auto" w:fill="FFFFFF"/>
            <w:tcMar>
              <w:top w:w="100" w:type="dxa"/>
              <w:left w:w="120" w:type="dxa"/>
              <w:bottom w:w="100" w:type="dxa"/>
              <w:right w:w="120" w:type="dxa"/>
            </w:tcMar>
          </w:tcPr>
          <w:p w14:paraId="20630B90"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USD 200 (no exime de IVA)</w:t>
            </w:r>
          </w:p>
        </w:tc>
        <w:tc>
          <w:tcPr>
            <w:tcW w:w="2268" w:type="dxa"/>
            <w:shd w:val="clear" w:color="auto" w:fill="FFFFFF"/>
            <w:tcMar>
              <w:top w:w="100" w:type="dxa"/>
              <w:left w:w="120" w:type="dxa"/>
              <w:bottom w:w="100" w:type="dxa"/>
              <w:right w:w="120" w:type="dxa"/>
            </w:tcMar>
          </w:tcPr>
          <w:p w14:paraId="12BF65BD"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Liberación de mercancías para productos originarios bajo TLC Perú - EE. UU.</w:t>
            </w:r>
          </w:p>
        </w:tc>
        <w:tc>
          <w:tcPr>
            <w:tcW w:w="4678" w:type="dxa"/>
            <w:shd w:val="clear" w:color="auto" w:fill="FFFFFF"/>
            <w:tcMar>
              <w:top w:w="100" w:type="dxa"/>
              <w:left w:w="120" w:type="dxa"/>
              <w:bottom w:w="100" w:type="dxa"/>
              <w:right w:w="120" w:type="dxa"/>
            </w:tcMar>
          </w:tcPr>
          <w:p w14:paraId="53AEAFA4"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 Productos &lt; USD 200: Exentos.</w:t>
            </w:r>
            <w:r w:rsidRPr="00B02115">
              <w:rPr>
                <w:rFonts w:ascii="Cambria" w:eastAsia="Cambria" w:hAnsi="Cambria" w:cs="Cambria"/>
                <w:color w:val="282828"/>
                <w:sz w:val="19"/>
                <w:szCs w:val="19"/>
              </w:rPr>
              <w:br/>
              <w:t>• Productos &gt; USD 200: 4-11% Arancel + 18% IVA (incluye 2% Promoción Municipal) + ISC (Impuesto Selectivo al Consumo si aplica).</w:t>
            </w:r>
          </w:p>
        </w:tc>
      </w:tr>
      <w:tr w:rsidR="003A4451" w:rsidRPr="00B02115" w14:paraId="450F9B6C" w14:textId="77777777">
        <w:trPr>
          <w:cantSplit/>
          <w:jc w:val="center"/>
        </w:trPr>
        <w:tc>
          <w:tcPr>
            <w:tcW w:w="1357" w:type="dxa"/>
            <w:shd w:val="clear" w:color="auto" w:fill="F9FAFC"/>
            <w:tcMar>
              <w:top w:w="100" w:type="dxa"/>
              <w:left w:w="120" w:type="dxa"/>
              <w:bottom w:w="100" w:type="dxa"/>
              <w:right w:w="120" w:type="dxa"/>
            </w:tcMar>
          </w:tcPr>
          <w:p w14:paraId="45D2D14A"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t>Ecuador</w:t>
            </w:r>
          </w:p>
        </w:tc>
        <w:tc>
          <w:tcPr>
            <w:tcW w:w="1676" w:type="dxa"/>
            <w:shd w:val="clear" w:color="auto" w:fill="F9FAFC"/>
            <w:tcMar>
              <w:top w:w="100" w:type="dxa"/>
              <w:left w:w="120" w:type="dxa"/>
              <w:bottom w:w="100" w:type="dxa"/>
              <w:right w:w="120" w:type="dxa"/>
            </w:tcMar>
          </w:tcPr>
          <w:p w14:paraId="43B3D315"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Antes USD 400 exentos. Desde 16/06 arancel fijo de USD 20.</w:t>
            </w:r>
          </w:p>
        </w:tc>
        <w:tc>
          <w:tcPr>
            <w:tcW w:w="2268" w:type="dxa"/>
            <w:shd w:val="clear" w:color="auto" w:fill="F9FAFC"/>
            <w:tcMar>
              <w:top w:w="100" w:type="dxa"/>
              <w:left w:w="120" w:type="dxa"/>
              <w:bottom w:w="100" w:type="dxa"/>
              <w:right w:w="120" w:type="dxa"/>
            </w:tcMar>
          </w:tcPr>
          <w:p w14:paraId="64B5A63E"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N/A</w:t>
            </w:r>
          </w:p>
        </w:tc>
        <w:tc>
          <w:tcPr>
            <w:tcW w:w="4678" w:type="dxa"/>
            <w:shd w:val="clear" w:color="auto" w:fill="F9FAFC"/>
            <w:tcMar>
              <w:top w:w="100" w:type="dxa"/>
              <w:left w:w="120" w:type="dxa"/>
              <w:bottom w:w="100" w:type="dxa"/>
              <w:right w:w="120" w:type="dxa"/>
            </w:tcMar>
          </w:tcPr>
          <w:p w14:paraId="27B77BA8"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Régimen de arancel fijo de USD 20.</w:t>
            </w:r>
          </w:p>
        </w:tc>
      </w:tr>
      <w:tr w:rsidR="003A4451" w:rsidRPr="00B02115" w14:paraId="41794EC7" w14:textId="77777777">
        <w:trPr>
          <w:cantSplit/>
          <w:jc w:val="center"/>
        </w:trPr>
        <w:tc>
          <w:tcPr>
            <w:tcW w:w="1357" w:type="dxa"/>
            <w:shd w:val="clear" w:color="auto" w:fill="FFFFFF"/>
            <w:tcMar>
              <w:top w:w="100" w:type="dxa"/>
              <w:left w:w="120" w:type="dxa"/>
              <w:bottom w:w="100" w:type="dxa"/>
              <w:right w:w="120" w:type="dxa"/>
            </w:tcMar>
          </w:tcPr>
          <w:p w14:paraId="02CA4B57"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t>Uruguay</w:t>
            </w:r>
          </w:p>
        </w:tc>
        <w:tc>
          <w:tcPr>
            <w:tcW w:w="1676" w:type="dxa"/>
            <w:shd w:val="clear" w:color="auto" w:fill="FFFFFF"/>
            <w:tcMar>
              <w:top w:w="100" w:type="dxa"/>
              <w:left w:w="120" w:type="dxa"/>
              <w:bottom w:w="100" w:type="dxa"/>
              <w:right w:w="120" w:type="dxa"/>
            </w:tcMar>
          </w:tcPr>
          <w:p w14:paraId="25B8F890"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Exento hasta 3 envíos de USD 200 y 20 kg c/u anuales.</w:t>
            </w:r>
          </w:p>
        </w:tc>
        <w:tc>
          <w:tcPr>
            <w:tcW w:w="2268" w:type="dxa"/>
            <w:shd w:val="clear" w:color="auto" w:fill="FFFFFF"/>
            <w:tcMar>
              <w:top w:w="100" w:type="dxa"/>
              <w:left w:w="120" w:type="dxa"/>
              <w:bottom w:w="100" w:type="dxa"/>
              <w:right w:w="120" w:type="dxa"/>
            </w:tcMar>
          </w:tcPr>
          <w:p w14:paraId="44246962"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N/A</w:t>
            </w:r>
          </w:p>
        </w:tc>
        <w:tc>
          <w:tcPr>
            <w:tcW w:w="4678" w:type="dxa"/>
            <w:shd w:val="clear" w:color="auto" w:fill="FFFFFF"/>
            <w:tcMar>
              <w:top w:w="100" w:type="dxa"/>
              <w:left w:w="120" w:type="dxa"/>
              <w:bottom w:w="100" w:type="dxa"/>
              <w:right w:w="120" w:type="dxa"/>
            </w:tcMar>
          </w:tcPr>
          <w:p w14:paraId="43EBA081"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Máximo 3 envíos de USD 200 y 20 kg c/u al año.</w:t>
            </w:r>
          </w:p>
        </w:tc>
      </w:tr>
      <w:tr w:rsidR="003A4451" w:rsidRPr="00B02115" w14:paraId="0B37246D" w14:textId="77777777">
        <w:trPr>
          <w:cantSplit/>
          <w:jc w:val="center"/>
        </w:trPr>
        <w:tc>
          <w:tcPr>
            <w:tcW w:w="1357" w:type="dxa"/>
            <w:shd w:val="clear" w:color="auto" w:fill="F9FAFC"/>
            <w:tcMar>
              <w:top w:w="100" w:type="dxa"/>
              <w:left w:w="120" w:type="dxa"/>
              <w:bottom w:w="100" w:type="dxa"/>
              <w:right w:w="120" w:type="dxa"/>
            </w:tcMar>
          </w:tcPr>
          <w:p w14:paraId="65D000EE"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t>Unión Europea</w:t>
            </w:r>
          </w:p>
        </w:tc>
        <w:tc>
          <w:tcPr>
            <w:tcW w:w="1676" w:type="dxa"/>
            <w:shd w:val="clear" w:color="auto" w:fill="F9FAFC"/>
            <w:tcMar>
              <w:top w:w="100" w:type="dxa"/>
              <w:left w:w="120" w:type="dxa"/>
              <w:bottom w:w="100" w:type="dxa"/>
              <w:right w:w="120" w:type="dxa"/>
            </w:tcMar>
          </w:tcPr>
          <w:p w14:paraId="77C0A617"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Umbral actual: 150 EUR.</w:t>
            </w:r>
          </w:p>
        </w:tc>
        <w:tc>
          <w:tcPr>
            <w:tcW w:w="2268" w:type="dxa"/>
            <w:shd w:val="clear" w:color="auto" w:fill="F9FAFC"/>
            <w:tcMar>
              <w:top w:w="100" w:type="dxa"/>
              <w:left w:w="120" w:type="dxa"/>
              <w:bottom w:w="100" w:type="dxa"/>
              <w:right w:w="120" w:type="dxa"/>
            </w:tcMar>
          </w:tcPr>
          <w:p w14:paraId="34B0B552"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N/A</w:t>
            </w:r>
          </w:p>
        </w:tc>
        <w:tc>
          <w:tcPr>
            <w:tcW w:w="4678" w:type="dxa"/>
            <w:shd w:val="clear" w:color="auto" w:fill="F9FAFC"/>
            <w:tcMar>
              <w:top w:w="100" w:type="dxa"/>
              <w:left w:w="120" w:type="dxa"/>
              <w:bottom w:w="100" w:type="dxa"/>
              <w:right w:w="120" w:type="dxa"/>
            </w:tcMar>
          </w:tcPr>
          <w:p w14:paraId="7A28D317"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La Comisión Europea trabaja en la eliminación de la exención arancelaria para envíos de bajo valor durante 2026.</w:t>
            </w:r>
          </w:p>
        </w:tc>
      </w:tr>
      <w:tr w:rsidR="003A4451" w:rsidRPr="00B02115" w14:paraId="664187D3" w14:textId="77777777">
        <w:trPr>
          <w:cantSplit/>
          <w:jc w:val="center"/>
        </w:trPr>
        <w:tc>
          <w:tcPr>
            <w:tcW w:w="1357" w:type="dxa"/>
            <w:shd w:val="clear" w:color="auto" w:fill="FFFFFF"/>
            <w:tcMar>
              <w:top w:w="100" w:type="dxa"/>
              <w:left w:w="120" w:type="dxa"/>
              <w:bottom w:w="100" w:type="dxa"/>
              <w:right w:w="120" w:type="dxa"/>
            </w:tcMar>
          </w:tcPr>
          <w:p w14:paraId="5D7D21DE" w14:textId="77777777" w:rsidR="003A4451" w:rsidRPr="00B02115" w:rsidRDefault="007C798D">
            <w:pPr>
              <w:rPr>
                <w:rFonts w:ascii="Cambria" w:eastAsia="Cambria" w:hAnsi="Cambria" w:cs="Cambria"/>
                <w:sz w:val="24"/>
                <w:szCs w:val="24"/>
              </w:rPr>
            </w:pPr>
            <w:r w:rsidRPr="00B02115">
              <w:rPr>
                <w:rFonts w:ascii="Cambria" w:eastAsia="Cambria" w:hAnsi="Cambria" w:cs="Cambria"/>
                <w:b/>
                <w:bCs/>
                <w:color w:val="0F2043"/>
                <w:sz w:val="24"/>
                <w:szCs w:val="24"/>
              </w:rPr>
              <w:t>Turquía</w:t>
            </w:r>
          </w:p>
        </w:tc>
        <w:tc>
          <w:tcPr>
            <w:tcW w:w="1676" w:type="dxa"/>
            <w:shd w:val="clear" w:color="auto" w:fill="FFFFFF"/>
            <w:tcMar>
              <w:top w:w="100" w:type="dxa"/>
              <w:left w:w="120" w:type="dxa"/>
              <w:bottom w:w="100" w:type="dxa"/>
              <w:right w:w="120" w:type="dxa"/>
            </w:tcMar>
          </w:tcPr>
          <w:p w14:paraId="24892B4D"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Eliminada exención general de 30 € ($35).</w:t>
            </w:r>
          </w:p>
        </w:tc>
        <w:tc>
          <w:tcPr>
            <w:tcW w:w="2268" w:type="dxa"/>
            <w:shd w:val="clear" w:color="auto" w:fill="FFFFFF"/>
            <w:tcMar>
              <w:top w:w="100" w:type="dxa"/>
              <w:left w:w="120" w:type="dxa"/>
              <w:bottom w:w="100" w:type="dxa"/>
              <w:right w:w="120" w:type="dxa"/>
            </w:tcMar>
          </w:tcPr>
          <w:p w14:paraId="3D4EE0CB"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N/A</w:t>
            </w:r>
          </w:p>
        </w:tc>
        <w:tc>
          <w:tcPr>
            <w:tcW w:w="4678" w:type="dxa"/>
            <w:shd w:val="clear" w:color="auto" w:fill="FFFFFF"/>
            <w:tcMar>
              <w:top w:w="100" w:type="dxa"/>
              <w:left w:w="120" w:type="dxa"/>
              <w:bottom w:w="100" w:type="dxa"/>
              <w:right w:w="120" w:type="dxa"/>
            </w:tcMar>
          </w:tcPr>
          <w:p w14:paraId="1612B1F3" w14:textId="77777777" w:rsidR="003A4451" w:rsidRPr="00B02115" w:rsidRDefault="007C798D">
            <w:pPr>
              <w:rPr>
                <w:rFonts w:ascii="Cambria" w:eastAsia="Cambria" w:hAnsi="Cambria" w:cs="Cambria"/>
              </w:rPr>
            </w:pPr>
            <w:r w:rsidRPr="00B02115">
              <w:rPr>
                <w:rFonts w:ascii="Cambria" w:eastAsia="Cambria" w:hAnsi="Cambria" w:cs="Cambria"/>
                <w:color w:val="282828"/>
                <w:sz w:val="19"/>
                <w:szCs w:val="19"/>
              </w:rPr>
              <w:t>Se eliminó la exención de aranceles para bienes no comerciales comprados vía correo/</w:t>
            </w:r>
            <w:proofErr w:type="spellStart"/>
            <w:r w:rsidRPr="00B02115">
              <w:rPr>
                <w:rFonts w:ascii="Cambria" w:eastAsia="Cambria" w:hAnsi="Cambria" w:cs="Cambria"/>
                <w:color w:val="282828"/>
                <w:sz w:val="19"/>
                <w:szCs w:val="19"/>
              </w:rPr>
              <w:t>express</w:t>
            </w:r>
            <w:proofErr w:type="spellEnd"/>
            <w:r w:rsidRPr="00B02115">
              <w:rPr>
                <w:rFonts w:ascii="Cambria" w:eastAsia="Cambria" w:hAnsi="Cambria" w:cs="Cambria"/>
                <w:color w:val="282828"/>
                <w:sz w:val="19"/>
                <w:szCs w:val="19"/>
              </w:rPr>
              <w:t>. Importaciones libres aplicarán únicamente a medicamentos y suplementos hasta 1.500 €.</w:t>
            </w:r>
          </w:p>
        </w:tc>
      </w:tr>
    </w:tbl>
    <w:p w14:paraId="7B048D9A" w14:textId="77777777" w:rsidR="003A4451" w:rsidRPr="00B02115" w:rsidRDefault="003A4451">
      <w:pPr>
        <w:spacing w:line="240" w:lineRule="auto"/>
        <w:ind w:left="142"/>
        <w:rPr>
          <w:rFonts w:ascii="Cambria" w:eastAsia="Cambria" w:hAnsi="Cambria" w:cs="Cambria"/>
          <w:b/>
          <w:bCs/>
          <w:sz w:val="24"/>
          <w:szCs w:val="24"/>
        </w:rPr>
      </w:pPr>
    </w:p>
    <w:p w14:paraId="78B958FC" w14:textId="77777777" w:rsidR="003A4451" w:rsidRPr="00B02115" w:rsidRDefault="003A4451">
      <w:pPr>
        <w:widowControl w:val="0"/>
        <w:pBdr>
          <w:top w:val="nil"/>
          <w:left w:val="nil"/>
          <w:bottom w:val="nil"/>
          <w:right w:val="nil"/>
          <w:between w:val="nil"/>
        </w:pBdr>
        <w:spacing w:line="240" w:lineRule="auto"/>
        <w:ind w:right="267"/>
        <w:rPr>
          <w:rFonts w:ascii="Cambria" w:eastAsia="Cambria" w:hAnsi="Cambria" w:cs="Cambria"/>
          <w:color w:val="000000"/>
          <w:sz w:val="24"/>
          <w:szCs w:val="24"/>
        </w:rPr>
      </w:pPr>
    </w:p>
    <w:p w14:paraId="675CAF69" w14:textId="40B8AFEF" w:rsidR="009A1B77" w:rsidRPr="009A1B77" w:rsidRDefault="007C798D" w:rsidP="009A1B77">
      <w:pPr>
        <w:spacing w:line="240" w:lineRule="auto"/>
        <w:rPr>
          <w:rFonts w:ascii="Cambria" w:hAnsi="Cambria"/>
          <w:b/>
          <w:bCs/>
          <w:sz w:val="24"/>
          <w:szCs w:val="24"/>
        </w:rPr>
      </w:pPr>
      <w:r w:rsidRPr="009A1B77">
        <w:rPr>
          <w:rFonts w:ascii="Cambria" w:hAnsi="Cambria"/>
          <w:b/>
          <w:bCs/>
          <w:sz w:val="24"/>
          <w:szCs w:val="24"/>
        </w:rPr>
        <w:t xml:space="preserve">2.8 </w:t>
      </w:r>
      <w:r w:rsidR="009A1B77" w:rsidRPr="009A1B77">
        <w:rPr>
          <w:rFonts w:ascii="Cambria" w:hAnsi="Cambria"/>
          <w:b/>
          <w:bCs/>
          <w:sz w:val="24"/>
          <w:szCs w:val="24"/>
        </w:rPr>
        <w:t xml:space="preserve">RIESGOS ADUANEROS IDENTIFICADOS </w:t>
      </w:r>
    </w:p>
    <w:p w14:paraId="5E651B43" w14:textId="77777777" w:rsidR="009A1B77" w:rsidRDefault="009A1B77" w:rsidP="009A1B77">
      <w:pPr>
        <w:spacing w:line="240" w:lineRule="auto"/>
        <w:rPr>
          <w:rFonts w:ascii="Cambria" w:hAnsi="Cambria"/>
          <w:sz w:val="24"/>
          <w:szCs w:val="24"/>
        </w:rPr>
      </w:pPr>
    </w:p>
    <w:p w14:paraId="2A7A73D7" w14:textId="69C24F32" w:rsidR="003A4451" w:rsidRDefault="007C798D" w:rsidP="009A1B77">
      <w:pPr>
        <w:spacing w:line="240" w:lineRule="auto"/>
        <w:rPr>
          <w:rFonts w:ascii="Cambria" w:hAnsi="Cambria"/>
          <w:sz w:val="24"/>
          <w:szCs w:val="24"/>
        </w:rPr>
      </w:pPr>
      <w:r w:rsidRPr="009A1B77">
        <w:rPr>
          <w:rFonts w:ascii="Cambria" w:hAnsi="Cambria"/>
          <w:sz w:val="24"/>
          <w:szCs w:val="24"/>
        </w:rPr>
        <w:t>Conjunto de riesgos aduaneros y fiscales asociados a esta cadena logística:</w:t>
      </w:r>
    </w:p>
    <w:p w14:paraId="57B3CFC2" w14:textId="77777777" w:rsidR="009A1B77" w:rsidRPr="00B02115" w:rsidRDefault="009A1B77" w:rsidP="009A1B77">
      <w:pPr>
        <w:spacing w:line="240" w:lineRule="auto"/>
        <w:rPr>
          <w:rFonts w:ascii="Cambria" w:eastAsia="Cambria" w:hAnsi="Cambria" w:cs="Cambria"/>
          <w:sz w:val="24"/>
          <w:szCs w:val="24"/>
        </w:rPr>
      </w:pPr>
    </w:p>
    <w:tbl>
      <w:tblPr>
        <w:tblStyle w:val="a3"/>
        <w:tblW w:w="9360" w:type="dxa"/>
        <w:jc w:val="center"/>
        <w:tblBorders>
          <w:top w:val="single" w:sz="6" w:space="0" w:color="CCCCCC"/>
          <w:bottom w:val="single" w:sz="6" w:space="0" w:color="CCCCCC"/>
          <w:insideH w:val="single" w:sz="4" w:space="0" w:color="CCCCCC"/>
        </w:tblBorders>
        <w:tblLayout w:type="fixed"/>
        <w:tblLook w:val="0400" w:firstRow="0" w:lastRow="0" w:firstColumn="0" w:lastColumn="0" w:noHBand="0" w:noVBand="1"/>
      </w:tblPr>
      <w:tblGrid>
        <w:gridCol w:w="2880"/>
        <w:gridCol w:w="3168"/>
        <w:gridCol w:w="3312"/>
      </w:tblGrid>
      <w:tr w:rsidR="003A4451" w:rsidRPr="00B02115" w14:paraId="76684F96" w14:textId="77777777">
        <w:trPr>
          <w:cantSplit/>
          <w:tblHeader/>
          <w:jc w:val="center"/>
        </w:trPr>
        <w:tc>
          <w:tcPr>
            <w:tcW w:w="2880" w:type="dxa"/>
            <w:shd w:val="clear" w:color="auto" w:fill="1F385C"/>
            <w:tcMar>
              <w:top w:w="140" w:type="dxa"/>
              <w:left w:w="150" w:type="dxa"/>
              <w:bottom w:w="140" w:type="dxa"/>
              <w:right w:w="150" w:type="dxa"/>
            </w:tcMar>
          </w:tcPr>
          <w:p w14:paraId="36BACFCE" w14:textId="77777777" w:rsidR="003A4451" w:rsidRPr="00B02115" w:rsidRDefault="007C798D">
            <w:pPr>
              <w:jc w:val="center"/>
              <w:rPr>
                <w:rFonts w:ascii="Cambria" w:eastAsia="Cambria" w:hAnsi="Cambria" w:cs="Cambria"/>
              </w:rPr>
            </w:pPr>
            <w:r w:rsidRPr="00B02115">
              <w:rPr>
                <w:rFonts w:ascii="Cambria" w:eastAsia="Cambria" w:hAnsi="Cambria" w:cs="Cambria"/>
                <w:b/>
                <w:bCs/>
                <w:color w:val="FFFFFF"/>
              </w:rPr>
              <w:t>Riesgo</w:t>
            </w:r>
          </w:p>
        </w:tc>
        <w:tc>
          <w:tcPr>
            <w:tcW w:w="3168" w:type="dxa"/>
            <w:shd w:val="clear" w:color="auto" w:fill="1F385C"/>
            <w:tcMar>
              <w:top w:w="140" w:type="dxa"/>
              <w:left w:w="150" w:type="dxa"/>
              <w:bottom w:w="140" w:type="dxa"/>
              <w:right w:w="150" w:type="dxa"/>
            </w:tcMar>
          </w:tcPr>
          <w:p w14:paraId="37C2DD5D" w14:textId="77777777" w:rsidR="003A4451" w:rsidRPr="00B02115" w:rsidRDefault="007C798D">
            <w:pPr>
              <w:jc w:val="center"/>
              <w:rPr>
                <w:rFonts w:ascii="Cambria" w:eastAsia="Cambria" w:hAnsi="Cambria" w:cs="Cambria"/>
              </w:rPr>
            </w:pPr>
            <w:r w:rsidRPr="00B02115">
              <w:rPr>
                <w:rFonts w:ascii="Cambria" w:eastAsia="Cambria" w:hAnsi="Cambria" w:cs="Cambria"/>
                <w:b/>
                <w:bCs/>
                <w:color w:val="FFFFFF"/>
              </w:rPr>
              <w:t>Manifestación</w:t>
            </w:r>
          </w:p>
        </w:tc>
        <w:tc>
          <w:tcPr>
            <w:tcW w:w="3312" w:type="dxa"/>
            <w:shd w:val="clear" w:color="auto" w:fill="1F385C"/>
            <w:tcMar>
              <w:top w:w="140" w:type="dxa"/>
              <w:left w:w="150" w:type="dxa"/>
              <w:bottom w:w="140" w:type="dxa"/>
              <w:right w:w="150" w:type="dxa"/>
            </w:tcMar>
          </w:tcPr>
          <w:p w14:paraId="49B31638" w14:textId="77777777" w:rsidR="003A4451" w:rsidRPr="00B02115" w:rsidRDefault="007C798D">
            <w:pPr>
              <w:jc w:val="center"/>
              <w:rPr>
                <w:rFonts w:ascii="Cambria" w:eastAsia="Cambria" w:hAnsi="Cambria" w:cs="Cambria"/>
              </w:rPr>
            </w:pPr>
            <w:r w:rsidRPr="00B02115">
              <w:rPr>
                <w:rFonts w:ascii="Cambria" w:eastAsia="Cambria" w:hAnsi="Cambria" w:cs="Cambria"/>
                <w:b/>
                <w:bCs/>
                <w:color w:val="FFFFFF"/>
              </w:rPr>
              <w:t>Señal de alerta</w:t>
            </w:r>
          </w:p>
        </w:tc>
      </w:tr>
      <w:tr w:rsidR="003A4451" w:rsidRPr="00B02115" w14:paraId="6404A887" w14:textId="77777777">
        <w:trPr>
          <w:cantSplit/>
          <w:jc w:val="center"/>
        </w:trPr>
        <w:tc>
          <w:tcPr>
            <w:tcW w:w="2880" w:type="dxa"/>
            <w:shd w:val="clear" w:color="auto" w:fill="FFFFFF"/>
            <w:tcMar>
              <w:top w:w="100" w:type="dxa"/>
              <w:left w:w="120" w:type="dxa"/>
              <w:bottom w:w="100" w:type="dxa"/>
              <w:right w:w="120" w:type="dxa"/>
            </w:tcMar>
          </w:tcPr>
          <w:p w14:paraId="1AC22741" w14:textId="77777777" w:rsidR="003A4451" w:rsidRPr="00B02115" w:rsidRDefault="007C798D">
            <w:pPr>
              <w:rPr>
                <w:rFonts w:ascii="Cambria" w:eastAsia="Cambria" w:hAnsi="Cambria" w:cs="Cambria"/>
              </w:rPr>
            </w:pPr>
            <w:r w:rsidRPr="00B02115">
              <w:rPr>
                <w:rFonts w:ascii="Cambria" w:eastAsia="Cambria" w:hAnsi="Cambria" w:cs="Cambria"/>
                <w:b/>
                <w:bCs/>
                <w:color w:val="0F2043"/>
                <w:sz w:val="20"/>
                <w:szCs w:val="20"/>
              </w:rPr>
              <w:t>Subvaloración</w:t>
            </w:r>
          </w:p>
        </w:tc>
        <w:tc>
          <w:tcPr>
            <w:tcW w:w="3168" w:type="dxa"/>
            <w:shd w:val="clear" w:color="auto" w:fill="FFFFFF"/>
            <w:tcMar>
              <w:top w:w="100" w:type="dxa"/>
              <w:left w:w="120" w:type="dxa"/>
              <w:bottom w:w="100" w:type="dxa"/>
              <w:right w:w="120" w:type="dxa"/>
            </w:tcMar>
          </w:tcPr>
          <w:p w14:paraId="2568A289"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Valor declarado inferior al precio real de la mercancía.</w:t>
            </w:r>
          </w:p>
        </w:tc>
        <w:tc>
          <w:tcPr>
            <w:tcW w:w="3312" w:type="dxa"/>
            <w:shd w:val="clear" w:color="auto" w:fill="FFFFFF"/>
            <w:tcMar>
              <w:top w:w="100" w:type="dxa"/>
              <w:left w:w="120" w:type="dxa"/>
              <w:bottom w:w="100" w:type="dxa"/>
              <w:right w:w="120" w:type="dxa"/>
            </w:tcMar>
          </w:tcPr>
          <w:p w14:paraId="3A3024E8"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Diferencia frente a precio de mercado o catálogo del vendedor.</w:t>
            </w:r>
          </w:p>
        </w:tc>
      </w:tr>
      <w:tr w:rsidR="003A4451" w:rsidRPr="00B02115" w14:paraId="16C883C7" w14:textId="77777777">
        <w:trPr>
          <w:cantSplit/>
          <w:jc w:val="center"/>
        </w:trPr>
        <w:tc>
          <w:tcPr>
            <w:tcW w:w="2880" w:type="dxa"/>
            <w:shd w:val="clear" w:color="auto" w:fill="F4F5F7"/>
            <w:tcMar>
              <w:top w:w="100" w:type="dxa"/>
              <w:left w:w="120" w:type="dxa"/>
              <w:bottom w:w="100" w:type="dxa"/>
              <w:right w:w="120" w:type="dxa"/>
            </w:tcMar>
          </w:tcPr>
          <w:p w14:paraId="21C2317D" w14:textId="77777777" w:rsidR="003A4451" w:rsidRPr="00B02115" w:rsidRDefault="007C798D">
            <w:pPr>
              <w:rPr>
                <w:rFonts w:ascii="Cambria" w:eastAsia="Cambria" w:hAnsi="Cambria" w:cs="Cambria"/>
              </w:rPr>
            </w:pPr>
            <w:r w:rsidRPr="00B02115">
              <w:rPr>
                <w:rFonts w:ascii="Cambria" w:eastAsia="Cambria" w:hAnsi="Cambria" w:cs="Cambria"/>
                <w:b/>
                <w:bCs/>
                <w:color w:val="0F2043"/>
                <w:sz w:val="20"/>
                <w:szCs w:val="20"/>
              </w:rPr>
              <w:t>Fraccionamiento</w:t>
            </w:r>
          </w:p>
        </w:tc>
        <w:tc>
          <w:tcPr>
            <w:tcW w:w="3168" w:type="dxa"/>
            <w:shd w:val="clear" w:color="auto" w:fill="F4F5F7"/>
            <w:tcMar>
              <w:top w:w="100" w:type="dxa"/>
              <w:left w:w="120" w:type="dxa"/>
              <w:bottom w:w="100" w:type="dxa"/>
              <w:right w:w="120" w:type="dxa"/>
            </w:tcMar>
          </w:tcPr>
          <w:p w14:paraId="31F15836"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División deliberada de una compra o lote en varios envíos.</w:t>
            </w:r>
          </w:p>
        </w:tc>
        <w:tc>
          <w:tcPr>
            <w:tcW w:w="3312" w:type="dxa"/>
            <w:shd w:val="clear" w:color="auto" w:fill="F4F5F7"/>
            <w:tcMar>
              <w:top w:w="100" w:type="dxa"/>
              <w:left w:w="120" w:type="dxa"/>
              <w:bottom w:w="100" w:type="dxa"/>
              <w:right w:w="120" w:type="dxa"/>
            </w:tcMar>
          </w:tcPr>
          <w:p w14:paraId="12D1D441"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Múltiples envíos cercanos en el tiempo hacia el mismo destinatario.</w:t>
            </w:r>
          </w:p>
        </w:tc>
      </w:tr>
      <w:tr w:rsidR="003A4451" w:rsidRPr="00B02115" w14:paraId="4A9D0BCC" w14:textId="77777777">
        <w:trPr>
          <w:cantSplit/>
          <w:jc w:val="center"/>
        </w:trPr>
        <w:tc>
          <w:tcPr>
            <w:tcW w:w="2880" w:type="dxa"/>
            <w:shd w:val="clear" w:color="auto" w:fill="FFFFFF"/>
            <w:tcMar>
              <w:top w:w="100" w:type="dxa"/>
              <w:left w:w="120" w:type="dxa"/>
              <w:bottom w:w="100" w:type="dxa"/>
              <w:right w:w="120" w:type="dxa"/>
            </w:tcMar>
          </w:tcPr>
          <w:p w14:paraId="25742BAE" w14:textId="77777777" w:rsidR="003A4451" w:rsidRPr="00B02115" w:rsidRDefault="007C798D">
            <w:pPr>
              <w:rPr>
                <w:rFonts w:ascii="Cambria" w:eastAsia="Cambria" w:hAnsi="Cambria" w:cs="Cambria"/>
              </w:rPr>
            </w:pPr>
            <w:r w:rsidRPr="00B02115">
              <w:rPr>
                <w:rFonts w:ascii="Cambria" w:eastAsia="Cambria" w:hAnsi="Cambria" w:cs="Cambria"/>
                <w:b/>
                <w:bCs/>
                <w:color w:val="0F2043"/>
                <w:sz w:val="20"/>
                <w:szCs w:val="20"/>
              </w:rPr>
              <w:t>Descripción genérica</w:t>
            </w:r>
          </w:p>
        </w:tc>
        <w:tc>
          <w:tcPr>
            <w:tcW w:w="3168" w:type="dxa"/>
            <w:shd w:val="clear" w:color="auto" w:fill="FFFFFF"/>
            <w:tcMar>
              <w:top w:w="100" w:type="dxa"/>
              <w:left w:w="120" w:type="dxa"/>
              <w:bottom w:w="100" w:type="dxa"/>
              <w:right w:w="120" w:type="dxa"/>
            </w:tcMar>
          </w:tcPr>
          <w:p w14:paraId="74BC8980"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Uso de descripciones como "accesorios", "muestra" o "regalo".</w:t>
            </w:r>
          </w:p>
        </w:tc>
        <w:tc>
          <w:tcPr>
            <w:tcW w:w="3312" w:type="dxa"/>
            <w:shd w:val="clear" w:color="auto" w:fill="FFFFFF"/>
            <w:tcMar>
              <w:top w:w="100" w:type="dxa"/>
              <w:left w:w="120" w:type="dxa"/>
              <w:bottom w:w="100" w:type="dxa"/>
              <w:right w:w="120" w:type="dxa"/>
            </w:tcMar>
          </w:tcPr>
          <w:p w14:paraId="7FF3E4CA"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Baja calidad del dato y clasificación arancelaria incierta.</w:t>
            </w:r>
          </w:p>
        </w:tc>
      </w:tr>
      <w:tr w:rsidR="003A4451" w:rsidRPr="00B02115" w14:paraId="0D531078" w14:textId="77777777">
        <w:trPr>
          <w:cantSplit/>
          <w:jc w:val="center"/>
        </w:trPr>
        <w:tc>
          <w:tcPr>
            <w:tcW w:w="2880" w:type="dxa"/>
            <w:shd w:val="clear" w:color="auto" w:fill="F4F5F7"/>
            <w:tcMar>
              <w:top w:w="100" w:type="dxa"/>
              <w:left w:w="120" w:type="dxa"/>
              <w:bottom w:w="100" w:type="dxa"/>
              <w:right w:w="120" w:type="dxa"/>
            </w:tcMar>
          </w:tcPr>
          <w:p w14:paraId="05DA790A" w14:textId="77777777" w:rsidR="003A4451" w:rsidRPr="00B02115" w:rsidRDefault="007C798D">
            <w:pPr>
              <w:rPr>
                <w:rFonts w:ascii="Cambria" w:eastAsia="Cambria" w:hAnsi="Cambria" w:cs="Cambria"/>
              </w:rPr>
            </w:pPr>
            <w:r w:rsidRPr="00B02115">
              <w:rPr>
                <w:rFonts w:ascii="Cambria" w:eastAsia="Cambria" w:hAnsi="Cambria" w:cs="Cambria"/>
                <w:b/>
                <w:bCs/>
                <w:color w:val="0F2043"/>
                <w:sz w:val="20"/>
                <w:szCs w:val="20"/>
              </w:rPr>
              <w:lastRenderedPageBreak/>
              <w:t>Multiplicidad de identidades</w:t>
            </w:r>
          </w:p>
        </w:tc>
        <w:tc>
          <w:tcPr>
            <w:tcW w:w="3168" w:type="dxa"/>
            <w:shd w:val="clear" w:color="auto" w:fill="F4F5F7"/>
            <w:tcMar>
              <w:top w:w="100" w:type="dxa"/>
              <w:left w:w="120" w:type="dxa"/>
              <w:bottom w:w="100" w:type="dxa"/>
              <w:right w:w="120" w:type="dxa"/>
            </w:tcMar>
          </w:tcPr>
          <w:p w14:paraId="296225A3"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Uso de nombres, cédulas o direcciones alternas para un mismo comprador.</w:t>
            </w:r>
          </w:p>
        </w:tc>
        <w:tc>
          <w:tcPr>
            <w:tcW w:w="3312" w:type="dxa"/>
            <w:shd w:val="clear" w:color="auto" w:fill="F4F5F7"/>
            <w:tcMar>
              <w:top w:w="100" w:type="dxa"/>
              <w:left w:w="120" w:type="dxa"/>
              <w:bottom w:w="100" w:type="dxa"/>
              <w:right w:w="120" w:type="dxa"/>
            </w:tcMar>
          </w:tcPr>
          <w:p w14:paraId="354AB01D"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Mismo teléfono, medio de pago o domicilio en envíos distintos.</w:t>
            </w:r>
          </w:p>
        </w:tc>
      </w:tr>
      <w:tr w:rsidR="003A4451" w:rsidRPr="00B02115" w14:paraId="3FDEEDE2" w14:textId="77777777">
        <w:trPr>
          <w:cantSplit/>
          <w:jc w:val="center"/>
        </w:trPr>
        <w:tc>
          <w:tcPr>
            <w:tcW w:w="2880" w:type="dxa"/>
            <w:shd w:val="clear" w:color="auto" w:fill="FFFFFF"/>
            <w:tcMar>
              <w:top w:w="100" w:type="dxa"/>
              <w:left w:w="120" w:type="dxa"/>
              <w:bottom w:w="100" w:type="dxa"/>
              <w:right w:w="120" w:type="dxa"/>
            </w:tcMar>
          </w:tcPr>
          <w:p w14:paraId="46AB8D75" w14:textId="77777777" w:rsidR="003A4451" w:rsidRPr="00B02115" w:rsidRDefault="007C798D">
            <w:pPr>
              <w:rPr>
                <w:rFonts w:ascii="Cambria" w:eastAsia="Cambria" w:hAnsi="Cambria" w:cs="Cambria"/>
              </w:rPr>
            </w:pPr>
            <w:r w:rsidRPr="00B02115">
              <w:rPr>
                <w:rFonts w:ascii="Cambria" w:eastAsia="Cambria" w:hAnsi="Cambria" w:cs="Cambria"/>
                <w:b/>
                <w:bCs/>
                <w:color w:val="0F2043"/>
                <w:sz w:val="20"/>
                <w:szCs w:val="20"/>
              </w:rPr>
              <w:t>Uso comercial encubierto</w:t>
            </w:r>
          </w:p>
        </w:tc>
        <w:tc>
          <w:tcPr>
            <w:tcW w:w="3168" w:type="dxa"/>
            <w:shd w:val="clear" w:color="auto" w:fill="FFFFFF"/>
            <w:tcMar>
              <w:top w:w="100" w:type="dxa"/>
              <w:left w:w="120" w:type="dxa"/>
              <w:bottom w:w="100" w:type="dxa"/>
              <w:right w:w="120" w:type="dxa"/>
            </w:tcMar>
          </w:tcPr>
          <w:p w14:paraId="3E5E8E61"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Reventa de mercancía bajo apariencia de consumo personal.</w:t>
            </w:r>
          </w:p>
        </w:tc>
        <w:tc>
          <w:tcPr>
            <w:tcW w:w="3312" w:type="dxa"/>
            <w:shd w:val="clear" w:color="auto" w:fill="FFFFFF"/>
            <w:tcMar>
              <w:top w:w="100" w:type="dxa"/>
              <w:left w:w="120" w:type="dxa"/>
              <w:bottom w:w="100" w:type="dxa"/>
              <w:right w:w="120" w:type="dxa"/>
            </w:tcMar>
          </w:tcPr>
          <w:p w14:paraId="4C890703" w14:textId="77777777" w:rsidR="003A4451" w:rsidRPr="00B02115" w:rsidRDefault="007C798D">
            <w:pPr>
              <w:rPr>
                <w:rFonts w:ascii="Cambria" w:eastAsia="Cambria" w:hAnsi="Cambria" w:cs="Cambria"/>
              </w:rPr>
            </w:pPr>
            <w:r w:rsidRPr="00B02115">
              <w:rPr>
                <w:rFonts w:ascii="Cambria" w:eastAsia="Cambria" w:hAnsi="Cambria" w:cs="Cambria"/>
                <w:color w:val="282828"/>
                <w:sz w:val="20"/>
                <w:szCs w:val="20"/>
              </w:rPr>
              <w:t>Frecuencia elevada, repetición del mismo producto y cantidades atípicas para un consumidor final.</w:t>
            </w:r>
          </w:p>
        </w:tc>
      </w:tr>
    </w:tbl>
    <w:p w14:paraId="6658D13D" w14:textId="77777777" w:rsidR="003A4451" w:rsidRPr="009A1B77" w:rsidRDefault="007C798D" w:rsidP="009A1B77">
      <w:pPr>
        <w:spacing w:line="240" w:lineRule="auto"/>
        <w:rPr>
          <w:rFonts w:ascii="Cambria" w:hAnsi="Cambria"/>
        </w:rPr>
      </w:pPr>
      <w:r w:rsidRPr="009A1B77">
        <w:rPr>
          <w:rFonts w:ascii="Cambria" w:hAnsi="Cambria"/>
        </w:rPr>
        <w:t>Elaboración propia.</w:t>
      </w:r>
    </w:p>
    <w:p w14:paraId="785FFEB4" w14:textId="77777777" w:rsidR="003A4451" w:rsidRPr="009A1B77" w:rsidRDefault="003A4451" w:rsidP="009A1B77">
      <w:pPr>
        <w:spacing w:line="240" w:lineRule="auto"/>
        <w:rPr>
          <w:rFonts w:ascii="Cambria" w:hAnsi="Cambria"/>
          <w:sz w:val="24"/>
          <w:szCs w:val="24"/>
        </w:rPr>
      </w:pPr>
    </w:p>
    <w:p w14:paraId="15BB2EA9" w14:textId="77777777" w:rsidR="003A4451" w:rsidRPr="009A1B77" w:rsidRDefault="007C798D" w:rsidP="009A1B77">
      <w:pPr>
        <w:spacing w:line="240" w:lineRule="auto"/>
        <w:rPr>
          <w:rFonts w:ascii="Cambria" w:hAnsi="Cambria"/>
          <w:sz w:val="24"/>
          <w:szCs w:val="24"/>
        </w:rPr>
      </w:pPr>
      <w:r w:rsidRPr="009A1B77">
        <w:rPr>
          <w:rFonts w:ascii="Cambria" w:hAnsi="Cambria"/>
          <w:sz w:val="24"/>
          <w:szCs w:val="24"/>
        </w:rPr>
        <w:t xml:space="preserve">Se evidencia un abuso indebido del beneficio De minimis, en el fraccionamiento de envíos, al dividir de un pedido grande en varios paquetes pequeños para que cada uno no supere el valor límite de 200 dólares permitido para la exención de impuestos, engañando a la autoridad aduanera. </w:t>
      </w:r>
    </w:p>
    <w:p w14:paraId="48F9D931" w14:textId="77777777" w:rsidR="003A4451" w:rsidRPr="009A1B77" w:rsidRDefault="003A4451" w:rsidP="009A1B77">
      <w:pPr>
        <w:spacing w:line="240" w:lineRule="auto"/>
        <w:rPr>
          <w:rFonts w:ascii="Cambria" w:hAnsi="Cambria"/>
          <w:sz w:val="24"/>
          <w:szCs w:val="24"/>
        </w:rPr>
      </w:pPr>
    </w:p>
    <w:p w14:paraId="340E17CD" w14:textId="77777777" w:rsidR="003A4451" w:rsidRPr="009A1B77" w:rsidRDefault="007C798D" w:rsidP="009A1B77">
      <w:pPr>
        <w:spacing w:line="240" w:lineRule="auto"/>
        <w:rPr>
          <w:rFonts w:ascii="Cambria" w:hAnsi="Cambria"/>
          <w:sz w:val="24"/>
          <w:szCs w:val="24"/>
        </w:rPr>
      </w:pPr>
      <w:r w:rsidRPr="009A1B77">
        <w:rPr>
          <w:rFonts w:ascii="Cambria" w:hAnsi="Cambria"/>
          <w:sz w:val="24"/>
          <w:szCs w:val="24"/>
        </w:rPr>
        <w:t>En la Subvaloración, al declarar un valor inferior al real de las mercancías para aprovechar el umbral y obtener la exención de impuestos.</w:t>
      </w:r>
    </w:p>
    <w:p w14:paraId="1BB3D5A3" w14:textId="77777777" w:rsidR="003A4451" w:rsidRPr="009A1B77" w:rsidRDefault="003A4451" w:rsidP="009A1B77">
      <w:pPr>
        <w:spacing w:line="240" w:lineRule="auto"/>
        <w:rPr>
          <w:rFonts w:ascii="Cambria" w:hAnsi="Cambria"/>
          <w:sz w:val="24"/>
          <w:szCs w:val="24"/>
        </w:rPr>
      </w:pPr>
    </w:p>
    <w:p w14:paraId="5D17909A" w14:textId="77777777" w:rsidR="003A4451" w:rsidRPr="009A1B77" w:rsidRDefault="007C798D" w:rsidP="009A1B77">
      <w:pPr>
        <w:spacing w:line="240" w:lineRule="auto"/>
        <w:rPr>
          <w:rFonts w:ascii="Cambria" w:hAnsi="Cambria"/>
          <w:sz w:val="24"/>
          <w:szCs w:val="24"/>
        </w:rPr>
      </w:pPr>
      <w:r w:rsidRPr="009A1B77">
        <w:rPr>
          <w:rFonts w:ascii="Cambria" w:hAnsi="Cambria"/>
          <w:sz w:val="24"/>
          <w:szCs w:val="24"/>
        </w:rPr>
        <w:t>Y más grave aún en el uso comercial: La naturaleza de la operación importadora es con fines comerciales, desdibujando la naturaleza para lo cual fue establecido, para la satisfacción de una necesidad propia, privada, familiar o doméstica. Con el único objeto de facilitar el comercio-paqueteo ocasional.</w:t>
      </w:r>
    </w:p>
    <w:p w14:paraId="6C133B3C" w14:textId="77777777" w:rsidR="003A4451" w:rsidRDefault="003A4451" w:rsidP="009A1B77">
      <w:pPr>
        <w:spacing w:line="240" w:lineRule="auto"/>
        <w:rPr>
          <w:rFonts w:ascii="Cambria" w:hAnsi="Cambria"/>
          <w:sz w:val="24"/>
          <w:szCs w:val="24"/>
        </w:rPr>
      </w:pPr>
    </w:p>
    <w:p w14:paraId="6F364095" w14:textId="77777777" w:rsidR="009A1B77" w:rsidRDefault="009A1B77" w:rsidP="009A1B77">
      <w:pPr>
        <w:spacing w:line="240" w:lineRule="auto"/>
        <w:rPr>
          <w:rFonts w:ascii="Cambria" w:hAnsi="Cambria"/>
          <w:sz w:val="24"/>
          <w:szCs w:val="24"/>
        </w:rPr>
      </w:pPr>
    </w:p>
    <w:p w14:paraId="54BDCCEF" w14:textId="77777777" w:rsidR="009A1B77" w:rsidRDefault="009A1B77" w:rsidP="009A1B77">
      <w:pPr>
        <w:spacing w:line="240" w:lineRule="auto"/>
        <w:rPr>
          <w:rFonts w:ascii="Cambria" w:hAnsi="Cambria"/>
          <w:sz w:val="24"/>
          <w:szCs w:val="24"/>
        </w:rPr>
      </w:pPr>
    </w:p>
    <w:p w14:paraId="143DBC13" w14:textId="77777777" w:rsidR="009A1B77" w:rsidRPr="009A1B77" w:rsidRDefault="009A1B77" w:rsidP="009A1B77">
      <w:pPr>
        <w:spacing w:line="240" w:lineRule="auto"/>
        <w:rPr>
          <w:rFonts w:ascii="Cambria" w:hAnsi="Cambria"/>
          <w:sz w:val="24"/>
          <w:szCs w:val="24"/>
        </w:rPr>
      </w:pPr>
    </w:p>
    <w:p w14:paraId="38D45E17" w14:textId="77777777" w:rsidR="003A4451" w:rsidRPr="009A1B77" w:rsidRDefault="007C798D" w:rsidP="009A1B77">
      <w:pPr>
        <w:spacing w:line="240" w:lineRule="auto"/>
        <w:rPr>
          <w:rFonts w:ascii="Cambria" w:hAnsi="Cambria"/>
          <w:b/>
          <w:bCs/>
          <w:sz w:val="24"/>
          <w:szCs w:val="24"/>
        </w:rPr>
      </w:pPr>
      <w:r w:rsidRPr="009A1B77">
        <w:rPr>
          <w:rFonts w:ascii="Cambria" w:hAnsi="Cambria"/>
          <w:b/>
          <w:bCs/>
          <w:sz w:val="24"/>
          <w:szCs w:val="24"/>
        </w:rPr>
        <w:t>2.9 CASO USO DE LOCALES FÍSICOS NO OFICIALES.</w:t>
      </w:r>
    </w:p>
    <w:p w14:paraId="462A6468" w14:textId="77777777" w:rsidR="003A4451" w:rsidRPr="009A1B77" w:rsidRDefault="003A4451" w:rsidP="009A1B77">
      <w:pPr>
        <w:spacing w:line="240" w:lineRule="auto"/>
        <w:rPr>
          <w:rFonts w:ascii="Cambria" w:hAnsi="Cambria"/>
          <w:sz w:val="24"/>
          <w:szCs w:val="24"/>
        </w:rPr>
      </w:pPr>
    </w:p>
    <w:p w14:paraId="635AD1A1" w14:textId="77777777" w:rsidR="003A4451" w:rsidRPr="009A1B77" w:rsidRDefault="007C798D" w:rsidP="009A1B77">
      <w:pPr>
        <w:spacing w:line="240" w:lineRule="auto"/>
        <w:rPr>
          <w:rFonts w:ascii="Cambria" w:hAnsi="Cambria"/>
          <w:sz w:val="24"/>
          <w:szCs w:val="24"/>
        </w:rPr>
      </w:pPr>
      <w:r w:rsidRPr="009A1B77">
        <w:rPr>
          <w:rFonts w:ascii="Cambria" w:hAnsi="Cambria"/>
          <w:sz w:val="24"/>
          <w:szCs w:val="24"/>
        </w:rPr>
        <w:t xml:space="preserve">Como evidencia concreta del riesgo de "uso comercial encubierto" descrito en el numeral anterior, se adjuntan fotos de  varias ciudades de Colombia (Bello, </w:t>
      </w:r>
      <w:proofErr w:type="spellStart"/>
      <w:r w:rsidRPr="009A1B77">
        <w:rPr>
          <w:rFonts w:ascii="Cambria" w:hAnsi="Cambria"/>
          <w:sz w:val="24"/>
          <w:szCs w:val="24"/>
        </w:rPr>
        <w:t>Cotá</w:t>
      </w:r>
      <w:proofErr w:type="spellEnd"/>
      <w:r w:rsidRPr="009A1B77">
        <w:rPr>
          <w:rFonts w:ascii="Cambria" w:hAnsi="Cambria"/>
          <w:sz w:val="24"/>
          <w:szCs w:val="24"/>
        </w:rPr>
        <w:t xml:space="preserve">, Itagüí, Medellín y Tuluá) donde se observa la apertura de locales comerciales físicos que operan usando el nombre de </w:t>
      </w:r>
      <w:proofErr w:type="spellStart"/>
      <w:r w:rsidRPr="009A1B77">
        <w:rPr>
          <w:rFonts w:ascii="Cambria" w:hAnsi="Cambria"/>
          <w:sz w:val="24"/>
          <w:szCs w:val="24"/>
        </w:rPr>
        <w:t>Shein</w:t>
      </w:r>
      <w:proofErr w:type="spellEnd"/>
      <w:r w:rsidRPr="009A1B77">
        <w:rPr>
          <w:rFonts w:ascii="Cambria" w:hAnsi="Cambria"/>
          <w:sz w:val="24"/>
          <w:szCs w:val="24"/>
        </w:rPr>
        <w:t xml:space="preserve"> o abreviaturas similares. </w:t>
      </w:r>
    </w:p>
    <w:p w14:paraId="2E290440" w14:textId="77777777" w:rsidR="003A4451" w:rsidRPr="009A1B77" w:rsidRDefault="003A4451" w:rsidP="009A1B77">
      <w:pPr>
        <w:spacing w:line="240" w:lineRule="auto"/>
        <w:rPr>
          <w:rFonts w:ascii="Cambria" w:hAnsi="Cambria"/>
          <w:sz w:val="24"/>
          <w:szCs w:val="24"/>
        </w:rPr>
      </w:pPr>
    </w:p>
    <w:p w14:paraId="7694E144" w14:textId="77777777" w:rsidR="003A4451" w:rsidRPr="009A1B77" w:rsidRDefault="003A4451" w:rsidP="009A1B77">
      <w:pPr>
        <w:spacing w:line="240" w:lineRule="auto"/>
        <w:rPr>
          <w:rFonts w:ascii="Cambria" w:hAnsi="Cambria"/>
          <w:sz w:val="24"/>
          <w:szCs w:val="24"/>
        </w:rPr>
      </w:pPr>
    </w:p>
    <w:p w14:paraId="4892DB9F" w14:textId="77777777" w:rsidR="003A4451" w:rsidRPr="00B02115" w:rsidRDefault="007C798D">
      <w:pPr>
        <w:jc w:val="center"/>
      </w:pPr>
      <w:r w:rsidRPr="00B02115">
        <w:rPr>
          <w:noProof/>
        </w:rPr>
        <w:lastRenderedPageBreak/>
        <w:drawing>
          <wp:inline distT="0" distB="0" distL="0" distR="0" wp14:anchorId="547EFD90" wp14:editId="26D26C83">
            <wp:extent cx="4173275" cy="3146248"/>
            <wp:effectExtent l="0" t="0" r="0" b="0"/>
            <wp:docPr id="23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173275" cy="3146248"/>
                    </a:xfrm>
                    <a:prstGeom prst="rect">
                      <a:avLst/>
                    </a:prstGeom>
                    <a:ln/>
                  </pic:spPr>
                </pic:pic>
              </a:graphicData>
            </a:graphic>
          </wp:inline>
        </w:drawing>
      </w:r>
    </w:p>
    <w:p w14:paraId="45004E95" w14:textId="77777777" w:rsidR="003A4451" w:rsidRPr="00B02115" w:rsidRDefault="003A4451">
      <w:pPr>
        <w:rPr>
          <w:sz w:val="16"/>
          <w:szCs w:val="16"/>
        </w:rPr>
      </w:pPr>
    </w:p>
    <w:p w14:paraId="37D39294" w14:textId="77777777" w:rsidR="003A4451" w:rsidRPr="00B02115" w:rsidRDefault="007C798D">
      <w:pPr>
        <w:rPr>
          <w:sz w:val="16"/>
          <w:szCs w:val="16"/>
        </w:rPr>
      </w:pPr>
      <w:r w:rsidRPr="00B02115">
        <w:rPr>
          <w:noProof/>
          <w:sz w:val="16"/>
          <w:szCs w:val="16"/>
        </w:rPr>
        <w:drawing>
          <wp:inline distT="0" distB="0" distL="0" distR="0" wp14:anchorId="719996FB" wp14:editId="2C4220A2">
            <wp:extent cx="1905046" cy="3040500"/>
            <wp:effectExtent l="0" t="0" r="0" b="0"/>
            <wp:docPr id="23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5"/>
                    <a:srcRect/>
                    <a:stretch>
                      <a:fillRect/>
                    </a:stretch>
                  </pic:blipFill>
                  <pic:spPr>
                    <a:xfrm>
                      <a:off x="0" y="0"/>
                      <a:ext cx="1905046" cy="3040500"/>
                    </a:xfrm>
                    <a:prstGeom prst="rect">
                      <a:avLst/>
                    </a:prstGeom>
                    <a:ln/>
                  </pic:spPr>
                </pic:pic>
              </a:graphicData>
            </a:graphic>
          </wp:inline>
        </w:drawing>
      </w:r>
      <w:r w:rsidRPr="00B02115">
        <w:rPr>
          <w:sz w:val="16"/>
          <w:szCs w:val="16"/>
        </w:rPr>
        <w:t xml:space="preserve">   </w:t>
      </w:r>
      <w:r w:rsidRPr="00B02115">
        <w:rPr>
          <w:noProof/>
          <w:sz w:val="16"/>
          <w:szCs w:val="16"/>
        </w:rPr>
        <w:drawing>
          <wp:inline distT="0" distB="0" distL="0" distR="0" wp14:anchorId="7FEAADA8" wp14:editId="6914F8D2">
            <wp:extent cx="2853786" cy="3016528"/>
            <wp:effectExtent l="0" t="0" r="0" b="0"/>
            <wp:docPr id="234"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6"/>
                    <a:srcRect/>
                    <a:stretch>
                      <a:fillRect/>
                    </a:stretch>
                  </pic:blipFill>
                  <pic:spPr>
                    <a:xfrm>
                      <a:off x="0" y="0"/>
                      <a:ext cx="2853786" cy="3016528"/>
                    </a:xfrm>
                    <a:prstGeom prst="rect">
                      <a:avLst/>
                    </a:prstGeom>
                    <a:ln/>
                  </pic:spPr>
                </pic:pic>
              </a:graphicData>
            </a:graphic>
          </wp:inline>
        </w:drawing>
      </w:r>
    </w:p>
    <w:p w14:paraId="4AAB198C" w14:textId="77777777" w:rsidR="003A4451" w:rsidRPr="00B02115" w:rsidRDefault="003A4451">
      <w:pPr>
        <w:rPr>
          <w:sz w:val="16"/>
          <w:szCs w:val="16"/>
        </w:rPr>
      </w:pPr>
    </w:p>
    <w:p w14:paraId="20FFEB46" w14:textId="77777777" w:rsidR="003A4451" w:rsidRPr="00B02115" w:rsidRDefault="007C798D">
      <w:pPr>
        <w:rPr>
          <w:sz w:val="16"/>
          <w:szCs w:val="16"/>
        </w:rPr>
      </w:pPr>
      <w:r w:rsidRPr="00B02115">
        <w:rPr>
          <w:noProof/>
          <w:sz w:val="16"/>
          <w:szCs w:val="16"/>
        </w:rPr>
        <w:lastRenderedPageBreak/>
        <w:drawing>
          <wp:inline distT="0" distB="0" distL="0" distR="0" wp14:anchorId="649A749E" wp14:editId="1478B38F">
            <wp:extent cx="1982615" cy="3410832"/>
            <wp:effectExtent l="0" t="0" r="0" b="0"/>
            <wp:docPr id="23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7"/>
                    <a:srcRect/>
                    <a:stretch>
                      <a:fillRect/>
                    </a:stretch>
                  </pic:blipFill>
                  <pic:spPr>
                    <a:xfrm>
                      <a:off x="0" y="0"/>
                      <a:ext cx="1982615" cy="3410832"/>
                    </a:xfrm>
                    <a:prstGeom prst="rect">
                      <a:avLst/>
                    </a:prstGeom>
                    <a:ln/>
                  </pic:spPr>
                </pic:pic>
              </a:graphicData>
            </a:graphic>
          </wp:inline>
        </w:drawing>
      </w:r>
      <w:r w:rsidRPr="00B02115">
        <w:rPr>
          <w:sz w:val="16"/>
          <w:szCs w:val="16"/>
        </w:rPr>
        <w:t xml:space="preserve">   </w:t>
      </w:r>
      <w:r w:rsidRPr="00B02115">
        <w:rPr>
          <w:noProof/>
          <w:sz w:val="16"/>
          <w:szCs w:val="16"/>
        </w:rPr>
        <w:drawing>
          <wp:inline distT="0" distB="0" distL="0" distR="0" wp14:anchorId="758D2679" wp14:editId="4309F2A2">
            <wp:extent cx="3505122" cy="2631419"/>
            <wp:effectExtent l="0" t="0" r="0" b="0"/>
            <wp:docPr id="236"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8"/>
                    <a:srcRect/>
                    <a:stretch>
                      <a:fillRect/>
                    </a:stretch>
                  </pic:blipFill>
                  <pic:spPr>
                    <a:xfrm>
                      <a:off x="0" y="0"/>
                      <a:ext cx="3505122" cy="2631419"/>
                    </a:xfrm>
                    <a:prstGeom prst="rect">
                      <a:avLst/>
                    </a:prstGeom>
                    <a:ln/>
                  </pic:spPr>
                </pic:pic>
              </a:graphicData>
            </a:graphic>
          </wp:inline>
        </w:drawing>
      </w:r>
    </w:p>
    <w:p w14:paraId="14F1A6FC" w14:textId="77777777" w:rsidR="003A4451" w:rsidRPr="00B02115" w:rsidRDefault="003A4451">
      <w:pPr>
        <w:rPr>
          <w:sz w:val="16"/>
          <w:szCs w:val="16"/>
        </w:rPr>
      </w:pPr>
    </w:p>
    <w:p w14:paraId="159FE120" w14:textId="77777777" w:rsidR="003A4451" w:rsidRPr="00B02115" w:rsidRDefault="007C798D">
      <w:pPr>
        <w:rPr>
          <w:sz w:val="16"/>
          <w:szCs w:val="16"/>
        </w:rPr>
      </w:pPr>
      <w:r w:rsidRPr="00B02115">
        <w:rPr>
          <w:noProof/>
          <w:sz w:val="16"/>
          <w:szCs w:val="16"/>
        </w:rPr>
        <w:lastRenderedPageBreak/>
        <w:drawing>
          <wp:inline distT="0" distB="0" distL="0" distR="0" wp14:anchorId="6FAE024C" wp14:editId="019B0876">
            <wp:extent cx="1973956" cy="3331595"/>
            <wp:effectExtent l="0" t="0" r="0" b="0"/>
            <wp:docPr id="23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9"/>
                    <a:srcRect/>
                    <a:stretch>
                      <a:fillRect/>
                    </a:stretch>
                  </pic:blipFill>
                  <pic:spPr>
                    <a:xfrm>
                      <a:off x="0" y="0"/>
                      <a:ext cx="1973956" cy="3331595"/>
                    </a:xfrm>
                    <a:prstGeom prst="rect">
                      <a:avLst/>
                    </a:prstGeom>
                    <a:ln/>
                  </pic:spPr>
                </pic:pic>
              </a:graphicData>
            </a:graphic>
          </wp:inline>
        </w:drawing>
      </w:r>
    </w:p>
    <w:p w14:paraId="318C385B" w14:textId="77777777" w:rsidR="003A4451" w:rsidRPr="00B80236" w:rsidRDefault="003A4451" w:rsidP="00B80236">
      <w:pPr>
        <w:spacing w:line="240" w:lineRule="auto"/>
        <w:rPr>
          <w:rFonts w:ascii="Cambria" w:hAnsi="Cambria"/>
          <w:sz w:val="24"/>
          <w:szCs w:val="24"/>
        </w:rPr>
      </w:pPr>
    </w:p>
    <w:p w14:paraId="6B5AC995" w14:textId="77777777" w:rsidR="003A4451" w:rsidRPr="00B80236" w:rsidRDefault="003A4451" w:rsidP="00B80236">
      <w:pPr>
        <w:spacing w:line="240" w:lineRule="auto"/>
        <w:rPr>
          <w:rFonts w:ascii="Cambria" w:hAnsi="Cambria"/>
          <w:sz w:val="24"/>
          <w:szCs w:val="24"/>
        </w:rPr>
      </w:pPr>
    </w:p>
    <w:p w14:paraId="14F440C2" w14:textId="77777777" w:rsidR="003A4451" w:rsidRPr="00B80236" w:rsidRDefault="007C798D" w:rsidP="00B80236">
      <w:pPr>
        <w:spacing w:line="240" w:lineRule="auto"/>
        <w:rPr>
          <w:rFonts w:ascii="Cambria" w:hAnsi="Cambria"/>
          <w:sz w:val="24"/>
          <w:szCs w:val="24"/>
        </w:rPr>
      </w:pPr>
      <w:r w:rsidRPr="00B80236">
        <w:rPr>
          <w:rFonts w:ascii="Cambria" w:hAnsi="Cambria"/>
          <w:sz w:val="24"/>
          <w:szCs w:val="24"/>
        </w:rPr>
        <w:t xml:space="preserve">Es importante precisar, que SHEIN no opera bajo un modelo de franquicias físicas en Colombia ni en América Latina: su modelo corporativo es de venta digital centralizada, y sus únicas incursiones físicas directas se han limitado a pruebas piloto puntuales en mercados como Francia y otras partes de Europa, además de eventos temporales (pop-ups) en algunas ciudades de la región. </w:t>
      </w:r>
    </w:p>
    <w:p w14:paraId="79650E0B" w14:textId="77777777" w:rsidR="003A4451" w:rsidRPr="00B80236" w:rsidRDefault="003A4451" w:rsidP="00B80236">
      <w:pPr>
        <w:spacing w:line="240" w:lineRule="auto"/>
        <w:rPr>
          <w:rFonts w:ascii="Cambria" w:hAnsi="Cambria"/>
          <w:sz w:val="24"/>
          <w:szCs w:val="24"/>
        </w:rPr>
      </w:pPr>
    </w:p>
    <w:p w14:paraId="34D8A559" w14:textId="77777777" w:rsidR="003A4451" w:rsidRPr="00B80236" w:rsidRDefault="007C798D" w:rsidP="00B80236">
      <w:pPr>
        <w:spacing w:line="240" w:lineRule="auto"/>
        <w:rPr>
          <w:rFonts w:ascii="Cambria" w:hAnsi="Cambria"/>
          <w:sz w:val="24"/>
          <w:szCs w:val="24"/>
        </w:rPr>
      </w:pPr>
      <w:r w:rsidRPr="00B80236">
        <w:rPr>
          <w:rFonts w:ascii="Cambria" w:hAnsi="Cambria"/>
          <w:sz w:val="24"/>
          <w:szCs w:val="24"/>
        </w:rPr>
        <w:t xml:space="preserve">Es decir, estos locales corresponden a comerciantes e importadores locales independientes que compran lotes o saldos al por mayor en la plataforma de </w:t>
      </w:r>
      <w:proofErr w:type="spellStart"/>
      <w:r w:rsidRPr="00B80236">
        <w:rPr>
          <w:rFonts w:ascii="Cambria" w:hAnsi="Cambria"/>
          <w:sz w:val="24"/>
          <w:szCs w:val="24"/>
        </w:rPr>
        <w:t>Shein</w:t>
      </w:r>
      <w:proofErr w:type="spellEnd"/>
      <w:r w:rsidRPr="00B80236">
        <w:rPr>
          <w:rFonts w:ascii="Cambria" w:hAnsi="Cambria"/>
          <w:sz w:val="24"/>
          <w:szCs w:val="24"/>
        </w:rPr>
        <w:t xml:space="preserve"> y abren puntos físicos utilizando el logo y el nombre de la marca como gancho comercial, sin relación corporativa con la matriz. Este hallazgo tiene dos lecturas complementarias:</w:t>
      </w:r>
    </w:p>
    <w:p w14:paraId="764C09A4" w14:textId="77777777" w:rsidR="003A4451" w:rsidRPr="00B80236" w:rsidRDefault="003A4451" w:rsidP="00B80236">
      <w:pPr>
        <w:spacing w:line="240" w:lineRule="auto"/>
        <w:rPr>
          <w:rFonts w:ascii="Cambria" w:hAnsi="Cambria"/>
          <w:sz w:val="24"/>
          <w:szCs w:val="24"/>
        </w:rPr>
      </w:pPr>
    </w:p>
    <w:p w14:paraId="5E1ACF43" w14:textId="77777777" w:rsidR="003A4451" w:rsidRPr="00B80236" w:rsidRDefault="007C798D" w:rsidP="00B80236">
      <w:pPr>
        <w:spacing w:line="240" w:lineRule="auto"/>
        <w:rPr>
          <w:rFonts w:ascii="Cambria" w:hAnsi="Cambria"/>
          <w:sz w:val="24"/>
          <w:szCs w:val="24"/>
        </w:rPr>
      </w:pPr>
      <w:r w:rsidRPr="00B80236">
        <w:rPr>
          <w:rFonts w:ascii="Cambria" w:hAnsi="Cambria"/>
          <w:sz w:val="24"/>
          <w:szCs w:val="24"/>
        </w:rPr>
        <w:t xml:space="preserve">Como caso de "uso comercial encubierto": la apertura de un local físico con inventario permanente implica, por definición, la importación de volúmenes que exceden el perfil de un consumidor final ocasional, lo que sugiere que parte de esa mercancía pudo ingresar bajo modalidades pensadas para compras personales de bajo valor, y no bajo </w:t>
      </w:r>
    </w:p>
    <w:p w14:paraId="458E32C1" w14:textId="77777777" w:rsidR="003A4451" w:rsidRPr="00B80236" w:rsidRDefault="007C798D" w:rsidP="00B80236">
      <w:pPr>
        <w:spacing w:line="240" w:lineRule="auto"/>
        <w:rPr>
          <w:rFonts w:ascii="Cambria" w:hAnsi="Cambria"/>
          <w:sz w:val="24"/>
          <w:szCs w:val="24"/>
        </w:rPr>
      </w:pPr>
      <w:r w:rsidRPr="00B80236">
        <w:rPr>
          <w:rFonts w:ascii="Cambria" w:hAnsi="Cambria"/>
          <w:sz w:val="24"/>
          <w:szCs w:val="24"/>
        </w:rPr>
        <w:t xml:space="preserve">un régimen de importación comercial ordinaria con el pago pleno de aranceles e IVA. </w:t>
      </w:r>
    </w:p>
    <w:p w14:paraId="7B3DE1CA" w14:textId="77777777" w:rsidR="003A4451" w:rsidRPr="00B80236" w:rsidRDefault="003A4451" w:rsidP="00B80236">
      <w:pPr>
        <w:spacing w:line="240" w:lineRule="auto"/>
        <w:rPr>
          <w:rFonts w:ascii="Cambria" w:hAnsi="Cambria"/>
          <w:sz w:val="24"/>
          <w:szCs w:val="24"/>
        </w:rPr>
      </w:pPr>
    </w:p>
    <w:p w14:paraId="100BEDC2" w14:textId="77777777" w:rsidR="003A4451" w:rsidRPr="00B80236" w:rsidRDefault="007C798D" w:rsidP="00B80236">
      <w:pPr>
        <w:spacing w:line="240" w:lineRule="auto"/>
        <w:rPr>
          <w:rFonts w:ascii="Cambria" w:hAnsi="Cambria"/>
          <w:sz w:val="24"/>
          <w:szCs w:val="24"/>
        </w:rPr>
      </w:pPr>
      <w:r w:rsidRPr="00B80236">
        <w:rPr>
          <w:rFonts w:ascii="Cambria" w:hAnsi="Cambria"/>
          <w:sz w:val="24"/>
          <w:szCs w:val="24"/>
        </w:rPr>
        <w:lastRenderedPageBreak/>
        <w:t xml:space="preserve">Como caso de competencia desleal directa a marcas colombianas formales: estos locales operan cerca de los puntos de venta de marcas colombianas de confecciones con estructura formal de nómina, inventario declarado y pago de impuestos, lo que ilustra de forma concreta la asimetría de condiciones descrita en esta exposición de motivos. </w:t>
      </w:r>
    </w:p>
    <w:p w14:paraId="34ACEA31" w14:textId="77777777" w:rsidR="003A4451" w:rsidRPr="00B02115" w:rsidRDefault="003A4451">
      <w:pPr>
        <w:widowControl w:val="0"/>
        <w:pBdr>
          <w:top w:val="nil"/>
          <w:left w:val="nil"/>
          <w:bottom w:val="nil"/>
          <w:right w:val="nil"/>
          <w:between w:val="nil"/>
        </w:pBdr>
        <w:spacing w:line="240" w:lineRule="auto"/>
        <w:ind w:right="267"/>
        <w:rPr>
          <w:rFonts w:ascii="Cambria" w:eastAsia="Cambria" w:hAnsi="Cambria" w:cs="Cambria"/>
          <w:color w:val="000000"/>
          <w:sz w:val="24"/>
          <w:szCs w:val="24"/>
        </w:rPr>
      </w:pPr>
    </w:p>
    <w:p w14:paraId="68A134E9" w14:textId="77777777" w:rsidR="003A4451" w:rsidRPr="00B02115" w:rsidRDefault="003A4451">
      <w:pPr>
        <w:widowControl w:val="0"/>
        <w:pBdr>
          <w:top w:val="nil"/>
          <w:left w:val="nil"/>
          <w:bottom w:val="nil"/>
          <w:right w:val="nil"/>
          <w:between w:val="nil"/>
        </w:pBdr>
        <w:spacing w:line="240" w:lineRule="auto"/>
        <w:ind w:right="267"/>
        <w:rPr>
          <w:rFonts w:ascii="Cambria" w:eastAsia="Cambria" w:hAnsi="Cambria" w:cs="Cambria"/>
          <w:color w:val="000000"/>
          <w:sz w:val="24"/>
          <w:szCs w:val="24"/>
        </w:rPr>
      </w:pPr>
    </w:p>
    <w:p w14:paraId="0B77CA0E" w14:textId="77777777" w:rsidR="003A4451" w:rsidRPr="00B02115" w:rsidRDefault="007C798D">
      <w:pPr>
        <w:pStyle w:val="Ttulo1"/>
        <w:numPr>
          <w:ilvl w:val="0"/>
          <w:numId w:val="7"/>
        </w:numPr>
        <w:spacing w:line="240" w:lineRule="auto"/>
        <w:jc w:val="center"/>
        <w:rPr>
          <w:sz w:val="24"/>
          <w:szCs w:val="24"/>
        </w:rPr>
      </w:pPr>
      <w:bookmarkStart w:id="3" w:name="_heading=h.jjx21d6c74lx" w:colFirst="0" w:colLast="0"/>
      <w:bookmarkEnd w:id="3"/>
      <w:r w:rsidRPr="00B02115">
        <w:rPr>
          <w:rFonts w:ascii="Cambria" w:eastAsia="Cambria" w:hAnsi="Cambria" w:cs="Cambria"/>
          <w:sz w:val="24"/>
          <w:szCs w:val="24"/>
        </w:rPr>
        <w:t>FUNDAMENTOS JURÍDICOS DEL PROYECTO DE LEY</w:t>
      </w:r>
    </w:p>
    <w:p w14:paraId="0D8F34C9" w14:textId="77777777" w:rsidR="003A4451" w:rsidRPr="00B02115" w:rsidRDefault="003A4451">
      <w:pPr>
        <w:pStyle w:val="Ttulo1"/>
        <w:spacing w:line="240" w:lineRule="auto"/>
        <w:ind w:left="0"/>
        <w:rPr>
          <w:rFonts w:ascii="Cambria" w:eastAsia="Cambria" w:hAnsi="Cambria" w:cs="Cambria"/>
          <w:sz w:val="24"/>
          <w:szCs w:val="24"/>
        </w:rPr>
      </w:pPr>
    </w:p>
    <w:p w14:paraId="49E8B140"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Marco Constitucional se encuentra el numeral 15 del artículo 150 constitucional le otorga la competencia al Congreso de la República para realizar leyes:</w:t>
      </w:r>
    </w:p>
    <w:p w14:paraId="7EE4C0DC" w14:textId="77777777" w:rsidR="003A4451" w:rsidRPr="00B02115" w:rsidRDefault="003A4451">
      <w:pPr>
        <w:spacing w:line="240" w:lineRule="auto"/>
        <w:rPr>
          <w:rFonts w:ascii="Cambria" w:eastAsia="Cambria" w:hAnsi="Cambria" w:cs="Cambria"/>
          <w:b/>
          <w:bCs/>
          <w:sz w:val="24"/>
          <w:szCs w:val="24"/>
        </w:rPr>
      </w:pPr>
    </w:p>
    <w:p w14:paraId="28C7A53E" w14:textId="77777777" w:rsidR="003A4451" w:rsidRPr="00B02115" w:rsidRDefault="007C798D">
      <w:pPr>
        <w:widowControl w:val="0"/>
        <w:pBdr>
          <w:top w:val="nil"/>
          <w:left w:val="nil"/>
          <w:bottom w:val="nil"/>
          <w:right w:val="nil"/>
          <w:between w:val="nil"/>
        </w:pBdr>
        <w:spacing w:line="240" w:lineRule="auto"/>
        <w:ind w:left="720"/>
        <w:rPr>
          <w:rFonts w:ascii="Cambria" w:eastAsia="Cambria" w:hAnsi="Cambria" w:cs="Cambria"/>
          <w:i/>
          <w:iCs/>
          <w:color w:val="000000"/>
          <w:sz w:val="24"/>
          <w:szCs w:val="24"/>
        </w:rPr>
      </w:pPr>
      <w:r w:rsidRPr="00B02115">
        <w:rPr>
          <w:rFonts w:ascii="Cambria" w:eastAsia="Cambria" w:hAnsi="Cambria" w:cs="Cambria"/>
          <w:i/>
          <w:iCs/>
          <w:color w:val="000000"/>
          <w:sz w:val="24"/>
          <w:szCs w:val="24"/>
        </w:rPr>
        <w:t>“</w:t>
      </w:r>
      <w:r w:rsidRPr="00B02115">
        <w:rPr>
          <w:rFonts w:ascii="Cambria" w:eastAsia="Cambria" w:hAnsi="Cambria" w:cs="Cambria"/>
          <w:b/>
          <w:bCs/>
          <w:i/>
          <w:iCs/>
          <w:color w:val="000000"/>
          <w:sz w:val="24"/>
          <w:szCs w:val="24"/>
        </w:rPr>
        <w:t>ARTÍCULO 150.</w:t>
      </w:r>
      <w:r w:rsidRPr="00B02115">
        <w:rPr>
          <w:rFonts w:ascii="Cambria" w:eastAsia="Cambria" w:hAnsi="Cambria" w:cs="Cambria"/>
          <w:i/>
          <w:iCs/>
          <w:color w:val="000000"/>
          <w:sz w:val="24"/>
          <w:szCs w:val="24"/>
        </w:rPr>
        <w:t xml:space="preserve"> Corresponde al Congreso hacer las leyes. Por medio de ellas ejerce las siguientes funciones:</w:t>
      </w:r>
    </w:p>
    <w:p w14:paraId="0E1B15F7" w14:textId="77777777" w:rsidR="003A4451" w:rsidRPr="00B02115" w:rsidRDefault="007C798D">
      <w:pPr>
        <w:widowControl w:val="0"/>
        <w:numPr>
          <w:ilvl w:val="1"/>
          <w:numId w:val="2"/>
        </w:numPr>
        <w:pBdr>
          <w:top w:val="nil"/>
          <w:left w:val="nil"/>
          <w:bottom w:val="nil"/>
          <w:right w:val="nil"/>
          <w:between w:val="nil"/>
        </w:pBdr>
        <w:spacing w:line="240" w:lineRule="auto"/>
        <w:ind w:left="720"/>
        <w:rPr>
          <w:rFonts w:ascii="Cambria" w:eastAsia="Cambria" w:hAnsi="Cambria" w:cs="Cambria"/>
          <w:i/>
          <w:iCs/>
          <w:color w:val="000000"/>
          <w:sz w:val="24"/>
          <w:szCs w:val="24"/>
        </w:rPr>
      </w:pPr>
      <w:r w:rsidRPr="00B02115">
        <w:rPr>
          <w:rFonts w:ascii="Cambria" w:eastAsia="Cambria" w:hAnsi="Cambria" w:cs="Cambria"/>
          <w:i/>
          <w:iCs/>
          <w:color w:val="000000"/>
          <w:sz w:val="24"/>
          <w:szCs w:val="24"/>
        </w:rPr>
        <w:t>Interpretar, reformar y derogar las leyes.</w:t>
      </w:r>
    </w:p>
    <w:p w14:paraId="4026616C" w14:textId="77777777" w:rsidR="003A4451" w:rsidRPr="00B02115" w:rsidRDefault="007C798D">
      <w:pPr>
        <w:widowControl w:val="0"/>
        <w:pBdr>
          <w:top w:val="nil"/>
          <w:left w:val="nil"/>
          <w:bottom w:val="nil"/>
          <w:right w:val="nil"/>
          <w:between w:val="nil"/>
        </w:pBdr>
        <w:spacing w:line="240" w:lineRule="auto"/>
        <w:ind w:left="720"/>
        <w:rPr>
          <w:rFonts w:ascii="Cambria" w:eastAsia="Cambria" w:hAnsi="Cambria" w:cs="Cambria"/>
          <w:i/>
          <w:iCs/>
          <w:color w:val="000000"/>
          <w:sz w:val="24"/>
          <w:szCs w:val="24"/>
        </w:rPr>
      </w:pPr>
      <w:r w:rsidRPr="00B02115">
        <w:rPr>
          <w:rFonts w:ascii="Cambria" w:eastAsia="Cambria" w:hAnsi="Cambria" w:cs="Cambria"/>
          <w:i/>
          <w:iCs/>
          <w:color w:val="000000"/>
          <w:sz w:val="24"/>
          <w:szCs w:val="24"/>
        </w:rPr>
        <w:t>(…)</w:t>
      </w:r>
    </w:p>
    <w:p w14:paraId="1B744B05" w14:textId="77777777" w:rsidR="003A4451" w:rsidRPr="00B02115" w:rsidRDefault="007C798D">
      <w:pPr>
        <w:widowControl w:val="0"/>
        <w:pBdr>
          <w:top w:val="nil"/>
          <w:left w:val="nil"/>
          <w:bottom w:val="nil"/>
          <w:right w:val="nil"/>
          <w:between w:val="nil"/>
        </w:pBdr>
        <w:spacing w:line="240" w:lineRule="auto"/>
        <w:ind w:left="720"/>
        <w:rPr>
          <w:rFonts w:ascii="Cambria" w:eastAsia="Cambria" w:hAnsi="Cambria" w:cs="Cambria"/>
          <w:i/>
          <w:iCs/>
          <w:color w:val="000000"/>
          <w:sz w:val="24"/>
          <w:szCs w:val="24"/>
        </w:rPr>
      </w:pPr>
      <w:r w:rsidRPr="00B02115">
        <w:rPr>
          <w:rFonts w:ascii="Cambria" w:eastAsia="Cambria" w:hAnsi="Cambria" w:cs="Cambria"/>
          <w:i/>
          <w:iCs/>
          <w:color w:val="000000"/>
          <w:sz w:val="24"/>
          <w:szCs w:val="24"/>
        </w:rPr>
        <w:t>19. Dictar las normas generales, y señalar en ellas los objetivos y criterios a los cuales debe sujetarse el Gobierno para los siguientes efectos:</w:t>
      </w:r>
    </w:p>
    <w:p w14:paraId="576ED00A" w14:textId="77777777" w:rsidR="003A4451" w:rsidRPr="00B02115" w:rsidRDefault="007C798D">
      <w:pPr>
        <w:pBdr>
          <w:top w:val="nil"/>
          <w:left w:val="nil"/>
          <w:bottom w:val="nil"/>
          <w:right w:val="nil"/>
          <w:between w:val="nil"/>
        </w:pBdr>
        <w:spacing w:line="240" w:lineRule="auto"/>
        <w:ind w:left="720"/>
        <w:rPr>
          <w:rFonts w:ascii="Cambria" w:eastAsia="Cambria" w:hAnsi="Cambria" w:cs="Cambria"/>
          <w:i/>
          <w:iCs/>
          <w:color w:val="000000"/>
          <w:sz w:val="24"/>
          <w:szCs w:val="24"/>
        </w:rPr>
      </w:pPr>
      <w:r w:rsidRPr="00B02115">
        <w:rPr>
          <w:rFonts w:ascii="Cambria" w:eastAsia="Cambria" w:hAnsi="Cambria" w:cs="Cambria"/>
          <w:i/>
          <w:iCs/>
          <w:color w:val="000000"/>
          <w:sz w:val="24"/>
          <w:szCs w:val="24"/>
        </w:rPr>
        <w:t>a) Organizar el crédito público;</w:t>
      </w:r>
    </w:p>
    <w:p w14:paraId="512FE593" w14:textId="77777777" w:rsidR="003A4451" w:rsidRPr="00B02115" w:rsidRDefault="007C798D">
      <w:pPr>
        <w:pBdr>
          <w:top w:val="nil"/>
          <w:left w:val="nil"/>
          <w:bottom w:val="nil"/>
          <w:right w:val="nil"/>
          <w:between w:val="nil"/>
        </w:pBdr>
        <w:spacing w:line="240" w:lineRule="auto"/>
        <w:ind w:left="720"/>
        <w:rPr>
          <w:rFonts w:ascii="Cambria" w:eastAsia="Cambria" w:hAnsi="Cambria" w:cs="Cambria"/>
          <w:i/>
          <w:iCs/>
          <w:color w:val="000000"/>
          <w:sz w:val="24"/>
          <w:szCs w:val="24"/>
        </w:rPr>
      </w:pPr>
      <w:r w:rsidRPr="00B02115">
        <w:rPr>
          <w:rFonts w:ascii="Cambria" w:eastAsia="Cambria" w:hAnsi="Cambria" w:cs="Cambria"/>
          <w:i/>
          <w:iCs/>
          <w:color w:val="000000"/>
          <w:sz w:val="24"/>
          <w:szCs w:val="24"/>
          <w:u w:val="single"/>
        </w:rPr>
        <w:t>b) Regular el comercio exterior</w:t>
      </w:r>
      <w:r w:rsidRPr="00B02115">
        <w:rPr>
          <w:rFonts w:ascii="Cambria" w:eastAsia="Cambria" w:hAnsi="Cambria" w:cs="Cambria"/>
          <w:i/>
          <w:iCs/>
          <w:color w:val="000000"/>
          <w:sz w:val="24"/>
          <w:szCs w:val="24"/>
        </w:rPr>
        <w:t xml:space="preserve"> y señalar el régimen de cambio internacional, en concordancia con las funciones que la Constitución consagra para la Junta Directiva del Banco de la República;</w:t>
      </w:r>
    </w:p>
    <w:p w14:paraId="35871F5B" w14:textId="77777777" w:rsidR="003A4451" w:rsidRPr="00B02115" w:rsidRDefault="007C798D">
      <w:pPr>
        <w:pBdr>
          <w:top w:val="nil"/>
          <w:left w:val="nil"/>
          <w:bottom w:val="nil"/>
          <w:right w:val="nil"/>
          <w:between w:val="nil"/>
        </w:pBdr>
        <w:spacing w:line="240" w:lineRule="auto"/>
        <w:ind w:left="720"/>
        <w:rPr>
          <w:rFonts w:ascii="Cambria" w:eastAsia="Cambria" w:hAnsi="Cambria" w:cs="Cambria"/>
          <w:i/>
          <w:iCs/>
          <w:color w:val="000000"/>
          <w:sz w:val="24"/>
          <w:szCs w:val="24"/>
          <w:u w:val="single"/>
        </w:rPr>
      </w:pPr>
      <w:r w:rsidRPr="00B02115">
        <w:rPr>
          <w:rFonts w:ascii="Cambria" w:eastAsia="Cambria" w:hAnsi="Cambria" w:cs="Cambria"/>
          <w:i/>
          <w:iCs/>
          <w:color w:val="000000"/>
          <w:sz w:val="24"/>
          <w:szCs w:val="24"/>
          <w:u w:val="single"/>
        </w:rPr>
        <w:t>c) Modificar, por razones de política comercial los aranceles, tarifas y demás disposiciones concernientes al régimen de aduanas;</w:t>
      </w:r>
    </w:p>
    <w:p w14:paraId="1BCAAF91" w14:textId="77777777" w:rsidR="003A4451" w:rsidRPr="00B02115" w:rsidRDefault="007C798D">
      <w:pPr>
        <w:widowControl w:val="0"/>
        <w:pBdr>
          <w:top w:val="nil"/>
          <w:left w:val="nil"/>
          <w:bottom w:val="nil"/>
          <w:right w:val="nil"/>
          <w:between w:val="nil"/>
        </w:pBdr>
        <w:spacing w:line="240" w:lineRule="auto"/>
        <w:ind w:left="720"/>
        <w:rPr>
          <w:rFonts w:ascii="Cambria" w:eastAsia="Cambria" w:hAnsi="Cambria" w:cs="Cambria"/>
          <w:i/>
          <w:iCs/>
          <w:color w:val="000000"/>
          <w:sz w:val="24"/>
          <w:szCs w:val="24"/>
        </w:rPr>
      </w:pPr>
      <w:r w:rsidRPr="00B02115">
        <w:rPr>
          <w:rFonts w:ascii="Cambria" w:eastAsia="Cambria" w:hAnsi="Cambria" w:cs="Cambria"/>
          <w:i/>
          <w:iCs/>
          <w:color w:val="000000"/>
          <w:sz w:val="24"/>
          <w:szCs w:val="24"/>
        </w:rPr>
        <w:t xml:space="preserve"> (…)”. </w:t>
      </w:r>
    </w:p>
    <w:p w14:paraId="49BE086B" w14:textId="77777777" w:rsidR="003A4451" w:rsidRPr="00B02115" w:rsidRDefault="003A4451">
      <w:pPr>
        <w:widowControl w:val="0"/>
        <w:pBdr>
          <w:top w:val="nil"/>
          <w:left w:val="nil"/>
          <w:bottom w:val="nil"/>
          <w:right w:val="nil"/>
          <w:between w:val="nil"/>
        </w:pBdr>
        <w:spacing w:line="240" w:lineRule="auto"/>
        <w:ind w:left="720"/>
        <w:rPr>
          <w:rFonts w:ascii="Cambria" w:eastAsia="Cambria" w:hAnsi="Cambria" w:cs="Cambria"/>
          <w:i/>
          <w:iCs/>
          <w:sz w:val="24"/>
          <w:szCs w:val="24"/>
        </w:rPr>
      </w:pPr>
    </w:p>
    <w:p w14:paraId="1A55DA4C"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Por otro lado, el artículo 83 constitucional, referente a la buena fe, no ampara conductas orientadas a aprovechar un beneficio pensado para consumidores finales para introducir mercancía con destino a comercialización.</w:t>
      </w:r>
    </w:p>
    <w:p w14:paraId="6AA45EE3" w14:textId="77777777" w:rsidR="003A4451" w:rsidRPr="00B02115" w:rsidRDefault="003A4451">
      <w:pPr>
        <w:spacing w:line="240" w:lineRule="auto"/>
        <w:rPr>
          <w:rFonts w:ascii="Cambria" w:eastAsia="Cambria" w:hAnsi="Cambria" w:cs="Cambria"/>
          <w:sz w:val="24"/>
          <w:szCs w:val="24"/>
        </w:rPr>
      </w:pPr>
    </w:p>
    <w:p w14:paraId="3ED91D08" w14:textId="77777777" w:rsidR="003A4451" w:rsidRPr="00B02115" w:rsidRDefault="007C798D">
      <w:pPr>
        <w:spacing w:line="240" w:lineRule="auto"/>
        <w:ind w:left="981" w:right="259"/>
        <w:rPr>
          <w:rFonts w:ascii="Cambria" w:eastAsia="Cambria" w:hAnsi="Cambria" w:cs="Cambria"/>
          <w:i/>
          <w:iCs/>
          <w:sz w:val="24"/>
          <w:szCs w:val="24"/>
        </w:rPr>
      </w:pPr>
      <w:r w:rsidRPr="00B02115">
        <w:rPr>
          <w:rFonts w:ascii="Cambria" w:eastAsia="Cambria" w:hAnsi="Cambria" w:cs="Cambria"/>
          <w:i/>
          <w:iCs/>
          <w:sz w:val="24"/>
          <w:szCs w:val="24"/>
        </w:rPr>
        <w:t>“ARTICULO 83. Las actuaciones de los particulares y de las autoridades públicas deberán ceñirse a los postulados de la buena fe, la cual se presumirá en todas las gestiones que aquellos adelanten ante éstas”.</w:t>
      </w:r>
    </w:p>
    <w:p w14:paraId="2A3B8B55" w14:textId="77777777" w:rsidR="003A4451" w:rsidRPr="00B02115" w:rsidRDefault="003A4451">
      <w:pPr>
        <w:widowControl w:val="0"/>
        <w:pBdr>
          <w:top w:val="nil"/>
          <w:left w:val="nil"/>
          <w:bottom w:val="nil"/>
          <w:right w:val="nil"/>
          <w:between w:val="nil"/>
        </w:pBdr>
        <w:spacing w:line="240" w:lineRule="auto"/>
        <w:jc w:val="left"/>
        <w:rPr>
          <w:rFonts w:ascii="Cambria" w:eastAsia="Cambria" w:hAnsi="Cambria" w:cs="Cambria"/>
          <w:i/>
          <w:iCs/>
          <w:color w:val="000000"/>
          <w:sz w:val="24"/>
          <w:szCs w:val="24"/>
        </w:rPr>
      </w:pPr>
    </w:p>
    <w:p w14:paraId="495D0409" w14:textId="77777777" w:rsidR="003A4451" w:rsidRPr="00B02115" w:rsidRDefault="007C798D">
      <w:pPr>
        <w:widowControl w:val="0"/>
        <w:pBdr>
          <w:top w:val="nil"/>
          <w:left w:val="nil"/>
          <w:bottom w:val="nil"/>
          <w:right w:val="nil"/>
          <w:between w:val="nil"/>
        </w:pBdr>
        <w:spacing w:line="240" w:lineRule="auto"/>
        <w:ind w:right="259"/>
        <w:rPr>
          <w:rFonts w:ascii="Cambria" w:eastAsia="Cambria" w:hAnsi="Cambria" w:cs="Cambria"/>
          <w:color w:val="000000"/>
          <w:sz w:val="24"/>
          <w:szCs w:val="24"/>
        </w:rPr>
      </w:pPr>
      <w:r w:rsidRPr="00B02115">
        <w:rPr>
          <w:rFonts w:ascii="Cambria" w:eastAsia="Cambria" w:hAnsi="Cambria" w:cs="Cambria"/>
          <w:color w:val="000000"/>
          <w:sz w:val="24"/>
          <w:szCs w:val="24"/>
        </w:rPr>
        <w:t>Por otro lado, el Estatuto Aduanero (</w:t>
      </w:r>
      <w:proofErr w:type="spellStart"/>
      <w:r w:rsidRPr="00B02115">
        <w:rPr>
          <w:rFonts w:ascii="Cambria" w:eastAsia="Cambria" w:hAnsi="Cambria" w:cs="Cambria"/>
          <w:color w:val="000000"/>
          <w:sz w:val="24"/>
          <w:szCs w:val="24"/>
        </w:rPr>
        <w:t>Dec</w:t>
      </w:r>
      <w:proofErr w:type="spellEnd"/>
      <w:r w:rsidRPr="00B02115">
        <w:rPr>
          <w:rFonts w:ascii="Cambria" w:eastAsia="Cambria" w:hAnsi="Cambria" w:cs="Cambria"/>
          <w:color w:val="000000"/>
          <w:sz w:val="24"/>
          <w:szCs w:val="24"/>
        </w:rPr>
        <w:t>. 1165 de 2019) y su reglamentación DIAN regulan los envíos de entrega rápida/tráfico postal mediante la creación de un marco normativo para los servicios de mensajería y paquetería, estableciendo requisitos para su operación y garantizando el cumplimiento de la normativa aduanera.</w:t>
      </w:r>
    </w:p>
    <w:p w14:paraId="1070A40A" w14:textId="77777777" w:rsidR="003A4451" w:rsidRPr="00B02115" w:rsidRDefault="003A4451">
      <w:pPr>
        <w:widowControl w:val="0"/>
        <w:pBdr>
          <w:top w:val="nil"/>
          <w:left w:val="nil"/>
          <w:bottom w:val="nil"/>
          <w:right w:val="nil"/>
          <w:between w:val="nil"/>
        </w:pBdr>
        <w:spacing w:line="240" w:lineRule="auto"/>
        <w:ind w:right="259"/>
        <w:rPr>
          <w:rFonts w:ascii="Cambria" w:eastAsia="Cambria" w:hAnsi="Cambria" w:cs="Cambria"/>
          <w:color w:val="000000"/>
          <w:sz w:val="24"/>
          <w:szCs w:val="24"/>
        </w:rPr>
      </w:pPr>
    </w:p>
    <w:p w14:paraId="4C51D425" w14:textId="77777777" w:rsidR="003A4451" w:rsidRPr="00B02115" w:rsidRDefault="007C798D">
      <w:pPr>
        <w:widowControl w:val="0"/>
        <w:pBdr>
          <w:top w:val="nil"/>
          <w:left w:val="nil"/>
          <w:bottom w:val="nil"/>
          <w:right w:val="nil"/>
          <w:between w:val="nil"/>
        </w:pBdr>
        <w:spacing w:line="240" w:lineRule="auto"/>
        <w:ind w:right="264"/>
        <w:rPr>
          <w:rFonts w:ascii="Cambria" w:eastAsia="Cambria" w:hAnsi="Cambria" w:cs="Cambria"/>
          <w:color w:val="000000"/>
          <w:sz w:val="24"/>
          <w:szCs w:val="24"/>
        </w:rPr>
      </w:pPr>
      <w:r w:rsidRPr="00B02115">
        <w:rPr>
          <w:rFonts w:ascii="Cambria" w:eastAsia="Cambria" w:hAnsi="Cambria" w:cs="Cambria"/>
          <w:color w:val="000000"/>
          <w:sz w:val="24"/>
          <w:szCs w:val="24"/>
        </w:rPr>
        <w:t xml:space="preserve">Además, este decreto prohíbe la fragmentación de envíos, es decir, no se permite </w:t>
      </w:r>
      <w:r w:rsidRPr="00B02115">
        <w:rPr>
          <w:rFonts w:ascii="Cambria" w:eastAsia="Cambria" w:hAnsi="Cambria" w:cs="Cambria"/>
          <w:color w:val="000000"/>
          <w:sz w:val="24"/>
          <w:szCs w:val="24"/>
        </w:rPr>
        <w:lastRenderedPageBreak/>
        <w:t>dividir un solo envío en múltiples partes para intentar eludir los límites de valor o peso establecidos, lo que podría incurrir en sanciones por parte de la autoridad aduanera.</w:t>
      </w:r>
    </w:p>
    <w:p w14:paraId="7A447856" w14:textId="77777777" w:rsidR="003A4451" w:rsidRPr="00B02115" w:rsidRDefault="003A4451">
      <w:pPr>
        <w:widowControl w:val="0"/>
        <w:pBdr>
          <w:top w:val="nil"/>
          <w:left w:val="nil"/>
          <w:bottom w:val="nil"/>
          <w:right w:val="nil"/>
          <w:between w:val="nil"/>
        </w:pBdr>
        <w:spacing w:line="240" w:lineRule="auto"/>
        <w:ind w:right="264"/>
        <w:rPr>
          <w:rFonts w:ascii="Cambria" w:eastAsia="Cambria" w:hAnsi="Cambria" w:cs="Cambria"/>
          <w:color w:val="000000"/>
          <w:sz w:val="24"/>
          <w:szCs w:val="24"/>
        </w:rPr>
      </w:pPr>
    </w:p>
    <w:p w14:paraId="2FC986D6" w14:textId="77777777" w:rsidR="003A4451" w:rsidRPr="00B02115" w:rsidRDefault="007C798D">
      <w:pPr>
        <w:widowControl w:val="0"/>
        <w:pBdr>
          <w:top w:val="nil"/>
          <w:left w:val="nil"/>
          <w:bottom w:val="nil"/>
          <w:right w:val="nil"/>
          <w:between w:val="nil"/>
        </w:pBdr>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Finalmente, una interpretación restrictiva de exenciones, donde la jurisprudencia contenciosa ha reiterado que los beneficios tributarios se interpretan de forma restrictiva y su uso para finalidades distintas configura abuso del derecho.</w:t>
      </w:r>
    </w:p>
    <w:p w14:paraId="61468280" w14:textId="77777777" w:rsidR="003A4451" w:rsidRPr="00B02115" w:rsidRDefault="003A4451">
      <w:pPr>
        <w:widowControl w:val="0"/>
        <w:pBdr>
          <w:top w:val="nil"/>
          <w:left w:val="nil"/>
          <w:bottom w:val="nil"/>
          <w:right w:val="nil"/>
          <w:between w:val="nil"/>
        </w:pBdr>
        <w:spacing w:line="240" w:lineRule="auto"/>
        <w:rPr>
          <w:rFonts w:ascii="Cambria" w:eastAsia="Cambria" w:hAnsi="Cambria" w:cs="Cambria"/>
          <w:color w:val="000000"/>
          <w:sz w:val="24"/>
          <w:szCs w:val="24"/>
        </w:rPr>
      </w:pPr>
    </w:p>
    <w:p w14:paraId="690962A2" w14:textId="77777777" w:rsidR="003A4451" w:rsidRPr="00B02115" w:rsidRDefault="007C798D">
      <w:pPr>
        <w:pStyle w:val="Ttulo1"/>
        <w:numPr>
          <w:ilvl w:val="0"/>
          <w:numId w:val="7"/>
        </w:numPr>
        <w:spacing w:line="240" w:lineRule="auto"/>
        <w:jc w:val="center"/>
        <w:rPr>
          <w:sz w:val="24"/>
          <w:szCs w:val="24"/>
        </w:rPr>
      </w:pPr>
      <w:bookmarkStart w:id="4" w:name="_heading=h.wqw1z3pxleen" w:colFirst="0" w:colLast="0"/>
      <w:bookmarkEnd w:id="4"/>
      <w:r w:rsidRPr="00B02115">
        <w:rPr>
          <w:rFonts w:ascii="Cambria" w:eastAsia="Cambria" w:hAnsi="Cambria" w:cs="Cambria"/>
          <w:sz w:val="24"/>
          <w:szCs w:val="24"/>
        </w:rPr>
        <w:t>IMPACTO FISCAL</w:t>
      </w:r>
    </w:p>
    <w:p w14:paraId="2819BD8A" w14:textId="77777777" w:rsidR="003A4451" w:rsidRPr="00B02115" w:rsidRDefault="003A4451">
      <w:pPr>
        <w:pStyle w:val="Ttulo1"/>
        <w:spacing w:line="240" w:lineRule="auto"/>
        <w:ind w:left="1080"/>
        <w:rPr>
          <w:rFonts w:ascii="Cambria" w:eastAsia="Cambria" w:hAnsi="Cambria" w:cs="Cambria"/>
          <w:sz w:val="24"/>
          <w:szCs w:val="24"/>
        </w:rPr>
      </w:pPr>
    </w:p>
    <w:p w14:paraId="7E89250E"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El presente proyecto de ley no genera impacto fiscal alguno para el Estado colombiano, en la medida en que no ordena gasto público, no modifica partidas presupuestales existentes ni crea nuevas obligaciones económicas a cargo del Gobierno nacional o de las entidades territoriales. </w:t>
      </w:r>
    </w:p>
    <w:p w14:paraId="6E5F86B0"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61BF10D6"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Su finalidad es estrictamente regulatoria y organizativa, orientada a establecer los lineamientos generales para la correcta implementación y funcionamiento de los frentes de seguridad ciudadana en el país, partiendo de las experiencias ya existentes en los diferentes departamentos y municipios. </w:t>
      </w:r>
    </w:p>
    <w:p w14:paraId="79F5C82A"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Desde una perspectiva técnico–fiscal, el proyecto se enmarca plenamente en los límites definidos por el Marco Fiscal de Mediano Plazo (MFMP), al no introducir obligaciones que impliquen erogaciones presupuestales ni afectar el equilibrio macroeconómico previsto por la Ley 819 de 2003, “por la cual se dictan normas orgánicas en materia de presupuesto, responsabilidad y transparencia fiscal”. </w:t>
      </w:r>
    </w:p>
    <w:p w14:paraId="650CFF12"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3EA2537E"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El articulado propuesto no ordena inversiones, transferencias, subsidios o gastos operativos, ni dispone de recursos del Presupuesto General de la Nación o de los presupuestos locales, y tampoco faculta al Gobierno nacional para ejecutar obras, programas o convenios específicos en beneficio de una ciudad o municipio determinado; por el contrario, se limita a definir un marco jurídico uniforme y orientador, que permita armonizar la gestión que actualmente realizan los entes territoriales en materia de seguridad comunitaria. </w:t>
      </w:r>
    </w:p>
    <w:p w14:paraId="7469EF92"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1F18BC56"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De acuerdo con lo establecido en el artículo 7° de la Ley 819 de 2003, toda iniciativa legislativa que ordene gasto o genere beneficios tributarios debe contener un análisis explícito de impacto fiscal y ser compatible con el Marco Fiscal de Mediano Plazo. En este sentido, el precepto dispone que: </w:t>
      </w:r>
    </w:p>
    <w:p w14:paraId="12FDF24E"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3345639E" w14:textId="77777777" w:rsidR="003A4451" w:rsidRPr="00B02115" w:rsidRDefault="007C798D">
      <w:pPr>
        <w:widowControl w:val="0"/>
        <w:pBdr>
          <w:top w:val="nil"/>
          <w:left w:val="nil"/>
          <w:bottom w:val="nil"/>
          <w:right w:val="nil"/>
          <w:between w:val="nil"/>
        </w:pBdr>
        <w:spacing w:line="240" w:lineRule="auto"/>
        <w:ind w:left="720" w:right="177"/>
        <w:rPr>
          <w:rFonts w:ascii="Cambria" w:eastAsia="Cambria" w:hAnsi="Cambria" w:cs="Cambria"/>
          <w:i/>
          <w:iCs/>
          <w:color w:val="000000"/>
          <w:sz w:val="24"/>
          <w:szCs w:val="24"/>
        </w:rPr>
      </w:pPr>
      <w:r w:rsidRPr="00B02115">
        <w:rPr>
          <w:rFonts w:ascii="Cambria" w:eastAsia="Cambria" w:hAnsi="Cambria" w:cs="Cambria"/>
          <w:i/>
          <w:iCs/>
          <w:color w:val="000000"/>
          <w:sz w:val="24"/>
          <w:szCs w:val="24"/>
        </w:rPr>
        <w:t xml:space="preserve">“En todo momento, el impacto fiscal de cualquier proyecto de ley, ordenanza o </w:t>
      </w:r>
      <w:r w:rsidRPr="00B02115">
        <w:rPr>
          <w:rFonts w:ascii="Cambria" w:eastAsia="Cambria" w:hAnsi="Cambria" w:cs="Cambria"/>
          <w:i/>
          <w:iCs/>
          <w:color w:val="000000"/>
          <w:sz w:val="24"/>
          <w:szCs w:val="24"/>
        </w:rPr>
        <w:lastRenderedPageBreak/>
        <w:t xml:space="preserve">acuerdo, que ordene gasto o que otorgue beneficios tributarios, deberá hacerse explícito y deberá ser compatible con el Marco Fiscal de Mediano Plazo. Para estos propósitos, deberá incluirse expresamente en la exposición de motivos y en las ponencias de trámite respectivas los costos fiscales de la iniciativa y la fuente de ingreso adicional generada para el financiamiento de dicho costo”. </w:t>
      </w:r>
    </w:p>
    <w:p w14:paraId="080B709B"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i/>
          <w:iCs/>
          <w:color w:val="000000"/>
          <w:sz w:val="24"/>
          <w:szCs w:val="24"/>
        </w:rPr>
      </w:pPr>
    </w:p>
    <w:p w14:paraId="39EB935F"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Este mandato, complementado por la Ley 1473 de 2011 sobre la sostenibilidad fiscal, impone al legislador la obligación de observar principios de responsabilidad y prudencia presupuestal, de manera que toda norma aprobada garantice coherencia con la planeación macroeconómica del Estado. </w:t>
      </w:r>
    </w:p>
    <w:p w14:paraId="1D816BAC"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090C55E4"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En el caso presente, no se configura la necesidad de estimar costos ni de establecer fuentes de financiación, por cuanto el proyecto no comporta un gasto nuevo, directo ni indirecto, ni altera los flujos de ingresos públicos. </w:t>
      </w:r>
    </w:p>
    <w:p w14:paraId="3947CC58"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12770E82"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Asimismo, la iniciativa no crea organismos, cargos, plantas de personal, programas permanentes ni fondos especiales que impliquen un impacto presupuestal futuro. </w:t>
      </w:r>
    </w:p>
    <w:p w14:paraId="7C745017"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15316B68"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Los mecanismos de implementación que contempla, como la coordinación interinstitucional entre autoridades, la estandarización de protocolos o la creación de un registro nacional de frentes de seguridad, se circunscriben a las competencias y capacidades ya existentes en el Ministerio del Interior, la Policía Nacional y las administraciones locales, las cuales actualmente desarrollan dichas actividades en virtud de normas vigentes como la Ley 62 de 1993 y la Ley 1801 de 2016 (Código Nacional de Seguridad y Convivencia Ciudadana). </w:t>
      </w:r>
    </w:p>
    <w:p w14:paraId="23F24196"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1FCAD1F0"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En consecuencia, no es procedente requerir concepto del Ministerio de Hacienda y Crédito Público respecto al impacto fiscal de la iniciativa, toda vez que, conforme al régimen orgánico presupuestal, dicho concepto solo es exigible cuando el proyecto implique gasto o afectación de ingresos públicos. </w:t>
      </w:r>
    </w:p>
    <w:p w14:paraId="42E4B1BD"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5A83796C"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La iniciativa se limita a consolidar y reglamentar prácticas preexistentes, proporcionando a los entes territoriales una guía legal uniforme que les permita fortalecer la participación ciudadana en la seguridad, sin comprometer recursos adicionales ni crear obligaciones financieras nuevas. </w:t>
      </w:r>
    </w:p>
    <w:p w14:paraId="00D6154E"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2FFC087C"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Desde un análisis económico-administrativo, el impacto del proyecto es neutro en términos fiscales, pero positivo en términos de eficiencia institucional y ahorro público, en tanto que la coordinación entre comunidades y autoridades puede </w:t>
      </w:r>
      <w:r w:rsidRPr="00B02115">
        <w:rPr>
          <w:rFonts w:ascii="Cambria" w:eastAsia="Cambria" w:hAnsi="Cambria" w:cs="Cambria"/>
          <w:color w:val="000000"/>
          <w:sz w:val="24"/>
          <w:szCs w:val="24"/>
        </w:rPr>
        <w:lastRenderedPageBreak/>
        <w:t>contribuir a reducir costos derivados de la inseguridad, mejorar la focalización del gasto en convivencia y optimizar el uso de la infraestructura tecnológica ya existente (como cámaras de videovigilancia y centros de comando C4).</w:t>
      </w:r>
    </w:p>
    <w:p w14:paraId="72DE4AE5"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54EC3454"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 xml:space="preserve">Así, aunque la ley no crea gasto, sí tiene un impacto económico favorable indirecto, al promover la racionalización del gasto en seguridad ciudadana mediante la cooperación comunitaria y la prevención social del delito. </w:t>
      </w:r>
    </w:p>
    <w:p w14:paraId="04A069CA"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190713BF" w14:textId="77777777" w:rsidR="003A4451" w:rsidRPr="00B02115" w:rsidRDefault="007C798D">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r w:rsidRPr="00B02115">
        <w:rPr>
          <w:rFonts w:ascii="Cambria" w:eastAsia="Cambria" w:hAnsi="Cambria" w:cs="Cambria"/>
          <w:color w:val="000000"/>
          <w:sz w:val="24"/>
          <w:szCs w:val="24"/>
        </w:rPr>
        <w:t>De esta manera, y conforme a lo dispuesto en el artículo 7° de la Ley 819 de 2003 y al principio de sostenibilidad fiscal consagrado en el artículo 334 de la Constitución Política, se concluye que el proyecto cumple íntegramente con las exigencias de responsabilidad presupuestal y su aprobación no compromete la estabilidad de las finanzas públicas ni afecta el Marco Fiscal de Mediano Plazo; por el contrario, refuerza la planeación racional del gasto público en seguridad, bajo un enfoque de eficiencia administrativa, articulación institucional y participación ciudadana.</w:t>
      </w:r>
    </w:p>
    <w:p w14:paraId="3F8D440E" w14:textId="77777777" w:rsidR="003A4451" w:rsidRPr="00B02115" w:rsidRDefault="003A4451">
      <w:pPr>
        <w:widowControl w:val="0"/>
        <w:pBdr>
          <w:top w:val="nil"/>
          <w:left w:val="nil"/>
          <w:bottom w:val="nil"/>
          <w:right w:val="nil"/>
          <w:between w:val="nil"/>
        </w:pBdr>
        <w:spacing w:line="240" w:lineRule="auto"/>
        <w:ind w:right="177"/>
        <w:rPr>
          <w:rFonts w:ascii="Cambria" w:eastAsia="Cambria" w:hAnsi="Cambria" w:cs="Cambria"/>
          <w:color w:val="000000"/>
          <w:sz w:val="24"/>
          <w:szCs w:val="24"/>
        </w:rPr>
      </w:pPr>
    </w:p>
    <w:p w14:paraId="2978935F" w14:textId="77777777" w:rsidR="003A4451" w:rsidRPr="00B02115" w:rsidRDefault="007C798D">
      <w:pPr>
        <w:pStyle w:val="Ttulo1"/>
        <w:numPr>
          <w:ilvl w:val="0"/>
          <w:numId w:val="7"/>
        </w:numPr>
        <w:spacing w:line="240" w:lineRule="auto"/>
        <w:jc w:val="center"/>
        <w:rPr>
          <w:sz w:val="24"/>
          <w:szCs w:val="24"/>
        </w:rPr>
      </w:pPr>
      <w:bookmarkStart w:id="5" w:name="_heading=h.48s4t5ztcnu" w:colFirst="0" w:colLast="0"/>
      <w:bookmarkEnd w:id="5"/>
      <w:r w:rsidRPr="00B02115">
        <w:br w:type="column"/>
      </w:r>
      <w:r w:rsidRPr="00B02115">
        <w:rPr>
          <w:rFonts w:ascii="Cambria" w:eastAsia="Cambria" w:hAnsi="Cambria" w:cs="Cambria"/>
          <w:sz w:val="24"/>
          <w:szCs w:val="24"/>
        </w:rPr>
        <w:lastRenderedPageBreak/>
        <w:t>CONFLICTOS DE INTERÉS</w:t>
      </w:r>
    </w:p>
    <w:p w14:paraId="11BA6587" w14:textId="77777777" w:rsidR="003A4451" w:rsidRPr="00B02115" w:rsidRDefault="003A4451">
      <w:pPr>
        <w:spacing w:line="240" w:lineRule="auto"/>
        <w:rPr>
          <w:rFonts w:ascii="Cambria" w:eastAsia="Cambria" w:hAnsi="Cambria" w:cs="Cambria"/>
          <w:sz w:val="24"/>
          <w:szCs w:val="24"/>
        </w:rPr>
      </w:pPr>
    </w:p>
    <w:p w14:paraId="36D5A07E" w14:textId="77777777" w:rsidR="003A4451" w:rsidRPr="00B02115" w:rsidRDefault="007C798D">
      <w:pPr>
        <w:spacing w:line="240" w:lineRule="auto"/>
        <w:rPr>
          <w:rFonts w:ascii="Cambria" w:eastAsia="Cambria" w:hAnsi="Cambria" w:cs="Cambria"/>
          <w:sz w:val="24"/>
          <w:szCs w:val="24"/>
        </w:rPr>
      </w:pPr>
      <w:r w:rsidRPr="00B02115">
        <w:rPr>
          <w:rFonts w:ascii="Cambria" w:eastAsia="Cambria" w:hAnsi="Cambria" w:cs="Cambria"/>
          <w:sz w:val="24"/>
          <w:szCs w:val="24"/>
        </w:rPr>
        <w:t xml:space="preserve">En virtud de las disposiciones normativas del artículo 3 de la Ley 2003 de 2019 </w:t>
      </w:r>
      <w:r w:rsidRPr="00B02115">
        <w:rPr>
          <w:rFonts w:ascii="Cambria" w:eastAsia="Cambria" w:hAnsi="Cambria" w:cs="Cambria"/>
          <w:i/>
          <w:iCs/>
          <w:sz w:val="24"/>
          <w:szCs w:val="24"/>
        </w:rPr>
        <w:t xml:space="preserve">“Por la cual se modifica parcialmente la </w:t>
      </w:r>
      <w:proofErr w:type="spellStart"/>
      <w:r w:rsidRPr="00B02115">
        <w:rPr>
          <w:rFonts w:ascii="Cambria" w:eastAsia="Cambria" w:hAnsi="Cambria" w:cs="Cambria"/>
          <w:i/>
          <w:iCs/>
          <w:sz w:val="24"/>
          <w:szCs w:val="24"/>
        </w:rPr>
        <w:t>LEy</w:t>
      </w:r>
      <w:proofErr w:type="spellEnd"/>
      <w:r w:rsidRPr="00B02115">
        <w:rPr>
          <w:rFonts w:ascii="Cambria" w:eastAsia="Cambria" w:hAnsi="Cambria" w:cs="Cambria"/>
          <w:i/>
          <w:iCs/>
          <w:sz w:val="24"/>
          <w:szCs w:val="24"/>
        </w:rPr>
        <w:t xml:space="preserve"> 5ta de 1992”, </w:t>
      </w:r>
      <w:r w:rsidRPr="00B02115">
        <w:rPr>
          <w:rFonts w:ascii="Cambria" w:eastAsia="Cambria" w:hAnsi="Cambria" w:cs="Cambria"/>
          <w:sz w:val="24"/>
          <w:szCs w:val="24"/>
        </w:rPr>
        <w:t xml:space="preserve">se hacen las siguientes consideraciones a fin de describir </w:t>
      </w:r>
      <w:r w:rsidRPr="00B02115">
        <w:rPr>
          <w:rFonts w:ascii="Cambria" w:eastAsia="Cambria" w:hAnsi="Cambria" w:cs="Cambria"/>
          <w:i/>
          <w:iCs/>
          <w:sz w:val="24"/>
          <w:szCs w:val="24"/>
        </w:rPr>
        <w:t xml:space="preserve">“(...) las circunstancias o eventos que podrían generar un conflicto de interés para la discusión y votación (...)” </w:t>
      </w:r>
      <w:r w:rsidRPr="00B02115">
        <w:rPr>
          <w:rFonts w:ascii="Cambria" w:eastAsia="Cambria" w:hAnsi="Cambria" w:cs="Cambria"/>
          <w:sz w:val="24"/>
          <w:szCs w:val="24"/>
        </w:rPr>
        <w:t xml:space="preserve">de esta iniciativa legislativa, de conformidad con el artículo 286 de la Ley 5ta de 1992, modificado por el articulo 1 de la ley 2003 de 2019 que reza de la siguiente manera: </w:t>
      </w:r>
    </w:p>
    <w:p w14:paraId="3C7AE14F" w14:textId="77777777" w:rsidR="003A4451" w:rsidRPr="00B02115" w:rsidRDefault="003A4451">
      <w:pPr>
        <w:spacing w:line="240" w:lineRule="auto"/>
        <w:rPr>
          <w:rFonts w:ascii="Cambria" w:eastAsia="Cambria" w:hAnsi="Cambria" w:cs="Cambria"/>
          <w:sz w:val="24"/>
          <w:szCs w:val="24"/>
        </w:rPr>
      </w:pPr>
    </w:p>
    <w:p w14:paraId="51225DE1" w14:textId="77777777" w:rsidR="003A4451" w:rsidRPr="00B72FCE" w:rsidRDefault="007C798D" w:rsidP="00B72FCE">
      <w:pPr>
        <w:shd w:val="clear" w:color="auto" w:fill="FFFFFF"/>
        <w:spacing w:line="240" w:lineRule="auto"/>
        <w:ind w:left="720"/>
        <w:rPr>
          <w:rFonts w:ascii="Cambria" w:eastAsia="Arial" w:hAnsi="Cambria" w:cs="Arial"/>
          <w:i/>
          <w:iCs/>
          <w:color w:val="333333"/>
          <w:sz w:val="24"/>
          <w:szCs w:val="24"/>
        </w:rPr>
      </w:pPr>
      <w:r w:rsidRPr="00B72FCE">
        <w:rPr>
          <w:rFonts w:ascii="Cambria" w:eastAsia="Arial" w:hAnsi="Cambria" w:cs="Arial"/>
          <w:b/>
          <w:bCs/>
          <w:i/>
          <w:iCs/>
          <w:color w:val="333333"/>
          <w:sz w:val="24"/>
          <w:szCs w:val="24"/>
        </w:rPr>
        <w:t>“ARTÍCULO 286</w:t>
      </w:r>
      <w:r w:rsidRPr="00B72FCE">
        <w:rPr>
          <w:rFonts w:ascii="Cambria" w:eastAsia="Arial" w:hAnsi="Cambria" w:cs="Arial"/>
          <w:i/>
          <w:iCs/>
          <w:color w:val="333333"/>
          <w:sz w:val="24"/>
          <w:szCs w:val="24"/>
        </w:rPr>
        <w:t xml:space="preserve">. Régimen de conflicto de interés de los congresistas. </w:t>
      </w:r>
    </w:p>
    <w:p w14:paraId="2E7853D6" w14:textId="77777777" w:rsidR="003A4451" w:rsidRPr="00B72FCE" w:rsidRDefault="003A4451" w:rsidP="00B72FCE">
      <w:pPr>
        <w:shd w:val="clear" w:color="auto" w:fill="FFFFFF"/>
        <w:spacing w:line="240" w:lineRule="auto"/>
        <w:ind w:left="720"/>
        <w:rPr>
          <w:rFonts w:ascii="Cambria" w:eastAsia="Arial" w:hAnsi="Cambria" w:cs="Arial"/>
          <w:i/>
          <w:iCs/>
          <w:color w:val="333333"/>
          <w:sz w:val="24"/>
          <w:szCs w:val="24"/>
        </w:rPr>
      </w:pPr>
    </w:p>
    <w:p w14:paraId="5934FD13" w14:textId="77777777" w:rsidR="003A4451" w:rsidRPr="00B72FCE" w:rsidRDefault="007C798D" w:rsidP="00B72FCE">
      <w:pPr>
        <w:shd w:val="clear" w:color="auto" w:fill="FFFFFF"/>
        <w:spacing w:line="240" w:lineRule="auto"/>
        <w:ind w:left="720"/>
        <w:rPr>
          <w:rFonts w:ascii="Cambria" w:eastAsia="Arial" w:hAnsi="Cambria" w:cs="Arial"/>
          <w:i/>
          <w:iCs/>
          <w:color w:val="333333"/>
          <w:sz w:val="24"/>
          <w:szCs w:val="24"/>
        </w:rPr>
      </w:pPr>
      <w:r w:rsidRPr="00B72FCE">
        <w:rPr>
          <w:rFonts w:ascii="Cambria" w:eastAsia="Arial" w:hAnsi="Cambria" w:cs="Arial"/>
          <w:i/>
          <w:iCs/>
          <w:color w:val="333333"/>
          <w:sz w:val="24"/>
          <w:szCs w:val="24"/>
        </w:rPr>
        <w:t>Todos los congresistas deberán declarar los conflictos De intereses que pudieran surgir en ejercicio de sus funciones.</w:t>
      </w:r>
    </w:p>
    <w:p w14:paraId="60DDB4EA" w14:textId="77777777" w:rsidR="003A4451" w:rsidRPr="00B72FCE" w:rsidRDefault="003A4451" w:rsidP="00B72FCE">
      <w:pPr>
        <w:shd w:val="clear" w:color="auto" w:fill="FFFFFF"/>
        <w:spacing w:line="240" w:lineRule="auto"/>
        <w:ind w:left="720"/>
        <w:rPr>
          <w:rFonts w:ascii="Cambria" w:eastAsia="Arial" w:hAnsi="Cambria" w:cs="Arial"/>
          <w:i/>
          <w:iCs/>
          <w:color w:val="333333"/>
          <w:sz w:val="24"/>
          <w:szCs w:val="24"/>
        </w:rPr>
      </w:pPr>
    </w:p>
    <w:p w14:paraId="34726E3E" w14:textId="77777777" w:rsidR="003A4451" w:rsidRPr="00B72FCE" w:rsidRDefault="007C798D" w:rsidP="00B72FCE">
      <w:pPr>
        <w:shd w:val="clear" w:color="auto" w:fill="FFFFFF"/>
        <w:spacing w:line="240" w:lineRule="auto"/>
        <w:ind w:left="720"/>
        <w:rPr>
          <w:rFonts w:ascii="Cambria" w:eastAsia="Arial" w:hAnsi="Cambria" w:cs="Arial"/>
          <w:i/>
          <w:iCs/>
          <w:color w:val="333333"/>
          <w:sz w:val="24"/>
          <w:szCs w:val="24"/>
        </w:rPr>
      </w:pPr>
      <w:r w:rsidRPr="00B72FCE">
        <w:rPr>
          <w:rFonts w:ascii="Cambria" w:eastAsia="Arial" w:hAnsi="Cambria" w:cs="Arial"/>
          <w:i/>
          <w:iCs/>
          <w:color w:val="333333"/>
          <w:sz w:val="24"/>
          <w:szCs w:val="24"/>
        </w:rPr>
        <w:t>Se entiende como conflicto de interés una situación donde la discusión o votación de un proyecto de ley o acto legislativo o artículo, pueda resultar en un beneficio particular, actual y directo a favor del congresista.</w:t>
      </w:r>
    </w:p>
    <w:p w14:paraId="24FC1651" w14:textId="77777777" w:rsidR="003A4451" w:rsidRPr="00B72FCE" w:rsidRDefault="003A4451" w:rsidP="00B72FCE">
      <w:pPr>
        <w:shd w:val="clear" w:color="auto" w:fill="FFFFFF"/>
        <w:spacing w:line="240" w:lineRule="auto"/>
        <w:ind w:left="720"/>
        <w:rPr>
          <w:rFonts w:ascii="Cambria" w:eastAsia="Arial" w:hAnsi="Cambria" w:cs="Arial"/>
          <w:i/>
          <w:iCs/>
          <w:color w:val="333333"/>
          <w:sz w:val="24"/>
          <w:szCs w:val="24"/>
        </w:rPr>
      </w:pPr>
    </w:p>
    <w:p w14:paraId="75F0FA70" w14:textId="77777777" w:rsidR="003A4451" w:rsidRPr="00B72FCE" w:rsidRDefault="007C798D" w:rsidP="00B72FCE">
      <w:pPr>
        <w:shd w:val="clear" w:color="auto" w:fill="FFFFFF"/>
        <w:spacing w:line="240" w:lineRule="auto"/>
        <w:ind w:left="720"/>
        <w:rPr>
          <w:rFonts w:ascii="Cambria" w:eastAsia="Arial" w:hAnsi="Cambria" w:cs="Arial"/>
          <w:i/>
          <w:iCs/>
          <w:color w:val="333333"/>
          <w:sz w:val="24"/>
          <w:szCs w:val="24"/>
        </w:rPr>
      </w:pPr>
      <w:r w:rsidRPr="00B72FCE">
        <w:rPr>
          <w:rFonts w:ascii="Cambria" w:eastAsia="Arial" w:hAnsi="Cambria" w:cs="Arial"/>
          <w:i/>
          <w:iCs/>
          <w:color w:val="333333"/>
          <w:sz w:val="24"/>
          <w:szCs w:val="24"/>
        </w:rPr>
        <w:t>a)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14:paraId="38C492CC" w14:textId="77777777" w:rsidR="003A4451" w:rsidRPr="00B72FCE" w:rsidRDefault="003A4451" w:rsidP="00B72FCE">
      <w:pPr>
        <w:shd w:val="clear" w:color="auto" w:fill="FFFFFF"/>
        <w:spacing w:line="240" w:lineRule="auto"/>
        <w:ind w:left="720"/>
        <w:rPr>
          <w:rFonts w:ascii="Cambria" w:eastAsia="Arial" w:hAnsi="Cambria" w:cs="Arial"/>
          <w:i/>
          <w:iCs/>
          <w:color w:val="333333"/>
          <w:sz w:val="24"/>
          <w:szCs w:val="24"/>
        </w:rPr>
      </w:pPr>
    </w:p>
    <w:p w14:paraId="68407C8A" w14:textId="77777777" w:rsidR="003A4451" w:rsidRPr="00B72FCE" w:rsidRDefault="007C798D" w:rsidP="00B72FCE">
      <w:pPr>
        <w:shd w:val="clear" w:color="auto" w:fill="FFFFFF"/>
        <w:spacing w:line="240" w:lineRule="auto"/>
        <w:ind w:left="720"/>
        <w:rPr>
          <w:rFonts w:ascii="Cambria" w:eastAsia="Arial" w:hAnsi="Cambria" w:cs="Arial"/>
          <w:i/>
          <w:iCs/>
          <w:color w:val="333333"/>
          <w:sz w:val="24"/>
          <w:szCs w:val="24"/>
        </w:rPr>
      </w:pPr>
      <w:r w:rsidRPr="00B72FCE">
        <w:rPr>
          <w:rFonts w:ascii="Cambria" w:eastAsia="Arial" w:hAnsi="Cambria" w:cs="Arial"/>
          <w:i/>
          <w:iCs/>
          <w:color w:val="333333"/>
          <w:sz w:val="24"/>
          <w:szCs w:val="24"/>
        </w:rPr>
        <w:t>b) Beneficio actual: aquel que efectivamente se configura en las circunstancias presentes y existentes al momento en el que el congresista participa de la decisión</w:t>
      </w:r>
    </w:p>
    <w:p w14:paraId="0CF6B192" w14:textId="77777777" w:rsidR="003A4451" w:rsidRPr="00B72FCE" w:rsidRDefault="003A4451" w:rsidP="00B72FCE">
      <w:pPr>
        <w:shd w:val="clear" w:color="auto" w:fill="FFFFFF"/>
        <w:spacing w:line="240" w:lineRule="auto"/>
        <w:ind w:left="720"/>
        <w:rPr>
          <w:rFonts w:ascii="Cambria" w:eastAsia="Arial" w:hAnsi="Cambria" w:cs="Arial"/>
          <w:i/>
          <w:iCs/>
          <w:color w:val="333333"/>
          <w:sz w:val="24"/>
          <w:szCs w:val="24"/>
        </w:rPr>
      </w:pPr>
    </w:p>
    <w:p w14:paraId="6F06F60B" w14:textId="77777777" w:rsidR="003A4451" w:rsidRPr="00B72FCE" w:rsidRDefault="007C798D" w:rsidP="00B72FCE">
      <w:pPr>
        <w:shd w:val="clear" w:color="auto" w:fill="FFFFFF"/>
        <w:spacing w:line="240" w:lineRule="auto"/>
        <w:ind w:left="720"/>
        <w:rPr>
          <w:rFonts w:ascii="Cambria" w:eastAsia="Arial" w:hAnsi="Cambria" w:cs="Arial"/>
          <w:i/>
          <w:iCs/>
          <w:color w:val="333333"/>
          <w:sz w:val="24"/>
          <w:szCs w:val="24"/>
        </w:rPr>
      </w:pPr>
      <w:r w:rsidRPr="00B72FCE">
        <w:rPr>
          <w:rFonts w:ascii="Cambria" w:eastAsia="Arial" w:hAnsi="Cambria" w:cs="Arial"/>
          <w:i/>
          <w:iCs/>
          <w:color w:val="333333"/>
          <w:sz w:val="24"/>
          <w:szCs w:val="24"/>
        </w:rPr>
        <w:t>c) Beneficio directo: aquel que se produzca de forma específica respecto del congresista, de su cónyuge, compañero o compañera permanente, o parientes dentro del segundo grado de consanguinidad, segundo de afinidad o primero civil (...)”</w:t>
      </w:r>
    </w:p>
    <w:p w14:paraId="7919F330" w14:textId="77777777" w:rsidR="003A4451" w:rsidRPr="00B72FCE" w:rsidRDefault="003A4451" w:rsidP="00B72FCE">
      <w:pPr>
        <w:shd w:val="clear" w:color="auto" w:fill="FFFFFF"/>
        <w:spacing w:line="240" w:lineRule="auto"/>
        <w:rPr>
          <w:rFonts w:ascii="Cambria" w:eastAsia="Arial" w:hAnsi="Cambria" w:cs="Arial"/>
          <w:i/>
          <w:iCs/>
          <w:color w:val="333333"/>
          <w:sz w:val="24"/>
          <w:szCs w:val="24"/>
        </w:rPr>
      </w:pPr>
    </w:p>
    <w:p w14:paraId="7393678E" w14:textId="77777777" w:rsidR="003A4451" w:rsidRPr="00B72FCE" w:rsidRDefault="007C798D" w:rsidP="00B72FCE">
      <w:pPr>
        <w:shd w:val="clear" w:color="auto" w:fill="FFFFFF"/>
        <w:spacing w:line="240" w:lineRule="auto"/>
        <w:rPr>
          <w:rFonts w:ascii="Cambria" w:eastAsia="Arial" w:hAnsi="Cambria" w:cs="Arial"/>
          <w:color w:val="333333"/>
          <w:sz w:val="24"/>
          <w:szCs w:val="24"/>
        </w:rPr>
      </w:pPr>
      <w:r w:rsidRPr="00B72FCE">
        <w:rPr>
          <w:rFonts w:ascii="Cambria" w:eastAsia="Arial" w:hAnsi="Cambria" w:cs="Arial"/>
          <w:color w:val="333333"/>
          <w:sz w:val="24"/>
          <w:szCs w:val="24"/>
        </w:rPr>
        <w:t>Al respecto, cabe recordar que la Sala Plena Contenciosa Administrativa del Honorable Consejo de Estado en su sentencia 02830 del 16 de julio de 2019, M.P. Carlos Enrique Moreno Rubio, señaló que:</w:t>
      </w:r>
    </w:p>
    <w:p w14:paraId="78F89ACF" w14:textId="77777777" w:rsidR="003A4451" w:rsidRPr="00B72FCE" w:rsidRDefault="003A4451" w:rsidP="00B72FCE">
      <w:pPr>
        <w:shd w:val="clear" w:color="auto" w:fill="FFFFFF"/>
        <w:spacing w:line="240" w:lineRule="auto"/>
        <w:rPr>
          <w:rFonts w:ascii="Cambria" w:eastAsia="Arial" w:hAnsi="Cambria" w:cs="Arial"/>
          <w:color w:val="333333"/>
          <w:sz w:val="24"/>
          <w:szCs w:val="24"/>
        </w:rPr>
      </w:pPr>
    </w:p>
    <w:p w14:paraId="7457EA83" w14:textId="77777777" w:rsidR="003A4451" w:rsidRPr="00B72FCE" w:rsidRDefault="007C798D" w:rsidP="00B72FCE">
      <w:pPr>
        <w:shd w:val="clear" w:color="auto" w:fill="FFFFFF"/>
        <w:spacing w:line="240" w:lineRule="auto"/>
        <w:ind w:left="720"/>
        <w:rPr>
          <w:rFonts w:ascii="Cambria" w:eastAsia="Arial" w:hAnsi="Cambria" w:cs="Arial"/>
          <w:i/>
          <w:iCs/>
          <w:color w:val="333333"/>
          <w:sz w:val="24"/>
          <w:szCs w:val="24"/>
        </w:rPr>
      </w:pPr>
      <w:r w:rsidRPr="00B72FCE">
        <w:rPr>
          <w:rFonts w:ascii="Cambria" w:eastAsia="Arial" w:hAnsi="Cambria" w:cs="Arial"/>
          <w:i/>
          <w:iCs/>
          <w:color w:val="333333"/>
          <w:sz w:val="24"/>
          <w:szCs w:val="24"/>
        </w:rPr>
        <w:t xml:space="preserve">“No cualquier interés configura la causal de </w:t>
      </w:r>
      <w:proofErr w:type="spellStart"/>
      <w:r w:rsidRPr="00B72FCE">
        <w:rPr>
          <w:rFonts w:ascii="Cambria" w:eastAsia="Arial" w:hAnsi="Cambria" w:cs="Arial"/>
          <w:i/>
          <w:iCs/>
          <w:color w:val="333333"/>
          <w:sz w:val="24"/>
          <w:szCs w:val="24"/>
        </w:rPr>
        <w:t>Desi</w:t>
      </w:r>
      <w:proofErr w:type="spellEnd"/>
      <w:r w:rsidRPr="00B72FCE">
        <w:rPr>
          <w:rFonts w:ascii="Cambria" w:eastAsia="Arial" w:hAnsi="Cambria" w:cs="Arial"/>
          <w:i/>
          <w:iCs/>
          <w:color w:val="333333"/>
          <w:sz w:val="24"/>
          <w:szCs w:val="24"/>
        </w:rPr>
        <w:t xml:space="preserve"> vestidura en comento, pues se sabe que sólo lo será aquél del que se pueda predicar que es directo, esto es, que per se el alegado beneficio, provecho o utilidad encuentra su fuente en el asunto </w:t>
      </w:r>
      <w:r w:rsidRPr="00B72FCE">
        <w:rPr>
          <w:rFonts w:ascii="Cambria" w:eastAsia="Arial" w:hAnsi="Cambria" w:cs="Arial"/>
          <w:i/>
          <w:iCs/>
          <w:color w:val="333333"/>
          <w:sz w:val="24"/>
          <w:szCs w:val="24"/>
        </w:rPr>
        <w:lastRenderedPageBreak/>
        <w:t xml:space="preserve">que fue conocido por el legislador; particular, que el mismo sea específico o personal, bien para el congresista o quienes se encuentren relacionados con él; y actual o inmediato, que concurra para el momento en que ocurrió la participación o votación del congresista, lo que excluye sucesos contingentes, futuros o imprevisibles. </w:t>
      </w:r>
      <w:proofErr w:type="spellStart"/>
      <w:r w:rsidRPr="00B72FCE">
        <w:rPr>
          <w:rFonts w:ascii="Cambria" w:eastAsia="Arial" w:hAnsi="Cambria" w:cs="Arial"/>
          <w:i/>
          <w:iCs/>
          <w:color w:val="333333"/>
          <w:sz w:val="24"/>
          <w:szCs w:val="24"/>
        </w:rPr>
        <w:t>Tambien</w:t>
      </w:r>
      <w:proofErr w:type="spellEnd"/>
      <w:r w:rsidRPr="00B72FCE">
        <w:rPr>
          <w:rFonts w:ascii="Cambria" w:eastAsia="Arial" w:hAnsi="Cambria" w:cs="Arial"/>
          <w:i/>
          <w:iCs/>
          <w:color w:val="333333"/>
          <w:sz w:val="24"/>
          <w:szCs w:val="24"/>
        </w:rPr>
        <w:t xml:space="preserve"> se tiene noticia que el interés puede ser de cualquier naturaleza, esto es, económico o moral, sin distinción alguna”.</w:t>
      </w:r>
    </w:p>
    <w:p w14:paraId="6BCC9268" w14:textId="77777777" w:rsidR="003A4451" w:rsidRPr="00B72FCE" w:rsidRDefault="003A4451" w:rsidP="00B72FCE">
      <w:pPr>
        <w:shd w:val="clear" w:color="auto" w:fill="FFFFFF"/>
        <w:spacing w:line="240" w:lineRule="auto"/>
        <w:rPr>
          <w:rFonts w:ascii="Cambria" w:eastAsia="Arial" w:hAnsi="Cambria" w:cs="Arial"/>
          <w:i/>
          <w:iCs/>
          <w:color w:val="333333"/>
          <w:sz w:val="24"/>
          <w:szCs w:val="24"/>
        </w:rPr>
      </w:pPr>
    </w:p>
    <w:p w14:paraId="22199280" w14:textId="77777777" w:rsidR="003A4451" w:rsidRPr="00B72FCE" w:rsidRDefault="007C798D" w:rsidP="00B72FCE">
      <w:pPr>
        <w:shd w:val="clear" w:color="auto" w:fill="FFFFFF"/>
        <w:spacing w:line="240" w:lineRule="auto"/>
        <w:rPr>
          <w:rFonts w:ascii="Cambria" w:eastAsia="Cambria" w:hAnsi="Cambria" w:cs="Cambria"/>
          <w:sz w:val="24"/>
          <w:szCs w:val="24"/>
          <w:u w:val="single"/>
        </w:rPr>
      </w:pPr>
      <w:r w:rsidRPr="00B72FCE">
        <w:rPr>
          <w:rFonts w:ascii="Cambria" w:eastAsia="Arial" w:hAnsi="Cambria" w:cs="Arial"/>
          <w:color w:val="333333"/>
          <w:sz w:val="24"/>
          <w:szCs w:val="24"/>
        </w:rPr>
        <w:t xml:space="preserve">Se estima que la discusión y aprobación del presente Proyecto de Ley NO genera conflicto de interés en razón de beneficios particulares, actuales y directos a favor de un congresista, de su cónyuge, compañero o compañera permanente o pariente dentro del segundo grado de consanguinidad, segundo de afinidad o primero civil, conforme a lo dispuesto en la ley, en razón a que se trata de una norma de </w:t>
      </w:r>
      <w:proofErr w:type="spellStart"/>
      <w:r w:rsidRPr="00B72FCE">
        <w:rPr>
          <w:rFonts w:ascii="Cambria" w:eastAsia="Arial" w:hAnsi="Cambria" w:cs="Arial"/>
          <w:color w:val="333333"/>
          <w:sz w:val="24"/>
          <w:szCs w:val="24"/>
        </w:rPr>
        <w:t>caracter</w:t>
      </w:r>
      <w:proofErr w:type="spellEnd"/>
      <w:r w:rsidRPr="00B72FCE">
        <w:rPr>
          <w:rFonts w:ascii="Cambria" w:eastAsia="Arial" w:hAnsi="Cambria" w:cs="Arial"/>
          <w:color w:val="333333"/>
          <w:sz w:val="24"/>
          <w:szCs w:val="24"/>
        </w:rPr>
        <w:t xml:space="preserve"> general, impersonal y abstracta que tendría efectos jurídicos para cualquier persona del territorio nacional que no materializa una situación concreta que pueda enmarcar un beneficio particular, actual o directo para los congresistas</w:t>
      </w:r>
      <w:r w:rsidRPr="00B72FCE">
        <w:rPr>
          <w:rFonts w:ascii="Cambria" w:eastAsia="Cambria" w:hAnsi="Cambria" w:cs="Cambria"/>
          <w:sz w:val="24"/>
          <w:szCs w:val="24"/>
        </w:rPr>
        <w:t xml:space="preserve"> es así y conforme con el objetivo de la presente iniciativa, </w:t>
      </w:r>
      <w:r w:rsidRPr="00B72FCE">
        <w:rPr>
          <w:rFonts w:ascii="Cambria" w:eastAsia="Cambria" w:hAnsi="Cambria" w:cs="Cambria"/>
          <w:sz w:val="24"/>
          <w:szCs w:val="24"/>
          <w:u w:val="single"/>
        </w:rPr>
        <w:t xml:space="preserve">se puede concluir que no hay motivos que puedan generar un conflicto de interés para presentar esta iniciativa de ley por parte de los Representantes a la Cámara Jhon Jairo Berrío López y/o María del Mar Pizarro. </w:t>
      </w:r>
    </w:p>
    <w:p w14:paraId="4A15EF92" w14:textId="77777777" w:rsidR="003A4451" w:rsidRPr="00B72FCE" w:rsidRDefault="003A4451" w:rsidP="00B72FCE">
      <w:pPr>
        <w:spacing w:line="240" w:lineRule="auto"/>
        <w:rPr>
          <w:rFonts w:ascii="Cambria" w:eastAsia="Cambria" w:hAnsi="Cambria" w:cs="Cambria"/>
          <w:sz w:val="24"/>
          <w:szCs w:val="24"/>
        </w:rPr>
      </w:pPr>
    </w:p>
    <w:p w14:paraId="4694A149" w14:textId="77777777" w:rsidR="003A4451" w:rsidRPr="00B72FCE" w:rsidRDefault="007C798D" w:rsidP="00B72FCE">
      <w:pPr>
        <w:tabs>
          <w:tab w:val="center" w:pos="4419"/>
        </w:tabs>
        <w:spacing w:line="240" w:lineRule="auto"/>
        <w:rPr>
          <w:rFonts w:ascii="Cambria" w:eastAsia="Cambria" w:hAnsi="Cambria" w:cs="Cambria"/>
          <w:sz w:val="24"/>
          <w:szCs w:val="24"/>
        </w:rPr>
      </w:pPr>
      <w:r w:rsidRPr="00B72FCE">
        <w:rPr>
          <w:rFonts w:ascii="Cambria" w:eastAsia="Cambria" w:hAnsi="Cambria" w:cs="Cambria"/>
          <w:sz w:val="24"/>
          <w:szCs w:val="24"/>
        </w:rPr>
        <w:t xml:space="preserve">No obstante; es menester señalar que, la descripción de los posibles conflictos de interés que se puedan presentar frente al trámite o votación del presente Proyecto de Ley, de conformidad con las disposiciones del artículo 291 de la Ley 5ta de 1992 modificado por la Ley 2003 de 2019, no exime al Congresista de identificar causales adicionales en las que pueda estar incurso. </w:t>
      </w:r>
    </w:p>
    <w:p w14:paraId="4EFC40EA" w14:textId="77777777" w:rsidR="003A4451" w:rsidRPr="00B02115" w:rsidRDefault="003A4451">
      <w:pPr>
        <w:tabs>
          <w:tab w:val="center" w:pos="4419"/>
        </w:tabs>
        <w:spacing w:line="240" w:lineRule="auto"/>
        <w:rPr>
          <w:rFonts w:ascii="Cambria" w:eastAsia="Cambria" w:hAnsi="Cambria" w:cs="Cambria"/>
          <w:sz w:val="24"/>
          <w:szCs w:val="24"/>
        </w:rPr>
      </w:pPr>
    </w:p>
    <w:p w14:paraId="3E533137" w14:textId="77777777" w:rsidR="003A4451" w:rsidRPr="00B02115" w:rsidRDefault="007C798D">
      <w:pPr>
        <w:numPr>
          <w:ilvl w:val="0"/>
          <w:numId w:val="7"/>
        </w:numPr>
        <w:pBdr>
          <w:top w:val="nil"/>
          <w:left w:val="nil"/>
          <w:bottom w:val="nil"/>
          <w:right w:val="nil"/>
          <w:between w:val="nil"/>
        </w:pBdr>
        <w:tabs>
          <w:tab w:val="center" w:pos="4419"/>
        </w:tabs>
        <w:spacing w:line="240" w:lineRule="auto"/>
        <w:jc w:val="center"/>
        <w:rPr>
          <w:color w:val="000000"/>
          <w:sz w:val="24"/>
          <w:szCs w:val="24"/>
        </w:rPr>
      </w:pPr>
      <w:r w:rsidRPr="00B02115">
        <w:br w:type="column"/>
      </w:r>
      <w:r w:rsidRPr="00B02115">
        <w:rPr>
          <w:rFonts w:ascii="Cambria" w:eastAsia="Cambria" w:hAnsi="Cambria" w:cs="Cambria"/>
          <w:b/>
          <w:bCs/>
          <w:color w:val="000000"/>
          <w:sz w:val="24"/>
          <w:szCs w:val="24"/>
        </w:rPr>
        <w:lastRenderedPageBreak/>
        <w:t>PROPOSICIÓN</w:t>
      </w:r>
    </w:p>
    <w:p w14:paraId="1893ED84" w14:textId="77777777" w:rsidR="003A4451" w:rsidRPr="00B02115" w:rsidRDefault="003A4451">
      <w:pPr>
        <w:tabs>
          <w:tab w:val="center" w:pos="4419"/>
        </w:tabs>
        <w:spacing w:line="240" w:lineRule="auto"/>
        <w:rPr>
          <w:rFonts w:ascii="Cambria" w:eastAsia="Cambria" w:hAnsi="Cambria" w:cs="Cambria"/>
          <w:sz w:val="24"/>
          <w:szCs w:val="24"/>
        </w:rPr>
      </w:pPr>
    </w:p>
    <w:p w14:paraId="7E0B8EF5" w14:textId="28450734" w:rsidR="003A4451" w:rsidRPr="00B02115" w:rsidRDefault="007C798D">
      <w:pPr>
        <w:tabs>
          <w:tab w:val="center" w:pos="4419"/>
        </w:tabs>
        <w:spacing w:line="240" w:lineRule="auto"/>
        <w:rPr>
          <w:rFonts w:ascii="Cambria" w:eastAsia="Cambria" w:hAnsi="Cambria" w:cs="Cambria"/>
          <w:i/>
          <w:iCs/>
          <w:sz w:val="24"/>
          <w:szCs w:val="24"/>
        </w:rPr>
      </w:pPr>
      <w:r w:rsidRPr="00B02115">
        <w:rPr>
          <w:rFonts w:ascii="Cambria" w:eastAsia="Cambria" w:hAnsi="Cambria" w:cs="Cambria"/>
          <w:sz w:val="24"/>
          <w:szCs w:val="24"/>
        </w:rPr>
        <w:t xml:space="preserve">En relación con las anteriores consideraciones expuestas, presentamos </w:t>
      </w:r>
      <w:r w:rsidRPr="00B02115">
        <w:rPr>
          <w:rFonts w:ascii="Cambria" w:eastAsia="Cambria" w:hAnsi="Cambria" w:cs="Cambria"/>
          <w:b/>
          <w:bCs/>
          <w:sz w:val="24"/>
          <w:szCs w:val="24"/>
        </w:rPr>
        <w:t>PONENCIA POSITIVA</w:t>
      </w:r>
      <w:r w:rsidRPr="00B02115">
        <w:rPr>
          <w:rFonts w:ascii="Cambria" w:eastAsia="Cambria" w:hAnsi="Cambria" w:cs="Cambria"/>
          <w:sz w:val="24"/>
          <w:szCs w:val="24"/>
        </w:rPr>
        <w:t xml:space="preserve"> y respetuosamente sugerimos a los integrantes de la Plenaria de la Cámara de Representantes, dar segundo debate y aprobar el </w:t>
      </w:r>
      <w:r w:rsidRPr="00B02115">
        <w:rPr>
          <w:rFonts w:ascii="Cambria" w:eastAsia="Cambria" w:hAnsi="Cambria" w:cs="Cambria"/>
          <w:b/>
          <w:bCs/>
          <w:sz w:val="24"/>
          <w:szCs w:val="24"/>
        </w:rPr>
        <w:t>PROYECTO DE LEY NO. 466 de 2025 Cámara</w:t>
      </w:r>
      <w:r w:rsidRPr="00B02115">
        <w:rPr>
          <w:rFonts w:ascii="Cambria" w:eastAsia="Cambria" w:hAnsi="Cambria" w:cs="Cambria"/>
          <w:i/>
          <w:iCs/>
          <w:sz w:val="24"/>
          <w:szCs w:val="24"/>
        </w:rPr>
        <w:t xml:space="preserve"> “Por medio de la cual se modifica el valor para la exención del impuesto sobre las ventas (IVA) a la importación de productos bajo la modalidad de tráfico postal y envíos urgentes, se modifica parcialmente el estatuto tributario y se dictan otras disposiciones”</w:t>
      </w:r>
      <w:r w:rsidR="00800425" w:rsidRPr="00B02115">
        <w:rPr>
          <w:rFonts w:eastAsia="Times New Roman"/>
          <w:noProof/>
        </w:rPr>
        <w:t xml:space="preserve"> </w:t>
      </w:r>
    </w:p>
    <w:p w14:paraId="4B7F1B4C" w14:textId="43EA2CA2" w:rsidR="003A4451" w:rsidRPr="00B02115" w:rsidRDefault="003A4451">
      <w:pPr>
        <w:tabs>
          <w:tab w:val="center" w:pos="4419"/>
        </w:tabs>
        <w:spacing w:line="240" w:lineRule="auto"/>
        <w:rPr>
          <w:rFonts w:ascii="Cambria" w:eastAsia="Cambria" w:hAnsi="Cambria" w:cs="Cambria"/>
          <w:i/>
          <w:iCs/>
          <w:color w:val="000000"/>
          <w:sz w:val="24"/>
          <w:szCs w:val="24"/>
        </w:rPr>
      </w:pPr>
    </w:p>
    <w:p w14:paraId="11CD1268" w14:textId="77777777" w:rsidR="00FF1F69" w:rsidRDefault="007C798D">
      <w:pPr>
        <w:tabs>
          <w:tab w:val="center" w:pos="4419"/>
        </w:tabs>
        <w:spacing w:line="240" w:lineRule="auto"/>
        <w:rPr>
          <w:rFonts w:ascii="Cambria" w:eastAsia="Cambria" w:hAnsi="Cambria" w:cs="Cambria"/>
          <w:sz w:val="24"/>
          <w:szCs w:val="24"/>
        </w:rPr>
      </w:pPr>
      <w:r w:rsidRPr="00B02115">
        <w:rPr>
          <w:rFonts w:ascii="Cambria" w:eastAsia="Cambria" w:hAnsi="Cambria" w:cs="Cambria"/>
          <w:sz w:val="24"/>
          <w:szCs w:val="24"/>
        </w:rPr>
        <w:t>Cordialmente,</w:t>
      </w:r>
    </w:p>
    <w:p w14:paraId="664712D1" w14:textId="1663E822" w:rsidR="003A4451" w:rsidRDefault="007C798D">
      <w:pPr>
        <w:tabs>
          <w:tab w:val="center" w:pos="4419"/>
        </w:tabs>
        <w:spacing w:line="240" w:lineRule="auto"/>
        <w:rPr>
          <w:rFonts w:ascii="Cambria" w:eastAsia="Cambria" w:hAnsi="Cambria" w:cs="Cambria"/>
          <w:sz w:val="24"/>
          <w:szCs w:val="24"/>
        </w:rPr>
      </w:pPr>
      <w:r w:rsidRPr="00B02115">
        <w:rPr>
          <w:rFonts w:ascii="Cambria" w:eastAsia="Cambria" w:hAnsi="Cambria" w:cs="Cambria"/>
          <w:sz w:val="24"/>
          <w:szCs w:val="24"/>
        </w:rPr>
        <w:t xml:space="preserve"> </w:t>
      </w:r>
    </w:p>
    <w:p w14:paraId="0D29A975" w14:textId="77777777" w:rsidR="00FF1F69" w:rsidRDefault="00FF1F69">
      <w:pPr>
        <w:tabs>
          <w:tab w:val="center" w:pos="4419"/>
        </w:tabs>
        <w:spacing w:line="240" w:lineRule="auto"/>
        <w:rPr>
          <w:rFonts w:ascii="Cambria" w:eastAsia="Cambria" w:hAnsi="Cambria" w:cs="Cambria"/>
          <w:sz w:val="24"/>
          <w:szCs w:val="24"/>
        </w:rPr>
      </w:pPr>
    </w:p>
    <w:tbl>
      <w:tblPr>
        <w:tblW w:w="8828" w:type="dxa"/>
        <w:tblBorders>
          <w:top w:val="nil"/>
          <w:left w:val="nil"/>
          <w:bottom w:val="nil"/>
          <w:right w:val="nil"/>
          <w:insideH w:val="nil"/>
          <w:insideV w:val="nil"/>
        </w:tblBorders>
        <w:tblLayout w:type="fixed"/>
        <w:tblLook w:val="0400" w:firstRow="0" w:lastRow="0" w:firstColumn="0" w:lastColumn="0" w:noHBand="0" w:noVBand="1"/>
      </w:tblPr>
      <w:tblGrid>
        <w:gridCol w:w="4414"/>
        <w:gridCol w:w="4414"/>
      </w:tblGrid>
      <w:tr w:rsidR="00FF1F69" w:rsidRPr="00B02115" w14:paraId="1B7BA70B" w14:textId="77777777" w:rsidTr="002C1D66">
        <w:tc>
          <w:tcPr>
            <w:tcW w:w="4414" w:type="dxa"/>
          </w:tcPr>
          <w:p w14:paraId="40477D65"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11A26B9A"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1F06B99B" w14:textId="77777777" w:rsidR="00FF1F69" w:rsidRDefault="00FF1F69" w:rsidP="002C1D66">
            <w:pPr>
              <w:tabs>
                <w:tab w:val="center" w:pos="4419"/>
              </w:tabs>
              <w:spacing w:line="240" w:lineRule="auto"/>
              <w:jc w:val="center"/>
              <w:rPr>
                <w:rFonts w:ascii="Cambria" w:eastAsia="Cambria" w:hAnsi="Cambria" w:cs="Cambria"/>
                <w:b/>
                <w:bCs/>
                <w:sz w:val="24"/>
                <w:szCs w:val="24"/>
              </w:rPr>
            </w:pPr>
          </w:p>
          <w:p w14:paraId="600B2DCC"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27E8D7AF"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JHON JAIRO BERRÍO LÓPEZ</w:t>
            </w:r>
          </w:p>
          <w:p w14:paraId="2AA70F9F"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Miembro de la Cámara de Representantes</w:t>
            </w:r>
          </w:p>
          <w:p w14:paraId="660EFF55"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Congreso de la República de Colombia</w:t>
            </w:r>
          </w:p>
        </w:tc>
        <w:tc>
          <w:tcPr>
            <w:tcW w:w="4414" w:type="dxa"/>
          </w:tcPr>
          <w:p w14:paraId="68663F09" w14:textId="77777777" w:rsidR="00FF1F69" w:rsidRDefault="00FF1F69" w:rsidP="002C1D66">
            <w:pPr>
              <w:tabs>
                <w:tab w:val="center" w:pos="4419"/>
              </w:tabs>
              <w:spacing w:line="240" w:lineRule="auto"/>
              <w:jc w:val="center"/>
              <w:rPr>
                <w:rFonts w:ascii="Cambria" w:eastAsia="Cambria" w:hAnsi="Cambria" w:cs="Cambria"/>
                <w:b/>
                <w:bCs/>
                <w:sz w:val="24"/>
                <w:szCs w:val="24"/>
              </w:rPr>
            </w:pPr>
          </w:p>
          <w:p w14:paraId="358D3056"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04841495"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5A165A97"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269E311E"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 xml:space="preserve">MARÍA DEL MAR PIZARRO </w:t>
            </w:r>
          </w:p>
          <w:p w14:paraId="1DCF12B5"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Miembro de la Cámara de Representantes</w:t>
            </w:r>
          </w:p>
          <w:p w14:paraId="2C0D762F"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Congreso de la República de Colombia</w:t>
            </w:r>
          </w:p>
        </w:tc>
      </w:tr>
      <w:tr w:rsidR="00FF1F69" w:rsidRPr="00B02115" w14:paraId="63D84ED0" w14:textId="77777777" w:rsidTr="002C1D66">
        <w:tc>
          <w:tcPr>
            <w:tcW w:w="4414" w:type="dxa"/>
          </w:tcPr>
          <w:p w14:paraId="71C40CC9" w14:textId="77777777" w:rsidR="00FF1F69" w:rsidRPr="00B02115" w:rsidRDefault="00FF1F69" w:rsidP="002C1D66">
            <w:pPr>
              <w:tabs>
                <w:tab w:val="center" w:pos="4419"/>
              </w:tabs>
              <w:spacing w:line="240" w:lineRule="auto"/>
              <w:rPr>
                <w:rFonts w:ascii="Cambria" w:eastAsia="Cambria" w:hAnsi="Cambria" w:cs="Cambria"/>
                <w:b/>
                <w:bCs/>
                <w:sz w:val="24"/>
                <w:szCs w:val="24"/>
              </w:rPr>
            </w:pPr>
          </w:p>
        </w:tc>
        <w:tc>
          <w:tcPr>
            <w:tcW w:w="4414" w:type="dxa"/>
          </w:tcPr>
          <w:p w14:paraId="092B7947"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tc>
      </w:tr>
    </w:tbl>
    <w:p w14:paraId="233EEE44" w14:textId="77777777" w:rsidR="00FF1F69" w:rsidRPr="00B02115" w:rsidRDefault="00FF1F69">
      <w:pPr>
        <w:tabs>
          <w:tab w:val="center" w:pos="4419"/>
        </w:tabs>
        <w:spacing w:line="240" w:lineRule="auto"/>
        <w:rPr>
          <w:rFonts w:ascii="Cambria" w:eastAsia="Cambria" w:hAnsi="Cambria" w:cs="Cambria"/>
          <w:sz w:val="24"/>
          <w:szCs w:val="24"/>
        </w:rPr>
      </w:pPr>
    </w:p>
    <w:tbl>
      <w:tblPr>
        <w:tblW w:w="8828" w:type="dxa"/>
        <w:tblBorders>
          <w:top w:val="nil"/>
          <w:left w:val="nil"/>
          <w:bottom w:val="nil"/>
          <w:right w:val="nil"/>
          <w:insideH w:val="nil"/>
          <w:insideV w:val="nil"/>
        </w:tblBorders>
        <w:tblLayout w:type="fixed"/>
        <w:tblLook w:val="0400" w:firstRow="0" w:lastRow="0" w:firstColumn="0" w:lastColumn="0" w:noHBand="0" w:noVBand="1"/>
      </w:tblPr>
      <w:tblGrid>
        <w:gridCol w:w="4414"/>
        <w:gridCol w:w="4414"/>
      </w:tblGrid>
      <w:tr w:rsidR="00536567" w:rsidRPr="00B02115" w14:paraId="7C42DF0D" w14:textId="77777777" w:rsidTr="00E41010">
        <w:tc>
          <w:tcPr>
            <w:tcW w:w="4414" w:type="dxa"/>
          </w:tcPr>
          <w:p w14:paraId="6C76C65C" w14:textId="77777777" w:rsidR="00536567" w:rsidRPr="00B02115" w:rsidRDefault="00536567" w:rsidP="00FF1F69">
            <w:pPr>
              <w:rPr>
                <w:rFonts w:ascii="Cambria" w:eastAsia="Cambria" w:hAnsi="Cambria" w:cs="Cambria"/>
                <w:b/>
                <w:bCs/>
                <w:sz w:val="24"/>
                <w:szCs w:val="24"/>
              </w:rPr>
            </w:pPr>
          </w:p>
        </w:tc>
        <w:tc>
          <w:tcPr>
            <w:tcW w:w="4414" w:type="dxa"/>
          </w:tcPr>
          <w:p w14:paraId="23A49708" w14:textId="77777777" w:rsidR="00536567" w:rsidRPr="00B02115" w:rsidRDefault="00536567" w:rsidP="00E41010">
            <w:pPr>
              <w:tabs>
                <w:tab w:val="center" w:pos="4419"/>
              </w:tabs>
              <w:spacing w:line="240" w:lineRule="auto"/>
              <w:jc w:val="center"/>
              <w:rPr>
                <w:rFonts w:ascii="Cambria" w:eastAsia="Cambria" w:hAnsi="Cambria" w:cs="Cambria"/>
                <w:b/>
                <w:bCs/>
                <w:sz w:val="24"/>
                <w:szCs w:val="24"/>
              </w:rPr>
            </w:pPr>
          </w:p>
        </w:tc>
      </w:tr>
    </w:tbl>
    <w:p w14:paraId="120B88A9" w14:textId="77777777" w:rsidR="003A4451" w:rsidRPr="00B02115" w:rsidRDefault="007C798D">
      <w:pPr>
        <w:numPr>
          <w:ilvl w:val="0"/>
          <w:numId w:val="7"/>
        </w:numPr>
        <w:pBdr>
          <w:top w:val="nil"/>
          <w:left w:val="nil"/>
          <w:bottom w:val="nil"/>
          <w:right w:val="nil"/>
          <w:between w:val="nil"/>
        </w:pBdr>
        <w:tabs>
          <w:tab w:val="center" w:pos="4419"/>
        </w:tabs>
        <w:spacing w:line="240" w:lineRule="auto"/>
        <w:jc w:val="center"/>
        <w:rPr>
          <w:color w:val="000000"/>
          <w:sz w:val="24"/>
          <w:szCs w:val="24"/>
        </w:rPr>
      </w:pPr>
      <w:r w:rsidRPr="00B02115">
        <w:br w:type="column"/>
      </w:r>
      <w:r w:rsidRPr="00B02115">
        <w:rPr>
          <w:rFonts w:ascii="Cambria" w:eastAsia="Cambria" w:hAnsi="Cambria" w:cs="Cambria"/>
          <w:b/>
          <w:bCs/>
          <w:color w:val="000000"/>
          <w:sz w:val="24"/>
          <w:szCs w:val="24"/>
        </w:rPr>
        <w:lastRenderedPageBreak/>
        <w:t xml:space="preserve">TEXTO PROPUESTO PARA SEGUNDO DEBATE EN LA </w:t>
      </w:r>
      <w:r w:rsidRPr="00B02115">
        <w:rPr>
          <w:rFonts w:ascii="Cambria" w:eastAsia="Cambria" w:hAnsi="Cambria" w:cs="Cambria"/>
          <w:b/>
          <w:bCs/>
          <w:sz w:val="24"/>
          <w:szCs w:val="24"/>
        </w:rPr>
        <w:t>CÁMARA</w:t>
      </w:r>
      <w:r w:rsidRPr="00B02115">
        <w:rPr>
          <w:rFonts w:ascii="Cambria" w:eastAsia="Cambria" w:hAnsi="Cambria" w:cs="Cambria"/>
          <w:b/>
          <w:bCs/>
          <w:color w:val="000000"/>
          <w:sz w:val="24"/>
          <w:szCs w:val="24"/>
        </w:rPr>
        <w:t xml:space="preserve"> DE REPRESENTANTES AL PROYECTO DE LEY NÚMERO 466 DE 2025.</w:t>
      </w:r>
    </w:p>
    <w:p w14:paraId="5F867FE1" w14:textId="77777777" w:rsidR="003A4451" w:rsidRPr="00B02115" w:rsidRDefault="003A4451">
      <w:pPr>
        <w:pBdr>
          <w:top w:val="nil"/>
          <w:left w:val="nil"/>
          <w:bottom w:val="nil"/>
          <w:right w:val="nil"/>
          <w:between w:val="nil"/>
        </w:pBdr>
        <w:tabs>
          <w:tab w:val="center" w:pos="4419"/>
        </w:tabs>
        <w:spacing w:line="240" w:lineRule="auto"/>
        <w:ind w:left="360"/>
        <w:rPr>
          <w:rFonts w:ascii="Cambria" w:eastAsia="Cambria" w:hAnsi="Cambria" w:cs="Cambria"/>
          <w:b/>
          <w:bCs/>
          <w:color w:val="000000"/>
          <w:sz w:val="24"/>
          <w:szCs w:val="24"/>
        </w:rPr>
      </w:pPr>
    </w:p>
    <w:p w14:paraId="45E4B554" w14:textId="77777777" w:rsidR="003A4451" w:rsidRPr="00B02115" w:rsidRDefault="007C798D">
      <w:pPr>
        <w:tabs>
          <w:tab w:val="left" w:pos="1741"/>
        </w:tabs>
        <w:spacing w:line="240" w:lineRule="auto"/>
        <w:jc w:val="center"/>
        <w:rPr>
          <w:rFonts w:ascii="Cambria" w:eastAsia="Cambria" w:hAnsi="Cambria" w:cs="Cambria"/>
          <w:b/>
          <w:bCs/>
          <w:i/>
          <w:iCs/>
          <w:color w:val="000000"/>
          <w:sz w:val="24"/>
          <w:szCs w:val="24"/>
        </w:rPr>
      </w:pPr>
      <w:r w:rsidRPr="00B02115">
        <w:rPr>
          <w:rFonts w:ascii="Cambria" w:eastAsia="Cambria" w:hAnsi="Cambria" w:cs="Cambria"/>
          <w:b/>
          <w:bCs/>
          <w:i/>
          <w:iCs/>
          <w:color w:val="000000"/>
          <w:sz w:val="24"/>
          <w:szCs w:val="24"/>
        </w:rPr>
        <w:t>“POR MEDIO DE LA CUAL SE MODIFICA EL VALOR PARA LA EXENCIÓN DEL IMPUESTO SOBRE LAS VENTAS (IVA) A LA IMPORTACIÓN DE PRODUCTOS BAJO LA MODALIDAD DE TRÁFICO POSTAL Y ENVÍOS URGENTES, SE MODIFICA PARCIALMENTE EL ESTATUTO TRIBUTARIO Y SE DICTAN OTRAS DISPOSICIONES”</w:t>
      </w:r>
    </w:p>
    <w:p w14:paraId="720D2224" w14:textId="77777777" w:rsidR="003A4451" w:rsidRPr="00B02115" w:rsidRDefault="003A4451">
      <w:pPr>
        <w:tabs>
          <w:tab w:val="left" w:pos="1741"/>
        </w:tabs>
        <w:spacing w:line="240" w:lineRule="auto"/>
        <w:jc w:val="center"/>
        <w:rPr>
          <w:rFonts w:ascii="Cambria" w:eastAsia="Cambria" w:hAnsi="Cambria" w:cs="Cambria"/>
          <w:b/>
          <w:bCs/>
          <w:color w:val="000000"/>
          <w:sz w:val="24"/>
          <w:szCs w:val="24"/>
        </w:rPr>
      </w:pPr>
    </w:p>
    <w:p w14:paraId="7CE3BBFB" w14:textId="77777777" w:rsidR="003A4451" w:rsidRPr="00B02115" w:rsidRDefault="007C798D">
      <w:pPr>
        <w:tabs>
          <w:tab w:val="left" w:pos="1741"/>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EL CONGRESO DE COLOMBIA</w:t>
      </w:r>
    </w:p>
    <w:p w14:paraId="47AF8498" w14:textId="77777777" w:rsidR="003A4451" w:rsidRPr="00B02115" w:rsidRDefault="003A4451">
      <w:pPr>
        <w:tabs>
          <w:tab w:val="left" w:pos="1741"/>
        </w:tabs>
        <w:spacing w:line="240" w:lineRule="auto"/>
        <w:jc w:val="center"/>
        <w:rPr>
          <w:rFonts w:ascii="Cambria" w:eastAsia="Cambria" w:hAnsi="Cambria" w:cs="Cambria"/>
          <w:b/>
          <w:bCs/>
          <w:sz w:val="24"/>
          <w:szCs w:val="24"/>
        </w:rPr>
      </w:pPr>
    </w:p>
    <w:p w14:paraId="337E912A" w14:textId="77777777" w:rsidR="003A4451" w:rsidRPr="00B02115" w:rsidRDefault="007C798D">
      <w:pPr>
        <w:tabs>
          <w:tab w:val="left" w:pos="1741"/>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DECRETA:</w:t>
      </w:r>
    </w:p>
    <w:p w14:paraId="1993B8D9" w14:textId="77777777" w:rsidR="003A4451" w:rsidRPr="00B02115" w:rsidRDefault="003A4451">
      <w:pPr>
        <w:tabs>
          <w:tab w:val="left" w:pos="3217"/>
        </w:tabs>
        <w:spacing w:line="240" w:lineRule="auto"/>
        <w:rPr>
          <w:b/>
          <w:bCs/>
        </w:rPr>
      </w:pPr>
    </w:p>
    <w:p w14:paraId="53272656" w14:textId="77777777" w:rsidR="003A4451" w:rsidRPr="00B02115" w:rsidRDefault="007C798D">
      <w:pPr>
        <w:tabs>
          <w:tab w:val="left" w:pos="3217"/>
        </w:tabs>
        <w:spacing w:line="240" w:lineRule="auto"/>
        <w:rPr>
          <w:rFonts w:ascii="Cambria" w:eastAsia="Cambria" w:hAnsi="Cambria" w:cs="Cambria"/>
          <w:sz w:val="24"/>
          <w:szCs w:val="24"/>
        </w:rPr>
      </w:pPr>
      <w:r w:rsidRPr="00B02115">
        <w:rPr>
          <w:rFonts w:ascii="Cambria" w:eastAsia="Cambria" w:hAnsi="Cambria" w:cs="Cambria"/>
          <w:b/>
          <w:bCs/>
          <w:sz w:val="24"/>
          <w:szCs w:val="24"/>
        </w:rPr>
        <w:t>ARTÍCULO 1°. OBJETO.</w:t>
      </w:r>
      <w:r w:rsidRPr="00B02115">
        <w:rPr>
          <w:rFonts w:ascii="Cambria" w:eastAsia="Cambria" w:hAnsi="Cambria" w:cs="Cambria"/>
          <w:sz w:val="24"/>
          <w:szCs w:val="24"/>
        </w:rPr>
        <w:t xml:space="preserve"> La presente ley tiene por objeto modificar el valor del beneficio establecido en el literal j del artículo 428 del Estatuto Tributario, para la importación de productos bajo la modalidad de tráfico postal y envíos urgentes o envíos de entrega rápida para compras ocasionales para consumo final. Con ello se busca garantizar la equidad tributaria, nivelar las condiciones de competencia frente a entre productos nacionales e importados y combatir el contrabando técnico. </w:t>
      </w:r>
    </w:p>
    <w:p w14:paraId="1FF6925A" w14:textId="77777777" w:rsidR="003A4451" w:rsidRPr="00B02115" w:rsidRDefault="003A4451">
      <w:pPr>
        <w:tabs>
          <w:tab w:val="left" w:pos="3217"/>
        </w:tabs>
        <w:spacing w:line="240" w:lineRule="auto"/>
        <w:rPr>
          <w:rFonts w:ascii="Cambria" w:eastAsia="Cambria" w:hAnsi="Cambria" w:cs="Cambria"/>
          <w:sz w:val="24"/>
          <w:szCs w:val="24"/>
        </w:rPr>
      </w:pPr>
    </w:p>
    <w:p w14:paraId="515949C1" w14:textId="77777777" w:rsidR="003A4451" w:rsidRPr="00B02115" w:rsidRDefault="007C798D">
      <w:pPr>
        <w:tabs>
          <w:tab w:val="left" w:pos="3217"/>
        </w:tabs>
        <w:spacing w:line="240" w:lineRule="auto"/>
        <w:rPr>
          <w:rFonts w:ascii="Cambria" w:eastAsia="Cambria" w:hAnsi="Cambria" w:cs="Cambria"/>
          <w:sz w:val="24"/>
          <w:szCs w:val="24"/>
        </w:rPr>
      </w:pPr>
      <w:r w:rsidRPr="00B02115">
        <w:rPr>
          <w:rFonts w:ascii="Cambria" w:eastAsia="Cambria" w:hAnsi="Cambria" w:cs="Cambria"/>
          <w:b/>
          <w:bCs/>
          <w:sz w:val="24"/>
          <w:szCs w:val="24"/>
        </w:rPr>
        <w:t>ARTÍCULO 2°. MODIFICACIÓN DEL LITERAL J DEL ARTÍCULO 428 DEL ESTATUTO TRIBUTARIO.</w:t>
      </w:r>
      <w:r w:rsidRPr="00B02115">
        <w:rPr>
          <w:rFonts w:ascii="Cambria" w:eastAsia="Cambria" w:hAnsi="Cambria" w:cs="Cambria"/>
          <w:sz w:val="24"/>
          <w:szCs w:val="24"/>
        </w:rPr>
        <w:t xml:space="preserve"> El literal j del artículo 428 del Estatuto Tributario quedará así: </w:t>
      </w:r>
    </w:p>
    <w:p w14:paraId="696F60C1" w14:textId="77777777" w:rsidR="003A4451" w:rsidRPr="00B02115" w:rsidRDefault="003A4451">
      <w:pPr>
        <w:tabs>
          <w:tab w:val="left" w:pos="3217"/>
        </w:tabs>
        <w:spacing w:line="240" w:lineRule="auto"/>
        <w:ind w:left="720"/>
        <w:rPr>
          <w:rFonts w:ascii="Cambria" w:eastAsia="Cambria" w:hAnsi="Cambria" w:cs="Cambria"/>
          <w:i/>
          <w:iCs/>
          <w:sz w:val="24"/>
          <w:szCs w:val="24"/>
        </w:rPr>
      </w:pPr>
    </w:p>
    <w:p w14:paraId="70DFBEAD" w14:textId="77777777" w:rsidR="003A4451" w:rsidRPr="00B02115" w:rsidRDefault="007C798D">
      <w:pPr>
        <w:tabs>
          <w:tab w:val="left" w:pos="3217"/>
        </w:tabs>
        <w:spacing w:line="240" w:lineRule="auto"/>
        <w:ind w:left="720"/>
        <w:rPr>
          <w:rFonts w:ascii="Cambria" w:eastAsia="Cambria" w:hAnsi="Cambria" w:cs="Cambria"/>
          <w:i/>
          <w:iCs/>
          <w:sz w:val="24"/>
          <w:szCs w:val="24"/>
        </w:rPr>
      </w:pPr>
      <w:r w:rsidRPr="00B02115">
        <w:rPr>
          <w:rFonts w:ascii="Cambria" w:eastAsia="Cambria" w:hAnsi="Cambria" w:cs="Cambria"/>
          <w:i/>
          <w:iCs/>
          <w:sz w:val="24"/>
          <w:szCs w:val="24"/>
        </w:rPr>
        <w:t>“j) La importación de bienes objeto de tráfico postal, envíos urgentes o envíos de entrega rápida cuyo valor no exceda de cero dólares (USD $0), de acuerdo con lo establecido en cada acuerdo o tratado de Libre Comercio, en virtud del cual se obligue expresamente al no cobro de este impuesto.</w:t>
      </w:r>
    </w:p>
    <w:p w14:paraId="52A2E8A2" w14:textId="77777777" w:rsidR="003A4451" w:rsidRPr="00B02115" w:rsidRDefault="003A4451">
      <w:pPr>
        <w:tabs>
          <w:tab w:val="left" w:pos="3217"/>
        </w:tabs>
        <w:spacing w:line="240" w:lineRule="auto"/>
        <w:ind w:left="720"/>
        <w:rPr>
          <w:rFonts w:ascii="Cambria" w:eastAsia="Cambria" w:hAnsi="Cambria" w:cs="Cambria"/>
          <w:i/>
          <w:iCs/>
          <w:sz w:val="24"/>
          <w:szCs w:val="24"/>
        </w:rPr>
      </w:pPr>
    </w:p>
    <w:p w14:paraId="4EC37D5F" w14:textId="77777777" w:rsidR="003A4451" w:rsidRPr="00B02115" w:rsidRDefault="007C798D">
      <w:pPr>
        <w:tabs>
          <w:tab w:val="left" w:pos="3217"/>
        </w:tabs>
        <w:spacing w:line="240" w:lineRule="auto"/>
        <w:ind w:left="720"/>
        <w:rPr>
          <w:rFonts w:ascii="Cambria" w:eastAsia="Cambria" w:hAnsi="Cambria" w:cs="Cambria"/>
          <w:i/>
          <w:iCs/>
          <w:sz w:val="24"/>
          <w:szCs w:val="24"/>
        </w:rPr>
      </w:pPr>
      <w:r w:rsidRPr="00B02115">
        <w:rPr>
          <w:rFonts w:ascii="Cambria" w:eastAsia="Cambria" w:hAnsi="Cambria" w:cs="Cambria"/>
          <w:i/>
          <w:iCs/>
          <w:sz w:val="24"/>
          <w:szCs w:val="24"/>
        </w:rPr>
        <w:t xml:space="preserve">La Dirección de Impuestos y Aduanas Nacionales (DIAN) establecerá los controles de fiscalización e investigación correspondientes para asegurar el pago efectivo del impuesto cuando haya lugar al mismo en un plazo de 6 meses. </w:t>
      </w:r>
    </w:p>
    <w:p w14:paraId="3CAD7C47" w14:textId="77777777" w:rsidR="003A4451" w:rsidRPr="00B02115" w:rsidRDefault="003A4451">
      <w:pPr>
        <w:tabs>
          <w:tab w:val="left" w:pos="3217"/>
        </w:tabs>
        <w:spacing w:line="240" w:lineRule="auto"/>
        <w:ind w:left="720"/>
        <w:rPr>
          <w:rFonts w:ascii="Cambria" w:eastAsia="Cambria" w:hAnsi="Cambria" w:cs="Cambria"/>
          <w:i/>
          <w:iCs/>
          <w:sz w:val="24"/>
          <w:szCs w:val="24"/>
        </w:rPr>
      </w:pPr>
    </w:p>
    <w:p w14:paraId="668596AB" w14:textId="77777777" w:rsidR="003A4451" w:rsidRPr="00B02115" w:rsidRDefault="007C798D">
      <w:pPr>
        <w:tabs>
          <w:tab w:val="left" w:pos="3217"/>
        </w:tabs>
        <w:spacing w:line="240" w:lineRule="auto"/>
        <w:ind w:left="720"/>
        <w:rPr>
          <w:rFonts w:ascii="Cambria" w:eastAsia="Cambria" w:hAnsi="Cambria" w:cs="Cambria"/>
          <w:i/>
          <w:iCs/>
          <w:sz w:val="24"/>
          <w:szCs w:val="24"/>
        </w:rPr>
      </w:pPr>
      <w:r w:rsidRPr="00B02115">
        <w:rPr>
          <w:rFonts w:ascii="Cambria" w:eastAsia="Cambria" w:hAnsi="Cambria" w:cs="Cambria"/>
          <w:i/>
          <w:iCs/>
          <w:sz w:val="24"/>
          <w:szCs w:val="24"/>
        </w:rPr>
        <w:t xml:space="preserve">Por lo anterior, en todos los casos de envíos postales urgentes que ingresen al país solicitados mediante plataformas de comercio, las empresas de mensajería y los intermediarios de transporte internacional estarán obligados a identificar el medio de compra, el país de origen, el valor de la mercancía y el destinatario final, y a reportar dicha información a la DIAN en los términos que esta determine”. </w:t>
      </w:r>
    </w:p>
    <w:p w14:paraId="2DF20706" w14:textId="77777777" w:rsidR="003A4451" w:rsidRPr="00B02115" w:rsidRDefault="003A4451">
      <w:pPr>
        <w:tabs>
          <w:tab w:val="left" w:pos="3217"/>
        </w:tabs>
        <w:spacing w:line="240" w:lineRule="auto"/>
        <w:rPr>
          <w:rFonts w:ascii="Cambria" w:eastAsia="Cambria" w:hAnsi="Cambria" w:cs="Cambria"/>
          <w:sz w:val="24"/>
          <w:szCs w:val="24"/>
        </w:rPr>
      </w:pPr>
    </w:p>
    <w:p w14:paraId="3904300C" w14:textId="77777777" w:rsidR="003A4451" w:rsidRPr="00B02115" w:rsidRDefault="007C798D">
      <w:pPr>
        <w:tabs>
          <w:tab w:val="left" w:pos="3217"/>
        </w:tabs>
        <w:spacing w:line="240" w:lineRule="auto"/>
        <w:rPr>
          <w:rFonts w:ascii="Cambria" w:eastAsia="Cambria" w:hAnsi="Cambria" w:cs="Cambria"/>
          <w:sz w:val="24"/>
          <w:szCs w:val="24"/>
        </w:rPr>
      </w:pPr>
      <w:r w:rsidRPr="00B02115">
        <w:rPr>
          <w:rFonts w:ascii="Cambria" w:eastAsia="Cambria" w:hAnsi="Cambria" w:cs="Cambria"/>
          <w:b/>
          <w:bCs/>
          <w:sz w:val="24"/>
          <w:szCs w:val="24"/>
        </w:rPr>
        <w:t>ARTÍCULO 3°. BASE GRAVABLE.</w:t>
      </w:r>
      <w:r w:rsidRPr="00B02115">
        <w:rPr>
          <w:rFonts w:ascii="Cambria" w:eastAsia="Cambria" w:hAnsi="Cambria" w:cs="Cambria"/>
          <w:sz w:val="24"/>
          <w:szCs w:val="24"/>
        </w:rPr>
        <w:t xml:space="preserve"> La base gravable para liquidar el Impuesto sobre las Ventas (IVA) en la importación de las mercancías de que trata el parágrafo del artículo </w:t>
      </w:r>
      <w:r w:rsidRPr="00B02115">
        <w:rPr>
          <w:rFonts w:ascii="Cambria" w:eastAsia="Cambria" w:hAnsi="Cambria" w:cs="Cambria"/>
          <w:sz w:val="24"/>
          <w:szCs w:val="24"/>
        </w:rPr>
        <w:lastRenderedPageBreak/>
        <w:t xml:space="preserve">anterior será el valor en aduanas de las mismas, determinado conforme a la normativa aduanera vigente. </w:t>
      </w:r>
    </w:p>
    <w:p w14:paraId="70B3FF0B" w14:textId="77777777" w:rsidR="003A4451" w:rsidRPr="00B02115" w:rsidRDefault="003A4451">
      <w:pPr>
        <w:tabs>
          <w:tab w:val="left" w:pos="3217"/>
        </w:tabs>
        <w:spacing w:line="240" w:lineRule="auto"/>
        <w:rPr>
          <w:rFonts w:ascii="Cambria" w:eastAsia="Cambria" w:hAnsi="Cambria" w:cs="Cambria"/>
          <w:sz w:val="24"/>
          <w:szCs w:val="24"/>
        </w:rPr>
      </w:pPr>
    </w:p>
    <w:p w14:paraId="444C3C29" w14:textId="77777777" w:rsidR="003A4451" w:rsidRPr="00B02115" w:rsidRDefault="007C798D">
      <w:pPr>
        <w:tabs>
          <w:tab w:val="left" w:pos="3217"/>
        </w:tabs>
        <w:spacing w:line="240" w:lineRule="auto"/>
        <w:rPr>
          <w:rFonts w:ascii="Cambria" w:eastAsia="Cambria" w:hAnsi="Cambria" w:cs="Cambria"/>
          <w:sz w:val="24"/>
          <w:szCs w:val="24"/>
        </w:rPr>
      </w:pPr>
      <w:r w:rsidRPr="00B02115">
        <w:rPr>
          <w:rFonts w:ascii="Cambria" w:eastAsia="Cambria" w:hAnsi="Cambria" w:cs="Cambria"/>
          <w:b/>
          <w:bCs/>
          <w:sz w:val="24"/>
          <w:szCs w:val="24"/>
        </w:rPr>
        <w:t>ARTÍCULO 4°. IMPLEMENTACIÓN Y FISCALIZACIÓN.</w:t>
      </w:r>
      <w:r w:rsidRPr="00B02115">
        <w:rPr>
          <w:rFonts w:ascii="Cambria" w:eastAsia="Cambria" w:hAnsi="Cambria" w:cs="Cambria"/>
          <w:sz w:val="24"/>
          <w:szCs w:val="24"/>
        </w:rPr>
        <w:t xml:space="preserve"> La Dirección de Impuestos y Aduanas Nacionales (DIAN), deberá, en un plazo no mayor a seis (6) meses a partir de la entrada en vigencia de esta ley, desarrollar la obligación que le impone el inciso segundo del literal j del artículo 428 de estatuto tributario que incluye, entre otras, las siguientes actividades: </w:t>
      </w:r>
    </w:p>
    <w:p w14:paraId="3BACD1C7" w14:textId="77777777" w:rsidR="003A4451" w:rsidRPr="00B02115" w:rsidRDefault="003A4451">
      <w:pPr>
        <w:tabs>
          <w:tab w:val="left" w:pos="3217"/>
        </w:tabs>
        <w:spacing w:line="240" w:lineRule="auto"/>
        <w:rPr>
          <w:rFonts w:ascii="Cambria" w:eastAsia="Cambria" w:hAnsi="Cambria" w:cs="Cambria"/>
          <w:sz w:val="24"/>
          <w:szCs w:val="24"/>
        </w:rPr>
      </w:pPr>
    </w:p>
    <w:p w14:paraId="6FF893CF" w14:textId="77777777" w:rsidR="003A4451" w:rsidRPr="00B02115" w:rsidRDefault="007C798D">
      <w:pPr>
        <w:tabs>
          <w:tab w:val="left" w:pos="3217"/>
        </w:tabs>
        <w:spacing w:line="240" w:lineRule="auto"/>
        <w:ind w:left="720"/>
        <w:rPr>
          <w:rFonts w:ascii="Cambria" w:eastAsia="Cambria" w:hAnsi="Cambria" w:cs="Cambria"/>
          <w:sz w:val="24"/>
          <w:szCs w:val="24"/>
        </w:rPr>
      </w:pPr>
      <w:r w:rsidRPr="00B02115">
        <w:rPr>
          <w:rFonts w:ascii="Cambria" w:eastAsia="Cambria" w:hAnsi="Cambria" w:cs="Cambria"/>
          <w:sz w:val="24"/>
          <w:szCs w:val="24"/>
        </w:rPr>
        <w:t>5. Identificar las subpartidas arancelarias correspondientes a productos que puedan ingresar con un valor inferior al establecido.</w:t>
      </w:r>
    </w:p>
    <w:p w14:paraId="2E4B6835" w14:textId="77777777" w:rsidR="003A4451" w:rsidRPr="00B02115" w:rsidRDefault="003A4451">
      <w:pPr>
        <w:tabs>
          <w:tab w:val="left" w:pos="3217"/>
        </w:tabs>
        <w:spacing w:line="240" w:lineRule="auto"/>
        <w:ind w:left="720"/>
        <w:rPr>
          <w:rFonts w:ascii="Cambria" w:eastAsia="Cambria" w:hAnsi="Cambria" w:cs="Cambria"/>
          <w:sz w:val="24"/>
          <w:szCs w:val="24"/>
        </w:rPr>
      </w:pPr>
    </w:p>
    <w:p w14:paraId="1DE98469" w14:textId="77777777" w:rsidR="003A4451" w:rsidRPr="00B02115" w:rsidRDefault="007C798D">
      <w:pPr>
        <w:tabs>
          <w:tab w:val="left" w:pos="3217"/>
        </w:tabs>
        <w:spacing w:line="240" w:lineRule="auto"/>
        <w:ind w:left="720"/>
        <w:rPr>
          <w:rFonts w:ascii="Cambria" w:eastAsia="Cambria" w:hAnsi="Cambria" w:cs="Cambria"/>
          <w:sz w:val="24"/>
          <w:szCs w:val="24"/>
        </w:rPr>
      </w:pPr>
      <w:r w:rsidRPr="00B02115">
        <w:rPr>
          <w:rFonts w:ascii="Cambria" w:eastAsia="Cambria" w:hAnsi="Cambria" w:cs="Cambria"/>
          <w:sz w:val="24"/>
          <w:szCs w:val="24"/>
        </w:rPr>
        <w:t xml:space="preserve">6. Facilitar la declaración y el pago electrónico del impuesto por parte del importador o del intermediario de la modalidad de envío. </w:t>
      </w:r>
    </w:p>
    <w:p w14:paraId="22896ABE" w14:textId="77777777" w:rsidR="003A4451" w:rsidRPr="00B02115" w:rsidRDefault="003A4451">
      <w:pPr>
        <w:tabs>
          <w:tab w:val="left" w:pos="3217"/>
        </w:tabs>
        <w:spacing w:line="240" w:lineRule="auto"/>
        <w:ind w:left="720"/>
        <w:rPr>
          <w:rFonts w:ascii="Cambria" w:eastAsia="Cambria" w:hAnsi="Cambria" w:cs="Cambria"/>
          <w:sz w:val="24"/>
          <w:szCs w:val="24"/>
        </w:rPr>
      </w:pPr>
    </w:p>
    <w:p w14:paraId="0CD0B027" w14:textId="77777777" w:rsidR="003A4451" w:rsidRPr="00B02115" w:rsidRDefault="007C798D">
      <w:pPr>
        <w:tabs>
          <w:tab w:val="left" w:pos="3217"/>
        </w:tabs>
        <w:spacing w:line="240" w:lineRule="auto"/>
        <w:ind w:left="720"/>
        <w:rPr>
          <w:rFonts w:ascii="Cambria" w:eastAsia="Cambria" w:hAnsi="Cambria" w:cs="Cambria"/>
          <w:sz w:val="24"/>
          <w:szCs w:val="24"/>
        </w:rPr>
      </w:pPr>
      <w:r w:rsidRPr="00B02115">
        <w:rPr>
          <w:rFonts w:ascii="Cambria" w:eastAsia="Cambria" w:hAnsi="Cambria" w:cs="Cambria"/>
          <w:sz w:val="24"/>
          <w:szCs w:val="24"/>
        </w:rPr>
        <w:t>7. Implementar mecanismos de gestión de riesgo para detectar subfacturación, descripción incorrecta de mercancías y fraccionamiento de los envíos que cumplan con lo establecido en el literal j del artículo 428 del estatuto tributario.</w:t>
      </w:r>
    </w:p>
    <w:p w14:paraId="3D027354" w14:textId="77777777" w:rsidR="003A4451" w:rsidRPr="00B02115" w:rsidRDefault="003A4451">
      <w:pPr>
        <w:tabs>
          <w:tab w:val="left" w:pos="3217"/>
        </w:tabs>
        <w:spacing w:line="240" w:lineRule="auto"/>
        <w:ind w:left="720"/>
        <w:rPr>
          <w:rFonts w:ascii="Cambria" w:eastAsia="Cambria" w:hAnsi="Cambria" w:cs="Cambria"/>
          <w:sz w:val="24"/>
          <w:szCs w:val="24"/>
        </w:rPr>
      </w:pPr>
    </w:p>
    <w:p w14:paraId="220F28F8" w14:textId="77777777" w:rsidR="003A4451" w:rsidRPr="00B02115" w:rsidRDefault="007C798D">
      <w:pPr>
        <w:tabs>
          <w:tab w:val="left" w:pos="3217"/>
        </w:tabs>
        <w:spacing w:line="240" w:lineRule="auto"/>
        <w:ind w:left="720"/>
        <w:rPr>
          <w:rFonts w:ascii="Cambria" w:eastAsia="Cambria" w:hAnsi="Cambria" w:cs="Cambria"/>
          <w:sz w:val="24"/>
          <w:szCs w:val="24"/>
        </w:rPr>
      </w:pPr>
      <w:r w:rsidRPr="00B02115">
        <w:rPr>
          <w:rFonts w:ascii="Cambria" w:eastAsia="Cambria" w:hAnsi="Cambria" w:cs="Cambria"/>
          <w:sz w:val="24"/>
          <w:szCs w:val="24"/>
        </w:rPr>
        <w:t xml:space="preserve">8. Garantizar la interoperabilidad con las plataformas de comercio electrónico y las empresas de mensajería para asegurar el correcto cobro del tributo. </w:t>
      </w:r>
    </w:p>
    <w:p w14:paraId="3AA38890" w14:textId="77777777" w:rsidR="003A4451" w:rsidRPr="00B02115" w:rsidRDefault="003A4451">
      <w:pPr>
        <w:tabs>
          <w:tab w:val="left" w:pos="3217"/>
        </w:tabs>
        <w:spacing w:line="240" w:lineRule="auto"/>
        <w:rPr>
          <w:rFonts w:ascii="Cambria" w:eastAsia="Cambria" w:hAnsi="Cambria" w:cs="Cambria"/>
          <w:sz w:val="24"/>
          <w:szCs w:val="24"/>
        </w:rPr>
      </w:pPr>
    </w:p>
    <w:p w14:paraId="2EBAC751" w14:textId="77777777" w:rsidR="003A4451" w:rsidRPr="00B02115" w:rsidRDefault="007C798D">
      <w:pPr>
        <w:tabs>
          <w:tab w:val="left" w:pos="3217"/>
        </w:tabs>
        <w:spacing w:line="240" w:lineRule="auto"/>
        <w:rPr>
          <w:rFonts w:ascii="Cambria" w:eastAsia="Cambria" w:hAnsi="Cambria" w:cs="Cambria"/>
          <w:color w:val="000000"/>
          <w:sz w:val="24"/>
          <w:szCs w:val="24"/>
        </w:rPr>
      </w:pPr>
      <w:r w:rsidRPr="00B02115">
        <w:rPr>
          <w:rFonts w:ascii="Cambria" w:eastAsia="Cambria" w:hAnsi="Cambria" w:cs="Cambria"/>
          <w:b/>
          <w:bCs/>
          <w:sz w:val="24"/>
          <w:szCs w:val="24"/>
        </w:rPr>
        <w:t>ARTÍCULO 5°. VIGENCIA.</w:t>
      </w:r>
      <w:r w:rsidRPr="00B02115">
        <w:rPr>
          <w:rFonts w:ascii="Cambria" w:eastAsia="Cambria" w:hAnsi="Cambria" w:cs="Cambria"/>
          <w:sz w:val="24"/>
          <w:szCs w:val="24"/>
        </w:rPr>
        <w:t xml:space="preserve"> La presente ley rige a partir de la fecha de su promulgación, y su aplicación efectiva se dará seis (6) meses después de su publicación en el Diario Oficial, y deroga todas las disposiciones que le sean contrarias.</w:t>
      </w:r>
    </w:p>
    <w:p w14:paraId="4E7D4172" w14:textId="77777777" w:rsidR="003A4451" w:rsidRPr="00B02115" w:rsidRDefault="003A4451">
      <w:pPr>
        <w:tabs>
          <w:tab w:val="left" w:pos="3217"/>
        </w:tabs>
        <w:spacing w:line="240" w:lineRule="auto"/>
        <w:rPr>
          <w:rFonts w:ascii="Cambria" w:eastAsia="Cambria" w:hAnsi="Cambria" w:cs="Cambria"/>
          <w:color w:val="000000"/>
          <w:sz w:val="24"/>
          <w:szCs w:val="24"/>
        </w:rPr>
      </w:pPr>
    </w:p>
    <w:p w14:paraId="0040DA38" w14:textId="1DB2C89D" w:rsidR="003A4451" w:rsidRPr="00B02115" w:rsidRDefault="007C798D">
      <w:pPr>
        <w:tabs>
          <w:tab w:val="left" w:pos="3217"/>
        </w:tabs>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 xml:space="preserve">De los Honorables Representantes, </w:t>
      </w:r>
    </w:p>
    <w:p w14:paraId="5300427A" w14:textId="24A0E298" w:rsidR="003A4451" w:rsidRPr="00B02115" w:rsidRDefault="003A4451">
      <w:pPr>
        <w:tabs>
          <w:tab w:val="left" w:pos="3217"/>
        </w:tabs>
        <w:spacing w:line="240" w:lineRule="auto"/>
        <w:rPr>
          <w:rFonts w:ascii="Cambria" w:eastAsia="Cambria" w:hAnsi="Cambria" w:cs="Cambria"/>
          <w:color w:val="000000"/>
          <w:sz w:val="24"/>
          <w:szCs w:val="24"/>
        </w:rPr>
      </w:pPr>
    </w:p>
    <w:tbl>
      <w:tblPr>
        <w:tblW w:w="8828" w:type="dxa"/>
        <w:tblBorders>
          <w:top w:val="nil"/>
          <w:left w:val="nil"/>
          <w:bottom w:val="nil"/>
          <w:right w:val="nil"/>
          <w:insideH w:val="nil"/>
          <w:insideV w:val="nil"/>
        </w:tblBorders>
        <w:tblLayout w:type="fixed"/>
        <w:tblLook w:val="0400" w:firstRow="0" w:lastRow="0" w:firstColumn="0" w:lastColumn="0" w:noHBand="0" w:noVBand="1"/>
      </w:tblPr>
      <w:tblGrid>
        <w:gridCol w:w="4414"/>
        <w:gridCol w:w="4414"/>
      </w:tblGrid>
      <w:tr w:rsidR="00FF1F69" w:rsidRPr="00B02115" w14:paraId="1055B1C5" w14:textId="77777777" w:rsidTr="002C1D66">
        <w:tc>
          <w:tcPr>
            <w:tcW w:w="4414" w:type="dxa"/>
          </w:tcPr>
          <w:p w14:paraId="5561920B"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19D86413" w14:textId="77777777" w:rsidR="00FF1F69" w:rsidRDefault="00FF1F69" w:rsidP="002C1D66">
            <w:pPr>
              <w:tabs>
                <w:tab w:val="center" w:pos="4419"/>
              </w:tabs>
              <w:spacing w:line="240" w:lineRule="auto"/>
              <w:jc w:val="center"/>
              <w:rPr>
                <w:rFonts w:ascii="Cambria" w:eastAsia="Cambria" w:hAnsi="Cambria" w:cs="Cambria"/>
                <w:b/>
                <w:bCs/>
                <w:sz w:val="24"/>
                <w:szCs w:val="24"/>
              </w:rPr>
            </w:pPr>
          </w:p>
          <w:p w14:paraId="1D83FF2D"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6BE125C1"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JHON JAIRO BERRÍO LÓPEZ</w:t>
            </w:r>
          </w:p>
          <w:p w14:paraId="37725719"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Miembro de la Cámara de Representantes</w:t>
            </w:r>
          </w:p>
          <w:p w14:paraId="388428D5"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Congreso de la República de Colombia</w:t>
            </w:r>
          </w:p>
        </w:tc>
        <w:tc>
          <w:tcPr>
            <w:tcW w:w="4414" w:type="dxa"/>
          </w:tcPr>
          <w:p w14:paraId="411F498C" w14:textId="77777777" w:rsidR="00FF1F69" w:rsidRDefault="00FF1F69" w:rsidP="002C1D66">
            <w:pPr>
              <w:tabs>
                <w:tab w:val="center" w:pos="4419"/>
              </w:tabs>
              <w:spacing w:line="240" w:lineRule="auto"/>
              <w:jc w:val="center"/>
              <w:rPr>
                <w:rFonts w:ascii="Cambria" w:eastAsia="Cambria" w:hAnsi="Cambria" w:cs="Cambria"/>
                <w:b/>
                <w:bCs/>
                <w:sz w:val="24"/>
                <w:szCs w:val="24"/>
              </w:rPr>
            </w:pPr>
          </w:p>
          <w:p w14:paraId="2CB84134"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33AA23C2"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212AA857"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 xml:space="preserve">MARÍA DEL MAR PIZARRO </w:t>
            </w:r>
          </w:p>
          <w:p w14:paraId="7C88C36E"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Miembro de la Cámara de Representantes</w:t>
            </w:r>
          </w:p>
          <w:p w14:paraId="25BE4B26"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Congreso de la República de Colombia</w:t>
            </w:r>
          </w:p>
        </w:tc>
      </w:tr>
      <w:tr w:rsidR="00FF1F69" w:rsidRPr="00B02115" w14:paraId="29321582" w14:textId="77777777" w:rsidTr="002C1D66">
        <w:tc>
          <w:tcPr>
            <w:tcW w:w="4414" w:type="dxa"/>
          </w:tcPr>
          <w:p w14:paraId="4291988D" w14:textId="77777777" w:rsidR="00FF1F69" w:rsidRPr="00B02115" w:rsidRDefault="00FF1F69" w:rsidP="002C1D66">
            <w:pPr>
              <w:tabs>
                <w:tab w:val="center" w:pos="4419"/>
              </w:tabs>
              <w:spacing w:line="240" w:lineRule="auto"/>
              <w:rPr>
                <w:rFonts w:ascii="Cambria" w:eastAsia="Cambria" w:hAnsi="Cambria" w:cs="Cambria"/>
                <w:b/>
                <w:bCs/>
                <w:sz w:val="24"/>
                <w:szCs w:val="24"/>
              </w:rPr>
            </w:pPr>
          </w:p>
        </w:tc>
        <w:tc>
          <w:tcPr>
            <w:tcW w:w="4414" w:type="dxa"/>
          </w:tcPr>
          <w:p w14:paraId="669625B9"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tc>
      </w:tr>
    </w:tbl>
    <w:p w14:paraId="5AF9415A" w14:textId="77777777" w:rsidR="00AA6653" w:rsidRPr="00B02115" w:rsidRDefault="00AA6653" w:rsidP="00FF1F69">
      <w:pPr>
        <w:pBdr>
          <w:top w:val="nil"/>
          <w:left w:val="nil"/>
          <w:bottom w:val="nil"/>
          <w:right w:val="nil"/>
          <w:between w:val="nil"/>
        </w:pBdr>
        <w:tabs>
          <w:tab w:val="center" w:pos="4419"/>
        </w:tabs>
        <w:spacing w:line="240" w:lineRule="auto"/>
        <w:rPr>
          <w:rFonts w:ascii="Cambria" w:eastAsia="Cambria" w:hAnsi="Cambria" w:cs="Cambria"/>
          <w:b/>
          <w:bCs/>
          <w:color w:val="000000"/>
          <w:sz w:val="24"/>
          <w:szCs w:val="24"/>
        </w:rPr>
      </w:pPr>
    </w:p>
    <w:p w14:paraId="74B7E70E" w14:textId="274CFB1B" w:rsidR="003A4451" w:rsidRPr="00B02115" w:rsidRDefault="00AA6653">
      <w:pPr>
        <w:pBdr>
          <w:top w:val="nil"/>
          <w:left w:val="nil"/>
          <w:bottom w:val="nil"/>
          <w:right w:val="nil"/>
          <w:between w:val="nil"/>
        </w:pBdr>
        <w:tabs>
          <w:tab w:val="center" w:pos="4419"/>
        </w:tabs>
        <w:spacing w:line="240" w:lineRule="auto"/>
        <w:ind w:left="360"/>
        <w:jc w:val="center"/>
        <w:rPr>
          <w:rFonts w:ascii="Cambria" w:eastAsia="Cambria" w:hAnsi="Cambria" w:cs="Cambria"/>
          <w:b/>
          <w:bCs/>
          <w:color w:val="000000"/>
          <w:sz w:val="24"/>
          <w:szCs w:val="24"/>
        </w:rPr>
      </w:pPr>
      <w:r w:rsidRPr="00B02115">
        <w:rPr>
          <w:rFonts w:ascii="Cambria" w:eastAsia="Cambria" w:hAnsi="Cambria" w:cs="Cambria"/>
          <w:b/>
          <w:bCs/>
          <w:color w:val="000000"/>
          <w:sz w:val="24"/>
          <w:szCs w:val="24"/>
        </w:rPr>
        <w:br w:type="column"/>
      </w:r>
      <w:r w:rsidR="007C798D" w:rsidRPr="00B02115">
        <w:rPr>
          <w:rFonts w:ascii="Cambria" w:eastAsia="Cambria" w:hAnsi="Cambria" w:cs="Cambria"/>
          <w:b/>
          <w:bCs/>
          <w:color w:val="000000"/>
          <w:sz w:val="24"/>
          <w:szCs w:val="24"/>
        </w:rPr>
        <w:lastRenderedPageBreak/>
        <w:t>TEXTO DEFINITIVO APROBADO EN PRIMER DEBATE DEL PROYECTO DE LEY NÚMERO 466 DE 2025.</w:t>
      </w:r>
    </w:p>
    <w:p w14:paraId="4E280C88" w14:textId="77777777" w:rsidR="003A4451" w:rsidRPr="00B02115" w:rsidRDefault="003A4451">
      <w:pPr>
        <w:pBdr>
          <w:top w:val="nil"/>
          <w:left w:val="nil"/>
          <w:bottom w:val="nil"/>
          <w:right w:val="nil"/>
          <w:between w:val="nil"/>
        </w:pBdr>
        <w:tabs>
          <w:tab w:val="center" w:pos="4419"/>
        </w:tabs>
        <w:spacing w:line="240" w:lineRule="auto"/>
        <w:ind w:left="360"/>
        <w:rPr>
          <w:rFonts w:ascii="Cambria" w:eastAsia="Cambria" w:hAnsi="Cambria" w:cs="Cambria"/>
          <w:b/>
          <w:bCs/>
          <w:color w:val="000000"/>
          <w:sz w:val="24"/>
          <w:szCs w:val="24"/>
        </w:rPr>
      </w:pPr>
    </w:p>
    <w:p w14:paraId="71758E67" w14:textId="77777777" w:rsidR="003A4451" w:rsidRPr="00B02115" w:rsidRDefault="007C798D">
      <w:pPr>
        <w:tabs>
          <w:tab w:val="left" w:pos="1741"/>
        </w:tabs>
        <w:spacing w:line="240" w:lineRule="auto"/>
        <w:jc w:val="center"/>
        <w:rPr>
          <w:rFonts w:ascii="Cambria" w:eastAsia="Cambria" w:hAnsi="Cambria" w:cs="Cambria"/>
          <w:b/>
          <w:bCs/>
          <w:i/>
          <w:iCs/>
          <w:color w:val="000000"/>
          <w:sz w:val="24"/>
          <w:szCs w:val="24"/>
        </w:rPr>
      </w:pPr>
      <w:r w:rsidRPr="00B02115">
        <w:rPr>
          <w:rFonts w:ascii="Cambria" w:eastAsia="Cambria" w:hAnsi="Cambria" w:cs="Cambria"/>
          <w:b/>
          <w:bCs/>
          <w:i/>
          <w:iCs/>
          <w:color w:val="000000"/>
          <w:sz w:val="24"/>
          <w:szCs w:val="24"/>
        </w:rPr>
        <w:t>“POR MEDIO DE LA CUAL SE MODIFICA EL VALOR PARA LA EXENCIÓN DEL IMPUESTO SOBRE LAS VENTAS (IVA) A LA IMPORTACIÓN DE PRODUCTOS BAJO LA MODALIDAD DE TRÁFICO POSTAL Y ENVÍOS URGENTES, SE MODIFICA PARCIALMENTE EL ESTATUTO TRIBUTARIO Y SE DICTAN OTRAS DISPOSICIONES”</w:t>
      </w:r>
    </w:p>
    <w:p w14:paraId="45E4ECD2" w14:textId="77777777" w:rsidR="003A4451" w:rsidRPr="00B02115" w:rsidRDefault="007C798D">
      <w:pPr>
        <w:tabs>
          <w:tab w:val="left" w:pos="1741"/>
        </w:tabs>
        <w:spacing w:line="240" w:lineRule="auto"/>
        <w:jc w:val="center"/>
        <w:rPr>
          <w:rFonts w:ascii="Cambria" w:eastAsia="Cambria" w:hAnsi="Cambria" w:cs="Cambria"/>
          <w:b/>
          <w:bCs/>
          <w:color w:val="000000"/>
          <w:sz w:val="24"/>
          <w:szCs w:val="24"/>
        </w:rPr>
      </w:pPr>
      <w:r w:rsidRPr="00B02115">
        <w:rPr>
          <w:rFonts w:ascii="Cambria" w:eastAsia="Cambria" w:hAnsi="Cambria" w:cs="Cambria"/>
          <w:b/>
          <w:bCs/>
          <w:color w:val="000000"/>
          <w:sz w:val="24"/>
          <w:szCs w:val="24"/>
        </w:rPr>
        <w:t>(Aprobado en la sesión presencial del 8 de abril de 2026, Comisión Tercera Constitucional Permanente de la Honorable Cámara de Representantes).</w:t>
      </w:r>
    </w:p>
    <w:p w14:paraId="7A5E013D" w14:textId="77777777" w:rsidR="003A4451" w:rsidRPr="00B02115" w:rsidRDefault="003A4451">
      <w:pPr>
        <w:tabs>
          <w:tab w:val="left" w:pos="1741"/>
        </w:tabs>
        <w:spacing w:line="240" w:lineRule="auto"/>
        <w:jc w:val="center"/>
        <w:rPr>
          <w:rFonts w:ascii="Cambria" w:eastAsia="Cambria" w:hAnsi="Cambria" w:cs="Cambria"/>
          <w:b/>
          <w:bCs/>
          <w:color w:val="000000"/>
          <w:sz w:val="24"/>
          <w:szCs w:val="24"/>
        </w:rPr>
      </w:pPr>
    </w:p>
    <w:p w14:paraId="03626FE8" w14:textId="77777777" w:rsidR="003A4451" w:rsidRPr="00B02115" w:rsidRDefault="007C798D">
      <w:pPr>
        <w:tabs>
          <w:tab w:val="left" w:pos="1741"/>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EL CONGRESO DE COLOMBIA</w:t>
      </w:r>
    </w:p>
    <w:p w14:paraId="726BDC96" w14:textId="77777777" w:rsidR="003A4451" w:rsidRPr="00B02115" w:rsidRDefault="003A4451">
      <w:pPr>
        <w:tabs>
          <w:tab w:val="left" w:pos="1741"/>
        </w:tabs>
        <w:spacing w:line="240" w:lineRule="auto"/>
        <w:jc w:val="center"/>
        <w:rPr>
          <w:rFonts w:ascii="Cambria" w:eastAsia="Cambria" w:hAnsi="Cambria" w:cs="Cambria"/>
          <w:b/>
          <w:bCs/>
          <w:sz w:val="24"/>
          <w:szCs w:val="24"/>
        </w:rPr>
      </w:pPr>
    </w:p>
    <w:p w14:paraId="2EFA675F" w14:textId="77777777" w:rsidR="003A4451" w:rsidRPr="00B02115" w:rsidRDefault="007C798D">
      <w:pPr>
        <w:tabs>
          <w:tab w:val="left" w:pos="1741"/>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DECRETA</w:t>
      </w:r>
    </w:p>
    <w:p w14:paraId="575C6B2C" w14:textId="77777777" w:rsidR="003A4451" w:rsidRPr="00B02115" w:rsidRDefault="003A4451">
      <w:pPr>
        <w:tabs>
          <w:tab w:val="left" w:pos="3217"/>
        </w:tabs>
        <w:spacing w:line="240" w:lineRule="auto"/>
        <w:rPr>
          <w:rFonts w:ascii="Cambria" w:eastAsia="Cambria" w:hAnsi="Cambria" w:cs="Cambria"/>
          <w:sz w:val="24"/>
          <w:szCs w:val="24"/>
        </w:rPr>
      </w:pPr>
    </w:p>
    <w:p w14:paraId="0F8851A7" w14:textId="77777777" w:rsidR="003A4451" w:rsidRPr="00B02115" w:rsidRDefault="007C798D">
      <w:pPr>
        <w:tabs>
          <w:tab w:val="left" w:pos="3217"/>
        </w:tabs>
        <w:spacing w:line="240" w:lineRule="auto"/>
        <w:rPr>
          <w:rFonts w:ascii="Cambria" w:eastAsia="Cambria" w:hAnsi="Cambria" w:cs="Cambria"/>
          <w:sz w:val="24"/>
          <w:szCs w:val="24"/>
        </w:rPr>
      </w:pPr>
      <w:r w:rsidRPr="00B02115">
        <w:rPr>
          <w:rFonts w:ascii="Cambria" w:eastAsia="Cambria" w:hAnsi="Cambria" w:cs="Cambria"/>
          <w:b/>
          <w:bCs/>
          <w:sz w:val="24"/>
          <w:szCs w:val="24"/>
        </w:rPr>
        <w:t>ARTÍCULO 1°. OBJETO.</w:t>
      </w:r>
      <w:r w:rsidRPr="00B02115">
        <w:rPr>
          <w:rFonts w:ascii="Cambria" w:eastAsia="Cambria" w:hAnsi="Cambria" w:cs="Cambria"/>
          <w:sz w:val="24"/>
          <w:szCs w:val="24"/>
        </w:rPr>
        <w:t xml:space="preserve"> La presente ley tiene por objeto modificar el valor del beneficio establecido en el literal j del artículo 428 del Estatuto Tributario, para la importación de productos bajo la modalidad de tráfico postal y envíos urgentes o envíos de entrega rápida para compras ocasionales para consumo final. Con ello se busca garantizar la equidad tributaria, nivelar las condiciones de competencia frente a entre productos nacionales e importados y combatir el contrabando técnico. </w:t>
      </w:r>
    </w:p>
    <w:p w14:paraId="7BB11EE6" w14:textId="77777777" w:rsidR="003A4451" w:rsidRPr="00B02115" w:rsidRDefault="003A4451">
      <w:pPr>
        <w:tabs>
          <w:tab w:val="left" w:pos="3217"/>
        </w:tabs>
        <w:spacing w:line="240" w:lineRule="auto"/>
        <w:rPr>
          <w:rFonts w:ascii="Cambria" w:eastAsia="Cambria" w:hAnsi="Cambria" w:cs="Cambria"/>
          <w:sz w:val="24"/>
          <w:szCs w:val="24"/>
        </w:rPr>
      </w:pPr>
    </w:p>
    <w:p w14:paraId="54FB5657" w14:textId="77777777" w:rsidR="003A4451" w:rsidRPr="00B02115" w:rsidRDefault="007C798D">
      <w:pPr>
        <w:tabs>
          <w:tab w:val="left" w:pos="3217"/>
        </w:tabs>
        <w:spacing w:line="240" w:lineRule="auto"/>
        <w:rPr>
          <w:rFonts w:ascii="Cambria" w:eastAsia="Cambria" w:hAnsi="Cambria" w:cs="Cambria"/>
          <w:sz w:val="24"/>
          <w:szCs w:val="24"/>
        </w:rPr>
      </w:pPr>
      <w:r w:rsidRPr="00B02115">
        <w:rPr>
          <w:rFonts w:ascii="Cambria" w:eastAsia="Cambria" w:hAnsi="Cambria" w:cs="Cambria"/>
          <w:b/>
          <w:bCs/>
          <w:sz w:val="24"/>
          <w:szCs w:val="24"/>
        </w:rPr>
        <w:t>ARTÍCULO 2°. MODIFICACIÓN DEL LITERAL J DEL ARTÍCULO 428 DEL ESTATUTO TRIBUTARIO.</w:t>
      </w:r>
      <w:r w:rsidRPr="00B02115">
        <w:rPr>
          <w:rFonts w:ascii="Cambria" w:eastAsia="Cambria" w:hAnsi="Cambria" w:cs="Cambria"/>
          <w:sz w:val="24"/>
          <w:szCs w:val="24"/>
        </w:rPr>
        <w:t xml:space="preserve"> El literal j del artículo 428 del Estatuto Tributario quedará así: </w:t>
      </w:r>
    </w:p>
    <w:p w14:paraId="492C19F4" w14:textId="77777777" w:rsidR="003A4451" w:rsidRPr="00B02115" w:rsidRDefault="003A4451">
      <w:pPr>
        <w:tabs>
          <w:tab w:val="left" w:pos="3217"/>
        </w:tabs>
        <w:spacing w:line="240" w:lineRule="auto"/>
        <w:ind w:left="720"/>
        <w:rPr>
          <w:rFonts w:ascii="Cambria" w:eastAsia="Cambria" w:hAnsi="Cambria" w:cs="Cambria"/>
          <w:i/>
          <w:iCs/>
          <w:sz w:val="24"/>
          <w:szCs w:val="24"/>
        </w:rPr>
      </w:pPr>
    </w:p>
    <w:p w14:paraId="3BEC7105" w14:textId="77777777" w:rsidR="003A4451" w:rsidRPr="00B02115" w:rsidRDefault="007C798D">
      <w:pPr>
        <w:tabs>
          <w:tab w:val="left" w:pos="3217"/>
        </w:tabs>
        <w:spacing w:line="240" w:lineRule="auto"/>
        <w:ind w:left="720"/>
        <w:rPr>
          <w:rFonts w:ascii="Cambria" w:eastAsia="Cambria" w:hAnsi="Cambria" w:cs="Cambria"/>
          <w:i/>
          <w:iCs/>
          <w:sz w:val="24"/>
          <w:szCs w:val="24"/>
        </w:rPr>
      </w:pPr>
      <w:r w:rsidRPr="00B02115">
        <w:rPr>
          <w:rFonts w:ascii="Cambria" w:eastAsia="Cambria" w:hAnsi="Cambria" w:cs="Cambria"/>
          <w:i/>
          <w:iCs/>
          <w:sz w:val="24"/>
          <w:szCs w:val="24"/>
        </w:rPr>
        <w:t>“j) La importación de bienes objeto de tráfico postal, envíos urgentes o envíos de entrega rápida cuyo valor no exceda de cero dólares (USD $0), de acuerdo con lo establecido en cada acuerdo o tratado de Libre Comercio, en virtud del cual se obligue expresamente al no cobro de este impuesto.</w:t>
      </w:r>
    </w:p>
    <w:p w14:paraId="78B89C50" w14:textId="77777777" w:rsidR="003A4451" w:rsidRPr="00B02115" w:rsidRDefault="003A4451">
      <w:pPr>
        <w:tabs>
          <w:tab w:val="left" w:pos="3217"/>
        </w:tabs>
        <w:spacing w:line="240" w:lineRule="auto"/>
        <w:ind w:left="720"/>
        <w:rPr>
          <w:rFonts w:ascii="Cambria" w:eastAsia="Cambria" w:hAnsi="Cambria" w:cs="Cambria"/>
          <w:i/>
          <w:iCs/>
          <w:sz w:val="24"/>
          <w:szCs w:val="24"/>
        </w:rPr>
      </w:pPr>
    </w:p>
    <w:p w14:paraId="5D519E8C" w14:textId="77777777" w:rsidR="003A4451" w:rsidRPr="00B02115" w:rsidRDefault="007C798D">
      <w:pPr>
        <w:tabs>
          <w:tab w:val="left" w:pos="3217"/>
        </w:tabs>
        <w:spacing w:line="240" w:lineRule="auto"/>
        <w:ind w:left="720"/>
        <w:rPr>
          <w:rFonts w:ascii="Cambria" w:eastAsia="Cambria" w:hAnsi="Cambria" w:cs="Cambria"/>
          <w:i/>
          <w:iCs/>
          <w:sz w:val="24"/>
          <w:szCs w:val="24"/>
        </w:rPr>
      </w:pPr>
      <w:r w:rsidRPr="00B02115">
        <w:rPr>
          <w:rFonts w:ascii="Cambria" w:eastAsia="Cambria" w:hAnsi="Cambria" w:cs="Cambria"/>
          <w:i/>
          <w:iCs/>
          <w:sz w:val="24"/>
          <w:szCs w:val="24"/>
        </w:rPr>
        <w:t xml:space="preserve">La Dirección de Impuestos y Aduanas Nacionales (DIAN) establecerá los controles de fiscalización e investigación correspondientes para asegurar el pago efectivo del impuesto cuando haya lugar al mismo en un plazo de 6 meses. </w:t>
      </w:r>
    </w:p>
    <w:p w14:paraId="1F3C59DF" w14:textId="77777777" w:rsidR="003A4451" w:rsidRPr="00B02115" w:rsidRDefault="003A4451">
      <w:pPr>
        <w:tabs>
          <w:tab w:val="left" w:pos="3217"/>
        </w:tabs>
        <w:spacing w:line="240" w:lineRule="auto"/>
        <w:ind w:left="720"/>
        <w:rPr>
          <w:rFonts w:ascii="Cambria" w:eastAsia="Cambria" w:hAnsi="Cambria" w:cs="Cambria"/>
          <w:i/>
          <w:iCs/>
          <w:sz w:val="24"/>
          <w:szCs w:val="24"/>
        </w:rPr>
      </w:pPr>
    </w:p>
    <w:p w14:paraId="695080E6" w14:textId="77777777" w:rsidR="003A4451" w:rsidRPr="00B02115" w:rsidRDefault="007C798D">
      <w:pPr>
        <w:tabs>
          <w:tab w:val="left" w:pos="3217"/>
        </w:tabs>
        <w:spacing w:line="240" w:lineRule="auto"/>
        <w:ind w:left="720"/>
        <w:rPr>
          <w:rFonts w:ascii="Cambria" w:eastAsia="Cambria" w:hAnsi="Cambria" w:cs="Cambria"/>
          <w:i/>
          <w:iCs/>
          <w:sz w:val="24"/>
          <w:szCs w:val="24"/>
        </w:rPr>
      </w:pPr>
      <w:r w:rsidRPr="00B02115">
        <w:rPr>
          <w:rFonts w:ascii="Cambria" w:eastAsia="Cambria" w:hAnsi="Cambria" w:cs="Cambria"/>
          <w:i/>
          <w:iCs/>
          <w:sz w:val="24"/>
          <w:szCs w:val="24"/>
        </w:rPr>
        <w:t xml:space="preserve">Por lo anterior, en todos los casos de envíos postales urgentes que ingresen al país solicitados mediante plataformas de comercio, las empresas de mensajería y los intermediarios de transporte internacional estarán obligados a identificar el medio de compra, el país de origen, el valor de la mercancía y el destinatario final, y a reportar dicha información a la DIAN en los términos que esta determine”. </w:t>
      </w:r>
    </w:p>
    <w:p w14:paraId="506DDCEF" w14:textId="77777777" w:rsidR="003A4451" w:rsidRPr="00B02115" w:rsidRDefault="003A4451">
      <w:pPr>
        <w:tabs>
          <w:tab w:val="left" w:pos="3217"/>
        </w:tabs>
        <w:spacing w:line="240" w:lineRule="auto"/>
        <w:rPr>
          <w:rFonts w:ascii="Cambria" w:eastAsia="Cambria" w:hAnsi="Cambria" w:cs="Cambria"/>
          <w:sz w:val="24"/>
          <w:szCs w:val="24"/>
        </w:rPr>
      </w:pPr>
    </w:p>
    <w:p w14:paraId="21C18D73" w14:textId="77777777" w:rsidR="003A4451" w:rsidRPr="00B02115" w:rsidRDefault="007C798D">
      <w:pPr>
        <w:tabs>
          <w:tab w:val="left" w:pos="3217"/>
        </w:tabs>
        <w:spacing w:line="240" w:lineRule="auto"/>
        <w:rPr>
          <w:rFonts w:ascii="Cambria" w:eastAsia="Cambria" w:hAnsi="Cambria" w:cs="Cambria"/>
          <w:sz w:val="24"/>
          <w:szCs w:val="24"/>
        </w:rPr>
      </w:pPr>
      <w:r w:rsidRPr="00B02115">
        <w:rPr>
          <w:rFonts w:ascii="Cambria" w:eastAsia="Cambria" w:hAnsi="Cambria" w:cs="Cambria"/>
          <w:b/>
          <w:bCs/>
          <w:sz w:val="24"/>
          <w:szCs w:val="24"/>
        </w:rPr>
        <w:lastRenderedPageBreak/>
        <w:t>ARTÍCULO 3°. BASE GRAVABLE.</w:t>
      </w:r>
      <w:r w:rsidRPr="00B02115">
        <w:rPr>
          <w:rFonts w:ascii="Cambria" w:eastAsia="Cambria" w:hAnsi="Cambria" w:cs="Cambria"/>
          <w:sz w:val="24"/>
          <w:szCs w:val="24"/>
        </w:rPr>
        <w:t xml:space="preserve"> La base gravable para liquidar el Impuesto sobre las Ventas (IVA) en la importación de las mercancías de que trata el parágrafo del artículo anterior será el valor en aduanas de las mismas, determinado conforme a la normativa aduanera vigente. </w:t>
      </w:r>
    </w:p>
    <w:p w14:paraId="195C3957" w14:textId="77777777" w:rsidR="003A4451" w:rsidRPr="00B02115" w:rsidRDefault="003A4451">
      <w:pPr>
        <w:tabs>
          <w:tab w:val="left" w:pos="3217"/>
        </w:tabs>
        <w:spacing w:line="240" w:lineRule="auto"/>
        <w:rPr>
          <w:rFonts w:ascii="Cambria" w:eastAsia="Cambria" w:hAnsi="Cambria" w:cs="Cambria"/>
          <w:sz w:val="24"/>
          <w:szCs w:val="24"/>
        </w:rPr>
      </w:pPr>
    </w:p>
    <w:p w14:paraId="021079CE" w14:textId="77777777" w:rsidR="003A4451" w:rsidRPr="00B02115" w:rsidRDefault="007C798D">
      <w:pPr>
        <w:tabs>
          <w:tab w:val="left" w:pos="3217"/>
        </w:tabs>
        <w:spacing w:line="240" w:lineRule="auto"/>
        <w:rPr>
          <w:rFonts w:ascii="Cambria" w:eastAsia="Cambria" w:hAnsi="Cambria" w:cs="Cambria"/>
          <w:sz w:val="24"/>
          <w:szCs w:val="24"/>
        </w:rPr>
      </w:pPr>
      <w:r w:rsidRPr="00B02115">
        <w:rPr>
          <w:rFonts w:ascii="Cambria" w:eastAsia="Cambria" w:hAnsi="Cambria" w:cs="Cambria"/>
          <w:b/>
          <w:bCs/>
          <w:sz w:val="24"/>
          <w:szCs w:val="24"/>
        </w:rPr>
        <w:t>ARTÍCULO 4°. IMPLEMENTACIÓN Y FISCALIZACIÓN.</w:t>
      </w:r>
      <w:r w:rsidRPr="00B02115">
        <w:rPr>
          <w:rFonts w:ascii="Cambria" w:eastAsia="Cambria" w:hAnsi="Cambria" w:cs="Cambria"/>
          <w:sz w:val="24"/>
          <w:szCs w:val="24"/>
        </w:rPr>
        <w:t xml:space="preserve"> La Dirección de Impuestos y Aduanas Nacionales (DIAN), deberá, en un plazo no mayor a seis (6) meses a partir de la entrada en vigencia de esta ley, desarrollar la obligación que le impone el inciso segundo del literal j del artículo 428 de estatuto tributario que incluye, entre otras, las siguientes actividades: </w:t>
      </w:r>
    </w:p>
    <w:p w14:paraId="4D1D73FB" w14:textId="77777777" w:rsidR="003A4451" w:rsidRPr="00B02115" w:rsidRDefault="003A4451">
      <w:pPr>
        <w:tabs>
          <w:tab w:val="left" w:pos="3217"/>
        </w:tabs>
        <w:spacing w:line="240" w:lineRule="auto"/>
        <w:rPr>
          <w:rFonts w:ascii="Cambria" w:eastAsia="Cambria" w:hAnsi="Cambria" w:cs="Cambria"/>
          <w:sz w:val="24"/>
          <w:szCs w:val="24"/>
        </w:rPr>
      </w:pPr>
    </w:p>
    <w:p w14:paraId="7DF73B19" w14:textId="77777777" w:rsidR="003A4451" w:rsidRPr="00B02115" w:rsidRDefault="007C798D">
      <w:pPr>
        <w:tabs>
          <w:tab w:val="left" w:pos="3217"/>
        </w:tabs>
        <w:spacing w:line="240" w:lineRule="auto"/>
        <w:ind w:left="720"/>
        <w:rPr>
          <w:rFonts w:ascii="Cambria" w:eastAsia="Cambria" w:hAnsi="Cambria" w:cs="Cambria"/>
          <w:sz w:val="24"/>
          <w:szCs w:val="24"/>
        </w:rPr>
      </w:pPr>
      <w:r w:rsidRPr="00B02115">
        <w:rPr>
          <w:rFonts w:ascii="Cambria" w:eastAsia="Cambria" w:hAnsi="Cambria" w:cs="Cambria"/>
          <w:sz w:val="24"/>
          <w:szCs w:val="24"/>
        </w:rPr>
        <w:t>5. Identificar las subpartidas arancelarias correspondientes a productos que puedan ingresar con un valor inferior al establecido.</w:t>
      </w:r>
    </w:p>
    <w:p w14:paraId="10A339E7" w14:textId="77777777" w:rsidR="003A4451" w:rsidRPr="00B02115" w:rsidRDefault="003A4451">
      <w:pPr>
        <w:tabs>
          <w:tab w:val="left" w:pos="3217"/>
        </w:tabs>
        <w:spacing w:line="240" w:lineRule="auto"/>
        <w:ind w:left="720"/>
        <w:rPr>
          <w:rFonts w:ascii="Cambria" w:eastAsia="Cambria" w:hAnsi="Cambria" w:cs="Cambria"/>
          <w:sz w:val="24"/>
          <w:szCs w:val="24"/>
        </w:rPr>
      </w:pPr>
    </w:p>
    <w:p w14:paraId="60F10425" w14:textId="77777777" w:rsidR="003A4451" w:rsidRPr="00B02115" w:rsidRDefault="007C798D">
      <w:pPr>
        <w:tabs>
          <w:tab w:val="left" w:pos="3217"/>
        </w:tabs>
        <w:spacing w:line="240" w:lineRule="auto"/>
        <w:ind w:left="720"/>
        <w:rPr>
          <w:rFonts w:ascii="Cambria" w:eastAsia="Cambria" w:hAnsi="Cambria" w:cs="Cambria"/>
          <w:sz w:val="24"/>
          <w:szCs w:val="24"/>
        </w:rPr>
      </w:pPr>
      <w:r w:rsidRPr="00B02115">
        <w:rPr>
          <w:rFonts w:ascii="Cambria" w:eastAsia="Cambria" w:hAnsi="Cambria" w:cs="Cambria"/>
          <w:sz w:val="24"/>
          <w:szCs w:val="24"/>
        </w:rPr>
        <w:t xml:space="preserve">6. Facilitar la declaración y el pago electrónico del impuesto por parte del importador o del intermediario de la modalidad de envío. </w:t>
      </w:r>
    </w:p>
    <w:p w14:paraId="1938E63F" w14:textId="77777777" w:rsidR="003A4451" w:rsidRPr="00B02115" w:rsidRDefault="003A4451">
      <w:pPr>
        <w:tabs>
          <w:tab w:val="left" w:pos="3217"/>
        </w:tabs>
        <w:spacing w:line="240" w:lineRule="auto"/>
        <w:ind w:left="720"/>
        <w:rPr>
          <w:rFonts w:ascii="Cambria" w:eastAsia="Cambria" w:hAnsi="Cambria" w:cs="Cambria"/>
          <w:sz w:val="24"/>
          <w:szCs w:val="24"/>
        </w:rPr>
      </w:pPr>
    </w:p>
    <w:p w14:paraId="36E5BA75" w14:textId="77777777" w:rsidR="003A4451" w:rsidRPr="00B02115" w:rsidRDefault="007C798D">
      <w:pPr>
        <w:tabs>
          <w:tab w:val="left" w:pos="3217"/>
        </w:tabs>
        <w:spacing w:line="240" w:lineRule="auto"/>
        <w:ind w:left="720"/>
        <w:rPr>
          <w:rFonts w:ascii="Cambria" w:eastAsia="Cambria" w:hAnsi="Cambria" w:cs="Cambria"/>
          <w:sz w:val="24"/>
          <w:szCs w:val="24"/>
        </w:rPr>
      </w:pPr>
      <w:r w:rsidRPr="00B02115">
        <w:rPr>
          <w:rFonts w:ascii="Cambria" w:eastAsia="Cambria" w:hAnsi="Cambria" w:cs="Cambria"/>
          <w:sz w:val="24"/>
          <w:szCs w:val="24"/>
        </w:rPr>
        <w:t>7. Implementar mecanismos de gestión de riesgo para detectar subfacturación, descripción incorrecta de mercancías y fraccionamiento de los envíos que cumplan con lo establecido en el literal j del artículo 428 del estatuto tributario.</w:t>
      </w:r>
    </w:p>
    <w:p w14:paraId="262EDD7E" w14:textId="77777777" w:rsidR="003A4451" w:rsidRPr="00B02115" w:rsidRDefault="003A4451">
      <w:pPr>
        <w:tabs>
          <w:tab w:val="left" w:pos="3217"/>
        </w:tabs>
        <w:spacing w:line="240" w:lineRule="auto"/>
        <w:ind w:left="720"/>
        <w:rPr>
          <w:rFonts w:ascii="Cambria" w:eastAsia="Cambria" w:hAnsi="Cambria" w:cs="Cambria"/>
          <w:sz w:val="24"/>
          <w:szCs w:val="24"/>
        </w:rPr>
      </w:pPr>
    </w:p>
    <w:p w14:paraId="6EF3ED15" w14:textId="77777777" w:rsidR="003A4451" w:rsidRPr="00B02115" w:rsidRDefault="007C798D">
      <w:pPr>
        <w:tabs>
          <w:tab w:val="left" w:pos="3217"/>
        </w:tabs>
        <w:spacing w:line="240" w:lineRule="auto"/>
        <w:ind w:left="720"/>
        <w:rPr>
          <w:rFonts w:ascii="Cambria" w:eastAsia="Cambria" w:hAnsi="Cambria" w:cs="Cambria"/>
          <w:sz w:val="24"/>
          <w:szCs w:val="24"/>
        </w:rPr>
      </w:pPr>
      <w:r w:rsidRPr="00B02115">
        <w:rPr>
          <w:rFonts w:ascii="Cambria" w:eastAsia="Cambria" w:hAnsi="Cambria" w:cs="Cambria"/>
          <w:sz w:val="24"/>
          <w:szCs w:val="24"/>
        </w:rPr>
        <w:t xml:space="preserve">8. Garantizar la interoperabilidad con las plataformas de comercio electrónico y las empresas de mensajería para asegurar el correcto cobro del tributo. </w:t>
      </w:r>
    </w:p>
    <w:p w14:paraId="1EDB3551" w14:textId="77777777" w:rsidR="003A4451" w:rsidRPr="00B02115" w:rsidRDefault="003A4451">
      <w:pPr>
        <w:tabs>
          <w:tab w:val="left" w:pos="3217"/>
        </w:tabs>
        <w:spacing w:line="240" w:lineRule="auto"/>
        <w:rPr>
          <w:rFonts w:ascii="Cambria" w:eastAsia="Cambria" w:hAnsi="Cambria" w:cs="Cambria"/>
          <w:sz w:val="24"/>
          <w:szCs w:val="24"/>
        </w:rPr>
      </w:pPr>
    </w:p>
    <w:p w14:paraId="5A993379" w14:textId="77777777" w:rsidR="003A4451" w:rsidRPr="00B02115" w:rsidRDefault="007C798D">
      <w:pPr>
        <w:tabs>
          <w:tab w:val="left" w:pos="3217"/>
        </w:tabs>
        <w:spacing w:line="240" w:lineRule="auto"/>
        <w:rPr>
          <w:rFonts w:ascii="Cambria" w:eastAsia="Cambria" w:hAnsi="Cambria" w:cs="Cambria"/>
          <w:color w:val="000000"/>
          <w:sz w:val="24"/>
          <w:szCs w:val="24"/>
        </w:rPr>
      </w:pPr>
      <w:r w:rsidRPr="00B02115">
        <w:rPr>
          <w:rFonts w:ascii="Cambria" w:eastAsia="Cambria" w:hAnsi="Cambria" w:cs="Cambria"/>
          <w:b/>
          <w:bCs/>
          <w:sz w:val="24"/>
          <w:szCs w:val="24"/>
        </w:rPr>
        <w:t>ARTÍCULO 5°. VIGENCIA.</w:t>
      </w:r>
      <w:r w:rsidRPr="00B02115">
        <w:rPr>
          <w:rFonts w:ascii="Cambria" w:eastAsia="Cambria" w:hAnsi="Cambria" w:cs="Cambria"/>
          <w:sz w:val="24"/>
          <w:szCs w:val="24"/>
        </w:rPr>
        <w:t xml:space="preserve"> La presente ley rige a partir de la fecha de su promulgación, y su aplicación efectiva se dará seis (6) meses después de su publicación en el Diario Oficial, y deroga todas las disposiciones que le sean contrarias.</w:t>
      </w:r>
    </w:p>
    <w:p w14:paraId="42589B00" w14:textId="7485B1B6" w:rsidR="003A4451" w:rsidRPr="00B02115" w:rsidRDefault="003A4451">
      <w:pPr>
        <w:tabs>
          <w:tab w:val="left" w:pos="3217"/>
        </w:tabs>
        <w:spacing w:line="240" w:lineRule="auto"/>
        <w:rPr>
          <w:rFonts w:ascii="Cambria" w:eastAsia="Cambria" w:hAnsi="Cambria" w:cs="Cambria"/>
          <w:color w:val="000000"/>
          <w:sz w:val="24"/>
          <w:szCs w:val="24"/>
        </w:rPr>
      </w:pPr>
    </w:p>
    <w:p w14:paraId="23A6E782" w14:textId="6EC6F384" w:rsidR="003A4451" w:rsidRPr="00B02115" w:rsidRDefault="007C798D">
      <w:pPr>
        <w:tabs>
          <w:tab w:val="left" w:pos="3217"/>
        </w:tabs>
        <w:spacing w:line="240" w:lineRule="auto"/>
        <w:rPr>
          <w:rFonts w:ascii="Cambria" w:eastAsia="Cambria" w:hAnsi="Cambria" w:cs="Cambria"/>
          <w:color w:val="000000"/>
          <w:sz w:val="24"/>
          <w:szCs w:val="24"/>
        </w:rPr>
      </w:pPr>
      <w:r w:rsidRPr="00B02115">
        <w:rPr>
          <w:rFonts w:ascii="Cambria" w:eastAsia="Cambria" w:hAnsi="Cambria" w:cs="Cambria"/>
          <w:color w:val="000000"/>
          <w:sz w:val="24"/>
          <w:szCs w:val="24"/>
        </w:rPr>
        <w:t>De los Honorables Representantes,</w:t>
      </w:r>
    </w:p>
    <w:p w14:paraId="550C2684" w14:textId="4B8ECB4C" w:rsidR="003A4451" w:rsidRPr="00B02115" w:rsidRDefault="003A4451">
      <w:pPr>
        <w:tabs>
          <w:tab w:val="left" w:pos="3217"/>
        </w:tabs>
        <w:spacing w:line="240" w:lineRule="auto"/>
        <w:rPr>
          <w:rFonts w:ascii="Cambria" w:eastAsia="Cambria" w:hAnsi="Cambria" w:cs="Cambria"/>
          <w:color w:val="000000"/>
          <w:sz w:val="24"/>
          <w:szCs w:val="24"/>
        </w:rPr>
      </w:pPr>
    </w:p>
    <w:tbl>
      <w:tblPr>
        <w:tblW w:w="8828" w:type="dxa"/>
        <w:tblBorders>
          <w:top w:val="nil"/>
          <w:left w:val="nil"/>
          <w:bottom w:val="nil"/>
          <w:right w:val="nil"/>
          <w:insideH w:val="nil"/>
          <w:insideV w:val="nil"/>
        </w:tblBorders>
        <w:tblLayout w:type="fixed"/>
        <w:tblLook w:val="0400" w:firstRow="0" w:lastRow="0" w:firstColumn="0" w:lastColumn="0" w:noHBand="0" w:noVBand="1"/>
      </w:tblPr>
      <w:tblGrid>
        <w:gridCol w:w="4414"/>
        <w:gridCol w:w="4414"/>
      </w:tblGrid>
      <w:tr w:rsidR="00FF1F69" w:rsidRPr="00B02115" w14:paraId="17EA7539" w14:textId="77777777" w:rsidTr="002C1D66">
        <w:tc>
          <w:tcPr>
            <w:tcW w:w="4414" w:type="dxa"/>
          </w:tcPr>
          <w:p w14:paraId="27EED966"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1116F294"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0D34E271"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40DFBCAD"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JHON JAIRO BERRÍO LÓPEZ</w:t>
            </w:r>
          </w:p>
          <w:p w14:paraId="62561874"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Miembro de la Cámara de Representantes</w:t>
            </w:r>
          </w:p>
          <w:p w14:paraId="1BF511A7"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Congreso de la República de Colombia</w:t>
            </w:r>
          </w:p>
        </w:tc>
        <w:tc>
          <w:tcPr>
            <w:tcW w:w="4414" w:type="dxa"/>
          </w:tcPr>
          <w:p w14:paraId="23B302A5" w14:textId="77777777" w:rsidR="00FF1F69" w:rsidRDefault="00FF1F69" w:rsidP="002C1D66">
            <w:pPr>
              <w:tabs>
                <w:tab w:val="center" w:pos="4419"/>
              </w:tabs>
              <w:spacing w:line="240" w:lineRule="auto"/>
              <w:jc w:val="center"/>
              <w:rPr>
                <w:rFonts w:ascii="Cambria" w:eastAsia="Cambria" w:hAnsi="Cambria" w:cs="Cambria"/>
                <w:b/>
                <w:bCs/>
                <w:sz w:val="24"/>
                <w:szCs w:val="24"/>
              </w:rPr>
            </w:pPr>
          </w:p>
          <w:p w14:paraId="257938A7"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4726A1BD"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p w14:paraId="3017A754"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r w:rsidRPr="00B02115">
              <w:rPr>
                <w:rFonts w:ascii="Cambria" w:eastAsia="Cambria" w:hAnsi="Cambria" w:cs="Cambria"/>
                <w:b/>
                <w:bCs/>
                <w:sz w:val="24"/>
                <w:szCs w:val="24"/>
              </w:rPr>
              <w:t xml:space="preserve">MARÍA DEL MAR PIZARRO </w:t>
            </w:r>
          </w:p>
          <w:p w14:paraId="167B08ED"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Miembro de la Cámara de Representantes</w:t>
            </w:r>
          </w:p>
          <w:p w14:paraId="0912238C" w14:textId="77777777" w:rsidR="00FF1F69" w:rsidRPr="00B02115" w:rsidRDefault="00FF1F69" w:rsidP="002C1D66">
            <w:pPr>
              <w:tabs>
                <w:tab w:val="center" w:pos="4419"/>
              </w:tabs>
              <w:spacing w:line="240" w:lineRule="auto"/>
              <w:jc w:val="center"/>
              <w:rPr>
                <w:rFonts w:ascii="Cambria" w:eastAsia="Cambria" w:hAnsi="Cambria" w:cs="Cambria"/>
                <w:sz w:val="24"/>
                <w:szCs w:val="24"/>
              </w:rPr>
            </w:pPr>
            <w:r w:rsidRPr="00B02115">
              <w:rPr>
                <w:rFonts w:ascii="Cambria" w:eastAsia="Cambria" w:hAnsi="Cambria" w:cs="Cambria"/>
                <w:sz w:val="24"/>
                <w:szCs w:val="24"/>
              </w:rPr>
              <w:t>Congreso de la República de Colombia</w:t>
            </w:r>
          </w:p>
        </w:tc>
      </w:tr>
      <w:tr w:rsidR="00FF1F69" w:rsidRPr="00B02115" w14:paraId="3600D144" w14:textId="77777777" w:rsidTr="002C1D66">
        <w:tc>
          <w:tcPr>
            <w:tcW w:w="4414" w:type="dxa"/>
          </w:tcPr>
          <w:p w14:paraId="189FCA80" w14:textId="77777777" w:rsidR="00FF1F69" w:rsidRPr="00B02115" w:rsidRDefault="00FF1F69" w:rsidP="002C1D66">
            <w:pPr>
              <w:tabs>
                <w:tab w:val="center" w:pos="4419"/>
              </w:tabs>
              <w:spacing w:line="240" w:lineRule="auto"/>
              <w:rPr>
                <w:rFonts w:ascii="Cambria" w:eastAsia="Cambria" w:hAnsi="Cambria" w:cs="Cambria"/>
                <w:b/>
                <w:bCs/>
                <w:sz w:val="24"/>
                <w:szCs w:val="24"/>
              </w:rPr>
            </w:pPr>
          </w:p>
        </w:tc>
        <w:tc>
          <w:tcPr>
            <w:tcW w:w="4414" w:type="dxa"/>
          </w:tcPr>
          <w:p w14:paraId="45284C38" w14:textId="77777777" w:rsidR="00FF1F69" w:rsidRPr="00B02115" w:rsidRDefault="00FF1F69" w:rsidP="002C1D66">
            <w:pPr>
              <w:tabs>
                <w:tab w:val="center" w:pos="4419"/>
              </w:tabs>
              <w:spacing w:line="240" w:lineRule="auto"/>
              <w:jc w:val="center"/>
              <w:rPr>
                <w:rFonts w:ascii="Cambria" w:eastAsia="Cambria" w:hAnsi="Cambria" w:cs="Cambria"/>
                <w:b/>
                <w:bCs/>
                <w:sz w:val="24"/>
                <w:szCs w:val="24"/>
              </w:rPr>
            </w:pPr>
          </w:p>
        </w:tc>
      </w:tr>
    </w:tbl>
    <w:p w14:paraId="0DAFB79F" w14:textId="77777777" w:rsidR="003A4451" w:rsidRDefault="003A4451" w:rsidP="00FF1F69">
      <w:pPr>
        <w:tabs>
          <w:tab w:val="left" w:pos="3217"/>
        </w:tabs>
        <w:spacing w:line="240" w:lineRule="auto"/>
        <w:rPr>
          <w:rFonts w:ascii="Cambria" w:eastAsia="Cambria" w:hAnsi="Cambria" w:cs="Cambria"/>
          <w:sz w:val="24"/>
          <w:szCs w:val="24"/>
        </w:rPr>
      </w:pPr>
    </w:p>
    <w:sectPr w:rsidR="003A4451">
      <w:headerReference w:type="default" r:id="rId20"/>
      <w:footerReference w:type="default" r:id="rId21"/>
      <w:pgSz w:w="12240" w:h="15840"/>
      <w:pgMar w:top="1417" w:right="1701" w:bottom="1417" w:left="1701"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0C499" w14:textId="77777777" w:rsidR="009449A8" w:rsidRDefault="009449A8">
      <w:pPr>
        <w:spacing w:line="240" w:lineRule="auto"/>
      </w:pPr>
      <w:r>
        <w:separator/>
      </w:r>
    </w:p>
  </w:endnote>
  <w:endnote w:type="continuationSeparator" w:id="0">
    <w:p w14:paraId="45C1FE13" w14:textId="77777777" w:rsidR="009449A8" w:rsidRDefault="009449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embedRegular r:id="rId1" w:fontKey="{2B3D4E0C-ACD2-4EE4-A23F-ED69FF2F6A28}"/>
    <w:embedBold r:id="rId2" w:fontKey="{622B28EE-49C6-4931-B870-6A18979F44F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C7D7C064-70ED-4936-A87B-B1B5ABBBCEA8}"/>
    <w:embedBold r:id="rId4" w:fontKey="{36615243-5061-4E82-B975-71E098AA4264}"/>
    <w:embedItalic r:id="rId5" w:fontKey="{CB3B7608-3E79-4440-8488-9FED14B8E027}"/>
    <w:embedBoldItalic r:id="rId6" w:fontKey="{C66AF647-B294-475C-9C3B-30E379B2AE3D}"/>
  </w:font>
  <w:font w:name="Noto Sans Symbols">
    <w:charset w:val="00"/>
    <w:family w:val="swiss"/>
    <w:pitch w:val="variable"/>
    <w:sig w:usb0="00000003" w:usb1="0200E0A0" w:usb2="00000000" w:usb3="00000000" w:csb0="00000001" w:csb1="00000000"/>
    <w:embedRegular r:id="rId7" w:fontKey="{FC7BAFAC-E3DC-4354-B14A-EB82E75FC4F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8" w:fontKey="{C7B2D300-ABCE-4B5A-9E30-6A0242D18D6E}"/>
    <w:embedBold r:id="rId9" w:fontKey="{22603FE1-270D-4BBF-AD03-A9A596A44EDD}"/>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0" w:fontKey="{121A3329-EC6B-4438-B451-2EDE9D31D8A0}"/>
  </w:font>
  <w:font w:name="Georgia">
    <w:panose1 w:val="02040502050405020303"/>
    <w:charset w:val="00"/>
    <w:family w:val="roman"/>
    <w:pitch w:val="variable"/>
    <w:sig w:usb0="00000287" w:usb1="00000000" w:usb2="00000000" w:usb3="00000000" w:csb0="0000009F" w:csb1="00000000"/>
    <w:embedRegular r:id="rId11" w:fontKey="{9B6F416E-0267-4557-BED8-38B229B8AD93}"/>
    <w:embedItalic r:id="rId12" w:fontKey="{175ACBD6-8AC8-4E47-B443-196138B24351}"/>
  </w:font>
  <w:font w:name="Arial MT">
    <w:altName w:val="Arial"/>
    <w:charset w:val="01"/>
    <w:family w:val="swiss"/>
    <w:pitch w:val="variable"/>
  </w:font>
  <w:font w:name="Helvetica">
    <w:panose1 w:val="020B0604020202020204"/>
    <w:charset w:val="00"/>
    <w:family w:val="swiss"/>
    <w:pitch w:val="variable"/>
    <w:sig w:usb0="00000003" w:usb1="00000000" w:usb2="00000000" w:usb3="00000000" w:csb0="00000001" w:csb1="00000000"/>
    <w:embedRegular r:id="rId13" w:fontKey="{BF23F920-B39D-4A69-8DC7-A14580E53DBB}"/>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14" w:fontKey="{9FE48EF2-0F94-4AA5-83D8-061046245F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3012" w14:textId="77777777" w:rsidR="003A4451" w:rsidRDefault="003A4451">
    <w:pPr>
      <w:tabs>
        <w:tab w:val="center" w:pos="4550"/>
        <w:tab w:val="left" w:pos="5818"/>
      </w:tabs>
      <w:ind w:right="-1085"/>
      <w:jc w:val="right"/>
      <w:rPr>
        <w:rFonts w:ascii="Arial Narrow" w:eastAsia="Arial Narrow" w:hAnsi="Arial Narrow" w:cs="Arial Narrow"/>
        <w:b/>
        <w:bCs/>
        <w:color w:val="2F5496"/>
        <w:sz w:val="20"/>
        <w:szCs w:val="20"/>
      </w:rPr>
    </w:pPr>
  </w:p>
  <w:p w14:paraId="5CD2E29A" w14:textId="77777777" w:rsidR="003A4451" w:rsidRDefault="007C798D">
    <w:pPr>
      <w:tabs>
        <w:tab w:val="left" w:pos="3460"/>
        <w:tab w:val="center" w:pos="4550"/>
        <w:tab w:val="left" w:pos="5818"/>
        <w:tab w:val="right" w:pos="9923"/>
      </w:tabs>
      <w:ind w:right="-1085"/>
      <w:jc w:val="left"/>
      <w:rPr>
        <w:rFonts w:ascii="Arial Narrow" w:eastAsia="Arial Narrow" w:hAnsi="Arial Narrow" w:cs="Arial Narrow"/>
        <w:b/>
        <w:bCs/>
        <w:color w:val="002060"/>
        <w:sz w:val="20"/>
        <w:szCs w:val="20"/>
      </w:rPr>
    </w:pPr>
    <w:r>
      <w:rPr>
        <w:rFonts w:ascii="Arial Narrow" w:eastAsia="Arial Narrow" w:hAnsi="Arial Narrow" w:cs="Arial Narrow"/>
        <w:b/>
        <w:bCs/>
        <w:color w:val="002060"/>
        <w:sz w:val="20"/>
        <w:szCs w:val="20"/>
      </w:rPr>
      <w:tab/>
    </w:r>
    <w:r>
      <w:rPr>
        <w:rFonts w:ascii="Arial Narrow" w:eastAsia="Arial Narrow" w:hAnsi="Arial Narrow" w:cs="Arial Narrow"/>
        <w:b/>
        <w:bCs/>
        <w:color w:val="002060"/>
        <w:sz w:val="20"/>
        <w:szCs w:val="20"/>
      </w:rPr>
      <w:tab/>
    </w:r>
    <w:r>
      <w:rPr>
        <w:rFonts w:ascii="Arial Narrow" w:eastAsia="Arial Narrow" w:hAnsi="Arial Narrow" w:cs="Arial Narrow"/>
        <w:b/>
        <w:bCs/>
        <w:color w:val="002060"/>
        <w:sz w:val="20"/>
        <w:szCs w:val="20"/>
      </w:rPr>
      <w:tab/>
    </w:r>
    <w:r>
      <w:rPr>
        <w:rFonts w:ascii="Arial Narrow" w:eastAsia="Arial Narrow" w:hAnsi="Arial Narrow" w:cs="Arial Narrow"/>
        <w:b/>
        <w:bCs/>
        <w:color w:val="002060"/>
        <w:sz w:val="20"/>
        <w:szCs w:val="20"/>
      </w:rPr>
      <w:tab/>
      <w:t xml:space="preserve">Página </w:t>
    </w:r>
    <w:r>
      <w:rPr>
        <w:rFonts w:ascii="Arial Narrow" w:eastAsia="Arial Narrow" w:hAnsi="Arial Narrow" w:cs="Arial Narrow"/>
        <w:b/>
        <w:bCs/>
        <w:color w:val="002060"/>
        <w:sz w:val="20"/>
        <w:szCs w:val="20"/>
      </w:rPr>
      <w:fldChar w:fldCharType="begin"/>
    </w:r>
    <w:r>
      <w:rPr>
        <w:rFonts w:ascii="Arial Narrow" w:eastAsia="Arial Narrow" w:hAnsi="Arial Narrow" w:cs="Arial Narrow"/>
        <w:b/>
        <w:bCs/>
        <w:color w:val="002060"/>
        <w:sz w:val="20"/>
        <w:szCs w:val="20"/>
      </w:rPr>
      <w:instrText>PAGE</w:instrText>
    </w:r>
    <w:r>
      <w:rPr>
        <w:rFonts w:ascii="Arial Narrow" w:eastAsia="Arial Narrow" w:hAnsi="Arial Narrow" w:cs="Arial Narrow"/>
        <w:b/>
        <w:bCs/>
        <w:color w:val="002060"/>
        <w:sz w:val="20"/>
        <w:szCs w:val="20"/>
      </w:rPr>
      <w:fldChar w:fldCharType="separate"/>
    </w:r>
    <w:r w:rsidR="00400D37">
      <w:rPr>
        <w:rFonts w:ascii="Arial Narrow" w:eastAsia="Arial Narrow" w:hAnsi="Arial Narrow" w:cs="Arial Narrow"/>
        <w:b/>
        <w:bCs/>
        <w:noProof/>
        <w:color w:val="002060"/>
        <w:sz w:val="20"/>
        <w:szCs w:val="20"/>
      </w:rPr>
      <w:t>1</w:t>
    </w:r>
    <w:r>
      <w:rPr>
        <w:rFonts w:ascii="Arial Narrow" w:eastAsia="Arial Narrow" w:hAnsi="Arial Narrow" w:cs="Arial Narrow"/>
        <w:b/>
        <w:bCs/>
        <w:color w:val="002060"/>
        <w:sz w:val="20"/>
        <w:szCs w:val="20"/>
      </w:rPr>
      <w:fldChar w:fldCharType="end"/>
    </w:r>
    <w:r>
      <w:rPr>
        <w:rFonts w:ascii="Arial Narrow" w:eastAsia="Arial Narrow" w:hAnsi="Arial Narrow" w:cs="Arial Narrow"/>
        <w:b/>
        <w:bCs/>
        <w:color w:val="002060"/>
        <w:sz w:val="20"/>
        <w:szCs w:val="20"/>
      </w:rPr>
      <w:t xml:space="preserve"> | </w:t>
    </w:r>
    <w:r>
      <w:rPr>
        <w:rFonts w:ascii="Arial Narrow" w:eastAsia="Arial Narrow" w:hAnsi="Arial Narrow" w:cs="Arial Narrow"/>
        <w:b/>
        <w:bCs/>
        <w:color w:val="002060"/>
        <w:sz w:val="20"/>
        <w:szCs w:val="20"/>
      </w:rPr>
      <w:fldChar w:fldCharType="begin"/>
    </w:r>
    <w:r>
      <w:rPr>
        <w:rFonts w:ascii="Arial Narrow" w:eastAsia="Arial Narrow" w:hAnsi="Arial Narrow" w:cs="Arial Narrow"/>
        <w:b/>
        <w:bCs/>
        <w:color w:val="002060"/>
        <w:sz w:val="20"/>
        <w:szCs w:val="20"/>
      </w:rPr>
      <w:instrText>NUMPAGES</w:instrText>
    </w:r>
    <w:r>
      <w:rPr>
        <w:rFonts w:ascii="Arial Narrow" w:eastAsia="Arial Narrow" w:hAnsi="Arial Narrow" w:cs="Arial Narrow"/>
        <w:b/>
        <w:bCs/>
        <w:color w:val="002060"/>
        <w:sz w:val="20"/>
        <w:szCs w:val="20"/>
      </w:rPr>
      <w:fldChar w:fldCharType="separate"/>
    </w:r>
    <w:r w:rsidR="00400D37">
      <w:rPr>
        <w:rFonts w:ascii="Arial Narrow" w:eastAsia="Arial Narrow" w:hAnsi="Arial Narrow" w:cs="Arial Narrow"/>
        <w:b/>
        <w:bCs/>
        <w:noProof/>
        <w:color w:val="002060"/>
        <w:sz w:val="20"/>
        <w:szCs w:val="20"/>
      </w:rPr>
      <w:t>2</w:t>
    </w:r>
    <w:r>
      <w:rPr>
        <w:rFonts w:ascii="Arial Narrow" w:eastAsia="Arial Narrow" w:hAnsi="Arial Narrow" w:cs="Arial Narrow"/>
        <w:b/>
        <w:bCs/>
        <w:color w:val="002060"/>
        <w:sz w:val="20"/>
        <w:szCs w:val="20"/>
      </w:rPr>
      <w:fldChar w:fldCharType="end"/>
    </w:r>
  </w:p>
  <w:p w14:paraId="214C1367" w14:textId="77777777" w:rsidR="003A4451" w:rsidRDefault="003A4451">
    <w:pPr>
      <w:pBdr>
        <w:top w:val="nil"/>
        <w:left w:val="nil"/>
        <w:bottom w:val="nil"/>
        <w:right w:val="nil"/>
        <w:between w:val="nil"/>
      </w:pBdr>
      <w:tabs>
        <w:tab w:val="center" w:pos="4419"/>
        <w:tab w:val="right" w:pos="8838"/>
      </w:tabs>
      <w:spacing w:line="240" w:lineRule="auto"/>
      <w:rPr>
        <w:rFonts w:ascii="Arial Narrow" w:eastAsia="Arial Narrow" w:hAnsi="Arial Narrow" w:cs="Arial Narrow"/>
        <w:color w:val="000000"/>
        <w:sz w:val="20"/>
        <w:szCs w:val="20"/>
      </w:rPr>
    </w:pPr>
  </w:p>
  <w:p w14:paraId="7E9107A4" w14:textId="77777777" w:rsidR="003A4451" w:rsidRDefault="003A44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148CF" w14:textId="77777777" w:rsidR="009449A8" w:rsidRDefault="009449A8">
      <w:pPr>
        <w:spacing w:line="240" w:lineRule="auto"/>
      </w:pPr>
      <w:r>
        <w:separator/>
      </w:r>
    </w:p>
  </w:footnote>
  <w:footnote w:type="continuationSeparator" w:id="0">
    <w:p w14:paraId="08514326" w14:textId="77777777" w:rsidR="009449A8" w:rsidRDefault="009449A8">
      <w:pPr>
        <w:spacing w:line="240" w:lineRule="auto"/>
      </w:pPr>
      <w:r>
        <w:continuationSeparator/>
      </w:r>
    </w:p>
  </w:footnote>
  <w:footnote w:id="1">
    <w:p w14:paraId="6F9072D0" w14:textId="77777777" w:rsidR="003A4451" w:rsidRDefault="007C798D">
      <w:pPr>
        <w:pBdr>
          <w:top w:val="nil"/>
          <w:left w:val="nil"/>
          <w:bottom w:val="nil"/>
          <w:right w:val="nil"/>
          <w:between w:val="nil"/>
        </w:pBdr>
        <w:spacing w:line="240" w:lineRule="auto"/>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Corresponde a la importación de bienes de tráfico postal, envíos urgentes o envíos de entrega rápida con valor inferior a USD $200, de acuerdo con lo dispuesto en el numeral j del artículo 428 del ET.</w:t>
      </w:r>
    </w:p>
  </w:footnote>
  <w:footnote w:id="2">
    <w:p w14:paraId="13918AFA" w14:textId="77777777" w:rsidR="003A4451" w:rsidRDefault="007C798D">
      <w:pPr>
        <w:pBdr>
          <w:top w:val="nil"/>
          <w:left w:val="nil"/>
          <w:bottom w:val="nil"/>
          <w:right w:val="nil"/>
          <w:between w:val="nil"/>
        </w:pBdr>
        <w:spacing w:line="240" w:lineRule="auto"/>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OECD. (2024). Consumption Tax Trends 2024: VAT/GST and Excise, Core Design Features and Trends. OECD Publishing, Paris, https://doi.org/10.1787/dcd4dd36-en.</w:t>
      </w:r>
    </w:p>
  </w:footnote>
  <w:footnote w:id="3">
    <w:p w14:paraId="518D6492" w14:textId="77777777" w:rsidR="003A4451" w:rsidRDefault="007C798D">
      <w:pPr>
        <w:pBdr>
          <w:top w:val="nil"/>
          <w:left w:val="nil"/>
          <w:bottom w:val="nil"/>
          <w:right w:val="nil"/>
          <w:between w:val="nil"/>
        </w:pBdr>
        <w:spacing w:line="240" w:lineRule="auto"/>
        <w:jc w:val="left"/>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Ibíd. </w:t>
      </w:r>
    </w:p>
  </w:footnote>
  <w:footnote w:id="4">
    <w:p w14:paraId="38582761" w14:textId="77777777" w:rsidR="003A4451" w:rsidRDefault="007C798D">
      <w:pPr>
        <w:pBdr>
          <w:top w:val="nil"/>
          <w:left w:val="nil"/>
          <w:bottom w:val="nil"/>
          <w:right w:val="nil"/>
          <w:between w:val="nil"/>
        </w:pBdr>
        <w:spacing w:line="240" w:lineRule="auto"/>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OECD. (2015). Addressing the Tax Challenges of the Digital Economy, Action 1 - 2015 Final Report. OECD/G20 Base Erosion and Profit Shifting Project. OECD Publishing, Paris. </w:t>
      </w:r>
      <w:hyperlink r:id="rId1">
        <w:r>
          <w:rPr>
            <w:rFonts w:ascii="Cambria" w:eastAsia="Cambria" w:hAnsi="Cambria" w:cs="Cambria"/>
            <w:color w:val="0563C1"/>
            <w:sz w:val="20"/>
            <w:szCs w:val="20"/>
            <w:u w:val="single"/>
          </w:rPr>
          <w:t>https://doi.org/10.1787/9789264241046-en</w:t>
        </w:r>
      </w:hyperlink>
      <w:r>
        <w:rPr>
          <w:rFonts w:ascii="Cambria" w:eastAsia="Cambria" w:hAnsi="Cambria" w:cs="Cambria"/>
          <w:color w:val="000000"/>
          <w:sz w:val="20"/>
          <w:szCs w:val="20"/>
        </w:rPr>
        <w:t xml:space="preserve">. </w:t>
      </w:r>
    </w:p>
  </w:footnote>
  <w:footnote w:id="5">
    <w:p w14:paraId="28EB951F" w14:textId="77777777" w:rsidR="003A4451" w:rsidRDefault="007C798D">
      <w:pPr>
        <w:pBdr>
          <w:top w:val="nil"/>
          <w:left w:val="nil"/>
          <w:bottom w:val="nil"/>
          <w:right w:val="nil"/>
          <w:between w:val="nil"/>
        </w:pBdr>
        <w:spacing w:line="240" w:lineRule="auto"/>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De acuerdo con la Ley 119-21, sección 70531, la eliminación de la exención del IVA a las importaciones de bajo costo será efectiva a partir del 1 de julio de 2027. Adicionalmente, se crean multas por un valor de USD $5.000 por el no cumplimiento de esta disposición, y de USD $10.000 por reincidencia.</w:t>
      </w:r>
    </w:p>
  </w:footnote>
  <w:footnote w:id="6">
    <w:p w14:paraId="70C49AC7" w14:textId="77777777" w:rsidR="003A4451" w:rsidRDefault="007C798D">
      <w:pPr>
        <w:pBdr>
          <w:top w:val="nil"/>
          <w:left w:val="nil"/>
          <w:bottom w:val="nil"/>
          <w:right w:val="nil"/>
          <w:between w:val="nil"/>
        </w:pBdr>
        <w:spacing w:line="240" w:lineRule="auto"/>
        <w:rPr>
          <w:rFonts w:ascii="Cambria" w:eastAsia="Cambria" w:hAnsi="Cambria" w:cs="Cambria"/>
          <w:color w:val="000000"/>
          <w:sz w:val="20"/>
          <w:szCs w:val="20"/>
        </w:rPr>
      </w:pPr>
      <w:r>
        <w:rPr>
          <w:vertAlign w:val="superscript"/>
        </w:rPr>
        <w:footnoteRef/>
      </w:r>
      <w:r>
        <w:rPr>
          <w:rFonts w:ascii="Cambria" w:eastAsia="Cambria" w:hAnsi="Cambria" w:cs="Cambria"/>
          <w:color w:val="000000"/>
          <w:sz w:val="20"/>
          <w:szCs w:val="20"/>
        </w:rPr>
        <w:t xml:space="preserve"> OECD. (2024). Consumption Tax Trends 2024: VAT/GST and Excise, Core Design Features and Trends. OECD Publishing, Paris, </w:t>
      </w:r>
      <w:hyperlink r:id="rId2">
        <w:r>
          <w:rPr>
            <w:rFonts w:ascii="Cambria" w:eastAsia="Cambria" w:hAnsi="Cambria" w:cs="Cambria"/>
            <w:color w:val="0563C1"/>
            <w:sz w:val="20"/>
            <w:szCs w:val="20"/>
            <w:u w:val="single"/>
          </w:rPr>
          <w:t>https://doi.org/10.1787/dcd4dd36-en</w:t>
        </w:r>
      </w:hyperlink>
      <w:r>
        <w:rPr>
          <w:rFonts w:ascii="Cambria" w:eastAsia="Cambria" w:hAnsi="Cambria" w:cs="Cambria"/>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613A" w14:textId="77777777" w:rsidR="003A4451" w:rsidRDefault="007C798D">
    <w:pPr>
      <w:pBdr>
        <w:top w:val="nil"/>
        <w:left w:val="nil"/>
        <w:bottom w:val="nil"/>
        <w:right w:val="nil"/>
        <w:between w:val="nil"/>
      </w:pBdr>
      <w:tabs>
        <w:tab w:val="center" w:pos="4419"/>
        <w:tab w:val="right" w:pos="8838"/>
      </w:tabs>
      <w:spacing w:line="240" w:lineRule="auto"/>
      <w:rPr>
        <w:color w:val="000000"/>
      </w:rPr>
    </w:pPr>
    <w:r>
      <w:rPr>
        <w:noProof/>
      </w:rPr>
      <w:drawing>
        <wp:anchor distT="0" distB="0" distL="0" distR="0" simplePos="0" relativeHeight="251658240" behindDoc="1" locked="0" layoutInCell="1" hidden="0" allowOverlap="1" wp14:anchorId="1F8AEEFE" wp14:editId="2FFF4896">
          <wp:simplePos x="0" y="0"/>
          <wp:positionH relativeFrom="column">
            <wp:posOffset>1651635</wp:posOffset>
          </wp:positionH>
          <wp:positionV relativeFrom="paragraph">
            <wp:posOffset>-173354</wp:posOffset>
          </wp:positionV>
          <wp:extent cx="2354624" cy="695325"/>
          <wp:effectExtent l="0" t="0" r="0" b="0"/>
          <wp:wrapNone/>
          <wp:docPr id="225" name="image1.png" descr="Inicio | Camara de Representantes"/>
          <wp:cNvGraphicFramePr/>
          <a:graphic xmlns:a="http://schemas.openxmlformats.org/drawingml/2006/main">
            <a:graphicData uri="http://schemas.openxmlformats.org/drawingml/2006/picture">
              <pic:pic xmlns:pic="http://schemas.openxmlformats.org/drawingml/2006/picture">
                <pic:nvPicPr>
                  <pic:cNvPr id="0" name="image1.png" descr="Inicio | Camara de Representantes"/>
                  <pic:cNvPicPr preferRelativeResize="0"/>
                </pic:nvPicPr>
                <pic:blipFill>
                  <a:blip r:embed="rId1"/>
                  <a:srcRect/>
                  <a:stretch>
                    <a:fillRect/>
                  </a:stretch>
                </pic:blipFill>
                <pic:spPr>
                  <a:xfrm>
                    <a:off x="0" y="0"/>
                    <a:ext cx="2354624" cy="695325"/>
                  </a:xfrm>
                  <a:prstGeom prst="rect">
                    <a:avLst/>
                  </a:prstGeom>
                  <a:ln/>
                </pic:spPr>
              </pic:pic>
            </a:graphicData>
          </a:graphic>
        </wp:anchor>
      </w:drawing>
    </w:r>
  </w:p>
  <w:p w14:paraId="6301E49B" w14:textId="77777777" w:rsidR="003A4451" w:rsidRDefault="003A4451">
    <w:pPr>
      <w:pBdr>
        <w:top w:val="nil"/>
        <w:left w:val="nil"/>
        <w:bottom w:val="nil"/>
        <w:right w:val="nil"/>
        <w:between w:val="nil"/>
      </w:pBdr>
      <w:tabs>
        <w:tab w:val="center" w:pos="4419"/>
        <w:tab w:val="right" w:pos="8838"/>
      </w:tabs>
      <w:spacing w:line="240" w:lineRule="auto"/>
      <w:rPr>
        <w:color w:val="000000"/>
      </w:rPr>
    </w:pPr>
  </w:p>
  <w:p w14:paraId="5AABF5C9" w14:textId="77777777" w:rsidR="003A4451" w:rsidRDefault="003A4451">
    <w:pPr>
      <w:pBdr>
        <w:top w:val="nil"/>
        <w:left w:val="nil"/>
        <w:bottom w:val="nil"/>
        <w:right w:val="nil"/>
        <w:between w:val="nil"/>
      </w:pBdr>
      <w:tabs>
        <w:tab w:val="center" w:pos="4419"/>
        <w:tab w:val="right" w:pos="8838"/>
      </w:tabs>
      <w:spacing w:line="240" w:lineRule="auto"/>
      <w:rPr>
        <w:color w:val="000000"/>
      </w:rPr>
    </w:pPr>
  </w:p>
  <w:p w14:paraId="1200F3F1" w14:textId="77777777" w:rsidR="003A4451" w:rsidRDefault="003A4451">
    <w:pPr>
      <w:pBdr>
        <w:top w:val="nil"/>
        <w:left w:val="nil"/>
        <w:bottom w:val="nil"/>
        <w:right w:val="nil"/>
        <w:between w:val="nil"/>
      </w:pBdr>
      <w:tabs>
        <w:tab w:val="center" w:pos="4419"/>
        <w:tab w:val="right" w:pos="8838"/>
      </w:tabs>
      <w:spacing w:line="240" w:lineRule="auto"/>
      <w:rPr>
        <w:rFonts w:ascii="Cambria" w:eastAsia="Cambria" w:hAnsi="Cambria" w:cs="Cambria"/>
        <w:color w:val="000000"/>
        <w:sz w:val="20"/>
        <w:szCs w:val="20"/>
      </w:rPr>
    </w:pPr>
  </w:p>
  <w:p w14:paraId="499B28CF" w14:textId="77777777" w:rsidR="003A4451" w:rsidRDefault="007C798D">
    <w:pPr>
      <w:spacing w:after="240" w:line="240" w:lineRule="auto"/>
      <w:jc w:val="center"/>
      <w:rPr>
        <w:rFonts w:ascii="Cambria" w:eastAsia="Cambria" w:hAnsi="Cambria" w:cs="Cambria"/>
        <w:b/>
        <w:bCs/>
        <w:sz w:val="20"/>
        <w:szCs w:val="20"/>
      </w:rPr>
    </w:pPr>
    <w:r>
      <w:rPr>
        <w:rFonts w:ascii="Cambria" w:eastAsia="Cambria" w:hAnsi="Cambria" w:cs="Cambria"/>
        <w:b/>
        <w:bCs/>
        <w:sz w:val="20"/>
        <w:szCs w:val="20"/>
      </w:rPr>
      <w:t>INFORME DE PONENCIA PARA SEGUNDO DEBATE EN PLENARIA DE LA CÁMARA DE REPRESENTANTES</w:t>
    </w:r>
  </w:p>
  <w:p w14:paraId="6079793F" w14:textId="77777777" w:rsidR="003A4451" w:rsidRDefault="007C798D">
    <w:pPr>
      <w:spacing w:line="240" w:lineRule="auto"/>
      <w:jc w:val="center"/>
      <w:rPr>
        <w:rFonts w:ascii="Cambria" w:eastAsia="Cambria" w:hAnsi="Cambria" w:cs="Cambria"/>
        <w:i/>
        <w:iCs/>
        <w:color w:val="000000"/>
        <w:sz w:val="20"/>
        <w:szCs w:val="20"/>
        <w:highlight w:val="white"/>
      </w:rPr>
    </w:pPr>
    <w:r>
      <w:rPr>
        <w:rFonts w:ascii="Cambria" w:eastAsia="Cambria" w:hAnsi="Cambria" w:cs="Cambria"/>
        <w:i/>
        <w:iCs/>
        <w:color w:val="000000"/>
        <w:sz w:val="20"/>
        <w:szCs w:val="20"/>
        <w:highlight w:val="white"/>
      </w:rPr>
      <w:t>Proyecto de ley 466 de 2025 Cámara “Por medio de la cual se modifica el valor para la exención del impuesto sobre las ventas (IVA) a la importación de productos bajo la modalidad de tráfico postal y envíos urgentes, se modifica parcialmente el estatuto tributario y se dictan otras disposiciones”</w:t>
    </w:r>
  </w:p>
  <w:p w14:paraId="2F2D3CE1" w14:textId="77777777" w:rsidR="003A4451" w:rsidRDefault="003A4451">
    <w:pPr>
      <w:pBdr>
        <w:top w:val="nil"/>
        <w:left w:val="nil"/>
        <w:bottom w:val="nil"/>
        <w:right w:val="nil"/>
        <w:between w:val="nil"/>
      </w:pBdr>
      <w:tabs>
        <w:tab w:val="center" w:pos="4419"/>
        <w:tab w:val="right" w:pos="8838"/>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03E1"/>
    <w:multiLevelType w:val="multilevel"/>
    <w:tmpl w:val="FFFFFFFF"/>
    <w:lvl w:ilvl="0">
      <w:start w:val="1"/>
      <w:numFmt w:val="decimal"/>
      <w:lvlText w:val="%1."/>
      <w:lvlJc w:val="left"/>
      <w:pPr>
        <w:ind w:left="360" w:hanging="360"/>
      </w:pPr>
      <w:rPr>
        <w:rFonts w:ascii="Arial Narrow" w:eastAsia="Arial Narrow" w:hAnsi="Arial Narrow" w:cs="Arial Narrow"/>
        <w:b/>
        <w:bCs/>
      </w:rPr>
    </w:lvl>
    <w:lvl w:ilvl="1">
      <w:start w:val="4"/>
      <w:numFmt w:val="decimal"/>
      <w:lvlText w:val="%1.%2."/>
      <w:lvlJc w:val="left"/>
      <w:pPr>
        <w:ind w:left="360" w:hanging="360"/>
      </w:pPr>
      <w:rPr>
        <w:b/>
        <w:bCs/>
      </w:rPr>
    </w:lvl>
    <w:lvl w:ilvl="2">
      <w:start w:val="1"/>
      <w:numFmt w:val="decimal"/>
      <w:lvlText w:val="%1.%2.%3."/>
      <w:lvlJc w:val="left"/>
      <w:pPr>
        <w:ind w:left="720" w:hanging="720"/>
      </w:pPr>
      <w:rPr>
        <w:b/>
        <w:bCs/>
      </w:rPr>
    </w:lvl>
    <w:lvl w:ilvl="3">
      <w:start w:val="1"/>
      <w:numFmt w:val="decimal"/>
      <w:lvlText w:val="%1.%2.%3.%4."/>
      <w:lvlJc w:val="left"/>
      <w:pPr>
        <w:ind w:left="720" w:hanging="720"/>
      </w:pPr>
      <w:rPr>
        <w:b/>
        <w:bCs/>
      </w:rPr>
    </w:lvl>
    <w:lvl w:ilvl="4">
      <w:start w:val="1"/>
      <w:numFmt w:val="decimal"/>
      <w:lvlText w:val="%1.%2.%3.%4.%5."/>
      <w:lvlJc w:val="left"/>
      <w:pPr>
        <w:ind w:left="1080" w:hanging="1080"/>
      </w:pPr>
      <w:rPr>
        <w:b/>
        <w:bCs/>
      </w:rPr>
    </w:lvl>
    <w:lvl w:ilvl="5">
      <w:start w:val="1"/>
      <w:numFmt w:val="decimal"/>
      <w:lvlText w:val="%1.%2.%3.%4.%5.%6."/>
      <w:lvlJc w:val="left"/>
      <w:pPr>
        <w:ind w:left="1080" w:hanging="1080"/>
      </w:pPr>
      <w:rPr>
        <w:b/>
        <w:bCs/>
      </w:rPr>
    </w:lvl>
    <w:lvl w:ilvl="6">
      <w:start w:val="1"/>
      <w:numFmt w:val="decimal"/>
      <w:lvlText w:val="%1.%2.%3.%4.%5.%6.%7."/>
      <w:lvlJc w:val="left"/>
      <w:pPr>
        <w:ind w:left="1440" w:hanging="1440"/>
      </w:pPr>
      <w:rPr>
        <w:b/>
        <w:bCs/>
      </w:rPr>
    </w:lvl>
    <w:lvl w:ilvl="7">
      <w:start w:val="1"/>
      <w:numFmt w:val="decimal"/>
      <w:lvlText w:val="%1.%2.%3.%4.%5.%6.%7.%8."/>
      <w:lvlJc w:val="left"/>
      <w:pPr>
        <w:ind w:left="1440" w:hanging="1440"/>
      </w:pPr>
      <w:rPr>
        <w:b/>
        <w:bCs/>
      </w:rPr>
    </w:lvl>
    <w:lvl w:ilvl="8">
      <w:start w:val="1"/>
      <w:numFmt w:val="decimal"/>
      <w:lvlText w:val="%1.%2.%3.%4.%5.%6.%7.%8.%9."/>
      <w:lvlJc w:val="left"/>
      <w:pPr>
        <w:ind w:left="1800" w:hanging="1800"/>
      </w:pPr>
      <w:rPr>
        <w:b/>
        <w:bCs/>
      </w:rPr>
    </w:lvl>
  </w:abstractNum>
  <w:abstractNum w:abstractNumId="1" w15:restartNumberingAfterBreak="0">
    <w:nsid w:val="109B4B05"/>
    <w:multiLevelType w:val="multilevel"/>
    <w:tmpl w:val="FFFFFFFF"/>
    <w:lvl w:ilvl="0">
      <w:start w:val="2"/>
      <w:numFmt w:val="decimal"/>
      <w:lvlText w:val="%1"/>
      <w:lvlJc w:val="left"/>
      <w:pPr>
        <w:ind w:left="435" w:hanging="435"/>
      </w:pPr>
      <w:rPr>
        <w:rFonts w:ascii="Arial Narrow" w:eastAsia="Arial Narrow" w:hAnsi="Arial Narrow" w:cs="Arial Narrow"/>
        <w:b w:val="0"/>
        <w:bCs w:val="0"/>
        <w:sz w:val="24"/>
        <w:szCs w:val="24"/>
      </w:rPr>
    </w:lvl>
    <w:lvl w:ilvl="1">
      <w:start w:val="1"/>
      <w:numFmt w:val="decimal"/>
      <w:lvlText w:val="%1.%2"/>
      <w:lvlJc w:val="left"/>
      <w:pPr>
        <w:ind w:left="577" w:hanging="435"/>
      </w:pPr>
      <w:rPr>
        <w:rFonts w:ascii="Arial Narrow" w:eastAsia="Arial Narrow" w:hAnsi="Arial Narrow" w:cs="Arial Narrow"/>
        <w:b w:val="0"/>
        <w:bCs w:val="0"/>
        <w:sz w:val="24"/>
        <w:szCs w:val="24"/>
      </w:rPr>
    </w:lvl>
    <w:lvl w:ilvl="2">
      <w:start w:val="1"/>
      <w:numFmt w:val="decimal"/>
      <w:lvlText w:val="%1.%2.%3"/>
      <w:lvlJc w:val="left"/>
      <w:pPr>
        <w:ind w:left="1004" w:hanging="720"/>
      </w:pPr>
      <w:rPr>
        <w:rFonts w:ascii="Cambria" w:eastAsia="Cambria" w:hAnsi="Cambria" w:cs="Cambria"/>
        <w:b w:val="0"/>
        <w:bCs w:val="0"/>
        <w:sz w:val="24"/>
        <w:szCs w:val="24"/>
      </w:rPr>
    </w:lvl>
    <w:lvl w:ilvl="3">
      <w:start w:val="1"/>
      <w:numFmt w:val="decimal"/>
      <w:lvlText w:val="%1.%2.%3.%4"/>
      <w:lvlJc w:val="left"/>
      <w:pPr>
        <w:ind w:left="1506" w:hanging="1080"/>
      </w:pPr>
      <w:rPr>
        <w:rFonts w:ascii="Arial Narrow" w:eastAsia="Arial Narrow" w:hAnsi="Arial Narrow" w:cs="Arial Narrow"/>
        <w:b w:val="0"/>
        <w:bCs w:val="0"/>
        <w:sz w:val="24"/>
        <w:szCs w:val="24"/>
      </w:rPr>
    </w:lvl>
    <w:lvl w:ilvl="4">
      <w:start w:val="1"/>
      <w:numFmt w:val="decimal"/>
      <w:lvlText w:val="%1.%2.%3.%4.%5"/>
      <w:lvlJc w:val="left"/>
      <w:pPr>
        <w:ind w:left="1648" w:hanging="1080"/>
      </w:pPr>
      <w:rPr>
        <w:rFonts w:ascii="Arial Narrow" w:eastAsia="Arial Narrow" w:hAnsi="Arial Narrow" w:cs="Arial Narrow"/>
        <w:b w:val="0"/>
        <w:bCs w:val="0"/>
        <w:sz w:val="24"/>
        <w:szCs w:val="24"/>
      </w:rPr>
    </w:lvl>
    <w:lvl w:ilvl="5">
      <w:start w:val="1"/>
      <w:numFmt w:val="decimal"/>
      <w:lvlText w:val="%1.%2.%3.%4.%5.%6"/>
      <w:lvlJc w:val="left"/>
      <w:pPr>
        <w:ind w:left="2150" w:hanging="1440"/>
      </w:pPr>
      <w:rPr>
        <w:rFonts w:ascii="Arial Narrow" w:eastAsia="Arial Narrow" w:hAnsi="Arial Narrow" w:cs="Arial Narrow"/>
        <w:b w:val="0"/>
        <w:bCs w:val="0"/>
        <w:sz w:val="24"/>
        <w:szCs w:val="24"/>
      </w:rPr>
    </w:lvl>
    <w:lvl w:ilvl="6">
      <w:start w:val="1"/>
      <w:numFmt w:val="decimal"/>
      <w:lvlText w:val="%1.%2.%3.%4.%5.%6.%7"/>
      <w:lvlJc w:val="left"/>
      <w:pPr>
        <w:ind w:left="2292" w:hanging="1440"/>
      </w:pPr>
      <w:rPr>
        <w:rFonts w:ascii="Arial Narrow" w:eastAsia="Arial Narrow" w:hAnsi="Arial Narrow" w:cs="Arial Narrow"/>
        <w:b w:val="0"/>
        <w:bCs w:val="0"/>
        <w:sz w:val="24"/>
        <w:szCs w:val="24"/>
      </w:rPr>
    </w:lvl>
    <w:lvl w:ilvl="7">
      <w:start w:val="1"/>
      <w:numFmt w:val="decimal"/>
      <w:lvlText w:val="%1.%2.%3.%4.%5.%6.%7.%8"/>
      <w:lvlJc w:val="left"/>
      <w:pPr>
        <w:ind w:left="2794" w:hanging="1800"/>
      </w:pPr>
      <w:rPr>
        <w:rFonts w:ascii="Arial Narrow" w:eastAsia="Arial Narrow" w:hAnsi="Arial Narrow" w:cs="Arial Narrow"/>
        <w:b w:val="0"/>
        <w:bCs w:val="0"/>
        <w:sz w:val="24"/>
        <w:szCs w:val="24"/>
      </w:rPr>
    </w:lvl>
    <w:lvl w:ilvl="8">
      <w:start w:val="1"/>
      <w:numFmt w:val="decimal"/>
      <w:lvlText w:val="%1.%2.%3.%4.%5.%6.%7.%8.%9"/>
      <w:lvlJc w:val="left"/>
      <w:pPr>
        <w:ind w:left="2936" w:hanging="1799"/>
      </w:pPr>
      <w:rPr>
        <w:rFonts w:ascii="Arial Narrow" w:eastAsia="Arial Narrow" w:hAnsi="Arial Narrow" w:cs="Arial Narrow"/>
        <w:b w:val="0"/>
        <w:bCs w:val="0"/>
        <w:sz w:val="24"/>
        <w:szCs w:val="24"/>
      </w:rPr>
    </w:lvl>
  </w:abstractNum>
  <w:abstractNum w:abstractNumId="2" w15:restartNumberingAfterBreak="0">
    <w:nsid w:val="23FF34C2"/>
    <w:multiLevelType w:val="multilevel"/>
    <w:tmpl w:val="FFFFFFFF"/>
    <w:lvl w:ilvl="0">
      <w:start w:val="1"/>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2AD7235E"/>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71B7E06"/>
    <w:multiLevelType w:val="multilevel"/>
    <w:tmpl w:val="FFFFFFFF"/>
    <w:lvl w:ilvl="0">
      <w:start w:val="1"/>
      <w:numFmt w:val="decimal"/>
      <w:lvlText w:val="%1."/>
      <w:lvlJc w:val="left"/>
      <w:pPr>
        <w:ind w:left="360" w:hanging="360"/>
      </w:pPr>
      <w:rPr>
        <w:rFonts w:ascii="Arial Narrow" w:eastAsia="Arial Narrow" w:hAnsi="Arial Narrow" w:cs="Arial Narrow"/>
        <w:b/>
        <w:bCs/>
      </w:rPr>
    </w:lvl>
    <w:lvl w:ilvl="1">
      <w:start w:val="4"/>
      <w:numFmt w:val="decimal"/>
      <w:lvlText w:val="%1.%2."/>
      <w:lvlJc w:val="left"/>
      <w:pPr>
        <w:ind w:left="360" w:hanging="360"/>
      </w:pPr>
      <w:rPr>
        <w:b/>
        <w:bCs/>
      </w:rPr>
    </w:lvl>
    <w:lvl w:ilvl="2">
      <w:start w:val="1"/>
      <w:numFmt w:val="decimal"/>
      <w:lvlText w:val="%1.%2.%3."/>
      <w:lvlJc w:val="left"/>
      <w:pPr>
        <w:ind w:left="720" w:hanging="720"/>
      </w:pPr>
      <w:rPr>
        <w:b/>
        <w:bCs/>
      </w:rPr>
    </w:lvl>
    <w:lvl w:ilvl="3">
      <w:start w:val="1"/>
      <w:numFmt w:val="decimal"/>
      <w:lvlText w:val="%1.%2.%3.%4."/>
      <w:lvlJc w:val="left"/>
      <w:pPr>
        <w:ind w:left="720" w:hanging="720"/>
      </w:pPr>
      <w:rPr>
        <w:b/>
        <w:bCs/>
      </w:rPr>
    </w:lvl>
    <w:lvl w:ilvl="4">
      <w:start w:val="1"/>
      <w:numFmt w:val="decimal"/>
      <w:lvlText w:val="%1.%2.%3.%4.%5."/>
      <w:lvlJc w:val="left"/>
      <w:pPr>
        <w:ind w:left="1080" w:hanging="1080"/>
      </w:pPr>
      <w:rPr>
        <w:b/>
        <w:bCs/>
      </w:rPr>
    </w:lvl>
    <w:lvl w:ilvl="5">
      <w:start w:val="1"/>
      <w:numFmt w:val="decimal"/>
      <w:lvlText w:val="%1.%2.%3.%4.%5.%6."/>
      <w:lvlJc w:val="left"/>
      <w:pPr>
        <w:ind w:left="1080" w:hanging="1080"/>
      </w:pPr>
      <w:rPr>
        <w:b/>
        <w:bCs/>
      </w:rPr>
    </w:lvl>
    <w:lvl w:ilvl="6">
      <w:start w:val="1"/>
      <w:numFmt w:val="decimal"/>
      <w:lvlText w:val="%1.%2.%3.%4.%5.%6.%7."/>
      <w:lvlJc w:val="left"/>
      <w:pPr>
        <w:ind w:left="1440" w:hanging="1440"/>
      </w:pPr>
      <w:rPr>
        <w:b/>
        <w:bCs/>
      </w:rPr>
    </w:lvl>
    <w:lvl w:ilvl="7">
      <w:start w:val="1"/>
      <w:numFmt w:val="decimal"/>
      <w:lvlText w:val="%1.%2.%3.%4.%5.%6.%7.%8."/>
      <w:lvlJc w:val="left"/>
      <w:pPr>
        <w:ind w:left="1440" w:hanging="1440"/>
      </w:pPr>
      <w:rPr>
        <w:b/>
        <w:bCs/>
      </w:rPr>
    </w:lvl>
    <w:lvl w:ilvl="8">
      <w:start w:val="1"/>
      <w:numFmt w:val="decimal"/>
      <w:lvlText w:val="%1.%2.%3.%4.%5.%6.%7.%8.%9."/>
      <w:lvlJc w:val="left"/>
      <w:pPr>
        <w:ind w:left="1800" w:hanging="1800"/>
      </w:pPr>
      <w:rPr>
        <w:b/>
        <w:bCs/>
      </w:rPr>
    </w:lvl>
  </w:abstractNum>
  <w:abstractNum w:abstractNumId="5" w15:restartNumberingAfterBreak="0">
    <w:nsid w:val="5E18021A"/>
    <w:multiLevelType w:val="multilevel"/>
    <w:tmpl w:val="FFFFFFF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F882FA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BA374C0"/>
    <w:multiLevelType w:val="multilevel"/>
    <w:tmpl w:val="FFFFFFFF"/>
    <w:lvl w:ilvl="0">
      <w:start w:val="2"/>
      <w:numFmt w:val="decimal"/>
      <w:lvlText w:val="%1."/>
      <w:lvlJc w:val="left"/>
      <w:pPr>
        <w:ind w:left="495" w:hanging="495"/>
      </w:pPr>
      <w:rPr>
        <w:b w:val="0"/>
        <w:bCs w:val="0"/>
      </w:rPr>
    </w:lvl>
    <w:lvl w:ilvl="1">
      <w:start w:val="1"/>
      <w:numFmt w:val="decimal"/>
      <w:lvlText w:val="%1.%2."/>
      <w:lvlJc w:val="left"/>
      <w:pPr>
        <w:ind w:left="637" w:hanging="495"/>
      </w:pPr>
      <w:rPr>
        <w:b/>
        <w:bCs/>
      </w:rPr>
    </w:lvl>
    <w:lvl w:ilvl="2">
      <w:start w:val="2"/>
      <w:numFmt w:val="decimal"/>
      <w:lvlText w:val="%1.%2.%3."/>
      <w:lvlJc w:val="left"/>
      <w:pPr>
        <w:ind w:left="1004" w:hanging="720"/>
      </w:pPr>
      <w:rPr>
        <w:b/>
        <w:bCs/>
      </w:rPr>
    </w:lvl>
    <w:lvl w:ilvl="3">
      <w:start w:val="1"/>
      <w:numFmt w:val="decimal"/>
      <w:lvlText w:val="%1.%2.%3.%4."/>
      <w:lvlJc w:val="left"/>
      <w:pPr>
        <w:ind w:left="1146" w:hanging="720"/>
      </w:pPr>
      <w:rPr>
        <w:b w:val="0"/>
        <w:bCs w:val="0"/>
      </w:rPr>
    </w:lvl>
    <w:lvl w:ilvl="4">
      <w:start w:val="1"/>
      <w:numFmt w:val="decimal"/>
      <w:lvlText w:val="%1.%2.%3.%4.%5."/>
      <w:lvlJc w:val="left"/>
      <w:pPr>
        <w:ind w:left="1648" w:hanging="1080"/>
      </w:pPr>
      <w:rPr>
        <w:b w:val="0"/>
        <w:bCs w:val="0"/>
      </w:rPr>
    </w:lvl>
    <w:lvl w:ilvl="5">
      <w:start w:val="1"/>
      <w:numFmt w:val="decimal"/>
      <w:lvlText w:val="%1.%2.%3.%4.%5.%6."/>
      <w:lvlJc w:val="left"/>
      <w:pPr>
        <w:ind w:left="1790" w:hanging="1080"/>
      </w:pPr>
      <w:rPr>
        <w:b w:val="0"/>
        <w:bCs w:val="0"/>
      </w:rPr>
    </w:lvl>
    <w:lvl w:ilvl="6">
      <w:start w:val="1"/>
      <w:numFmt w:val="decimal"/>
      <w:lvlText w:val="%1.%2.%3.%4.%5.%6.%7."/>
      <w:lvlJc w:val="left"/>
      <w:pPr>
        <w:ind w:left="2292" w:hanging="1440"/>
      </w:pPr>
      <w:rPr>
        <w:b w:val="0"/>
        <w:bCs w:val="0"/>
      </w:rPr>
    </w:lvl>
    <w:lvl w:ilvl="7">
      <w:start w:val="1"/>
      <w:numFmt w:val="decimal"/>
      <w:lvlText w:val="%1.%2.%3.%4.%5.%6.%7.%8."/>
      <w:lvlJc w:val="left"/>
      <w:pPr>
        <w:ind w:left="2434" w:hanging="1440"/>
      </w:pPr>
      <w:rPr>
        <w:b w:val="0"/>
        <w:bCs w:val="0"/>
      </w:rPr>
    </w:lvl>
    <w:lvl w:ilvl="8">
      <w:start w:val="1"/>
      <w:numFmt w:val="decimal"/>
      <w:lvlText w:val="%1.%2.%3.%4.%5.%6.%7.%8.%9."/>
      <w:lvlJc w:val="left"/>
      <w:pPr>
        <w:ind w:left="2936" w:hanging="1799"/>
      </w:pPr>
      <w:rPr>
        <w:b w:val="0"/>
        <w:bCs w:val="0"/>
      </w:rPr>
    </w:lvl>
  </w:abstractNum>
  <w:num w:numId="1">
    <w:abstractNumId w:val="4"/>
  </w:num>
  <w:num w:numId="2">
    <w:abstractNumId w:val="3"/>
  </w:num>
  <w:num w:numId="3">
    <w:abstractNumId w:val="1"/>
  </w:num>
  <w:num w:numId="4">
    <w:abstractNumId w:val="7"/>
  </w:num>
  <w:num w:numId="5">
    <w:abstractNumId w:val="6"/>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451"/>
    <w:rsid w:val="000E1B09"/>
    <w:rsid w:val="00141395"/>
    <w:rsid w:val="001A1F56"/>
    <w:rsid w:val="002A3D75"/>
    <w:rsid w:val="003A4451"/>
    <w:rsid w:val="00400D37"/>
    <w:rsid w:val="00536567"/>
    <w:rsid w:val="00594FEE"/>
    <w:rsid w:val="00716168"/>
    <w:rsid w:val="007C798D"/>
    <w:rsid w:val="00800425"/>
    <w:rsid w:val="009449A8"/>
    <w:rsid w:val="009A1B77"/>
    <w:rsid w:val="00AA6653"/>
    <w:rsid w:val="00B02115"/>
    <w:rsid w:val="00B35485"/>
    <w:rsid w:val="00B72FCE"/>
    <w:rsid w:val="00B80236"/>
    <w:rsid w:val="00B974C2"/>
    <w:rsid w:val="00D239A0"/>
    <w:rsid w:val="00DD7FA7"/>
    <w:rsid w:val="00ED6956"/>
    <w:rsid w:val="00F805E5"/>
    <w:rsid w:val="00FF1F69"/>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24B6C"/>
  <w15:docId w15:val="{6AC84AFE-3CC7-B543-9227-CC371C04B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MX"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spacing w:line="251" w:lineRule="auto"/>
      <w:ind w:left="100"/>
      <w:jc w:val="left"/>
      <w:outlineLvl w:val="0"/>
    </w:pPr>
    <w:rPr>
      <w:rFonts w:ascii="Arial" w:eastAsia="Arial" w:hAnsi="Arial" w:cs="Arial"/>
      <w:b/>
      <w:bCs/>
    </w:rPr>
  </w:style>
  <w:style w:type="paragraph" w:styleId="Ttulo2">
    <w:name w:val="heading 2"/>
    <w:basedOn w:val="Normal"/>
    <w:next w:val="Normal"/>
    <w:uiPriority w:val="9"/>
    <w:unhideWhenUsed/>
    <w:qFormat/>
    <w:pPr>
      <w:keepNext/>
      <w:keepLines/>
      <w:spacing w:before="360" w:after="80" w:line="259" w:lineRule="auto"/>
      <w:jc w:val="left"/>
      <w:outlineLvl w:val="1"/>
    </w:pPr>
    <w:rPr>
      <w:b/>
      <w:bCs/>
      <w:sz w:val="36"/>
      <w:szCs w:val="36"/>
    </w:rPr>
  </w:style>
  <w:style w:type="paragraph" w:styleId="Ttulo3">
    <w:name w:val="heading 3"/>
    <w:basedOn w:val="Normal"/>
    <w:next w:val="Normal"/>
    <w:uiPriority w:val="9"/>
    <w:unhideWhenUsed/>
    <w:qFormat/>
    <w:pPr>
      <w:spacing w:line="240" w:lineRule="auto"/>
      <w:jc w:val="left"/>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line="259" w:lineRule="auto"/>
      <w:jc w:val="left"/>
      <w:outlineLvl w:val="3"/>
    </w:pPr>
    <w:rPr>
      <w:b/>
      <w:bCs/>
      <w:sz w:val="24"/>
      <w:szCs w:val="24"/>
    </w:rPr>
  </w:style>
  <w:style w:type="paragraph" w:styleId="Ttulo5">
    <w:name w:val="heading 5"/>
    <w:basedOn w:val="Normal"/>
    <w:next w:val="Normal"/>
    <w:uiPriority w:val="9"/>
    <w:semiHidden/>
    <w:unhideWhenUsed/>
    <w:qFormat/>
    <w:pPr>
      <w:keepNext/>
      <w:keepLines/>
      <w:spacing w:before="220" w:after="40" w:line="259" w:lineRule="auto"/>
      <w:jc w:val="left"/>
      <w:outlineLvl w:val="4"/>
    </w:pPr>
    <w:rPr>
      <w:b/>
      <w:bCs/>
    </w:rPr>
  </w:style>
  <w:style w:type="paragraph" w:styleId="Ttulo6">
    <w:name w:val="heading 6"/>
    <w:basedOn w:val="Normal"/>
    <w:next w:val="Normal"/>
    <w:uiPriority w:val="9"/>
    <w:semiHidden/>
    <w:unhideWhenUsed/>
    <w:qFormat/>
    <w:pPr>
      <w:keepNext/>
      <w:keepLines/>
      <w:spacing w:before="200" w:after="40" w:line="259" w:lineRule="auto"/>
      <w:jc w:val="left"/>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59" w:lineRule="auto"/>
      <w:jc w:val="left"/>
    </w:pPr>
    <w:rPr>
      <w:b/>
      <w:bCs/>
      <w:sz w:val="72"/>
      <w:szCs w:val="72"/>
    </w:rPr>
  </w:style>
  <w:style w:type="character" w:customStyle="1" w:styleId="Ttulo1Car">
    <w:name w:val="Título 1 Car"/>
    <w:basedOn w:val="Fuentedeprrafopredeter"/>
    <w:uiPriority w:val="9"/>
    <w:rsid w:val="0032003D"/>
    <w:rPr>
      <w:rFonts w:ascii="Arial" w:eastAsia="Arial" w:hAnsi="Arial" w:cs="Arial"/>
      <w:b/>
      <w:bCs/>
      <w:lang w:val="es-ES" w:eastAsia="es-ES" w:bidi="es-ES"/>
    </w:rPr>
  </w:style>
  <w:style w:type="character" w:customStyle="1" w:styleId="Ttulo2Car">
    <w:name w:val="Título 2 Car"/>
    <w:basedOn w:val="Fuentedeprrafopredeter"/>
    <w:uiPriority w:val="9"/>
    <w:rsid w:val="00B95D61"/>
    <w:rPr>
      <w:rFonts w:ascii="Calibri" w:eastAsia="Calibri" w:hAnsi="Calibri" w:cs="Calibri"/>
      <w:b/>
      <w:sz w:val="36"/>
      <w:szCs w:val="36"/>
      <w:lang w:val="es-ES" w:eastAsia="es-CO"/>
    </w:rPr>
  </w:style>
  <w:style w:type="character" w:customStyle="1" w:styleId="Ttulo3Car">
    <w:name w:val="Título 3 Car"/>
    <w:basedOn w:val="Fuentedeprrafopredeter"/>
    <w:uiPriority w:val="9"/>
    <w:rsid w:val="00B95D61"/>
    <w:rPr>
      <w:rFonts w:ascii="Times New Roman" w:eastAsia="Times New Roman" w:hAnsi="Times New Roman" w:cs="Times New Roman"/>
      <w:b/>
      <w:bCs/>
      <w:sz w:val="27"/>
      <w:szCs w:val="27"/>
      <w:lang w:val="es-CO" w:eastAsia="es-CO"/>
    </w:rPr>
  </w:style>
  <w:style w:type="character" w:customStyle="1" w:styleId="Ttulo4Car">
    <w:name w:val="Título 4 Car"/>
    <w:basedOn w:val="Fuentedeprrafopredeter"/>
    <w:uiPriority w:val="9"/>
    <w:semiHidden/>
    <w:rsid w:val="00B95D61"/>
    <w:rPr>
      <w:rFonts w:ascii="Calibri" w:eastAsia="Calibri" w:hAnsi="Calibri" w:cs="Calibri"/>
      <w:b/>
      <w:sz w:val="24"/>
      <w:szCs w:val="24"/>
      <w:lang w:val="es-ES" w:eastAsia="es-CO"/>
    </w:rPr>
  </w:style>
  <w:style w:type="character" w:customStyle="1" w:styleId="Ttulo5Car">
    <w:name w:val="Título 5 Car"/>
    <w:basedOn w:val="Fuentedeprrafopredeter"/>
    <w:uiPriority w:val="9"/>
    <w:semiHidden/>
    <w:rsid w:val="00B95D61"/>
    <w:rPr>
      <w:rFonts w:ascii="Calibri" w:eastAsia="Calibri" w:hAnsi="Calibri" w:cs="Calibri"/>
      <w:b/>
      <w:lang w:val="es-ES" w:eastAsia="es-CO"/>
    </w:rPr>
  </w:style>
  <w:style w:type="character" w:customStyle="1" w:styleId="Ttulo6Car">
    <w:name w:val="Título 6 Car"/>
    <w:basedOn w:val="Fuentedeprrafopredeter"/>
    <w:uiPriority w:val="9"/>
    <w:semiHidden/>
    <w:rsid w:val="00B95D61"/>
    <w:rPr>
      <w:rFonts w:ascii="Calibri" w:eastAsia="Calibri" w:hAnsi="Calibri" w:cs="Calibri"/>
      <w:b/>
      <w:sz w:val="20"/>
      <w:szCs w:val="20"/>
      <w:lang w:val="es-ES" w:eastAsia="es-CO"/>
    </w:rPr>
  </w:style>
  <w:style w:type="paragraph" w:styleId="Encabezado">
    <w:name w:val="header"/>
    <w:basedOn w:val="Normal"/>
    <w:link w:val="EncabezadoCar"/>
    <w:uiPriority w:val="99"/>
    <w:unhideWhenUsed/>
    <w:rsid w:val="00F8036E"/>
    <w:pPr>
      <w:tabs>
        <w:tab w:val="center" w:pos="4419"/>
        <w:tab w:val="right" w:pos="8838"/>
      </w:tabs>
      <w:spacing w:line="240" w:lineRule="auto"/>
    </w:pPr>
    <w:rPr>
      <w:lang w:val="en-US"/>
    </w:rPr>
  </w:style>
  <w:style w:type="character" w:customStyle="1" w:styleId="EncabezadoCar">
    <w:name w:val="Encabezado Car"/>
    <w:basedOn w:val="Fuentedeprrafopredeter"/>
    <w:link w:val="Encabezado"/>
    <w:uiPriority w:val="99"/>
    <w:rsid w:val="00F8036E"/>
  </w:style>
  <w:style w:type="paragraph" w:styleId="Piedepgina">
    <w:name w:val="footer"/>
    <w:basedOn w:val="Normal"/>
    <w:link w:val="PiedepginaCar"/>
    <w:uiPriority w:val="99"/>
    <w:unhideWhenUsed/>
    <w:rsid w:val="00F8036E"/>
    <w:pPr>
      <w:tabs>
        <w:tab w:val="center" w:pos="4419"/>
        <w:tab w:val="right" w:pos="8838"/>
      </w:tabs>
      <w:spacing w:line="240" w:lineRule="auto"/>
    </w:pPr>
    <w:rPr>
      <w:lang w:val="en-US"/>
    </w:rPr>
  </w:style>
  <w:style w:type="character" w:customStyle="1" w:styleId="PiedepginaCar">
    <w:name w:val="Pie de página Car"/>
    <w:basedOn w:val="Fuentedeprrafopredeter"/>
    <w:link w:val="Piedepgina"/>
    <w:uiPriority w:val="99"/>
    <w:rsid w:val="00F8036E"/>
  </w:style>
  <w:style w:type="paragraph" w:styleId="NormalWeb">
    <w:name w:val="Normal (Web)"/>
    <w:basedOn w:val="Normal"/>
    <w:uiPriority w:val="99"/>
    <w:unhideWhenUsed/>
    <w:rsid w:val="00F8036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extodeglobo">
    <w:name w:val="Balloon Text"/>
    <w:basedOn w:val="Normal"/>
    <w:link w:val="TextodegloboCar"/>
    <w:uiPriority w:val="99"/>
    <w:semiHidden/>
    <w:unhideWhenUsed/>
    <w:rsid w:val="00964779"/>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4779"/>
    <w:rPr>
      <w:rFonts w:ascii="Segoe UI" w:hAnsi="Segoe UI" w:cs="Segoe UI"/>
      <w:sz w:val="18"/>
      <w:szCs w:val="18"/>
    </w:rPr>
  </w:style>
  <w:style w:type="table" w:styleId="Tablaconcuadrcula">
    <w:name w:val="Table Grid"/>
    <w:basedOn w:val="Tablanormal"/>
    <w:uiPriority w:val="39"/>
    <w:rsid w:val="002A458F"/>
    <w:pPr>
      <w:spacing w:line="240" w:lineRule="auto"/>
    </w:pPr>
    <w:rPr>
      <w:lang w:val="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aliases w:val="Ha,Resume Title,List1,Lista vistosa - Énfasis 11,titulo 3,Bullet List,FooterText,numbered,Paragraphe de liste1,Bulletr List Paragraph,列出段落,列出段落1,List Paragraph21,Listeafsnit1,Parágrafo da Lista1,Normal. Viñetas,HOJA,Bolita,BOLADEF,BOLA"/>
    <w:basedOn w:val="Normal"/>
    <w:link w:val="PrrafodelistaCar"/>
    <w:uiPriority w:val="1"/>
    <w:qFormat/>
    <w:rsid w:val="002A458F"/>
    <w:pPr>
      <w:ind w:left="720"/>
      <w:contextualSpacing/>
    </w:pPr>
  </w:style>
  <w:style w:type="character" w:customStyle="1" w:styleId="PrrafodelistaCar">
    <w:name w:val="Párrafo de lista Car"/>
    <w:aliases w:val="Ha Car,Resume Title Car,List1 Car,Lista vistosa - Énfasis 11 Car,titulo 3 Car,Bullet List Car,FooterText Car,numbered Car,Paragraphe de liste1 Car,Bulletr List Paragraph Car,列出段落 Car,列出段落1 Car,List Paragraph21 Car,Listeafsnit1 Car"/>
    <w:link w:val="Prrafodelista"/>
    <w:uiPriority w:val="1"/>
    <w:qFormat/>
    <w:locked/>
    <w:rsid w:val="00312DC5"/>
    <w:rPr>
      <w:lang w:val="es-CO"/>
    </w:rPr>
  </w:style>
  <w:style w:type="character" w:styleId="nfasis">
    <w:name w:val="Emphasis"/>
    <w:qFormat/>
    <w:rsid w:val="00311619"/>
    <w:rPr>
      <w:i/>
      <w:iCs/>
    </w:rPr>
  </w:style>
  <w:style w:type="table" w:customStyle="1" w:styleId="Tablaconcuadrcula1">
    <w:name w:val="Tabla con cuadrícula1"/>
    <w:basedOn w:val="Tablanormal"/>
    <w:next w:val="Tablaconcuadrcula"/>
    <w:uiPriority w:val="39"/>
    <w:rsid w:val="0031161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B73C1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32003D"/>
    <w:pPr>
      <w:widowControl w:val="0"/>
      <w:autoSpaceDE w:val="0"/>
      <w:autoSpaceDN w:val="0"/>
      <w:spacing w:line="240" w:lineRule="auto"/>
      <w:jc w:val="left"/>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32003D"/>
    <w:rPr>
      <w:rFonts w:ascii="Arial" w:eastAsia="Arial" w:hAnsi="Arial" w:cs="Arial"/>
      <w:lang w:val="es-ES" w:eastAsia="es-ES" w:bidi="es-ES"/>
    </w:rPr>
  </w:style>
  <w:style w:type="paragraph" w:styleId="Sinespaciado">
    <w:name w:val="No Spacing"/>
    <w:uiPriority w:val="1"/>
    <w:qFormat/>
    <w:rsid w:val="0032003D"/>
    <w:pPr>
      <w:spacing w:line="240" w:lineRule="auto"/>
    </w:pPr>
  </w:style>
  <w:style w:type="character" w:styleId="Hipervnculo">
    <w:name w:val="Hyperlink"/>
    <w:basedOn w:val="Fuentedeprrafopredeter"/>
    <w:uiPriority w:val="99"/>
    <w:unhideWhenUsed/>
    <w:rsid w:val="005F3AF2"/>
    <w:rPr>
      <w:color w:val="0563C1" w:themeColor="hyperlink"/>
      <w:u w:val="single"/>
    </w:rPr>
  </w:style>
  <w:style w:type="paragraph" w:customStyle="1" w:styleId="Default">
    <w:name w:val="Default"/>
    <w:rsid w:val="00197A98"/>
    <w:pPr>
      <w:autoSpaceDE w:val="0"/>
      <w:autoSpaceDN w:val="0"/>
      <w:adjustRightInd w:val="0"/>
      <w:spacing w:line="240" w:lineRule="auto"/>
    </w:pPr>
    <w:rPr>
      <w:color w:val="000000"/>
      <w:sz w:val="24"/>
      <w:szCs w:val="24"/>
    </w:rPr>
  </w:style>
  <w:style w:type="character" w:styleId="Textoennegrita">
    <w:name w:val="Strong"/>
    <w:basedOn w:val="Fuentedeprrafopredeter"/>
    <w:uiPriority w:val="22"/>
    <w:qFormat/>
    <w:rsid w:val="00234A15"/>
    <w:rPr>
      <w:b/>
      <w:bCs/>
    </w:rPr>
  </w:style>
  <w:style w:type="character" w:customStyle="1" w:styleId="mw-headline">
    <w:name w:val="mw-headline"/>
    <w:basedOn w:val="Fuentedeprrafopredeter"/>
    <w:rsid w:val="00B95D61"/>
  </w:style>
  <w:style w:type="character" w:customStyle="1" w:styleId="mw-editsection">
    <w:name w:val="mw-editsection"/>
    <w:basedOn w:val="Fuentedeprrafopredeter"/>
    <w:rsid w:val="00B95D61"/>
  </w:style>
  <w:style w:type="character" w:customStyle="1" w:styleId="mw-editsection-bracket">
    <w:name w:val="mw-editsection-bracket"/>
    <w:basedOn w:val="Fuentedeprrafopredeter"/>
    <w:rsid w:val="00B95D61"/>
  </w:style>
  <w:style w:type="character" w:customStyle="1" w:styleId="iaj">
    <w:name w:val="i_aj"/>
    <w:basedOn w:val="Fuentedeprrafopredeter"/>
    <w:rsid w:val="00B95D61"/>
  </w:style>
  <w:style w:type="character" w:customStyle="1" w:styleId="baj">
    <w:name w:val="b_aj"/>
    <w:basedOn w:val="Fuentedeprrafopredeter"/>
    <w:rsid w:val="00B95D61"/>
  </w:style>
  <w:style w:type="character" w:styleId="Refdecomentario">
    <w:name w:val="annotation reference"/>
    <w:basedOn w:val="Fuentedeprrafopredeter"/>
    <w:uiPriority w:val="99"/>
    <w:semiHidden/>
    <w:unhideWhenUsed/>
    <w:rsid w:val="00B95D61"/>
    <w:rPr>
      <w:sz w:val="16"/>
      <w:szCs w:val="16"/>
    </w:rPr>
  </w:style>
  <w:style w:type="paragraph" w:styleId="Textocomentario">
    <w:name w:val="annotation text"/>
    <w:basedOn w:val="Normal"/>
    <w:link w:val="TextocomentarioCar"/>
    <w:uiPriority w:val="99"/>
    <w:unhideWhenUsed/>
    <w:rsid w:val="00B95D61"/>
    <w:pPr>
      <w:spacing w:after="160" w:line="240" w:lineRule="auto"/>
      <w:jc w:val="left"/>
    </w:pPr>
    <w:rPr>
      <w:sz w:val="20"/>
      <w:szCs w:val="20"/>
      <w:lang w:val="es-ES" w:eastAsia="es-CO"/>
    </w:rPr>
  </w:style>
  <w:style w:type="character" w:customStyle="1" w:styleId="TextocomentarioCar">
    <w:name w:val="Texto comentario Car"/>
    <w:basedOn w:val="Fuentedeprrafopredeter"/>
    <w:link w:val="Textocomentario"/>
    <w:uiPriority w:val="99"/>
    <w:rsid w:val="00B95D61"/>
    <w:rPr>
      <w:rFonts w:ascii="Calibri" w:eastAsia="Calibri" w:hAnsi="Calibri" w:cs="Calibri"/>
      <w:sz w:val="20"/>
      <w:szCs w:val="20"/>
      <w:lang w:val="es-ES" w:eastAsia="es-CO"/>
    </w:rPr>
  </w:style>
  <w:style w:type="paragraph" w:styleId="Asuntodelcomentario">
    <w:name w:val="annotation subject"/>
    <w:basedOn w:val="Textocomentario"/>
    <w:next w:val="Textocomentario"/>
    <w:link w:val="AsuntodelcomentarioCar"/>
    <w:uiPriority w:val="99"/>
    <w:semiHidden/>
    <w:unhideWhenUsed/>
    <w:rsid w:val="00B95D61"/>
    <w:rPr>
      <w:b/>
      <w:bCs/>
    </w:rPr>
  </w:style>
  <w:style w:type="character" w:customStyle="1" w:styleId="AsuntodelcomentarioCar">
    <w:name w:val="Asunto del comentario Car"/>
    <w:basedOn w:val="TextocomentarioCar"/>
    <w:link w:val="Asuntodelcomentario"/>
    <w:uiPriority w:val="99"/>
    <w:semiHidden/>
    <w:rsid w:val="00B95D61"/>
    <w:rPr>
      <w:rFonts w:ascii="Calibri" w:eastAsia="Calibri" w:hAnsi="Calibri" w:cs="Calibri"/>
      <w:b/>
      <w:bCs/>
      <w:sz w:val="20"/>
      <w:szCs w:val="20"/>
      <w:lang w:val="es-ES" w:eastAsia="es-CO"/>
    </w:rPr>
  </w:style>
  <w:style w:type="character" w:styleId="Nmerodepgina">
    <w:name w:val="page number"/>
    <w:basedOn w:val="Fuentedeprrafopredeter"/>
    <w:uiPriority w:val="99"/>
    <w:unhideWhenUsed/>
    <w:rsid w:val="00B95D61"/>
  </w:style>
  <w:style w:type="character" w:customStyle="1" w:styleId="TtuloCar">
    <w:name w:val="Título Car"/>
    <w:basedOn w:val="Fuentedeprrafopredeter"/>
    <w:uiPriority w:val="1"/>
    <w:rsid w:val="00B95D61"/>
    <w:rPr>
      <w:rFonts w:ascii="Calibri" w:eastAsia="Calibri" w:hAnsi="Calibri" w:cs="Calibri"/>
      <w:b/>
      <w:sz w:val="72"/>
      <w:szCs w:val="72"/>
      <w:lang w:val="es-ES" w:eastAsia="es-CO"/>
    </w:rPr>
  </w:style>
  <w:style w:type="character" w:customStyle="1" w:styleId="SubttuloCar">
    <w:name w:val="Subtítulo Car"/>
    <w:basedOn w:val="Fuentedeprrafopredeter"/>
    <w:rsid w:val="00B95D61"/>
    <w:rPr>
      <w:rFonts w:ascii="Georgia" w:eastAsia="Georgia" w:hAnsi="Georgia" w:cs="Georgia"/>
      <w:i/>
      <w:color w:val="666666"/>
      <w:sz w:val="48"/>
      <w:szCs w:val="48"/>
      <w:lang w:val="es-ES" w:eastAsia="es-CO"/>
    </w:rPr>
  </w:style>
  <w:style w:type="paragraph" w:styleId="Textonotapie">
    <w:name w:val="footnote text"/>
    <w:basedOn w:val="Normal"/>
    <w:link w:val="TextonotapieCar"/>
    <w:uiPriority w:val="99"/>
    <w:semiHidden/>
    <w:unhideWhenUsed/>
    <w:rsid w:val="00B95D61"/>
    <w:pPr>
      <w:spacing w:line="240" w:lineRule="auto"/>
      <w:jc w:val="left"/>
    </w:pPr>
    <w:rPr>
      <w:sz w:val="20"/>
      <w:szCs w:val="20"/>
      <w:lang w:val="es-ES" w:eastAsia="es-CO"/>
    </w:rPr>
  </w:style>
  <w:style w:type="character" w:customStyle="1" w:styleId="TextonotapieCar">
    <w:name w:val="Texto nota pie Car"/>
    <w:basedOn w:val="Fuentedeprrafopredeter"/>
    <w:link w:val="Textonotapie"/>
    <w:uiPriority w:val="99"/>
    <w:semiHidden/>
    <w:rsid w:val="00B95D61"/>
    <w:rPr>
      <w:rFonts w:ascii="Calibri" w:eastAsia="Calibri" w:hAnsi="Calibri" w:cs="Calibri"/>
      <w:sz w:val="20"/>
      <w:szCs w:val="20"/>
      <w:lang w:val="es-ES" w:eastAsia="es-CO"/>
    </w:rPr>
  </w:style>
  <w:style w:type="character" w:styleId="Refdenotaalpie">
    <w:name w:val="footnote reference"/>
    <w:basedOn w:val="Fuentedeprrafopredeter"/>
    <w:uiPriority w:val="99"/>
    <w:semiHidden/>
    <w:unhideWhenUsed/>
    <w:rsid w:val="00B95D61"/>
    <w:rPr>
      <w:vertAlign w:val="superscript"/>
    </w:rPr>
  </w:style>
  <w:style w:type="paragraph" w:customStyle="1" w:styleId="TableParagraph">
    <w:name w:val="Table Paragraph"/>
    <w:basedOn w:val="Normal"/>
    <w:uiPriority w:val="1"/>
    <w:qFormat/>
    <w:rsid w:val="00B95D61"/>
    <w:pPr>
      <w:widowControl w:val="0"/>
      <w:autoSpaceDE w:val="0"/>
      <w:autoSpaceDN w:val="0"/>
      <w:spacing w:line="240" w:lineRule="auto"/>
      <w:jc w:val="left"/>
    </w:pPr>
    <w:rPr>
      <w:rFonts w:ascii="Arial MT" w:eastAsia="Arial MT" w:hAnsi="Arial MT" w:cs="Arial MT"/>
      <w:lang w:val="es-ES"/>
    </w:rPr>
  </w:style>
  <w:style w:type="character" w:customStyle="1" w:styleId="TextodegloboCar1">
    <w:name w:val="Texto de globo Car1"/>
    <w:basedOn w:val="Fuentedeprrafopredeter"/>
    <w:uiPriority w:val="99"/>
    <w:semiHidden/>
    <w:rsid w:val="00B95D61"/>
    <w:rPr>
      <w:rFonts w:ascii="Segoe UI" w:eastAsia="Calibri" w:hAnsi="Segoe UI" w:cs="Segoe UI"/>
      <w:sz w:val="18"/>
      <w:szCs w:val="18"/>
      <w:lang w:eastAsia="es-CO"/>
    </w:rPr>
  </w:style>
  <w:style w:type="table" w:styleId="Tablaconcuadrculaclara">
    <w:name w:val="Grid Table Light"/>
    <w:basedOn w:val="Tablanormal"/>
    <w:uiPriority w:val="40"/>
    <w:rsid w:val="00B95D61"/>
    <w:pPr>
      <w:spacing w:line="240" w:lineRule="auto"/>
    </w:pPr>
    <w:rPr>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B95D61"/>
    <w:pPr>
      <w:spacing w:line="240" w:lineRule="auto"/>
    </w:pPr>
    <w:rPr>
      <w:lang w:val="es-E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B95D61"/>
    <w:pPr>
      <w:spacing w:line="240" w:lineRule="auto"/>
    </w:pPr>
    <w:rPr>
      <w:lang w:val="es-E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ield-content">
    <w:name w:val="field-content"/>
    <w:basedOn w:val="Fuentedeprrafopredeter"/>
    <w:rsid w:val="000732F1"/>
  </w:style>
  <w:style w:type="character" w:customStyle="1" w:styleId="il">
    <w:name w:val="il"/>
    <w:basedOn w:val="Fuentedeprrafopredeter"/>
    <w:rsid w:val="00722A25"/>
  </w:style>
  <w:style w:type="character" w:customStyle="1" w:styleId="whitespace-normal">
    <w:name w:val="whitespace-normal"/>
    <w:basedOn w:val="Fuentedeprrafopredeter"/>
    <w:rsid w:val="00275CEE"/>
  </w:style>
  <w:style w:type="table" w:customStyle="1" w:styleId="TableNormal0">
    <w:name w:val="Table Normal"/>
    <w:uiPriority w:val="2"/>
    <w:semiHidden/>
    <w:unhideWhenUsed/>
    <w:qFormat/>
    <w:rsid w:val="005A59B2"/>
    <w:pPr>
      <w:widowControl w:val="0"/>
      <w:autoSpaceDE w:val="0"/>
      <w:autoSpaceDN w:val="0"/>
      <w:spacing w:line="240" w:lineRule="auto"/>
    </w:pPr>
    <w:tblPr>
      <w:tblInd w:w="0" w:type="dxa"/>
      <w:tblCellMar>
        <w:top w:w="0" w:type="dxa"/>
        <w:left w:w="0" w:type="dxa"/>
        <w:bottom w:w="0" w:type="dxa"/>
        <w:right w:w="0" w:type="dxa"/>
      </w:tblCellMar>
    </w:tblPr>
  </w:style>
  <w:style w:type="paragraph" w:customStyle="1" w:styleId="p1">
    <w:name w:val="p1"/>
    <w:basedOn w:val="Normal"/>
    <w:rsid w:val="00D1768A"/>
    <w:pPr>
      <w:spacing w:line="240" w:lineRule="auto"/>
      <w:jc w:val="left"/>
    </w:pPr>
    <w:rPr>
      <w:rFonts w:ascii="Helvetica" w:eastAsia="Times New Roman" w:hAnsi="Helvetica" w:cs="Times New Roman"/>
      <w:color w:val="000000"/>
      <w:sz w:val="17"/>
      <w:szCs w:val="17"/>
    </w:rPr>
  </w:style>
  <w:style w:type="character" w:customStyle="1" w:styleId="s1">
    <w:name w:val="s1"/>
    <w:basedOn w:val="Fuentedeprrafopredeter"/>
    <w:rsid w:val="00D1768A"/>
    <w:rPr>
      <w:rFonts w:ascii="Wingdings" w:hAnsi="Wingdings" w:hint="default"/>
      <w:sz w:val="17"/>
      <w:szCs w:val="17"/>
    </w:rPr>
  </w:style>
  <w:style w:type="character" w:customStyle="1" w:styleId="s2">
    <w:name w:val="s2"/>
    <w:basedOn w:val="Fuentedeprrafopredeter"/>
    <w:rsid w:val="00D1768A"/>
    <w:rPr>
      <w:rFonts w:ascii="Arial" w:hAnsi="Arial" w:cs="Arial" w:hint="default"/>
      <w:sz w:val="17"/>
      <w:szCs w:val="17"/>
    </w:rPr>
  </w:style>
  <w:style w:type="paragraph" w:styleId="Subttulo">
    <w:name w:val="Subtitle"/>
    <w:basedOn w:val="Normal"/>
    <w:next w:val="Normal"/>
    <w:uiPriority w:val="11"/>
    <w:qFormat/>
    <w:pPr>
      <w:keepNext/>
      <w:keepLines/>
      <w:spacing w:before="360" w:after="80" w:line="259" w:lineRule="auto"/>
      <w:jc w:val="left"/>
    </w:pPr>
    <w:rPr>
      <w:rFonts w:ascii="Georgia" w:eastAsia="Georgia" w:hAnsi="Georgia" w:cs="Georgia"/>
      <w:i/>
      <w:iCs/>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doi.org/10.1787/dcd4dd36-en" TargetMode="External"/><Relationship Id="rId1" Type="http://schemas.openxmlformats.org/officeDocument/2006/relationships/hyperlink" Target="https://doi.org/10.1787/978926424104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Da6BpvonsouaWAu6+CbpTVXItA==">CgMxLjAyDmgueW9lMTg5c295Zm9lMg5oLmo4OXlscWVuaDRzYzIOaC5ieTdpa2J0YmZ5NHYyDmguamp4MjFkNmM3NGx4Mg5oLndxdzF6M3B4bGVlbjINaC40OHM0dDV6dGNudTgAciExTmJHUWkzSzhXaXFud2pOaEMwLXdJaVRyYmc0TDcwaEg=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7511</Words>
  <Characters>41312</Characters>
  <Application>Microsoft Office Word</Application>
  <DocSecurity>0</DocSecurity>
  <Lines>344</Lines>
  <Paragraphs>97</Paragraphs>
  <ScaleCrop>false</ScaleCrop>
  <Company/>
  <LinksUpToDate>false</LinksUpToDate>
  <CharactersWithSpaces>48726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ALEX FABIAN CASTILLO ROJAS</cp:lastModifiedBy>
  <cp:revision>2</cp:revision>
  <dcterms:created xsi:type="dcterms:W3CDTF">2026-09-21T21:52:00Z</dcterms:created>
  <dcterms:modified xsi:type="dcterms:W3CDTF">2026-09-21T21:52:00Z</dcterms:modified>
</cp:coreProperties>
</file>