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79"/>
        <w:ind w:left="1"/>
      </w:pPr>
      <w:r>
        <w:rPr/>
        <w:t>Bogotá,</w:t>
      </w:r>
      <w:r>
        <w:rPr>
          <w:spacing w:val="-1"/>
        </w:rPr>
        <w:t> </w:t>
      </w:r>
      <w:r>
        <w:rPr/>
        <w:t>D.</w:t>
      </w:r>
      <w:r>
        <w:rPr>
          <w:spacing w:val="-2"/>
        </w:rPr>
        <w:t> </w:t>
      </w:r>
      <w:r>
        <w:rPr/>
        <w:t>C.,</w:t>
      </w:r>
      <w:r>
        <w:rPr>
          <w:spacing w:val="-2"/>
        </w:rPr>
        <w:t> </w:t>
      </w:r>
      <w:r>
        <w:rPr/>
        <w:t>8</w:t>
      </w:r>
      <w:r>
        <w:rPr>
          <w:spacing w:val="-6"/>
        </w:rPr>
        <w:t> </w:t>
      </w:r>
      <w:r>
        <w:rPr/>
        <w:t>de</w:t>
      </w:r>
      <w:r>
        <w:rPr>
          <w:spacing w:val="-6"/>
        </w:rPr>
        <w:t> </w:t>
      </w:r>
      <w:r>
        <w:rPr/>
        <w:t>septiembre de</w:t>
      </w:r>
      <w:r>
        <w:rPr>
          <w:spacing w:val="-1"/>
        </w:rPr>
        <w:t> </w:t>
      </w:r>
      <w:r>
        <w:rPr>
          <w:spacing w:val="-4"/>
        </w:rPr>
        <w:t>2026</w:t>
      </w:r>
    </w:p>
    <w:p>
      <w:pPr>
        <w:pStyle w:val="BodyText"/>
      </w:pPr>
    </w:p>
    <w:p>
      <w:pPr>
        <w:pStyle w:val="BodyText"/>
      </w:pPr>
    </w:p>
    <w:p>
      <w:pPr>
        <w:pStyle w:val="BodyText"/>
      </w:pPr>
    </w:p>
    <w:p>
      <w:pPr>
        <w:pStyle w:val="BodyText"/>
      </w:pPr>
    </w:p>
    <w:p>
      <w:pPr>
        <w:pStyle w:val="BodyText"/>
      </w:pPr>
    </w:p>
    <w:p>
      <w:pPr>
        <w:pStyle w:val="BodyText"/>
        <w:spacing w:before="35"/>
      </w:pPr>
    </w:p>
    <w:p>
      <w:pPr>
        <w:pStyle w:val="BodyText"/>
        <w:ind w:left="1"/>
      </w:pPr>
      <w:r>
        <w:rPr/>
        <w:t>Honorable</w:t>
      </w:r>
      <w:r>
        <w:rPr>
          <w:spacing w:val="-5"/>
        </w:rPr>
        <w:t> </w:t>
      </w:r>
      <w:r>
        <w:rPr>
          <w:spacing w:val="-2"/>
        </w:rPr>
        <w:t>Representante</w:t>
      </w:r>
    </w:p>
    <w:p>
      <w:pPr>
        <w:pStyle w:val="Heading1"/>
        <w:spacing w:before="126"/>
        <w:jc w:val="both"/>
      </w:pPr>
      <w:r>
        <w:rPr/>
        <w:t>JOSÉ</w:t>
      </w:r>
      <w:r>
        <w:rPr>
          <w:spacing w:val="-6"/>
        </w:rPr>
        <w:t> </w:t>
      </w:r>
      <w:r>
        <w:rPr/>
        <w:t>JAIME</w:t>
      </w:r>
      <w:r>
        <w:rPr>
          <w:spacing w:val="-5"/>
        </w:rPr>
        <w:t> </w:t>
      </w:r>
      <w:r>
        <w:rPr/>
        <w:t>USCÁTEGUI</w:t>
      </w:r>
      <w:r>
        <w:rPr>
          <w:spacing w:val="-2"/>
        </w:rPr>
        <w:t> PASTRANA</w:t>
      </w:r>
    </w:p>
    <w:p>
      <w:pPr>
        <w:pStyle w:val="Heading2"/>
        <w:spacing w:before="127"/>
        <w:jc w:val="both"/>
      </w:pPr>
      <w:r>
        <w:rPr/>
        <w:t>Presidente</w:t>
      </w:r>
      <w:r>
        <w:rPr>
          <w:spacing w:val="-6"/>
        </w:rPr>
        <w:t> </w:t>
      </w:r>
      <w:r>
        <w:rPr/>
        <w:t>Comisión</w:t>
      </w:r>
      <w:r>
        <w:rPr>
          <w:spacing w:val="-7"/>
        </w:rPr>
        <w:t> </w:t>
      </w:r>
      <w:r>
        <w:rPr/>
        <w:t>Primera</w:t>
      </w:r>
      <w:r>
        <w:rPr>
          <w:spacing w:val="-5"/>
        </w:rPr>
        <w:t> </w:t>
      </w:r>
      <w:r>
        <w:rPr/>
        <w:t>Constitucional</w:t>
      </w:r>
      <w:r>
        <w:rPr>
          <w:spacing w:val="-6"/>
        </w:rPr>
        <w:t> </w:t>
      </w:r>
      <w:r>
        <w:rPr>
          <w:spacing w:val="-2"/>
        </w:rPr>
        <w:t>Permanente</w:t>
      </w:r>
    </w:p>
    <w:p>
      <w:pPr>
        <w:pStyle w:val="BodyText"/>
        <w:spacing w:line="360" w:lineRule="auto" w:before="125"/>
        <w:ind w:left="1" w:right="6216"/>
      </w:pPr>
      <w:r>
        <w:rPr/>
        <w:t>Cámara</w:t>
      </w:r>
      <w:r>
        <w:rPr>
          <w:spacing w:val="-16"/>
        </w:rPr>
        <w:t> </w:t>
      </w:r>
      <w:r>
        <w:rPr/>
        <w:t>de</w:t>
      </w:r>
      <w:r>
        <w:rPr>
          <w:spacing w:val="-15"/>
        </w:rPr>
        <w:t> </w:t>
      </w:r>
      <w:r>
        <w:rPr/>
        <w:t>Representantes Congreso de Colombia</w:t>
      </w:r>
    </w:p>
    <w:p>
      <w:pPr>
        <w:pStyle w:val="BodyText"/>
      </w:pPr>
    </w:p>
    <w:p>
      <w:pPr>
        <w:pStyle w:val="BodyText"/>
        <w:spacing w:before="250"/>
      </w:pPr>
    </w:p>
    <w:p>
      <w:pPr>
        <w:spacing w:line="360" w:lineRule="auto" w:before="1"/>
        <w:ind w:left="1" w:right="382" w:firstLine="0"/>
        <w:jc w:val="both"/>
        <w:rPr>
          <w:rFonts w:ascii="Arial" w:hAnsi="Arial"/>
          <w:i/>
          <w:sz w:val="22"/>
        </w:rPr>
      </w:pPr>
      <w:r>
        <w:rPr>
          <w:rFonts w:ascii="Arial" w:hAnsi="Arial"/>
          <w:b/>
          <w:sz w:val="22"/>
        </w:rPr>
        <w:t>Asunto: </w:t>
      </w:r>
      <w:r>
        <w:rPr>
          <w:rFonts w:ascii="Arial" w:hAnsi="Arial"/>
          <w:i/>
          <w:sz w:val="22"/>
        </w:rPr>
        <w:t>Informe de Ponencia para Segundo Debate – Plenaria de la Cámara de Representantes del Proyecto de Ley número</w:t>
      </w:r>
      <w:r>
        <w:rPr>
          <w:rFonts w:ascii="Arial" w:hAnsi="Arial"/>
          <w:i/>
          <w:spacing w:val="-1"/>
          <w:sz w:val="22"/>
        </w:rPr>
        <w:t> </w:t>
      </w:r>
      <w:r>
        <w:rPr>
          <w:rFonts w:ascii="Arial" w:hAnsi="Arial"/>
          <w:i/>
          <w:sz w:val="22"/>
        </w:rPr>
        <w:t>035 de 2025 Cámara, “por medio del cual se crea el artículo 36 A y se modifica el artículo 225 de la Ley 599 de 2000 sobre retractación en los delitos de Injuria y Calumnia”.</w:t>
      </w:r>
    </w:p>
    <w:p>
      <w:pPr>
        <w:pStyle w:val="BodyText"/>
        <w:rPr>
          <w:rFonts w:ascii="Arial"/>
          <w:i/>
        </w:rPr>
      </w:pPr>
    </w:p>
    <w:p>
      <w:pPr>
        <w:pStyle w:val="BodyText"/>
        <w:rPr>
          <w:rFonts w:ascii="Arial"/>
          <w:i/>
        </w:rPr>
      </w:pPr>
    </w:p>
    <w:p>
      <w:pPr>
        <w:pStyle w:val="BodyText"/>
        <w:rPr>
          <w:rFonts w:ascii="Arial"/>
          <w:i/>
        </w:rPr>
      </w:pPr>
    </w:p>
    <w:p>
      <w:pPr>
        <w:pStyle w:val="BodyText"/>
        <w:spacing w:before="124"/>
        <w:rPr>
          <w:rFonts w:ascii="Arial"/>
          <w:i/>
        </w:rPr>
      </w:pPr>
    </w:p>
    <w:p>
      <w:pPr>
        <w:pStyle w:val="Heading2"/>
        <w:jc w:val="both"/>
      </w:pPr>
      <w:r>
        <w:rPr/>
        <w:t>Estimado</w:t>
      </w:r>
      <w:r>
        <w:rPr>
          <w:spacing w:val="-8"/>
        </w:rPr>
        <w:t> </w:t>
      </w:r>
      <w:r>
        <w:rPr>
          <w:spacing w:val="-2"/>
        </w:rPr>
        <w:t>presidente:</w:t>
      </w:r>
    </w:p>
    <w:p>
      <w:pPr>
        <w:pStyle w:val="BodyText"/>
        <w:spacing w:before="252"/>
        <w:rPr>
          <w:rFonts w:ascii="Arial"/>
          <w:b/>
        </w:rPr>
      </w:pPr>
    </w:p>
    <w:p>
      <w:pPr>
        <w:pStyle w:val="BodyText"/>
        <w:spacing w:line="360" w:lineRule="auto"/>
        <w:ind w:left="1" w:right="361"/>
        <w:jc w:val="both"/>
      </w:pPr>
      <w:r>
        <w:rPr/>
        <w:t>En cumplimiento de la designación realizada por la Mesa Directiva de la Comisión Primera Constitucional Permanente de la Cámara de Representantes, mediante comunicación C.P.C.P. 3.1–0013–2026 del 4 de agosto de 2026, y de conformidad con lo establecido en los artículos 150, 153, 156 y 174 y siguientes de la Ley 5ª de 1992, me permito rendir informe de </w:t>
      </w:r>
      <w:r>
        <w:rPr>
          <w:rFonts w:ascii="Arial" w:hAnsi="Arial"/>
          <w:b/>
        </w:rPr>
        <w:t>PONENCIA POSITIVA </w:t>
      </w:r>
      <w:r>
        <w:rPr/>
        <w:t>para Segundo Debate en Plenaria de la Cámara de Representantes al Proyecto de Ley número 035 de 2025 Cámara, por medio del cual se crea el artículo 36 A y se modifica el artículo 225 de la Ley 599 de 2000 sobre retractación en los delitos de Injuria y Calumnia, en los siguientes términos:</w:t>
      </w:r>
    </w:p>
    <w:p>
      <w:pPr>
        <w:pStyle w:val="BodyText"/>
      </w:pPr>
    </w:p>
    <w:p>
      <w:pPr>
        <w:pStyle w:val="BodyText"/>
        <w:spacing w:before="108"/>
      </w:pPr>
    </w:p>
    <w:p>
      <w:pPr>
        <w:pStyle w:val="Heading1"/>
        <w:numPr>
          <w:ilvl w:val="0"/>
          <w:numId w:val="1"/>
        </w:numPr>
        <w:tabs>
          <w:tab w:pos="183" w:val="left" w:leader="none"/>
        </w:tabs>
        <w:spacing w:line="240" w:lineRule="auto" w:before="0" w:after="0"/>
        <w:ind w:left="183" w:right="0" w:hanging="182"/>
        <w:jc w:val="left"/>
      </w:pPr>
      <w:r>
        <w:rPr/>
        <w:t>TRÁMITE</w:t>
      </w:r>
      <w:r>
        <w:rPr>
          <w:spacing w:val="-4"/>
        </w:rPr>
        <w:t> </w:t>
      </w:r>
      <w:r>
        <w:rPr/>
        <w:t>LEGISLATIVO</w:t>
      </w:r>
      <w:r>
        <w:rPr>
          <w:spacing w:val="-3"/>
        </w:rPr>
        <w:t> </w:t>
      </w:r>
      <w:r>
        <w:rPr/>
        <w:t>Y</w:t>
      </w:r>
      <w:r>
        <w:rPr>
          <w:spacing w:val="-3"/>
        </w:rPr>
        <w:t> </w:t>
      </w:r>
      <w:r>
        <w:rPr>
          <w:spacing w:val="-2"/>
        </w:rPr>
        <w:t>ANTECEDENTES</w:t>
      </w:r>
    </w:p>
    <w:p>
      <w:pPr>
        <w:pStyle w:val="BodyText"/>
        <w:spacing w:before="247"/>
        <w:ind w:left="1"/>
      </w:pPr>
      <w:r>
        <w:rPr/>
        <w:t>El</w:t>
      </w:r>
      <w:r>
        <w:rPr>
          <w:spacing w:val="4"/>
        </w:rPr>
        <w:t> </w:t>
      </w:r>
      <w:r>
        <w:rPr/>
        <w:t>Proyecto</w:t>
      </w:r>
      <w:r>
        <w:rPr>
          <w:spacing w:val="6"/>
        </w:rPr>
        <w:t> </w:t>
      </w:r>
      <w:r>
        <w:rPr/>
        <w:t>de</w:t>
      </w:r>
      <w:r>
        <w:rPr>
          <w:spacing w:val="6"/>
        </w:rPr>
        <w:t> </w:t>
      </w:r>
      <w:r>
        <w:rPr/>
        <w:t>Ley</w:t>
      </w:r>
      <w:r>
        <w:rPr>
          <w:spacing w:val="8"/>
        </w:rPr>
        <w:t> </w:t>
      </w:r>
      <w:r>
        <w:rPr/>
        <w:t>número</w:t>
      </w:r>
      <w:r>
        <w:rPr>
          <w:spacing w:val="8"/>
        </w:rPr>
        <w:t> </w:t>
      </w:r>
      <w:r>
        <w:rPr/>
        <w:t>035</w:t>
      </w:r>
      <w:r>
        <w:rPr>
          <w:spacing w:val="6"/>
        </w:rPr>
        <w:t> </w:t>
      </w:r>
      <w:r>
        <w:rPr/>
        <w:t>de</w:t>
      </w:r>
      <w:r>
        <w:rPr>
          <w:spacing w:val="8"/>
        </w:rPr>
        <w:t> </w:t>
      </w:r>
      <w:r>
        <w:rPr/>
        <w:t>2025</w:t>
      </w:r>
      <w:r>
        <w:rPr>
          <w:spacing w:val="6"/>
        </w:rPr>
        <w:t> </w:t>
      </w:r>
      <w:r>
        <w:rPr/>
        <w:t>Cámara,</w:t>
      </w:r>
      <w:r>
        <w:rPr>
          <w:spacing w:val="7"/>
        </w:rPr>
        <w:t> </w:t>
      </w:r>
      <w:r>
        <w:rPr/>
        <w:t>por</w:t>
      </w:r>
      <w:r>
        <w:rPr>
          <w:spacing w:val="7"/>
        </w:rPr>
        <w:t> </w:t>
      </w:r>
      <w:r>
        <w:rPr/>
        <w:t>medio</w:t>
      </w:r>
      <w:r>
        <w:rPr>
          <w:spacing w:val="8"/>
        </w:rPr>
        <w:t> </w:t>
      </w:r>
      <w:r>
        <w:rPr/>
        <w:t>del</w:t>
      </w:r>
      <w:r>
        <w:rPr>
          <w:spacing w:val="7"/>
        </w:rPr>
        <w:t> </w:t>
      </w:r>
      <w:r>
        <w:rPr/>
        <w:t>cual</w:t>
      </w:r>
      <w:r>
        <w:rPr>
          <w:spacing w:val="7"/>
        </w:rPr>
        <w:t> </w:t>
      </w:r>
      <w:r>
        <w:rPr/>
        <w:t>se</w:t>
      </w:r>
      <w:r>
        <w:rPr>
          <w:spacing w:val="6"/>
        </w:rPr>
        <w:t> </w:t>
      </w:r>
      <w:r>
        <w:rPr/>
        <w:t>crea</w:t>
      </w:r>
      <w:r>
        <w:rPr>
          <w:spacing w:val="6"/>
        </w:rPr>
        <w:t> </w:t>
      </w:r>
      <w:r>
        <w:rPr/>
        <w:t>el</w:t>
      </w:r>
      <w:r>
        <w:rPr>
          <w:spacing w:val="7"/>
        </w:rPr>
        <w:t> </w:t>
      </w:r>
      <w:r>
        <w:rPr/>
        <w:t>artículo</w:t>
      </w:r>
      <w:r>
        <w:rPr>
          <w:spacing w:val="8"/>
        </w:rPr>
        <w:t> </w:t>
      </w:r>
      <w:r>
        <w:rPr/>
        <w:t>36</w:t>
      </w:r>
      <w:r>
        <w:rPr>
          <w:spacing w:val="6"/>
        </w:rPr>
        <w:t> </w:t>
      </w:r>
      <w:r>
        <w:rPr/>
        <w:t>A</w:t>
      </w:r>
      <w:r>
        <w:rPr>
          <w:spacing w:val="5"/>
        </w:rPr>
        <w:t> </w:t>
      </w:r>
      <w:r>
        <w:rPr>
          <w:spacing w:val="-10"/>
        </w:rPr>
        <w:t>y</w:t>
      </w:r>
    </w:p>
    <w:p>
      <w:pPr>
        <w:pStyle w:val="BodyText"/>
        <w:spacing w:after="0"/>
        <w:sectPr>
          <w:type w:val="continuous"/>
          <w:pgSz w:w="12240" w:h="15840"/>
          <w:pgMar w:top="1740" w:bottom="280" w:left="1440" w:right="1080"/>
        </w:sectPr>
      </w:pPr>
    </w:p>
    <w:p>
      <w:pPr>
        <w:pStyle w:val="BodyText"/>
        <w:spacing w:line="360" w:lineRule="auto" w:before="79"/>
        <w:ind w:left="1" w:right="365"/>
        <w:jc w:val="both"/>
      </w:pPr>
      <w:r>
        <w:rPr/>
        <w:t>se modifica el artículo 225 de la Ley 599 de 2000 sobre retractación en los delitos de Injuria y Calumnia, fue radicado el 21 de julio de 2025 ante la Secretaría General de la Cámara de Representantes por el honorable Representante Hernán Darío Cadavid Márquez, autor de la iniciativa, y publicado en la Gaceta del Congreso número 1226 del 25 de julio de 2025.</w:t>
      </w:r>
    </w:p>
    <w:p>
      <w:pPr>
        <w:pStyle w:val="BodyText"/>
        <w:spacing w:before="125"/>
      </w:pPr>
    </w:p>
    <w:p>
      <w:pPr>
        <w:pStyle w:val="BodyText"/>
        <w:spacing w:line="360" w:lineRule="auto"/>
        <w:ind w:left="1" w:right="366"/>
        <w:jc w:val="both"/>
      </w:pPr>
      <w:r>
        <w:rPr/>
        <w:t>El proyecto fue repartido a la Comisión Primera Constitucional Permanente de la Cámara de Representantes, donde el honorable Representante Hernán Darío Cadavid Márquez fue designado ponente para primer debate. El informe de ponencia positiva, sin modificaciones al articulado radicado, fue</w:t>
      </w:r>
      <w:r>
        <w:rPr>
          <w:spacing w:val="-1"/>
        </w:rPr>
        <w:t> </w:t>
      </w:r>
      <w:r>
        <w:rPr/>
        <w:t>publicado en</w:t>
      </w:r>
      <w:r>
        <w:rPr>
          <w:spacing w:val="-1"/>
        </w:rPr>
        <w:t> </w:t>
      </w:r>
      <w:r>
        <w:rPr/>
        <w:t>la</w:t>
      </w:r>
      <w:r>
        <w:rPr>
          <w:spacing w:val="-1"/>
        </w:rPr>
        <w:t> </w:t>
      </w:r>
      <w:r>
        <w:rPr/>
        <w:t>Gaceta</w:t>
      </w:r>
      <w:r>
        <w:rPr>
          <w:spacing w:val="-1"/>
        </w:rPr>
        <w:t> </w:t>
      </w:r>
      <w:r>
        <w:rPr/>
        <w:t>del</w:t>
      </w:r>
      <w:r>
        <w:rPr>
          <w:spacing w:val="-2"/>
        </w:rPr>
        <w:t> </w:t>
      </w:r>
      <w:r>
        <w:rPr/>
        <w:t>Congreso</w:t>
      </w:r>
      <w:r>
        <w:rPr>
          <w:spacing w:val="-1"/>
        </w:rPr>
        <w:t> </w:t>
      </w:r>
      <w:r>
        <w:rPr/>
        <w:t>número</w:t>
      </w:r>
      <w:r>
        <w:rPr>
          <w:spacing w:val="-1"/>
        </w:rPr>
        <w:t> </w:t>
      </w:r>
      <w:r>
        <w:rPr/>
        <w:t>1496</w:t>
      </w:r>
      <w:r>
        <w:rPr>
          <w:spacing w:val="-1"/>
        </w:rPr>
        <w:t> </w:t>
      </w:r>
      <w:r>
        <w:rPr/>
        <w:t>del 22</w:t>
      </w:r>
      <w:r>
        <w:rPr>
          <w:spacing w:val="-1"/>
        </w:rPr>
        <w:t> </w:t>
      </w:r>
      <w:r>
        <w:rPr/>
        <w:t>de</w:t>
      </w:r>
      <w:r>
        <w:rPr>
          <w:spacing w:val="-3"/>
        </w:rPr>
        <w:t> </w:t>
      </w:r>
      <w:r>
        <w:rPr/>
        <w:t>agosto</w:t>
      </w:r>
      <w:r>
        <w:rPr>
          <w:spacing w:val="-1"/>
        </w:rPr>
        <w:t> </w:t>
      </w:r>
      <w:r>
        <w:rPr/>
        <w:t>de </w:t>
      </w:r>
      <w:r>
        <w:rPr>
          <w:spacing w:val="-2"/>
        </w:rPr>
        <w:t>2025.</w:t>
      </w:r>
    </w:p>
    <w:p>
      <w:pPr>
        <w:pStyle w:val="BodyText"/>
        <w:spacing w:before="124"/>
      </w:pPr>
    </w:p>
    <w:p>
      <w:pPr>
        <w:pStyle w:val="BodyText"/>
        <w:spacing w:line="360" w:lineRule="auto"/>
        <w:ind w:left="1" w:right="362"/>
        <w:jc w:val="both"/>
      </w:pPr>
      <w:r>
        <w:rPr/>
        <w:t>El Proyecto de Ley número 035 de 2025 Cámara fue aprobado en primer debate por la Comisión Primera Constitucional Permanente de la Cámara de Representantes, según consta en el Acta número 11 del 16 de septiembre de 2025.</w:t>
      </w:r>
    </w:p>
    <w:p>
      <w:pPr>
        <w:pStyle w:val="BodyText"/>
        <w:spacing w:before="125"/>
      </w:pPr>
    </w:p>
    <w:p>
      <w:pPr>
        <w:pStyle w:val="BodyText"/>
        <w:spacing w:line="360" w:lineRule="auto"/>
        <w:ind w:left="1" w:right="363"/>
        <w:jc w:val="both"/>
      </w:pPr>
      <w:r>
        <w:rPr/>
        <w:t>Mediante comunicación C.P.C.P. 3.1–0013–2026 del 4 de agosto de 2026, la Secretaría de la Comisión Primera Constitucional informó al suscrito su designación como PONENTE ÚNICO PARA SEGUNDO DEBATE del proyecto, en reemplazo del H.R. Hernán Darío Cadavid Márquez, quien fue ponente para primer debate. Dicha designación se efectuó de conformidad con</w:t>
      </w:r>
      <w:r>
        <w:rPr>
          <w:spacing w:val="-1"/>
        </w:rPr>
        <w:t> </w:t>
      </w:r>
      <w:r>
        <w:rPr/>
        <w:t>el</w:t>
      </w:r>
      <w:r>
        <w:rPr>
          <w:spacing w:val="-2"/>
        </w:rPr>
        <w:t> </w:t>
      </w:r>
      <w:r>
        <w:rPr/>
        <w:t>Acta</w:t>
      </w:r>
      <w:r>
        <w:rPr>
          <w:spacing w:val="-1"/>
        </w:rPr>
        <w:t> </w:t>
      </w:r>
      <w:r>
        <w:rPr/>
        <w:t>número</w:t>
      </w:r>
      <w:r>
        <w:rPr>
          <w:spacing w:val="-1"/>
        </w:rPr>
        <w:t> </w:t>
      </w:r>
      <w:r>
        <w:rPr/>
        <w:t>01</w:t>
      </w:r>
      <w:r>
        <w:rPr>
          <w:spacing w:val="-1"/>
        </w:rPr>
        <w:t> </w:t>
      </w:r>
      <w:r>
        <w:rPr/>
        <w:t>del</w:t>
      </w:r>
      <w:r>
        <w:rPr>
          <w:spacing w:val="-2"/>
        </w:rPr>
        <w:t> </w:t>
      </w:r>
      <w:r>
        <w:rPr/>
        <w:t>4</w:t>
      </w:r>
      <w:r>
        <w:rPr>
          <w:spacing w:val="-1"/>
        </w:rPr>
        <w:t> </w:t>
      </w:r>
      <w:r>
        <w:rPr/>
        <w:t>de</w:t>
      </w:r>
      <w:r>
        <w:rPr>
          <w:spacing w:val="-1"/>
        </w:rPr>
        <w:t> </w:t>
      </w:r>
      <w:r>
        <w:rPr/>
        <w:t>agosto</w:t>
      </w:r>
      <w:r>
        <w:rPr>
          <w:spacing w:val="-1"/>
        </w:rPr>
        <w:t> </w:t>
      </w:r>
      <w:r>
        <w:rPr/>
        <w:t>de</w:t>
      </w:r>
      <w:r>
        <w:rPr>
          <w:spacing w:val="-1"/>
        </w:rPr>
        <w:t> </w:t>
      </w:r>
      <w:r>
        <w:rPr/>
        <w:t>2026</w:t>
      </w:r>
      <w:r>
        <w:rPr>
          <w:spacing w:val="-1"/>
        </w:rPr>
        <w:t> </w:t>
      </w:r>
      <w:r>
        <w:rPr/>
        <w:t>de</w:t>
      </w:r>
      <w:r>
        <w:rPr>
          <w:spacing w:val="-1"/>
        </w:rPr>
        <w:t> </w:t>
      </w:r>
      <w:r>
        <w:rPr/>
        <w:t>la</w:t>
      </w:r>
      <w:r>
        <w:rPr>
          <w:spacing w:val="-1"/>
        </w:rPr>
        <w:t> </w:t>
      </w:r>
      <w:r>
        <w:rPr/>
        <w:t>Mesa</w:t>
      </w:r>
      <w:r>
        <w:rPr>
          <w:spacing w:val="-1"/>
        </w:rPr>
        <w:t> </w:t>
      </w:r>
      <w:r>
        <w:rPr/>
        <w:t>Directiva</w:t>
      </w:r>
      <w:r>
        <w:rPr>
          <w:spacing w:val="-1"/>
        </w:rPr>
        <w:t> </w:t>
      </w:r>
      <w:r>
        <w:rPr/>
        <w:t>de</w:t>
      </w:r>
      <w:r>
        <w:rPr>
          <w:spacing w:val="-1"/>
        </w:rPr>
        <w:t> </w:t>
      </w:r>
      <w:r>
        <w:rPr/>
        <w:t>la</w:t>
      </w:r>
      <w:r>
        <w:rPr>
          <w:spacing w:val="-1"/>
        </w:rPr>
        <w:t> </w:t>
      </w:r>
      <w:r>
        <w:rPr/>
        <w:t>Comisión y</w:t>
      </w:r>
      <w:r>
        <w:rPr>
          <w:spacing w:val="-1"/>
        </w:rPr>
        <w:t> </w:t>
      </w:r>
      <w:r>
        <w:rPr/>
        <w:t>con</w:t>
      </w:r>
      <w:r>
        <w:rPr>
          <w:spacing w:val="-1"/>
        </w:rPr>
        <w:t> </w:t>
      </w:r>
      <w:r>
        <w:rPr/>
        <w:t>base en lo establecido en el artículo 174 del Reglamento Interno de la Corporación, fijándose un término de ocho (8) días para rendir el presente informe.</w:t>
      </w:r>
    </w:p>
    <w:p>
      <w:pPr>
        <w:pStyle w:val="BodyText"/>
      </w:pPr>
    </w:p>
    <w:p>
      <w:pPr>
        <w:pStyle w:val="BodyText"/>
        <w:spacing w:before="109"/>
      </w:pPr>
    </w:p>
    <w:p>
      <w:pPr>
        <w:pStyle w:val="Heading1"/>
        <w:numPr>
          <w:ilvl w:val="0"/>
          <w:numId w:val="1"/>
        </w:numPr>
        <w:tabs>
          <w:tab w:pos="242" w:val="left" w:leader="none"/>
        </w:tabs>
        <w:spacing w:line="240" w:lineRule="auto" w:before="1" w:after="0"/>
        <w:ind w:left="242" w:right="0" w:hanging="241"/>
        <w:jc w:val="left"/>
      </w:pPr>
      <w:r>
        <w:rPr/>
        <w:t>CONTENIDO DE</w:t>
      </w:r>
      <w:r>
        <w:rPr>
          <w:spacing w:val="-3"/>
        </w:rPr>
        <w:t> </w:t>
      </w:r>
      <w:r>
        <w:rPr/>
        <w:t>LA</w:t>
      </w:r>
      <w:r>
        <w:rPr>
          <w:spacing w:val="-3"/>
        </w:rPr>
        <w:t> </w:t>
      </w:r>
      <w:r>
        <w:rPr>
          <w:spacing w:val="-2"/>
        </w:rPr>
        <w:t>INICIATIVA</w:t>
      </w:r>
    </w:p>
    <w:p>
      <w:pPr>
        <w:pStyle w:val="BodyText"/>
        <w:spacing w:before="245"/>
        <w:ind w:left="1"/>
        <w:jc w:val="both"/>
      </w:pPr>
      <w:r>
        <w:rPr/>
        <w:t>El</w:t>
      </w:r>
      <w:r>
        <w:rPr>
          <w:spacing w:val="-5"/>
        </w:rPr>
        <w:t> </w:t>
      </w:r>
      <w:r>
        <w:rPr/>
        <w:t>proyecto</w:t>
      </w:r>
      <w:r>
        <w:rPr>
          <w:spacing w:val="-5"/>
        </w:rPr>
        <w:t> </w:t>
      </w:r>
      <w:r>
        <w:rPr/>
        <w:t>consta</w:t>
      </w:r>
      <w:r>
        <w:rPr>
          <w:spacing w:val="-6"/>
        </w:rPr>
        <w:t> </w:t>
      </w:r>
      <w:r>
        <w:rPr/>
        <w:t>de</w:t>
      </w:r>
      <w:r>
        <w:rPr>
          <w:spacing w:val="-4"/>
        </w:rPr>
        <w:t> </w:t>
      </w:r>
      <w:r>
        <w:rPr/>
        <w:t>cuatro</w:t>
      </w:r>
      <w:r>
        <w:rPr>
          <w:spacing w:val="-4"/>
        </w:rPr>
        <w:t> </w:t>
      </w:r>
      <w:r>
        <w:rPr/>
        <w:t>(4)</w:t>
      </w:r>
      <w:r>
        <w:rPr>
          <w:spacing w:val="-3"/>
        </w:rPr>
        <w:t> </w:t>
      </w:r>
      <w:r>
        <w:rPr/>
        <w:t>artículos,</w:t>
      </w:r>
      <w:r>
        <w:rPr>
          <w:spacing w:val="-3"/>
        </w:rPr>
        <w:t> </w:t>
      </w:r>
      <w:r>
        <w:rPr/>
        <w:t>incluida</w:t>
      </w:r>
      <w:r>
        <w:rPr>
          <w:spacing w:val="-2"/>
        </w:rPr>
        <w:t> </w:t>
      </w:r>
      <w:r>
        <w:rPr/>
        <w:t>la</w:t>
      </w:r>
      <w:r>
        <w:rPr>
          <w:spacing w:val="-4"/>
        </w:rPr>
        <w:t> </w:t>
      </w:r>
      <w:r>
        <w:rPr/>
        <w:t>vigencia,</w:t>
      </w:r>
      <w:r>
        <w:rPr>
          <w:spacing w:val="-1"/>
        </w:rPr>
        <w:t> </w:t>
      </w:r>
      <w:r>
        <w:rPr>
          <w:spacing w:val="-4"/>
        </w:rPr>
        <w:t>así:</w:t>
      </w:r>
    </w:p>
    <w:p>
      <w:pPr>
        <w:pStyle w:val="ListParagraph"/>
        <w:numPr>
          <w:ilvl w:val="1"/>
          <w:numId w:val="1"/>
        </w:numPr>
        <w:tabs>
          <w:tab w:pos="243" w:val="left" w:leader="none"/>
        </w:tabs>
        <w:spacing w:line="240" w:lineRule="auto" w:before="127" w:after="0"/>
        <w:ind w:left="243" w:right="0" w:hanging="242"/>
        <w:jc w:val="left"/>
        <w:rPr>
          <w:rFonts w:ascii="Arial MT" w:hAnsi="Arial MT"/>
          <w:sz w:val="22"/>
        </w:rPr>
      </w:pPr>
      <w:r>
        <w:rPr>
          <w:rFonts w:ascii="Arial MT" w:hAnsi="Arial MT"/>
          <w:sz w:val="22"/>
        </w:rPr>
        <w:t>Artículo</w:t>
      </w:r>
      <w:r>
        <w:rPr>
          <w:rFonts w:ascii="Arial MT" w:hAnsi="Arial MT"/>
          <w:spacing w:val="-3"/>
          <w:sz w:val="22"/>
        </w:rPr>
        <w:t> </w:t>
      </w:r>
      <w:r>
        <w:rPr>
          <w:rFonts w:ascii="Arial MT" w:hAnsi="Arial MT"/>
          <w:sz w:val="22"/>
        </w:rPr>
        <w:t>1°.</w:t>
      </w:r>
      <w:r>
        <w:rPr>
          <w:rFonts w:ascii="Arial MT" w:hAnsi="Arial MT"/>
          <w:spacing w:val="-3"/>
          <w:sz w:val="22"/>
        </w:rPr>
        <w:t> </w:t>
      </w:r>
      <w:r>
        <w:rPr>
          <w:rFonts w:ascii="Arial MT" w:hAnsi="Arial MT"/>
          <w:spacing w:val="-2"/>
          <w:sz w:val="22"/>
        </w:rPr>
        <w:t>Objeto.</w:t>
      </w:r>
    </w:p>
    <w:p>
      <w:pPr>
        <w:pStyle w:val="ListParagraph"/>
        <w:numPr>
          <w:ilvl w:val="1"/>
          <w:numId w:val="1"/>
        </w:numPr>
        <w:tabs>
          <w:tab w:pos="243" w:val="left" w:leader="none"/>
        </w:tabs>
        <w:spacing w:line="240" w:lineRule="auto" w:before="125" w:after="0"/>
        <w:ind w:left="243" w:right="0" w:hanging="242"/>
        <w:jc w:val="left"/>
        <w:rPr>
          <w:rFonts w:ascii="Arial MT" w:hAnsi="Arial MT"/>
          <w:sz w:val="22"/>
        </w:rPr>
      </w:pPr>
      <w:r>
        <w:rPr>
          <w:rFonts w:ascii="Arial MT" w:hAnsi="Arial MT"/>
          <w:sz w:val="22"/>
        </w:rPr>
        <w:t>Artículo</w:t>
      </w:r>
      <w:r>
        <w:rPr>
          <w:rFonts w:ascii="Arial MT" w:hAnsi="Arial MT"/>
          <w:spacing w:val="-1"/>
          <w:sz w:val="22"/>
        </w:rPr>
        <w:t> </w:t>
      </w:r>
      <w:r>
        <w:rPr>
          <w:rFonts w:ascii="Arial MT" w:hAnsi="Arial MT"/>
          <w:sz w:val="22"/>
        </w:rPr>
        <w:t>2°.</w:t>
      </w:r>
      <w:r>
        <w:rPr>
          <w:rFonts w:ascii="Arial MT" w:hAnsi="Arial MT"/>
          <w:spacing w:val="-2"/>
          <w:sz w:val="22"/>
        </w:rPr>
        <w:t> </w:t>
      </w:r>
      <w:r>
        <w:rPr>
          <w:rFonts w:ascii="Arial MT" w:hAnsi="Arial MT"/>
          <w:sz w:val="22"/>
        </w:rPr>
        <w:t>Adición</w:t>
      </w:r>
      <w:r>
        <w:rPr>
          <w:rFonts w:ascii="Arial MT" w:hAnsi="Arial MT"/>
          <w:spacing w:val="-1"/>
          <w:sz w:val="22"/>
        </w:rPr>
        <w:t> </w:t>
      </w:r>
      <w:r>
        <w:rPr>
          <w:rFonts w:ascii="Arial MT" w:hAnsi="Arial MT"/>
          <w:sz w:val="22"/>
        </w:rPr>
        <w:t>del</w:t>
      </w:r>
      <w:r>
        <w:rPr>
          <w:rFonts w:ascii="Arial MT" w:hAnsi="Arial MT"/>
          <w:spacing w:val="-2"/>
          <w:sz w:val="22"/>
        </w:rPr>
        <w:t> </w:t>
      </w:r>
      <w:r>
        <w:rPr>
          <w:rFonts w:ascii="Arial MT" w:hAnsi="Arial MT"/>
          <w:sz w:val="22"/>
        </w:rPr>
        <w:t>artículo</w:t>
      </w:r>
      <w:r>
        <w:rPr>
          <w:rFonts w:ascii="Arial MT" w:hAnsi="Arial MT"/>
          <w:spacing w:val="-3"/>
          <w:sz w:val="22"/>
        </w:rPr>
        <w:t> </w:t>
      </w:r>
      <w:r>
        <w:rPr>
          <w:rFonts w:ascii="Arial MT" w:hAnsi="Arial MT"/>
          <w:sz w:val="22"/>
        </w:rPr>
        <w:t>36A</w:t>
      </w:r>
      <w:r>
        <w:rPr>
          <w:rFonts w:ascii="Arial MT" w:hAnsi="Arial MT"/>
          <w:spacing w:val="-3"/>
          <w:sz w:val="22"/>
        </w:rPr>
        <w:t> </w:t>
      </w:r>
      <w:r>
        <w:rPr>
          <w:rFonts w:ascii="Arial MT" w:hAnsi="Arial MT"/>
          <w:sz w:val="22"/>
        </w:rPr>
        <w:t>a</w:t>
      </w:r>
      <w:r>
        <w:rPr>
          <w:rFonts w:ascii="Arial MT" w:hAnsi="Arial MT"/>
          <w:spacing w:val="-3"/>
          <w:sz w:val="22"/>
        </w:rPr>
        <w:t> </w:t>
      </w:r>
      <w:r>
        <w:rPr>
          <w:rFonts w:ascii="Arial MT" w:hAnsi="Arial MT"/>
          <w:sz w:val="22"/>
        </w:rPr>
        <w:t>la</w:t>
      </w:r>
      <w:r>
        <w:rPr>
          <w:rFonts w:ascii="Arial MT" w:hAnsi="Arial MT"/>
          <w:spacing w:val="-2"/>
          <w:sz w:val="22"/>
        </w:rPr>
        <w:t> </w:t>
      </w:r>
      <w:r>
        <w:rPr>
          <w:rFonts w:ascii="Arial MT" w:hAnsi="Arial MT"/>
          <w:sz w:val="22"/>
        </w:rPr>
        <w:t>Ley</w:t>
      </w:r>
      <w:r>
        <w:rPr>
          <w:rFonts w:ascii="Arial MT" w:hAnsi="Arial MT"/>
          <w:spacing w:val="-3"/>
          <w:sz w:val="22"/>
        </w:rPr>
        <w:t> </w:t>
      </w:r>
      <w:r>
        <w:rPr>
          <w:rFonts w:ascii="Arial MT" w:hAnsi="Arial MT"/>
          <w:sz w:val="22"/>
        </w:rPr>
        <w:t>599</w:t>
      </w:r>
      <w:r>
        <w:rPr>
          <w:rFonts w:ascii="Arial MT" w:hAnsi="Arial MT"/>
          <w:spacing w:val="-3"/>
          <w:sz w:val="22"/>
        </w:rPr>
        <w:t> </w:t>
      </w:r>
      <w:r>
        <w:rPr>
          <w:rFonts w:ascii="Arial MT" w:hAnsi="Arial MT"/>
          <w:sz w:val="22"/>
        </w:rPr>
        <w:t>de</w:t>
      </w:r>
      <w:r>
        <w:rPr>
          <w:rFonts w:ascii="Arial MT" w:hAnsi="Arial MT"/>
          <w:spacing w:val="-3"/>
          <w:sz w:val="22"/>
        </w:rPr>
        <w:t> </w:t>
      </w:r>
      <w:r>
        <w:rPr>
          <w:rFonts w:ascii="Arial MT" w:hAnsi="Arial MT"/>
          <w:sz w:val="22"/>
        </w:rPr>
        <w:t>2000</w:t>
      </w:r>
      <w:r>
        <w:rPr>
          <w:rFonts w:ascii="Arial MT" w:hAnsi="Arial MT"/>
          <w:spacing w:val="-3"/>
          <w:sz w:val="22"/>
        </w:rPr>
        <w:t> </w:t>
      </w:r>
      <w:r>
        <w:rPr>
          <w:rFonts w:ascii="Arial MT" w:hAnsi="Arial MT"/>
          <w:sz w:val="22"/>
        </w:rPr>
        <w:t>–</w:t>
      </w:r>
      <w:r>
        <w:rPr>
          <w:rFonts w:ascii="Arial MT" w:hAnsi="Arial MT"/>
          <w:spacing w:val="-3"/>
          <w:sz w:val="22"/>
        </w:rPr>
        <w:t> </w:t>
      </w:r>
      <w:r>
        <w:rPr>
          <w:rFonts w:ascii="Arial MT" w:hAnsi="Arial MT"/>
          <w:sz w:val="22"/>
        </w:rPr>
        <w:t>Sanción </w:t>
      </w:r>
      <w:r>
        <w:rPr>
          <w:rFonts w:ascii="Arial MT" w:hAnsi="Arial MT"/>
          <w:spacing w:val="-2"/>
          <w:sz w:val="22"/>
        </w:rPr>
        <w:t>económica.</w:t>
      </w:r>
    </w:p>
    <w:p>
      <w:pPr>
        <w:pStyle w:val="ListParagraph"/>
        <w:numPr>
          <w:ilvl w:val="1"/>
          <w:numId w:val="1"/>
        </w:numPr>
        <w:tabs>
          <w:tab w:pos="243" w:val="left" w:leader="none"/>
        </w:tabs>
        <w:spacing w:line="240" w:lineRule="auto" w:before="127" w:after="0"/>
        <w:ind w:left="243" w:right="0" w:hanging="242"/>
        <w:jc w:val="left"/>
        <w:rPr>
          <w:rFonts w:ascii="Arial MT" w:hAnsi="Arial MT"/>
          <w:sz w:val="22"/>
        </w:rPr>
      </w:pPr>
      <w:r>
        <w:rPr>
          <w:rFonts w:ascii="Arial MT" w:hAnsi="Arial MT"/>
          <w:sz w:val="22"/>
        </w:rPr>
        <w:t>Artículo</w:t>
      </w:r>
      <w:r>
        <w:rPr>
          <w:rFonts w:ascii="Arial MT" w:hAnsi="Arial MT"/>
          <w:spacing w:val="-3"/>
          <w:sz w:val="22"/>
        </w:rPr>
        <w:t> </w:t>
      </w:r>
      <w:r>
        <w:rPr>
          <w:rFonts w:ascii="Arial MT" w:hAnsi="Arial MT"/>
          <w:sz w:val="22"/>
        </w:rPr>
        <w:t>3°.</w:t>
      </w:r>
      <w:r>
        <w:rPr>
          <w:rFonts w:ascii="Arial MT" w:hAnsi="Arial MT"/>
          <w:spacing w:val="-2"/>
          <w:sz w:val="22"/>
        </w:rPr>
        <w:t> </w:t>
      </w:r>
      <w:r>
        <w:rPr>
          <w:rFonts w:ascii="Arial MT" w:hAnsi="Arial MT"/>
          <w:sz w:val="22"/>
        </w:rPr>
        <w:t>Modificación</w:t>
      </w:r>
      <w:r>
        <w:rPr>
          <w:rFonts w:ascii="Arial MT" w:hAnsi="Arial MT"/>
          <w:spacing w:val="-1"/>
          <w:sz w:val="22"/>
        </w:rPr>
        <w:t> </w:t>
      </w:r>
      <w:r>
        <w:rPr>
          <w:rFonts w:ascii="Arial MT" w:hAnsi="Arial MT"/>
          <w:sz w:val="22"/>
        </w:rPr>
        <w:t>del</w:t>
      </w:r>
      <w:r>
        <w:rPr>
          <w:rFonts w:ascii="Arial MT" w:hAnsi="Arial MT"/>
          <w:spacing w:val="-4"/>
          <w:sz w:val="22"/>
        </w:rPr>
        <w:t> </w:t>
      </w:r>
      <w:r>
        <w:rPr>
          <w:rFonts w:ascii="Arial MT" w:hAnsi="Arial MT"/>
          <w:sz w:val="22"/>
        </w:rPr>
        <w:t>artículo</w:t>
      </w:r>
      <w:r>
        <w:rPr>
          <w:rFonts w:ascii="Arial MT" w:hAnsi="Arial MT"/>
          <w:spacing w:val="-1"/>
          <w:sz w:val="22"/>
        </w:rPr>
        <w:t> </w:t>
      </w:r>
      <w:r>
        <w:rPr>
          <w:rFonts w:ascii="Arial MT" w:hAnsi="Arial MT"/>
          <w:sz w:val="22"/>
        </w:rPr>
        <w:t>225</w:t>
      </w:r>
      <w:r>
        <w:rPr>
          <w:rFonts w:ascii="Arial MT" w:hAnsi="Arial MT"/>
          <w:spacing w:val="-3"/>
          <w:sz w:val="22"/>
        </w:rPr>
        <w:t> </w:t>
      </w:r>
      <w:r>
        <w:rPr>
          <w:rFonts w:ascii="Arial MT" w:hAnsi="Arial MT"/>
          <w:sz w:val="22"/>
        </w:rPr>
        <w:t>de</w:t>
      </w:r>
      <w:r>
        <w:rPr>
          <w:rFonts w:ascii="Arial MT" w:hAnsi="Arial MT"/>
          <w:spacing w:val="-3"/>
          <w:sz w:val="22"/>
        </w:rPr>
        <w:t> </w:t>
      </w:r>
      <w:r>
        <w:rPr>
          <w:rFonts w:ascii="Arial MT" w:hAnsi="Arial MT"/>
          <w:sz w:val="22"/>
        </w:rPr>
        <w:t>la</w:t>
      </w:r>
      <w:r>
        <w:rPr>
          <w:rFonts w:ascii="Arial MT" w:hAnsi="Arial MT"/>
          <w:spacing w:val="-3"/>
          <w:sz w:val="22"/>
        </w:rPr>
        <w:t> </w:t>
      </w:r>
      <w:r>
        <w:rPr>
          <w:rFonts w:ascii="Arial MT" w:hAnsi="Arial MT"/>
          <w:sz w:val="22"/>
        </w:rPr>
        <w:t>Ley</w:t>
      </w:r>
      <w:r>
        <w:rPr>
          <w:rFonts w:ascii="Arial MT" w:hAnsi="Arial MT"/>
          <w:spacing w:val="-3"/>
          <w:sz w:val="22"/>
        </w:rPr>
        <w:t> </w:t>
      </w:r>
      <w:r>
        <w:rPr>
          <w:rFonts w:ascii="Arial MT" w:hAnsi="Arial MT"/>
          <w:sz w:val="22"/>
        </w:rPr>
        <w:t>599</w:t>
      </w:r>
      <w:r>
        <w:rPr>
          <w:rFonts w:ascii="Arial MT" w:hAnsi="Arial MT"/>
          <w:spacing w:val="-3"/>
          <w:sz w:val="22"/>
        </w:rPr>
        <w:t> </w:t>
      </w:r>
      <w:r>
        <w:rPr>
          <w:rFonts w:ascii="Arial MT" w:hAnsi="Arial MT"/>
          <w:sz w:val="22"/>
        </w:rPr>
        <w:t>de</w:t>
      </w:r>
      <w:r>
        <w:rPr>
          <w:rFonts w:ascii="Arial MT" w:hAnsi="Arial MT"/>
          <w:spacing w:val="-3"/>
          <w:sz w:val="22"/>
        </w:rPr>
        <w:t> </w:t>
      </w:r>
      <w:r>
        <w:rPr>
          <w:rFonts w:ascii="Arial MT" w:hAnsi="Arial MT"/>
          <w:sz w:val="22"/>
        </w:rPr>
        <w:t>2000</w:t>
      </w:r>
      <w:r>
        <w:rPr>
          <w:rFonts w:ascii="Arial MT" w:hAnsi="Arial MT"/>
          <w:spacing w:val="-3"/>
          <w:sz w:val="22"/>
        </w:rPr>
        <w:t> </w:t>
      </w:r>
      <w:r>
        <w:rPr>
          <w:rFonts w:ascii="Arial MT" w:hAnsi="Arial MT"/>
          <w:sz w:val="22"/>
        </w:rPr>
        <w:t>–</w:t>
      </w:r>
      <w:r>
        <w:rPr>
          <w:rFonts w:ascii="Arial MT" w:hAnsi="Arial MT"/>
          <w:spacing w:val="-2"/>
          <w:sz w:val="22"/>
        </w:rPr>
        <w:t> Retractación.</w:t>
      </w:r>
    </w:p>
    <w:p>
      <w:pPr>
        <w:pStyle w:val="ListParagraph"/>
        <w:numPr>
          <w:ilvl w:val="1"/>
          <w:numId w:val="1"/>
        </w:numPr>
        <w:tabs>
          <w:tab w:pos="243" w:val="left" w:leader="none"/>
        </w:tabs>
        <w:spacing w:line="240" w:lineRule="auto" w:before="125" w:after="0"/>
        <w:ind w:left="243" w:right="0" w:hanging="242"/>
        <w:jc w:val="left"/>
        <w:rPr>
          <w:rFonts w:ascii="Arial MT" w:hAnsi="Arial MT"/>
          <w:sz w:val="22"/>
        </w:rPr>
      </w:pPr>
      <w:r>
        <w:rPr>
          <w:rFonts w:ascii="Arial MT" w:hAnsi="Arial MT"/>
          <w:sz w:val="22"/>
        </w:rPr>
        <w:t>Artículo</w:t>
      </w:r>
      <w:r>
        <w:rPr>
          <w:rFonts w:ascii="Arial MT" w:hAnsi="Arial MT"/>
          <w:spacing w:val="-3"/>
          <w:sz w:val="22"/>
        </w:rPr>
        <w:t> </w:t>
      </w:r>
      <w:r>
        <w:rPr>
          <w:rFonts w:ascii="Arial MT" w:hAnsi="Arial MT"/>
          <w:sz w:val="22"/>
        </w:rPr>
        <w:t>4°.</w:t>
      </w:r>
      <w:r>
        <w:rPr>
          <w:rFonts w:ascii="Arial MT" w:hAnsi="Arial MT"/>
          <w:spacing w:val="-3"/>
          <w:sz w:val="22"/>
        </w:rPr>
        <w:t> </w:t>
      </w:r>
      <w:r>
        <w:rPr>
          <w:rFonts w:ascii="Arial MT" w:hAnsi="Arial MT"/>
          <w:spacing w:val="-2"/>
          <w:sz w:val="22"/>
        </w:rPr>
        <w:t>Vigencia.</w:t>
      </w:r>
    </w:p>
    <w:p>
      <w:pPr>
        <w:pStyle w:val="BodyText"/>
      </w:pPr>
    </w:p>
    <w:p>
      <w:pPr>
        <w:pStyle w:val="BodyText"/>
        <w:spacing w:before="239"/>
      </w:pPr>
    </w:p>
    <w:p>
      <w:pPr>
        <w:pStyle w:val="Heading1"/>
        <w:numPr>
          <w:ilvl w:val="0"/>
          <w:numId w:val="1"/>
        </w:numPr>
        <w:tabs>
          <w:tab w:pos="303" w:val="left" w:leader="none"/>
        </w:tabs>
        <w:spacing w:line="240" w:lineRule="auto" w:before="0" w:after="0"/>
        <w:ind w:left="303" w:right="0" w:hanging="302"/>
        <w:jc w:val="left"/>
      </w:pPr>
      <w:r>
        <w:rPr/>
        <w:t>OBJETO</w:t>
      </w:r>
      <w:r>
        <w:rPr>
          <w:spacing w:val="-3"/>
        </w:rPr>
        <w:t> </w:t>
      </w:r>
      <w:r>
        <w:rPr/>
        <w:t>DEL</w:t>
      </w:r>
      <w:r>
        <w:rPr>
          <w:spacing w:val="-2"/>
        </w:rPr>
        <w:t> PROYECTO</w:t>
      </w:r>
    </w:p>
    <w:p>
      <w:pPr>
        <w:pStyle w:val="BodyText"/>
        <w:spacing w:before="247"/>
        <w:ind w:left="1"/>
        <w:jc w:val="both"/>
      </w:pPr>
      <w:r>
        <w:rPr/>
        <w:t>El</w:t>
      </w:r>
      <w:r>
        <w:rPr>
          <w:spacing w:val="1"/>
        </w:rPr>
        <w:t> </w:t>
      </w:r>
      <w:r>
        <w:rPr/>
        <w:t>presente</w:t>
      </w:r>
      <w:r>
        <w:rPr>
          <w:spacing w:val="3"/>
        </w:rPr>
        <w:t> </w:t>
      </w:r>
      <w:r>
        <w:rPr/>
        <w:t>proyecto</w:t>
      </w:r>
      <w:r>
        <w:rPr>
          <w:spacing w:val="1"/>
        </w:rPr>
        <w:t> </w:t>
      </w:r>
      <w:r>
        <w:rPr/>
        <w:t>de</w:t>
      </w:r>
      <w:r>
        <w:rPr>
          <w:spacing w:val="3"/>
        </w:rPr>
        <w:t> </w:t>
      </w:r>
      <w:r>
        <w:rPr/>
        <w:t>ley</w:t>
      </w:r>
      <w:r>
        <w:rPr>
          <w:spacing w:val="3"/>
        </w:rPr>
        <w:t> </w:t>
      </w:r>
      <w:r>
        <w:rPr/>
        <w:t>tiene</w:t>
      </w:r>
      <w:r>
        <w:rPr>
          <w:spacing w:val="3"/>
        </w:rPr>
        <w:t> </w:t>
      </w:r>
      <w:r>
        <w:rPr/>
        <w:t>por</w:t>
      </w:r>
      <w:r>
        <w:rPr>
          <w:spacing w:val="4"/>
        </w:rPr>
        <w:t> </w:t>
      </w:r>
      <w:r>
        <w:rPr/>
        <w:t>objeto</w:t>
      </w:r>
      <w:r>
        <w:rPr>
          <w:spacing w:val="3"/>
        </w:rPr>
        <w:t> </w:t>
      </w:r>
      <w:r>
        <w:rPr/>
        <w:t>modificar</w:t>
      </w:r>
      <w:r>
        <w:rPr>
          <w:spacing w:val="4"/>
        </w:rPr>
        <w:t> </w:t>
      </w:r>
      <w:r>
        <w:rPr/>
        <w:t>el</w:t>
      </w:r>
      <w:r>
        <w:rPr>
          <w:spacing w:val="2"/>
        </w:rPr>
        <w:t> </w:t>
      </w:r>
      <w:r>
        <w:rPr/>
        <w:t>régimen</w:t>
      </w:r>
      <w:r>
        <w:rPr>
          <w:spacing w:val="3"/>
        </w:rPr>
        <w:t> </w:t>
      </w:r>
      <w:r>
        <w:rPr/>
        <w:t>de</w:t>
      </w:r>
      <w:r>
        <w:rPr>
          <w:spacing w:val="3"/>
        </w:rPr>
        <w:t> </w:t>
      </w:r>
      <w:r>
        <w:rPr/>
        <w:t>la</w:t>
      </w:r>
      <w:r>
        <w:rPr>
          <w:spacing w:val="3"/>
        </w:rPr>
        <w:t> </w:t>
      </w:r>
      <w:r>
        <w:rPr/>
        <w:t>figura</w:t>
      </w:r>
      <w:r>
        <w:rPr>
          <w:spacing w:val="3"/>
        </w:rPr>
        <w:t> </w:t>
      </w:r>
      <w:r>
        <w:rPr/>
        <w:t>de</w:t>
      </w:r>
      <w:r>
        <w:rPr>
          <w:spacing w:val="3"/>
        </w:rPr>
        <w:t> </w:t>
      </w:r>
      <w:r>
        <w:rPr/>
        <w:t>retractación</w:t>
      </w:r>
      <w:r>
        <w:rPr>
          <w:spacing w:val="3"/>
        </w:rPr>
        <w:t> </w:t>
      </w:r>
      <w:r>
        <w:rPr>
          <w:spacing w:val="-5"/>
        </w:rPr>
        <w:t>en</w:t>
      </w:r>
    </w:p>
    <w:p>
      <w:pPr>
        <w:pStyle w:val="BodyText"/>
        <w:spacing w:after="0"/>
        <w:jc w:val="both"/>
        <w:sectPr>
          <w:pgSz w:w="12240" w:h="15840"/>
          <w:pgMar w:top="1360" w:bottom="280" w:left="1440" w:right="1080"/>
        </w:sectPr>
      </w:pPr>
    </w:p>
    <w:p>
      <w:pPr>
        <w:pStyle w:val="BodyText"/>
        <w:spacing w:line="360" w:lineRule="auto" w:before="79"/>
        <w:ind w:left="1" w:right="365"/>
        <w:jc w:val="both"/>
      </w:pPr>
      <w:r>
        <w:rPr/>
        <w:t>los delitos de injuria y calumnia, buscando fortalecer el equilibrio entre el derecho a la libertad de expresión y los derechos al buen nombre y a la honra, garantizando que, además de la retractación</w:t>
      </w:r>
      <w:r>
        <w:rPr>
          <w:spacing w:val="-2"/>
        </w:rPr>
        <w:t> </w:t>
      </w:r>
      <w:r>
        <w:rPr/>
        <w:t>pública,</w:t>
      </w:r>
      <w:r>
        <w:rPr>
          <w:spacing w:val="-1"/>
        </w:rPr>
        <w:t> </w:t>
      </w:r>
      <w:r>
        <w:rPr/>
        <w:t>exista</w:t>
      </w:r>
      <w:r>
        <w:rPr>
          <w:spacing w:val="-4"/>
        </w:rPr>
        <w:t> </w:t>
      </w:r>
      <w:r>
        <w:rPr/>
        <w:t>una</w:t>
      </w:r>
      <w:r>
        <w:rPr>
          <w:spacing w:val="-2"/>
        </w:rPr>
        <w:t> </w:t>
      </w:r>
      <w:r>
        <w:rPr/>
        <w:t>sanción</w:t>
      </w:r>
      <w:r>
        <w:rPr>
          <w:spacing w:val="-2"/>
        </w:rPr>
        <w:t> </w:t>
      </w:r>
      <w:r>
        <w:rPr/>
        <w:t>económica</w:t>
      </w:r>
      <w:r>
        <w:rPr>
          <w:spacing w:val="-2"/>
        </w:rPr>
        <w:t> </w:t>
      </w:r>
      <w:r>
        <w:rPr/>
        <w:t>para</w:t>
      </w:r>
      <w:r>
        <w:rPr>
          <w:spacing w:val="-4"/>
        </w:rPr>
        <w:t> </w:t>
      </w:r>
      <w:r>
        <w:rPr/>
        <w:t>el</w:t>
      </w:r>
      <w:r>
        <w:rPr>
          <w:spacing w:val="-3"/>
        </w:rPr>
        <w:t> </w:t>
      </w:r>
      <w:r>
        <w:rPr/>
        <w:t>autor</w:t>
      </w:r>
      <w:r>
        <w:rPr>
          <w:spacing w:val="-3"/>
        </w:rPr>
        <w:t> </w:t>
      </w:r>
      <w:r>
        <w:rPr/>
        <w:t>o</w:t>
      </w:r>
      <w:r>
        <w:rPr>
          <w:spacing w:val="-4"/>
        </w:rPr>
        <w:t> </w:t>
      </w:r>
      <w:r>
        <w:rPr/>
        <w:t>partícipe,</w:t>
      </w:r>
      <w:r>
        <w:rPr>
          <w:spacing w:val="-1"/>
        </w:rPr>
        <w:t> </w:t>
      </w:r>
      <w:r>
        <w:rPr/>
        <w:t>derivada</w:t>
      </w:r>
      <w:r>
        <w:rPr>
          <w:spacing w:val="-2"/>
        </w:rPr>
        <w:t> </w:t>
      </w:r>
      <w:r>
        <w:rPr/>
        <w:t>del</w:t>
      </w:r>
      <w:r>
        <w:rPr>
          <w:spacing w:val="-5"/>
        </w:rPr>
        <w:t> </w:t>
      </w:r>
      <w:r>
        <w:rPr/>
        <w:t>riesgo producido frente a los derechos tutelados de la víctima.</w:t>
      </w:r>
    </w:p>
    <w:p>
      <w:pPr>
        <w:pStyle w:val="BodyText"/>
      </w:pPr>
    </w:p>
    <w:p>
      <w:pPr>
        <w:pStyle w:val="BodyText"/>
        <w:spacing w:before="112"/>
      </w:pPr>
    </w:p>
    <w:p>
      <w:pPr>
        <w:pStyle w:val="Heading1"/>
        <w:numPr>
          <w:ilvl w:val="0"/>
          <w:numId w:val="1"/>
        </w:numPr>
        <w:tabs>
          <w:tab w:pos="329" w:val="left" w:leader="none"/>
        </w:tabs>
        <w:spacing w:line="240" w:lineRule="auto" w:before="1" w:after="0"/>
        <w:ind w:left="329" w:right="0" w:hanging="328"/>
        <w:jc w:val="left"/>
      </w:pPr>
      <w:r>
        <w:rPr>
          <w:spacing w:val="-2"/>
        </w:rPr>
        <w:t>JUSTIFICACIÓN</w:t>
      </w:r>
    </w:p>
    <w:p>
      <w:pPr>
        <w:pStyle w:val="BodyText"/>
        <w:spacing w:line="360" w:lineRule="auto" w:before="245"/>
        <w:ind w:left="1" w:right="364"/>
        <w:jc w:val="both"/>
      </w:pPr>
      <w:r>
        <w:rPr/>
        <w:t>La</w:t>
      </w:r>
      <w:r>
        <w:rPr>
          <w:spacing w:val="-4"/>
        </w:rPr>
        <w:t> </w:t>
      </w:r>
      <w:r>
        <w:rPr/>
        <w:t>normativa</w:t>
      </w:r>
      <w:r>
        <w:rPr>
          <w:spacing w:val="-4"/>
        </w:rPr>
        <w:t> </w:t>
      </w:r>
      <w:r>
        <w:rPr/>
        <w:t>vigente</w:t>
      </w:r>
      <w:r>
        <w:rPr>
          <w:spacing w:val="-2"/>
        </w:rPr>
        <w:t> </w:t>
      </w:r>
      <w:r>
        <w:rPr/>
        <w:t>del</w:t>
      </w:r>
      <w:r>
        <w:rPr>
          <w:spacing w:val="-3"/>
        </w:rPr>
        <w:t> </w:t>
      </w:r>
      <w:r>
        <w:rPr/>
        <w:t>artículo</w:t>
      </w:r>
      <w:r>
        <w:rPr>
          <w:spacing w:val="-2"/>
        </w:rPr>
        <w:t> </w:t>
      </w:r>
      <w:r>
        <w:rPr/>
        <w:t>225</w:t>
      </w:r>
      <w:r>
        <w:rPr>
          <w:spacing w:val="-4"/>
        </w:rPr>
        <w:t> </w:t>
      </w:r>
      <w:r>
        <w:rPr/>
        <w:t>del</w:t>
      </w:r>
      <w:r>
        <w:rPr>
          <w:spacing w:val="-3"/>
        </w:rPr>
        <w:t> </w:t>
      </w:r>
      <w:r>
        <w:rPr/>
        <w:t>Código Penal</w:t>
      </w:r>
      <w:r>
        <w:rPr>
          <w:spacing w:val="-3"/>
        </w:rPr>
        <w:t> </w:t>
      </w:r>
      <w:r>
        <w:rPr/>
        <w:t>otorga</w:t>
      </w:r>
      <w:r>
        <w:rPr>
          <w:spacing w:val="-4"/>
        </w:rPr>
        <w:t> </w:t>
      </w:r>
      <w:r>
        <w:rPr/>
        <w:t>un</w:t>
      </w:r>
      <w:r>
        <w:rPr>
          <w:spacing w:val="-4"/>
        </w:rPr>
        <w:t> </w:t>
      </w:r>
      <w:r>
        <w:rPr/>
        <w:t>tratamiento</w:t>
      </w:r>
      <w:r>
        <w:rPr>
          <w:spacing w:val="-2"/>
        </w:rPr>
        <w:t> </w:t>
      </w:r>
      <w:r>
        <w:rPr/>
        <w:t>preferente</w:t>
      </w:r>
      <w:r>
        <w:rPr>
          <w:spacing w:val="-4"/>
        </w:rPr>
        <w:t> </w:t>
      </w:r>
      <w:r>
        <w:rPr/>
        <w:t>a</w:t>
      </w:r>
      <w:r>
        <w:rPr>
          <w:spacing w:val="-2"/>
        </w:rPr>
        <w:t> </w:t>
      </w:r>
      <w:r>
        <w:rPr/>
        <w:t>quien incurre en los delitos de injuria o calumnia, al permitirle exonerarse de responsabilidad penal mediante la simple retractación, sin que ello conlleve una consecuencia adicional para el infractor</w:t>
      </w:r>
      <w:r>
        <w:rPr>
          <w:spacing w:val="-3"/>
        </w:rPr>
        <w:t> </w:t>
      </w:r>
      <w:r>
        <w:rPr/>
        <w:t>ni</w:t>
      </w:r>
      <w:r>
        <w:rPr>
          <w:spacing w:val="-4"/>
        </w:rPr>
        <w:t> </w:t>
      </w:r>
      <w:r>
        <w:rPr/>
        <w:t>una</w:t>
      </w:r>
      <w:r>
        <w:rPr>
          <w:spacing w:val="-4"/>
        </w:rPr>
        <w:t> </w:t>
      </w:r>
      <w:r>
        <w:rPr/>
        <w:t>reparación</w:t>
      </w:r>
      <w:r>
        <w:rPr>
          <w:spacing w:val="-4"/>
        </w:rPr>
        <w:t> </w:t>
      </w:r>
      <w:r>
        <w:rPr/>
        <w:t>efectiva</w:t>
      </w:r>
      <w:r>
        <w:rPr>
          <w:spacing w:val="-4"/>
        </w:rPr>
        <w:t> </w:t>
      </w:r>
      <w:r>
        <w:rPr/>
        <w:t>para</w:t>
      </w:r>
      <w:r>
        <w:rPr>
          <w:spacing w:val="-4"/>
        </w:rPr>
        <w:t> </w:t>
      </w:r>
      <w:r>
        <w:rPr/>
        <w:t>la</w:t>
      </w:r>
      <w:r>
        <w:rPr>
          <w:spacing w:val="-4"/>
        </w:rPr>
        <w:t> </w:t>
      </w:r>
      <w:r>
        <w:rPr/>
        <w:t>víctima.</w:t>
      </w:r>
      <w:r>
        <w:rPr>
          <w:spacing w:val="-3"/>
        </w:rPr>
        <w:t> </w:t>
      </w:r>
      <w:r>
        <w:rPr/>
        <w:t>Esta</w:t>
      </w:r>
      <w:r>
        <w:rPr>
          <w:spacing w:val="-4"/>
        </w:rPr>
        <w:t> </w:t>
      </w:r>
      <w:r>
        <w:rPr/>
        <w:t>situación</w:t>
      </w:r>
      <w:r>
        <w:rPr>
          <w:spacing w:val="-2"/>
        </w:rPr>
        <w:t> </w:t>
      </w:r>
      <w:r>
        <w:rPr/>
        <w:t>deja</w:t>
      </w:r>
      <w:r>
        <w:rPr>
          <w:spacing w:val="-4"/>
        </w:rPr>
        <w:t> </w:t>
      </w:r>
      <w:r>
        <w:rPr/>
        <w:t>en</w:t>
      </w:r>
      <w:r>
        <w:rPr>
          <w:spacing w:val="-4"/>
        </w:rPr>
        <w:t> </w:t>
      </w:r>
      <w:r>
        <w:rPr/>
        <w:t>desventaja</w:t>
      </w:r>
      <w:r>
        <w:rPr>
          <w:spacing w:val="-2"/>
        </w:rPr>
        <w:t> </w:t>
      </w:r>
      <w:r>
        <w:rPr/>
        <w:t>a</w:t>
      </w:r>
      <w:r>
        <w:rPr>
          <w:spacing w:val="-4"/>
        </w:rPr>
        <w:t> </w:t>
      </w:r>
      <w:r>
        <w:rPr/>
        <w:t>quien</w:t>
      </w:r>
      <w:r>
        <w:rPr>
          <w:spacing w:val="-4"/>
        </w:rPr>
        <w:t> </w:t>
      </w:r>
      <w:r>
        <w:rPr/>
        <w:t>ha sido afectado en su buen nombre y honra, derechos que ya han sido vulnerados por las afirmaciones injuriosas o calumniosas, y que no encuentran una restitución proporcional en la sola retractación.</w:t>
      </w:r>
    </w:p>
    <w:p>
      <w:pPr>
        <w:pStyle w:val="BodyText"/>
        <w:spacing w:before="122"/>
      </w:pPr>
    </w:p>
    <w:p>
      <w:pPr>
        <w:pStyle w:val="BodyText"/>
        <w:ind w:left="1"/>
        <w:jc w:val="both"/>
      </w:pPr>
      <w:r>
        <w:rPr/>
        <w:t>En</w:t>
      </w:r>
      <w:r>
        <w:rPr>
          <w:spacing w:val="2"/>
        </w:rPr>
        <w:t> </w:t>
      </w:r>
      <w:r>
        <w:rPr/>
        <w:t>este</w:t>
      </w:r>
      <w:r>
        <w:rPr>
          <w:spacing w:val="4"/>
        </w:rPr>
        <w:t> </w:t>
      </w:r>
      <w:r>
        <w:rPr/>
        <w:t>sentido,</w:t>
      </w:r>
      <w:r>
        <w:rPr>
          <w:spacing w:val="7"/>
        </w:rPr>
        <w:t> </w:t>
      </w:r>
      <w:r>
        <w:rPr/>
        <w:t>el</w:t>
      </w:r>
      <w:r>
        <w:rPr>
          <w:spacing w:val="3"/>
        </w:rPr>
        <w:t> </w:t>
      </w:r>
      <w:r>
        <w:rPr/>
        <w:t>proyecto</w:t>
      </w:r>
      <w:r>
        <w:rPr>
          <w:spacing w:val="4"/>
        </w:rPr>
        <w:t> </w:t>
      </w:r>
      <w:r>
        <w:rPr/>
        <w:t>propone</w:t>
      </w:r>
      <w:r>
        <w:rPr>
          <w:spacing w:val="6"/>
        </w:rPr>
        <w:t> </w:t>
      </w:r>
      <w:r>
        <w:rPr/>
        <w:t>incorporar</w:t>
      </w:r>
      <w:r>
        <w:rPr>
          <w:spacing w:val="5"/>
        </w:rPr>
        <w:t> </w:t>
      </w:r>
      <w:r>
        <w:rPr/>
        <w:t>al</w:t>
      </w:r>
      <w:r>
        <w:rPr>
          <w:spacing w:val="5"/>
        </w:rPr>
        <w:t> </w:t>
      </w:r>
      <w:r>
        <w:rPr/>
        <w:t>ordenamiento</w:t>
      </w:r>
      <w:r>
        <w:rPr>
          <w:spacing w:val="6"/>
        </w:rPr>
        <w:t> </w:t>
      </w:r>
      <w:r>
        <w:rPr/>
        <w:t>penal</w:t>
      </w:r>
      <w:r>
        <w:rPr>
          <w:spacing w:val="5"/>
        </w:rPr>
        <w:t> </w:t>
      </w:r>
      <w:r>
        <w:rPr/>
        <w:t>una</w:t>
      </w:r>
      <w:r>
        <w:rPr>
          <w:spacing w:val="6"/>
        </w:rPr>
        <w:t> </w:t>
      </w:r>
      <w:r>
        <w:rPr/>
        <w:t>sanción</w:t>
      </w:r>
      <w:r>
        <w:rPr>
          <w:spacing w:val="6"/>
        </w:rPr>
        <w:t> </w:t>
      </w:r>
      <w:r>
        <w:rPr>
          <w:spacing w:val="-2"/>
        </w:rPr>
        <w:t>económica</w:t>
      </w:r>
    </w:p>
    <w:p>
      <w:pPr>
        <w:pStyle w:val="BodyText"/>
        <w:spacing w:line="360" w:lineRule="auto" w:before="127"/>
        <w:ind w:left="1" w:right="363"/>
        <w:jc w:val="both"/>
      </w:pPr>
      <w:r>
        <w:rPr/>
        <w:t>—que no constituye pena principal ni accesoria, no genera antecedentes penales ni acarrea la aplicación</w:t>
      </w:r>
      <w:r>
        <w:rPr>
          <w:spacing w:val="-1"/>
        </w:rPr>
        <w:t> </w:t>
      </w:r>
      <w:r>
        <w:rPr/>
        <w:t>de</w:t>
      </w:r>
      <w:r>
        <w:rPr>
          <w:spacing w:val="-3"/>
        </w:rPr>
        <w:t> </w:t>
      </w:r>
      <w:r>
        <w:rPr/>
        <w:t>las</w:t>
      </w:r>
      <w:r>
        <w:rPr>
          <w:spacing w:val="-1"/>
        </w:rPr>
        <w:t> </w:t>
      </w:r>
      <w:r>
        <w:rPr/>
        <w:t>penas</w:t>
      </w:r>
      <w:r>
        <w:rPr>
          <w:spacing w:val="-3"/>
        </w:rPr>
        <w:t> </w:t>
      </w:r>
      <w:r>
        <w:rPr/>
        <w:t>privativas</w:t>
      </w:r>
      <w:r>
        <w:rPr>
          <w:spacing w:val="-3"/>
        </w:rPr>
        <w:t> </w:t>
      </w:r>
      <w:r>
        <w:rPr/>
        <w:t>de</w:t>
      </w:r>
      <w:r>
        <w:rPr>
          <w:spacing w:val="-3"/>
        </w:rPr>
        <w:t> </w:t>
      </w:r>
      <w:r>
        <w:rPr/>
        <w:t>otros</w:t>
      </w:r>
      <w:r>
        <w:rPr>
          <w:spacing w:val="-3"/>
        </w:rPr>
        <w:t> </w:t>
      </w:r>
      <w:r>
        <w:rPr/>
        <w:t>derechos</w:t>
      </w:r>
      <w:r>
        <w:rPr>
          <w:spacing w:val="-3"/>
        </w:rPr>
        <w:t> </w:t>
      </w:r>
      <w:r>
        <w:rPr/>
        <w:t>previstas</w:t>
      </w:r>
      <w:r>
        <w:rPr>
          <w:spacing w:val="-3"/>
        </w:rPr>
        <w:t> </w:t>
      </w:r>
      <w:r>
        <w:rPr/>
        <w:t>en</w:t>
      </w:r>
      <w:r>
        <w:rPr>
          <w:spacing w:val="-3"/>
        </w:rPr>
        <w:t> </w:t>
      </w:r>
      <w:r>
        <w:rPr/>
        <w:t>el</w:t>
      </w:r>
      <w:r>
        <w:rPr>
          <w:spacing w:val="-4"/>
        </w:rPr>
        <w:t> </w:t>
      </w:r>
      <w:r>
        <w:rPr/>
        <w:t>artículo</w:t>
      </w:r>
      <w:r>
        <w:rPr>
          <w:spacing w:val="-3"/>
        </w:rPr>
        <w:t> </w:t>
      </w:r>
      <w:r>
        <w:rPr/>
        <w:t>43</w:t>
      </w:r>
      <w:r>
        <w:rPr>
          <w:spacing w:val="-3"/>
        </w:rPr>
        <w:t> </w:t>
      </w:r>
      <w:r>
        <w:rPr/>
        <w:t>de</w:t>
      </w:r>
      <w:r>
        <w:rPr>
          <w:spacing w:val="-3"/>
        </w:rPr>
        <w:t> </w:t>
      </w:r>
      <w:r>
        <w:rPr/>
        <w:t>la</w:t>
      </w:r>
      <w:r>
        <w:rPr>
          <w:spacing w:val="-3"/>
        </w:rPr>
        <w:t> </w:t>
      </w:r>
      <w:r>
        <w:rPr/>
        <w:t>Ley</w:t>
      </w:r>
      <w:r>
        <w:rPr>
          <w:spacing w:val="-3"/>
        </w:rPr>
        <w:t> </w:t>
      </w:r>
      <w:r>
        <w:rPr/>
        <w:t>599</w:t>
      </w:r>
      <w:r>
        <w:rPr>
          <w:spacing w:val="-3"/>
        </w:rPr>
        <w:t> </w:t>
      </w:r>
      <w:r>
        <w:rPr/>
        <w:t>de 2000— que deberá ser tasada por el juez de conocimiento en los casos en que el autor o partícipe de injuria o calumnia se acoja a la retractación. La medida busca que la retractación deje de ser un mecanismo exento de costo para quien afecta la honra ajena y se convierta en un acto serio y con una consecuencia patrimonial proporcional al daño causado, sin desnaturalizar la figura de la retractación como causal de exclusión de pena ni imponer una responsabilidad de naturaleza penal adicional.</w:t>
      </w:r>
    </w:p>
    <w:p>
      <w:pPr>
        <w:pStyle w:val="BodyText"/>
        <w:spacing w:before="121"/>
      </w:pPr>
    </w:p>
    <w:p>
      <w:pPr>
        <w:pStyle w:val="BodyText"/>
        <w:spacing w:line="360" w:lineRule="auto" w:before="1"/>
        <w:ind w:left="1" w:right="360"/>
        <w:jc w:val="both"/>
      </w:pPr>
      <w:r>
        <w:rPr/>
        <w:t>A lo anterior se suma un elemento que agrava la necesidad de una respuesta legislativa más exigente: la afectación al buen nombre y a la honra cometida a través de medios masivos de comunicación, y en particular a través de las redes sociales, se produce y se propaga con una velocidad y un alcance que la retractación posterior, por completa que sea, no logra neutralizar en la misma proporción. Una publicación injuriosa o calumniosa puede ser compartida, replicada y comentada por un número indeterminado de personas en cuestión de minutos, mientras que la retractación —aun cuando se realice en el mismo medio y con las mismas características,</w:t>
      </w:r>
      <w:r>
        <w:rPr>
          <w:spacing w:val="-2"/>
        </w:rPr>
        <w:t> </w:t>
      </w:r>
      <w:r>
        <w:rPr/>
        <w:t>como</w:t>
      </w:r>
      <w:r>
        <w:rPr>
          <w:spacing w:val="-3"/>
        </w:rPr>
        <w:t> </w:t>
      </w:r>
      <w:r>
        <w:rPr/>
        <w:t>exige</w:t>
      </w:r>
      <w:r>
        <w:rPr>
          <w:spacing w:val="-3"/>
        </w:rPr>
        <w:t> </w:t>
      </w:r>
      <w:r>
        <w:rPr/>
        <w:t>el</w:t>
      </w:r>
      <w:r>
        <w:rPr>
          <w:spacing w:val="-4"/>
        </w:rPr>
        <w:t> </w:t>
      </w:r>
      <w:r>
        <w:rPr/>
        <w:t>artículo</w:t>
      </w:r>
      <w:r>
        <w:rPr>
          <w:spacing w:val="-1"/>
        </w:rPr>
        <w:t> </w:t>
      </w:r>
      <w:r>
        <w:rPr/>
        <w:t>225</w:t>
      </w:r>
      <w:r>
        <w:rPr>
          <w:spacing w:val="-3"/>
        </w:rPr>
        <w:t> </w:t>
      </w:r>
      <w:r>
        <w:rPr/>
        <w:t>del</w:t>
      </w:r>
      <w:r>
        <w:rPr>
          <w:spacing w:val="-4"/>
        </w:rPr>
        <w:t> </w:t>
      </w:r>
      <w:r>
        <w:rPr/>
        <w:t>Código</w:t>
      </w:r>
      <w:r>
        <w:rPr>
          <w:spacing w:val="-1"/>
        </w:rPr>
        <w:t> </w:t>
      </w:r>
      <w:r>
        <w:rPr/>
        <w:t>Penal—</w:t>
      </w:r>
      <w:r>
        <w:rPr>
          <w:spacing w:val="-1"/>
        </w:rPr>
        <w:t> </w:t>
      </w:r>
      <w:r>
        <w:rPr/>
        <w:t>rara</w:t>
      </w:r>
      <w:r>
        <w:rPr>
          <w:spacing w:val="-5"/>
        </w:rPr>
        <w:t> </w:t>
      </w:r>
      <w:r>
        <w:rPr/>
        <w:t>vez</w:t>
      </w:r>
      <w:r>
        <w:rPr>
          <w:spacing w:val="-3"/>
        </w:rPr>
        <w:t> </w:t>
      </w:r>
      <w:r>
        <w:rPr/>
        <w:t>alcanza</w:t>
      </w:r>
      <w:r>
        <w:rPr>
          <w:spacing w:val="-1"/>
        </w:rPr>
        <w:t> </w:t>
      </w:r>
      <w:r>
        <w:rPr/>
        <w:t>a</w:t>
      </w:r>
      <w:r>
        <w:rPr>
          <w:spacing w:val="-5"/>
        </w:rPr>
        <w:t> </w:t>
      </w:r>
      <w:r>
        <w:rPr/>
        <w:t>la</w:t>
      </w:r>
      <w:r>
        <w:rPr>
          <w:spacing w:val="-1"/>
        </w:rPr>
        <w:t> </w:t>
      </w:r>
      <w:r>
        <w:rPr/>
        <w:t>totalidad</w:t>
      </w:r>
      <w:r>
        <w:rPr>
          <w:spacing w:val="-1"/>
        </w:rPr>
        <w:t> </w:t>
      </w:r>
      <w:r>
        <w:rPr/>
        <w:t>de quienes</w:t>
      </w:r>
      <w:r>
        <w:rPr>
          <w:spacing w:val="-2"/>
        </w:rPr>
        <w:t> </w:t>
      </w:r>
      <w:r>
        <w:rPr/>
        <w:t>tuvieron</w:t>
      </w:r>
      <w:r>
        <w:rPr>
          <w:spacing w:val="-2"/>
        </w:rPr>
        <w:t> </w:t>
      </w:r>
      <w:r>
        <w:rPr/>
        <w:t>contacto</w:t>
      </w:r>
      <w:r>
        <w:rPr>
          <w:spacing w:val="-4"/>
        </w:rPr>
        <w:t> </w:t>
      </w:r>
      <w:r>
        <w:rPr/>
        <w:t>con</w:t>
      </w:r>
      <w:r>
        <w:rPr>
          <w:spacing w:val="-2"/>
        </w:rPr>
        <w:t> </w:t>
      </w:r>
      <w:r>
        <w:rPr/>
        <w:t>la</w:t>
      </w:r>
      <w:r>
        <w:rPr>
          <w:spacing w:val="-2"/>
        </w:rPr>
        <w:t> </w:t>
      </w:r>
      <w:r>
        <w:rPr/>
        <w:t>imputación</w:t>
      </w:r>
      <w:r>
        <w:rPr>
          <w:spacing w:val="-2"/>
        </w:rPr>
        <w:t> </w:t>
      </w:r>
      <w:r>
        <w:rPr/>
        <w:t>original,</w:t>
      </w:r>
      <w:r>
        <w:rPr>
          <w:spacing w:val="-1"/>
        </w:rPr>
        <w:t> </w:t>
      </w:r>
      <w:r>
        <w:rPr/>
        <w:t>de</w:t>
      </w:r>
      <w:r>
        <w:rPr>
          <w:spacing w:val="-4"/>
        </w:rPr>
        <w:t> </w:t>
      </w:r>
      <w:r>
        <w:rPr/>
        <w:t>modo</w:t>
      </w:r>
      <w:r>
        <w:rPr>
          <w:spacing w:val="-4"/>
        </w:rPr>
        <w:t> </w:t>
      </w:r>
      <w:r>
        <w:rPr/>
        <w:t>que</w:t>
      </w:r>
      <w:r>
        <w:rPr>
          <w:spacing w:val="-2"/>
        </w:rPr>
        <w:t> </w:t>
      </w:r>
      <w:r>
        <w:rPr/>
        <w:t>el</w:t>
      </w:r>
      <w:r>
        <w:rPr>
          <w:spacing w:val="-3"/>
        </w:rPr>
        <w:t> </w:t>
      </w:r>
      <w:r>
        <w:rPr/>
        <w:t>daño</w:t>
      </w:r>
      <w:r>
        <w:rPr>
          <w:spacing w:val="-4"/>
        </w:rPr>
        <w:t> </w:t>
      </w:r>
      <w:r>
        <w:rPr/>
        <w:t>reputacional</w:t>
      </w:r>
      <w:r>
        <w:rPr>
          <w:spacing w:val="-1"/>
        </w:rPr>
        <w:t> </w:t>
      </w:r>
      <w:r>
        <w:rPr/>
        <w:t>tiende</w:t>
      </w:r>
      <w:r>
        <w:rPr>
          <w:spacing w:val="-2"/>
        </w:rPr>
        <w:t> </w:t>
      </w:r>
      <w:r>
        <w:rPr/>
        <w:t>a</w:t>
      </w:r>
    </w:p>
    <w:p>
      <w:pPr>
        <w:pStyle w:val="BodyText"/>
        <w:spacing w:after="0" w:line="360" w:lineRule="auto"/>
        <w:jc w:val="both"/>
        <w:sectPr>
          <w:pgSz w:w="12240" w:h="15840"/>
          <w:pgMar w:top="1360" w:bottom="280" w:left="1440" w:right="1080"/>
        </w:sectPr>
      </w:pPr>
    </w:p>
    <w:p>
      <w:pPr>
        <w:pStyle w:val="BodyText"/>
        <w:spacing w:before="79"/>
        <w:ind w:left="1"/>
      </w:pPr>
      <w:r>
        <w:rPr>
          <w:spacing w:val="-2"/>
        </w:rPr>
        <w:t>persistir.</w:t>
      </w:r>
    </w:p>
    <w:p>
      <w:pPr>
        <w:pStyle w:val="BodyText"/>
        <w:spacing w:before="252"/>
      </w:pPr>
    </w:p>
    <w:p>
      <w:pPr>
        <w:pStyle w:val="BodyText"/>
        <w:spacing w:line="360" w:lineRule="auto"/>
        <w:ind w:left="1" w:right="367"/>
        <w:jc w:val="both"/>
      </w:pPr>
      <w:r>
        <w:rPr/>
        <w:t>La Corte Constitucional ha reconocido expresamente esta relación entre el medio de difusión y la magnitud del daño a la honra. En la Sentencia SU-420 de 2019, que unificó la jurisprudencia en materia de expresiones ofensivas difundidas en redes sociales, la Corte precisó que la magnitud</w:t>
      </w:r>
      <w:r>
        <w:rPr>
          <w:spacing w:val="-1"/>
        </w:rPr>
        <w:t> </w:t>
      </w:r>
      <w:r>
        <w:rPr/>
        <w:t>de la</w:t>
      </w:r>
      <w:r>
        <w:rPr>
          <w:spacing w:val="-1"/>
        </w:rPr>
        <w:t> </w:t>
      </w:r>
      <w:r>
        <w:rPr/>
        <w:t>afectación debe valorarse</w:t>
      </w:r>
      <w:r>
        <w:rPr>
          <w:spacing w:val="-1"/>
        </w:rPr>
        <w:t> </w:t>
      </w:r>
      <w:r>
        <w:rPr/>
        <w:t>a</w:t>
      </w:r>
      <w:r>
        <w:rPr>
          <w:spacing w:val="-1"/>
        </w:rPr>
        <w:t> </w:t>
      </w:r>
      <w:r>
        <w:rPr/>
        <w:t>partir de factores</w:t>
      </w:r>
      <w:r>
        <w:rPr>
          <w:spacing w:val="-1"/>
        </w:rPr>
        <w:t> </w:t>
      </w:r>
      <w:r>
        <w:rPr/>
        <w:t>como</w:t>
      </w:r>
      <w:r>
        <w:rPr>
          <w:spacing w:val="-1"/>
        </w:rPr>
        <w:t> </w:t>
      </w:r>
      <w:r>
        <w:rPr/>
        <w:t>el contenido del mensaje, el medio a través del cual se difunde, el número de reproducciones y la periodicidad o reiteración de las publicaciones, reconociendo así que la lesividad de la conducta guarda relación directa con la velocidad y amplitud de la difusión propias de las plataformas digitales, frente a formas de comunicación de alcance más limitado.</w:t>
      </w:r>
    </w:p>
    <w:p>
      <w:pPr>
        <w:pStyle w:val="BodyText"/>
        <w:spacing w:before="123"/>
      </w:pPr>
    </w:p>
    <w:p>
      <w:pPr>
        <w:pStyle w:val="BodyText"/>
        <w:spacing w:line="360" w:lineRule="auto" w:before="1"/>
        <w:ind w:left="1" w:right="361"/>
        <w:jc w:val="both"/>
      </w:pPr>
      <w:r>
        <w:rPr/>
        <w:t>En la misma líneajurisprudencial, la Sentencia T-117 de 2018 estableció que quien publica en redes sociales información que pueda comprometer los derechos de terceros asume una responsabilidad análoga a la de un medio de comunicación y</w:t>
      </w:r>
      <w:r>
        <w:rPr>
          <w:spacing w:val="-1"/>
        </w:rPr>
        <w:t> </w:t>
      </w:r>
      <w:r>
        <w:rPr/>
        <w:t>está sujeto a un deber mínimo de diligencia, consistente en contrastar y verificar razonablemente la información antes de difundirla, sin que ello equivalga a exigirle una comprobación pericial o judicial de los hechos que relata. La Sentencia T-155 de 2019 reiteró en el mismo sentido que quien emite una opinión o afirmación pública debe constatar en forma razonable, aunque no exhaustiva, los hechos en los que la fundamenta, exigencia que se agudiza cuando la afirmación se difunde</w:t>
      </w:r>
      <w:r>
        <w:rPr>
          <w:spacing w:val="40"/>
        </w:rPr>
        <w:t> </w:t>
      </w:r>
      <w:r>
        <w:rPr/>
        <w:t>por canales de alto impacto y rápida circulación.</w:t>
      </w:r>
    </w:p>
    <w:p>
      <w:pPr>
        <w:pStyle w:val="BodyText"/>
        <w:spacing w:before="121"/>
      </w:pPr>
    </w:p>
    <w:p>
      <w:pPr>
        <w:pStyle w:val="BodyText"/>
        <w:spacing w:line="360" w:lineRule="auto"/>
        <w:ind w:left="1" w:right="362"/>
        <w:jc w:val="both"/>
      </w:pPr>
      <w:r>
        <w:rPr/>
        <w:t>Este cuerpo jurisprudencial confirma que el ordenamiento ya reconoce que la velocidad de circulación de las publicaciones en internet y en redes sociales multiplica el daño potencial a la honra y al buen nombre, e impone a quien publica una carga de verificación previa. La doctrina sobre el efecto disuasivo o “chilling effect” de la responsabilidad por expresiones ofensivas, desarrollada en el derecho comparado y recogida por la propia Corte Constitucional al analizar los límites a la libertad de expresión, opera en ambos sentidos: así como una regulación excesivamente</w:t>
      </w:r>
      <w:r>
        <w:rPr>
          <w:spacing w:val="-2"/>
        </w:rPr>
        <w:t> </w:t>
      </w:r>
      <w:r>
        <w:rPr/>
        <w:t>gravosa</w:t>
      </w:r>
      <w:r>
        <w:rPr>
          <w:spacing w:val="-2"/>
        </w:rPr>
        <w:t> </w:t>
      </w:r>
      <w:r>
        <w:rPr/>
        <w:t>puede</w:t>
      </w:r>
      <w:r>
        <w:rPr>
          <w:spacing w:val="-2"/>
        </w:rPr>
        <w:t> </w:t>
      </w:r>
      <w:r>
        <w:rPr/>
        <w:t>inhibir</w:t>
      </w:r>
      <w:r>
        <w:rPr>
          <w:spacing w:val="-1"/>
        </w:rPr>
        <w:t> </w:t>
      </w:r>
      <w:r>
        <w:rPr/>
        <w:t>injustificadamente</w:t>
      </w:r>
      <w:r>
        <w:rPr>
          <w:spacing w:val="-2"/>
        </w:rPr>
        <w:t> </w:t>
      </w:r>
      <w:r>
        <w:rPr/>
        <w:t>la libertad</w:t>
      </w:r>
      <w:r>
        <w:rPr>
          <w:spacing w:val="-2"/>
        </w:rPr>
        <w:t> </w:t>
      </w:r>
      <w:r>
        <w:rPr/>
        <w:t>de</w:t>
      </w:r>
      <w:r>
        <w:rPr>
          <w:spacing w:val="-2"/>
        </w:rPr>
        <w:t> </w:t>
      </w:r>
      <w:r>
        <w:rPr/>
        <w:t>expresión,</w:t>
      </w:r>
      <w:r>
        <w:rPr>
          <w:spacing w:val="-1"/>
        </w:rPr>
        <w:t> </w:t>
      </w:r>
      <w:r>
        <w:rPr/>
        <w:t>la</w:t>
      </w:r>
      <w:r>
        <w:rPr>
          <w:spacing w:val="-2"/>
        </w:rPr>
        <w:t> </w:t>
      </w:r>
      <w:r>
        <w:rPr/>
        <w:t>ausencia de toda consecuencia patrimonial para quien injuria o calumnia con ligereza —confiado en que bastará con retractarse para quedar exento de toda responsabilidad— genera el incentivo inverso, esto es, un desestímulo a verificar el contenido antes de publicarlo. La sanción económica que crea el artículo 36A busca corregir precisamente ese incentivo perverso: al introducir un costo patrimonial, aunque no punitivo, asociado a la necesidad de retractarse, la norma promueve que quien</w:t>
      </w:r>
      <w:r>
        <w:rPr>
          <w:spacing w:val="15"/>
        </w:rPr>
        <w:t> </w:t>
      </w:r>
      <w:r>
        <w:rPr/>
        <w:t>se dispone</w:t>
      </w:r>
      <w:r>
        <w:rPr>
          <w:spacing w:val="15"/>
        </w:rPr>
        <w:t> </w:t>
      </w:r>
      <w:r>
        <w:rPr/>
        <w:t>a publicar</w:t>
      </w:r>
      <w:r>
        <w:rPr>
          <w:spacing w:val="16"/>
        </w:rPr>
        <w:t> </w:t>
      </w:r>
      <w:r>
        <w:rPr/>
        <w:t>en medios de amplia y rápida difusión</w:t>
      </w:r>
      <w:r>
        <w:rPr>
          <w:spacing w:val="15"/>
        </w:rPr>
        <w:t> </w:t>
      </w:r>
      <w:r>
        <w:rPr/>
        <w:t>—en</w:t>
      </w:r>
    </w:p>
    <w:p>
      <w:pPr>
        <w:pStyle w:val="BodyText"/>
        <w:spacing w:after="0" w:line="360" w:lineRule="auto"/>
        <w:jc w:val="both"/>
        <w:sectPr>
          <w:pgSz w:w="12240" w:h="15840"/>
          <w:pgMar w:top="1360" w:bottom="280" w:left="1440" w:right="1080"/>
        </w:sectPr>
      </w:pPr>
    </w:p>
    <w:p>
      <w:pPr>
        <w:pStyle w:val="BodyText"/>
        <w:spacing w:line="360" w:lineRule="auto" w:before="79"/>
        <w:ind w:left="1" w:right="370"/>
        <w:jc w:val="both"/>
      </w:pPr>
      <w:r>
        <w:rPr/>
        <w:t>especial en redes sociales— se cerciore con mayor diligencia del contenido que va a divulgar, en</w:t>
      </w:r>
      <w:r>
        <w:rPr>
          <w:spacing w:val="-1"/>
        </w:rPr>
        <w:t> </w:t>
      </w:r>
      <w:r>
        <w:rPr/>
        <w:t>lugar de</w:t>
      </w:r>
      <w:r>
        <w:rPr>
          <w:spacing w:val="-1"/>
        </w:rPr>
        <w:t> </w:t>
      </w:r>
      <w:r>
        <w:rPr/>
        <w:t>asumir</w:t>
      </w:r>
      <w:r>
        <w:rPr>
          <w:spacing w:val="-2"/>
        </w:rPr>
        <w:t> </w:t>
      </w:r>
      <w:r>
        <w:rPr/>
        <w:t>el riesgo</w:t>
      </w:r>
      <w:r>
        <w:rPr>
          <w:spacing w:val="-1"/>
        </w:rPr>
        <w:t> </w:t>
      </w:r>
      <w:r>
        <w:rPr/>
        <w:t>de</w:t>
      </w:r>
      <w:r>
        <w:rPr>
          <w:spacing w:val="-1"/>
        </w:rPr>
        <w:t> </w:t>
      </w:r>
      <w:r>
        <w:rPr/>
        <w:t>injuriar o</w:t>
      </w:r>
      <w:r>
        <w:rPr>
          <w:spacing w:val="-1"/>
        </w:rPr>
        <w:t> </w:t>
      </w:r>
      <w:r>
        <w:rPr/>
        <w:t>calumniar bajo</w:t>
      </w:r>
      <w:r>
        <w:rPr>
          <w:spacing w:val="-1"/>
        </w:rPr>
        <w:t> </w:t>
      </w:r>
      <w:r>
        <w:rPr/>
        <w:t>el</w:t>
      </w:r>
      <w:r>
        <w:rPr>
          <w:spacing w:val="-2"/>
        </w:rPr>
        <w:t> </w:t>
      </w:r>
      <w:r>
        <w:rPr/>
        <w:t>entendido de</w:t>
      </w:r>
      <w:r>
        <w:rPr>
          <w:spacing w:val="-1"/>
        </w:rPr>
        <w:t> </w:t>
      </w:r>
      <w:r>
        <w:rPr/>
        <w:t>que</w:t>
      </w:r>
      <w:r>
        <w:rPr>
          <w:spacing w:val="-1"/>
        </w:rPr>
        <w:t> </w:t>
      </w:r>
      <w:r>
        <w:rPr/>
        <w:t>la</w:t>
      </w:r>
      <w:r>
        <w:rPr>
          <w:spacing w:val="-1"/>
        </w:rPr>
        <w:t> </w:t>
      </w:r>
      <w:r>
        <w:rPr/>
        <w:t>sola</w:t>
      </w:r>
      <w:r>
        <w:rPr>
          <w:spacing w:val="-1"/>
        </w:rPr>
        <w:t> </w:t>
      </w:r>
      <w:r>
        <w:rPr/>
        <w:t>retractación restablecerá enteramente su situación jurídica sin costo alguno.</w:t>
      </w:r>
    </w:p>
    <w:p>
      <w:pPr>
        <w:pStyle w:val="BodyText"/>
        <w:spacing w:before="125"/>
      </w:pPr>
    </w:p>
    <w:p>
      <w:pPr>
        <w:pStyle w:val="BodyText"/>
        <w:spacing w:line="360" w:lineRule="auto"/>
        <w:ind w:left="1" w:right="369"/>
        <w:jc w:val="both"/>
      </w:pPr>
      <w:r>
        <w:rPr/>
        <w:t>Finalmente, el espíritu de esta modificación es garantizar que el derecho de la víctima al buen nombre y a la honra sea restablecido de manera efectiva, y que la libertad de expresión no se use como un pretexto para eludir la justicia. Esta propuesta es coherente con el principio de proporcionalidad en la limitación de derechos, tal como lo ha señalado la Corte Constitucional en las decisiones que se reseñan en el siguiente acápite.</w:t>
      </w:r>
    </w:p>
    <w:p>
      <w:pPr>
        <w:pStyle w:val="BodyText"/>
      </w:pPr>
    </w:p>
    <w:p>
      <w:pPr>
        <w:pStyle w:val="BodyText"/>
        <w:spacing w:before="110"/>
      </w:pPr>
    </w:p>
    <w:p>
      <w:pPr>
        <w:pStyle w:val="Heading1"/>
        <w:numPr>
          <w:ilvl w:val="0"/>
          <w:numId w:val="1"/>
        </w:numPr>
        <w:tabs>
          <w:tab w:pos="366" w:val="left" w:leader="none"/>
        </w:tabs>
        <w:spacing w:line="360" w:lineRule="auto" w:before="1" w:after="0"/>
        <w:ind w:left="1" w:right="373" w:firstLine="0"/>
        <w:jc w:val="left"/>
      </w:pPr>
      <w:r>
        <w:rPr/>
        <w:t>TRATAMIENTO</w:t>
      </w:r>
      <w:r>
        <w:rPr>
          <w:spacing w:val="80"/>
        </w:rPr>
        <w:t> </w:t>
      </w:r>
      <w:r>
        <w:rPr/>
        <w:t>DE</w:t>
      </w:r>
      <w:r>
        <w:rPr>
          <w:spacing w:val="80"/>
        </w:rPr>
        <w:t> </w:t>
      </w:r>
      <w:r>
        <w:rPr/>
        <w:t>LA</w:t>
      </w:r>
      <w:r>
        <w:rPr>
          <w:spacing w:val="80"/>
        </w:rPr>
        <w:t> </w:t>
      </w:r>
      <w:r>
        <w:rPr/>
        <w:t>INJURIA,</w:t>
      </w:r>
      <w:r>
        <w:rPr>
          <w:spacing w:val="80"/>
        </w:rPr>
        <w:t> </w:t>
      </w:r>
      <w:r>
        <w:rPr/>
        <w:t>LA</w:t>
      </w:r>
      <w:r>
        <w:rPr>
          <w:spacing w:val="80"/>
        </w:rPr>
        <w:t> </w:t>
      </w:r>
      <w:r>
        <w:rPr/>
        <w:t>CALUMNIA</w:t>
      </w:r>
      <w:r>
        <w:rPr>
          <w:spacing w:val="80"/>
        </w:rPr>
        <w:t> </w:t>
      </w:r>
      <w:r>
        <w:rPr/>
        <w:t>Y</w:t>
      </w:r>
      <w:r>
        <w:rPr>
          <w:spacing w:val="80"/>
        </w:rPr>
        <w:t> </w:t>
      </w:r>
      <w:r>
        <w:rPr/>
        <w:t>LA</w:t>
      </w:r>
      <w:r>
        <w:rPr>
          <w:spacing w:val="80"/>
        </w:rPr>
        <w:t> </w:t>
      </w:r>
      <w:r>
        <w:rPr/>
        <w:t>RETRACTACIÓN</w:t>
      </w:r>
      <w:r>
        <w:rPr>
          <w:spacing w:val="80"/>
        </w:rPr>
        <w:t> </w:t>
      </w:r>
      <w:r>
        <w:rPr/>
        <w:t>EN</w:t>
      </w:r>
      <w:r>
        <w:rPr>
          <w:spacing w:val="80"/>
        </w:rPr>
        <w:t> </w:t>
      </w:r>
      <w:r>
        <w:rPr/>
        <w:t>EL DERECHO COMPARADO.</w:t>
      </w:r>
    </w:p>
    <w:p>
      <w:pPr>
        <w:pStyle w:val="BodyText"/>
        <w:spacing w:line="360" w:lineRule="auto" w:before="119"/>
        <w:ind w:left="1" w:right="368"/>
        <w:jc w:val="both"/>
      </w:pPr>
      <w:r>
        <w:rPr/>
        <w:t>Con el fin de ilustrar el alcance de la reforma propuesta, resulta pertinente reseñar cómo tipifican los delitos de injuria y calumnia otros ordenamientos jurídicos de tradición jurídica próxima a la colombiana, y qué efectos atribuyen a la retractación del ofensor.</w:t>
      </w:r>
    </w:p>
    <w:p>
      <w:pPr>
        <w:pStyle w:val="BodyText"/>
        <w:spacing w:before="124"/>
      </w:pPr>
    </w:p>
    <w:p>
      <w:pPr>
        <w:pStyle w:val="BodyText"/>
        <w:spacing w:line="360" w:lineRule="auto"/>
        <w:ind w:left="1" w:right="362"/>
        <w:jc w:val="both"/>
      </w:pPr>
      <w:r>
        <w:rPr>
          <w:rFonts w:ascii="Arial" w:hAnsi="Arial"/>
          <w:b/>
        </w:rPr>
        <w:t>España. </w:t>
      </w:r>
      <w:r>
        <w:rPr/>
        <w:t>El Código Penal español (Ley Orgánica 10/1995), en su Título XI, tipifica la calumnia (artículo 205, como la imputación de un delito hecha con conocimiento de su falsedad o temerario desprecio hacia la verdad) y la injuria (artículo 208, como la acción o expresión que lesiona la dignidad de otra persona, menoscabando su fama o atentando contra su propia estimación). A diferencia del régimen colombiano, el artículo 214 del Código Penal español no exime de pena a quien se retracta: si el acusado reconoce ante la autoridad judicial la falsedad o falta de certeza de sus imputaciones y se retracta, el juez o tribunal únicamente le impondrá</w:t>
      </w:r>
      <w:r>
        <w:rPr>
          <w:spacing w:val="40"/>
        </w:rPr>
        <w:t> </w:t>
      </w:r>
      <w:r>
        <w:rPr/>
        <w:t>la pena inmediatamente inferior en grado, y podrá dejar de imponer la pena accesoria de inhabilitación. La retractación, además, puede dar lugar a que se ordene su publicación en el mismo medio y espacio en que se difundió la ofensa, a solicitud del ofendido.</w:t>
      </w:r>
    </w:p>
    <w:p>
      <w:pPr>
        <w:pStyle w:val="BodyText"/>
        <w:spacing w:before="123"/>
      </w:pPr>
    </w:p>
    <w:p>
      <w:pPr>
        <w:pStyle w:val="BodyText"/>
        <w:spacing w:line="360" w:lineRule="auto"/>
        <w:ind w:left="1" w:right="361"/>
        <w:jc w:val="both"/>
      </w:pPr>
      <w:r>
        <w:rPr>
          <w:rFonts w:ascii="Arial" w:hAnsi="Arial"/>
          <w:b/>
        </w:rPr>
        <w:t>Argentina. </w:t>
      </w:r>
      <w:r>
        <w:rPr/>
        <w:t>El Código Penal argentino tipifica la calumnia (artículo 109) y la injuria (artículo</w:t>
      </w:r>
      <w:r>
        <w:rPr>
          <w:spacing w:val="40"/>
        </w:rPr>
        <w:t> </w:t>
      </w:r>
      <w:r>
        <w:rPr/>
        <w:t>110), en la redacción dada por la Ley 26.551 de 2009. El artículo 117 dispone que quien se retracte públicamente, antes de contestar la querella o en el acto de hacerlo, queda exento de pena, sin que ello implique para el querellante la aceptación de la culpabilidad del retractado.</w:t>
      </w:r>
      <w:r>
        <w:rPr>
          <w:spacing w:val="40"/>
        </w:rPr>
        <w:t> </w:t>
      </w:r>
      <w:r>
        <w:rPr/>
        <w:t>La doctrina y la jurisprudencia argentinas han precisado, sin embargo, que esta excusa absolutoria opera exclusivamente en el ámbito penal: la retractación no exonera al autor de la</w:t>
      </w:r>
    </w:p>
    <w:p>
      <w:pPr>
        <w:pStyle w:val="BodyText"/>
        <w:spacing w:after="0" w:line="360" w:lineRule="auto"/>
        <w:jc w:val="both"/>
        <w:sectPr>
          <w:pgSz w:w="12240" w:h="15840"/>
          <w:pgMar w:top="1360" w:bottom="280" w:left="1440" w:right="1080"/>
        </w:sectPr>
      </w:pPr>
    </w:p>
    <w:p>
      <w:pPr>
        <w:pStyle w:val="BodyText"/>
        <w:spacing w:line="360" w:lineRule="auto" w:before="79"/>
        <w:ind w:left="1" w:right="370"/>
        <w:jc w:val="both"/>
      </w:pPr>
      <w:r>
        <w:rPr/>
        <w:t>responsabilidad civil por los daños causados, la cual se juzga de manera independiente conforme a las reglas generales de la responsabilidad extracontractual.</w:t>
      </w:r>
    </w:p>
    <w:p>
      <w:pPr>
        <w:pStyle w:val="BodyText"/>
        <w:spacing w:before="126"/>
      </w:pPr>
    </w:p>
    <w:p>
      <w:pPr>
        <w:pStyle w:val="BodyText"/>
        <w:spacing w:line="360" w:lineRule="auto"/>
        <w:ind w:left="1" w:right="365"/>
        <w:jc w:val="both"/>
      </w:pPr>
      <w:r>
        <w:rPr>
          <w:rFonts w:ascii="Arial" w:hAnsi="Arial"/>
          <w:b/>
        </w:rPr>
        <w:t>Chile. </w:t>
      </w:r>
      <w:r>
        <w:rPr/>
        <w:t>El Código Penal chileno regula la calumnia y la injuria en los artículos 412 a 431. El artículo 416 define la injuria como toda expresión proferida o acción ejecutada en deshonra, descrédito o menosprecio de otra persona. Por su parte, la Ley 19.733 sobre Libertades de Opinión e</w:t>
      </w:r>
      <w:r>
        <w:rPr>
          <w:spacing w:val="-2"/>
        </w:rPr>
        <w:t> </w:t>
      </w:r>
      <w:r>
        <w:rPr/>
        <w:t>Información y</w:t>
      </w:r>
      <w:r>
        <w:rPr>
          <w:spacing w:val="-2"/>
        </w:rPr>
        <w:t> </w:t>
      </w:r>
      <w:r>
        <w:rPr/>
        <w:t>Ejercicio del</w:t>
      </w:r>
      <w:r>
        <w:rPr>
          <w:spacing w:val="-1"/>
        </w:rPr>
        <w:t> </w:t>
      </w:r>
      <w:r>
        <w:rPr/>
        <w:t>Periodismo agrava,</w:t>
      </w:r>
      <w:r>
        <w:rPr>
          <w:spacing w:val="-1"/>
        </w:rPr>
        <w:t> </w:t>
      </w:r>
      <w:r>
        <w:rPr/>
        <w:t>en</w:t>
      </w:r>
      <w:r>
        <w:rPr>
          <w:spacing w:val="-2"/>
        </w:rPr>
        <w:t> </w:t>
      </w:r>
      <w:r>
        <w:rPr/>
        <w:t>su artículo</w:t>
      </w:r>
      <w:r>
        <w:rPr>
          <w:spacing w:val="-2"/>
        </w:rPr>
        <w:t> </w:t>
      </w:r>
      <w:r>
        <w:rPr/>
        <w:t>29,</w:t>
      </w:r>
      <w:r>
        <w:rPr>
          <w:spacing w:val="-1"/>
        </w:rPr>
        <w:t> </w:t>
      </w:r>
      <w:r>
        <w:rPr/>
        <w:t>las penas aplicables a los delitos de calumnia e injuria cuando se cometen a través de un medio de comunicación social, reconociendo expresamente en la ley que el medio de difusión incrementa la lesividad</w:t>
      </w:r>
      <w:r>
        <w:rPr>
          <w:spacing w:val="40"/>
        </w:rPr>
        <w:t> </w:t>
      </w:r>
      <w:r>
        <w:rPr/>
        <w:t>de la conducta.</w:t>
      </w:r>
    </w:p>
    <w:p>
      <w:pPr>
        <w:pStyle w:val="BodyText"/>
        <w:spacing w:before="123"/>
      </w:pPr>
    </w:p>
    <w:p>
      <w:pPr>
        <w:pStyle w:val="BodyText"/>
        <w:spacing w:line="360" w:lineRule="auto"/>
        <w:ind w:left="1" w:right="360"/>
        <w:jc w:val="both"/>
      </w:pPr>
      <w:r>
        <w:rPr>
          <w:rFonts w:ascii="Arial" w:hAnsi="Arial"/>
          <w:b/>
        </w:rPr>
        <w:t>México. </w:t>
      </w:r>
      <w:r>
        <w:rPr/>
        <w:t>México derogó en el año 2007 los delitos de difamación, injurias y calumnias a nivel federal, sustituyéndolos por un régimen de responsabilidad civil ulterior orientado a la reparación del daño moral causado, junto con el reconocimiento legal del derecho de réplica o rectificación. Bajo este modelo, la afectación al honor se resuelve por la vía civil e indemnizatoria, y no mediante la persecución penal del ofensor.</w:t>
      </w:r>
    </w:p>
    <w:p>
      <w:pPr>
        <w:pStyle w:val="BodyText"/>
        <w:spacing w:before="124"/>
      </w:pPr>
    </w:p>
    <w:p>
      <w:pPr>
        <w:pStyle w:val="BodyText"/>
        <w:spacing w:line="360" w:lineRule="auto"/>
        <w:ind w:left="1" w:right="365"/>
        <w:jc w:val="both"/>
      </w:pPr>
      <w:r>
        <w:rPr>
          <w:rFonts w:ascii="Arial" w:hAnsi="Arial"/>
          <w:b/>
        </w:rPr>
        <w:t>Perú. </w:t>
      </w:r>
      <w:r>
        <w:rPr/>
        <w:t>El Código Penal peruano (Decreto Legislativo 635) tipifica la injuria (artículo 130), la calumnia (artículo 131) y la difamación (artículo 132) en su Título II, y agrava esta última</w:t>
      </w:r>
      <w:r>
        <w:rPr>
          <w:spacing w:val="40"/>
        </w:rPr>
        <w:t> </w:t>
      </w:r>
      <w:r>
        <w:rPr/>
        <w:t>cuando se comete por medio del libro, la prensa u otro medio de comunicación social. En</w:t>
      </w:r>
      <w:r>
        <w:rPr>
          <w:spacing w:val="40"/>
        </w:rPr>
        <w:t> </w:t>
      </w:r>
      <w:r>
        <w:rPr/>
        <w:t>marzo de 2025, el Congreso de la República del Perú aprobó en primera votación un dictamen que adiciona a la sanción penal por calumnia una reparación civil en favor del querellante, en</w:t>
      </w:r>
      <w:r>
        <w:rPr>
          <w:spacing w:val="40"/>
        </w:rPr>
        <w:t> </w:t>
      </w:r>
      <w:r>
        <w:rPr/>
        <w:t>un sentido análogo al que aquí se propone para el ordenamiento colombiano.</w:t>
      </w:r>
    </w:p>
    <w:p>
      <w:pPr>
        <w:pStyle w:val="BodyText"/>
        <w:spacing w:before="122"/>
      </w:pPr>
    </w:p>
    <w:p>
      <w:pPr>
        <w:pStyle w:val="BodyText"/>
        <w:spacing w:line="360" w:lineRule="auto"/>
        <w:ind w:left="1" w:right="364"/>
        <w:jc w:val="both"/>
      </w:pPr>
      <w:r>
        <w:rPr/>
        <w:t>De este panorama comparado se desprende que Colombia es, entre los ordenamientos reseñados, uno de los que atribuye a la retractación el efecto más amplio, al eximir por completo de responsabilidad penal sin imponer consecuencia patrimonial adicional alguna al retractado. España, en cambio, solo atenúa la pena; Argentina, aunque también configura una excusa absolutoria en sede penal, preserva expresamente la responsabilidad civil derivada del mismo hecho; y Perú avanza, en una iniciativa reciente, hacia la incorporación de una reparación civil adicional a</w:t>
      </w:r>
      <w:r>
        <w:rPr>
          <w:spacing w:val="-1"/>
        </w:rPr>
        <w:t> </w:t>
      </w:r>
      <w:r>
        <w:rPr/>
        <w:t>la sanción penal por calumnia. El presente</w:t>
      </w:r>
      <w:r>
        <w:rPr>
          <w:spacing w:val="-1"/>
        </w:rPr>
        <w:t> </w:t>
      </w:r>
      <w:r>
        <w:rPr/>
        <w:t>proyecto</w:t>
      </w:r>
      <w:r>
        <w:rPr>
          <w:spacing w:val="-1"/>
        </w:rPr>
        <w:t> </w:t>
      </w:r>
      <w:r>
        <w:rPr/>
        <w:t>de ley</w:t>
      </w:r>
      <w:r>
        <w:rPr>
          <w:spacing w:val="-1"/>
        </w:rPr>
        <w:t> </w:t>
      </w:r>
      <w:r>
        <w:rPr/>
        <w:t>armoniza el tratamiento colombiano de la retractación con esta tendencia comparada, sin renunciar a su función reparadora e incentivadora, pero introduciendo —al igual que ya ocurre, por vías distintas,</w:t>
      </w:r>
      <w:r>
        <w:rPr>
          <w:spacing w:val="40"/>
        </w:rPr>
        <w:t> </w:t>
      </w:r>
      <w:r>
        <w:rPr/>
        <w:t>en</w:t>
      </w:r>
      <w:r>
        <w:rPr>
          <w:spacing w:val="40"/>
        </w:rPr>
        <w:t> </w:t>
      </w:r>
      <w:r>
        <w:rPr/>
        <w:t>España,</w:t>
      </w:r>
      <w:r>
        <w:rPr>
          <w:spacing w:val="40"/>
        </w:rPr>
        <w:t> </w:t>
      </w:r>
      <w:r>
        <w:rPr/>
        <w:t>Argentina</w:t>
      </w:r>
      <w:r>
        <w:rPr>
          <w:spacing w:val="40"/>
        </w:rPr>
        <w:t> </w:t>
      </w:r>
      <w:r>
        <w:rPr/>
        <w:t>y,</w:t>
      </w:r>
      <w:r>
        <w:rPr>
          <w:spacing w:val="40"/>
        </w:rPr>
        <w:t> </w:t>
      </w:r>
      <w:r>
        <w:rPr/>
        <w:t>próximamente,</w:t>
      </w:r>
      <w:r>
        <w:rPr>
          <w:spacing w:val="40"/>
        </w:rPr>
        <w:t> </w:t>
      </w:r>
      <w:r>
        <w:rPr/>
        <w:t>en</w:t>
      </w:r>
      <w:r>
        <w:rPr>
          <w:spacing w:val="40"/>
        </w:rPr>
        <w:t> </w:t>
      </w:r>
      <w:r>
        <w:rPr/>
        <w:t>Perú—</w:t>
      </w:r>
      <w:r>
        <w:rPr>
          <w:spacing w:val="40"/>
        </w:rPr>
        <w:t> </w:t>
      </w:r>
      <w:r>
        <w:rPr/>
        <w:t>una</w:t>
      </w:r>
      <w:r>
        <w:rPr>
          <w:spacing w:val="40"/>
        </w:rPr>
        <w:t> </w:t>
      </w:r>
      <w:r>
        <w:rPr/>
        <w:t>consecuencia</w:t>
      </w:r>
      <w:r>
        <w:rPr>
          <w:spacing w:val="40"/>
        </w:rPr>
        <w:t> </w:t>
      </w:r>
      <w:r>
        <w:rPr/>
        <w:t>patrimonial</w:t>
      </w:r>
    </w:p>
    <w:p>
      <w:pPr>
        <w:pStyle w:val="BodyText"/>
        <w:spacing w:after="0" w:line="360" w:lineRule="auto"/>
        <w:jc w:val="both"/>
        <w:sectPr>
          <w:pgSz w:w="12240" w:h="15840"/>
          <w:pgMar w:top="1360" w:bottom="280" w:left="1440" w:right="1080"/>
        </w:sectPr>
      </w:pPr>
    </w:p>
    <w:p>
      <w:pPr>
        <w:pStyle w:val="BodyText"/>
        <w:spacing w:before="79"/>
        <w:ind w:left="1"/>
        <w:jc w:val="both"/>
      </w:pPr>
      <w:r>
        <w:rPr/>
        <w:t>adicional</w:t>
      </w:r>
      <w:r>
        <w:rPr>
          <w:spacing w:val="-6"/>
        </w:rPr>
        <w:t> </w:t>
      </w:r>
      <w:r>
        <w:rPr/>
        <w:t>que</w:t>
      </w:r>
      <w:r>
        <w:rPr>
          <w:spacing w:val="-3"/>
        </w:rPr>
        <w:t> </w:t>
      </w:r>
      <w:r>
        <w:rPr/>
        <w:t>la</w:t>
      </w:r>
      <w:r>
        <w:rPr>
          <w:spacing w:val="-4"/>
        </w:rPr>
        <w:t> </w:t>
      </w:r>
      <w:r>
        <w:rPr/>
        <w:t>legislación</w:t>
      </w:r>
      <w:r>
        <w:rPr>
          <w:spacing w:val="-3"/>
        </w:rPr>
        <w:t> </w:t>
      </w:r>
      <w:r>
        <w:rPr/>
        <w:t>colombiana,</w:t>
      </w:r>
      <w:r>
        <w:rPr>
          <w:spacing w:val="-4"/>
        </w:rPr>
        <w:t> </w:t>
      </w:r>
      <w:r>
        <w:rPr/>
        <w:t>hasta</w:t>
      </w:r>
      <w:r>
        <w:rPr>
          <w:spacing w:val="-4"/>
        </w:rPr>
        <w:t> </w:t>
      </w:r>
      <w:r>
        <w:rPr/>
        <w:t>ahora,</w:t>
      </w:r>
      <w:r>
        <w:rPr>
          <w:spacing w:val="-4"/>
        </w:rPr>
        <w:t> </w:t>
      </w:r>
      <w:r>
        <w:rPr/>
        <w:t>no</w:t>
      </w:r>
      <w:r>
        <w:rPr>
          <w:spacing w:val="-4"/>
        </w:rPr>
        <w:t> </w:t>
      </w:r>
      <w:r>
        <w:rPr>
          <w:spacing w:val="-2"/>
        </w:rPr>
        <w:t>contemplaba.</w:t>
      </w:r>
    </w:p>
    <w:p>
      <w:pPr>
        <w:pStyle w:val="BodyText"/>
      </w:pPr>
    </w:p>
    <w:p>
      <w:pPr>
        <w:pStyle w:val="BodyText"/>
        <w:spacing w:before="239"/>
      </w:pPr>
    </w:p>
    <w:p>
      <w:pPr>
        <w:pStyle w:val="Heading1"/>
        <w:numPr>
          <w:ilvl w:val="0"/>
          <w:numId w:val="1"/>
        </w:numPr>
        <w:tabs>
          <w:tab w:pos="329" w:val="left" w:leader="none"/>
        </w:tabs>
        <w:spacing w:line="240" w:lineRule="auto" w:before="0" w:after="0"/>
        <w:ind w:left="329" w:right="0" w:hanging="328"/>
        <w:jc w:val="left"/>
      </w:pPr>
      <w:r>
        <w:rPr/>
        <w:t>FUNDAMENTOS</w:t>
      </w:r>
      <w:r>
        <w:rPr>
          <w:spacing w:val="-5"/>
        </w:rPr>
        <w:t> </w:t>
      </w:r>
      <w:r>
        <w:rPr>
          <w:spacing w:val="-2"/>
        </w:rPr>
        <w:t>JURÍDICOS</w:t>
      </w:r>
    </w:p>
    <w:p>
      <w:pPr>
        <w:pStyle w:val="Heading2"/>
        <w:numPr>
          <w:ilvl w:val="1"/>
          <w:numId w:val="1"/>
        </w:numPr>
        <w:tabs>
          <w:tab w:pos="243" w:val="left" w:leader="none"/>
        </w:tabs>
        <w:spacing w:line="240" w:lineRule="auto" w:before="247" w:after="0"/>
        <w:ind w:left="243" w:right="0" w:hanging="242"/>
        <w:jc w:val="left"/>
      </w:pPr>
      <w:r>
        <w:rPr/>
        <w:t>Marco</w:t>
      </w:r>
      <w:r>
        <w:rPr>
          <w:spacing w:val="-2"/>
        </w:rPr>
        <w:t> constitucional.</w:t>
      </w:r>
    </w:p>
    <w:p>
      <w:pPr>
        <w:pStyle w:val="BodyText"/>
        <w:spacing w:line="360" w:lineRule="auto" w:before="125"/>
        <w:ind w:left="1" w:right="371"/>
        <w:jc w:val="both"/>
      </w:pPr>
      <w:r>
        <w:rPr/>
        <w:t>El</w:t>
      </w:r>
      <w:r>
        <w:rPr>
          <w:spacing w:val="-3"/>
        </w:rPr>
        <w:t> </w:t>
      </w:r>
      <w:r>
        <w:rPr/>
        <w:t>artículo</w:t>
      </w:r>
      <w:r>
        <w:rPr>
          <w:spacing w:val="-2"/>
        </w:rPr>
        <w:t> </w:t>
      </w:r>
      <w:r>
        <w:rPr/>
        <w:t>2°</w:t>
      </w:r>
      <w:r>
        <w:rPr>
          <w:spacing w:val="-2"/>
        </w:rPr>
        <w:t> </w:t>
      </w:r>
      <w:r>
        <w:rPr/>
        <w:t>de</w:t>
      </w:r>
      <w:r>
        <w:rPr>
          <w:spacing w:val="-2"/>
        </w:rPr>
        <w:t> </w:t>
      </w:r>
      <w:r>
        <w:rPr/>
        <w:t>la</w:t>
      </w:r>
      <w:r>
        <w:rPr>
          <w:spacing w:val="-2"/>
        </w:rPr>
        <w:t> </w:t>
      </w:r>
      <w:r>
        <w:rPr/>
        <w:t>Constitución Política</w:t>
      </w:r>
      <w:r>
        <w:rPr>
          <w:spacing w:val="-2"/>
        </w:rPr>
        <w:t> </w:t>
      </w:r>
      <w:r>
        <w:rPr/>
        <w:t>establece como</w:t>
      </w:r>
      <w:r>
        <w:rPr>
          <w:spacing w:val="-4"/>
        </w:rPr>
        <w:t> </w:t>
      </w:r>
      <w:r>
        <w:rPr/>
        <w:t>fin</w:t>
      </w:r>
      <w:r>
        <w:rPr>
          <w:spacing w:val="-2"/>
        </w:rPr>
        <w:t> </w:t>
      </w:r>
      <w:r>
        <w:rPr/>
        <w:t>esencial</w:t>
      </w:r>
      <w:r>
        <w:rPr>
          <w:spacing w:val="-1"/>
        </w:rPr>
        <w:t> </w:t>
      </w:r>
      <w:r>
        <w:rPr/>
        <w:t>del</w:t>
      </w:r>
      <w:r>
        <w:rPr>
          <w:spacing w:val="-1"/>
        </w:rPr>
        <w:t> </w:t>
      </w:r>
      <w:r>
        <w:rPr/>
        <w:t>Estado la</w:t>
      </w:r>
      <w:r>
        <w:rPr>
          <w:spacing w:val="-2"/>
        </w:rPr>
        <w:t> </w:t>
      </w:r>
      <w:r>
        <w:rPr/>
        <w:t>protección de los</w:t>
      </w:r>
      <w:r>
        <w:rPr>
          <w:spacing w:val="-2"/>
        </w:rPr>
        <w:t> </w:t>
      </w:r>
      <w:r>
        <w:rPr/>
        <w:t>derechos y</w:t>
      </w:r>
      <w:r>
        <w:rPr>
          <w:spacing w:val="-2"/>
        </w:rPr>
        <w:t> </w:t>
      </w:r>
      <w:r>
        <w:rPr/>
        <w:t>libertades de las</w:t>
      </w:r>
      <w:r>
        <w:rPr>
          <w:spacing w:val="-2"/>
        </w:rPr>
        <w:t> </w:t>
      </w:r>
      <w:r>
        <w:rPr/>
        <w:t>personas residentes</w:t>
      </w:r>
      <w:r>
        <w:rPr>
          <w:spacing w:val="-2"/>
        </w:rPr>
        <w:t> </w:t>
      </w:r>
      <w:r>
        <w:rPr/>
        <w:t>en Colombia, incluida su</w:t>
      </w:r>
      <w:r>
        <w:rPr>
          <w:spacing w:val="-2"/>
        </w:rPr>
        <w:t> </w:t>
      </w:r>
      <w:r>
        <w:rPr/>
        <w:t>honra.</w:t>
      </w:r>
      <w:r>
        <w:rPr>
          <w:spacing w:val="-1"/>
        </w:rPr>
        <w:t> </w:t>
      </w:r>
      <w:r>
        <w:rPr/>
        <w:t>El</w:t>
      </w:r>
      <w:r>
        <w:rPr>
          <w:spacing w:val="-1"/>
        </w:rPr>
        <w:t> </w:t>
      </w:r>
      <w:r>
        <w:rPr/>
        <w:t>artículo 15 consagra el derecho al buen nombre. El artículo 21 garantiza el derecho a la honra y remite a la ley la forma de su protección. El artículo 20 consagra la libertad de expresión, la cual, según reiterada jurisprudencia constitucional, no es un derecho absoluto y admite límites cuando entra en conflicto con los derechos al buen nombre y a la honra de terceros.</w:t>
      </w:r>
    </w:p>
    <w:p>
      <w:pPr>
        <w:pStyle w:val="BodyText"/>
        <w:spacing w:before="124"/>
      </w:pPr>
    </w:p>
    <w:p>
      <w:pPr>
        <w:pStyle w:val="Heading2"/>
        <w:numPr>
          <w:ilvl w:val="1"/>
          <w:numId w:val="1"/>
        </w:numPr>
        <w:tabs>
          <w:tab w:pos="243" w:val="left" w:leader="none"/>
        </w:tabs>
        <w:spacing w:line="240" w:lineRule="auto" w:before="1" w:after="0"/>
        <w:ind w:left="243" w:right="0" w:hanging="242"/>
        <w:jc w:val="left"/>
      </w:pPr>
      <w:r>
        <w:rPr/>
        <w:t>Legislación</w:t>
      </w:r>
      <w:r>
        <w:rPr>
          <w:spacing w:val="-7"/>
        </w:rPr>
        <w:t> </w:t>
      </w:r>
      <w:r>
        <w:rPr>
          <w:spacing w:val="-2"/>
        </w:rPr>
        <w:t>vigente.</w:t>
      </w:r>
    </w:p>
    <w:p>
      <w:pPr>
        <w:pStyle w:val="BodyText"/>
        <w:spacing w:line="360" w:lineRule="auto" w:before="125"/>
        <w:ind w:left="1" w:right="366"/>
        <w:jc w:val="both"/>
      </w:pPr>
      <w:r>
        <w:rPr/>
        <w:t>El Título V del Código Penal (Ley 599 de 2000) regula los delitos contra la integridad moral. El artículo 220 tipifica la injuria; el artículo 221, la calumnia; y el artículo 225 regula la retractación como causal de exclusión de responsabilidad, en los términos que el presente proyecto</w:t>
      </w:r>
      <w:r>
        <w:rPr>
          <w:spacing w:val="40"/>
        </w:rPr>
        <w:t> </w:t>
      </w:r>
      <w:r>
        <w:rPr/>
        <w:t>propone modificar.</w:t>
      </w:r>
    </w:p>
    <w:p>
      <w:pPr>
        <w:pStyle w:val="BodyText"/>
        <w:spacing w:before="125"/>
      </w:pPr>
    </w:p>
    <w:p>
      <w:pPr>
        <w:pStyle w:val="Heading2"/>
        <w:numPr>
          <w:ilvl w:val="1"/>
          <w:numId w:val="1"/>
        </w:numPr>
        <w:tabs>
          <w:tab w:pos="243" w:val="left" w:leader="none"/>
        </w:tabs>
        <w:spacing w:line="240" w:lineRule="auto" w:before="0" w:after="0"/>
        <w:ind w:left="243" w:right="0" w:hanging="242"/>
        <w:jc w:val="left"/>
      </w:pPr>
      <w:r>
        <w:rPr/>
        <w:t>Jurisprudencia</w:t>
      </w:r>
      <w:r>
        <w:rPr>
          <w:spacing w:val="-10"/>
        </w:rPr>
        <w:t> </w:t>
      </w:r>
      <w:r>
        <w:rPr/>
        <w:t>constitucional</w:t>
      </w:r>
      <w:r>
        <w:rPr>
          <w:spacing w:val="-9"/>
        </w:rPr>
        <w:t> </w:t>
      </w:r>
      <w:r>
        <w:rPr>
          <w:spacing w:val="-2"/>
        </w:rPr>
        <w:t>relevante.</w:t>
      </w:r>
    </w:p>
    <w:p>
      <w:pPr>
        <w:pStyle w:val="BodyText"/>
        <w:spacing w:line="360" w:lineRule="auto" w:before="125"/>
        <w:ind w:left="1" w:right="364"/>
        <w:jc w:val="both"/>
      </w:pPr>
      <w:r>
        <w:rPr/>
        <w:t>La Corte Constitucional se ha pronunciado sobre la retractación y sus límites en las Sentencias C-489</w:t>
      </w:r>
      <w:r>
        <w:rPr>
          <w:spacing w:val="-1"/>
        </w:rPr>
        <w:t> </w:t>
      </w:r>
      <w:r>
        <w:rPr/>
        <w:t>de 2002 (constitucionalidad de</w:t>
      </w:r>
      <w:r>
        <w:rPr>
          <w:spacing w:val="-1"/>
        </w:rPr>
        <w:t> </w:t>
      </w:r>
      <w:r>
        <w:rPr/>
        <w:t>la extinción de</w:t>
      </w:r>
      <w:r>
        <w:rPr>
          <w:spacing w:val="-1"/>
        </w:rPr>
        <w:t> </w:t>
      </w:r>
      <w:r>
        <w:rPr/>
        <w:t>la acción penal por retractación), T-213 de 2004 (relación entre libertad de opinión y buen nombre), C-417 de 2009 (garantías probatorias de las víctimas de injuria y calumnia) y C-635 de 2014 (requisitos de completitud, publicidad y oportunidad de la retractación para que cumpla su función reparadora). A ello se suman los pronunciamientos reseñados en el acápite de justificación sobre libertad de expresión en internet y redes sociales (Sentencias T-117 de 2018, T-155 de 2019 y SU-420 de 2019), que sustentan la necesidad de un tratamiento más exigente de la retractación cuando la ofensa se difunde por medios de alto impacto y rápida circulación, sin que ello desconozca el principio de </w:t>
      </w:r>
      <w:r>
        <w:rPr>
          <w:spacing w:val="-2"/>
        </w:rPr>
        <w:t>proporcionalidad.</w:t>
      </w:r>
    </w:p>
    <w:p>
      <w:pPr>
        <w:pStyle w:val="BodyText"/>
      </w:pPr>
    </w:p>
    <w:p>
      <w:pPr>
        <w:pStyle w:val="BodyText"/>
        <w:spacing w:before="109"/>
      </w:pPr>
    </w:p>
    <w:p>
      <w:pPr>
        <w:pStyle w:val="Heading1"/>
        <w:numPr>
          <w:ilvl w:val="0"/>
          <w:numId w:val="1"/>
        </w:numPr>
        <w:tabs>
          <w:tab w:pos="388" w:val="left" w:leader="none"/>
        </w:tabs>
        <w:spacing w:line="240" w:lineRule="auto" w:before="0" w:after="0"/>
        <w:ind w:left="388" w:right="0" w:hanging="387"/>
        <w:jc w:val="left"/>
      </w:pPr>
      <w:r>
        <w:rPr/>
        <w:t>ANÁLISIS</w:t>
      </w:r>
      <w:r>
        <w:rPr>
          <w:spacing w:val="-3"/>
        </w:rPr>
        <w:t> </w:t>
      </w:r>
      <w:r>
        <w:rPr/>
        <w:t>DE</w:t>
      </w:r>
      <w:r>
        <w:rPr>
          <w:spacing w:val="-3"/>
        </w:rPr>
        <w:t> </w:t>
      </w:r>
      <w:r>
        <w:rPr/>
        <w:t>IMPACTO</w:t>
      </w:r>
      <w:r>
        <w:rPr>
          <w:spacing w:val="-2"/>
        </w:rPr>
        <w:t> FISCAL</w:t>
      </w:r>
    </w:p>
    <w:p>
      <w:pPr>
        <w:pStyle w:val="BodyText"/>
        <w:spacing w:line="360" w:lineRule="auto" w:before="245"/>
        <w:ind w:left="1" w:right="369"/>
        <w:jc w:val="both"/>
      </w:pPr>
      <w:r>
        <w:rPr/>
        <w:t>En los términos del artículo 7° de la Ley 819 de 2003, se deja constancia de que el presente proyecto</w:t>
      </w:r>
      <w:r>
        <w:rPr>
          <w:spacing w:val="16"/>
        </w:rPr>
        <w:t> </w:t>
      </w:r>
      <w:r>
        <w:rPr/>
        <w:t>de</w:t>
      </w:r>
      <w:r>
        <w:rPr>
          <w:spacing w:val="18"/>
        </w:rPr>
        <w:t> </w:t>
      </w:r>
      <w:r>
        <w:rPr/>
        <w:t>ley</w:t>
      </w:r>
      <w:r>
        <w:rPr>
          <w:spacing w:val="18"/>
        </w:rPr>
        <w:t> </w:t>
      </w:r>
      <w:r>
        <w:rPr/>
        <w:t>no</w:t>
      </w:r>
      <w:r>
        <w:rPr>
          <w:spacing w:val="18"/>
        </w:rPr>
        <w:t> </w:t>
      </w:r>
      <w:r>
        <w:rPr/>
        <w:t>ordena</w:t>
      </w:r>
      <w:r>
        <w:rPr>
          <w:spacing w:val="18"/>
        </w:rPr>
        <w:t> </w:t>
      </w:r>
      <w:r>
        <w:rPr/>
        <w:t>gasto</w:t>
      </w:r>
      <w:r>
        <w:rPr>
          <w:spacing w:val="18"/>
        </w:rPr>
        <w:t> </w:t>
      </w:r>
      <w:r>
        <w:rPr/>
        <w:t>público,</w:t>
      </w:r>
      <w:r>
        <w:rPr>
          <w:spacing w:val="21"/>
        </w:rPr>
        <w:t> </w:t>
      </w:r>
      <w:r>
        <w:rPr/>
        <w:t>no</w:t>
      </w:r>
      <w:r>
        <w:rPr>
          <w:spacing w:val="18"/>
        </w:rPr>
        <w:t> </w:t>
      </w:r>
      <w:r>
        <w:rPr/>
        <w:t>otorga</w:t>
      </w:r>
      <w:r>
        <w:rPr>
          <w:spacing w:val="18"/>
        </w:rPr>
        <w:t> </w:t>
      </w:r>
      <w:r>
        <w:rPr/>
        <w:t>beneficios</w:t>
      </w:r>
      <w:r>
        <w:rPr>
          <w:spacing w:val="20"/>
        </w:rPr>
        <w:t> </w:t>
      </w:r>
      <w:r>
        <w:rPr/>
        <w:t>tributarios</w:t>
      </w:r>
      <w:r>
        <w:rPr>
          <w:spacing w:val="20"/>
        </w:rPr>
        <w:t> </w:t>
      </w:r>
      <w:r>
        <w:rPr/>
        <w:t>y</w:t>
      </w:r>
      <w:r>
        <w:rPr>
          <w:spacing w:val="16"/>
        </w:rPr>
        <w:t> </w:t>
      </w:r>
      <w:r>
        <w:rPr/>
        <w:t>no</w:t>
      </w:r>
      <w:r>
        <w:rPr>
          <w:spacing w:val="18"/>
        </w:rPr>
        <w:t> </w:t>
      </w:r>
      <w:r>
        <w:rPr/>
        <w:t>tiene</w:t>
      </w:r>
      <w:r>
        <w:rPr>
          <w:spacing w:val="18"/>
        </w:rPr>
        <w:t> </w:t>
      </w:r>
      <w:r>
        <w:rPr/>
        <w:t>injerencia</w:t>
      </w:r>
    </w:p>
    <w:p>
      <w:pPr>
        <w:pStyle w:val="BodyText"/>
        <w:spacing w:after="0" w:line="360" w:lineRule="auto"/>
        <w:jc w:val="both"/>
        <w:sectPr>
          <w:pgSz w:w="12240" w:h="15840"/>
          <w:pgMar w:top="1360" w:bottom="280" w:left="1440" w:right="1080"/>
        </w:sectPr>
      </w:pPr>
    </w:p>
    <w:p>
      <w:pPr>
        <w:pStyle w:val="BodyText"/>
        <w:spacing w:line="360" w:lineRule="auto" w:before="79"/>
        <w:ind w:left="1" w:right="365"/>
        <w:jc w:val="both"/>
      </w:pPr>
      <w:r>
        <w:rPr/>
        <w:t>presupuestal alguna, en tanto se limita a modificar el régimen sustantivo de la retractación en los delitos de injuria y calumnia (artículo 225 de la Ley 599 de 2000) y a crear una sanción económica (artículo 36A ídem) tasada y recaudada dentro del propio proceso penal, sin crear una nueva erogación a cargo del presupuesto general de la Nación.</w:t>
      </w:r>
    </w:p>
    <w:p>
      <w:pPr>
        <w:pStyle w:val="BodyText"/>
      </w:pPr>
    </w:p>
    <w:p>
      <w:pPr>
        <w:pStyle w:val="BodyText"/>
        <w:spacing w:before="112"/>
      </w:pPr>
    </w:p>
    <w:p>
      <w:pPr>
        <w:pStyle w:val="Heading1"/>
        <w:numPr>
          <w:ilvl w:val="0"/>
          <w:numId w:val="1"/>
        </w:numPr>
        <w:tabs>
          <w:tab w:pos="449" w:val="left" w:leader="none"/>
        </w:tabs>
        <w:spacing w:line="240" w:lineRule="auto" w:before="1" w:after="0"/>
        <w:ind w:left="449" w:right="0" w:hanging="448"/>
        <w:jc w:val="left"/>
      </w:pPr>
      <w:r>
        <w:rPr/>
        <w:t>CONFLICTO</w:t>
      </w:r>
      <w:r>
        <w:rPr>
          <w:spacing w:val="-3"/>
        </w:rPr>
        <w:t> </w:t>
      </w:r>
      <w:r>
        <w:rPr/>
        <w:t>DE</w:t>
      </w:r>
      <w:r>
        <w:rPr>
          <w:spacing w:val="-3"/>
        </w:rPr>
        <w:t> </w:t>
      </w:r>
      <w:r>
        <w:rPr>
          <w:spacing w:val="-2"/>
        </w:rPr>
        <w:t>INTERESES</w:t>
      </w:r>
    </w:p>
    <w:p>
      <w:pPr>
        <w:pStyle w:val="BodyText"/>
        <w:spacing w:line="360" w:lineRule="auto" w:before="245"/>
        <w:ind w:left="1" w:right="364"/>
        <w:jc w:val="both"/>
      </w:pPr>
      <w:r>
        <w:rPr/>
        <w:t>De</w:t>
      </w:r>
      <w:r>
        <w:rPr>
          <w:spacing w:val="-1"/>
        </w:rPr>
        <w:t> </w:t>
      </w:r>
      <w:r>
        <w:rPr/>
        <w:t>conformidad con</w:t>
      </w:r>
      <w:r>
        <w:rPr>
          <w:spacing w:val="-1"/>
        </w:rPr>
        <w:t> </w:t>
      </w:r>
      <w:r>
        <w:rPr/>
        <w:t>el artículo 291</w:t>
      </w:r>
      <w:r>
        <w:rPr>
          <w:spacing w:val="-1"/>
        </w:rPr>
        <w:t> </w:t>
      </w:r>
      <w:r>
        <w:rPr/>
        <w:t>de la</w:t>
      </w:r>
      <w:r>
        <w:rPr>
          <w:spacing w:val="-1"/>
        </w:rPr>
        <w:t> </w:t>
      </w:r>
      <w:r>
        <w:rPr/>
        <w:t>Ley 5ª de</w:t>
      </w:r>
      <w:r>
        <w:rPr>
          <w:spacing w:val="-1"/>
        </w:rPr>
        <w:t> </w:t>
      </w:r>
      <w:r>
        <w:rPr/>
        <w:t>1992, modificado por el</w:t>
      </w:r>
      <w:r>
        <w:rPr>
          <w:spacing w:val="-1"/>
        </w:rPr>
        <w:t> </w:t>
      </w:r>
      <w:r>
        <w:rPr/>
        <w:t>artículo 1°</w:t>
      </w:r>
      <w:r>
        <w:rPr>
          <w:spacing w:val="-1"/>
        </w:rPr>
        <w:t> </w:t>
      </w:r>
      <w:r>
        <w:rPr/>
        <w:t>de la Ley 2003 de 2019, el presente proyecto de ley, por ser de carácter general —en tanto regula de manera abstracta e impersonal el régimen de retractación aplicable a cualquier ciudadano que incurra en injuria o calumnia—, no genera un beneficio particular, actual y directo a favor de los congresistas, por lo que, en principio, no da lugar a conflicto de interés en su discusión y votación. Esta consideración no exime a cada congresista del deber de examinar su situación particular y la de su cónyuge, compañero o compañera permanente, o parientes dentro del segundo grado de consanguinidad, segundo de afinidad o primero civil, e identificar cualquier causal adicional que pudiera configurarse en su caso concreto, en los términos del artículo 286 de la Ley 5ª de 1992.</w:t>
      </w:r>
    </w:p>
    <w:p>
      <w:pPr>
        <w:pStyle w:val="BodyText"/>
      </w:pPr>
    </w:p>
    <w:p>
      <w:pPr>
        <w:pStyle w:val="BodyText"/>
        <w:spacing w:before="109"/>
      </w:pPr>
    </w:p>
    <w:p>
      <w:pPr>
        <w:pStyle w:val="Heading2"/>
        <w:numPr>
          <w:ilvl w:val="0"/>
          <w:numId w:val="1"/>
        </w:numPr>
        <w:tabs>
          <w:tab w:pos="415" w:val="left" w:leader="none"/>
        </w:tabs>
        <w:spacing w:line="357" w:lineRule="auto" w:before="0" w:after="0"/>
        <w:ind w:left="1" w:right="372" w:firstLine="0"/>
        <w:jc w:val="left"/>
      </w:pPr>
      <w:r>
        <w:rPr/>
        <w:t>CUMPLIMIENTO</w:t>
      </w:r>
      <w:r>
        <w:rPr>
          <w:spacing w:val="80"/>
        </w:rPr>
        <w:t> </w:t>
      </w:r>
      <w:r>
        <w:rPr/>
        <w:t>DEL</w:t>
      </w:r>
      <w:r>
        <w:rPr>
          <w:spacing w:val="80"/>
        </w:rPr>
        <w:t> </w:t>
      </w:r>
      <w:r>
        <w:rPr/>
        <w:t>ARTÍCULO</w:t>
      </w:r>
      <w:r>
        <w:rPr>
          <w:spacing w:val="80"/>
        </w:rPr>
        <w:t> </w:t>
      </w:r>
      <w:r>
        <w:rPr/>
        <w:t>175</w:t>
      </w:r>
      <w:r>
        <w:rPr>
          <w:spacing w:val="80"/>
        </w:rPr>
        <w:t> </w:t>
      </w:r>
      <w:r>
        <w:rPr/>
        <w:t>DE</w:t>
      </w:r>
      <w:r>
        <w:rPr>
          <w:spacing w:val="80"/>
        </w:rPr>
        <w:t> </w:t>
      </w:r>
      <w:r>
        <w:rPr/>
        <w:t>LA</w:t>
      </w:r>
      <w:r>
        <w:rPr>
          <w:spacing w:val="80"/>
        </w:rPr>
        <w:t> </w:t>
      </w:r>
      <w:r>
        <w:rPr/>
        <w:t>LEY</w:t>
      </w:r>
      <w:r>
        <w:rPr>
          <w:spacing w:val="80"/>
        </w:rPr>
        <w:t> </w:t>
      </w:r>
      <w:r>
        <w:rPr/>
        <w:t>5ª</w:t>
      </w:r>
      <w:r>
        <w:rPr>
          <w:spacing w:val="80"/>
        </w:rPr>
        <w:t> </w:t>
      </w:r>
      <w:r>
        <w:rPr/>
        <w:t>DE</w:t>
      </w:r>
      <w:r>
        <w:rPr>
          <w:spacing w:val="80"/>
        </w:rPr>
        <w:t> </w:t>
      </w:r>
      <w:r>
        <w:rPr/>
        <w:t>1992</w:t>
      </w:r>
      <w:r>
        <w:rPr>
          <w:spacing w:val="80"/>
        </w:rPr>
        <w:t> </w:t>
      </w:r>
      <w:r>
        <w:rPr/>
        <w:t>–</w:t>
      </w:r>
      <w:r>
        <w:rPr>
          <w:spacing w:val="80"/>
        </w:rPr>
        <w:t> </w:t>
      </w:r>
      <w:r>
        <w:rPr/>
        <w:t>PROPUESTAS CONSIDERADAS EN COMISIÓN</w:t>
      </w:r>
    </w:p>
    <w:p>
      <w:pPr>
        <w:pStyle w:val="BodyText"/>
        <w:spacing w:line="360" w:lineRule="auto" w:before="124"/>
        <w:ind w:left="1" w:right="363"/>
        <w:jc w:val="both"/>
      </w:pPr>
      <w:r>
        <w:rPr/>
        <w:t>El artículo 175 de la Ley 5ª de 1992 dispone que, en el informe a la Cámara Plena para segundo debate, el ponente debe consignar la totalidad de las propuestas que fueron consideradas por la Comisión y las razones que determinaron su rechazo, así como que la omisión de este requisito impide a</w:t>
      </w:r>
      <w:r>
        <w:rPr>
          <w:spacing w:val="-1"/>
        </w:rPr>
        <w:t> </w:t>
      </w:r>
      <w:r>
        <w:rPr/>
        <w:t>la Plenaria considerar el proyecto hasta que sea subsanada. Revisado</w:t>
      </w:r>
      <w:r>
        <w:rPr>
          <w:spacing w:val="-1"/>
        </w:rPr>
        <w:t> </w:t>
      </w:r>
      <w:r>
        <w:rPr/>
        <w:t>el</w:t>
      </w:r>
      <w:r>
        <w:rPr>
          <w:spacing w:val="-2"/>
        </w:rPr>
        <w:t> </w:t>
      </w:r>
      <w:r>
        <w:rPr/>
        <w:t>trámite</w:t>
      </w:r>
      <w:r>
        <w:rPr>
          <w:spacing w:val="-3"/>
        </w:rPr>
        <w:t> </w:t>
      </w:r>
      <w:r>
        <w:rPr/>
        <w:t>surtido</w:t>
      </w:r>
      <w:r>
        <w:rPr>
          <w:spacing w:val="-1"/>
        </w:rPr>
        <w:t> </w:t>
      </w:r>
      <w:r>
        <w:rPr/>
        <w:t>en</w:t>
      </w:r>
      <w:r>
        <w:rPr>
          <w:spacing w:val="-3"/>
        </w:rPr>
        <w:t> </w:t>
      </w:r>
      <w:r>
        <w:rPr/>
        <w:t>primer</w:t>
      </w:r>
      <w:r>
        <w:rPr>
          <w:spacing w:val="-2"/>
        </w:rPr>
        <w:t> </w:t>
      </w:r>
      <w:r>
        <w:rPr/>
        <w:t>debate,</w:t>
      </w:r>
      <w:r>
        <w:rPr>
          <w:spacing w:val="-2"/>
        </w:rPr>
        <w:t> </w:t>
      </w:r>
      <w:r>
        <w:rPr/>
        <w:t>el</w:t>
      </w:r>
      <w:r>
        <w:rPr>
          <w:spacing w:val="-2"/>
        </w:rPr>
        <w:t> </w:t>
      </w:r>
      <w:r>
        <w:rPr/>
        <w:t>informe</w:t>
      </w:r>
      <w:r>
        <w:rPr>
          <w:spacing w:val="-1"/>
        </w:rPr>
        <w:t> </w:t>
      </w:r>
      <w:r>
        <w:rPr/>
        <w:t>de</w:t>
      </w:r>
      <w:r>
        <w:rPr>
          <w:spacing w:val="-3"/>
        </w:rPr>
        <w:t> </w:t>
      </w:r>
      <w:r>
        <w:rPr/>
        <w:t>ponencia</w:t>
      </w:r>
      <w:r>
        <w:rPr>
          <w:spacing w:val="-1"/>
        </w:rPr>
        <w:t> </w:t>
      </w:r>
      <w:r>
        <w:rPr/>
        <w:t>publicado</w:t>
      </w:r>
      <w:r>
        <w:rPr>
          <w:spacing w:val="-1"/>
        </w:rPr>
        <w:t> </w:t>
      </w:r>
      <w:r>
        <w:rPr/>
        <w:t>en</w:t>
      </w:r>
      <w:r>
        <w:rPr>
          <w:spacing w:val="-1"/>
        </w:rPr>
        <w:t> </w:t>
      </w:r>
      <w:r>
        <w:rPr/>
        <w:t>la</w:t>
      </w:r>
      <w:r>
        <w:rPr>
          <w:spacing w:val="-3"/>
        </w:rPr>
        <w:t> </w:t>
      </w:r>
      <w:r>
        <w:rPr/>
        <w:t>Gaceta</w:t>
      </w:r>
      <w:r>
        <w:rPr>
          <w:spacing w:val="-3"/>
        </w:rPr>
        <w:t> </w:t>
      </w:r>
      <w:r>
        <w:rPr/>
        <w:t>del Congreso número 1496 de 2025 no incorporó pliego de modificaciones al articulado radicado</w:t>
      </w:r>
      <w:r>
        <w:rPr>
          <w:spacing w:val="40"/>
        </w:rPr>
        <w:t> </w:t>
      </w:r>
      <w:r>
        <w:rPr/>
        <w:t>en la Gaceta del Congreso número 1226 de 2025: el texto propuesto y aprobado en primer debate es idéntico, artículo por artículo, al texto originalmente presentado por el autor. En consecuencia, no se identifican, a partir de las Gacetas 1226 y 1496 de 2025, propuestas o proposiciones que hayan sido rechazadas en el curso del informe de ponencia.</w:t>
      </w:r>
    </w:p>
    <w:p>
      <w:pPr>
        <w:pStyle w:val="Heading1"/>
        <w:numPr>
          <w:ilvl w:val="0"/>
          <w:numId w:val="1"/>
        </w:numPr>
        <w:tabs>
          <w:tab w:pos="267" w:val="left" w:leader="none"/>
        </w:tabs>
        <w:spacing w:line="240" w:lineRule="auto" w:before="235" w:after="0"/>
        <w:ind w:left="267" w:right="0" w:hanging="266"/>
        <w:jc w:val="left"/>
      </w:pPr>
      <w:r>
        <w:rPr>
          <w:spacing w:val="-2"/>
        </w:rPr>
        <w:t>PROPOSICIÓN</w:t>
      </w:r>
    </w:p>
    <w:p>
      <w:pPr>
        <w:pStyle w:val="BodyText"/>
        <w:spacing w:before="245"/>
        <w:ind w:left="1"/>
        <w:jc w:val="both"/>
      </w:pPr>
      <w:r>
        <w:rPr/>
        <w:t>Por</w:t>
      </w:r>
      <w:r>
        <w:rPr>
          <w:spacing w:val="-3"/>
        </w:rPr>
        <w:t> </w:t>
      </w:r>
      <w:r>
        <w:rPr/>
        <w:t>las</w:t>
      </w:r>
      <w:r>
        <w:rPr>
          <w:spacing w:val="-2"/>
        </w:rPr>
        <w:t> </w:t>
      </w:r>
      <w:r>
        <w:rPr/>
        <w:t>razones</w:t>
      </w:r>
      <w:r>
        <w:rPr>
          <w:spacing w:val="-4"/>
        </w:rPr>
        <w:t> </w:t>
      </w:r>
      <w:r>
        <w:rPr/>
        <w:t>expuestas,</w:t>
      </w:r>
      <w:r>
        <w:rPr>
          <w:spacing w:val="-3"/>
        </w:rPr>
        <w:t> </w:t>
      </w:r>
      <w:r>
        <w:rPr/>
        <w:t>presento</w:t>
      </w:r>
      <w:r>
        <w:rPr>
          <w:spacing w:val="-3"/>
        </w:rPr>
        <w:t> </w:t>
      </w:r>
      <w:r>
        <w:rPr/>
        <w:t>a</w:t>
      </w:r>
      <w:r>
        <w:rPr>
          <w:spacing w:val="-2"/>
        </w:rPr>
        <w:t> </w:t>
      </w:r>
      <w:r>
        <w:rPr/>
        <w:t>consideración</w:t>
      </w:r>
      <w:r>
        <w:rPr>
          <w:spacing w:val="-2"/>
        </w:rPr>
        <w:t> </w:t>
      </w:r>
      <w:r>
        <w:rPr/>
        <w:t>de</w:t>
      </w:r>
      <w:r>
        <w:rPr>
          <w:spacing w:val="-2"/>
        </w:rPr>
        <w:t> </w:t>
      </w:r>
      <w:r>
        <w:rPr/>
        <w:t>la</w:t>
      </w:r>
      <w:r>
        <w:rPr>
          <w:spacing w:val="-3"/>
        </w:rPr>
        <w:t> </w:t>
      </w:r>
      <w:r>
        <w:rPr/>
        <w:t>Honorable Plenaria de</w:t>
      </w:r>
      <w:r>
        <w:rPr>
          <w:spacing w:val="-4"/>
        </w:rPr>
        <w:t> </w:t>
      </w:r>
      <w:r>
        <w:rPr/>
        <w:t>la</w:t>
      </w:r>
      <w:r>
        <w:rPr>
          <w:spacing w:val="-2"/>
        </w:rPr>
        <w:t> </w:t>
      </w:r>
      <w:r>
        <w:rPr/>
        <w:t>Cámara</w:t>
      </w:r>
      <w:r>
        <w:rPr>
          <w:spacing w:val="-3"/>
        </w:rPr>
        <w:t> </w:t>
      </w:r>
      <w:r>
        <w:rPr>
          <w:spacing w:val="-5"/>
        </w:rPr>
        <w:t>de</w:t>
      </w:r>
    </w:p>
    <w:p>
      <w:pPr>
        <w:pStyle w:val="BodyText"/>
        <w:spacing w:after="0"/>
        <w:jc w:val="both"/>
        <w:sectPr>
          <w:pgSz w:w="12240" w:h="15840"/>
          <w:pgMar w:top="1360" w:bottom="280" w:left="1440" w:right="1080"/>
        </w:sectPr>
      </w:pPr>
    </w:p>
    <w:p>
      <w:pPr>
        <w:pStyle w:val="BodyText"/>
        <w:spacing w:line="360" w:lineRule="auto" w:before="79"/>
        <w:ind w:left="1" w:right="359"/>
        <w:jc w:val="both"/>
      </w:pPr>
      <w:r>
        <w:rPr/>
        <w:t>Representantes informe de </w:t>
      </w:r>
      <w:r>
        <w:rPr>
          <w:rFonts w:ascii="Arial" w:hAnsi="Arial"/>
          <w:b/>
        </w:rPr>
        <w:t>PONENCIA POSITIVA </w:t>
      </w:r>
      <w:r>
        <w:rPr/>
        <w:t>y, en consecuencia, propongo DAR SEGUNDO DEBATE al Proyecto de Ley número 035 de 2025 Cámara, “por medio del cual se crea el artículo 36 A y se modifica el artículo 225 de la Ley 599 de 2000 sobre retractación en los delitos de Injuria y Calumnia”, de conformidad con el texto propuesto.</w:t>
      </w:r>
    </w:p>
    <w:p>
      <w:pPr>
        <w:pStyle w:val="BodyText"/>
        <w:spacing w:before="125"/>
      </w:pPr>
    </w:p>
    <w:p>
      <w:pPr>
        <w:pStyle w:val="BodyText"/>
        <w:ind w:left="1"/>
      </w:pPr>
      <w:r>
        <w:rPr>
          <w:spacing w:val="-2"/>
        </w:rPr>
        <w:t>Cordialmente,</w:t>
      </w:r>
    </w:p>
    <w:p>
      <w:pPr>
        <w:pStyle w:val="BodyText"/>
      </w:pPr>
    </w:p>
    <w:p>
      <w:pPr>
        <w:pStyle w:val="BodyText"/>
      </w:pPr>
    </w:p>
    <w:p>
      <w:pPr>
        <w:pStyle w:val="BodyText"/>
      </w:pPr>
    </w:p>
    <w:p>
      <w:pPr>
        <w:pStyle w:val="BodyText"/>
        <w:spacing w:before="251"/>
      </w:pPr>
    </w:p>
    <w:p>
      <w:pPr>
        <w:pStyle w:val="Heading1"/>
        <w:spacing w:before="1"/>
      </w:pPr>
      <w:r>
        <w:rPr/>
        <w:t>ANDRÉS</w:t>
      </w:r>
      <w:r>
        <w:rPr>
          <w:spacing w:val="-3"/>
        </w:rPr>
        <w:t> </w:t>
      </w:r>
      <w:r>
        <w:rPr/>
        <w:t>FELIPE</w:t>
      </w:r>
      <w:r>
        <w:rPr>
          <w:spacing w:val="-4"/>
        </w:rPr>
        <w:t> </w:t>
      </w:r>
      <w:r>
        <w:rPr/>
        <w:t>GUERRA</w:t>
      </w:r>
      <w:r>
        <w:rPr>
          <w:spacing w:val="-2"/>
        </w:rPr>
        <w:t> </w:t>
      </w:r>
      <w:r>
        <w:rPr>
          <w:spacing w:val="-4"/>
        </w:rPr>
        <w:t>HOYOS</w:t>
      </w:r>
    </w:p>
    <w:p>
      <w:pPr>
        <w:pStyle w:val="BodyText"/>
        <w:spacing w:line="360" w:lineRule="auto" w:before="125"/>
        <w:ind w:left="1" w:right="6216"/>
      </w:pPr>
      <w:r>
        <w:rPr/>
        <w:t>Representante a la Cámara Ponente</w:t>
      </w:r>
      <w:r>
        <w:rPr>
          <w:spacing w:val="-14"/>
        </w:rPr>
        <w:t> </w:t>
      </w:r>
      <w:r>
        <w:rPr/>
        <w:t>para</w:t>
      </w:r>
      <w:r>
        <w:rPr>
          <w:spacing w:val="-14"/>
        </w:rPr>
        <w:t> </w:t>
      </w:r>
      <w:r>
        <w:rPr/>
        <w:t>Segundo</w:t>
      </w:r>
      <w:r>
        <w:rPr>
          <w:spacing w:val="-12"/>
        </w:rPr>
        <w:t> </w:t>
      </w:r>
      <w:r>
        <w:rPr/>
        <w:t>Debate</w:t>
      </w:r>
    </w:p>
    <w:p>
      <w:pPr>
        <w:pStyle w:val="BodyText"/>
        <w:spacing w:after="0" w:line="360" w:lineRule="auto"/>
        <w:sectPr>
          <w:pgSz w:w="12240" w:h="15840"/>
          <w:pgMar w:top="1360" w:bottom="280" w:left="1440" w:right="1080"/>
        </w:sectPr>
      </w:pPr>
    </w:p>
    <w:p>
      <w:pPr>
        <w:pStyle w:val="Heading1"/>
        <w:spacing w:line="357" w:lineRule="auto" w:before="79"/>
      </w:pPr>
      <w:r>
        <w:rPr/>
        <w:t>TEXTO</w:t>
      </w:r>
      <w:r>
        <w:rPr>
          <w:spacing w:val="40"/>
        </w:rPr>
        <w:t> </w:t>
      </w:r>
      <w:r>
        <w:rPr/>
        <w:t>PROPUESTO</w:t>
      </w:r>
      <w:r>
        <w:rPr>
          <w:spacing w:val="40"/>
        </w:rPr>
        <w:t> </w:t>
      </w:r>
      <w:r>
        <w:rPr/>
        <w:t>PARA</w:t>
      </w:r>
      <w:r>
        <w:rPr>
          <w:spacing w:val="40"/>
        </w:rPr>
        <w:t> </w:t>
      </w:r>
      <w:r>
        <w:rPr/>
        <w:t>SEGUNDO</w:t>
      </w:r>
      <w:r>
        <w:rPr>
          <w:spacing w:val="40"/>
        </w:rPr>
        <w:t> </w:t>
      </w:r>
      <w:r>
        <w:rPr/>
        <w:t>DEBATE</w:t>
      </w:r>
      <w:r>
        <w:rPr>
          <w:spacing w:val="40"/>
        </w:rPr>
        <w:t> </w:t>
      </w:r>
      <w:r>
        <w:rPr/>
        <w:t>EN</w:t>
      </w:r>
      <w:r>
        <w:rPr>
          <w:spacing w:val="40"/>
        </w:rPr>
        <w:t> </w:t>
      </w:r>
      <w:r>
        <w:rPr/>
        <w:t>PLENARIA</w:t>
      </w:r>
      <w:r>
        <w:rPr>
          <w:spacing w:val="40"/>
        </w:rPr>
        <w:t> </w:t>
      </w:r>
      <w:r>
        <w:rPr/>
        <w:t>DE</w:t>
      </w:r>
      <w:r>
        <w:rPr>
          <w:spacing w:val="40"/>
        </w:rPr>
        <w:t> </w:t>
      </w:r>
      <w:r>
        <w:rPr/>
        <w:t>LA</w:t>
      </w:r>
      <w:r>
        <w:rPr>
          <w:spacing w:val="40"/>
        </w:rPr>
        <w:t> </w:t>
      </w:r>
      <w:r>
        <w:rPr/>
        <w:t>CÁMARA</w:t>
      </w:r>
      <w:r>
        <w:rPr>
          <w:spacing w:val="40"/>
        </w:rPr>
        <w:t> </w:t>
      </w:r>
      <w:r>
        <w:rPr/>
        <w:t>DE</w:t>
      </w:r>
      <w:r>
        <w:rPr>
          <w:spacing w:val="40"/>
        </w:rPr>
        <w:t> </w:t>
      </w:r>
      <w:r>
        <w:rPr/>
        <w:t>REPRESENTANTES AL PROYECTO DE LEY NÚMERO 035 DE 2025 CÁMARA</w:t>
      </w:r>
    </w:p>
    <w:p>
      <w:pPr>
        <w:spacing w:line="357" w:lineRule="auto" w:before="4"/>
        <w:ind w:left="1" w:right="248" w:firstLine="0"/>
        <w:jc w:val="left"/>
        <w:rPr>
          <w:rFonts w:ascii="Arial" w:hAnsi="Arial"/>
          <w:i/>
          <w:sz w:val="22"/>
        </w:rPr>
      </w:pPr>
      <w:r>
        <w:rPr>
          <w:rFonts w:ascii="Arial" w:hAnsi="Arial"/>
          <w:i/>
          <w:sz w:val="22"/>
        </w:rPr>
        <w:t>por medio del cual se crea el artículo 36 A y se modifica el artículo 225 de la Ley 599 de 2000 sobre retractación en los delitos de Injuria y Calumnia</w:t>
      </w:r>
    </w:p>
    <w:p>
      <w:pPr>
        <w:pStyle w:val="BodyText"/>
        <w:spacing w:before="156"/>
        <w:rPr>
          <w:rFonts w:ascii="Arial"/>
          <w:i/>
        </w:rPr>
      </w:pPr>
    </w:p>
    <w:p>
      <w:pPr>
        <w:pStyle w:val="Heading2"/>
        <w:spacing w:line="208" w:lineRule="auto"/>
        <w:ind w:right="6216"/>
      </w:pPr>
      <w:r>
        <w:rPr/>
        <w:t>El</w:t>
      </w:r>
      <w:r>
        <w:rPr>
          <w:spacing w:val="-14"/>
        </w:rPr>
        <w:t> </w:t>
      </w:r>
      <w:r>
        <w:rPr/>
        <w:t>Congreso</w:t>
      </w:r>
      <w:r>
        <w:rPr>
          <w:spacing w:val="-10"/>
        </w:rPr>
        <w:t> </w:t>
      </w:r>
      <w:r>
        <w:rPr/>
        <w:t>de</w:t>
      </w:r>
      <w:r>
        <w:rPr>
          <w:spacing w:val="-15"/>
        </w:rPr>
        <w:t> </w:t>
      </w:r>
      <w:r>
        <w:rPr/>
        <w:t>Colombia </w:t>
      </w:r>
      <w:r>
        <w:rPr>
          <w:spacing w:val="-2"/>
        </w:rPr>
        <w:t>DECRETA:</w:t>
      </w:r>
    </w:p>
    <w:p>
      <w:pPr>
        <w:pStyle w:val="BodyText"/>
        <w:rPr>
          <w:rFonts w:ascii="Arial"/>
          <w:b/>
        </w:rPr>
      </w:pPr>
    </w:p>
    <w:p>
      <w:pPr>
        <w:pStyle w:val="BodyText"/>
        <w:spacing w:before="168"/>
        <w:rPr>
          <w:rFonts w:ascii="Arial"/>
          <w:b/>
        </w:rPr>
      </w:pPr>
    </w:p>
    <w:p>
      <w:pPr>
        <w:pStyle w:val="BodyText"/>
        <w:spacing w:line="360" w:lineRule="auto"/>
        <w:ind w:left="1" w:right="394"/>
      </w:pPr>
      <w:r>
        <w:rPr>
          <w:rFonts w:ascii="Arial" w:hAnsi="Arial"/>
          <w:b/>
        </w:rPr>
        <w:t>Artículo 1°. Objeto.</w:t>
      </w:r>
      <w:r>
        <w:rPr>
          <w:rFonts w:ascii="Arial" w:hAnsi="Arial"/>
          <w:b/>
          <w:spacing w:val="40"/>
        </w:rPr>
        <w:t> </w:t>
      </w:r>
      <w:r>
        <w:rPr/>
        <w:t>El presente proyecto de ley tiene por objeto modificar el régimen de la figura</w:t>
      </w:r>
      <w:r>
        <w:rPr>
          <w:spacing w:val="-2"/>
        </w:rPr>
        <w:t> </w:t>
      </w:r>
      <w:r>
        <w:rPr/>
        <w:t>de</w:t>
      </w:r>
      <w:r>
        <w:rPr>
          <w:spacing w:val="-2"/>
        </w:rPr>
        <w:t> </w:t>
      </w:r>
      <w:r>
        <w:rPr/>
        <w:t>retractación</w:t>
      </w:r>
      <w:r>
        <w:rPr>
          <w:spacing w:val="-2"/>
        </w:rPr>
        <w:t> </w:t>
      </w:r>
      <w:r>
        <w:rPr/>
        <w:t>en</w:t>
      </w:r>
      <w:r>
        <w:rPr>
          <w:spacing w:val="-2"/>
        </w:rPr>
        <w:t> </w:t>
      </w:r>
      <w:r>
        <w:rPr/>
        <w:t>los</w:t>
      </w:r>
      <w:r>
        <w:rPr>
          <w:spacing w:val="-2"/>
        </w:rPr>
        <w:t> </w:t>
      </w:r>
      <w:r>
        <w:rPr/>
        <w:t>delitos</w:t>
      </w:r>
      <w:r>
        <w:rPr>
          <w:spacing w:val="-2"/>
        </w:rPr>
        <w:t> </w:t>
      </w:r>
      <w:r>
        <w:rPr/>
        <w:t>de</w:t>
      </w:r>
      <w:r>
        <w:rPr>
          <w:spacing w:val="-2"/>
        </w:rPr>
        <w:t> </w:t>
      </w:r>
      <w:r>
        <w:rPr/>
        <w:t>injuria</w:t>
      </w:r>
      <w:r>
        <w:rPr>
          <w:spacing w:val="-2"/>
        </w:rPr>
        <w:t> </w:t>
      </w:r>
      <w:r>
        <w:rPr/>
        <w:t>y</w:t>
      </w:r>
      <w:r>
        <w:rPr>
          <w:spacing w:val="-2"/>
        </w:rPr>
        <w:t> </w:t>
      </w:r>
      <w:r>
        <w:rPr/>
        <w:t>calumnia,</w:t>
      </w:r>
      <w:r>
        <w:rPr>
          <w:spacing w:val="-2"/>
        </w:rPr>
        <w:t> </w:t>
      </w:r>
      <w:r>
        <w:rPr/>
        <w:t>buscando</w:t>
      </w:r>
      <w:r>
        <w:rPr>
          <w:spacing w:val="-2"/>
        </w:rPr>
        <w:t> </w:t>
      </w:r>
      <w:r>
        <w:rPr/>
        <w:t>fortalecer</w:t>
      </w:r>
      <w:r>
        <w:rPr>
          <w:spacing w:val="-2"/>
        </w:rPr>
        <w:t> </w:t>
      </w:r>
      <w:r>
        <w:rPr/>
        <w:t>el</w:t>
      </w:r>
      <w:r>
        <w:rPr>
          <w:spacing w:val="-2"/>
        </w:rPr>
        <w:t> </w:t>
      </w:r>
      <w:r>
        <w:rPr/>
        <w:t>equilibrio</w:t>
      </w:r>
      <w:r>
        <w:rPr>
          <w:spacing w:val="-2"/>
        </w:rPr>
        <w:t> </w:t>
      </w:r>
      <w:r>
        <w:rPr/>
        <w:t>entre el derecho a la libertad de expresión y los derechos al buen nombre y a la honra, garantizando que,</w:t>
      </w:r>
      <w:r>
        <w:rPr>
          <w:spacing w:val="-4"/>
        </w:rPr>
        <w:t> </w:t>
      </w:r>
      <w:r>
        <w:rPr/>
        <w:t>además</w:t>
      </w:r>
      <w:r>
        <w:rPr>
          <w:spacing w:val="-4"/>
        </w:rPr>
        <w:t> </w:t>
      </w:r>
      <w:r>
        <w:rPr/>
        <w:t>de</w:t>
      </w:r>
      <w:r>
        <w:rPr>
          <w:spacing w:val="-4"/>
        </w:rPr>
        <w:t> </w:t>
      </w:r>
      <w:r>
        <w:rPr/>
        <w:t>la</w:t>
      </w:r>
      <w:r>
        <w:rPr>
          <w:spacing w:val="-4"/>
        </w:rPr>
        <w:t> </w:t>
      </w:r>
      <w:r>
        <w:rPr/>
        <w:t>retractación</w:t>
      </w:r>
      <w:r>
        <w:rPr>
          <w:spacing w:val="-4"/>
        </w:rPr>
        <w:t> </w:t>
      </w:r>
      <w:r>
        <w:rPr/>
        <w:t>pública,</w:t>
      </w:r>
      <w:r>
        <w:rPr>
          <w:spacing w:val="-4"/>
        </w:rPr>
        <w:t> </w:t>
      </w:r>
      <w:r>
        <w:rPr/>
        <w:t>exista</w:t>
      </w:r>
      <w:r>
        <w:rPr>
          <w:spacing w:val="-4"/>
        </w:rPr>
        <w:t> </w:t>
      </w:r>
      <w:r>
        <w:rPr/>
        <w:t>una</w:t>
      </w:r>
      <w:r>
        <w:rPr>
          <w:spacing w:val="-4"/>
        </w:rPr>
        <w:t> </w:t>
      </w:r>
      <w:r>
        <w:rPr/>
        <w:t>sanción</w:t>
      </w:r>
      <w:r>
        <w:rPr>
          <w:spacing w:val="-4"/>
        </w:rPr>
        <w:t> </w:t>
      </w:r>
      <w:r>
        <w:rPr/>
        <w:t>económica</w:t>
      </w:r>
      <w:r>
        <w:rPr>
          <w:spacing w:val="-4"/>
        </w:rPr>
        <w:t> </w:t>
      </w:r>
      <w:r>
        <w:rPr/>
        <w:t>para</w:t>
      </w:r>
      <w:r>
        <w:rPr>
          <w:spacing w:val="-4"/>
        </w:rPr>
        <w:t> </w:t>
      </w:r>
      <w:r>
        <w:rPr/>
        <w:t>el</w:t>
      </w:r>
      <w:r>
        <w:rPr>
          <w:spacing w:val="-4"/>
        </w:rPr>
        <w:t> </w:t>
      </w:r>
      <w:r>
        <w:rPr/>
        <w:t>autor</w:t>
      </w:r>
      <w:r>
        <w:rPr>
          <w:spacing w:val="-4"/>
        </w:rPr>
        <w:t> </w:t>
      </w:r>
      <w:r>
        <w:rPr/>
        <w:t>o</w:t>
      </w:r>
      <w:r>
        <w:rPr>
          <w:spacing w:val="-4"/>
        </w:rPr>
        <w:t> </w:t>
      </w:r>
      <w:r>
        <w:rPr/>
        <w:t>partícipe, derivada del riesgo producido frente a los derechos tutelados de la víctima.</w:t>
      </w:r>
    </w:p>
    <w:p>
      <w:pPr>
        <w:pStyle w:val="BodyText"/>
        <w:spacing w:before="130"/>
      </w:pPr>
    </w:p>
    <w:p>
      <w:pPr>
        <w:spacing w:line="357" w:lineRule="auto" w:before="1"/>
        <w:ind w:left="1" w:right="394" w:firstLine="0"/>
        <w:jc w:val="left"/>
        <w:rPr>
          <w:rFonts w:ascii="Arial" w:hAnsi="Arial"/>
          <w:i/>
          <w:sz w:val="22"/>
        </w:rPr>
      </w:pPr>
      <w:r>
        <w:rPr>
          <w:rFonts w:ascii="Arial" w:hAnsi="Arial"/>
          <w:b/>
          <w:sz w:val="22"/>
        </w:rPr>
        <w:t>Artículo</w:t>
      </w:r>
      <w:r>
        <w:rPr>
          <w:rFonts w:ascii="Arial" w:hAnsi="Arial"/>
          <w:b/>
          <w:spacing w:val="-3"/>
          <w:sz w:val="22"/>
        </w:rPr>
        <w:t> </w:t>
      </w:r>
      <w:r>
        <w:rPr>
          <w:rFonts w:ascii="Arial" w:hAnsi="Arial"/>
          <w:b/>
          <w:sz w:val="22"/>
        </w:rPr>
        <w:t>2°.</w:t>
      </w:r>
      <w:r>
        <w:rPr>
          <w:rFonts w:ascii="Arial" w:hAnsi="Arial"/>
          <w:b/>
          <w:spacing w:val="-1"/>
          <w:sz w:val="22"/>
        </w:rPr>
        <w:t> </w:t>
      </w:r>
      <w:r>
        <w:rPr>
          <w:sz w:val="22"/>
        </w:rPr>
        <w:t>Adiciónese</w:t>
      </w:r>
      <w:r>
        <w:rPr>
          <w:spacing w:val="-1"/>
          <w:sz w:val="22"/>
        </w:rPr>
        <w:t> </w:t>
      </w:r>
      <w:r>
        <w:rPr>
          <w:sz w:val="22"/>
        </w:rPr>
        <w:t>el</w:t>
      </w:r>
      <w:r>
        <w:rPr>
          <w:spacing w:val="-4"/>
          <w:sz w:val="22"/>
        </w:rPr>
        <w:t> </w:t>
      </w:r>
      <w:r>
        <w:rPr>
          <w:sz w:val="22"/>
        </w:rPr>
        <w:t>artículo</w:t>
      </w:r>
      <w:r>
        <w:rPr>
          <w:spacing w:val="-3"/>
          <w:sz w:val="22"/>
        </w:rPr>
        <w:t> </w:t>
      </w:r>
      <w:r>
        <w:rPr>
          <w:sz w:val="22"/>
        </w:rPr>
        <w:t>36A</w:t>
      </w:r>
      <w:r>
        <w:rPr>
          <w:spacing w:val="-2"/>
          <w:sz w:val="22"/>
        </w:rPr>
        <w:t> </w:t>
      </w:r>
      <w:r>
        <w:rPr>
          <w:sz w:val="22"/>
        </w:rPr>
        <w:t>a</w:t>
      </w:r>
      <w:r>
        <w:rPr>
          <w:spacing w:val="-5"/>
          <w:sz w:val="22"/>
        </w:rPr>
        <w:t> </w:t>
      </w:r>
      <w:r>
        <w:rPr>
          <w:sz w:val="22"/>
        </w:rPr>
        <w:t>la</w:t>
      </w:r>
      <w:r>
        <w:rPr>
          <w:spacing w:val="-1"/>
          <w:sz w:val="22"/>
        </w:rPr>
        <w:t> </w:t>
      </w:r>
      <w:r>
        <w:rPr>
          <w:sz w:val="22"/>
        </w:rPr>
        <w:t>Ley</w:t>
      </w:r>
      <w:r>
        <w:rPr>
          <w:spacing w:val="-5"/>
          <w:sz w:val="22"/>
        </w:rPr>
        <w:t> </w:t>
      </w:r>
      <w:r>
        <w:rPr>
          <w:sz w:val="22"/>
        </w:rPr>
        <w:t>599</w:t>
      </w:r>
      <w:r>
        <w:rPr>
          <w:spacing w:val="-1"/>
          <w:sz w:val="22"/>
        </w:rPr>
        <w:t> </w:t>
      </w:r>
      <w:r>
        <w:rPr>
          <w:sz w:val="22"/>
        </w:rPr>
        <w:t>de</w:t>
      </w:r>
      <w:r>
        <w:rPr>
          <w:spacing w:val="-5"/>
          <w:sz w:val="22"/>
        </w:rPr>
        <w:t> </w:t>
      </w:r>
      <w:r>
        <w:rPr>
          <w:sz w:val="22"/>
        </w:rPr>
        <w:t>2000</w:t>
      </w:r>
      <w:r>
        <w:rPr>
          <w:spacing w:val="-1"/>
          <w:sz w:val="22"/>
        </w:rPr>
        <w:t> </w:t>
      </w:r>
      <w:r>
        <w:rPr>
          <w:sz w:val="22"/>
        </w:rPr>
        <w:t>según</w:t>
      </w:r>
      <w:r>
        <w:rPr>
          <w:spacing w:val="-3"/>
          <w:sz w:val="22"/>
        </w:rPr>
        <w:t> </w:t>
      </w:r>
      <w:r>
        <w:rPr>
          <w:sz w:val="22"/>
        </w:rPr>
        <w:t>el</w:t>
      </w:r>
      <w:r>
        <w:rPr>
          <w:spacing w:val="-4"/>
          <w:sz w:val="22"/>
        </w:rPr>
        <w:t> </w:t>
      </w:r>
      <w:r>
        <w:rPr>
          <w:sz w:val="22"/>
        </w:rPr>
        <w:t>siguiente</w:t>
      </w:r>
      <w:r>
        <w:rPr>
          <w:spacing w:val="-1"/>
          <w:sz w:val="22"/>
        </w:rPr>
        <w:t> </w:t>
      </w:r>
      <w:r>
        <w:rPr>
          <w:sz w:val="22"/>
        </w:rPr>
        <w:t>tenor:</w:t>
      </w:r>
      <w:r>
        <w:rPr>
          <w:spacing w:val="-11"/>
          <w:sz w:val="22"/>
        </w:rPr>
        <w:t> </w:t>
      </w:r>
      <w:r>
        <w:rPr>
          <w:rFonts w:ascii="Arial" w:hAnsi="Arial"/>
          <w:b/>
          <w:i/>
          <w:sz w:val="22"/>
        </w:rPr>
        <w:t>Artículo 36A. Sanción económica. </w:t>
      </w:r>
      <w:r>
        <w:rPr>
          <w:rFonts w:ascii="Arial" w:hAnsi="Arial"/>
          <w:i/>
          <w:sz w:val="22"/>
        </w:rPr>
        <w:t>Habrá lugar a una sanción económica tasada por el Juez</w:t>
      </w:r>
      <w:r>
        <w:rPr>
          <w:rFonts w:ascii="Arial" w:hAnsi="Arial"/>
          <w:i/>
          <w:spacing w:val="-1"/>
          <w:sz w:val="22"/>
        </w:rPr>
        <w:t> </w:t>
      </w:r>
      <w:r>
        <w:rPr>
          <w:rFonts w:ascii="Arial" w:hAnsi="Arial"/>
          <w:i/>
          <w:sz w:val="22"/>
        </w:rPr>
        <w:t>de conocimiento en los casos en que el autor o partícipe de los delitos de injuria o calumnia se retracte conforme a lo dispuesto en el artículo 225 de la presente ley.</w:t>
      </w:r>
    </w:p>
    <w:p>
      <w:pPr>
        <w:spacing w:line="360" w:lineRule="auto" w:before="6"/>
        <w:ind w:left="1" w:right="356" w:firstLine="0"/>
        <w:jc w:val="both"/>
        <w:rPr>
          <w:rFonts w:ascii="Arial" w:hAnsi="Arial"/>
          <w:i/>
          <w:sz w:val="22"/>
        </w:rPr>
      </w:pPr>
      <w:r>
        <w:rPr>
          <w:rFonts w:ascii="Arial" w:hAnsi="Arial"/>
          <w:i/>
          <w:sz w:val="22"/>
        </w:rPr>
        <w:t>La sanción económica no se considerará pena ni generará antecedentes ni derivará en la aplicación</w:t>
      </w:r>
      <w:r>
        <w:rPr>
          <w:rFonts w:ascii="Arial" w:hAnsi="Arial"/>
          <w:i/>
          <w:spacing w:val="-2"/>
          <w:sz w:val="22"/>
        </w:rPr>
        <w:t> </w:t>
      </w:r>
      <w:r>
        <w:rPr>
          <w:rFonts w:ascii="Arial" w:hAnsi="Arial"/>
          <w:i/>
          <w:sz w:val="22"/>
        </w:rPr>
        <w:t>de</w:t>
      </w:r>
      <w:r>
        <w:rPr>
          <w:rFonts w:ascii="Arial" w:hAnsi="Arial"/>
          <w:i/>
          <w:spacing w:val="-2"/>
          <w:sz w:val="22"/>
        </w:rPr>
        <w:t> </w:t>
      </w:r>
      <w:r>
        <w:rPr>
          <w:rFonts w:ascii="Arial" w:hAnsi="Arial"/>
          <w:i/>
          <w:sz w:val="22"/>
        </w:rPr>
        <w:t>ninguna</w:t>
      </w:r>
      <w:r>
        <w:rPr>
          <w:rFonts w:ascii="Arial" w:hAnsi="Arial"/>
          <w:i/>
          <w:spacing w:val="-2"/>
          <w:sz w:val="22"/>
        </w:rPr>
        <w:t> </w:t>
      </w:r>
      <w:r>
        <w:rPr>
          <w:rFonts w:ascii="Arial" w:hAnsi="Arial"/>
          <w:i/>
          <w:sz w:val="22"/>
        </w:rPr>
        <w:t>de</w:t>
      </w:r>
      <w:r>
        <w:rPr>
          <w:rFonts w:ascii="Arial" w:hAnsi="Arial"/>
          <w:i/>
          <w:spacing w:val="-2"/>
          <w:sz w:val="22"/>
        </w:rPr>
        <w:t> </w:t>
      </w:r>
      <w:r>
        <w:rPr>
          <w:rFonts w:ascii="Arial" w:hAnsi="Arial"/>
          <w:i/>
          <w:sz w:val="22"/>
        </w:rPr>
        <w:t>las</w:t>
      </w:r>
      <w:r>
        <w:rPr>
          <w:rFonts w:ascii="Arial" w:hAnsi="Arial"/>
          <w:i/>
          <w:spacing w:val="-2"/>
          <w:sz w:val="22"/>
        </w:rPr>
        <w:t> </w:t>
      </w:r>
      <w:r>
        <w:rPr>
          <w:rFonts w:ascii="Arial" w:hAnsi="Arial"/>
          <w:i/>
          <w:sz w:val="22"/>
        </w:rPr>
        <w:t>penas</w:t>
      </w:r>
      <w:r>
        <w:rPr>
          <w:rFonts w:ascii="Arial" w:hAnsi="Arial"/>
          <w:i/>
          <w:spacing w:val="-2"/>
          <w:sz w:val="22"/>
        </w:rPr>
        <w:t> </w:t>
      </w:r>
      <w:r>
        <w:rPr>
          <w:rFonts w:ascii="Arial" w:hAnsi="Arial"/>
          <w:i/>
          <w:sz w:val="22"/>
        </w:rPr>
        <w:t>privativas</w:t>
      </w:r>
      <w:r>
        <w:rPr>
          <w:rFonts w:ascii="Arial" w:hAnsi="Arial"/>
          <w:i/>
          <w:spacing w:val="-2"/>
          <w:sz w:val="22"/>
        </w:rPr>
        <w:t> </w:t>
      </w:r>
      <w:r>
        <w:rPr>
          <w:rFonts w:ascii="Arial" w:hAnsi="Arial"/>
          <w:i/>
          <w:sz w:val="22"/>
        </w:rPr>
        <w:t>de</w:t>
      </w:r>
      <w:r>
        <w:rPr>
          <w:rFonts w:ascii="Arial" w:hAnsi="Arial"/>
          <w:i/>
          <w:spacing w:val="-2"/>
          <w:sz w:val="22"/>
        </w:rPr>
        <w:t> </w:t>
      </w:r>
      <w:r>
        <w:rPr>
          <w:rFonts w:ascii="Arial" w:hAnsi="Arial"/>
          <w:i/>
          <w:sz w:val="22"/>
        </w:rPr>
        <w:t>otros</w:t>
      </w:r>
      <w:r>
        <w:rPr>
          <w:rFonts w:ascii="Arial" w:hAnsi="Arial"/>
          <w:i/>
          <w:spacing w:val="-2"/>
          <w:sz w:val="22"/>
        </w:rPr>
        <w:t> </w:t>
      </w:r>
      <w:r>
        <w:rPr>
          <w:rFonts w:ascii="Arial" w:hAnsi="Arial"/>
          <w:i/>
          <w:sz w:val="22"/>
        </w:rPr>
        <w:t>derechos</w:t>
      </w:r>
      <w:r>
        <w:rPr>
          <w:rFonts w:ascii="Arial" w:hAnsi="Arial"/>
          <w:i/>
          <w:spacing w:val="-2"/>
          <w:sz w:val="22"/>
        </w:rPr>
        <w:t> </w:t>
      </w:r>
      <w:r>
        <w:rPr>
          <w:rFonts w:ascii="Arial" w:hAnsi="Arial"/>
          <w:i/>
          <w:sz w:val="22"/>
        </w:rPr>
        <w:t>descritas</w:t>
      </w:r>
      <w:r>
        <w:rPr>
          <w:rFonts w:ascii="Arial" w:hAnsi="Arial"/>
          <w:i/>
          <w:spacing w:val="-2"/>
          <w:sz w:val="22"/>
        </w:rPr>
        <w:t> </w:t>
      </w:r>
      <w:r>
        <w:rPr>
          <w:rFonts w:ascii="Arial" w:hAnsi="Arial"/>
          <w:i/>
          <w:sz w:val="22"/>
        </w:rPr>
        <w:t>en</w:t>
      </w:r>
      <w:r>
        <w:rPr>
          <w:rFonts w:ascii="Arial" w:hAnsi="Arial"/>
          <w:i/>
          <w:spacing w:val="-2"/>
          <w:sz w:val="22"/>
        </w:rPr>
        <w:t> </w:t>
      </w:r>
      <w:r>
        <w:rPr>
          <w:rFonts w:ascii="Arial" w:hAnsi="Arial"/>
          <w:i/>
          <w:sz w:val="22"/>
        </w:rPr>
        <w:t>el</w:t>
      </w:r>
      <w:r>
        <w:rPr>
          <w:rFonts w:ascii="Arial" w:hAnsi="Arial"/>
          <w:i/>
          <w:spacing w:val="-2"/>
          <w:sz w:val="22"/>
        </w:rPr>
        <w:t> </w:t>
      </w:r>
      <w:r>
        <w:rPr>
          <w:rFonts w:ascii="Arial" w:hAnsi="Arial"/>
          <w:i/>
          <w:sz w:val="22"/>
        </w:rPr>
        <w:t>artículo</w:t>
      </w:r>
      <w:r>
        <w:rPr>
          <w:rFonts w:ascii="Arial" w:hAnsi="Arial"/>
          <w:i/>
          <w:spacing w:val="-2"/>
          <w:sz w:val="22"/>
        </w:rPr>
        <w:t> </w:t>
      </w:r>
      <w:r>
        <w:rPr>
          <w:rFonts w:ascii="Arial" w:hAnsi="Arial"/>
          <w:i/>
          <w:sz w:val="22"/>
        </w:rPr>
        <w:t>43</w:t>
      </w:r>
      <w:r>
        <w:rPr>
          <w:rFonts w:ascii="Arial" w:hAnsi="Arial"/>
          <w:i/>
          <w:spacing w:val="-2"/>
          <w:sz w:val="22"/>
        </w:rPr>
        <w:t> </w:t>
      </w:r>
      <w:r>
        <w:rPr>
          <w:rFonts w:ascii="Arial" w:hAnsi="Arial"/>
          <w:i/>
          <w:sz w:val="22"/>
        </w:rPr>
        <w:t>de</w:t>
      </w:r>
      <w:r>
        <w:rPr>
          <w:rFonts w:ascii="Arial" w:hAnsi="Arial"/>
          <w:i/>
          <w:spacing w:val="-10"/>
          <w:sz w:val="22"/>
        </w:rPr>
        <w:t> </w:t>
      </w:r>
      <w:r>
        <w:rPr>
          <w:rFonts w:ascii="Arial" w:hAnsi="Arial"/>
          <w:i/>
          <w:sz w:val="22"/>
        </w:rPr>
        <w:t>la presente ley.</w:t>
      </w:r>
    </w:p>
    <w:p>
      <w:pPr>
        <w:pStyle w:val="BodyText"/>
        <w:spacing w:before="126"/>
        <w:rPr>
          <w:rFonts w:ascii="Arial"/>
          <w:i/>
        </w:rPr>
      </w:pPr>
    </w:p>
    <w:p>
      <w:pPr>
        <w:pStyle w:val="BodyText"/>
        <w:spacing w:line="357" w:lineRule="auto"/>
        <w:ind w:left="1"/>
      </w:pPr>
      <w:r>
        <w:rPr>
          <w:rFonts w:ascii="Arial" w:hAnsi="Arial"/>
          <w:b/>
        </w:rPr>
        <w:t>Artículo</w:t>
      </w:r>
      <w:r>
        <w:rPr>
          <w:rFonts w:ascii="Arial" w:hAnsi="Arial"/>
          <w:b/>
          <w:spacing w:val="-2"/>
        </w:rPr>
        <w:t> </w:t>
      </w:r>
      <w:r>
        <w:rPr>
          <w:rFonts w:ascii="Arial" w:hAnsi="Arial"/>
          <w:b/>
        </w:rPr>
        <w:t>3°. </w:t>
      </w:r>
      <w:r>
        <w:rPr/>
        <w:t>Modifíquese el</w:t>
      </w:r>
      <w:r>
        <w:rPr>
          <w:spacing w:val="-2"/>
        </w:rPr>
        <w:t> </w:t>
      </w:r>
      <w:r>
        <w:rPr/>
        <w:t>artículo 225 del</w:t>
      </w:r>
      <w:r>
        <w:rPr>
          <w:spacing w:val="-1"/>
        </w:rPr>
        <w:t> </w:t>
      </w:r>
      <w:r>
        <w:rPr/>
        <w:t>Código Penal</w:t>
      </w:r>
      <w:r>
        <w:rPr>
          <w:spacing w:val="-1"/>
        </w:rPr>
        <w:t> </w:t>
      </w:r>
      <w:r>
        <w:rPr/>
        <w:t>sobre la</w:t>
      </w:r>
      <w:r>
        <w:rPr>
          <w:spacing w:val="-2"/>
        </w:rPr>
        <w:t> </w:t>
      </w:r>
      <w:r>
        <w:rPr/>
        <w:t>retractación en los</w:t>
      </w:r>
      <w:r>
        <w:rPr>
          <w:spacing w:val="-2"/>
        </w:rPr>
        <w:t> </w:t>
      </w:r>
      <w:r>
        <w:rPr/>
        <w:t>delitos de injuria y calumnia, el cual quedará así:</w:t>
      </w:r>
    </w:p>
    <w:p>
      <w:pPr>
        <w:spacing w:line="360" w:lineRule="auto" w:before="4"/>
        <w:ind w:left="1" w:right="364" w:firstLine="0"/>
        <w:jc w:val="both"/>
        <w:rPr>
          <w:rFonts w:ascii="Arial" w:hAnsi="Arial"/>
          <w:i/>
          <w:sz w:val="22"/>
        </w:rPr>
      </w:pPr>
      <w:r>
        <w:rPr>
          <w:rFonts w:ascii="Arial" w:hAnsi="Arial"/>
          <w:b/>
          <w:i/>
          <w:sz w:val="22"/>
        </w:rPr>
        <w:t>Artículo 225. Retractación. </w:t>
      </w:r>
      <w:r>
        <w:rPr>
          <w:rFonts w:ascii="Arial" w:hAnsi="Arial"/>
          <w:i/>
          <w:sz w:val="22"/>
        </w:rPr>
        <w:t>No habrá lugar a pena si el autor o partícipe de cualquiera de las conductas previstas en este título se retractare voluntariamente antes de proferirse sentencia</w:t>
      </w:r>
      <w:r>
        <w:rPr>
          <w:rFonts w:ascii="Arial" w:hAnsi="Arial"/>
          <w:i/>
          <w:spacing w:val="40"/>
          <w:sz w:val="22"/>
        </w:rPr>
        <w:t> </w:t>
      </w:r>
      <w:r>
        <w:rPr>
          <w:rFonts w:ascii="Arial" w:hAnsi="Arial"/>
          <w:i/>
          <w:sz w:val="22"/>
        </w:rPr>
        <w:t>de primera o única instancia, siempre que la publicación de la retractación se haga a costa del responsable,</w:t>
      </w:r>
      <w:r>
        <w:rPr>
          <w:rFonts w:ascii="Arial" w:hAnsi="Arial"/>
          <w:i/>
          <w:spacing w:val="-1"/>
          <w:sz w:val="22"/>
        </w:rPr>
        <w:t> </w:t>
      </w:r>
      <w:r>
        <w:rPr>
          <w:rFonts w:ascii="Arial" w:hAnsi="Arial"/>
          <w:i/>
          <w:sz w:val="22"/>
        </w:rPr>
        <w:t>se</w:t>
      </w:r>
      <w:r>
        <w:rPr>
          <w:rFonts w:ascii="Arial" w:hAnsi="Arial"/>
          <w:i/>
          <w:spacing w:val="-1"/>
          <w:sz w:val="22"/>
        </w:rPr>
        <w:t> </w:t>
      </w:r>
      <w:r>
        <w:rPr>
          <w:rFonts w:ascii="Arial" w:hAnsi="Arial"/>
          <w:i/>
          <w:sz w:val="22"/>
        </w:rPr>
        <w:t>cumpla</w:t>
      </w:r>
      <w:r>
        <w:rPr>
          <w:rFonts w:ascii="Arial" w:hAnsi="Arial"/>
          <w:i/>
          <w:spacing w:val="-1"/>
          <w:sz w:val="22"/>
        </w:rPr>
        <w:t> </w:t>
      </w:r>
      <w:r>
        <w:rPr>
          <w:rFonts w:ascii="Arial" w:hAnsi="Arial"/>
          <w:i/>
          <w:sz w:val="22"/>
        </w:rPr>
        <w:t>en</w:t>
      </w:r>
      <w:r>
        <w:rPr>
          <w:rFonts w:ascii="Arial" w:hAnsi="Arial"/>
          <w:i/>
          <w:spacing w:val="-1"/>
          <w:sz w:val="22"/>
        </w:rPr>
        <w:t> </w:t>
      </w:r>
      <w:r>
        <w:rPr>
          <w:rFonts w:ascii="Arial" w:hAnsi="Arial"/>
          <w:i/>
          <w:sz w:val="22"/>
        </w:rPr>
        <w:t>el</w:t>
      </w:r>
      <w:r>
        <w:rPr>
          <w:rFonts w:ascii="Arial" w:hAnsi="Arial"/>
          <w:i/>
          <w:spacing w:val="-1"/>
          <w:sz w:val="22"/>
        </w:rPr>
        <w:t> </w:t>
      </w:r>
      <w:r>
        <w:rPr>
          <w:rFonts w:ascii="Arial" w:hAnsi="Arial"/>
          <w:i/>
          <w:sz w:val="22"/>
        </w:rPr>
        <w:t>mismo</w:t>
      </w:r>
      <w:r>
        <w:rPr>
          <w:rFonts w:ascii="Arial" w:hAnsi="Arial"/>
          <w:i/>
          <w:spacing w:val="-1"/>
          <w:sz w:val="22"/>
        </w:rPr>
        <w:t> </w:t>
      </w:r>
      <w:r>
        <w:rPr>
          <w:rFonts w:ascii="Arial" w:hAnsi="Arial"/>
          <w:i/>
          <w:sz w:val="22"/>
        </w:rPr>
        <w:t>medio</w:t>
      </w:r>
      <w:r>
        <w:rPr>
          <w:rFonts w:ascii="Arial" w:hAnsi="Arial"/>
          <w:i/>
          <w:spacing w:val="-1"/>
          <w:sz w:val="22"/>
        </w:rPr>
        <w:t> </w:t>
      </w:r>
      <w:r>
        <w:rPr>
          <w:rFonts w:ascii="Arial" w:hAnsi="Arial"/>
          <w:i/>
          <w:sz w:val="22"/>
        </w:rPr>
        <w:t>y</w:t>
      </w:r>
      <w:r>
        <w:rPr>
          <w:rFonts w:ascii="Arial" w:hAnsi="Arial"/>
          <w:i/>
          <w:spacing w:val="-1"/>
          <w:sz w:val="22"/>
        </w:rPr>
        <w:t> </w:t>
      </w:r>
      <w:r>
        <w:rPr>
          <w:rFonts w:ascii="Arial" w:hAnsi="Arial"/>
          <w:i/>
          <w:sz w:val="22"/>
        </w:rPr>
        <w:t>con</w:t>
      </w:r>
      <w:r>
        <w:rPr>
          <w:rFonts w:ascii="Arial" w:hAnsi="Arial"/>
          <w:i/>
          <w:spacing w:val="-1"/>
          <w:sz w:val="22"/>
        </w:rPr>
        <w:t> </w:t>
      </w:r>
      <w:r>
        <w:rPr>
          <w:rFonts w:ascii="Arial" w:hAnsi="Arial"/>
          <w:i/>
          <w:sz w:val="22"/>
        </w:rPr>
        <w:t>las</w:t>
      </w:r>
      <w:r>
        <w:rPr>
          <w:rFonts w:ascii="Arial" w:hAnsi="Arial"/>
          <w:i/>
          <w:spacing w:val="-1"/>
          <w:sz w:val="22"/>
        </w:rPr>
        <w:t> </w:t>
      </w:r>
      <w:r>
        <w:rPr>
          <w:rFonts w:ascii="Arial" w:hAnsi="Arial"/>
          <w:i/>
          <w:sz w:val="22"/>
        </w:rPr>
        <w:t>mismas</w:t>
      </w:r>
      <w:r>
        <w:rPr>
          <w:rFonts w:ascii="Arial" w:hAnsi="Arial"/>
          <w:i/>
          <w:spacing w:val="-1"/>
          <w:sz w:val="22"/>
        </w:rPr>
        <w:t> </w:t>
      </w:r>
      <w:r>
        <w:rPr>
          <w:rFonts w:ascii="Arial" w:hAnsi="Arial"/>
          <w:i/>
          <w:sz w:val="22"/>
        </w:rPr>
        <w:t>características</w:t>
      </w:r>
      <w:r>
        <w:rPr>
          <w:rFonts w:ascii="Arial" w:hAnsi="Arial"/>
          <w:i/>
          <w:spacing w:val="-1"/>
          <w:sz w:val="22"/>
        </w:rPr>
        <w:t> </w:t>
      </w:r>
      <w:r>
        <w:rPr>
          <w:rFonts w:ascii="Arial" w:hAnsi="Arial"/>
          <w:i/>
          <w:sz w:val="22"/>
        </w:rPr>
        <w:t>en</w:t>
      </w:r>
      <w:r>
        <w:rPr>
          <w:rFonts w:ascii="Arial" w:hAnsi="Arial"/>
          <w:i/>
          <w:spacing w:val="-1"/>
          <w:sz w:val="22"/>
        </w:rPr>
        <w:t> </w:t>
      </w:r>
      <w:r>
        <w:rPr>
          <w:rFonts w:ascii="Arial" w:hAnsi="Arial"/>
          <w:i/>
          <w:sz w:val="22"/>
        </w:rPr>
        <w:t>que</w:t>
      </w:r>
      <w:r>
        <w:rPr>
          <w:rFonts w:ascii="Arial" w:hAnsi="Arial"/>
          <w:i/>
          <w:spacing w:val="-1"/>
          <w:sz w:val="22"/>
        </w:rPr>
        <w:t> </w:t>
      </w:r>
      <w:r>
        <w:rPr>
          <w:rFonts w:ascii="Arial" w:hAnsi="Arial"/>
          <w:i/>
          <w:sz w:val="22"/>
        </w:rPr>
        <w:t>se</w:t>
      </w:r>
      <w:r>
        <w:rPr>
          <w:rFonts w:ascii="Arial" w:hAnsi="Arial"/>
          <w:i/>
          <w:spacing w:val="-1"/>
          <w:sz w:val="22"/>
        </w:rPr>
        <w:t> </w:t>
      </w:r>
      <w:r>
        <w:rPr>
          <w:rFonts w:ascii="Arial" w:hAnsi="Arial"/>
          <w:i/>
          <w:sz w:val="22"/>
        </w:rPr>
        <w:t>difundió la imputación o en el que señale el funcionario judicial, en los demás casos.</w:t>
      </w:r>
    </w:p>
    <w:p>
      <w:pPr>
        <w:spacing w:line="360" w:lineRule="auto" w:before="2"/>
        <w:ind w:left="1" w:right="396" w:firstLine="0"/>
        <w:jc w:val="both"/>
        <w:rPr>
          <w:rFonts w:ascii="Arial" w:hAnsi="Arial"/>
          <w:i/>
          <w:sz w:val="22"/>
        </w:rPr>
      </w:pPr>
      <w:r>
        <w:rPr>
          <w:rFonts w:ascii="Arial" w:hAnsi="Arial"/>
          <w:i/>
          <w:sz w:val="22"/>
        </w:rPr>
        <w:t>No se podrá iniciar acción penal, si la retractación o rectificación se hace pública antes de que el ofendido formule la respectiva denuncia.</w:t>
      </w:r>
    </w:p>
    <w:p>
      <w:pPr>
        <w:spacing w:line="360" w:lineRule="auto" w:before="1"/>
        <w:ind w:left="1" w:right="371" w:firstLine="0"/>
        <w:jc w:val="both"/>
        <w:rPr>
          <w:rFonts w:ascii="Arial" w:hAnsi="Arial"/>
          <w:i/>
          <w:sz w:val="22"/>
        </w:rPr>
      </w:pPr>
      <w:r>
        <w:rPr>
          <w:rFonts w:ascii="Arial" w:hAnsi="Arial"/>
          <w:i/>
          <w:sz w:val="22"/>
        </w:rPr>
        <w:t>En los casos en que el autor o partícipe se retracte será obligatorio el pago de una sanción económica que oscilará entre los 2 y los 13 salarios mínimos mensuales legales vigentes,</w:t>
      </w:r>
    </w:p>
    <w:p>
      <w:pPr>
        <w:spacing w:after="0" w:line="360" w:lineRule="auto"/>
        <w:jc w:val="both"/>
        <w:rPr>
          <w:rFonts w:ascii="Arial" w:hAnsi="Arial"/>
          <w:i/>
          <w:sz w:val="22"/>
        </w:rPr>
        <w:sectPr>
          <w:pgSz w:w="12240" w:h="15840"/>
          <w:pgMar w:top="1740" w:bottom="280" w:left="1440" w:right="1080"/>
        </w:sectPr>
      </w:pPr>
    </w:p>
    <w:p>
      <w:pPr>
        <w:spacing w:line="360" w:lineRule="auto" w:before="79"/>
        <w:ind w:left="1" w:right="394" w:firstLine="0"/>
        <w:jc w:val="left"/>
        <w:rPr>
          <w:rFonts w:ascii="Arial" w:hAnsi="Arial"/>
          <w:i/>
          <w:sz w:val="22"/>
        </w:rPr>
      </w:pPr>
      <w:r>
        <w:rPr>
          <w:rFonts w:ascii="Arial" w:hAnsi="Arial"/>
          <w:i/>
          <w:sz w:val="22"/>
        </w:rPr>
        <w:t>tasada por el juez de conocimiento atendiendo a los criterios establecidos en el Libro I, Título IV, Capítulo Segundo de la presente ley en lo que sean aplicables.</w:t>
      </w:r>
    </w:p>
    <w:p>
      <w:pPr>
        <w:spacing w:line="360" w:lineRule="auto" w:before="0"/>
        <w:ind w:left="1" w:right="0" w:firstLine="0"/>
        <w:jc w:val="left"/>
        <w:rPr>
          <w:rFonts w:ascii="Arial" w:hAnsi="Arial"/>
          <w:i/>
          <w:sz w:val="22"/>
        </w:rPr>
      </w:pPr>
      <w:r>
        <w:rPr>
          <w:rFonts w:ascii="Arial" w:hAnsi="Arial"/>
          <w:i/>
          <w:sz w:val="22"/>
        </w:rPr>
        <w:t>Frente a la tasación de la sanción económica procederá el recurso de apelación que podrá ser interpuesto incluso por la víctima.</w:t>
      </w:r>
    </w:p>
    <w:p>
      <w:pPr>
        <w:spacing w:line="360" w:lineRule="auto" w:before="0"/>
        <w:ind w:left="1" w:right="248" w:firstLine="0"/>
        <w:jc w:val="left"/>
        <w:rPr>
          <w:rFonts w:ascii="Arial" w:hAnsi="Arial"/>
          <w:i/>
          <w:sz w:val="22"/>
        </w:rPr>
      </w:pPr>
      <w:r>
        <w:rPr>
          <w:rFonts w:ascii="Arial" w:hAnsi="Arial"/>
          <w:i/>
          <w:sz w:val="22"/>
        </w:rPr>
        <w:t>Los recursos obtenidos por concepto de sanciones económicas tendrán la destinación descrita en el artículo 42 de la presente ley.</w:t>
      </w:r>
    </w:p>
    <w:p>
      <w:pPr>
        <w:pStyle w:val="BodyText"/>
        <w:spacing w:before="124"/>
        <w:rPr>
          <w:rFonts w:ascii="Arial"/>
          <w:i/>
        </w:rPr>
      </w:pPr>
    </w:p>
    <w:p>
      <w:pPr>
        <w:spacing w:before="1"/>
        <w:ind w:left="1" w:right="0" w:firstLine="0"/>
        <w:jc w:val="left"/>
        <w:rPr>
          <w:sz w:val="22"/>
        </w:rPr>
      </w:pPr>
      <w:r>
        <w:rPr>
          <w:rFonts w:ascii="Arial" w:hAnsi="Arial"/>
          <w:b/>
          <w:sz w:val="22"/>
        </w:rPr>
        <w:t>Artículo</w:t>
      </w:r>
      <w:r>
        <w:rPr>
          <w:rFonts w:ascii="Arial" w:hAnsi="Arial"/>
          <w:b/>
          <w:spacing w:val="-5"/>
          <w:sz w:val="22"/>
        </w:rPr>
        <w:t> </w:t>
      </w:r>
      <w:r>
        <w:rPr>
          <w:rFonts w:ascii="Arial" w:hAnsi="Arial"/>
          <w:b/>
          <w:sz w:val="22"/>
        </w:rPr>
        <w:t>4°.</w:t>
      </w:r>
      <w:r>
        <w:rPr>
          <w:rFonts w:ascii="Arial" w:hAnsi="Arial"/>
          <w:b/>
          <w:spacing w:val="-4"/>
          <w:sz w:val="22"/>
        </w:rPr>
        <w:t> </w:t>
      </w:r>
      <w:r>
        <w:rPr>
          <w:rFonts w:ascii="Arial" w:hAnsi="Arial"/>
          <w:b/>
          <w:sz w:val="22"/>
        </w:rPr>
        <w:t>Vigencia. </w:t>
      </w:r>
      <w:r>
        <w:rPr>
          <w:sz w:val="22"/>
        </w:rPr>
        <w:t>La</w:t>
      </w:r>
      <w:r>
        <w:rPr>
          <w:spacing w:val="-3"/>
          <w:sz w:val="22"/>
        </w:rPr>
        <w:t> </w:t>
      </w:r>
      <w:r>
        <w:rPr>
          <w:sz w:val="22"/>
        </w:rPr>
        <w:t>presente</w:t>
      </w:r>
      <w:r>
        <w:rPr>
          <w:spacing w:val="-4"/>
          <w:sz w:val="22"/>
        </w:rPr>
        <w:t> </w:t>
      </w:r>
      <w:r>
        <w:rPr>
          <w:sz w:val="22"/>
        </w:rPr>
        <w:t>ley</w:t>
      </w:r>
      <w:r>
        <w:rPr>
          <w:spacing w:val="-1"/>
          <w:sz w:val="22"/>
        </w:rPr>
        <w:t> </w:t>
      </w:r>
      <w:r>
        <w:rPr>
          <w:sz w:val="22"/>
        </w:rPr>
        <w:t>rige</w:t>
      </w:r>
      <w:r>
        <w:rPr>
          <w:spacing w:val="-2"/>
          <w:sz w:val="22"/>
        </w:rPr>
        <w:t> </w:t>
      </w:r>
      <w:r>
        <w:rPr>
          <w:sz w:val="22"/>
        </w:rPr>
        <w:t>a</w:t>
      </w:r>
      <w:r>
        <w:rPr>
          <w:spacing w:val="-5"/>
          <w:sz w:val="22"/>
        </w:rPr>
        <w:t> </w:t>
      </w:r>
      <w:r>
        <w:rPr>
          <w:sz w:val="22"/>
        </w:rPr>
        <w:t>partir</w:t>
      </w:r>
      <w:r>
        <w:rPr>
          <w:spacing w:val="-1"/>
          <w:sz w:val="22"/>
        </w:rPr>
        <w:t> </w:t>
      </w:r>
      <w:r>
        <w:rPr>
          <w:sz w:val="22"/>
        </w:rPr>
        <w:t>de</w:t>
      </w:r>
      <w:r>
        <w:rPr>
          <w:spacing w:val="-5"/>
          <w:sz w:val="22"/>
        </w:rPr>
        <w:t> </w:t>
      </w:r>
      <w:r>
        <w:rPr>
          <w:sz w:val="22"/>
        </w:rPr>
        <w:t>su</w:t>
      </w:r>
      <w:r>
        <w:rPr>
          <w:spacing w:val="-2"/>
          <w:sz w:val="22"/>
        </w:rPr>
        <w:t> promulgación.</w:t>
      </w:r>
    </w:p>
    <w:p>
      <w:pPr>
        <w:pStyle w:val="BodyText"/>
      </w:pPr>
    </w:p>
    <w:p>
      <w:pPr>
        <w:pStyle w:val="BodyText"/>
      </w:pPr>
    </w:p>
    <w:p>
      <w:pPr>
        <w:pStyle w:val="BodyText"/>
      </w:pPr>
    </w:p>
    <w:p>
      <w:pPr>
        <w:pStyle w:val="BodyText"/>
      </w:pPr>
    </w:p>
    <w:p>
      <w:pPr>
        <w:pStyle w:val="BodyText"/>
      </w:pPr>
    </w:p>
    <w:p>
      <w:pPr>
        <w:pStyle w:val="BodyText"/>
        <w:spacing w:before="123"/>
      </w:pPr>
    </w:p>
    <w:p>
      <w:pPr>
        <w:pStyle w:val="Heading1"/>
      </w:pPr>
      <w:r>
        <w:rPr/>
        <w:t>ANDRÉS</w:t>
      </w:r>
      <w:r>
        <w:rPr>
          <w:spacing w:val="-3"/>
        </w:rPr>
        <w:t> </w:t>
      </w:r>
      <w:r>
        <w:rPr/>
        <w:t>FELIPE</w:t>
      </w:r>
      <w:r>
        <w:rPr>
          <w:spacing w:val="-4"/>
        </w:rPr>
        <w:t> </w:t>
      </w:r>
      <w:r>
        <w:rPr/>
        <w:t>GUERRA</w:t>
      </w:r>
      <w:r>
        <w:rPr>
          <w:spacing w:val="-2"/>
        </w:rPr>
        <w:t> </w:t>
      </w:r>
      <w:r>
        <w:rPr>
          <w:spacing w:val="-4"/>
        </w:rPr>
        <w:t>HOYOS</w:t>
      </w:r>
    </w:p>
    <w:p>
      <w:pPr>
        <w:pStyle w:val="BodyText"/>
        <w:spacing w:before="127"/>
        <w:ind w:left="1"/>
      </w:pPr>
      <w:r>
        <w:rPr/>
        <w:t>Representante</w:t>
      </w:r>
      <w:r>
        <w:rPr>
          <w:spacing w:val="-4"/>
        </w:rPr>
        <w:t> </w:t>
      </w:r>
      <w:r>
        <w:rPr/>
        <w:t>a</w:t>
      </w:r>
      <w:r>
        <w:rPr>
          <w:spacing w:val="-3"/>
        </w:rPr>
        <w:t> </w:t>
      </w:r>
      <w:r>
        <w:rPr/>
        <w:t>la</w:t>
      </w:r>
      <w:r>
        <w:rPr>
          <w:spacing w:val="-3"/>
        </w:rPr>
        <w:t> </w:t>
      </w:r>
      <w:r>
        <w:rPr>
          <w:spacing w:val="-2"/>
        </w:rPr>
        <w:t>Cámara</w:t>
      </w:r>
    </w:p>
    <w:sectPr>
      <w:pgSz w:w="12240" w:h="15840"/>
      <w:pgMar w:top="136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upperRoman"/>
      <w:lvlText w:val="%1."/>
      <w:lvlJc w:val="left"/>
      <w:pPr>
        <w:ind w:left="185" w:hanging="184"/>
        <w:jc w:val="left"/>
      </w:pPr>
      <w:rPr>
        <w:rFonts w:hint="default" w:ascii="Arial" w:hAnsi="Arial" w:eastAsia="Arial" w:cs="Arial"/>
        <w:b/>
        <w:bCs/>
        <w:i w:val="0"/>
        <w:iCs w:val="0"/>
        <w:spacing w:val="-2"/>
        <w:w w:val="100"/>
        <w:sz w:val="22"/>
        <w:szCs w:val="22"/>
        <w:lang w:val="es-ES" w:eastAsia="en-US" w:bidi="ar-SA"/>
      </w:rPr>
    </w:lvl>
    <w:lvl w:ilvl="1">
      <w:start w:val="1"/>
      <w:numFmt w:val="decimal"/>
      <w:lvlText w:val="%2."/>
      <w:lvlJc w:val="left"/>
      <w:pPr>
        <w:ind w:left="245" w:hanging="244"/>
        <w:jc w:val="left"/>
      </w:pPr>
      <w:rPr>
        <w:rFonts w:hint="default"/>
        <w:spacing w:val="-1"/>
        <w:w w:val="100"/>
        <w:lang w:val="es-ES" w:eastAsia="en-US" w:bidi="ar-SA"/>
      </w:rPr>
    </w:lvl>
    <w:lvl w:ilvl="2">
      <w:start w:val="0"/>
      <w:numFmt w:val="bullet"/>
      <w:lvlText w:val="•"/>
      <w:lvlJc w:val="left"/>
      <w:pPr>
        <w:ind w:left="1293" w:hanging="244"/>
      </w:pPr>
      <w:rPr>
        <w:rFonts w:hint="default"/>
        <w:lang w:val="es-ES" w:eastAsia="en-US" w:bidi="ar-SA"/>
      </w:rPr>
    </w:lvl>
    <w:lvl w:ilvl="3">
      <w:start w:val="0"/>
      <w:numFmt w:val="bullet"/>
      <w:lvlText w:val="•"/>
      <w:lvlJc w:val="left"/>
      <w:pPr>
        <w:ind w:left="2346" w:hanging="244"/>
      </w:pPr>
      <w:rPr>
        <w:rFonts w:hint="default"/>
        <w:lang w:val="es-ES" w:eastAsia="en-US" w:bidi="ar-SA"/>
      </w:rPr>
    </w:lvl>
    <w:lvl w:ilvl="4">
      <w:start w:val="0"/>
      <w:numFmt w:val="bullet"/>
      <w:lvlText w:val="•"/>
      <w:lvlJc w:val="left"/>
      <w:pPr>
        <w:ind w:left="3400" w:hanging="244"/>
      </w:pPr>
      <w:rPr>
        <w:rFonts w:hint="default"/>
        <w:lang w:val="es-ES" w:eastAsia="en-US" w:bidi="ar-SA"/>
      </w:rPr>
    </w:lvl>
    <w:lvl w:ilvl="5">
      <w:start w:val="0"/>
      <w:numFmt w:val="bullet"/>
      <w:lvlText w:val="•"/>
      <w:lvlJc w:val="left"/>
      <w:pPr>
        <w:ind w:left="4453" w:hanging="244"/>
      </w:pPr>
      <w:rPr>
        <w:rFonts w:hint="default"/>
        <w:lang w:val="es-ES" w:eastAsia="en-US" w:bidi="ar-SA"/>
      </w:rPr>
    </w:lvl>
    <w:lvl w:ilvl="6">
      <w:start w:val="0"/>
      <w:numFmt w:val="bullet"/>
      <w:lvlText w:val="•"/>
      <w:lvlJc w:val="left"/>
      <w:pPr>
        <w:ind w:left="5506" w:hanging="244"/>
      </w:pPr>
      <w:rPr>
        <w:rFonts w:hint="default"/>
        <w:lang w:val="es-ES" w:eastAsia="en-US" w:bidi="ar-SA"/>
      </w:rPr>
    </w:lvl>
    <w:lvl w:ilvl="7">
      <w:start w:val="0"/>
      <w:numFmt w:val="bullet"/>
      <w:lvlText w:val="•"/>
      <w:lvlJc w:val="left"/>
      <w:pPr>
        <w:ind w:left="6560" w:hanging="244"/>
      </w:pPr>
      <w:rPr>
        <w:rFonts w:hint="default"/>
        <w:lang w:val="es-ES" w:eastAsia="en-US" w:bidi="ar-SA"/>
      </w:rPr>
    </w:lvl>
    <w:lvl w:ilvl="8">
      <w:start w:val="0"/>
      <w:numFmt w:val="bullet"/>
      <w:lvlText w:val="•"/>
      <w:lvlJc w:val="left"/>
      <w:pPr>
        <w:ind w:left="7613" w:hanging="244"/>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s-ES" w:eastAsia="en-US" w:bidi="ar-SA"/>
    </w:rPr>
  </w:style>
  <w:style w:styleId="BodyText" w:type="paragraph">
    <w:name w:val="Body Text"/>
    <w:basedOn w:val="Normal"/>
    <w:uiPriority w:val="1"/>
    <w:qFormat/>
    <w:pPr/>
    <w:rPr>
      <w:rFonts w:ascii="Arial MT" w:hAnsi="Arial MT" w:eastAsia="Arial MT" w:cs="Arial MT"/>
      <w:sz w:val="22"/>
      <w:szCs w:val="22"/>
      <w:lang w:val="es-ES" w:eastAsia="en-US" w:bidi="ar-SA"/>
    </w:rPr>
  </w:style>
  <w:style w:styleId="Heading1" w:type="paragraph">
    <w:name w:val="Heading 1"/>
    <w:basedOn w:val="Normal"/>
    <w:uiPriority w:val="1"/>
    <w:qFormat/>
    <w:pPr>
      <w:ind w:left="1"/>
      <w:outlineLvl w:val="1"/>
    </w:pPr>
    <w:rPr>
      <w:rFonts w:ascii="Arial" w:hAnsi="Arial" w:eastAsia="Arial" w:cs="Arial"/>
      <w:b/>
      <w:bCs/>
      <w:sz w:val="22"/>
      <w:szCs w:val="22"/>
      <w:lang w:val="es-ES" w:eastAsia="en-US" w:bidi="ar-SA"/>
    </w:rPr>
  </w:style>
  <w:style w:styleId="Heading2" w:type="paragraph">
    <w:name w:val="Heading 2"/>
    <w:basedOn w:val="Normal"/>
    <w:uiPriority w:val="1"/>
    <w:qFormat/>
    <w:pPr>
      <w:ind w:left="1"/>
      <w:outlineLvl w:val="2"/>
    </w:pPr>
    <w:rPr>
      <w:rFonts w:ascii="Arial" w:hAnsi="Arial" w:eastAsia="Arial" w:cs="Arial"/>
      <w:b/>
      <w:bCs/>
      <w:sz w:val="22"/>
      <w:szCs w:val="22"/>
      <w:lang w:val="es-ES" w:eastAsia="en-US" w:bidi="ar-SA"/>
    </w:rPr>
  </w:style>
  <w:style w:styleId="ListParagraph" w:type="paragraph">
    <w:name w:val="List Paragraph"/>
    <w:basedOn w:val="Normal"/>
    <w:uiPriority w:val="1"/>
    <w:qFormat/>
    <w:pPr>
      <w:ind w:left="243" w:hanging="242"/>
    </w:pPr>
    <w:rPr>
      <w:rFonts w:ascii="Arial" w:hAnsi="Arial" w:eastAsia="Arial" w:cs="Arial"/>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dcterms:created xsi:type="dcterms:W3CDTF">2026-09-07T20:41:17Z</dcterms:created>
  <dcterms:modified xsi:type="dcterms:W3CDTF">2026-09-07T20:41:17Z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2026-08-11T00:00:00Z</vt:filetime>
  </property>
  <property fmtid="{D5CDD505-2E9C-101B-9397-08002B2CF9AE}" pid="4" name="Creator">
    <vt:lpwstr>Writer</vt:lpwstr>
  </property>
  <property fmtid="{D5CDD505-2E9C-101B-9397-08002B2CF9AE}" pid="5" name="Producer">
    <vt:lpwstr>LibreOffice 6.1</vt:lpwstr>
  </property>
  <property fmtid="{D5CDD505-2E9C-101B-9397-08002B2CF9AE}" pid="6" name="LastSaved">
    <vt:filetime>2026-08-11T00:00:00Z</vt:filetime>
  </property>
</Properties>
</file>