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446CB" w14:textId="77777777" w:rsidR="00861FE3" w:rsidRPr="00CF17A9" w:rsidRDefault="00C419A0">
      <w:pPr>
        <w:ind w:right="-136"/>
        <w:rPr>
          <w:rFonts w:ascii="Arial Narrow" w:eastAsia="Arial Narrow" w:hAnsi="Arial Narrow" w:cs="Arial Narrow"/>
        </w:rPr>
      </w:pPr>
      <w:r w:rsidRPr="00CF17A9">
        <w:rPr>
          <w:rFonts w:ascii="Arial Narrow" w:eastAsia="Arial Narrow" w:hAnsi="Arial Narrow" w:cs="Arial Narrow"/>
        </w:rPr>
        <w:t>Bogotá, DC.</w:t>
      </w:r>
      <w:r w:rsidRPr="005A6511">
        <w:rPr>
          <w:rFonts w:ascii="Arial Narrow" w:eastAsia="Arial Narrow" w:hAnsi="Arial Narrow" w:cs="Arial Narrow"/>
        </w:rPr>
        <w:t xml:space="preserve"> </w:t>
      </w:r>
      <w:r w:rsidRPr="00CF17A9">
        <w:rPr>
          <w:rFonts w:ascii="Arial Narrow" w:eastAsia="Arial Narrow" w:hAnsi="Arial Narrow" w:cs="Arial Narrow"/>
        </w:rPr>
        <w:t>agosto 18 de 2026.</w:t>
      </w:r>
    </w:p>
    <w:p w14:paraId="5DFCDB12" w14:textId="77777777" w:rsidR="00861FE3" w:rsidRPr="00CF17A9" w:rsidRDefault="00861FE3" w:rsidP="005B46B1">
      <w:pPr>
        <w:ind w:left="720" w:right="-136" w:hanging="720"/>
        <w:rPr>
          <w:rFonts w:ascii="Arial Narrow" w:eastAsia="Arial Narrow" w:hAnsi="Arial Narrow" w:cs="Arial Narrow"/>
        </w:rPr>
      </w:pPr>
    </w:p>
    <w:p w14:paraId="486D2F29" w14:textId="77777777" w:rsidR="00861FE3" w:rsidRPr="00CF17A9" w:rsidRDefault="00C419A0">
      <w:pPr>
        <w:spacing w:after="0"/>
        <w:ind w:right="-136"/>
        <w:rPr>
          <w:rFonts w:ascii="Arial Narrow" w:eastAsia="Arial Narrow" w:hAnsi="Arial Narrow" w:cs="Arial Narrow"/>
        </w:rPr>
      </w:pPr>
      <w:r w:rsidRPr="00CF17A9">
        <w:rPr>
          <w:rFonts w:ascii="Arial Narrow" w:eastAsia="Arial Narrow" w:hAnsi="Arial Narrow" w:cs="Arial Narrow"/>
        </w:rPr>
        <w:t>Honorable Representante</w:t>
      </w:r>
    </w:p>
    <w:p w14:paraId="1FB707C5" w14:textId="781226E0" w:rsidR="00861FE3" w:rsidRPr="00CF17A9" w:rsidRDefault="00C419A0">
      <w:pPr>
        <w:spacing w:after="0"/>
        <w:ind w:right="-136"/>
        <w:rPr>
          <w:rFonts w:ascii="Arial Narrow" w:eastAsia="Arial Narrow" w:hAnsi="Arial Narrow" w:cs="Arial Narrow"/>
          <w:b/>
          <w:bCs/>
        </w:rPr>
      </w:pPr>
      <w:r w:rsidRPr="00CF17A9">
        <w:rPr>
          <w:rFonts w:ascii="Arial Narrow" w:eastAsia="Arial Narrow" w:hAnsi="Arial Narrow" w:cs="Arial Narrow"/>
          <w:b/>
          <w:bCs/>
        </w:rPr>
        <w:t>J</w:t>
      </w:r>
      <w:r w:rsidR="00BE0B6B" w:rsidRPr="00CF17A9">
        <w:rPr>
          <w:rFonts w:ascii="Arial Narrow" w:eastAsia="Arial Narrow" w:hAnsi="Arial Narrow" w:cs="Arial Narrow"/>
          <w:b/>
          <w:bCs/>
        </w:rPr>
        <w:t xml:space="preserve">osé </w:t>
      </w:r>
      <w:r w:rsidRPr="00CF17A9">
        <w:rPr>
          <w:rFonts w:ascii="Arial Narrow" w:eastAsia="Arial Narrow" w:hAnsi="Arial Narrow" w:cs="Arial Narrow"/>
          <w:b/>
          <w:bCs/>
        </w:rPr>
        <w:t>J</w:t>
      </w:r>
      <w:r w:rsidR="00BE0B6B" w:rsidRPr="00CF17A9">
        <w:rPr>
          <w:rFonts w:ascii="Arial Narrow" w:eastAsia="Arial Narrow" w:hAnsi="Arial Narrow" w:cs="Arial Narrow"/>
          <w:b/>
          <w:bCs/>
        </w:rPr>
        <w:t>aime</w:t>
      </w:r>
      <w:r w:rsidRPr="00CF17A9">
        <w:rPr>
          <w:rFonts w:ascii="Arial Narrow" w:eastAsia="Arial Narrow" w:hAnsi="Arial Narrow" w:cs="Arial Narrow"/>
          <w:b/>
          <w:bCs/>
        </w:rPr>
        <w:t xml:space="preserve"> </w:t>
      </w:r>
      <w:r w:rsidR="00BE0B6B" w:rsidRPr="00CF17A9">
        <w:rPr>
          <w:rFonts w:ascii="Arial Narrow" w:eastAsia="Arial Narrow" w:hAnsi="Arial Narrow" w:cs="Arial Narrow"/>
          <w:b/>
          <w:bCs/>
        </w:rPr>
        <w:t>Uscátegui</w:t>
      </w:r>
      <w:r w:rsidRPr="00CF17A9">
        <w:rPr>
          <w:rFonts w:ascii="Arial Narrow" w:eastAsia="Arial Narrow" w:hAnsi="Arial Narrow" w:cs="Arial Narrow"/>
          <w:b/>
          <w:bCs/>
        </w:rPr>
        <w:t xml:space="preserve"> P</w:t>
      </w:r>
      <w:r w:rsidR="00BE0B6B" w:rsidRPr="00CF17A9">
        <w:rPr>
          <w:rFonts w:ascii="Arial Narrow" w:eastAsia="Arial Narrow" w:hAnsi="Arial Narrow" w:cs="Arial Narrow"/>
          <w:b/>
          <w:bCs/>
        </w:rPr>
        <w:t>astrana</w:t>
      </w:r>
      <w:r w:rsidRPr="00CF17A9">
        <w:rPr>
          <w:rFonts w:ascii="Arial Narrow" w:eastAsia="Arial Narrow" w:hAnsi="Arial Narrow" w:cs="Arial Narrow"/>
          <w:b/>
          <w:bCs/>
        </w:rPr>
        <w:t xml:space="preserve"> </w:t>
      </w:r>
    </w:p>
    <w:p w14:paraId="4BB1DC2B" w14:textId="77777777" w:rsidR="00861FE3" w:rsidRPr="00CF17A9" w:rsidRDefault="00C419A0">
      <w:pPr>
        <w:spacing w:after="0"/>
        <w:ind w:right="-136"/>
        <w:rPr>
          <w:rFonts w:ascii="Arial Narrow" w:eastAsia="Arial Narrow" w:hAnsi="Arial Narrow" w:cs="Arial Narrow"/>
        </w:rPr>
      </w:pPr>
      <w:r w:rsidRPr="00CF17A9">
        <w:rPr>
          <w:rFonts w:ascii="Arial Narrow" w:eastAsia="Arial Narrow" w:hAnsi="Arial Narrow" w:cs="Arial Narrow"/>
        </w:rPr>
        <w:t>Presidente</w:t>
      </w:r>
    </w:p>
    <w:p w14:paraId="01584207" w14:textId="77777777" w:rsidR="00861FE3" w:rsidRPr="00CF17A9" w:rsidRDefault="00C419A0">
      <w:pPr>
        <w:spacing w:after="0"/>
        <w:ind w:right="-136"/>
        <w:rPr>
          <w:rFonts w:ascii="Arial Narrow" w:eastAsia="Arial Narrow" w:hAnsi="Arial Narrow" w:cs="Arial Narrow"/>
          <w:b/>
          <w:bCs/>
        </w:rPr>
      </w:pPr>
      <w:r w:rsidRPr="00CF17A9">
        <w:rPr>
          <w:rFonts w:ascii="Arial Narrow" w:eastAsia="Arial Narrow" w:hAnsi="Arial Narrow" w:cs="Arial Narrow"/>
          <w:b/>
          <w:bCs/>
        </w:rPr>
        <w:t>Comisión Primera Constitucional</w:t>
      </w:r>
    </w:p>
    <w:p w14:paraId="31E9C94E" w14:textId="77777777" w:rsidR="00861FE3" w:rsidRPr="00CF17A9" w:rsidRDefault="00C419A0">
      <w:pPr>
        <w:spacing w:after="0"/>
        <w:ind w:right="-136"/>
        <w:rPr>
          <w:rFonts w:ascii="Arial Narrow" w:eastAsia="Arial Narrow" w:hAnsi="Arial Narrow" w:cs="Arial Narrow"/>
        </w:rPr>
      </w:pPr>
      <w:r w:rsidRPr="00CF17A9">
        <w:rPr>
          <w:rFonts w:ascii="Arial Narrow" w:eastAsia="Arial Narrow" w:hAnsi="Arial Narrow" w:cs="Arial Narrow"/>
        </w:rPr>
        <w:t>Cámara de Representantes</w:t>
      </w:r>
    </w:p>
    <w:p w14:paraId="70DC891B" w14:textId="77777777" w:rsidR="00861FE3" w:rsidRPr="00CF17A9" w:rsidRDefault="00861FE3">
      <w:pPr>
        <w:ind w:right="-136"/>
        <w:rPr>
          <w:rFonts w:ascii="Arial Narrow" w:eastAsia="Arial Narrow" w:hAnsi="Arial Narrow" w:cs="Arial Narrow"/>
        </w:rPr>
      </w:pPr>
    </w:p>
    <w:p w14:paraId="5784B8FF" w14:textId="77777777" w:rsidR="00861FE3" w:rsidRPr="00CF17A9" w:rsidRDefault="00C419A0">
      <w:pPr>
        <w:spacing w:after="0"/>
        <w:ind w:right="-136"/>
        <w:rPr>
          <w:rFonts w:ascii="Arial Narrow" w:eastAsia="Arial Narrow" w:hAnsi="Arial Narrow" w:cs="Arial Narrow"/>
        </w:rPr>
      </w:pPr>
      <w:r w:rsidRPr="00CF17A9">
        <w:rPr>
          <w:rFonts w:ascii="Arial Narrow" w:eastAsia="Arial Narrow" w:hAnsi="Arial Narrow" w:cs="Arial Narrow"/>
        </w:rPr>
        <w:t>Doctora</w:t>
      </w:r>
    </w:p>
    <w:p w14:paraId="19B9EB53" w14:textId="6BCEA7CA" w:rsidR="00861FE3" w:rsidRPr="00CF17A9" w:rsidRDefault="00C419A0">
      <w:pPr>
        <w:spacing w:after="0"/>
        <w:ind w:right="-136"/>
        <w:rPr>
          <w:rFonts w:ascii="Arial Narrow" w:eastAsia="Arial Narrow" w:hAnsi="Arial Narrow" w:cs="Arial Narrow"/>
          <w:b/>
          <w:bCs/>
        </w:rPr>
      </w:pPr>
      <w:r w:rsidRPr="00CF17A9">
        <w:rPr>
          <w:rFonts w:ascii="Arial Narrow" w:eastAsia="Arial Narrow" w:hAnsi="Arial Narrow" w:cs="Arial Narrow"/>
          <w:b/>
          <w:bCs/>
        </w:rPr>
        <w:t xml:space="preserve">Amparo </w:t>
      </w:r>
      <w:r w:rsidR="00431D41" w:rsidRPr="00CF17A9">
        <w:rPr>
          <w:rFonts w:ascii="Arial Narrow" w:eastAsia="Arial Narrow" w:hAnsi="Arial Narrow" w:cs="Arial Narrow"/>
          <w:b/>
          <w:bCs/>
        </w:rPr>
        <w:t>Calderón</w:t>
      </w:r>
    </w:p>
    <w:p w14:paraId="0C859D15" w14:textId="77777777" w:rsidR="00861FE3" w:rsidRPr="00CF17A9" w:rsidRDefault="00C419A0">
      <w:pPr>
        <w:tabs>
          <w:tab w:val="left" w:pos="1905"/>
        </w:tabs>
        <w:spacing w:after="0"/>
        <w:ind w:right="-136"/>
        <w:rPr>
          <w:rFonts w:ascii="Arial Narrow" w:eastAsia="Arial Narrow" w:hAnsi="Arial Narrow" w:cs="Arial Narrow"/>
        </w:rPr>
      </w:pPr>
      <w:r w:rsidRPr="00CF17A9">
        <w:rPr>
          <w:rFonts w:ascii="Arial Narrow" w:eastAsia="Arial Narrow" w:hAnsi="Arial Narrow" w:cs="Arial Narrow"/>
        </w:rPr>
        <w:t xml:space="preserve">Secretaria </w:t>
      </w:r>
      <w:r w:rsidRPr="00CF17A9">
        <w:rPr>
          <w:rFonts w:ascii="Arial Narrow" w:eastAsia="Arial Narrow" w:hAnsi="Arial Narrow" w:cs="Arial Narrow"/>
        </w:rPr>
        <w:tab/>
      </w:r>
    </w:p>
    <w:p w14:paraId="7CE7DE81" w14:textId="77777777" w:rsidR="00861FE3" w:rsidRPr="00CF17A9" w:rsidRDefault="00C419A0">
      <w:pPr>
        <w:spacing w:after="0"/>
        <w:ind w:right="-136"/>
        <w:rPr>
          <w:rFonts w:ascii="Arial Narrow" w:eastAsia="Arial Narrow" w:hAnsi="Arial Narrow" w:cs="Arial Narrow"/>
          <w:b/>
          <w:bCs/>
        </w:rPr>
      </w:pPr>
      <w:r w:rsidRPr="00CF17A9">
        <w:rPr>
          <w:rFonts w:ascii="Arial Narrow" w:eastAsia="Arial Narrow" w:hAnsi="Arial Narrow" w:cs="Arial Narrow"/>
          <w:b/>
          <w:bCs/>
        </w:rPr>
        <w:t>Comisión Primera Constitucional</w:t>
      </w:r>
    </w:p>
    <w:p w14:paraId="664FFDB0" w14:textId="77777777" w:rsidR="00861FE3" w:rsidRPr="00CF17A9" w:rsidRDefault="00C419A0">
      <w:pPr>
        <w:spacing w:after="0"/>
        <w:ind w:right="-136"/>
        <w:rPr>
          <w:rFonts w:ascii="Arial Narrow" w:eastAsia="Arial Narrow" w:hAnsi="Arial Narrow" w:cs="Arial Narrow"/>
        </w:rPr>
      </w:pPr>
      <w:r w:rsidRPr="00CF17A9">
        <w:rPr>
          <w:rFonts w:ascii="Arial Narrow" w:eastAsia="Arial Narrow" w:hAnsi="Arial Narrow" w:cs="Arial Narrow"/>
        </w:rPr>
        <w:t>Cámara de Representantes</w:t>
      </w:r>
    </w:p>
    <w:p w14:paraId="25C42879" w14:textId="77777777" w:rsidR="00861FE3" w:rsidRPr="00CF17A9" w:rsidRDefault="00861FE3">
      <w:pPr>
        <w:ind w:right="-136"/>
        <w:rPr>
          <w:rFonts w:ascii="Arial Narrow" w:eastAsia="Arial Narrow" w:hAnsi="Arial Narrow" w:cs="Arial Narrow"/>
        </w:rPr>
      </w:pPr>
    </w:p>
    <w:p w14:paraId="71517422" w14:textId="77777777" w:rsidR="00861FE3" w:rsidRPr="00CF17A9" w:rsidRDefault="00C419A0">
      <w:pPr>
        <w:pBdr>
          <w:top w:val="nil"/>
          <w:left w:val="nil"/>
          <w:bottom w:val="nil"/>
          <w:right w:val="nil"/>
          <w:between w:val="nil"/>
        </w:pBdr>
        <w:spacing w:after="0" w:line="240" w:lineRule="auto"/>
        <w:jc w:val="both"/>
        <w:rPr>
          <w:rFonts w:ascii="Arial Narrow" w:eastAsia="Arial Narrow" w:hAnsi="Arial Narrow" w:cs="Arial Narrow"/>
          <w:color w:val="000000"/>
        </w:rPr>
      </w:pPr>
      <w:r w:rsidRPr="00CF17A9">
        <w:rPr>
          <w:rFonts w:ascii="Arial Narrow" w:eastAsia="Arial Narrow" w:hAnsi="Arial Narrow" w:cs="Arial Narrow"/>
          <w:b/>
          <w:bCs/>
          <w:color w:val="000000"/>
        </w:rPr>
        <w:t xml:space="preserve">Asunto: </w:t>
      </w:r>
      <w:r w:rsidRPr="00CF17A9">
        <w:rPr>
          <w:rFonts w:ascii="Arial Narrow" w:eastAsia="Arial Narrow" w:hAnsi="Arial Narrow" w:cs="Arial Narrow"/>
        </w:rPr>
        <w:t>Po</w:t>
      </w:r>
      <w:r w:rsidRPr="00CF17A9">
        <w:rPr>
          <w:rFonts w:ascii="Arial Narrow" w:eastAsia="Arial Narrow" w:hAnsi="Arial Narrow" w:cs="Arial Narrow"/>
          <w:color w:val="000000"/>
        </w:rPr>
        <w:t xml:space="preserve">nencia para primer debate </w:t>
      </w:r>
      <w:r w:rsidRPr="00CF17A9">
        <w:rPr>
          <w:rFonts w:ascii="Arial Narrow" w:eastAsia="Arial Narrow" w:hAnsi="Arial Narrow" w:cs="Arial Narrow"/>
        </w:rPr>
        <w:t xml:space="preserve">al </w:t>
      </w:r>
      <w:r w:rsidRPr="00CF17A9">
        <w:rPr>
          <w:rFonts w:ascii="Arial Narrow" w:eastAsia="Arial Narrow" w:hAnsi="Arial Narrow" w:cs="Arial Narrow"/>
          <w:b/>
          <w:bCs/>
          <w:color w:val="000000"/>
        </w:rPr>
        <w:t xml:space="preserve">Proyecto de Ley No. </w:t>
      </w:r>
      <w:r w:rsidRPr="00CF17A9">
        <w:rPr>
          <w:rFonts w:ascii="Arial Narrow" w:eastAsia="Arial Narrow" w:hAnsi="Arial Narrow" w:cs="Arial Narrow"/>
          <w:b/>
          <w:bCs/>
        </w:rPr>
        <w:t xml:space="preserve">023 </w:t>
      </w:r>
      <w:r w:rsidRPr="00CF17A9">
        <w:rPr>
          <w:rFonts w:ascii="Arial Narrow" w:eastAsia="Arial Narrow" w:hAnsi="Arial Narrow" w:cs="Arial Narrow"/>
          <w:b/>
          <w:bCs/>
          <w:color w:val="000000"/>
        </w:rPr>
        <w:t>de 2026</w:t>
      </w:r>
      <w:r w:rsidRPr="00CF17A9">
        <w:rPr>
          <w:rFonts w:ascii="Arial Narrow" w:eastAsia="Arial Narrow" w:hAnsi="Arial Narrow" w:cs="Arial Narrow"/>
          <w:color w:val="000000"/>
        </w:rPr>
        <w:t>, Cámara,</w:t>
      </w:r>
      <w:r w:rsidRPr="00CF17A9">
        <w:rPr>
          <w:rFonts w:ascii="Arial Narrow" w:eastAsia="Arial Narrow" w:hAnsi="Arial Narrow" w:cs="Arial Narrow"/>
        </w:rPr>
        <w:t xml:space="preserve"> </w:t>
      </w:r>
      <w:r w:rsidRPr="00CF17A9">
        <w:rPr>
          <w:rFonts w:ascii="Arial Narrow" w:eastAsia="Arial Narrow" w:hAnsi="Arial Narrow" w:cs="Arial Narrow"/>
          <w:b/>
          <w:bCs/>
        </w:rPr>
        <w:t>“</w:t>
      </w:r>
      <w:r w:rsidRPr="00CF17A9">
        <w:rPr>
          <w:rFonts w:ascii="Arial Narrow" w:eastAsia="Arial Narrow" w:hAnsi="Arial Narrow" w:cs="Arial Narrow"/>
          <w:i/>
          <w:iCs/>
        </w:rPr>
        <w:t>Por medio de la cual se modifican y adicionan disposiciones de la Ley 599 de 2000, con el fin de sancionar la utilización del ocultamiento de identid</w:t>
      </w:r>
      <w:r w:rsidRPr="00CF17A9">
        <w:rPr>
          <w:rFonts w:ascii="Arial Narrow" w:eastAsia="Arial Narrow" w:hAnsi="Arial Narrow" w:cs="Arial Narrow"/>
          <w:i/>
          <w:iCs/>
        </w:rPr>
        <w:t>ad para facilitar la comisión de conductas punibles en el contexto de manifestaciones públicas, y se dictan otras disposiciones - Ley Anti Capuchos</w:t>
      </w:r>
      <w:r w:rsidRPr="00CF17A9">
        <w:rPr>
          <w:rFonts w:ascii="Arial Narrow" w:eastAsia="Arial Narrow" w:hAnsi="Arial Narrow" w:cs="Arial Narrow"/>
          <w:b/>
          <w:bCs/>
        </w:rPr>
        <w:t>”.</w:t>
      </w:r>
    </w:p>
    <w:p w14:paraId="5CE135CF" w14:textId="77777777" w:rsidR="00861FE3" w:rsidRPr="00CF17A9" w:rsidRDefault="00861FE3">
      <w:pPr>
        <w:ind w:right="-136"/>
        <w:rPr>
          <w:rFonts w:ascii="Arial Narrow" w:eastAsia="Arial Narrow" w:hAnsi="Arial Narrow" w:cs="Arial Narrow"/>
        </w:rPr>
      </w:pPr>
    </w:p>
    <w:p w14:paraId="46DA30F9" w14:textId="1009D98F" w:rsidR="00861FE3" w:rsidRPr="00CF17A9" w:rsidRDefault="00C419A0">
      <w:pPr>
        <w:ind w:right="-136"/>
        <w:rPr>
          <w:rFonts w:ascii="Arial Narrow" w:eastAsia="Arial Narrow" w:hAnsi="Arial Narrow" w:cs="Arial Narrow"/>
        </w:rPr>
      </w:pPr>
      <w:r w:rsidRPr="00CF17A9">
        <w:rPr>
          <w:rFonts w:ascii="Arial Narrow" w:eastAsia="Arial Narrow" w:hAnsi="Arial Narrow" w:cs="Arial Narrow"/>
        </w:rPr>
        <w:t xml:space="preserve">Honorable </w:t>
      </w:r>
      <w:r w:rsidR="00431D41" w:rsidRPr="00CF17A9">
        <w:rPr>
          <w:rFonts w:ascii="Arial Narrow" w:eastAsia="Arial Narrow" w:hAnsi="Arial Narrow" w:cs="Arial Narrow"/>
        </w:rPr>
        <w:t>p</w:t>
      </w:r>
      <w:r w:rsidRPr="00CF17A9">
        <w:rPr>
          <w:rFonts w:ascii="Arial Narrow" w:eastAsia="Arial Narrow" w:hAnsi="Arial Narrow" w:cs="Arial Narrow"/>
        </w:rPr>
        <w:t>residente</w:t>
      </w:r>
      <w:r w:rsidR="005A6511" w:rsidRPr="00CF17A9">
        <w:rPr>
          <w:rFonts w:ascii="Arial Narrow" w:eastAsia="Arial Narrow" w:hAnsi="Arial Narrow" w:cs="Arial Narrow"/>
        </w:rPr>
        <w:t>.</w:t>
      </w:r>
    </w:p>
    <w:p w14:paraId="3B959414" w14:textId="77777777" w:rsidR="00861FE3" w:rsidRPr="00CF17A9" w:rsidRDefault="00C419A0">
      <w:pPr>
        <w:ind w:right="-136"/>
        <w:jc w:val="both"/>
        <w:rPr>
          <w:rFonts w:ascii="Arial Narrow" w:eastAsia="Arial Narrow" w:hAnsi="Arial Narrow" w:cs="Arial Narrow"/>
          <w:i/>
          <w:iCs/>
        </w:rPr>
      </w:pPr>
      <w:r w:rsidRPr="00CF17A9">
        <w:rPr>
          <w:rFonts w:ascii="Arial Narrow" w:eastAsia="Arial Narrow" w:hAnsi="Arial Narrow" w:cs="Arial Narrow"/>
        </w:rPr>
        <w:t>De conformidad con lo dispuesto en</w:t>
      </w:r>
      <w:r w:rsidRPr="00CF17A9">
        <w:rPr>
          <w:rFonts w:ascii="Arial Narrow" w:eastAsia="Arial Narrow" w:hAnsi="Arial Narrow" w:cs="Arial Narrow"/>
        </w:rPr>
        <w:t xml:space="preserve"> los artículos 174 y 175 de la Ley 5 de 1992 y en estación a la designación efectuada por la Mesa Directiva de la Honorable Comisión Primera Constitucional Permanente de la Cámara de Representantes, presento informe de Ponencia para primer debate al Proyec</w:t>
      </w:r>
      <w:r w:rsidRPr="00CF17A9">
        <w:rPr>
          <w:rFonts w:ascii="Arial Narrow" w:eastAsia="Arial Narrow" w:hAnsi="Arial Narrow" w:cs="Arial Narrow"/>
        </w:rPr>
        <w:t xml:space="preserve">to de Ley No. 023 de 2026, Cámara, </w:t>
      </w:r>
      <w:r w:rsidRPr="00CF17A9">
        <w:rPr>
          <w:rFonts w:ascii="Arial Narrow" w:eastAsia="Arial Narrow" w:hAnsi="Arial Narrow" w:cs="Arial Narrow"/>
          <w:i/>
          <w:iCs/>
        </w:rPr>
        <w:t>“Por medio de la cual se modifican y adicionan disposiciones de la Ley 599 de 2000, con el fin de sancionar la utilización del ocultamiento de identidad para facilitar la comisión de conductas punibles en el contexto de m</w:t>
      </w:r>
      <w:r w:rsidRPr="00CF17A9">
        <w:rPr>
          <w:rFonts w:ascii="Arial Narrow" w:eastAsia="Arial Narrow" w:hAnsi="Arial Narrow" w:cs="Arial Narrow"/>
          <w:i/>
          <w:iCs/>
        </w:rPr>
        <w:t>anifestaciones públicas, y se dictan otras disposiciones - Ley Anti Capuchos”.</w:t>
      </w:r>
    </w:p>
    <w:p w14:paraId="745E9203" w14:textId="77777777" w:rsidR="00861FE3" w:rsidRPr="00CF17A9" w:rsidRDefault="00861FE3">
      <w:pPr>
        <w:ind w:right="-136"/>
        <w:jc w:val="both"/>
        <w:rPr>
          <w:rFonts w:ascii="Arial Narrow" w:eastAsia="Arial Narrow" w:hAnsi="Arial Narrow" w:cs="Arial Narrow"/>
        </w:rPr>
      </w:pPr>
    </w:p>
    <w:p w14:paraId="6B14799E" w14:textId="77777777" w:rsidR="00861FE3" w:rsidRPr="00CF17A9" w:rsidRDefault="00C419A0">
      <w:pPr>
        <w:ind w:right="-136"/>
        <w:rPr>
          <w:rFonts w:ascii="Arial Narrow" w:eastAsia="Arial Narrow" w:hAnsi="Arial Narrow" w:cs="Arial Narrow"/>
        </w:rPr>
      </w:pPr>
      <w:r w:rsidRPr="00CF17A9">
        <w:rPr>
          <w:rFonts w:ascii="Arial Narrow" w:eastAsia="Arial Narrow" w:hAnsi="Arial Narrow" w:cs="Arial Narrow"/>
        </w:rPr>
        <w:t xml:space="preserve">Cordialmente, </w:t>
      </w:r>
    </w:p>
    <w:p w14:paraId="0B8A9E69" w14:textId="77777777" w:rsidR="00861FE3" w:rsidRPr="00CF17A9" w:rsidRDefault="00861FE3">
      <w:pPr>
        <w:ind w:right="-136"/>
        <w:rPr>
          <w:rFonts w:ascii="Arial Narrow" w:eastAsia="Arial Narrow" w:hAnsi="Arial Narrow" w:cs="Arial Narrow"/>
        </w:rPr>
      </w:pPr>
    </w:p>
    <w:p w14:paraId="5FEBC6EF" w14:textId="1FF9496F" w:rsidR="00861FE3" w:rsidRPr="00CF17A9" w:rsidRDefault="00C419A0">
      <w:pPr>
        <w:pBdr>
          <w:top w:val="nil"/>
          <w:left w:val="nil"/>
          <w:bottom w:val="nil"/>
          <w:right w:val="nil"/>
          <w:between w:val="nil"/>
        </w:pBdr>
        <w:spacing w:after="0" w:line="240" w:lineRule="auto"/>
        <w:jc w:val="both"/>
        <w:rPr>
          <w:rFonts w:ascii="Arial Narrow" w:eastAsia="Arial Narrow" w:hAnsi="Arial Narrow" w:cs="Arial Narrow"/>
          <w:b/>
          <w:bCs/>
        </w:rPr>
      </w:pPr>
      <w:r w:rsidRPr="00CF17A9">
        <w:rPr>
          <w:rFonts w:ascii="Arial Narrow" w:eastAsia="Arial Narrow" w:hAnsi="Arial Narrow" w:cs="Arial Narrow"/>
          <w:b/>
          <w:bCs/>
        </w:rPr>
        <w:t xml:space="preserve">Jaime Ignacio Arizabaleta </w:t>
      </w:r>
      <w:r w:rsidR="00BE0B6B" w:rsidRPr="00CF17A9">
        <w:rPr>
          <w:rFonts w:ascii="Arial Narrow" w:eastAsia="Arial Narrow" w:hAnsi="Arial Narrow" w:cs="Arial Narrow"/>
          <w:b/>
          <w:bCs/>
        </w:rPr>
        <w:t>Fajardo.</w:t>
      </w:r>
    </w:p>
    <w:p w14:paraId="733B9FC7" w14:textId="64EC02C9" w:rsidR="00861FE3" w:rsidRPr="00CF17A9" w:rsidRDefault="00C419A0">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Representante a la Cámara</w:t>
      </w:r>
    </w:p>
    <w:p w14:paraId="4D33CFEE" w14:textId="333C95A1" w:rsidR="005A6511" w:rsidRPr="00CF17A9" w:rsidRDefault="005A6511">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Departamento del Valle del Cauca</w:t>
      </w:r>
    </w:p>
    <w:p w14:paraId="516D9725" w14:textId="77777777" w:rsidR="00861FE3" w:rsidRPr="00CF17A9" w:rsidRDefault="00C419A0">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 xml:space="preserve">Centro Democrático </w:t>
      </w:r>
    </w:p>
    <w:p w14:paraId="744C3809"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b/>
          <w:bCs/>
        </w:rPr>
      </w:pPr>
    </w:p>
    <w:p w14:paraId="2B0EAA0E"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b/>
          <w:bCs/>
        </w:rPr>
      </w:pPr>
    </w:p>
    <w:p w14:paraId="6C9EAD6E"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b/>
          <w:bCs/>
        </w:rPr>
      </w:pPr>
    </w:p>
    <w:p w14:paraId="3A8A1212"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b/>
          <w:bCs/>
        </w:rPr>
      </w:pPr>
    </w:p>
    <w:p w14:paraId="5DE3FE2D"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b/>
          <w:bCs/>
        </w:rPr>
      </w:pPr>
    </w:p>
    <w:p w14:paraId="0E9AE2B0" w14:textId="77777777" w:rsidR="00861FE3" w:rsidRPr="00CF17A9" w:rsidRDefault="00C419A0" w:rsidP="00BE0B6B">
      <w:pPr>
        <w:pBdr>
          <w:top w:val="nil"/>
          <w:left w:val="nil"/>
          <w:bottom w:val="nil"/>
          <w:right w:val="nil"/>
          <w:between w:val="nil"/>
        </w:pBdr>
        <w:spacing w:after="0" w:line="240" w:lineRule="auto"/>
        <w:rPr>
          <w:rFonts w:ascii="Arial Narrow" w:eastAsia="Arial Narrow" w:hAnsi="Arial Narrow" w:cs="Arial Narrow"/>
          <w:color w:val="000000"/>
        </w:rPr>
      </w:pPr>
      <w:r w:rsidRPr="00CF17A9">
        <w:rPr>
          <w:rFonts w:ascii="Arial Narrow" w:eastAsia="Arial Narrow" w:hAnsi="Arial Narrow" w:cs="Arial Narrow"/>
          <w:b/>
          <w:bCs/>
          <w:color w:val="000000"/>
        </w:rPr>
        <w:t>INFORME DE PONENCIA PARA PRIMER DEBATE DEL PROYECTO DE LEY N</w:t>
      </w:r>
      <w:r w:rsidRPr="00CF17A9">
        <w:rPr>
          <w:rFonts w:ascii="Arial Narrow" w:eastAsia="Arial Narrow" w:hAnsi="Arial Narrow" w:cs="Arial Narrow"/>
          <w:b/>
          <w:bCs/>
        </w:rPr>
        <w:t xml:space="preserve">o. 023 </w:t>
      </w:r>
      <w:r w:rsidRPr="00CF17A9">
        <w:rPr>
          <w:rFonts w:ascii="Arial Narrow" w:eastAsia="Arial Narrow" w:hAnsi="Arial Narrow" w:cs="Arial Narrow"/>
          <w:b/>
          <w:bCs/>
          <w:color w:val="000000"/>
        </w:rPr>
        <w:t>de 2026</w:t>
      </w:r>
      <w:r w:rsidRPr="00CF17A9">
        <w:rPr>
          <w:rFonts w:ascii="Arial Narrow" w:eastAsia="Arial Narrow" w:hAnsi="Arial Narrow" w:cs="Arial Narrow"/>
          <w:b/>
          <w:bCs/>
        </w:rPr>
        <w:t xml:space="preserve"> - CÁMARA.</w:t>
      </w:r>
    </w:p>
    <w:p w14:paraId="66F72159" w14:textId="77777777" w:rsidR="00861FE3" w:rsidRPr="00CF17A9" w:rsidRDefault="00861FE3">
      <w:pPr>
        <w:pBdr>
          <w:top w:val="nil"/>
          <w:left w:val="nil"/>
          <w:bottom w:val="nil"/>
          <w:right w:val="nil"/>
          <w:between w:val="nil"/>
        </w:pBdr>
        <w:spacing w:after="0" w:line="240" w:lineRule="auto"/>
        <w:jc w:val="center"/>
        <w:rPr>
          <w:rFonts w:ascii="Arial Narrow" w:eastAsia="Arial Narrow" w:hAnsi="Arial Narrow" w:cs="Arial Narrow"/>
          <w:color w:val="000000"/>
        </w:rPr>
      </w:pPr>
    </w:p>
    <w:p w14:paraId="31C74201" w14:textId="77777777" w:rsidR="00861FE3" w:rsidRPr="00CF17A9" w:rsidRDefault="00C419A0">
      <w:pPr>
        <w:pBdr>
          <w:top w:val="nil"/>
          <w:left w:val="nil"/>
          <w:bottom w:val="nil"/>
          <w:right w:val="nil"/>
          <w:between w:val="nil"/>
        </w:pBdr>
        <w:spacing w:after="0" w:line="240" w:lineRule="auto"/>
        <w:jc w:val="center"/>
        <w:rPr>
          <w:rFonts w:ascii="Arial Narrow" w:eastAsia="Arial Narrow" w:hAnsi="Arial Narrow" w:cs="Arial Narrow"/>
          <w:i/>
          <w:iCs/>
          <w:color w:val="000000"/>
        </w:rPr>
      </w:pPr>
      <w:r w:rsidRPr="00CF17A9">
        <w:rPr>
          <w:rFonts w:ascii="Arial Narrow" w:eastAsia="Arial Narrow" w:hAnsi="Arial Narrow" w:cs="Arial Narrow"/>
          <w:i/>
          <w:iCs/>
          <w:color w:val="000000"/>
        </w:rPr>
        <w:t>“</w:t>
      </w:r>
      <w:r w:rsidRPr="00CF17A9">
        <w:rPr>
          <w:rFonts w:ascii="Arial Narrow" w:eastAsia="Arial Narrow" w:hAnsi="Arial Narrow" w:cs="Arial Narrow"/>
          <w:i/>
          <w:iCs/>
        </w:rPr>
        <w:t>Por medio de la cual se modifican y adicionan disposiciones de la Ley 599 de 2000, con el fin de sancionar la utilización del ocultamiento de identidad para facilitar la</w:t>
      </w:r>
      <w:r w:rsidRPr="00CF17A9">
        <w:rPr>
          <w:rFonts w:ascii="Arial Narrow" w:eastAsia="Arial Narrow" w:hAnsi="Arial Narrow" w:cs="Arial Narrow"/>
          <w:i/>
          <w:iCs/>
        </w:rPr>
        <w:t xml:space="preserve"> comisión de conductas punibles en el contexto de manifestaciones públicas, y se dictan otras disposiciones - Ley Anti Capuchos</w:t>
      </w:r>
      <w:r w:rsidRPr="00CF17A9">
        <w:rPr>
          <w:rFonts w:ascii="Arial Narrow" w:eastAsia="Arial Narrow" w:hAnsi="Arial Narrow" w:cs="Arial Narrow"/>
          <w:i/>
          <w:iCs/>
          <w:color w:val="000000"/>
        </w:rPr>
        <w:t>”.</w:t>
      </w:r>
    </w:p>
    <w:p w14:paraId="443BDEB4" w14:textId="77777777" w:rsidR="00861FE3" w:rsidRPr="00CF17A9" w:rsidRDefault="00861FE3">
      <w:pPr>
        <w:ind w:right="-136"/>
        <w:jc w:val="center"/>
        <w:rPr>
          <w:rFonts w:ascii="Arial Narrow" w:eastAsia="Arial Narrow" w:hAnsi="Arial Narrow" w:cs="Arial Narrow"/>
          <w:b/>
          <w:bCs/>
          <w:i/>
          <w:iCs/>
        </w:rPr>
      </w:pPr>
    </w:p>
    <w:p w14:paraId="47DB7E06" w14:textId="77777777" w:rsidR="00861FE3" w:rsidRPr="00CF17A9" w:rsidRDefault="00C419A0">
      <w:pPr>
        <w:ind w:right="-136"/>
        <w:jc w:val="both"/>
        <w:rPr>
          <w:rFonts w:ascii="Arial Narrow" w:eastAsia="Arial Narrow" w:hAnsi="Arial Narrow" w:cs="Arial Narrow"/>
        </w:rPr>
      </w:pPr>
      <w:r w:rsidRPr="00CF17A9">
        <w:rPr>
          <w:rFonts w:ascii="Arial Narrow" w:eastAsia="Arial Narrow" w:hAnsi="Arial Narrow" w:cs="Arial Narrow"/>
        </w:rPr>
        <w:t>El informe de ponencia se desarrollará de la siguiente manera:</w:t>
      </w:r>
    </w:p>
    <w:p w14:paraId="4A7E95D4" w14:textId="77777777"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Antecedentes del trámite legislativo</w:t>
      </w:r>
    </w:p>
    <w:p w14:paraId="7546C433" w14:textId="08B17146"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Objeto</w:t>
      </w:r>
    </w:p>
    <w:p w14:paraId="36E1BEBB" w14:textId="77777777"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Contenido del proyecto (resumen de c/u art)</w:t>
      </w:r>
    </w:p>
    <w:p w14:paraId="0D5EDC7C" w14:textId="1A533E0F"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Marco Jurídico</w:t>
      </w:r>
    </w:p>
    <w:p w14:paraId="0B3D3EA4" w14:textId="77777777"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 xml:space="preserve">Justificación del Proyecto de Ley </w:t>
      </w:r>
    </w:p>
    <w:p w14:paraId="4798D8E4" w14:textId="3146C5E6"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Consideraciones de los ponentes</w:t>
      </w:r>
    </w:p>
    <w:p w14:paraId="0322D8A8" w14:textId="2D58861A" w:rsidR="005B46B1" w:rsidRPr="00CF17A9" w:rsidRDefault="005B46B1">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Impacto Fiscal</w:t>
      </w:r>
    </w:p>
    <w:p w14:paraId="478A8954" w14:textId="381D4DF7" w:rsidR="007169B7" w:rsidRPr="00CF17A9" w:rsidRDefault="007169B7" w:rsidP="007169B7">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Conflicto de intereses</w:t>
      </w:r>
    </w:p>
    <w:p w14:paraId="4DC58F53" w14:textId="5744D140"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Pliego de modificaciones</w:t>
      </w:r>
    </w:p>
    <w:p w14:paraId="4FFFACE9" w14:textId="77777777"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 xml:space="preserve">Proposición a la Comisión Primera </w:t>
      </w:r>
      <w:r w:rsidRPr="00CF17A9">
        <w:rPr>
          <w:rFonts w:ascii="Arial Narrow" w:eastAsia="Arial Narrow" w:hAnsi="Arial Narrow" w:cs="Arial Narrow"/>
        </w:rPr>
        <w:t>de la Honorable Cámara de Representantes.</w:t>
      </w:r>
    </w:p>
    <w:p w14:paraId="1E99456E" w14:textId="061C59E6" w:rsidR="00861FE3" w:rsidRPr="00CF17A9" w:rsidRDefault="00C419A0">
      <w:pPr>
        <w:numPr>
          <w:ilvl w:val="0"/>
          <w:numId w:val="6"/>
        </w:numPr>
        <w:spacing w:after="0" w:line="276" w:lineRule="auto"/>
        <w:ind w:right="-136"/>
        <w:jc w:val="both"/>
        <w:rPr>
          <w:rFonts w:ascii="Arial Narrow" w:eastAsia="Arial Narrow" w:hAnsi="Arial Narrow" w:cs="Arial Narrow"/>
        </w:rPr>
      </w:pPr>
      <w:r w:rsidRPr="00CF17A9">
        <w:rPr>
          <w:rFonts w:ascii="Arial Narrow" w:eastAsia="Arial Narrow" w:hAnsi="Arial Narrow" w:cs="Arial Narrow"/>
        </w:rPr>
        <w:t>Texto propuesto para Primer Debate</w:t>
      </w:r>
    </w:p>
    <w:p w14:paraId="79095E2E" w14:textId="77777777" w:rsidR="00861FE3" w:rsidRPr="00CF17A9" w:rsidRDefault="00861FE3">
      <w:pPr>
        <w:spacing w:line="240" w:lineRule="auto"/>
        <w:ind w:left="720"/>
        <w:jc w:val="both"/>
        <w:rPr>
          <w:rFonts w:ascii="Arial Narrow" w:eastAsia="Arial Narrow" w:hAnsi="Arial Narrow" w:cs="Arial Narrow"/>
        </w:rPr>
      </w:pPr>
    </w:p>
    <w:p w14:paraId="776F0704" w14:textId="77777777" w:rsidR="00861FE3" w:rsidRPr="00CF17A9" w:rsidRDefault="00C419A0">
      <w:pPr>
        <w:numPr>
          <w:ilvl w:val="3"/>
          <w:numId w:val="6"/>
        </w:numPr>
        <w:spacing w:after="0" w:line="240" w:lineRule="auto"/>
        <w:ind w:left="720"/>
        <w:jc w:val="both"/>
        <w:rPr>
          <w:rFonts w:ascii="Arial Narrow" w:eastAsia="Arial Narrow" w:hAnsi="Arial Narrow" w:cs="Arial Narrow"/>
          <w:b/>
          <w:bCs/>
        </w:rPr>
      </w:pPr>
      <w:r w:rsidRPr="00CF17A9">
        <w:rPr>
          <w:rFonts w:ascii="Arial Narrow" w:eastAsia="Arial Narrow" w:hAnsi="Arial Narrow" w:cs="Arial Narrow"/>
          <w:b/>
          <w:bCs/>
        </w:rPr>
        <w:t>ANTECEDENTES DEL TRÁMITE LEGISLATIVOS</w:t>
      </w:r>
    </w:p>
    <w:p w14:paraId="796D0B7A" w14:textId="77777777" w:rsidR="00861FE3" w:rsidRPr="00CF17A9" w:rsidRDefault="00861FE3">
      <w:pPr>
        <w:rPr>
          <w:rFonts w:ascii="Arial Narrow" w:eastAsia="Arial Narrow" w:hAnsi="Arial Narrow" w:cs="Arial Narrow"/>
        </w:rPr>
      </w:pPr>
    </w:p>
    <w:p w14:paraId="675E3E3B" w14:textId="7FD8894C" w:rsidR="00861FE3" w:rsidRPr="00CF17A9" w:rsidRDefault="00C419A0">
      <w:pPr>
        <w:widowControl w:val="0"/>
        <w:spacing w:after="200"/>
        <w:ind w:right="-136"/>
        <w:jc w:val="both"/>
        <w:rPr>
          <w:rFonts w:ascii="Arial Narrow" w:eastAsia="Arial Narrow" w:hAnsi="Arial Narrow" w:cs="Arial Narrow"/>
        </w:rPr>
      </w:pPr>
      <w:r w:rsidRPr="00CF17A9">
        <w:rPr>
          <w:rFonts w:ascii="Arial Narrow" w:eastAsia="Arial Narrow" w:hAnsi="Arial Narrow" w:cs="Arial Narrow"/>
        </w:rPr>
        <w:t>La presente iniciativa fue radicada el 20 de julio de 2026 en la Secretaría General de la Cámara de Representantes por el Honorable Repres</w:t>
      </w:r>
      <w:r w:rsidRPr="00CF17A9">
        <w:rPr>
          <w:rFonts w:ascii="Arial Narrow" w:eastAsia="Arial Narrow" w:hAnsi="Arial Narrow" w:cs="Arial Narrow"/>
        </w:rPr>
        <w:t xml:space="preserve">entante Jaime </w:t>
      </w:r>
      <w:r w:rsidR="005A6511" w:rsidRPr="00CF17A9">
        <w:rPr>
          <w:rFonts w:ascii="Arial Narrow" w:eastAsia="Arial Narrow" w:hAnsi="Arial Narrow" w:cs="Arial Narrow"/>
        </w:rPr>
        <w:t xml:space="preserve">Ignacio </w:t>
      </w:r>
      <w:r w:rsidRPr="00CF17A9">
        <w:rPr>
          <w:rFonts w:ascii="Arial Narrow" w:eastAsia="Arial Narrow" w:hAnsi="Arial Narrow" w:cs="Arial Narrow"/>
        </w:rPr>
        <w:t>Arizabaleta</w:t>
      </w:r>
      <w:r w:rsidR="005A6511" w:rsidRPr="00CF17A9">
        <w:rPr>
          <w:rFonts w:ascii="Arial Narrow" w:eastAsia="Arial Narrow" w:hAnsi="Arial Narrow" w:cs="Arial Narrow"/>
        </w:rPr>
        <w:t xml:space="preserve"> Fajardo</w:t>
      </w:r>
      <w:r w:rsidRPr="00CF17A9">
        <w:rPr>
          <w:rFonts w:ascii="Arial Narrow" w:eastAsia="Arial Narrow" w:hAnsi="Arial Narrow" w:cs="Arial Narrow"/>
        </w:rPr>
        <w:t>, publicado en la gaceta del Congreso número 876 de 2026.</w:t>
      </w:r>
    </w:p>
    <w:p w14:paraId="25864177" w14:textId="687694B9" w:rsidR="00861FE3" w:rsidRPr="00CF17A9" w:rsidRDefault="00C419A0">
      <w:pPr>
        <w:widowControl w:val="0"/>
        <w:spacing w:after="200"/>
        <w:ind w:right="-136"/>
        <w:jc w:val="both"/>
        <w:rPr>
          <w:rFonts w:ascii="Arial Narrow" w:eastAsia="Arial Narrow" w:hAnsi="Arial Narrow" w:cs="Arial Narrow"/>
        </w:rPr>
      </w:pPr>
      <w:r w:rsidRPr="00CF17A9">
        <w:rPr>
          <w:rFonts w:ascii="Arial Narrow" w:eastAsia="Arial Narrow" w:hAnsi="Arial Narrow" w:cs="Arial Narrow"/>
        </w:rPr>
        <w:t xml:space="preserve">El </w:t>
      </w:r>
      <w:r w:rsidR="00BE0B6B" w:rsidRPr="00CF17A9">
        <w:rPr>
          <w:rFonts w:ascii="Arial Narrow" w:eastAsia="Arial Narrow" w:hAnsi="Arial Narrow" w:cs="Arial Narrow"/>
        </w:rPr>
        <w:t>13</w:t>
      </w:r>
      <w:r w:rsidRPr="00CF17A9">
        <w:rPr>
          <w:rFonts w:ascii="Arial Narrow" w:eastAsia="Arial Narrow" w:hAnsi="Arial Narrow" w:cs="Arial Narrow"/>
        </w:rPr>
        <w:t xml:space="preserve"> de </w:t>
      </w:r>
      <w:r w:rsidR="00BE0B6B" w:rsidRPr="00CF17A9">
        <w:rPr>
          <w:rFonts w:ascii="Arial Narrow" w:eastAsia="Arial Narrow" w:hAnsi="Arial Narrow" w:cs="Arial Narrow"/>
        </w:rPr>
        <w:t>agosto</w:t>
      </w:r>
      <w:r w:rsidRPr="00CF17A9">
        <w:rPr>
          <w:rFonts w:ascii="Arial Narrow" w:eastAsia="Arial Narrow" w:hAnsi="Arial Narrow" w:cs="Arial Narrow"/>
        </w:rPr>
        <w:t xml:space="preserve"> de 2026 la mesa directiva de la Comisión Primera Constitucional Permanente mediante oficio </w:t>
      </w:r>
      <w:r w:rsidR="00BE0B6B" w:rsidRPr="00CF17A9">
        <w:rPr>
          <w:rFonts w:ascii="Arial Narrow" w:eastAsia="Arial Narrow" w:hAnsi="Arial Narrow" w:cs="Arial Narrow"/>
        </w:rPr>
        <w:t>C.P.C.P 3.1 - 0043 - 2026</w:t>
      </w:r>
      <w:r w:rsidRPr="00CF17A9">
        <w:rPr>
          <w:rFonts w:ascii="Arial Narrow" w:eastAsia="Arial Narrow" w:hAnsi="Arial Narrow" w:cs="Arial Narrow"/>
        </w:rPr>
        <w:t xml:space="preserve"> designó como coordinador ponente al Honorable Representante Jaime</w:t>
      </w:r>
      <w:r w:rsidR="00BE0B6B" w:rsidRPr="00CF17A9">
        <w:rPr>
          <w:rFonts w:ascii="Arial Narrow" w:eastAsia="Arial Narrow" w:hAnsi="Arial Narrow" w:cs="Arial Narrow"/>
        </w:rPr>
        <w:t xml:space="preserve"> Ignacio</w:t>
      </w:r>
      <w:r w:rsidRPr="00CF17A9">
        <w:rPr>
          <w:rFonts w:ascii="Arial Narrow" w:eastAsia="Arial Narrow" w:hAnsi="Arial Narrow" w:cs="Arial Narrow"/>
        </w:rPr>
        <w:t xml:space="preserve"> A</w:t>
      </w:r>
      <w:r w:rsidRPr="00CF17A9">
        <w:rPr>
          <w:rFonts w:ascii="Arial Narrow" w:eastAsia="Arial Narrow" w:hAnsi="Arial Narrow" w:cs="Arial Narrow"/>
        </w:rPr>
        <w:t>rizabalet</w:t>
      </w:r>
      <w:r w:rsidR="00BE0B6B" w:rsidRPr="00CF17A9">
        <w:rPr>
          <w:rFonts w:ascii="Arial Narrow" w:eastAsia="Arial Narrow" w:hAnsi="Arial Narrow" w:cs="Arial Narrow"/>
        </w:rPr>
        <w:t xml:space="preserve">a Fajardo. </w:t>
      </w:r>
    </w:p>
    <w:p w14:paraId="2A8A3884" w14:textId="77777777" w:rsidR="00861FE3" w:rsidRPr="00CF17A9" w:rsidRDefault="00C419A0">
      <w:pPr>
        <w:widowControl w:val="0"/>
        <w:spacing w:after="200"/>
        <w:ind w:right="-136"/>
        <w:jc w:val="both"/>
        <w:rPr>
          <w:rFonts w:ascii="Arial Narrow" w:eastAsia="Arial Narrow" w:hAnsi="Arial Narrow" w:cs="Arial Narrow"/>
        </w:rPr>
      </w:pPr>
      <w:r w:rsidRPr="00CF17A9">
        <w:rPr>
          <w:rFonts w:ascii="Arial Narrow" w:eastAsia="Arial Narrow" w:hAnsi="Arial Narrow" w:cs="Arial Narrow"/>
          <w:b/>
          <w:bCs/>
        </w:rPr>
        <w:t xml:space="preserve">       2. OBJETO DEL PROYECTO</w:t>
      </w:r>
      <w:r w:rsidRPr="00CF17A9">
        <w:rPr>
          <w:rFonts w:ascii="Arial Narrow" w:eastAsia="Arial Narrow" w:hAnsi="Arial Narrow" w:cs="Arial Narrow"/>
        </w:rPr>
        <w:t xml:space="preserve"> </w:t>
      </w:r>
    </w:p>
    <w:p w14:paraId="13A6E1F8"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Fortalecer la protección del orden público, la seguridad ciudadana y el ejercicio del derecho fundamental a la protesta pacífica mediante la tipificación de conductas punibles y la adopción de medidas orientadas a</w:t>
      </w:r>
      <w:r w:rsidRPr="00CF17A9">
        <w:rPr>
          <w:rFonts w:ascii="Arial Narrow" w:eastAsia="Arial Narrow" w:hAnsi="Arial Narrow" w:cs="Arial Narrow"/>
        </w:rPr>
        <w:t xml:space="preserve"> sancionar la utilización del ocultamiento de identidad como medio para facilitar la comisión de delitos en el contexto de manifestaciones públicas.</w:t>
      </w:r>
    </w:p>
    <w:p w14:paraId="04379B8C"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rPr>
      </w:pPr>
    </w:p>
    <w:p w14:paraId="64570307" w14:textId="77777777" w:rsidR="00861FE3" w:rsidRPr="00CF17A9" w:rsidRDefault="00861FE3">
      <w:pPr>
        <w:jc w:val="both"/>
        <w:rPr>
          <w:rFonts w:ascii="Arial Narrow" w:eastAsia="Arial Narrow" w:hAnsi="Arial Narrow" w:cs="Arial Narrow"/>
          <w:b/>
          <w:bCs/>
          <w:color w:val="FF0000"/>
        </w:rPr>
      </w:pPr>
    </w:p>
    <w:p w14:paraId="791C1415" w14:textId="77777777" w:rsidR="00861FE3" w:rsidRPr="00CF17A9" w:rsidRDefault="00C419A0">
      <w:pPr>
        <w:jc w:val="both"/>
        <w:rPr>
          <w:rFonts w:ascii="Arial Narrow" w:eastAsia="Arial Narrow" w:hAnsi="Arial Narrow" w:cs="Arial Narrow"/>
          <w:b/>
          <w:bCs/>
        </w:rPr>
      </w:pPr>
      <w:r w:rsidRPr="00CF17A9">
        <w:rPr>
          <w:rFonts w:ascii="Arial Narrow" w:eastAsia="Arial Narrow" w:hAnsi="Arial Narrow" w:cs="Arial Narrow"/>
          <w:b/>
          <w:bCs/>
          <w:color w:val="FF0000"/>
        </w:rPr>
        <w:t xml:space="preserve">        </w:t>
      </w:r>
      <w:r w:rsidRPr="00CF17A9">
        <w:rPr>
          <w:rFonts w:ascii="Arial Narrow" w:eastAsia="Arial Narrow" w:hAnsi="Arial Narrow" w:cs="Arial Narrow"/>
          <w:b/>
          <w:bCs/>
        </w:rPr>
        <w:t>3. CONTENIDO DEL PROYECTO</w:t>
      </w:r>
    </w:p>
    <w:p w14:paraId="453B6316" w14:textId="77777777" w:rsidR="00861FE3" w:rsidRPr="00CF17A9" w:rsidRDefault="00C419A0">
      <w:pPr>
        <w:jc w:val="both"/>
        <w:rPr>
          <w:rFonts w:ascii="Arial Narrow" w:eastAsia="Arial Narrow" w:hAnsi="Arial Narrow" w:cs="Arial Narrow"/>
        </w:rPr>
      </w:pPr>
      <w:r w:rsidRPr="00CF17A9">
        <w:rPr>
          <w:rFonts w:ascii="Arial Narrow" w:eastAsia="Arial Narrow" w:hAnsi="Arial Narrow" w:cs="Arial Narrow"/>
        </w:rPr>
        <w:lastRenderedPageBreak/>
        <w:t>Artículo 1. Objeto: Establece el objeto de la ley, orientado a fortalecer la protección del orden público, la seguridad ciudadana y el derecho a la protesta pacífica mediante la tipificación de nuevas conductas punibles y la adopción de medidas para sancio</w:t>
      </w:r>
      <w:r w:rsidRPr="00CF17A9">
        <w:rPr>
          <w:rFonts w:ascii="Arial Narrow" w:eastAsia="Arial Narrow" w:hAnsi="Arial Narrow" w:cs="Arial Narrow"/>
        </w:rPr>
        <w:t xml:space="preserve">nar el uso del ocultamiento de identidad en la comisión de delitos durante manifestaciones públicas. </w:t>
      </w:r>
    </w:p>
    <w:p w14:paraId="12552DC5" w14:textId="77777777" w:rsidR="00861FE3" w:rsidRPr="00CF17A9" w:rsidRDefault="00C419A0">
      <w:pPr>
        <w:spacing w:line="276" w:lineRule="auto"/>
        <w:jc w:val="both"/>
        <w:rPr>
          <w:rFonts w:ascii="Arial Narrow" w:eastAsia="Arial Narrow" w:hAnsi="Arial Narrow" w:cs="Arial Narrow"/>
        </w:rPr>
      </w:pPr>
      <w:r w:rsidRPr="00CF17A9">
        <w:rPr>
          <w:rFonts w:ascii="Arial Narrow" w:eastAsia="Arial Narrow" w:hAnsi="Arial Narrow" w:cs="Arial Narrow"/>
        </w:rPr>
        <w:t>Artículo 2. Definiciones: Define los conceptos de ocultamiento de identidad, entendido como el uso de medios para impedir la identificación durante la com</w:t>
      </w:r>
      <w:r w:rsidRPr="00CF17A9">
        <w:rPr>
          <w:rFonts w:ascii="Arial Narrow" w:eastAsia="Arial Narrow" w:hAnsi="Arial Narrow" w:cs="Arial Narrow"/>
        </w:rPr>
        <w:t>isión de un delito; acto vandálico, como las conductas dolosas que causen daños o violencia al margen de la protesta pacífica; y artefactos o elementos peligrosos de fabricación artesanal, como objetos elaborados o adaptados para causar daños a personas, b</w:t>
      </w:r>
      <w:r w:rsidRPr="00CF17A9">
        <w:rPr>
          <w:rFonts w:ascii="Arial Narrow" w:eastAsia="Arial Narrow" w:hAnsi="Arial Narrow" w:cs="Arial Narrow"/>
        </w:rPr>
        <w:t>ienes o al orden público durante manifestaciones.</w:t>
      </w:r>
    </w:p>
    <w:p w14:paraId="68C98BD2" w14:textId="77777777" w:rsidR="00861FE3" w:rsidRPr="00CF17A9" w:rsidRDefault="00C419A0">
      <w:pPr>
        <w:spacing w:line="276" w:lineRule="auto"/>
        <w:jc w:val="both"/>
        <w:rPr>
          <w:rFonts w:ascii="Arial Narrow" w:eastAsia="Arial Narrow" w:hAnsi="Arial Narrow" w:cs="Arial Narrow"/>
        </w:rPr>
      </w:pPr>
      <w:r w:rsidRPr="00CF17A9">
        <w:rPr>
          <w:rFonts w:ascii="Arial Narrow" w:eastAsia="Arial Narrow" w:hAnsi="Arial Narrow" w:cs="Arial Narrow"/>
        </w:rPr>
        <w:t>Artículo 3. Adición de un nuevo tipo penal: Adiciona al Código Penal el delito de actos vandálicos mediante ocultamiento de identidad, establece las penas correspondientes e incorpora circunstancias específ</w:t>
      </w:r>
      <w:r w:rsidRPr="00CF17A9">
        <w:rPr>
          <w:rFonts w:ascii="Arial Narrow" w:eastAsia="Arial Narrow" w:hAnsi="Arial Narrow" w:cs="Arial Narrow"/>
        </w:rPr>
        <w:t>icas de agravación punitiva.</w:t>
      </w:r>
    </w:p>
    <w:p w14:paraId="1705EC68" w14:textId="77777777" w:rsidR="00861FE3" w:rsidRPr="00CF17A9" w:rsidRDefault="00C419A0">
      <w:pPr>
        <w:spacing w:line="276" w:lineRule="auto"/>
        <w:jc w:val="both"/>
        <w:rPr>
          <w:rFonts w:ascii="Arial Narrow" w:eastAsia="Arial Narrow" w:hAnsi="Arial Narrow" w:cs="Arial Narrow"/>
        </w:rPr>
      </w:pPr>
      <w:r w:rsidRPr="00CF17A9">
        <w:rPr>
          <w:rFonts w:ascii="Arial Narrow" w:eastAsia="Arial Narrow" w:hAnsi="Arial Narrow" w:cs="Arial Narrow"/>
        </w:rPr>
        <w:t>Artículo 4. Modificación del artículo 353A del Código Penal: Modifica el delito de obstrucción a vías públicas que afecten el orden público, redefiniendo la conducta punible, las sanciones aplicables y la excepción para determi</w:t>
      </w:r>
      <w:r w:rsidRPr="00CF17A9">
        <w:rPr>
          <w:rFonts w:ascii="Arial Narrow" w:eastAsia="Arial Narrow" w:hAnsi="Arial Narrow" w:cs="Arial Narrow"/>
        </w:rPr>
        <w:t>nadas movilizaciones.</w:t>
      </w:r>
    </w:p>
    <w:p w14:paraId="594B0196" w14:textId="77777777" w:rsidR="00861FE3" w:rsidRPr="00CF17A9" w:rsidRDefault="00C419A0">
      <w:pPr>
        <w:spacing w:line="276" w:lineRule="auto"/>
        <w:jc w:val="both"/>
        <w:rPr>
          <w:rFonts w:ascii="Arial Narrow" w:eastAsia="Arial Narrow" w:hAnsi="Arial Narrow" w:cs="Arial Narrow"/>
        </w:rPr>
      </w:pPr>
      <w:r w:rsidRPr="00CF17A9">
        <w:rPr>
          <w:rFonts w:ascii="Arial Narrow" w:eastAsia="Arial Narrow" w:hAnsi="Arial Narrow" w:cs="Arial Narrow"/>
        </w:rPr>
        <w:t>Artículo 5. Protección del derecho fundamental a la protesta pacífica: Establece una cláusula de salvaguarda que impide interpretar o aplicar la ley en detrimento del ejercicio legítimo del derecho a la reunión, manifestación y protes</w:t>
      </w:r>
      <w:r w:rsidRPr="00CF17A9">
        <w:rPr>
          <w:rFonts w:ascii="Arial Narrow" w:eastAsia="Arial Narrow" w:hAnsi="Arial Narrow" w:cs="Arial Narrow"/>
        </w:rPr>
        <w:t>ta pacífica.</w:t>
      </w:r>
    </w:p>
    <w:p w14:paraId="2D88ACFD" w14:textId="77777777" w:rsidR="00861FE3" w:rsidRPr="00CF17A9" w:rsidRDefault="00C419A0">
      <w:pPr>
        <w:spacing w:line="276" w:lineRule="auto"/>
        <w:jc w:val="both"/>
        <w:rPr>
          <w:rFonts w:ascii="Arial Narrow" w:eastAsia="Arial Narrow" w:hAnsi="Arial Narrow" w:cs="Arial Narrow"/>
        </w:rPr>
      </w:pPr>
      <w:r w:rsidRPr="00CF17A9">
        <w:rPr>
          <w:rFonts w:ascii="Arial Narrow" w:eastAsia="Arial Narrow" w:hAnsi="Arial Narrow" w:cs="Arial Narrow"/>
        </w:rPr>
        <w:t>Artículo 6. Interpretación y aplicación de la ley: Dispone que la interpretación y aplicación de la ley deberá realizarse conforme a la Constitución, el bloque de constitucionalidad, los tratados internacionales sobre derechos humanos y la jur</w:t>
      </w:r>
      <w:r w:rsidRPr="00CF17A9">
        <w:rPr>
          <w:rFonts w:ascii="Arial Narrow" w:eastAsia="Arial Narrow" w:hAnsi="Arial Narrow" w:cs="Arial Narrow"/>
        </w:rPr>
        <w:t>isprudencia de las altas cortes.</w:t>
      </w:r>
    </w:p>
    <w:p w14:paraId="6F61230D" w14:textId="77777777" w:rsidR="00861FE3" w:rsidRPr="00CF17A9" w:rsidRDefault="00C419A0">
      <w:pPr>
        <w:spacing w:line="276" w:lineRule="auto"/>
        <w:jc w:val="both"/>
        <w:rPr>
          <w:rFonts w:ascii="Arial Narrow" w:eastAsia="Arial Narrow" w:hAnsi="Arial Narrow" w:cs="Arial Narrow"/>
        </w:rPr>
      </w:pPr>
      <w:r w:rsidRPr="00CF17A9">
        <w:rPr>
          <w:rFonts w:ascii="Arial Narrow" w:eastAsia="Arial Narrow" w:hAnsi="Arial Narrow" w:cs="Arial Narrow"/>
        </w:rPr>
        <w:t>Artículo 7. Vigencia y derogatorias: Establece la entrada en vigencia de la ley a partir de su promulgación y deroga las disposiciones que le sean contrarias.</w:t>
      </w:r>
    </w:p>
    <w:p w14:paraId="7C8A8BF3" w14:textId="77777777" w:rsidR="00861FE3" w:rsidRPr="00CF17A9" w:rsidRDefault="00861FE3">
      <w:pPr>
        <w:spacing w:line="276" w:lineRule="auto"/>
        <w:jc w:val="both"/>
        <w:rPr>
          <w:rFonts w:ascii="Arial Narrow" w:eastAsia="Arial Narrow" w:hAnsi="Arial Narrow" w:cs="Arial Narrow"/>
        </w:rPr>
      </w:pPr>
    </w:p>
    <w:p w14:paraId="6A27EE93" w14:textId="77777777" w:rsidR="00861FE3" w:rsidRPr="00CF17A9" w:rsidRDefault="00C419A0">
      <w:pPr>
        <w:spacing w:line="240" w:lineRule="auto"/>
        <w:jc w:val="both"/>
        <w:rPr>
          <w:rFonts w:ascii="Arial Narrow" w:eastAsia="Arial Narrow" w:hAnsi="Arial Narrow" w:cs="Arial Narrow"/>
          <w:b/>
          <w:bCs/>
        </w:rPr>
      </w:pPr>
      <w:r w:rsidRPr="00CF17A9">
        <w:rPr>
          <w:rFonts w:ascii="Arial Narrow" w:eastAsia="Arial Narrow" w:hAnsi="Arial Narrow" w:cs="Arial Narrow"/>
          <w:b/>
          <w:bCs/>
        </w:rPr>
        <w:t>4.     MARCO JURÍDICO</w:t>
      </w:r>
    </w:p>
    <w:p w14:paraId="18F85CA4"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El presente proyecto de ley encuentra sus</w:t>
      </w:r>
      <w:r w:rsidRPr="00CF17A9">
        <w:rPr>
          <w:rFonts w:ascii="Arial Narrow" w:eastAsia="Arial Narrow" w:hAnsi="Arial Narrow" w:cs="Arial Narrow"/>
        </w:rPr>
        <w:t>tento en el marco constitucional, legal, convencional y jurisprudencial que atribuye al Estado el deber de garantizar la convivencia pacífica, el mantenimiento del orden público, la seguridad ciudadana y la protección efectiva de los derechos fundamentales</w:t>
      </w:r>
      <w:r w:rsidRPr="00CF17A9">
        <w:rPr>
          <w:rFonts w:ascii="Arial Narrow" w:eastAsia="Arial Narrow" w:hAnsi="Arial Narrow" w:cs="Arial Narrow"/>
        </w:rPr>
        <w:t>. En particular, la iniciativa desarrolla la facultad de configuración legislativa en materia penal mediante la incorporación de un nuevo tipo penal orientado a sancionar la utilización del ocultamiento de identidad como medio para facilitar la comisión de</w:t>
      </w:r>
      <w:r w:rsidRPr="00CF17A9">
        <w:rPr>
          <w:rFonts w:ascii="Arial Narrow" w:eastAsia="Arial Narrow" w:hAnsi="Arial Narrow" w:cs="Arial Narrow"/>
        </w:rPr>
        <w:t xml:space="preserve"> delitos en el contexto de manifestaciones públicas, así como la adecuación del delito de obstrucción a vías públicas, preservando en todo caso el ejercicio legítimo del derecho fundamental a la reunión, manifestación y protesta pacífica.</w:t>
      </w:r>
    </w:p>
    <w:p w14:paraId="0B06ADE3"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Desde la perspect</w:t>
      </w:r>
      <w:r w:rsidRPr="00CF17A9">
        <w:rPr>
          <w:rFonts w:ascii="Arial Narrow" w:eastAsia="Arial Narrow" w:hAnsi="Arial Narrow" w:cs="Arial Narrow"/>
        </w:rPr>
        <w:t xml:space="preserve">iva constitucional, la propuesta se fundamenta en los artículos 2, 11, 22, 24, 37, 95 y 218 de la Constitución Política, que imponen a las autoridades el deber de proteger la vida, la integridad personal, los </w:t>
      </w:r>
      <w:r w:rsidRPr="00CF17A9">
        <w:rPr>
          <w:rFonts w:ascii="Arial Narrow" w:eastAsia="Arial Narrow" w:hAnsi="Arial Narrow" w:cs="Arial Narrow"/>
        </w:rPr>
        <w:lastRenderedPageBreak/>
        <w:t>bienes públicos y privados, garantizar la convi</w:t>
      </w:r>
      <w:r w:rsidRPr="00CF17A9">
        <w:rPr>
          <w:rFonts w:ascii="Arial Narrow" w:eastAsia="Arial Narrow" w:hAnsi="Arial Narrow" w:cs="Arial Narrow"/>
        </w:rPr>
        <w:t>vencia pacífica, asegurar el mantenimiento de las condiciones necesarias para el ejercicio de los derechos y libertades públicas y preservar el orden público como presupuesto para el goce efectivo de los derechos fundamentales. De igual forma, la iniciativ</w:t>
      </w:r>
      <w:r w:rsidRPr="00CF17A9">
        <w:rPr>
          <w:rFonts w:ascii="Arial Narrow" w:eastAsia="Arial Narrow" w:hAnsi="Arial Narrow" w:cs="Arial Narrow"/>
        </w:rPr>
        <w:t>a reconoce expresamente que el derecho de reunión y manifestación pacífica constituye una garantía constitucional que no puede ser restringida ni criminalizada por el solo hecho de su ejercicio, razón por la cual delimita claramente el ámbito de aplicación</w:t>
      </w:r>
      <w:r w:rsidRPr="00CF17A9">
        <w:rPr>
          <w:rFonts w:ascii="Arial Narrow" w:eastAsia="Arial Narrow" w:hAnsi="Arial Narrow" w:cs="Arial Narrow"/>
        </w:rPr>
        <w:t xml:space="preserve"> de las disposiciones penales frente a conductas que desbordan la protección constitucional de la protesta.</w:t>
      </w:r>
    </w:p>
    <w:p w14:paraId="1A499AAF"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En el ámbito legal, el proyecto desarrolla y complementa la política criminal prevista en la Ley 599 de 2000 (Código Penal), particularmente en mate</w:t>
      </w:r>
      <w:r w:rsidRPr="00CF17A9">
        <w:rPr>
          <w:rFonts w:ascii="Arial Narrow" w:eastAsia="Arial Narrow" w:hAnsi="Arial Narrow" w:cs="Arial Narrow"/>
        </w:rPr>
        <w:t>ria de protección de la seguridad pública, la administración pública y el patrimonio económico, mediante la tipificación de una conducta que sanciona el empleo deliberado del ocultamiento de identidad cuando este constituye un medio para facilitar la ejecu</w:t>
      </w:r>
      <w:r w:rsidRPr="00CF17A9">
        <w:rPr>
          <w:rFonts w:ascii="Arial Narrow" w:eastAsia="Arial Narrow" w:hAnsi="Arial Narrow" w:cs="Arial Narrow"/>
        </w:rPr>
        <w:t>ción de actos vandálicos durante manifestaciones públicas. Asimismo, modifica el artículo 353A del Código Penal con el propósito de precisar los elementos típicos del delito de obstrucción a vías públicas que afecten el orden público, fortaleciendo la segu</w:t>
      </w:r>
      <w:r w:rsidRPr="00CF17A9">
        <w:rPr>
          <w:rFonts w:ascii="Arial Narrow" w:eastAsia="Arial Narrow" w:hAnsi="Arial Narrow" w:cs="Arial Narrow"/>
        </w:rPr>
        <w:t>ridad jurídica y delimitando expresamente su aplicación respecto del ejercicio legítimo del derecho de protesta.</w:t>
      </w:r>
    </w:p>
    <w:p w14:paraId="14BFEE6A"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 xml:space="preserve">Desde la doctrina penal contemporánea, la iniciativa responde a los principios de </w:t>
      </w:r>
      <w:r w:rsidRPr="00CF17A9">
        <w:rPr>
          <w:rFonts w:ascii="Arial Narrow" w:eastAsia="Arial Narrow" w:hAnsi="Arial Narrow" w:cs="Arial Narrow"/>
          <w:b/>
          <w:bCs/>
        </w:rPr>
        <w:t>p</w:t>
      </w:r>
      <w:r w:rsidRPr="00CF17A9">
        <w:rPr>
          <w:rFonts w:ascii="Arial Narrow" w:eastAsia="Arial Narrow" w:hAnsi="Arial Narrow" w:cs="Arial Narrow"/>
        </w:rPr>
        <w:t>rotección de bienes jurídicos, lesividad, intervención mínim</w:t>
      </w:r>
      <w:r w:rsidRPr="00CF17A9">
        <w:rPr>
          <w:rFonts w:ascii="Arial Narrow" w:eastAsia="Arial Narrow" w:hAnsi="Arial Narrow" w:cs="Arial Narrow"/>
        </w:rPr>
        <w:t xml:space="preserve">a y proporcionalidad, conforme a los cuales la intervención del derecho penal resulta legítima únicamente cuando se dirige a proteger bienes jurídicos de especial relevancia constitucional frente a ataques graves que no pueden ser adecuadamente afrontados </w:t>
      </w:r>
      <w:r w:rsidRPr="00CF17A9">
        <w:rPr>
          <w:rFonts w:ascii="Arial Narrow" w:eastAsia="Arial Narrow" w:hAnsi="Arial Narrow" w:cs="Arial Narrow"/>
        </w:rPr>
        <w:t>mediante otros mecanismos del ordenamiento jurídico. En este sentido, el ocultamiento deliberado de la identidad no constituye por sí mismo una conducta sancionable, sino que adquiere relevancia jurídico-penal cuando se emplea como instrumento para facilit</w:t>
      </w:r>
      <w:r w:rsidRPr="00CF17A9">
        <w:rPr>
          <w:rFonts w:ascii="Arial Narrow" w:eastAsia="Arial Narrow" w:hAnsi="Arial Narrow" w:cs="Arial Narrow"/>
        </w:rPr>
        <w:t>ar la comisión de delitos, incrementando las dificultades para la identificación de los responsables y afectando la eficacia de la administración de justicia y la protección de los derechos de terceros.</w:t>
      </w:r>
    </w:p>
    <w:p w14:paraId="222A0CE3"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Igualmente, la propuesta se ajusta a los estándares i</w:t>
      </w:r>
      <w:r w:rsidRPr="00CF17A9">
        <w:rPr>
          <w:rFonts w:ascii="Arial Narrow" w:eastAsia="Arial Narrow" w:hAnsi="Arial Narrow" w:cs="Arial Narrow"/>
        </w:rPr>
        <w:t>nternacionales de derechos humanos contenidos en la Convención Americana sobre Derechos Humanos y el Pacto Internacional de Derechos Civiles y Políticos, instrumentos que reconocen el derecho de reunión pacífica, pero admiten la imposición de restricciones</w:t>
      </w:r>
      <w:r w:rsidRPr="00CF17A9">
        <w:rPr>
          <w:rFonts w:ascii="Arial Narrow" w:eastAsia="Arial Narrow" w:hAnsi="Arial Narrow" w:cs="Arial Narrow"/>
        </w:rPr>
        <w:t xml:space="preserve"> previstas en la ley cuando sean necesarias, idóneas y proporcionales para proteger la seguridad pública, el orden público, los derechos y libertades de los demás o la protección de la vida e integridad de las personas. En concordancia con dichos instrumen</w:t>
      </w:r>
      <w:r w:rsidRPr="00CF17A9">
        <w:rPr>
          <w:rFonts w:ascii="Arial Narrow" w:eastAsia="Arial Narrow" w:hAnsi="Arial Narrow" w:cs="Arial Narrow"/>
        </w:rPr>
        <w:t>tos y con la jurisprudencia constitucional colombiana, el proyecto incorpora cláusulas expresas de interpretación y aplicación orientadas a garantizar que las nuevas disposiciones penales no puedan ser utilizadas para restringir o criminalizar el ejercicio</w:t>
      </w:r>
      <w:r w:rsidRPr="00CF17A9">
        <w:rPr>
          <w:rFonts w:ascii="Arial Narrow" w:eastAsia="Arial Narrow" w:hAnsi="Arial Narrow" w:cs="Arial Narrow"/>
        </w:rPr>
        <w:t xml:space="preserve"> legítimo de la protesta pacífica, sino exclusivamente para sancionar conductas delictivas que exceden el ámbito de protección constitucional de ese derecho fundamental.</w:t>
      </w:r>
    </w:p>
    <w:p w14:paraId="423D12AB" w14:textId="77777777" w:rsidR="00861FE3" w:rsidRPr="00CF17A9" w:rsidRDefault="00C419A0">
      <w:pPr>
        <w:pBdr>
          <w:top w:val="nil"/>
          <w:left w:val="nil"/>
          <w:bottom w:val="nil"/>
          <w:right w:val="nil"/>
          <w:between w:val="nil"/>
        </w:pBdr>
        <w:spacing w:after="0" w:line="240" w:lineRule="auto"/>
        <w:rPr>
          <w:rFonts w:ascii="Arial Narrow" w:eastAsia="Arial Narrow" w:hAnsi="Arial Narrow" w:cs="Arial Narrow"/>
        </w:rPr>
      </w:pPr>
      <w:r w:rsidRPr="00CF17A9">
        <w:rPr>
          <w:rFonts w:ascii="Arial Narrow" w:eastAsia="Arial Narrow" w:hAnsi="Arial Narrow" w:cs="Arial Narrow"/>
          <w:b/>
          <w:bCs/>
          <w:i/>
          <w:iCs/>
          <w:color w:val="000000"/>
        </w:rPr>
        <w:t>Marco constitucional</w:t>
      </w:r>
      <w:r w:rsidRPr="00CF17A9">
        <w:rPr>
          <w:rFonts w:ascii="Arial Narrow" w:eastAsia="Arial Narrow" w:hAnsi="Arial Narrow" w:cs="Arial Narrow"/>
          <w:b/>
          <w:bCs/>
          <w:i/>
          <w:iCs/>
        </w:rPr>
        <w:t>.</w:t>
      </w:r>
    </w:p>
    <w:p w14:paraId="3C01F86C"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La Constitución Política de Colombia reconoce el derecho fundamental a la reunión, manifestación y protesta pacífica, al tiempo que impone al Estado el deber de garantizar la convivencia pacífica, proteger la vida, la integridad personal, los bienes públic</w:t>
      </w:r>
      <w:r w:rsidRPr="00CF17A9">
        <w:rPr>
          <w:rFonts w:ascii="Arial Narrow" w:eastAsia="Arial Narrow" w:hAnsi="Arial Narrow" w:cs="Arial Narrow"/>
        </w:rPr>
        <w:t>os y privados y preservar el orden público como condición para el ejercicio efectivo de los derechos fundamentales. En este sentido, el legislador cuenta con la facultad de establecer tipos penales y adoptar medidas de política criminal dirigidas a preveni</w:t>
      </w:r>
      <w:r w:rsidRPr="00CF17A9">
        <w:rPr>
          <w:rFonts w:ascii="Arial Narrow" w:eastAsia="Arial Narrow" w:hAnsi="Arial Narrow" w:cs="Arial Narrow"/>
        </w:rPr>
        <w:t xml:space="preserve">r y sancionar conductas que, bajo el amparo de una manifestación pública, afecten bienes jurídicos constitucionalmente protegidos, siempre que dichas </w:t>
      </w:r>
      <w:r w:rsidRPr="00CF17A9">
        <w:rPr>
          <w:rFonts w:ascii="Arial Narrow" w:eastAsia="Arial Narrow" w:hAnsi="Arial Narrow" w:cs="Arial Narrow"/>
        </w:rPr>
        <w:lastRenderedPageBreak/>
        <w:t>medidas respeten los principios de legalidad, necesidad, proporcionalidad y el núcleo esencial del derecho</w:t>
      </w:r>
      <w:r w:rsidRPr="00CF17A9">
        <w:rPr>
          <w:rFonts w:ascii="Arial Narrow" w:eastAsia="Arial Narrow" w:hAnsi="Arial Narrow" w:cs="Arial Narrow"/>
        </w:rPr>
        <w:t xml:space="preserve"> a la protesta pacífica.</w:t>
      </w:r>
    </w:p>
    <w:p w14:paraId="32A419F5"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 xml:space="preserve">Artículo 2: Son fines esenciales del Estado servir a la comunidad, garantizar la efectividad de los principios, derechos y deberes consagrados en la Constitución, asegurar la convivencia pacífica y mantener la integridad del orden </w:t>
      </w:r>
      <w:r w:rsidRPr="00CF17A9">
        <w:rPr>
          <w:rFonts w:ascii="Arial Narrow" w:eastAsia="Arial Narrow" w:hAnsi="Arial Narrow" w:cs="Arial Narrow"/>
        </w:rPr>
        <w:t>justo.</w:t>
      </w:r>
    </w:p>
    <w:p w14:paraId="5C8493DC"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Artículo 11: El derecho a la vida es inviolable y constituye un bien jurídico cuya protección corresponde al Estado.</w:t>
      </w:r>
    </w:p>
    <w:p w14:paraId="6529402D"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 xml:space="preserve">Artículo 22: La paz es un derecho y un deber de obligatorio cumplimiento, lo que exige la adopción de medidas dirigidas a preservar </w:t>
      </w:r>
      <w:r w:rsidRPr="00CF17A9">
        <w:rPr>
          <w:rFonts w:ascii="Arial Narrow" w:eastAsia="Arial Narrow" w:hAnsi="Arial Narrow" w:cs="Arial Narrow"/>
        </w:rPr>
        <w:t>la convivencia y el orden público.</w:t>
      </w:r>
    </w:p>
    <w:p w14:paraId="7A8FF5B5"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Artículo 24: Garantiza el derecho a la libre circulación, el cual puede verse afectado por bloqueos o alteraciones graves del orden público.</w:t>
      </w:r>
    </w:p>
    <w:p w14:paraId="7FD20827"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Artículo 37: Toda parte del pueblo puede reunirse y manifestarse pública y pacíf</w:t>
      </w:r>
      <w:r w:rsidRPr="00CF17A9">
        <w:rPr>
          <w:rFonts w:ascii="Arial Narrow" w:eastAsia="Arial Narrow" w:hAnsi="Arial Narrow" w:cs="Arial Narrow"/>
        </w:rPr>
        <w:t>icamente. Solo la ley podrá establecer de manera expresa los casos en que se limite el ejercicio de este derecho.</w:t>
      </w:r>
    </w:p>
    <w:p w14:paraId="378FB37C"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Artículo 95: Establece el deber de toda persona de respetar los derechos ajenos y no abusar de los propios, así como de contribuir al mantenim</w:t>
      </w:r>
      <w:r w:rsidRPr="00CF17A9">
        <w:rPr>
          <w:rFonts w:ascii="Arial Narrow" w:eastAsia="Arial Narrow" w:hAnsi="Arial Narrow" w:cs="Arial Narrow"/>
        </w:rPr>
        <w:t>iento de la convivencia pacífica.</w:t>
      </w:r>
    </w:p>
    <w:p w14:paraId="1EE56481"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Artículo 150, numerales 1 y 2: Corresponde al Congreso hacer las leyes, interpretar, reformar y derogar las existentes, así como expedir los códigos en todos los ramos de la legislación, incluyendo el Código Penal.</w:t>
      </w:r>
    </w:p>
    <w:p w14:paraId="614D7523"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w:t>
      </w:r>
      <w:r w:rsidRPr="00CF17A9">
        <w:rPr>
          <w:rFonts w:ascii="Arial Narrow" w:eastAsia="Arial Narrow" w:hAnsi="Arial Narrow" w:cs="Arial Narrow"/>
        </w:rPr>
        <w:t xml:space="preserve">o 189, numeral 4: Corresponde al </w:t>
      </w:r>
      <w:proofErr w:type="gramStart"/>
      <w:r w:rsidRPr="00CF17A9">
        <w:rPr>
          <w:rFonts w:ascii="Arial Narrow" w:eastAsia="Arial Narrow" w:hAnsi="Arial Narrow" w:cs="Arial Narrow"/>
        </w:rPr>
        <w:t>Presidente</w:t>
      </w:r>
      <w:proofErr w:type="gramEnd"/>
      <w:r w:rsidRPr="00CF17A9">
        <w:rPr>
          <w:rFonts w:ascii="Arial Narrow" w:eastAsia="Arial Narrow" w:hAnsi="Arial Narrow" w:cs="Arial Narrow"/>
        </w:rPr>
        <w:t xml:space="preserve"> de la República conservar en todo el territorio el orden público y restablecerlo donde fuere turbado.</w:t>
      </w:r>
    </w:p>
    <w:p w14:paraId="7393BC78" w14:textId="77777777" w:rsidR="00861FE3" w:rsidRPr="00CF17A9" w:rsidRDefault="00C419A0">
      <w:pPr>
        <w:numPr>
          <w:ilvl w:val="0"/>
          <w:numId w:val="8"/>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Artículo 218: La Policía Nacional es un cuerpo armado permanente de naturaleza civil, encargado de mantener la</w:t>
      </w:r>
      <w:r w:rsidRPr="00CF17A9">
        <w:rPr>
          <w:rFonts w:ascii="Arial Narrow" w:eastAsia="Arial Narrow" w:hAnsi="Arial Narrow" w:cs="Arial Narrow"/>
        </w:rPr>
        <w:t>s condiciones necesarias para el ejercicio de los derechos y libertades públicas y asegurar que los habitantes de Colombia convivan en paz.</w:t>
      </w:r>
    </w:p>
    <w:p w14:paraId="05B231FF" w14:textId="77777777" w:rsidR="00861FE3" w:rsidRPr="00CF17A9" w:rsidRDefault="00861FE3">
      <w:pPr>
        <w:pBdr>
          <w:top w:val="nil"/>
          <w:left w:val="nil"/>
          <w:bottom w:val="nil"/>
          <w:right w:val="nil"/>
          <w:between w:val="nil"/>
        </w:pBdr>
        <w:spacing w:line="240" w:lineRule="auto"/>
        <w:ind w:left="780"/>
        <w:rPr>
          <w:rFonts w:ascii="Arial Narrow" w:eastAsia="Arial Narrow" w:hAnsi="Arial Narrow" w:cs="Arial Narrow"/>
          <w:color w:val="000000"/>
        </w:rPr>
      </w:pPr>
    </w:p>
    <w:p w14:paraId="2034B46B" w14:textId="77777777" w:rsidR="00861FE3" w:rsidRPr="00CF17A9" w:rsidRDefault="00C419A0">
      <w:pPr>
        <w:spacing w:line="240" w:lineRule="auto"/>
        <w:rPr>
          <w:rFonts w:ascii="Arial Narrow" w:eastAsia="Arial Narrow" w:hAnsi="Arial Narrow" w:cs="Arial Narrow"/>
          <w:color w:val="000000"/>
        </w:rPr>
      </w:pPr>
      <w:r w:rsidRPr="00CF17A9">
        <w:rPr>
          <w:rFonts w:ascii="Arial Narrow" w:eastAsia="Arial Narrow" w:hAnsi="Arial Narrow" w:cs="Arial Narrow"/>
          <w:b/>
          <w:bCs/>
          <w:i/>
          <w:iCs/>
          <w:color w:val="000000"/>
        </w:rPr>
        <w:t xml:space="preserve">Marco normativo nacional </w:t>
      </w:r>
    </w:p>
    <w:p w14:paraId="20FA29DD"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El presente proyecto de ley se fundamenta en el marco normativo colombiano relacionado con la protección del orden público, la seguridad ciudadana, la convivencia pacífica, la regulación del derecho a la protesta y la potestad del Estado para establecer me</w:t>
      </w:r>
      <w:r w:rsidRPr="00CF17A9">
        <w:rPr>
          <w:rFonts w:ascii="Arial Narrow" w:eastAsia="Arial Narrow" w:hAnsi="Arial Narrow" w:cs="Arial Narrow"/>
        </w:rPr>
        <w:t>didas de política criminal frente a conductas que afecten bienes jurídicos protegidos. En este sentido, el ordenamiento jurídico colombiano reconoce la facultad del legislador para tipificar conductas punibles y establecer sanciones frente a comportamiento</w:t>
      </w:r>
      <w:r w:rsidRPr="00CF17A9">
        <w:rPr>
          <w:rFonts w:ascii="Arial Narrow" w:eastAsia="Arial Narrow" w:hAnsi="Arial Narrow" w:cs="Arial Narrow"/>
        </w:rPr>
        <w:t>s que, bajo el contexto de manifestaciones públicas, excedan los límites constitucionales del derecho a la protesta pacífica y afecten la vida, la integridad personal, los bienes públicos o privados y la tranquilidad ciudadana.</w:t>
      </w:r>
    </w:p>
    <w:p w14:paraId="3824D795"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b/>
          <w:bCs/>
        </w:rPr>
        <w:lastRenderedPageBreak/>
        <w:t>Ley 599 de 2000 – Código Penal Colombiano:</w:t>
      </w:r>
      <w:r w:rsidRPr="00CF17A9">
        <w:rPr>
          <w:rFonts w:ascii="Arial Narrow" w:eastAsia="Arial Narrow" w:hAnsi="Arial Narrow" w:cs="Arial Narrow"/>
        </w:rPr>
        <w:t xml:space="preserve"> Constituye el principal marco normativo en materia penal, al establecer las conductas consideradas delitos, las sanciones aplicables y los principios que orientan la intervención del Estado mediante el derecho pen</w:t>
      </w:r>
      <w:r w:rsidRPr="00CF17A9">
        <w:rPr>
          <w:rFonts w:ascii="Arial Narrow" w:eastAsia="Arial Narrow" w:hAnsi="Arial Narrow" w:cs="Arial Narrow"/>
        </w:rPr>
        <w:t>al. El presente proyecto propone adicionar un nuevo tipo penal denominado “actos vandálicos mediante ocultamiento de identidad” y modificar disposiciones relacionadas con la obstrucción a vías públicas que afecten el orden público.</w:t>
      </w:r>
    </w:p>
    <w:p w14:paraId="786F2FDD"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b/>
          <w:bCs/>
        </w:rPr>
        <w:t xml:space="preserve">Artículo 353A de la Ley </w:t>
      </w:r>
      <w:r w:rsidRPr="00CF17A9">
        <w:rPr>
          <w:rFonts w:ascii="Arial Narrow" w:eastAsia="Arial Narrow" w:hAnsi="Arial Narrow" w:cs="Arial Narrow"/>
          <w:b/>
          <w:bCs/>
        </w:rPr>
        <w:t>599 de 2000 – Obstrucción a vías públicas que afecten el orden público:</w:t>
      </w:r>
      <w:r w:rsidRPr="00CF17A9">
        <w:rPr>
          <w:rFonts w:ascii="Arial Narrow" w:eastAsia="Arial Narrow" w:hAnsi="Arial Narrow" w:cs="Arial Narrow"/>
        </w:rPr>
        <w:t xml:space="preserve"> Regula la conducta de quienes, mediante medios ilícitos, obstaculicen vías públicas o infraestructura de transporte afectando derechos fundamentales y bienes jurídicos colectivos. La m</w:t>
      </w:r>
      <w:r w:rsidRPr="00CF17A9">
        <w:rPr>
          <w:rFonts w:ascii="Arial Narrow" w:eastAsia="Arial Narrow" w:hAnsi="Arial Narrow" w:cs="Arial Narrow"/>
        </w:rPr>
        <w:t>odificación propuesta busca fortalecer la protección del orden público y establecer mayores criterios de responsabilidad frente a estas conductas.</w:t>
      </w:r>
    </w:p>
    <w:p w14:paraId="5C8C2F17"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b/>
          <w:bCs/>
        </w:rPr>
        <w:t>Ley 906 de 2004 – Código de Procedimiento Penal:</w:t>
      </w:r>
      <w:r w:rsidRPr="00CF17A9">
        <w:rPr>
          <w:rFonts w:ascii="Arial Narrow" w:eastAsia="Arial Narrow" w:hAnsi="Arial Narrow" w:cs="Arial Narrow"/>
        </w:rPr>
        <w:t xml:space="preserve"> Regula las etapas de investigación y juzgamiento de las cond</w:t>
      </w:r>
      <w:r w:rsidRPr="00CF17A9">
        <w:rPr>
          <w:rFonts w:ascii="Arial Narrow" w:eastAsia="Arial Narrow" w:hAnsi="Arial Narrow" w:cs="Arial Narrow"/>
        </w:rPr>
        <w:t>uctas delictivas, garantizando la aplicación del debido proceso y las garantías judiciales frente a la persecución penal de quienes incurran en comportamientos tipificados como delitos.</w:t>
      </w:r>
    </w:p>
    <w:p w14:paraId="2F614A37" w14:textId="77777777" w:rsidR="00431D41" w:rsidRPr="00CF17A9" w:rsidRDefault="00431D41">
      <w:pPr>
        <w:spacing w:before="240" w:after="240" w:line="240" w:lineRule="auto"/>
        <w:jc w:val="both"/>
        <w:rPr>
          <w:rFonts w:ascii="Arial Narrow" w:eastAsia="Arial Narrow" w:hAnsi="Arial Narrow" w:cs="Arial Narrow"/>
          <w:b/>
          <w:bCs/>
          <w:i/>
          <w:iCs/>
          <w:color w:val="000000"/>
        </w:rPr>
      </w:pPr>
    </w:p>
    <w:p w14:paraId="14E95464" w14:textId="7514CF7D" w:rsidR="00861FE3" w:rsidRPr="00CF17A9" w:rsidRDefault="00C419A0" w:rsidP="00BE0B6B">
      <w:pPr>
        <w:spacing w:before="240" w:after="240" w:line="240" w:lineRule="auto"/>
        <w:jc w:val="both"/>
        <w:rPr>
          <w:rFonts w:ascii="Arial Narrow" w:eastAsia="Arial Narrow" w:hAnsi="Arial Narrow" w:cs="Arial Narrow"/>
          <w:b/>
          <w:bCs/>
          <w:i/>
          <w:iCs/>
          <w:color w:val="000000"/>
        </w:rPr>
      </w:pPr>
      <w:r w:rsidRPr="00CF17A9">
        <w:rPr>
          <w:rFonts w:ascii="Arial Narrow" w:eastAsia="Arial Narrow" w:hAnsi="Arial Narrow" w:cs="Arial Narrow"/>
          <w:b/>
          <w:bCs/>
          <w:i/>
          <w:iCs/>
          <w:color w:val="000000"/>
        </w:rPr>
        <w:t>Jurisprudencia constitucional colombiana</w:t>
      </w:r>
    </w:p>
    <w:p w14:paraId="56573E71" w14:textId="77777777" w:rsidR="00861FE3" w:rsidRPr="00CF17A9" w:rsidRDefault="00C419A0">
      <w:pPr>
        <w:pBdr>
          <w:top w:val="nil"/>
          <w:left w:val="nil"/>
          <w:bottom w:val="nil"/>
          <w:right w:val="nil"/>
          <w:between w:val="nil"/>
        </w:pBdr>
        <w:spacing w:after="0" w:line="240" w:lineRule="auto"/>
        <w:rPr>
          <w:rFonts w:ascii="Arial Narrow" w:eastAsia="Arial Narrow" w:hAnsi="Arial Narrow" w:cs="Arial Narrow"/>
          <w:i/>
          <w:iCs/>
          <w:color w:val="000000"/>
        </w:rPr>
      </w:pPr>
      <w:r w:rsidRPr="00CF17A9">
        <w:rPr>
          <w:rFonts w:ascii="Arial Narrow" w:eastAsia="Arial Narrow" w:hAnsi="Arial Narrow" w:cs="Arial Narrow"/>
          <w:i/>
          <w:iCs/>
          <w:color w:val="000000"/>
        </w:rPr>
        <w:t xml:space="preserve">Corte Constitucional </w:t>
      </w:r>
    </w:p>
    <w:p w14:paraId="6C036524" w14:textId="77777777" w:rsidR="00861FE3" w:rsidRPr="00CF17A9" w:rsidRDefault="00861FE3">
      <w:pPr>
        <w:pBdr>
          <w:top w:val="nil"/>
          <w:left w:val="nil"/>
          <w:bottom w:val="nil"/>
          <w:right w:val="nil"/>
          <w:between w:val="nil"/>
        </w:pBdr>
        <w:spacing w:after="0" w:line="240" w:lineRule="auto"/>
        <w:rPr>
          <w:rFonts w:ascii="Arial Narrow" w:eastAsia="Arial Narrow" w:hAnsi="Arial Narrow" w:cs="Arial Narrow"/>
          <w:color w:val="000000"/>
        </w:rPr>
      </w:pPr>
    </w:p>
    <w:p w14:paraId="594C0C17" w14:textId="77777777" w:rsidR="00861FE3" w:rsidRPr="00CF17A9" w:rsidRDefault="00C419A0">
      <w:pPr>
        <w:numPr>
          <w:ilvl w:val="0"/>
          <w:numId w:val="9"/>
        </w:numPr>
        <w:spacing w:after="0" w:line="240" w:lineRule="auto"/>
        <w:jc w:val="both"/>
        <w:rPr>
          <w:rFonts w:ascii="Arial Narrow" w:hAnsi="Arial Narrow"/>
        </w:rPr>
      </w:pPr>
      <w:r w:rsidRPr="00CF17A9">
        <w:rPr>
          <w:rFonts w:ascii="Arial Narrow" w:eastAsia="Arial Narrow" w:hAnsi="Arial Narrow" w:cs="Arial Narrow"/>
          <w:b/>
          <w:bCs/>
        </w:rPr>
        <w:t>Sent</w:t>
      </w:r>
      <w:r w:rsidRPr="00CF17A9">
        <w:rPr>
          <w:rFonts w:ascii="Arial Narrow" w:eastAsia="Arial Narrow" w:hAnsi="Arial Narrow" w:cs="Arial Narrow"/>
          <w:b/>
          <w:bCs/>
        </w:rPr>
        <w:t>encia C-223 de 2017:</w:t>
      </w:r>
      <w:r w:rsidRPr="00CF17A9">
        <w:rPr>
          <w:rFonts w:ascii="Arial Narrow" w:eastAsia="Arial Narrow" w:hAnsi="Arial Narrow" w:cs="Arial Narrow"/>
        </w:rPr>
        <w:t xml:space="preserve"> La Corte Constitucional reconoció que el derecho a la reunión y manifestación pública es una garantía fundamental dentro del Estado Social de Derecho, pero precisó que su protección constitucional está condicionada a que su ejercicio s</w:t>
      </w:r>
      <w:r w:rsidRPr="00CF17A9">
        <w:rPr>
          <w:rFonts w:ascii="Arial Narrow" w:eastAsia="Arial Narrow" w:hAnsi="Arial Narrow" w:cs="Arial Narrow"/>
        </w:rPr>
        <w:t xml:space="preserve">ea pacífico y no ampara conductas violentas que afecten derechos de terceros o bienes jurídicos protegidos. </w:t>
      </w:r>
      <w:hyperlink r:id="rId8">
        <w:r w:rsidRPr="00CF17A9">
          <w:rPr>
            <w:rFonts w:ascii="Arial Narrow" w:eastAsia="Arial Narrow" w:hAnsi="Arial Narrow" w:cs="Arial Narrow"/>
          </w:rPr>
          <w:t xml:space="preserve"> </w:t>
        </w:r>
      </w:hyperlink>
      <w:hyperlink r:id="rId9">
        <w:r w:rsidRPr="00CF17A9">
          <w:rPr>
            <w:rFonts w:ascii="Arial Narrow" w:eastAsia="Arial Narrow" w:hAnsi="Arial Narrow" w:cs="Arial Narrow"/>
            <w:color w:val="1155CC"/>
            <w:u w:val="single"/>
          </w:rPr>
          <w:t>https://www.corteconstitucional.gov.co/relatoria/2017/c-223-17.htm</w:t>
        </w:r>
      </w:hyperlink>
      <w:r w:rsidRPr="00CF17A9">
        <w:rPr>
          <w:rFonts w:ascii="Arial Narrow" w:eastAsia="Arial Narrow" w:hAnsi="Arial Narrow" w:cs="Arial Narrow"/>
        </w:rPr>
        <w:t xml:space="preserve"> </w:t>
      </w:r>
    </w:p>
    <w:p w14:paraId="5578AB7E" w14:textId="77777777" w:rsidR="00861FE3" w:rsidRPr="00CF17A9" w:rsidRDefault="00861FE3">
      <w:pPr>
        <w:spacing w:after="0" w:line="240" w:lineRule="auto"/>
        <w:ind w:left="720"/>
        <w:jc w:val="both"/>
        <w:rPr>
          <w:rFonts w:ascii="Arial Narrow" w:eastAsia="Arial Narrow" w:hAnsi="Arial Narrow" w:cs="Arial Narrow"/>
        </w:rPr>
      </w:pPr>
    </w:p>
    <w:p w14:paraId="1157D226" w14:textId="77777777" w:rsidR="00861FE3" w:rsidRPr="00CF17A9" w:rsidRDefault="00C419A0">
      <w:pPr>
        <w:numPr>
          <w:ilvl w:val="0"/>
          <w:numId w:val="9"/>
        </w:numPr>
        <w:spacing w:after="0" w:line="240" w:lineRule="auto"/>
        <w:jc w:val="both"/>
        <w:rPr>
          <w:rFonts w:ascii="Arial Narrow" w:eastAsia="Arial Narrow" w:hAnsi="Arial Narrow" w:cs="Arial Narrow"/>
        </w:rPr>
      </w:pPr>
      <w:r w:rsidRPr="00CF17A9">
        <w:rPr>
          <w:rFonts w:ascii="Arial Narrow" w:eastAsia="Arial Narrow" w:hAnsi="Arial Narrow" w:cs="Arial Narrow"/>
          <w:b/>
          <w:bCs/>
        </w:rPr>
        <w:t>Sentencia C-281 de 2017:</w:t>
      </w:r>
      <w:r w:rsidRPr="00CF17A9">
        <w:rPr>
          <w:rFonts w:ascii="Arial Narrow" w:eastAsia="Arial Narrow" w:hAnsi="Arial Narrow" w:cs="Arial Narrow"/>
        </w:rPr>
        <w:t xml:space="preserve"> La Corte Constitucional estableció que la protesta social constituye un mecanismo legítimo de participación democrática, pero indicó que </w:t>
      </w:r>
      <w:r w:rsidRPr="00CF17A9">
        <w:rPr>
          <w:rFonts w:ascii="Arial Narrow" w:eastAsia="Arial Narrow" w:hAnsi="Arial Narrow" w:cs="Arial Narrow"/>
        </w:rPr>
        <w:t>las restricciones impuestas por el Estado pueden ser constitucionalmente válidas cuando buscan proteger la convivencia, la seguridad y los derechos fundamentales de otras personas.</w:t>
      </w:r>
    </w:p>
    <w:p w14:paraId="7125B951" w14:textId="77777777" w:rsidR="00861FE3" w:rsidRPr="00CF17A9" w:rsidRDefault="00C419A0">
      <w:pPr>
        <w:spacing w:after="0" w:line="240" w:lineRule="auto"/>
        <w:ind w:left="720"/>
        <w:jc w:val="both"/>
        <w:rPr>
          <w:rFonts w:ascii="Arial Narrow" w:eastAsia="Arial Narrow" w:hAnsi="Arial Narrow" w:cs="Arial Narrow"/>
        </w:rPr>
      </w:pPr>
      <w:hyperlink r:id="rId10">
        <w:r w:rsidRPr="00CF17A9">
          <w:rPr>
            <w:rFonts w:ascii="Arial Narrow" w:eastAsia="Arial Narrow" w:hAnsi="Arial Narrow" w:cs="Arial Narrow"/>
            <w:color w:val="1155CC"/>
            <w:u w:val="single"/>
          </w:rPr>
          <w:t>https://www.corteconstitucional.gov.co/relatoria/2017/C-281-17.htm</w:t>
        </w:r>
      </w:hyperlink>
    </w:p>
    <w:p w14:paraId="4F435D7F" w14:textId="77777777" w:rsidR="00861FE3" w:rsidRPr="00CF17A9" w:rsidRDefault="00861FE3">
      <w:pPr>
        <w:spacing w:after="0" w:line="240" w:lineRule="auto"/>
        <w:ind w:left="720"/>
        <w:jc w:val="both"/>
        <w:rPr>
          <w:rFonts w:ascii="Arial Narrow" w:eastAsia="Arial Narrow" w:hAnsi="Arial Narrow" w:cs="Arial Narrow"/>
        </w:rPr>
      </w:pPr>
    </w:p>
    <w:p w14:paraId="6666C1C0" w14:textId="77777777" w:rsidR="00861FE3" w:rsidRPr="00CF17A9" w:rsidRDefault="00C419A0">
      <w:pPr>
        <w:numPr>
          <w:ilvl w:val="0"/>
          <w:numId w:val="1"/>
        </w:numPr>
        <w:spacing w:after="0" w:line="240" w:lineRule="auto"/>
        <w:jc w:val="both"/>
        <w:rPr>
          <w:rFonts w:ascii="Arial Narrow" w:eastAsia="Arial Narrow" w:hAnsi="Arial Narrow" w:cs="Arial Narrow"/>
        </w:rPr>
      </w:pPr>
      <w:r w:rsidRPr="00CF17A9">
        <w:rPr>
          <w:rFonts w:ascii="Arial Narrow" w:eastAsia="Arial Narrow" w:hAnsi="Arial Narrow" w:cs="Arial Narrow"/>
          <w:b/>
          <w:bCs/>
        </w:rPr>
        <w:t>Sentencia C-742 de 2012:</w:t>
      </w:r>
      <w:r w:rsidRPr="00CF17A9">
        <w:rPr>
          <w:rFonts w:ascii="Arial Narrow" w:eastAsia="Arial Narrow" w:hAnsi="Arial Narrow" w:cs="Arial Narrow"/>
        </w:rPr>
        <w:t xml:space="preserve"> La Corte Constitucional reconoció la facultad del legislador para establecer tipos penales orientados a proteger bienes jurídicos relevantes, como la seguridad pública y la convivencia ciudadana, siempre que las medidas respeten los principios de legalida</w:t>
      </w:r>
      <w:r w:rsidRPr="00CF17A9">
        <w:rPr>
          <w:rFonts w:ascii="Arial Narrow" w:eastAsia="Arial Narrow" w:hAnsi="Arial Narrow" w:cs="Arial Narrow"/>
        </w:rPr>
        <w:t>d, razonabilidad y proporcionalidad.</w:t>
      </w:r>
    </w:p>
    <w:p w14:paraId="0F23E32E" w14:textId="77777777" w:rsidR="00861FE3" w:rsidRPr="00CF17A9" w:rsidRDefault="00C419A0">
      <w:pPr>
        <w:spacing w:after="0" w:line="240" w:lineRule="auto"/>
        <w:ind w:left="720"/>
        <w:jc w:val="both"/>
        <w:rPr>
          <w:rFonts w:ascii="Arial Narrow" w:eastAsia="Arial Narrow" w:hAnsi="Arial Narrow" w:cs="Arial Narrow"/>
        </w:rPr>
      </w:pPr>
      <w:hyperlink r:id="rId11">
        <w:r w:rsidRPr="00CF17A9">
          <w:rPr>
            <w:rFonts w:ascii="Arial Narrow" w:eastAsia="Arial Narrow" w:hAnsi="Arial Narrow" w:cs="Arial Narrow"/>
          </w:rPr>
          <w:t xml:space="preserve"> </w:t>
        </w:r>
      </w:hyperlink>
      <w:hyperlink r:id="rId12">
        <w:r w:rsidRPr="00CF17A9">
          <w:rPr>
            <w:rFonts w:ascii="Arial Narrow" w:eastAsia="Arial Narrow" w:hAnsi="Arial Narrow" w:cs="Arial Narrow"/>
            <w:color w:val="1155CC"/>
            <w:u w:val="single"/>
          </w:rPr>
          <w:t>https://www.corteconstitucional.gov.co/relatoria/2012/c-742-12.htm</w:t>
        </w:r>
      </w:hyperlink>
      <w:r w:rsidRPr="00CF17A9">
        <w:rPr>
          <w:rFonts w:ascii="Arial Narrow" w:eastAsia="Arial Narrow" w:hAnsi="Arial Narrow" w:cs="Arial Narrow"/>
        </w:rPr>
        <w:t xml:space="preserve"> </w:t>
      </w:r>
    </w:p>
    <w:p w14:paraId="6ECF1BEC" w14:textId="77777777" w:rsidR="00861FE3" w:rsidRPr="00CF17A9" w:rsidRDefault="00861FE3">
      <w:pPr>
        <w:spacing w:after="0" w:line="240" w:lineRule="auto"/>
        <w:ind w:left="720"/>
        <w:jc w:val="both"/>
        <w:rPr>
          <w:rFonts w:ascii="Arial Narrow" w:eastAsia="Arial Narrow" w:hAnsi="Arial Narrow" w:cs="Arial Narrow"/>
        </w:rPr>
      </w:pPr>
    </w:p>
    <w:p w14:paraId="1A6F2020" w14:textId="77777777" w:rsidR="00861FE3" w:rsidRPr="00CF17A9" w:rsidRDefault="00C419A0">
      <w:pPr>
        <w:numPr>
          <w:ilvl w:val="0"/>
          <w:numId w:val="3"/>
        </w:numPr>
        <w:spacing w:after="0" w:line="240" w:lineRule="auto"/>
        <w:jc w:val="both"/>
        <w:rPr>
          <w:rFonts w:ascii="Arial Narrow" w:eastAsia="Arial Narrow" w:hAnsi="Arial Narrow" w:cs="Arial Narrow"/>
        </w:rPr>
      </w:pPr>
      <w:r w:rsidRPr="00CF17A9">
        <w:rPr>
          <w:rFonts w:ascii="Arial Narrow" w:eastAsia="Arial Narrow" w:hAnsi="Arial Narrow" w:cs="Arial Narrow"/>
          <w:b/>
          <w:bCs/>
        </w:rPr>
        <w:t>Sentencia C-309 de 1997:</w:t>
      </w:r>
      <w:r w:rsidRPr="00CF17A9">
        <w:rPr>
          <w:rFonts w:ascii="Arial Narrow" w:eastAsia="Arial Narrow" w:hAnsi="Arial Narrow" w:cs="Arial Narrow"/>
        </w:rPr>
        <w:t xml:space="preserve"> La Corte Constitucional precisó que el derecho al libre desarrollo de la personalidad no es absoluto, debido a que encuentra límites en los derechos de los demás,</w:t>
      </w:r>
      <w:r w:rsidRPr="00CF17A9">
        <w:rPr>
          <w:rFonts w:ascii="Arial Narrow" w:eastAsia="Arial Narrow" w:hAnsi="Arial Narrow" w:cs="Arial Narrow"/>
        </w:rPr>
        <w:t xml:space="preserve"> el orden jurídico y la prevalencia del interés general. Esta regla resulta aplicable frente al uso de elementos destinados a ocultar la identidad cuando estos trascienden la esfera individual y generan afectaciones a bienes jurídicos protegidos.</w:t>
      </w:r>
    </w:p>
    <w:p w14:paraId="39534A02" w14:textId="4ADA9767" w:rsidR="00861FE3" w:rsidRPr="00CF17A9" w:rsidRDefault="00C419A0" w:rsidP="005A6511">
      <w:pPr>
        <w:spacing w:after="0" w:line="240" w:lineRule="auto"/>
        <w:ind w:left="720"/>
        <w:jc w:val="both"/>
        <w:rPr>
          <w:rFonts w:ascii="Arial Narrow" w:eastAsia="Arial Narrow" w:hAnsi="Arial Narrow" w:cs="Arial Narrow"/>
        </w:rPr>
      </w:pPr>
      <w:hyperlink r:id="rId13">
        <w:r w:rsidRPr="00CF17A9">
          <w:rPr>
            <w:rFonts w:ascii="Arial Narrow" w:eastAsia="Arial Narrow" w:hAnsi="Arial Narrow" w:cs="Arial Narrow"/>
            <w:color w:val="1155CC"/>
            <w:u w:val="single"/>
          </w:rPr>
          <w:t>Sentencia C-309 de 1997 – Corte Constitucional</w:t>
        </w:r>
      </w:hyperlink>
      <w:r w:rsidRPr="00CF17A9">
        <w:rPr>
          <w:rFonts w:ascii="Arial Narrow" w:eastAsia="Arial Narrow" w:hAnsi="Arial Narrow" w:cs="Arial Narrow"/>
        </w:rPr>
        <w:t xml:space="preserve"> </w:t>
      </w:r>
    </w:p>
    <w:p w14:paraId="4B4B099D" w14:textId="77777777" w:rsidR="00861FE3" w:rsidRPr="00CF17A9" w:rsidRDefault="00C419A0">
      <w:pPr>
        <w:numPr>
          <w:ilvl w:val="0"/>
          <w:numId w:val="4"/>
        </w:numPr>
        <w:spacing w:after="0" w:line="240" w:lineRule="auto"/>
        <w:jc w:val="both"/>
        <w:rPr>
          <w:rFonts w:ascii="Arial Narrow" w:eastAsia="Arial Narrow" w:hAnsi="Arial Narrow" w:cs="Arial Narrow"/>
        </w:rPr>
      </w:pPr>
      <w:r w:rsidRPr="00CF17A9">
        <w:rPr>
          <w:rFonts w:ascii="Arial Narrow" w:eastAsia="Arial Narrow" w:hAnsi="Arial Narrow" w:cs="Arial Narrow"/>
          <w:b/>
          <w:bCs/>
        </w:rPr>
        <w:lastRenderedPageBreak/>
        <w:t>Sentencia C-442 de 2011:</w:t>
      </w:r>
      <w:r w:rsidRPr="00CF17A9">
        <w:rPr>
          <w:rFonts w:ascii="Arial Narrow" w:eastAsia="Arial Narrow" w:hAnsi="Arial Narrow" w:cs="Arial Narrow"/>
        </w:rPr>
        <w:t xml:space="preserve"> La Corte Constitucional señaló que los derechos fundamentales, como la libe</w:t>
      </w:r>
      <w:r w:rsidRPr="00CF17A9">
        <w:rPr>
          <w:rFonts w:ascii="Arial Narrow" w:eastAsia="Arial Narrow" w:hAnsi="Arial Narrow" w:cs="Arial Narrow"/>
        </w:rPr>
        <w:t>rtad de expresión y las formas de manifestación individual o colectiva, pueden estar sujetos a límites constitucionalmente legítimos cuando entran en conflicto con otros derechos o bienes jurídicos protegidos por el ordenamiento jurídico.</w:t>
      </w:r>
    </w:p>
    <w:p w14:paraId="18BCB28A" w14:textId="77777777" w:rsidR="00861FE3" w:rsidRPr="00CF17A9" w:rsidRDefault="00C419A0">
      <w:pPr>
        <w:spacing w:after="0" w:line="240" w:lineRule="auto"/>
        <w:ind w:left="720"/>
        <w:jc w:val="both"/>
        <w:rPr>
          <w:rFonts w:ascii="Arial Narrow" w:eastAsia="Arial Narrow" w:hAnsi="Arial Narrow" w:cs="Arial Narrow"/>
        </w:rPr>
      </w:pPr>
      <w:hyperlink r:id="rId14">
        <w:r w:rsidRPr="00CF17A9">
          <w:rPr>
            <w:rFonts w:ascii="Arial Narrow" w:eastAsia="Arial Narrow" w:hAnsi="Arial Narrow" w:cs="Arial Narrow"/>
            <w:color w:val="1155CC"/>
            <w:u w:val="single"/>
          </w:rPr>
          <w:t>Sentencia C-442 de 2011 – Corte Constitucional</w:t>
        </w:r>
      </w:hyperlink>
      <w:r w:rsidRPr="00CF17A9">
        <w:rPr>
          <w:rFonts w:ascii="Arial Narrow" w:eastAsia="Arial Narrow" w:hAnsi="Arial Narrow" w:cs="Arial Narrow"/>
        </w:rPr>
        <w:t xml:space="preserve"> </w:t>
      </w:r>
    </w:p>
    <w:p w14:paraId="1A1A1E32" w14:textId="77777777" w:rsidR="00861FE3" w:rsidRPr="00CF17A9" w:rsidRDefault="00861FE3">
      <w:pPr>
        <w:spacing w:after="0" w:line="240" w:lineRule="auto"/>
        <w:ind w:left="720"/>
        <w:jc w:val="both"/>
        <w:rPr>
          <w:rFonts w:ascii="Arial Narrow" w:eastAsia="Arial Narrow" w:hAnsi="Arial Narrow" w:cs="Arial Narrow"/>
        </w:rPr>
      </w:pPr>
    </w:p>
    <w:p w14:paraId="77051145" w14:textId="0A5F6DE3" w:rsidR="00861FE3" w:rsidRPr="00CF17A9" w:rsidRDefault="00C419A0" w:rsidP="00CF17A9">
      <w:pPr>
        <w:numPr>
          <w:ilvl w:val="0"/>
          <w:numId w:val="5"/>
        </w:numPr>
        <w:spacing w:before="240" w:after="240" w:line="240" w:lineRule="auto"/>
        <w:jc w:val="both"/>
        <w:rPr>
          <w:rFonts w:ascii="Arial Narrow" w:eastAsia="Arial Narrow" w:hAnsi="Arial Narrow" w:cs="Arial Narrow"/>
        </w:rPr>
      </w:pPr>
      <w:r w:rsidRPr="00CF17A9">
        <w:rPr>
          <w:rFonts w:ascii="Arial Narrow" w:eastAsia="Arial Narrow" w:hAnsi="Arial Narrow" w:cs="Arial Narrow"/>
        </w:rPr>
        <w:t xml:space="preserve">Sentencia T-227 de 2025, expediente T-10.611.925 </w:t>
      </w:r>
      <w:r w:rsidR="00431D41" w:rsidRPr="00CF17A9">
        <w:rPr>
          <w:rFonts w:ascii="Arial Narrow" w:eastAsia="Arial Narrow" w:hAnsi="Arial Narrow" w:cs="Arial Narrow"/>
        </w:rPr>
        <w:t>En esta</w:t>
      </w:r>
      <w:r w:rsidR="00431D41" w:rsidRPr="00CF17A9">
        <w:rPr>
          <w:rFonts w:ascii="Arial Narrow" w:eastAsia="Arial Narrow" w:hAnsi="Arial Narrow" w:cs="Arial Narrow"/>
        </w:rPr>
        <w:t xml:space="preserve"> sentencia</w:t>
      </w:r>
      <w:r w:rsidR="00431D41" w:rsidRPr="00CF17A9">
        <w:rPr>
          <w:rFonts w:ascii="Arial Narrow" w:eastAsia="Arial Narrow" w:hAnsi="Arial Narrow" w:cs="Arial Narrow"/>
        </w:rPr>
        <w:t>, se estudió el caso en el cual varias estudiantes de un colegio público denunciaron presuntos actos de acoso sexual atribuidos a docentes y personal de la institución. Con el apoyo de una profesora, organizaron una manifestación artística en la que pretendían cubrirse el rostro, interpretar una canción contra la violencia de género y exhibir testimonios anónimos. Las directivas impidieron la actividad, decisión que la Corte consideró un acto de censura contrario a la libertad de expresión. El caso se originó por una tutela presentada por uno de los profesores señalados, quien alegó la vulneración de su honra y buen nombre. La Corte Constitucional reiteró que el anonimato y el uso de capuchas u otros elementos para cubrir el rostro pueden integrar el ejercicio legítimo de la libertad de expresión y de la protesta pacífica, siempre que la conducta permanezca dentro del ámbito de una manifestación constitucionalmente protegida</w:t>
      </w:r>
      <w:r w:rsidR="00CF17A9" w:rsidRPr="00CF17A9">
        <w:rPr>
          <w:rFonts w:ascii="Arial Narrow" w:eastAsia="Arial Narrow" w:hAnsi="Arial Narrow" w:cs="Arial Narrow"/>
        </w:rPr>
        <w:t xml:space="preserve">. </w:t>
      </w:r>
      <w:hyperlink r:id="rId15" w:history="1">
        <w:r w:rsidR="00CF17A9" w:rsidRPr="00CF17A9">
          <w:rPr>
            <w:rStyle w:val="Hipervnculo"/>
            <w:rFonts w:ascii="Arial Narrow" w:eastAsia="Arial Narrow" w:hAnsi="Arial Narrow" w:cs="Arial Narrow"/>
            <w:color w:val="4F81BD" w:themeColor="accent1"/>
          </w:rPr>
          <w:t>https://www.corteconstitucional.gov.co/relatoria/2025/t-227-25.htm</w:t>
        </w:r>
      </w:hyperlink>
      <w:r w:rsidR="00CF17A9" w:rsidRPr="00CF17A9">
        <w:rPr>
          <w:rFonts w:ascii="Arial Narrow" w:eastAsia="Arial Narrow" w:hAnsi="Arial Narrow" w:cs="Arial Narrow"/>
          <w:color w:val="4F81BD" w:themeColor="accent1"/>
        </w:rPr>
        <w:t xml:space="preserve"> </w:t>
      </w:r>
    </w:p>
    <w:p w14:paraId="6BD3634F" w14:textId="77777777" w:rsidR="00CF17A9" w:rsidRPr="00CF17A9" w:rsidRDefault="00CF17A9" w:rsidP="00CF17A9">
      <w:pPr>
        <w:spacing w:before="240" w:after="240" w:line="240" w:lineRule="auto"/>
        <w:jc w:val="both"/>
        <w:rPr>
          <w:rFonts w:ascii="Arial Narrow" w:eastAsia="Arial Narrow" w:hAnsi="Arial Narrow" w:cs="Arial Narrow"/>
        </w:rPr>
      </w:pPr>
    </w:p>
    <w:p w14:paraId="3183EDEA" w14:textId="77777777" w:rsidR="00431D41" w:rsidRPr="00CF17A9" w:rsidRDefault="00431D41">
      <w:pPr>
        <w:pBdr>
          <w:top w:val="nil"/>
          <w:left w:val="nil"/>
          <w:bottom w:val="nil"/>
          <w:right w:val="nil"/>
          <w:between w:val="nil"/>
        </w:pBdr>
        <w:spacing w:after="0" w:line="240" w:lineRule="auto"/>
        <w:rPr>
          <w:rFonts w:ascii="Arial Narrow" w:eastAsia="Arial Narrow" w:hAnsi="Arial Narrow" w:cs="Arial Narrow"/>
        </w:rPr>
      </w:pPr>
    </w:p>
    <w:p w14:paraId="395E7F1D" w14:textId="692E551B" w:rsidR="00861FE3" w:rsidRPr="00CF17A9" w:rsidRDefault="00C419A0">
      <w:pPr>
        <w:pBdr>
          <w:top w:val="nil"/>
          <w:left w:val="nil"/>
          <w:bottom w:val="nil"/>
          <w:right w:val="nil"/>
          <w:between w:val="nil"/>
        </w:pBdr>
        <w:spacing w:after="0" w:line="240" w:lineRule="auto"/>
        <w:rPr>
          <w:rFonts w:ascii="Arial Narrow" w:eastAsia="Arial Narrow" w:hAnsi="Arial Narrow" w:cs="Arial Narrow"/>
          <w:b/>
          <w:bCs/>
          <w:i/>
          <w:iCs/>
          <w:color w:val="000000"/>
        </w:rPr>
      </w:pPr>
      <w:r w:rsidRPr="00CF17A9">
        <w:rPr>
          <w:rFonts w:ascii="Arial Narrow" w:eastAsia="Arial Narrow" w:hAnsi="Arial Narrow" w:cs="Arial Narrow"/>
          <w:b/>
          <w:bCs/>
          <w:i/>
          <w:iCs/>
          <w:color w:val="000000"/>
        </w:rPr>
        <w:t xml:space="preserve">Marco internacional </w:t>
      </w:r>
    </w:p>
    <w:p w14:paraId="0F78A181"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El presente proyecto de ley se fundamenta en los instrumentos internacionales d</w:t>
      </w:r>
      <w:r w:rsidRPr="00CF17A9">
        <w:rPr>
          <w:rFonts w:ascii="Arial Narrow" w:eastAsia="Arial Narrow" w:hAnsi="Arial Narrow" w:cs="Arial Narrow"/>
        </w:rPr>
        <w:t>e derechos humanos ratificados por Colombia que reconocen el derecho a la reunión y manifestación pacífica, pero que igualmente permiten la adopción de medidas legales necesarias y proporcionales para proteger la seguridad pública, el orden público, la vid</w:t>
      </w:r>
      <w:r w:rsidRPr="00CF17A9">
        <w:rPr>
          <w:rFonts w:ascii="Arial Narrow" w:eastAsia="Arial Narrow" w:hAnsi="Arial Narrow" w:cs="Arial Narrow"/>
        </w:rPr>
        <w:t xml:space="preserve">a, la integridad personal y los derechos de terceros. En este sentido, el derecho internacional reconoce que las libertades fundamentales no tienen carácter absoluto y que los Estados pueden establecer restricciones legítimas cuando determinadas conductas </w:t>
      </w:r>
      <w:r w:rsidRPr="00CF17A9">
        <w:rPr>
          <w:rFonts w:ascii="Arial Narrow" w:eastAsia="Arial Narrow" w:hAnsi="Arial Narrow" w:cs="Arial Narrow"/>
        </w:rPr>
        <w:t>exceden el ámbito protegido de la protesta pacífica y afectan bienes jurídicos constitucionalmente relevantes.</w:t>
      </w:r>
    </w:p>
    <w:p w14:paraId="21D89261"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Pacto Internacional de Derechos Civiles y Políticos (1966) – Artículo 21: Reconoce el derecho de reunión pacífica y establece que este puede esta</w:t>
      </w:r>
      <w:r w:rsidRPr="00CF17A9">
        <w:rPr>
          <w:rFonts w:ascii="Arial Narrow" w:eastAsia="Arial Narrow" w:hAnsi="Arial Narrow" w:cs="Arial Narrow"/>
        </w:rPr>
        <w:t>r sujeto a restricciones previstas por la ley cuando sean necesarias para proteger la seguridad nacional, la seguridad pública, el orden público o los derechos y libertades de los demás. Colombia aprobó este tratado mediante la Ley 74 de 1968, incorporándo</w:t>
      </w:r>
      <w:r w:rsidRPr="00CF17A9">
        <w:rPr>
          <w:rFonts w:ascii="Arial Narrow" w:eastAsia="Arial Narrow" w:hAnsi="Arial Narrow" w:cs="Arial Narrow"/>
        </w:rPr>
        <w:t>se al ordenamiento jurídico nacional.</w:t>
      </w:r>
    </w:p>
    <w:p w14:paraId="798C0237" w14:textId="77777777" w:rsidR="005A6511"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Convención Americana sobre Derechos Humanos (1969) – Artículo 15: Reconoce el derecho de reunión pacífica y sin armas, permitiendo limitaciones legales cuando sean necesarias en una sociedad democrática para proteger l</w:t>
      </w:r>
      <w:r w:rsidRPr="00CF17A9">
        <w:rPr>
          <w:rFonts w:ascii="Arial Narrow" w:eastAsia="Arial Narrow" w:hAnsi="Arial Narrow" w:cs="Arial Narrow"/>
        </w:rPr>
        <w:t>a seguridad, el orden público, los derechos o libertades de otras personas. Colombia aprobó esta Convención mediante la Ley 16 de 1972, por medio de la cual incorporó el Pacto de San José de Costa Rica al ordenamiento interno.</w:t>
      </w:r>
    </w:p>
    <w:p w14:paraId="660B7228" w14:textId="75B69C02"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lastRenderedPageBreak/>
        <w:t>Observación General No. 37 de</w:t>
      </w:r>
      <w:r w:rsidRPr="00CF17A9">
        <w:rPr>
          <w:rFonts w:ascii="Arial Narrow" w:eastAsia="Arial Narrow" w:hAnsi="Arial Narrow" w:cs="Arial Narrow"/>
        </w:rPr>
        <w:t>l Comité de Derechos Humanos de Naciones Unidas sobre el derecho de reunión pacífica: Establece que los Estados tienen la obligación de proteger y facilitar las manifestaciones pacíficas, pero reconoce que pueden adoptar medidas frente a actos de violencia</w:t>
      </w:r>
      <w:r w:rsidRPr="00CF17A9">
        <w:rPr>
          <w:rFonts w:ascii="Arial Narrow" w:eastAsia="Arial Narrow" w:hAnsi="Arial Narrow" w:cs="Arial Narrow"/>
        </w:rPr>
        <w:t xml:space="preserve"> o conductas que afecten derechos fundamentales de terceros, siempre respetando los principios de legalidad, necesidad y proporcionalidad.</w:t>
      </w:r>
    </w:p>
    <w:p w14:paraId="60275194"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 xml:space="preserve">Declaración Universal de Derechos Humanos (1948) – Artículo 20: Reconoce el derecho de toda persona a la libertad de </w:t>
      </w:r>
      <w:r w:rsidRPr="00CF17A9">
        <w:rPr>
          <w:rFonts w:ascii="Arial Narrow" w:eastAsia="Arial Narrow" w:hAnsi="Arial Narrow" w:cs="Arial Narrow"/>
        </w:rPr>
        <w:t>reunión y asociación pacíficas, estableciendo un estándar internacional de protección de la participación ciudadana y la expresión colectiva. Este instrumento sirve como referencia interpretativa dentro del sistema internacional de derechos humanos.</w:t>
      </w:r>
    </w:p>
    <w:p w14:paraId="5F718DEE"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 xml:space="preserve">Experiencia comparada: Chile – Regulación del ocultamiento de identidad en manifestaciones públicas: Chile ha desarrollado iniciativas legislativas orientadas a sancionar conductas violentas cometidas durante manifestaciones públicas y el uso de elementos </w:t>
      </w:r>
      <w:r w:rsidRPr="00CF17A9">
        <w:rPr>
          <w:rFonts w:ascii="Arial Narrow" w:eastAsia="Arial Narrow" w:hAnsi="Arial Narrow" w:cs="Arial Narrow"/>
        </w:rPr>
        <w:t>destinados a impedir la identificación de responsables. Esta experiencia comparada evidencia que algunos Estados han considerado necesario fortalecer sus herramientas jurídicas cuando el anonimato es utilizado como mecanismo para facilitar la comisión de d</w:t>
      </w:r>
      <w:r w:rsidRPr="00CF17A9">
        <w:rPr>
          <w:rFonts w:ascii="Arial Narrow" w:eastAsia="Arial Narrow" w:hAnsi="Arial Narrow" w:cs="Arial Narrow"/>
        </w:rPr>
        <w:t>elitos en contextos de protesta.</w:t>
      </w:r>
    </w:p>
    <w:p w14:paraId="289C589E" w14:textId="02ED6AFE" w:rsidR="00861FE3" w:rsidRPr="00CF17A9" w:rsidRDefault="00C419A0" w:rsidP="00431D41">
      <w:pPr>
        <w:spacing w:before="240" w:after="240" w:line="276" w:lineRule="auto"/>
        <w:ind w:right="600"/>
        <w:jc w:val="both"/>
        <w:rPr>
          <w:rFonts w:ascii="Arial Narrow" w:eastAsia="Arial Narrow" w:hAnsi="Arial Narrow" w:cs="Arial Narrow"/>
        </w:rPr>
      </w:pPr>
      <w:r w:rsidRPr="00CF17A9">
        <w:rPr>
          <w:rFonts w:ascii="Arial Narrow" w:eastAsia="Arial Narrow" w:hAnsi="Arial Narrow" w:cs="Arial Narrow"/>
        </w:rPr>
        <w:t xml:space="preserve">El derecho internacional no protege únicamente la manifestación como expresión democrática, sino que exige a los Estados garantizar un equilibrio entre la libertad de protesta y la protección de otros derechos fundamentales. En consecuencia, la regulación </w:t>
      </w:r>
      <w:r w:rsidRPr="00CF17A9">
        <w:rPr>
          <w:rFonts w:ascii="Arial Narrow" w:eastAsia="Arial Narrow" w:hAnsi="Arial Narrow" w:cs="Arial Narrow"/>
        </w:rPr>
        <w:t>del ocultamiento de identidad no se dirige contra la protesta pacífica, sino contra su utilización instrumental como mecanismo para facilitar conductas delictivas que afectan la seguridad ciudadana, la vida, la integridad personal y los bienes públicos y p</w:t>
      </w:r>
      <w:r w:rsidRPr="00CF17A9">
        <w:rPr>
          <w:rFonts w:ascii="Arial Narrow" w:eastAsia="Arial Narrow" w:hAnsi="Arial Narrow" w:cs="Arial Narrow"/>
        </w:rPr>
        <w:t>rivados.</w:t>
      </w:r>
    </w:p>
    <w:p w14:paraId="11007F2A" w14:textId="0F20121A" w:rsidR="00861FE3" w:rsidRPr="00CF17A9" w:rsidRDefault="00BE0B6B">
      <w:pPr>
        <w:spacing w:line="276" w:lineRule="auto"/>
        <w:jc w:val="both"/>
        <w:rPr>
          <w:rFonts w:ascii="Arial Narrow" w:eastAsia="Arial Narrow" w:hAnsi="Arial Narrow" w:cs="Arial Narrow"/>
          <w:b/>
          <w:bCs/>
        </w:rPr>
      </w:pPr>
      <w:r w:rsidRPr="00CF17A9">
        <w:rPr>
          <w:rFonts w:ascii="Arial Narrow" w:eastAsia="Arial Narrow" w:hAnsi="Arial Narrow" w:cs="Arial Narrow"/>
          <w:b/>
          <w:bCs/>
        </w:rPr>
        <w:t>Antecedentes Legislativos.</w:t>
      </w:r>
    </w:p>
    <w:p w14:paraId="5B1B38F6" w14:textId="77777777" w:rsidR="00861FE3" w:rsidRPr="00CF17A9" w:rsidRDefault="00C419A0">
      <w:pPr>
        <w:numPr>
          <w:ilvl w:val="0"/>
          <w:numId w:val="2"/>
        </w:numPr>
        <w:spacing w:before="240" w:after="0" w:line="276" w:lineRule="auto"/>
        <w:jc w:val="both"/>
        <w:rPr>
          <w:rFonts w:ascii="Arial Narrow" w:eastAsia="Arial Narrow" w:hAnsi="Arial Narrow" w:cs="Arial Narrow"/>
        </w:rPr>
      </w:pPr>
      <w:r w:rsidRPr="00CF17A9">
        <w:rPr>
          <w:rFonts w:ascii="Arial Narrow" w:eastAsia="Arial Narrow" w:hAnsi="Arial Narrow" w:cs="Arial Narrow"/>
          <w:b/>
          <w:bCs/>
        </w:rPr>
        <w:t>Proyecto de Ley Estatutaria 270 de 2023 Cámara – “Por medio de la cual se establecen garantías al derecho fundamental a la protesta social y la manifestación pública y se dictan otras disposiciones”:</w:t>
      </w:r>
      <w:r w:rsidRPr="00CF17A9">
        <w:rPr>
          <w:rFonts w:ascii="Arial Narrow" w:eastAsia="Arial Narrow" w:hAnsi="Arial Narrow" w:cs="Arial Narrow"/>
        </w:rPr>
        <w:t xml:space="preserve"> Esta iniciativa busc</w:t>
      </w:r>
      <w:r w:rsidRPr="00CF17A9">
        <w:rPr>
          <w:rFonts w:ascii="Arial Narrow" w:eastAsia="Arial Narrow" w:hAnsi="Arial Narrow" w:cs="Arial Narrow"/>
        </w:rPr>
        <w:t>ó regular los principios, mecanismos y garantías para el ejercicio del derecho fundamental a la protesta social y la manifestación pública, estableciendo un marco de protección conforme al artículo 37 de la Constitución Política y los estándares internacio</w:t>
      </w:r>
      <w:r w:rsidRPr="00CF17A9">
        <w:rPr>
          <w:rFonts w:ascii="Arial Narrow" w:eastAsia="Arial Narrow" w:hAnsi="Arial Narrow" w:cs="Arial Narrow"/>
        </w:rPr>
        <w:t>nales de derechos humanos. Constituye un antecedente relevante porque reconoce la necesidad de diferenciar entre la protesta legítima y aquellas actuaciones que pueden afectar otros bienes jurídicos protegidos.</w:t>
      </w:r>
      <w:r w:rsidRPr="00CF17A9">
        <w:rPr>
          <w:rFonts w:ascii="Arial Narrow" w:eastAsia="Arial Narrow" w:hAnsi="Arial Narrow" w:cs="Arial Narrow"/>
        </w:rPr>
        <w:br/>
        <w:t xml:space="preserve"> </w:t>
      </w:r>
      <w:hyperlink r:id="rId16">
        <w:r w:rsidRPr="00CF17A9">
          <w:rPr>
            <w:rFonts w:ascii="Arial Narrow" w:eastAsia="Arial Narrow" w:hAnsi="Arial Narrow" w:cs="Arial Narrow"/>
            <w:color w:val="1155CC"/>
            <w:u w:val="single"/>
          </w:rPr>
          <w:t>https://www.camara.gov.co/protesta-social-1193/</w:t>
        </w:r>
        <w:r w:rsidRPr="00CF17A9">
          <w:rPr>
            <w:rFonts w:ascii="Arial Narrow" w:eastAsia="Arial Narrow" w:hAnsi="Arial Narrow" w:cs="Arial Narrow"/>
            <w:color w:val="1155CC"/>
            <w:u w:val="single"/>
          </w:rPr>
          <w:br/>
        </w:r>
      </w:hyperlink>
    </w:p>
    <w:p w14:paraId="3E6512E1" w14:textId="77777777" w:rsidR="00861FE3" w:rsidRPr="00CF17A9" w:rsidRDefault="00C419A0">
      <w:pPr>
        <w:numPr>
          <w:ilvl w:val="0"/>
          <w:numId w:val="10"/>
        </w:numPr>
        <w:spacing w:after="0" w:line="276" w:lineRule="auto"/>
        <w:jc w:val="both"/>
        <w:rPr>
          <w:rFonts w:ascii="Arial Narrow" w:eastAsia="Arial Narrow" w:hAnsi="Arial Narrow" w:cs="Arial Narrow"/>
        </w:rPr>
      </w:pPr>
      <w:r w:rsidRPr="00CF17A9">
        <w:rPr>
          <w:rFonts w:ascii="Arial Narrow" w:eastAsia="Arial Narrow" w:hAnsi="Arial Narrow" w:cs="Arial Narrow"/>
          <w:b/>
          <w:bCs/>
        </w:rPr>
        <w:t>Proyecto de Ley Estatutaria 275 de 2023 Cámara – “Por el cual se regula el artículo 37 de la Constitución Política y se dictan otras disposiciones”:</w:t>
      </w:r>
      <w:r w:rsidRPr="00CF17A9">
        <w:rPr>
          <w:rFonts w:ascii="Arial Narrow" w:eastAsia="Arial Narrow" w:hAnsi="Arial Narrow" w:cs="Arial Narrow"/>
        </w:rPr>
        <w:t xml:space="preserve"> Esta iniciativa tuvo como finalidad</w:t>
      </w:r>
      <w:r w:rsidRPr="00CF17A9">
        <w:rPr>
          <w:rFonts w:ascii="Arial Narrow" w:eastAsia="Arial Narrow" w:hAnsi="Arial Narrow" w:cs="Arial Narrow"/>
        </w:rPr>
        <w:t xml:space="preserve"> establecer reglas para la manifestación social y pacífica, determinando derechos, deberes y responsabilidades de los participantes, promotores y autoridades durante las movilizaciones públicas. </w:t>
      </w:r>
      <w:r w:rsidRPr="00CF17A9">
        <w:rPr>
          <w:rFonts w:ascii="Arial Narrow" w:eastAsia="Arial Narrow" w:hAnsi="Arial Narrow" w:cs="Arial Narrow"/>
        </w:rPr>
        <w:lastRenderedPageBreak/>
        <w:t>Dentro de su contenido se plantearon obligaciones relacionada</w:t>
      </w:r>
      <w:r w:rsidRPr="00CF17A9">
        <w:rPr>
          <w:rFonts w:ascii="Arial Narrow" w:eastAsia="Arial Narrow" w:hAnsi="Arial Narrow" w:cs="Arial Narrow"/>
        </w:rPr>
        <w:t>s con evitar actos de violencia, vandalismo y afectaciones al patrimonio público y privado.</w:t>
      </w:r>
      <w:r w:rsidRPr="00CF17A9">
        <w:rPr>
          <w:rFonts w:ascii="Arial Narrow" w:eastAsia="Arial Narrow" w:hAnsi="Arial Narrow" w:cs="Arial Narrow"/>
        </w:rPr>
        <w:br/>
      </w:r>
      <w:hyperlink r:id="rId17">
        <w:r w:rsidRPr="00CF17A9">
          <w:rPr>
            <w:rFonts w:ascii="Arial Narrow" w:eastAsia="Arial Narrow" w:hAnsi="Arial Narrow" w:cs="Arial Narrow"/>
            <w:color w:val="1155CC"/>
            <w:u w:val="single"/>
          </w:rPr>
          <w:t>https://www.camara.gov.co/manifestacion-social-1188/</w:t>
        </w:r>
        <w:r w:rsidRPr="00CF17A9">
          <w:rPr>
            <w:rFonts w:ascii="Arial Narrow" w:eastAsia="Arial Narrow" w:hAnsi="Arial Narrow" w:cs="Arial Narrow"/>
            <w:color w:val="1155CC"/>
            <w:u w:val="single"/>
          </w:rPr>
          <w:br/>
        </w:r>
      </w:hyperlink>
    </w:p>
    <w:p w14:paraId="46920F97" w14:textId="77777777" w:rsidR="00861FE3" w:rsidRPr="00CF17A9" w:rsidRDefault="00C419A0">
      <w:pPr>
        <w:numPr>
          <w:ilvl w:val="0"/>
          <w:numId w:val="10"/>
        </w:numPr>
        <w:spacing w:after="240" w:line="276" w:lineRule="auto"/>
        <w:jc w:val="both"/>
        <w:rPr>
          <w:rFonts w:ascii="Arial Narrow" w:eastAsia="Arial Narrow" w:hAnsi="Arial Narrow" w:cs="Arial Narrow"/>
        </w:rPr>
      </w:pPr>
      <w:r w:rsidRPr="00CF17A9">
        <w:rPr>
          <w:rFonts w:ascii="Arial Narrow" w:eastAsia="Arial Narrow" w:hAnsi="Arial Narrow" w:cs="Arial Narrow"/>
          <w:b/>
          <w:bCs/>
        </w:rPr>
        <w:t>Proyecto de Ley</w:t>
      </w:r>
      <w:r w:rsidRPr="00CF17A9">
        <w:rPr>
          <w:rFonts w:ascii="Arial Narrow" w:eastAsia="Arial Narrow" w:hAnsi="Arial Narrow" w:cs="Arial Narrow"/>
          <w:b/>
          <w:bCs/>
        </w:rPr>
        <w:t xml:space="preserve"> Estatutaria 166 de 2024 Cámara – “Por medio de la cual se reglamenta, garantiza y protege el derecho a la reunión, manifestación y protesta social, pública y pacífica y se dictan otras disposiciones”:</w:t>
      </w:r>
      <w:r w:rsidRPr="00CF17A9">
        <w:rPr>
          <w:rFonts w:ascii="Arial Narrow" w:eastAsia="Arial Narrow" w:hAnsi="Arial Narrow" w:cs="Arial Narrow"/>
        </w:rPr>
        <w:t xml:space="preserve"> Esta iniciativa buscó desarrollar legislativamente el </w:t>
      </w:r>
      <w:r w:rsidRPr="00CF17A9">
        <w:rPr>
          <w:rFonts w:ascii="Arial Narrow" w:eastAsia="Arial Narrow" w:hAnsi="Arial Narrow" w:cs="Arial Narrow"/>
        </w:rPr>
        <w:t>derecho de reunión y protesta pública, estableciendo garantías para su ejercicio y mecanismos de organización institucional frente a las movilizaciones sociales. Su discusión legislativa constituye un antecedente importante porque refleja la necesidad de e</w:t>
      </w:r>
      <w:r w:rsidRPr="00CF17A9">
        <w:rPr>
          <w:rFonts w:ascii="Arial Narrow" w:eastAsia="Arial Narrow" w:hAnsi="Arial Narrow" w:cs="Arial Narrow"/>
        </w:rPr>
        <w:t>stablecer límites jurídicos entre la protesta pacífica y las conductas que generan afectaciones a terceros.</w:t>
      </w:r>
      <w:r w:rsidRPr="00CF17A9">
        <w:rPr>
          <w:rFonts w:ascii="Arial Narrow" w:eastAsia="Arial Narrow" w:hAnsi="Arial Narrow" w:cs="Arial Narrow"/>
          <w:b/>
          <w:bCs/>
        </w:rPr>
        <w:br/>
      </w:r>
      <w:hyperlink r:id="rId18">
        <w:r w:rsidRPr="00CF17A9">
          <w:rPr>
            <w:rFonts w:ascii="Arial Narrow" w:eastAsia="Arial Narrow" w:hAnsi="Arial Narrow" w:cs="Arial Narrow"/>
            <w:color w:val="1155CC"/>
            <w:u w:val="single"/>
          </w:rPr>
          <w:t>https://www.camara.gov.co/protesta-social-839/</w:t>
        </w:r>
      </w:hyperlink>
    </w:p>
    <w:p w14:paraId="6C6CE321" w14:textId="77777777" w:rsidR="00861FE3" w:rsidRPr="00CF17A9" w:rsidRDefault="00C419A0">
      <w:pPr>
        <w:spacing w:after="0" w:line="276" w:lineRule="auto"/>
        <w:jc w:val="both"/>
        <w:rPr>
          <w:rFonts w:ascii="Arial Narrow" w:eastAsia="Times New Roman" w:hAnsi="Arial Narrow" w:cs="Times New Roman"/>
        </w:rPr>
      </w:pPr>
      <w:r w:rsidRPr="00CF17A9">
        <w:rPr>
          <w:rFonts w:ascii="Arial Narrow" w:eastAsia="Times New Roman" w:hAnsi="Arial Narrow" w:cs="Times New Roman"/>
        </w:rPr>
        <w:t xml:space="preserve"> </w:t>
      </w:r>
    </w:p>
    <w:p w14:paraId="28524993" w14:textId="77777777" w:rsidR="00861FE3" w:rsidRPr="00CF17A9" w:rsidRDefault="00C419A0">
      <w:pPr>
        <w:spacing w:line="276" w:lineRule="auto"/>
        <w:jc w:val="both"/>
        <w:rPr>
          <w:rFonts w:ascii="Arial Narrow" w:eastAsia="Arial Narrow" w:hAnsi="Arial Narrow" w:cs="Arial Narrow"/>
          <w:b/>
          <w:bCs/>
        </w:rPr>
      </w:pPr>
      <w:r w:rsidRPr="00CF17A9">
        <w:rPr>
          <w:rFonts w:ascii="Arial Narrow" w:eastAsia="Arial Narrow" w:hAnsi="Arial Narrow" w:cs="Arial Narrow"/>
          <w:b/>
          <w:bCs/>
        </w:rPr>
        <w:t>5. JUSTIFI</w:t>
      </w:r>
      <w:r w:rsidRPr="00CF17A9">
        <w:rPr>
          <w:rFonts w:ascii="Arial Narrow" w:eastAsia="Arial Narrow" w:hAnsi="Arial Narrow" w:cs="Arial Narrow"/>
          <w:b/>
          <w:bCs/>
        </w:rPr>
        <w:t>CACIÓN DEL PROYECTO DE LEY</w:t>
      </w:r>
    </w:p>
    <w:p w14:paraId="77DD451F"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El presente proyecto de ley responde a la necesidad de establecer una regulación penal específica frente al fenómeno de la utilización del ocultamiento de identidad como mecanismo para facilitar la comisión de actos vandálicos du</w:t>
      </w:r>
      <w:r w:rsidRPr="00CF17A9">
        <w:rPr>
          <w:rFonts w:ascii="Arial Narrow" w:eastAsia="Arial Narrow" w:hAnsi="Arial Narrow" w:cs="Arial Narrow"/>
        </w:rPr>
        <w:t>rante manifestaciones públicas. La iniciativa no pretende sancionar el uso de capuchas, máscaras o elementos similares como manifestación individual de autonomía o como expresión propia dentro de escenarios colectivos, sino aquellos eventos en los cuales d</w:t>
      </w:r>
      <w:r w:rsidRPr="00CF17A9">
        <w:rPr>
          <w:rFonts w:ascii="Arial Narrow" w:eastAsia="Arial Narrow" w:hAnsi="Arial Narrow" w:cs="Arial Narrow"/>
        </w:rPr>
        <w:t>ichos elementos son empleados deliberadamente para impedir la identificación de responsables, favorecer la ejecución de conductas delictivas y generar condiciones de impunidad frente a afectaciones contra la vida, la integridad personal, el patrimonio públ</w:t>
      </w:r>
      <w:r w:rsidRPr="00CF17A9">
        <w:rPr>
          <w:rFonts w:ascii="Arial Narrow" w:eastAsia="Arial Narrow" w:hAnsi="Arial Narrow" w:cs="Arial Narrow"/>
        </w:rPr>
        <w:t>ico y privado y la seguridad ciudadana.</w:t>
      </w:r>
    </w:p>
    <w:p w14:paraId="7EB1A35B"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 xml:space="preserve">La problemática objeto de regulación se encuentra relacionada con una modalidad específica de criminalidad circunstancial en la cual algunos individuos aprovechan escenarios legítimos de concentración ciudadana para </w:t>
      </w:r>
      <w:r w:rsidRPr="00CF17A9">
        <w:rPr>
          <w:rFonts w:ascii="Arial Narrow" w:eastAsia="Arial Narrow" w:hAnsi="Arial Narrow" w:cs="Arial Narrow"/>
        </w:rPr>
        <w:t>ejecutar conductas violentas bajo condiciones de anonimato. El ocultamiento de identidad, cuando es utilizado con una finalidad delictiva, genera una afectación adicional al ejercicio de la función investigativa del Estado, debido a que dificulta la indivi</w:t>
      </w:r>
      <w:r w:rsidRPr="00CF17A9">
        <w:rPr>
          <w:rFonts w:ascii="Arial Narrow" w:eastAsia="Arial Narrow" w:hAnsi="Arial Narrow" w:cs="Arial Narrow"/>
        </w:rPr>
        <w:t>dualización de los responsables y reduce la capacidad institucional para garantizar una respuesta efectiva frente a daños ocasionados a la comunidad.</w:t>
      </w:r>
    </w:p>
    <w:p w14:paraId="7FD4C5E0"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Desde la perspectiva del derecho penal, el uso de elementos destinados a ocultar la identidad constituye u</w:t>
      </w:r>
      <w:r w:rsidRPr="00CF17A9">
        <w:rPr>
          <w:rFonts w:ascii="Arial Narrow" w:eastAsia="Arial Narrow" w:hAnsi="Arial Narrow" w:cs="Arial Narrow"/>
        </w:rPr>
        <w:t>n factor que puede incrementar la capacidad del sujeto activo para ejecutar la conducta punible y evadir la acción de las autoridades. En este sentido, la presente iniciativa se fundamenta en el principio de protección de bienes jurídicos, entendido como l</w:t>
      </w:r>
      <w:r w:rsidRPr="00CF17A9">
        <w:rPr>
          <w:rFonts w:ascii="Arial Narrow" w:eastAsia="Arial Narrow" w:hAnsi="Arial Narrow" w:cs="Arial Narrow"/>
        </w:rPr>
        <w:t>a facultad del Estado para intervenir mediante el derecho penal cuando determinadas conductas afectan intereses esenciales para la convivencia social. Como lo ha señalado la Corte Constitucional, el legislador cuenta con un margen de configuración en mater</w:t>
      </w:r>
      <w:r w:rsidRPr="00CF17A9">
        <w:rPr>
          <w:rFonts w:ascii="Arial Narrow" w:eastAsia="Arial Narrow" w:hAnsi="Arial Narrow" w:cs="Arial Narrow"/>
        </w:rPr>
        <w:t>ia penal para establecer conductas punibles y circunstancias de agravación cuando estas respondan a criterios de razonabilidad, proporcionalidad y protección constitucional.</w:t>
      </w:r>
    </w:p>
    <w:p w14:paraId="20B83144"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lastRenderedPageBreak/>
        <w:t>La Corte Constitucional, mediante la Sentencia C-365 de 2012, reconoció que corresponde al Congreso de la República definir la política criminal del Estado y establecer los comportamientos que requieren una respuesta penal, siempre que las medidas adoptada</w:t>
      </w:r>
      <w:r w:rsidRPr="00CF17A9">
        <w:rPr>
          <w:rFonts w:ascii="Arial Narrow" w:eastAsia="Arial Narrow" w:hAnsi="Arial Narrow" w:cs="Arial Narrow"/>
        </w:rPr>
        <w:t>s respeten los límites constitucionales. En consecuencia, la creación de un tipo penal autónomo relacionado con actos vandálicos cometidos mediante ocultamiento de identidad constituye una herramienta legítima de política criminal dirigida a responder fren</w:t>
      </w:r>
      <w:r w:rsidRPr="00CF17A9">
        <w:rPr>
          <w:rFonts w:ascii="Arial Narrow" w:eastAsia="Arial Narrow" w:hAnsi="Arial Narrow" w:cs="Arial Narrow"/>
        </w:rPr>
        <w:t>te a una modalidad específica de afectación del orden público.</w:t>
      </w:r>
    </w:p>
    <w:p w14:paraId="5546C02A"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Asimismo, la Corte Constitucional ha señalado que la protección constitucional de las libertades individuales no puede comprender aquellas actuaciones que instrumentalizan derechos fundamentale</w:t>
      </w:r>
      <w:r w:rsidRPr="00CF17A9">
        <w:rPr>
          <w:rFonts w:ascii="Arial Narrow" w:eastAsia="Arial Narrow" w:hAnsi="Arial Narrow" w:cs="Arial Narrow"/>
        </w:rPr>
        <w:t>s para cometer delitos. En la Sentencia C-309 de 1997, la Corporación reiteró que ningún derecho fundamental es absoluto y que su ejercicio encuentra límites en los derechos de los demás, el orden jurídico y el interés general. Bajo esta premisa, el uso de</w:t>
      </w:r>
      <w:r w:rsidRPr="00CF17A9">
        <w:rPr>
          <w:rFonts w:ascii="Arial Narrow" w:eastAsia="Arial Narrow" w:hAnsi="Arial Narrow" w:cs="Arial Narrow"/>
        </w:rPr>
        <w:t xml:space="preserve"> una capucha o elemento de ocultamiento de identidad puede encontrarse protegido cuando responde a una expresión personal legítima; sin embargo, pierde dicha protección constitucional cuando se convierte en un medio para facilitar ataques contra personas, </w:t>
      </w:r>
      <w:r w:rsidRPr="00CF17A9">
        <w:rPr>
          <w:rFonts w:ascii="Arial Narrow" w:eastAsia="Arial Narrow" w:hAnsi="Arial Narrow" w:cs="Arial Narrow"/>
        </w:rPr>
        <w:t>bienes o infraestructura pública.</w:t>
      </w:r>
    </w:p>
    <w:p w14:paraId="1646E985"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 xml:space="preserve">La necesidad de esta regulación también se fundamenta en la protección del orden constitucional y la seguridad ciudadana. Los actos vandálicos ejecutados bajo anonimato afectan no solamente bienes materiales, sino también </w:t>
      </w:r>
      <w:r w:rsidRPr="00CF17A9">
        <w:rPr>
          <w:rFonts w:ascii="Arial Narrow" w:eastAsia="Arial Narrow" w:hAnsi="Arial Narrow" w:cs="Arial Narrow"/>
        </w:rPr>
        <w:t>la confianza ciudadana en las instituciones, la capacidad del Estado para garantizar la convivencia pacífica y el normal funcionamiento de servicios esenciales. Por ello, resulta necesario que el ordenamiento jurídico contemple una respuesta diferenciada f</w:t>
      </w:r>
      <w:r w:rsidRPr="00CF17A9">
        <w:rPr>
          <w:rFonts w:ascii="Arial Narrow" w:eastAsia="Arial Narrow" w:hAnsi="Arial Narrow" w:cs="Arial Narrow"/>
        </w:rPr>
        <w:t>rente a quienes utilizan mecanismos de ocultamiento de identidad para aumentar su capacidad ofensiva o dificultar la acción de la justicia.</w:t>
      </w:r>
    </w:p>
    <w:p w14:paraId="39795A20"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En el ámbito internacional, los estándares de derechos humanos reconocen que los Estados pueden adoptar medidas legi</w:t>
      </w:r>
      <w:r w:rsidRPr="00CF17A9">
        <w:rPr>
          <w:rFonts w:ascii="Arial Narrow" w:eastAsia="Arial Narrow" w:hAnsi="Arial Narrow" w:cs="Arial Narrow"/>
        </w:rPr>
        <w:t>slativas orientadas a proteger la seguridad pública y los derechos de terceros frente a conductas violentas desarrolladas durante reuniones o manifestaciones. El artículo 21 del Pacto Internacional de Derechos Civiles y Políticos, incorporado al ordenamien</w:t>
      </w:r>
      <w:r w:rsidRPr="00CF17A9">
        <w:rPr>
          <w:rFonts w:ascii="Arial Narrow" w:eastAsia="Arial Narrow" w:hAnsi="Arial Narrow" w:cs="Arial Narrow"/>
        </w:rPr>
        <w:t xml:space="preserve">to colombiano mediante la Ley 74 de 1968, establece que el derecho de reunión pacífica puede estar sujeto a restricciones legales necesarias para proteger la seguridad pública, el orden público y los derechos y libertades de los demás. De igual manera, el </w:t>
      </w:r>
      <w:r w:rsidRPr="00CF17A9">
        <w:rPr>
          <w:rFonts w:ascii="Arial Narrow" w:eastAsia="Arial Narrow" w:hAnsi="Arial Narrow" w:cs="Arial Narrow"/>
        </w:rPr>
        <w:t>artículo 15 de la Convención Americana sobre Derechos Humanos, aprobada mediante la Ley 16 de 1972, reconoce límites legítimos al derecho de reunión cuando sea necesario garantizar una sociedad democrática.</w:t>
      </w:r>
    </w:p>
    <w:p w14:paraId="7F834A0C"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En este contexto, la presente iniciativa legislat</w:t>
      </w:r>
      <w:r w:rsidRPr="00CF17A9">
        <w:rPr>
          <w:rFonts w:ascii="Arial Narrow" w:eastAsia="Arial Narrow" w:hAnsi="Arial Narrow" w:cs="Arial Narrow"/>
        </w:rPr>
        <w:t>iva busca establecer una herramienta jurídica proporcional frente a una conducta concreta: la utilización del ocultamiento de identidad como medio para ejecutar actos vandálicos. La finalidad del proyecto no es criminalizar la protesta social ni establecer</w:t>
      </w:r>
      <w:r w:rsidRPr="00CF17A9">
        <w:rPr>
          <w:rFonts w:ascii="Arial Narrow" w:eastAsia="Arial Narrow" w:hAnsi="Arial Narrow" w:cs="Arial Narrow"/>
        </w:rPr>
        <w:t xml:space="preserve"> una prohibición general sobre el uso de prendas que cubran el rostro, sino impedir que el anonimato sea utilizado como una ventaja para cometer delitos y afectar bienes jurídicos fundamentales.</w:t>
      </w:r>
    </w:p>
    <w:p w14:paraId="6ABCB90D" w14:textId="77777777" w:rsidR="00861FE3" w:rsidRPr="00CF17A9" w:rsidRDefault="00C419A0">
      <w:pPr>
        <w:spacing w:before="240" w:after="240" w:line="276" w:lineRule="auto"/>
        <w:jc w:val="both"/>
        <w:rPr>
          <w:rFonts w:ascii="Arial Narrow" w:eastAsia="Arial Narrow" w:hAnsi="Arial Narrow" w:cs="Arial Narrow"/>
        </w:rPr>
      </w:pPr>
      <w:r w:rsidRPr="00CF17A9">
        <w:rPr>
          <w:rFonts w:ascii="Arial Narrow" w:eastAsia="Arial Narrow" w:hAnsi="Arial Narrow" w:cs="Arial Narrow"/>
        </w:rPr>
        <w:t>La incorporación de este nuevo tipo penal permitirá fortalece</w:t>
      </w:r>
      <w:r w:rsidRPr="00CF17A9">
        <w:rPr>
          <w:rFonts w:ascii="Arial Narrow" w:eastAsia="Arial Narrow" w:hAnsi="Arial Narrow" w:cs="Arial Narrow"/>
        </w:rPr>
        <w:t xml:space="preserve">r la capacidad de respuesta del Estado frente a conductas que comprometen la seguridad ciudadana y la convivencia democrática, garantizando al mismo tiempo una protección efectiva del derecho fundamental a la protesta pacífica. De esta manera, el proyecto </w:t>
      </w:r>
      <w:r w:rsidRPr="00CF17A9">
        <w:rPr>
          <w:rFonts w:ascii="Arial Narrow" w:eastAsia="Arial Narrow" w:hAnsi="Arial Narrow" w:cs="Arial Narrow"/>
        </w:rPr>
        <w:lastRenderedPageBreak/>
        <w:t>busca consolidar un equilibrio constitucional entre libertad y responsabilidad, asegurando que los espacios de participación democrática no sean utilizados como escenarios para la comisión de actos violentos bajo mecanismos de ocultamiento de identidad.</w:t>
      </w:r>
    </w:p>
    <w:p w14:paraId="651409F4" w14:textId="77777777" w:rsidR="00861FE3" w:rsidRPr="00CF17A9" w:rsidRDefault="00C419A0">
      <w:pPr>
        <w:spacing w:before="240" w:after="240" w:line="240" w:lineRule="auto"/>
        <w:jc w:val="both"/>
        <w:rPr>
          <w:rFonts w:ascii="Arial Narrow" w:eastAsia="Arial Narrow" w:hAnsi="Arial Narrow" w:cs="Arial Narrow"/>
        </w:rPr>
      </w:pPr>
      <w:r w:rsidRPr="00CF17A9">
        <w:rPr>
          <w:rFonts w:ascii="Arial Narrow" w:eastAsia="Arial Narrow" w:hAnsi="Arial Narrow" w:cs="Arial Narrow"/>
          <w:b/>
          <w:bCs/>
        </w:rPr>
        <w:t>5.1 Casos reportados por razón de acto vandálicos con uso de capuchas en manifestaciones en el ejercicio pacifico de la protesta en Colombia 2021-2026</w:t>
      </w:r>
    </w:p>
    <w:p w14:paraId="4CCEB480" w14:textId="77777777" w:rsidR="00861FE3" w:rsidRPr="00CF17A9" w:rsidRDefault="00C419A0">
      <w:pPr>
        <w:spacing w:before="240" w:after="240"/>
        <w:jc w:val="both"/>
        <w:rPr>
          <w:rFonts w:ascii="Arial Narrow" w:eastAsia="Arial Narrow" w:hAnsi="Arial Narrow" w:cs="Arial Narrow"/>
        </w:rPr>
      </w:pPr>
      <w:r w:rsidRPr="00CF17A9">
        <w:rPr>
          <w:rFonts w:ascii="Arial Narrow" w:eastAsia="Arial Narrow" w:hAnsi="Arial Narrow" w:cs="Arial Narrow"/>
        </w:rPr>
        <w:t>En Colombia, durante el periodo comprendido entre 2021 y 2026, se desarrollaron diversas jornadas de prot</w:t>
      </w:r>
      <w:r w:rsidRPr="00CF17A9">
        <w:rPr>
          <w:rFonts w:ascii="Arial Narrow" w:eastAsia="Arial Narrow" w:hAnsi="Arial Narrow" w:cs="Arial Narrow"/>
        </w:rPr>
        <w:t>esta social amparadas por el derecho fundamental a la reunión y manifestación pública. No obstante, en algunas de estas movilizaciones, autoridades y entidades territoriales reportaron la ocurrencia de hechos vandálicos cometidos por determinados individuo</w:t>
      </w:r>
      <w:r w:rsidRPr="00CF17A9">
        <w:rPr>
          <w:rFonts w:ascii="Arial Narrow" w:eastAsia="Arial Narrow" w:hAnsi="Arial Narrow" w:cs="Arial Narrow"/>
        </w:rPr>
        <w:t>s que utilizaron elementos de ocultamiento de identidad, como capuchas o máscaras, con el propósito de dificultar su identificación durante la comisión de conductas que afectaron bienes públicos, infraestructura urbana y derechos de terceros.</w:t>
      </w:r>
    </w:p>
    <w:p w14:paraId="30EF6AB1" w14:textId="77777777" w:rsidR="00861FE3" w:rsidRPr="00CF17A9" w:rsidRDefault="00C419A0">
      <w:pPr>
        <w:spacing w:before="240" w:after="240"/>
        <w:jc w:val="both"/>
        <w:rPr>
          <w:rFonts w:ascii="Arial Narrow" w:eastAsia="Arial Narrow" w:hAnsi="Arial Narrow" w:cs="Arial Narrow"/>
          <w:u w:val="single"/>
        </w:rPr>
      </w:pPr>
      <w:r w:rsidRPr="00CF17A9">
        <w:rPr>
          <w:rFonts w:ascii="Arial Narrow" w:eastAsia="Arial Narrow" w:hAnsi="Arial Narrow" w:cs="Arial Narrow"/>
          <w:b/>
          <w:bCs/>
        </w:rPr>
        <w:t>Paro Nacional</w:t>
      </w:r>
      <w:r w:rsidRPr="00CF17A9">
        <w:rPr>
          <w:rFonts w:ascii="Arial Narrow" w:eastAsia="Arial Narrow" w:hAnsi="Arial Narrow" w:cs="Arial Narrow"/>
          <w:b/>
          <w:bCs/>
        </w:rPr>
        <w:t xml:space="preserve"> de 2021:</w:t>
      </w:r>
      <w:r w:rsidRPr="00CF17A9">
        <w:rPr>
          <w:rFonts w:ascii="Arial Narrow" w:eastAsia="Arial Narrow" w:hAnsi="Arial Narrow" w:cs="Arial Narrow"/>
        </w:rPr>
        <w:t xml:space="preserve"> En el marco de las movilizaciones sociales iniciadas en abril de 2021, distintas autoridades reportaron que, pese al carácter ciudadano y pacífico de gran parte de las jornadas de protesta, en algunos puntos del país se presentaron hechos aislado</w:t>
      </w:r>
      <w:r w:rsidRPr="00CF17A9">
        <w:rPr>
          <w:rFonts w:ascii="Arial Narrow" w:eastAsia="Arial Narrow" w:hAnsi="Arial Narrow" w:cs="Arial Narrow"/>
        </w:rPr>
        <w:t>s de vandalismo, incluyendo daños a bienes públicos y privados, ataques contra infraestructura y afectaciones al orden público. La Policía Nacional informó capturas e investigaciones por conductas como daño en bien ajeno, obstrucción de vías públicas y vio</w:t>
      </w:r>
      <w:r w:rsidRPr="00CF17A9">
        <w:rPr>
          <w:rFonts w:ascii="Arial Narrow" w:eastAsia="Arial Narrow" w:hAnsi="Arial Narrow" w:cs="Arial Narrow"/>
        </w:rPr>
        <w:t>lencia contra servidor público ocurridas durante algunas jornadas de manifestación.</w:t>
      </w:r>
      <w:r w:rsidRPr="00CF17A9">
        <w:rPr>
          <w:rFonts w:ascii="Arial Narrow" w:eastAsia="Arial Narrow" w:hAnsi="Arial Narrow" w:cs="Arial Narrow"/>
        </w:rPr>
        <w:br/>
      </w:r>
      <w:hyperlink r:id="rId19">
        <w:r w:rsidRPr="00CF17A9">
          <w:rPr>
            <w:rFonts w:ascii="Arial Narrow" w:eastAsia="Arial Narrow" w:hAnsi="Arial Narrow" w:cs="Arial Narrow"/>
            <w:u w:val="single"/>
          </w:rPr>
          <w:t>https://www.policia.gov.co/n</w:t>
        </w:r>
        <w:r w:rsidRPr="00CF17A9">
          <w:rPr>
            <w:rFonts w:ascii="Arial Narrow" w:eastAsia="Arial Narrow" w:hAnsi="Arial Narrow" w:cs="Arial Narrow"/>
            <w:u w:val="single"/>
          </w:rPr>
          <w:t>oticia/van-185-capturas-por-hechos-vandalicos-delictivos-los-ultimos-dias</w:t>
        </w:r>
      </w:hyperlink>
    </w:p>
    <w:p w14:paraId="6BDCDA1F" w14:textId="77777777" w:rsidR="00861FE3" w:rsidRPr="00CF17A9" w:rsidRDefault="00C419A0">
      <w:pPr>
        <w:spacing w:before="240" w:after="240"/>
        <w:jc w:val="both"/>
        <w:rPr>
          <w:rFonts w:ascii="Arial Narrow" w:eastAsia="Arial Narrow" w:hAnsi="Arial Narrow" w:cs="Arial Narrow"/>
          <w:u w:val="single"/>
        </w:rPr>
      </w:pPr>
      <w:r w:rsidRPr="00CF17A9">
        <w:rPr>
          <w:rFonts w:ascii="Arial Narrow" w:eastAsia="Arial Narrow" w:hAnsi="Arial Narrow" w:cs="Arial Narrow"/>
          <w:b/>
          <w:bCs/>
        </w:rPr>
        <w:t>Manifestaciones del 1 de mayo de 2024 en Bogotá:</w:t>
      </w:r>
      <w:r w:rsidRPr="00CF17A9">
        <w:rPr>
          <w:rFonts w:ascii="Arial Narrow" w:eastAsia="Arial Narrow" w:hAnsi="Arial Narrow" w:cs="Arial Narrow"/>
        </w:rPr>
        <w:t xml:space="preserve"> Durante una jornada de movilización social desarrollada en la capital del país, autoridades y medios de comunicación reportaron que a</w:t>
      </w:r>
      <w:r w:rsidRPr="00CF17A9">
        <w:rPr>
          <w:rFonts w:ascii="Arial Narrow" w:eastAsia="Arial Narrow" w:hAnsi="Arial Narrow" w:cs="Arial Narrow"/>
        </w:rPr>
        <w:t>lgunos participantes encapuchados realizaron actos vandálicos contra bienes públicos y privados, incluyendo daños a buses del Sistema Integrado de Transporte Público (SITP) y afectaciones a fachadas en el centro de la ciudad. Estos hechos fueron diferencia</w:t>
      </w:r>
      <w:r w:rsidRPr="00CF17A9">
        <w:rPr>
          <w:rFonts w:ascii="Arial Narrow" w:eastAsia="Arial Narrow" w:hAnsi="Arial Narrow" w:cs="Arial Narrow"/>
        </w:rPr>
        <w:t>dos del ejercicio legítimo de la protesta pacífica.</w:t>
      </w:r>
      <w:r w:rsidRPr="00CF17A9">
        <w:rPr>
          <w:rFonts w:ascii="Arial Narrow" w:eastAsia="Arial Narrow" w:hAnsi="Arial Narrow" w:cs="Arial Narrow"/>
        </w:rPr>
        <w:br/>
      </w:r>
      <w:hyperlink r:id="rId20">
        <w:r w:rsidRPr="00CF17A9">
          <w:rPr>
            <w:rFonts w:ascii="Arial Narrow" w:eastAsia="Arial Narrow" w:hAnsi="Arial Narrow" w:cs="Arial Narrow"/>
            <w:u w:val="single"/>
          </w:rPr>
          <w:t>https://www.noticiascaracol.com/colo</w:t>
        </w:r>
        <w:r w:rsidRPr="00CF17A9">
          <w:rPr>
            <w:rFonts w:ascii="Arial Narrow" w:eastAsia="Arial Narrow" w:hAnsi="Arial Narrow" w:cs="Arial Narrow"/>
            <w:u w:val="single"/>
          </w:rPr>
          <w:t>mbia/bogota/actos-vandalicos-de-encapuchados-durante-marchas-del-1-de-mayo-en-bogota-rg10</w:t>
        </w:r>
      </w:hyperlink>
    </w:p>
    <w:p w14:paraId="1026E85A" w14:textId="3FAC8775" w:rsidR="00CF17A9" w:rsidRPr="00CF17A9" w:rsidRDefault="00C419A0">
      <w:pPr>
        <w:spacing w:before="240" w:after="240"/>
        <w:jc w:val="both"/>
        <w:rPr>
          <w:rFonts w:ascii="Arial Narrow" w:eastAsia="Arial Narrow" w:hAnsi="Arial Narrow" w:cs="Arial Narrow"/>
          <w:u w:val="single"/>
        </w:rPr>
      </w:pPr>
      <w:r w:rsidRPr="00CF17A9">
        <w:rPr>
          <w:rFonts w:ascii="Arial Narrow" w:eastAsia="Arial Narrow" w:hAnsi="Arial Narrow" w:cs="Arial Narrow"/>
          <w:b/>
          <w:bCs/>
        </w:rPr>
        <w:t>Hechos relacionados con grupos investigados por actos violentos en Bogotá (2024-2025):</w:t>
      </w:r>
      <w:r w:rsidRPr="00CF17A9">
        <w:rPr>
          <w:rFonts w:ascii="Arial Narrow" w:eastAsia="Arial Narrow" w:hAnsi="Arial Narrow" w:cs="Arial Narrow"/>
        </w:rPr>
        <w:t xml:space="preserve"> Autoridades judiciales reportaron investigaciones contra personas señaladas de </w:t>
      </w:r>
      <w:r w:rsidRPr="00CF17A9">
        <w:rPr>
          <w:rFonts w:ascii="Arial Narrow" w:eastAsia="Arial Narrow" w:hAnsi="Arial Narrow" w:cs="Arial Narrow"/>
        </w:rPr>
        <w:t>participar en hechos violentos durante manifestaciones públicas. Según los reportes oficiales, algunos individuos utilizaban capuchas, máscaras y otros elementos para evitar su identificación, además de emplear artefactos peligrosos artesanales contra infr</w:t>
      </w:r>
      <w:r w:rsidRPr="00CF17A9">
        <w:rPr>
          <w:rFonts w:ascii="Arial Narrow" w:eastAsia="Arial Narrow" w:hAnsi="Arial Narrow" w:cs="Arial Narrow"/>
        </w:rPr>
        <w:t>aestructura pública, estaciones de transporte y miembros de la Fuerza Pública.</w:t>
      </w:r>
      <w:r w:rsidRPr="00CF17A9">
        <w:rPr>
          <w:rFonts w:ascii="Arial Narrow" w:eastAsia="Arial Narrow" w:hAnsi="Arial Narrow" w:cs="Arial Narrow"/>
        </w:rPr>
        <w:br/>
      </w:r>
      <w:hyperlink r:id="rId21">
        <w:r w:rsidRPr="00CF17A9">
          <w:rPr>
            <w:rFonts w:ascii="Arial Narrow" w:eastAsia="Arial Narrow" w:hAnsi="Arial Narrow" w:cs="Arial Narrow"/>
            <w:u w:val="single"/>
          </w:rPr>
          <w:t>https://www.policia.gov.co/noticia/cayeron</w:t>
        </w:r>
        <w:r w:rsidRPr="00CF17A9">
          <w:rPr>
            <w:rFonts w:ascii="Arial Narrow" w:eastAsia="Arial Narrow" w:hAnsi="Arial Narrow" w:cs="Arial Narrow"/>
            <w:u w:val="single"/>
          </w:rPr>
          <w:t>-los-ppp-responsables-16-actos-violentos-en-bogota</w:t>
        </w:r>
      </w:hyperlink>
    </w:p>
    <w:p w14:paraId="6EA46CE9" w14:textId="77777777" w:rsidR="00861FE3" w:rsidRPr="00CF17A9" w:rsidRDefault="00C419A0">
      <w:pPr>
        <w:spacing w:before="240" w:after="240"/>
        <w:jc w:val="both"/>
        <w:rPr>
          <w:rFonts w:ascii="Arial Narrow" w:eastAsia="Arial Narrow" w:hAnsi="Arial Narrow" w:cs="Arial Narrow"/>
          <w:u w:val="single"/>
        </w:rPr>
      </w:pPr>
      <w:r w:rsidRPr="00CF17A9">
        <w:rPr>
          <w:rFonts w:ascii="Arial Narrow" w:eastAsia="Arial Narrow" w:hAnsi="Arial Narrow" w:cs="Arial Narrow"/>
          <w:b/>
          <w:bCs/>
        </w:rPr>
        <w:t>Manifestaciones en Bogotá de 2026:</w:t>
      </w:r>
      <w:r w:rsidRPr="00CF17A9">
        <w:rPr>
          <w:rFonts w:ascii="Arial Narrow" w:eastAsia="Arial Narrow" w:hAnsi="Arial Narrow" w:cs="Arial Narrow"/>
        </w:rPr>
        <w:t xml:space="preserve"> En jornadas de movilización realizadas durante 2026, autoridades distritales reportaron afectaciones al mobiliario urbano, estaciones de transporte, establecimientos come</w:t>
      </w:r>
      <w:r w:rsidRPr="00CF17A9">
        <w:rPr>
          <w:rFonts w:ascii="Arial Narrow" w:eastAsia="Arial Narrow" w:hAnsi="Arial Narrow" w:cs="Arial Narrow"/>
        </w:rPr>
        <w:t>rciales y otros bienes públicos y privados, atribuidas a algunos participantes encapuchados que habrían utilizado elementos para ocultar su identidad durante los hechos vandálicos.</w:t>
      </w:r>
      <w:r w:rsidRPr="00CF17A9">
        <w:rPr>
          <w:rFonts w:ascii="Arial Narrow" w:eastAsia="Arial Narrow" w:hAnsi="Arial Narrow" w:cs="Arial Narrow"/>
        </w:rPr>
        <w:br/>
      </w:r>
      <w:hyperlink r:id="rId22">
        <w:r w:rsidRPr="00CF17A9">
          <w:rPr>
            <w:rFonts w:ascii="Arial Narrow" w:eastAsia="Arial Narrow" w:hAnsi="Arial Narrow" w:cs="Arial Narrow"/>
            <w:u w:val="single"/>
          </w:rPr>
          <w:t>https://dadep.gov.co/noticias/bogota-rechaza-actos-de-vandalismo-que-afectaron-el-mobiliario-publico-en-marchas</w:t>
        </w:r>
      </w:hyperlink>
    </w:p>
    <w:p w14:paraId="34F3207B" w14:textId="77777777" w:rsidR="00861FE3" w:rsidRPr="00CF17A9" w:rsidRDefault="00C419A0">
      <w:pPr>
        <w:spacing w:before="240" w:after="240"/>
        <w:jc w:val="both"/>
        <w:rPr>
          <w:rFonts w:ascii="Arial Narrow" w:eastAsia="Arial Narrow" w:hAnsi="Arial Narrow" w:cs="Arial Narrow"/>
        </w:rPr>
      </w:pPr>
      <w:r w:rsidRPr="00CF17A9">
        <w:rPr>
          <w:rFonts w:ascii="Arial Narrow" w:eastAsia="Arial Narrow" w:hAnsi="Arial Narrow" w:cs="Arial Narrow"/>
        </w:rPr>
        <w:lastRenderedPageBreak/>
        <w:t>Estos antecedentes evidencian una problemática jurídica específica: aunque el uso de ele</w:t>
      </w:r>
      <w:r w:rsidRPr="00CF17A9">
        <w:rPr>
          <w:rFonts w:ascii="Arial Narrow" w:eastAsia="Arial Narrow" w:hAnsi="Arial Narrow" w:cs="Arial Narrow"/>
        </w:rPr>
        <w:t>mentos como capuchas o máscaras puede encontrarse relacionado con expresiones individuales de autonomía, identidad o participación dentro de una manifestación, su utilización como mecanismo para facilitar la comisión de delitos genera una tensión constituc</w:t>
      </w:r>
      <w:r w:rsidRPr="00CF17A9">
        <w:rPr>
          <w:rFonts w:ascii="Arial Narrow" w:eastAsia="Arial Narrow" w:hAnsi="Arial Narrow" w:cs="Arial Narrow"/>
        </w:rPr>
        <w:t>ional frente a otros bienes jurídicos como la vida, la integridad personal, la seguridad ciudadana, el patrimonio público y privado y la convivencia pacífica. En consecuencia, el presente proyecto de ley busca establecer una respuesta penal frente al uso i</w:t>
      </w:r>
      <w:r w:rsidRPr="00CF17A9">
        <w:rPr>
          <w:rFonts w:ascii="Arial Narrow" w:eastAsia="Arial Narrow" w:hAnsi="Arial Narrow" w:cs="Arial Narrow"/>
        </w:rPr>
        <w:t>nstrumental del ocultamiento de identidad cuando este sea empleado para facilitar actos vandálicos, sin afectar el ejercicio legítimo del derecho fundamental a la protesta pacífica.</w:t>
      </w:r>
    </w:p>
    <w:p w14:paraId="719ED19A" w14:textId="676D0A10" w:rsidR="005A6511" w:rsidRPr="00CF17A9" w:rsidRDefault="00C419A0">
      <w:pPr>
        <w:spacing w:before="312"/>
        <w:ind w:right="17"/>
        <w:jc w:val="both"/>
        <w:rPr>
          <w:rFonts w:ascii="Arial Narrow" w:eastAsia="Arial Narrow" w:hAnsi="Arial Narrow" w:cs="Arial Narrow"/>
          <w:b/>
          <w:bCs/>
        </w:rPr>
      </w:pPr>
      <w:r w:rsidRPr="00CF17A9">
        <w:rPr>
          <w:rFonts w:ascii="Arial Narrow" w:eastAsia="Arial Narrow" w:hAnsi="Arial Narrow" w:cs="Arial Narrow"/>
          <w:b/>
          <w:bCs/>
        </w:rPr>
        <w:t>6. CONSIDERACIÓN DE</w:t>
      </w:r>
      <w:r w:rsidR="005A6511" w:rsidRPr="00CF17A9">
        <w:rPr>
          <w:rFonts w:ascii="Arial Narrow" w:eastAsia="Arial Narrow" w:hAnsi="Arial Narrow" w:cs="Arial Narrow"/>
          <w:b/>
          <w:bCs/>
        </w:rPr>
        <w:t>L</w:t>
      </w:r>
      <w:r w:rsidRPr="00CF17A9">
        <w:rPr>
          <w:rFonts w:ascii="Arial Narrow" w:eastAsia="Arial Narrow" w:hAnsi="Arial Narrow" w:cs="Arial Narrow"/>
          <w:b/>
          <w:bCs/>
        </w:rPr>
        <w:t xml:space="preserve"> PONENTE</w:t>
      </w:r>
      <w:r w:rsidRPr="00CF17A9">
        <w:rPr>
          <w:rFonts w:ascii="Arial Narrow" w:eastAsia="Arial Narrow" w:hAnsi="Arial Narrow" w:cs="Arial Narrow"/>
          <w:b/>
          <w:bCs/>
        </w:rPr>
        <w:t xml:space="preserve">  </w:t>
      </w:r>
    </w:p>
    <w:p w14:paraId="4310FCCB" w14:textId="3E62DC00" w:rsidR="005A6511" w:rsidRPr="00CF17A9" w:rsidRDefault="00BE0B6B">
      <w:pPr>
        <w:spacing w:before="312"/>
        <w:ind w:right="17"/>
        <w:jc w:val="both"/>
        <w:rPr>
          <w:rFonts w:ascii="Arial Narrow" w:eastAsia="Arial Narrow" w:hAnsi="Arial Narrow" w:cs="Arial Narrow"/>
          <w:b/>
          <w:bCs/>
        </w:rPr>
      </w:pPr>
      <w:r w:rsidRPr="00CF17A9">
        <w:rPr>
          <w:rFonts w:ascii="Arial Narrow" w:hAnsi="Arial Narrow" w:cs="Segoe UI"/>
          <w:color w:val="0D0D0D"/>
          <w:shd w:val="clear" w:color="auto" w:fill="FCFCFC"/>
        </w:rPr>
        <w:t>Como ponente y autor del proyecto de ley,</w:t>
      </w:r>
      <w:r w:rsidRPr="00CF17A9">
        <w:rPr>
          <w:rFonts w:ascii="Arial Narrow" w:hAnsi="Arial Narrow" w:cs="Segoe UI"/>
          <w:color w:val="0D0D0D"/>
          <w:shd w:val="clear" w:color="auto" w:fill="FCFCFC"/>
        </w:rPr>
        <w:t xml:space="preserve"> conside</w:t>
      </w:r>
      <w:r w:rsidRPr="00CF17A9">
        <w:rPr>
          <w:rFonts w:ascii="Arial Narrow" w:hAnsi="Arial Narrow" w:cs="Segoe UI"/>
          <w:color w:val="0D0D0D"/>
          <w:shd w:val="clear" w:color="auto" w:fill="FCFCFC"/>
        </w:rPr>
        <w:t xml:space="preserve">ro </w:t>
      </w:r>
      <w:r w:rsidRPr="00CF17A9">
        <w:rPr>
          <w:rFonts w:ascii="Arial Narrow" w:hAnsi="Arial Narrow" w:cs="Segoe UI"/>
          <w:color w:val="0D0D0D"/>
          <w:shd w:val="clear" w:color="auto" w:fill="FCFCFC"/>
        </w:rPr>
        <w:t>que la presente iniciativa responde a una problemática concreta de seguridad y convivencia ciudadana que ha adquirido especial relevancia en el contexto de manifestaciones, movilizaciones y concentraciones públicas en Colombia. La experiencia del Paro Nacional de 2021 evidenció que, junto con el ejercicio legítimo y mayoritariamente pacífico del derecho fundamental a la reunión y manifestación pública, se presentaron episodios de violencia, vandalismo, afectaciones a bienes públicos y privados y graves alteraciones del orden público.</w:t>
      </w:r>
    </w:p>
    <w:p w14:paraId="62C68494" w14:textId="0E00BE7F" w:rsidR="005A6511" w:rsidRPr="00CF17A9" w:rsidRDefault="005A6511">
      <w:pPr>
        <w:spacing w:before="312"/>
        <w:ind w:right="17"/>
        <w:jc w:val="both"/>
        <w:rPr>
          <w:rFonts w:ascii="Arial Narrow" w:hAnsi="Arial Narrow" w:cs="Segoe UI"/>
          <w:color w:val="0D0D0D"/>
          <w:shd w:val="clear" w:color="auto" w:fill="FCFCFC"/>
        </w:rPr>
      </w:pPr>
      <w:r w:rsidRPr="00CF17A9">
        <w:rPr>
          <w:rStyle w:val="Textoennegrita"/>
          <w:rFonts w:ascii="Arial Narrow" w:hAnsi="Arial Narrow" w:cs="Segoe UI"/>
          <w:b w:val="0"/>
          <w:bCs w:val="0"/>
          <w:color w:val="0D0D0D"/>
          <w:shd w:val="clear" w:color="auto" w:fill="FCFCFC"/>
        </w:rPr>
        <w:t>L</w:t>
      </w:r>
      <w:r w:rsidRPr="00CF17A9">
        <w:rPr>
          <w:rStyle w:val="Textoennegrita"/>
          <w:rFonts w:ascii="Arial Narrow" w:hAnsi="Arial Narrow" w:cs="Segoe UI"/>
          <w:b w:val="0"/>
          <w:bCs w:val="0"/>
          <w:color w:val="0D0D0D"/>
          <w:shd w:val="clear" w:color="auto" w:fill="FCFCFC"/>
        </w:rPr>
        <w:t>a iniciativa no pretende criminalizar la protesta social</w:t>
      </w:r>
      <w:r w:rsidRPr="00CF17A9">
        <w:rPr>
          <w:rStyle w:val="Textoennegrita"/>
          <w:rFonts w:ascii="Arial Narrow" w:hAnsi="Arial Narrow" w:cs="Segoe UI"/>
          <w:b w:val="0"/>
          <w:bCs w:val="0"/>
          <w:color w:val="0D0D0D"/>
          <w:shd w:val="clear" w:color="auto" w:fill="FCFCFC"/>
        </w:rPr>
        <w:t xml:space="preserve"> </w:t>
      </w:r>
      <w:r w:rsidRPr="00CF17A9">
        <w:rPr>
          <w:rStyle w:val="Textoennegrita"/>
          <w:rFonts w:ascii="Arial Narrow" w:hAnsi="Arial Narrow" w:cs="Segoe UI"/>
          <w:b w:val="0"/>
          <w:bCs w:val="0"/>
          <w:color w:val="0D0D0D"/>
          <w:shd w:val="clear" w:color="auto" w:fill="FCFCFC"/>
        </w:rPr>
        <w:t>ni desconocer su carácter fundamental</w:t>
      </w:r>
      <w:r w:rsidRPr="00CF17A9">
        <w:rPr>
          <w:rFonts w:ascii="Arial Narrow" w:hAnsi="Arial Narrow" w:cs="Segoe UI"/>
          <w:color w:val="0D0D0D"/>
          <w:shd w:val="clear" w:color="auto" w:fill="FCFCFC"/>
        </w:rPr>
        <w:t>, sino establecer herramientas jurídicas frente a aquellas conductas</w:t>
      </w:r>
      <w:r w:rsidRPr="00CF17A9">
        <w:rPr>
          <w:rFonts w:ascii="Arial Narrow" w:hAnsi="Arial Narrow" w:cs="Segoe UI"/>
          <w:color w:val="0D0D0D"/>
          <w:shd w:val="clear" w:color="auto" w:fill="FCFCFC"/>
        </w:rPr>
        <w:t xml:space="preserve"> que</w:t>
      </w:r>
      <w:r w:rsidRPr="00CF17A9">
        <w:rPr>
          <w:rFonts w:ascii="Arial Narrow" w:hAnsi="Arial Narrow" w:cs="Segoe UI"/>
          <w:color w:val="0D0D0D"/>
          <w:shd w:val="clear" w:color="auto" w:fill="FCFCFC"/>
        </w:rPr>
        <w:t xml:space="preserve"> exceden el ámbito constitucionalmente protegido de la manifestación pacífica</w:t>
      </w:r>
      <w:r w:rsidRPr="00CF17A9">
        <w:rPr>
          <w:rFonts w:ascii="Arial Narrow" w:hAnsi="Arial Narrow" w:cs="Segoe UI"/>
          <w:color w:val="0D0D0D"/>
          <w:shd w:val="clear" w:color="auto" w:fill="FCFCFC"/>
        </w:rPr>
        <w:t xml:space="preserve">, </w:t>
      </w:r>
      <w:r w:rsidRPr="00CF17A9">
        <w:rPr>
          <w:rFonts w:ascii="Arial Narrow" w:hAnsi="Arial Narrow" w:cs="Segoe UI"/>
          <w:color w:val="0D0D0D"/>
          <w:shd w:val="clear" w:color="auto" w:fill="FCFCFC"/>
        </w:rPr>
        <w:t>esta diferenciación resulta indispensable para evitar una generalización entre manifestantes y actores violentos. Finalmente,</w:t>
      </w:r>
      <w:r w:rsidRPr="00CF17A9">
        <w:rPr>
          <w:rFonts w:ascii="Arial Narrow" w:hAnsi="Arial Narrow" w:cs="Segoe UI"/>
          <w:color w:val="0D0D0D"/>
          <w:shd w:val="clear" w:color="auto" w:fill="FCFCFC"/>
        </w:rPr>
        <w:t xml:space="preserve"> como</w:t>
      </w:r>
      <w:r w:rsidRPr="00CF17A9">
        <w:rPr>
          <w:rStyle w:val="Textoennegrita"/>
          <w:rFonts w:ascii="Arial Narrow" w:hAnsi="Arial Narrow" w:cs="Segoe UI"/>
          <w:b w:val="0"/>
          <w:bCs w:val="0"/>
          <w:color w:val="0D0D0D"/>
          <w:shd w:val="clear" w:color="auto" w:fill="FCFCFC"/>
        </w:rPr>
        <w:t xml:space="preserve"> ponente</w:t>
      </w:r>
      <w:r w:rsidRPr="00CF17A9">
        <w:rPr>
          <w:rStyle w:val="Textoennegrita"/>
          <w:rFonts w:ascii="Arial Narrow" w:hAnsi="Arial Narrow" w:cs="Segoe UI"/>
          <w:b w:val="0"/>
          <w:bCs w:val="0"/>
          <w:color w:val="0D0D0D"/>
          <w:shd w:val="clear" w:color="auto" w:fill="FCFCFC"/>
        </w:rPr>
        <w:t xml:space="preserve"> </w:t>
      </w:r>
      <w:r w:rsidRPr="00CF17A9">
        <w:rPr>
          <w:rStyle w:val="Textoennegrita"/>
          <w:rFonts w:ascii="Arial Narrow" w:hAnsi="Arial Narrow" w:cs="Segoe UI"/>
          <w:b w:val="0"/>
          <w:bCs w:val="0"/>
          <w:color w:val="0D0D0D"/>
          <w:shd w:val="clear" w:color="auto" w:fill="FCFCFC"/>
        </w:rPr>
        <w:t>recono</w:t>
      </w:r>
      <w:r w:rsidRPr="00CF17A9">
        <w:rPr>
          <w:rStyle w:val="Textoennegrita"/>
          <w:rFonts w:ascii="Arial Narrow" w:hAnsi="Arial Narrow" w:cs="Segoe UI"/>
          <w:b w:val="0"/>
          <w:bCs w:val="0"/>
          <w:color w:val="0D0D0D"/>
          <w:shd w:val="clear" w:color="auto" w:fill="FCFCFC"/>
        </w:rPr>
        <w:t>zco</w:t>
      </w:r>
      <w:r w:rsidRPr="00CF17A9">
        <w:rPr>
          <w:rStyle w:val="Textoennegrita"/>
          <w:rFonts w:ascii="Arial Narrow" w:hAnsi="Arial Narrow" w:cs="Segoe UI"/>
          <w:b w:val="0"/>
          <w:bCs w:val="0"/>
          <w:color w:val="0D0D0D"/>
          <w:shd w:val="clear" w:color="auto" w:fill="FCFCFC"/>
        </w:rPr>
        <w:t xml:space="preserve"> que el derecho fundamental a la reunión y manifestación pública y pacífica, consagrado en el artículo 37 de la Constitución Política, constituye un límite esencial a cualquier intervención legislativa en esta materia</w:t>
      </w:r>
      <w:r w:rsidRPr="00CF17A9">
        <w:rPr>
          <w:rFonts w:ascii="Arial Narrow" w:hAnsi="Arial Narrow" w:cs="Segoe UI"/>
          <w:b/>
          <w:bCs/>
          <w:color w:val="0D0D0D"/>
          <w:shd w:val="clear" w:color="auto" w:fill="FCFCFC"/>
        </w:rPr>
        <w:t xml:space="preserve">. </w:t>
      </w:r>
      <w:r w:rsidRPr="00CF17A9">
        <w:rPr>
          <w:rFonts w:ascii="Arial Narrow" w:hAnsi="Arial Narrow" w:cs="Segoe UI"/>
          <w:color w:val="0D0D0D"/>
          <w:shd w:val="clear" w:color="auto" w:fill="FCFCFC"/>
        </w:rPr>
        <w:t>Por ello, la iniciativa no puede ni debe interpretarse como una autorización para perseguir, detener o criminalizar a quienes participan pacíficamente en una manifestación. El propósito es establecer una frontera clara entre el ejercicio legítimo de un derecho fundamental y aquellas conductas delictivas que no pueden encontrar amparo en él.</w:t>
      </w:r>
    </w:p>
    <w:p w14:paraId="4D98D3AB" w14:textId="15432ECC" w:rsidR="005B46B1" w:rsidRPr="00CF17A9" w:rsidRDefault="005B46B1">
      <w:pPr>
        <w:spacing w:before="312"/>
        <w:ind w:right="17"/>
        <w:jc w:val="both"/>
        <w:rPr>
          <w:rFonts w:ascii="Arial Narrow" w:hAnsi="Arial Narrow" w:cs="Segoe UI"/>
          <w:b/>
          <w:bCs/>
          <w:color w:val="0D0D0D"/>
          <w:shd w:val="clear" w:color="auto" w:fill="FCFCFC"/>
        </w:rPr>
      </w:pPr>
      <w:r w:rsidRPr="00CF17A9">
        <w:rPr>
          <w:rFonts w:ascii="Arial Narrow" w:hAnsi="Arial Narrow" w:cs="Segoe UI"/>
          <w:b/>
          <w:bCs/>
          <w:color w:val="0D0D0D"/>
          <w:shd w:val="clear" w:color="auto" w:fill="FCFCFC"/>
        </w:rPr>
        <w:t>7. IMPACTO FISCAL</w:t>
      </w:r>
    </w:p>
    <w:p w14:paraId="0C716EF9" w14:textId="77777777" w:rsidR="005B46B1" w:rsidRPr="00CF17A9" w:rsidRDefault="005B46B1" w:rsidP="005B46B1">
      <w:pPr>
        <w:pStyle w:val="NormalWeb"/>
        <w:shd w:val="clear" w:color="auto" w:fill="FCFCFC"/>
        <w:spacing w:before="0" w:beforeAutospacing="0" w:after="0" w:afterAutospacing="0"/>
        <w:jc w:val="both"/>
        <w:rPr>
          <w:rFonts w:ascii="Arial Narrow" w:hAnsi="Arial Narrow" w:cs="Segoe UI"/>
          <w:color w:val="0D0D0D"/>
          <w:sz w:val="22"/>
          <w:szCs w:val="22"/>
        </w:rPr>
      </w:pPr>
      <w:r w:rsidRPr="00CF17A9">
        <w:rPr>
          <w:rFonts w:ascii="Arial Narrow" w:hAnsi="Arial Narrow" w:cs="Segoe UI"/>
          <w:color w:val="0D0D0D"/>
          <w:sz w:val="22"/>
          <w:szCs w:val="22"/>
        </w:rPr>
        <w:t>El presente proyecto de ley es una iniciativa de carácter </w:t>
      </w:r>
      <w:r w:rsidRPr="00CF17A9">
        <w:rPr>
          <w:rStyle w:val="Textoennegrita"/>
          <w:rFonts w:ascii="Arial Narrow" w:hAnsi="Arial Narrow" w:cs="Segoe UI"/>
          <w:b w:val="0"/>
          <w:bCs w:val="0"/>
          <w:color w:val="0D0D0D"/>
          <w:sz w:val="22"/>
          <w:szCs w:val="22"/>
        </w:rPr>
        <w:t>penal y de política criminal</w:t>
      </w:r>
      <w:r w:rsidRPr="00CF17A9">
        <w:rPr>
          <w:rFonts w:ascii="Arial Narrow" w:hAnsi="Arial Narrow" w:cs="Segoe UI"/>
          <w:color w:val="0D0D0D"/>
          <w:sz w:val="22"/>
          <w:szCs w:val="22"/>
        </w:rPr>
        <w:t> que no contempla la creación de nuevas entidades, dependencias, plantas de personal, programas administrativos ni apropiaciones presupuestales específicas a cargo de la Nación. La iniciativa tiene por objeto adicionar un nuevo tipo penal a la </w:t>
      </w:r>
      <w:r w:rsidRPr="00CF17A9">
        <w:rPr>
          <w:rStyle w:val="Textoennegrita"/>
          <w:rFonts w:ascii="Arial Narrow" w:hAnsi="Arial Narrow" w:cs="Segoe UI"/>
          <w:b w:val="0"/>
          <w:bCs w:val="0"/>
          <w:color w:val="0D0D0D"/>
          <w:sz w:val="22"/>
          <w:szCs w:val="22"/>
        </w:rPr>
        <w:t>Ley 599 de 2000 – Código Penal</w:t>
      </w:r>
      <w:r w:rsidRPr="00CF17A9">
        <w:rPr>
          <w:rFonts w:ascii="Arial Narrow" w:hAnsi="Arial Narrow" w:cs="Segoe UI"/>
          <w:color w:val="0D0D0D"/>
          <w:sz w:val="22"/>
          <w:szCs w:val="22"/>
        </w:rPr>
        <w:t>, relacionado con el uso del ocultamiento de identidad como medio para facilitar la comisión de conductas delictivas en el contexto de manifestaciones, reuniones, movilizaciones o concentraciones públicas, así como modificar la consecuencia punitiva prevista en el artículo 353A del mismo Código.</w:t>
      </w:r>
    </w:p>
    <w:p w14:paraId="4D671775" w14:textId="14093CB8" w:rsidR="005B46B1" w:rsidRPr="00CF17A9" w:rsidRDefault="005B46B1" w:rsidP="005B46B1">
      <w:pPr>
        <w:pStyle w:val="NormalWeb"/>
        <w:shd w:val="clear" w:color="auto" w:fill="FCFCFC"/>
        <w:spacing w:before="0" w:beforeAutospacing="0" w:after="0" w:afterAutospacing="0"/>
        <w:jc w:val="both"/>
        <w:rPr>
          <w:rFonts w:ascii="Arial Narrow" w:hAnsi="Arial Narrow" w:cs="Segoe UI"/>
          <w:color w:val="0D0D0D"/>
          <w:sz w:val="22"/>
          <w:szCs w:val="22"/>
        </w:rPr>
      </w:pPr>
      <w:r w:rsidRPr="00CF17A9">
        <w:rPr>
          <w:rFonts w:ascii="Arial Narrow" w:hAnsi="Arial Narrow" w:cs="Segoe UI"/>
          <w:color w:val="0D0D0D"/>
          <w:sz w:val="22"/>
          <w:szCs w:val="22"/>
        </w:rPr>
        <w:t>De conformidad con el </w:t>
      </w:r>
      <w:r w:rsidRPr="00CF17A9">
        <w:rPr>
          <w:rStyle w:val="Textoennegrita"/>
          <w:rFonts w:ascii="Arial Narrow" w:hAnsi="Arial Narrow" w:cs="Segoe UI"/>
          <w:b w:val="0"/>
          <w:bCs w:val="0"/>
          <w:color w:val="0D0D0D"/>
          <w:sz w:val="22"/>
          <w:szCs w:val="22"/>
        </w:rPr>
        <w:t>artículo 7 de la Ley 819 de 2003</w:t>
      </w:r>
      <w:r w:rsidRPr="00CF17A9">
        <w:rPr>
          <w:rFonts w:ascii="Arial Narrow" w:hAnsi="Arial Narrow" w:cs="Segoe UI"/>
          <w:b/>
          <w:bCs/>
          <w:color w:val="0D0D0D"/>
          <w:sz w:val="22"/>
          <w:szCs w:val="22"/>
        </w:rPr>
        <w:t>,</w:t>
      </w:r>
      <w:r w:rsidRPr="00CF17A9">
        <w:rPr>
          <w:rFonts w:ascii="Arial Narrow" w:hAnsi="Arial Narrow" w:cs="Segoe UI"/>
          <w:color w:val="0D0D0D"/>
          <w:sz w:val="22"/>
          <w:szCs w:val="22"/>
        </w:rPr>
        <w:t xml:space="preserve"> los proyectos de ley que ordenen gasto público o concedan beneficios tributarios deben hacer explícito su impacto fiscal y ser compatibles con el Marco Fiscal de Mediano Plazo. En el presente caso, la iniciativa </w:t>
      </w:r>
      <w:r w:rsidRPr="00CF17A9">
        <w:rPr>
          <w:rStyle w:val="Textoennegrita"/>
          <w:rFonts w:ascii="Arial Narrow" w:hAnsi="Arial Narrow" w:cs="Segoe UI"/>
          <w:b w:val="0"/>
          <w:bCs w:val="0"/>
          <w:color w:val="0D0D0D"/>
          <w:sz w:val="22"/>
          <w:szCs w:val="22"/>
        </w:rPr>
        <w:t>no ordena directamente la creación de gasto público, no establece beneficios tributarios ni dispone la creación de una nueva estructura administrativa</w:t>
      </w:r>
      <w:r w:rsidRPr="00CF17A9">
        <w:rPr>
          <w:rFonts w:ascii="Arial Narrow" w:hAnsi="Arial Narrow" w:cs="Segoe UI"/>
          <w:color w:val="0D0D0D"/>
          <w:sz w:val="22"/>
          <w:szCs w:val="22"/>
        </w:rPr>
        <w:t>, razón por la cual su implementación se desarrollará a través de las competencias y capacidades institucionales existentes.</w:t>
      </w:r>
    </w:p>
    <w:p w14:paraId="416B2D5E" w14:textId="77777777" w:rsidR="005B46B1" w:rsidRPr="00CF17A9" w:rsidRDefault="005B46B1" w:rsidP="005B46B1">
      <w:pPr>
        <w:pStyle w:val="NormalWeb"/>
        <w:shd w:val="clear" w:color="auto" w:fill="FCFCFC"/>
        <w:spacing w:before="0" w:beforeAutospacing="0" w:after="0" w:afterAutospacing="0"/>
        <w:jc w:val="both"/>
        <w:rPr>
          <w:rFonts w:ascii="Arial Narrow" w:hAnsi="Arial Narrow" w:cs="Segoe UI"/>
          <w:color w:val="0D0D0D"/>
          <w:sz w:val="22"/>
          <w:szCs w:val="22"/>
        </w:rPr>
      </w:pPr>
    </w:p>
    <w:p w14:paraId="33843AB6" w14:textId="68DCAB5A" w:rsidR="007169B7" w:rsidRPr="00CF17A9" w:rsidRDefault="005B46B1" w:rsidP="007169B7">
      <w:pPr>
        <w:spacing w:line="240" w:lineRule="auto"/>
        <w:jc w:val="both"/>
        <w:rPr>
          <w:rFonts w:ascii="Arial Narrow" w:eastAsia="Arial Narrow" w:hAnsi="Arial Narrow" w:cs="Arial Narrow"/>
          <w:b/>
          <w:bCs/>
        </w:rPr>
      </w:pPr>
      <w:r w:rsidRPr="00CF17A9">
        <w:rPr>
          <w:rFonts w:ascii="Arial Narrow" w:eastAsia="Arial Narrow" w:hAnsi="Arial Narrow" w:cs="Arial Narrow"/>
          <w:b/>
          <w:bCs/>
        </w:rPr>
        <w:lastRenderedPageBreak/>
        <w:t>8</w:t>
      </w:r>
      <w:r w:rsidR="007169B7" w:rsidRPr="00CF17A9">
        <w:rPr>
          <w:rFonts w:ascii="Arial Narrow" w:eastAsia="Arial Narrow" w:hAnsi="Arial Narrow" w:cs="Arial Narrow"/>
          <w:b/>
          <w:bCs/>
        </w:rPr>
        <w:t xml:space="preserve">. </w:t>
      </w:r>
      <w:r w:rsidR="007169B7" w:rsidRPr="00CF17A9">
        <w:rPr>
          <w:rFonts w:ascii="Arial Narrow" w:eastAsia="Arial Narrow" w:hAnsi="Arial Narrow" w:cs="Arial Narrow"/>
          <w:b/>
          <w:bCs/>
        </w:rPr>
        <w:t>CONFLICTO DE INTERÉS</w:t>
      </w:r>
    </w:p>
    <w:p w14:paraId="72CD266A" w14:textId="77777777" w:rsidR="007169B7" w:rsidRPr="00CF17A9" w:rsidRDefault="007169B7" w:rsidP="007169B7">
      <w:pPr>
        <w:spacing w:before="256" w:line="220" w:lineRule="auto"/>
        <w:ind w:right="48"/>
        <w:jc w:val="both"/>
        <w:rPr>
          <w:rFonts w:ascii="Arial Narrow" w:eastAsia="Arial Narrow" w:hAnsi="Arial Narrow" w:cs="Arial Narrow"/>
          <w:color w:val="000000"/>
        </w:rPr>
      </w:pPr>
      <w:r w:rsidRPr="00CF17A9">
        <w:rPr>
          <w:rFonts w:ascii="Arial Narrow" w:eastAsia="Arial Narrow" w:hAnsi="Arial Narrow" w:cs="Arial Narrow"/>
        </w:rPr>
        <w:t>El artículo 286 de la Ley 5 de 1992, modificado por el artículo 1 de la ley 2003 de 2019, establece el régimen de conflicto de interés de los congresistas, en los siguientes términos:</w:t>
      </w:r>
    </w:p>
    <w:p w14:paraId="4347A998" w14:textId="77777777" w:rsidR="007169B7" w:rsidRPr="00CF17A9" w:rsidRDefault="007169B7" w:rsidP="007169B7">
      <w:pPr>
        <w:spacing w:line="213" w:lineRule="auto"/>
        <w:ind w:right="48" w:hanging="15"/>
        <w:jc w:val="both"/>
        <w:rPr>
          <w:rFonts w:ascii="Arial Narrow" w:eastAsia="Arial Narrow" w:hAnsi="Arial Narrow" w:cs="Arial Narrow"/>
        </w:rPr>
      </w:pPr>
      <w:r w:rsidRPr="00CF17A9">
        <w:rPr>
          <w:rFonts w:ascii="Arial Narrow" w:eastAsia="Arial Narrow" w:hAnsi="Arial Narrow" w:cs="Arial Narrow"/>
          <w:b/>
          <w:bCs/>
          <w:i/>
          <w:iCs/>
        </w:rPr>
        <w:t>"</w:t>
      </w:r>
      <w:r w:rsidRPr="00CF17A9">
        <w:rPr>
          <w:rFonts w:ascii="Arial Narrow" w:eastAsia="Arial Narrow" w:hAnsi="Arial Narrow" w:cs="Arial Narrow"/>
          <w:b/>
          <w:bCs/>
        </w:rPr>
        <w:t>Artículo 286</w:t>
      </w:r>
      <w:r w:rsidRPr="00CF17A9">
        <w:rPr>
          <w:rFonts w:ascii="Arial Narrow" w:eastAsia="Arial Narrow" w:hAnsi="Arial Narrow" w:cs="Arial Narrow"/>
          <w:b/>
          <w:bCs/>
          <w:i/>
          <w:iCs/>
        </w:rPr>
        <w:t>. Régimen de conflicto de interés de los congresistas”</w:t>
      </w:r>
      <w:r w:rsidRPr="00CF17A9">
        <w:rPr>
          <w:rFonts w:ascii="Arial Narrow" w:eastAsia="Arial Narrow" w:hAnsi="Arial Narrow" w:cs="Arial Narrow"/>
          <w:b/>
          <w:bCs/>
        </w:rPr>
        <w:t xml:space="preserve">. </w:t>
      </w:r>
      <w:r w:rsidRPr="00CF17A9">
        <w:rPr>
          <w:rFonts w:ascii="Arial Narrow" w:eastAsia="Arial Narrow" w:hAnsi="Arial Narrow" w:cs="Arial Narrow"/>
          <w:i/>
          <w:iCs/>
        </w:rPr>
        <w:t xml:space="preserve">Todos los congresistas deberán declarar los </w:t>
      </w:r>
      <w:r w:rsidRPr="00CF17A9">
        <w:rPr>
          <w:rFonts w:ascii="Arial Narrow" w:eastAsia="Arial Narrow" w:hAnsi="Arial Narrow" w:cs="Arial Narrow"/>
        </w:rPr>
        <w:t xml:space="preserve">conflictos de </w:t>
      </w:r>
      <w:r w:rsidRPr="00CF17A9">
        <w:rPr>
          <w:rFonts w:ascii="Arial Narrow" w:eastAsia="Arial Narrow" w:hAnsi="Arial Narrow" w:cs="Arial Narrow"/>
          <w:i/>
          <w:iCs/>
        </w:rPr>
        <w:t>intereses que pudieran surgir en el ejercicio</w:t>
      </w:r>
      <w:r w:rsidRPr="00CF17A9">
        <w:rPr>
          <w:rFonts w:ascii="Arial Narrow" w:eastAsia="Arial Narrow" w:hAnsi="Arial Narrow" w:cs="Arial Narrow"/>
        </w:rPr>
        <w:t xml:space="preserve"> </w:t>
      </w:r>
      <w:r w:rsidRPr="00CF17A9">
        <w:rPr>
          <w:rFonts w:ascii="Arial Narrow" w:eastAsia="Arial Narrow" w:hAnsi="Arial Narrow" w:cs="Arial Narrow"/>
          <w:i/>
          <w:iCs/>
        </w:rPr>
        <w:t xml:space="preserve">de </w:t>
      </w:r>
      <w:r w:rsidRPr="00CF17A9">
        <w:rPr>
          <w:rFonts w:ascii="Arial Narrow" w:eastAsia="Arial Narrow" w:hAnsi="Arial Narrow" w:cs="Arial Narrow"/>
        </w:rPr>
        <w:t>sus funciones.</w:t>
      </w:r>
    </w:p>
    <w:p w14:paraId="2F41F414" w14:textId="77777777" w:rsidR="007169B7" w:rsidRPr="00CF17A9" w:rsidRDefault="007169B7" w:rsidP="007169B7">
      <w:pPr>
        <w:spacing w:line="213" w:lineRule="auto"/>
        <w:ind w:right="48" w:hanging="15"/>
        <w:jc w:val="both"/>
        <w:rPr>
          <w:rFonts w:ascii="Arial Narrow" w:eastAsia="Arial Narrow" w:hAnsi="Arial Narrow" w:cs="Arial Narrow"/>
          <w:b/>
          <w:bCs/>
          <w:i/>
          <w:iCs/>
        </w:rPr>
      </w:pPr>
      <w:r w:rsidRPr="00CF17A9">
        <w:rPr>
          <w:rFonts w:ascii="Arial Narrow" w:eastAsia="Arial Narrow" w:hAnsi="Arial Narrow" w:cs="Arial Narrow"/>
          <w:i/>
          <w:iCs/>
        </w:rPr>
        <w:t>Se entiende como conflicto de interés una situación donde la discusión o votación de un proyecto de ley o acto legislativo o artículo, pueda resultar en un beneficio particular, actual y directo a favor del congresista.</w:t>
      </w:r>
    </w:p>
    <w:p w14:paraId="103D5E2A" w14:textId="77777777" w:rsidR="007169B7" w:rsidRPr="00CF17A9" w:rsidRDefault="007169B7" w:rsidP="007169B7">
      <w:pPr>
        <w:widowControl w:val="0"/>
        <w:numPr>
          <w:ilvl w:val="0"/>
          <w:numId w:val="7"/>
        </w:numPr>
        <w:pBdr>
          <w:top w:val="nil"/>
          <w:left w:val="nil"/>
          <w:bottom w:val="nil"/>
          <w:right w:val="nil"/>
          <w:between w:val="nil"/>
        </w:pBdr>
        <w:spacing w:after="0" w:line="213" w:lineRule="auto"/>
        <w:ind w:left="284" w:right="48" w:hanging="252"/>
        <w:jc w:val="both"/>
        <w:rPr>
          <w:rFonts w:ascii="Arial Narrow" w:hAnsi="Arial Narrow"/>
          <w:i/>
          <w:iCs/>
          <w:color w:val="000000"/>
        </w:rPr>
      </w:pPr>
      <w:r w:rsidRPr="00CF17A9">
        <w:rPr>
          <w:rFonts w:ascii="Arial Narrow" w:eastAsia="Arial Narrow" w:hAnsi="Arial Narrow" w:cs="Arial Narrow"/>
          <w:b/>
          <w:bCs/>
          <w:i/>
          <w:iCs/>
          <w:color w:val="000000"/>
        </w:rPr>
        <w:t>Beneficio Particular:</w:t>
      </w:r>
      <w:r w:rsidRPr="00CF17A9">
        <w:rPr>
          <w:rFonts w:ascii="Arial Narrow" w:eastAsia="Arial Narrow" w:hAnsi="Arial Narrow" w:cs="Arial Narrow"/>
          <w:i/>
          <w:iCs/>
          <w:color w:val="000000"/>
        </w:rPr>
        <w:t xml:space="preserve">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14:paraId="1D521BE5" w14:textId="77777777" w:rsidR="007169B7" w:rsidRPr="00CF17A9" w:rsidRDefault="007169B7" w:rsidP="007169B7">
      <w:pPr>
        <w:pBdr>
          <w:top w:val="nil"/>
          <w:left w:val="nil"/>
          <w:bottom w:val="nil"/>
          <w:right w:val="nil"/>
          <w:between w:val="nil"/>
        </w:pBdr>
        <w:spacing w:line="213" w:lineRule="auto"/>
        <w:ind w:left="1243" w:right="687"/>
        <w:rPr>
          <w:rFonts w:ascii="Arial Narrow" w:eastAsia="Arial Narrow" w:hAnsi="Arial Narrow" w:cs="Arial Narrow"/>
          <w:i/>
          <w:iCs/>
          <w:color w:val="000000"/>
        </w:rPr>
      </w:pPr>
    </w:p>
    <w:p w14:paraId="7204E13A" w14:textId="77777777" w:rsidR="007169B7" w:rsidRPr="00CF17A9" w:rsidRDefault="007169B7" w:rsidP="007169B7">
      <w:pPr>
        <w:widowControl w:val="0"/>
        <w:numPr>
          <w:ilvl w:val="0"/>
          <w:numId w:val="7"/>
        </w:numPr>
        <w:pBdr>
          <w:top w:val="nil"/>
          <w:left w:val="nil"/>
          <w:bottom w:val="nil"/>
          <w:right w:val="nil"/>
          <w:between w:val="nil"/>
        </w:pBdr>
        <w:spacing w:after="0" w:line="213" w:lineRule="auto"/>
        <w:ind w:left="284" w:right="48" w:hanging="284"/>
        <w:jc w:val="both"/>
        <w:rPr>
          <w:rFonts w:ascii="Arial Narrow" w:hAnsi="Arial Narrow"/>
          <w:i/>
          <w:iCs/>
          <w:color w:val="000000"/>
        </w:rPr>
      </w:pPr>
      <w:r w:rsidRPr="00CF17A9">
        <w:rPr>
          <w:rFonts w:ascii="Arial Narrow" w:eastAsia="Arial Narrow" w:hAnsi="Arial Narrow" w:cs="Arial Narrow"/>
          <w:b/>
          <w:bCs/>
          <w:i/>
          <w:iCs/>
          <w:color w:val="000000"/>
        </w:rPr>
        <w:t>Beneficio actual:</w:t>
      </w:r>
      <w:r w:rsidRPr="00CF17A9">
        <w:rPr>
          <w:rFonts w:ascii="Arial Narrow" w:eastAsia="Arial Narrow" w:hAnsi="Arial Narrow" w:cs="Arial Narrow"/>
          <w:i/>
          <w:iCs/>
          <w:color w:val="000000"/>
        </w:rPr>
        <w:t xml:space="preserve"> Aquel que efectivamente se configura en las circunstancias presentes y existentes al momento en el que el congresista participa de la decisión.</w:t>
      </w:r>
    </w:p>
    <w:p w14:paraId="40416163" w14:textId="77777777" w:rsidR="007169B7" w:rsidRPr="00CF17A9" w:rsidRDefault="007169B7" w:rsidP="007169B7">
      <w:pPr>
        <w:pBdr>
          <w:top w:val="nil"/>
          <w:left w:val="nil"/>
          <w:bottom w:val="nil"/>
          <w:right w:val="nil"/>
          <w:between w:val="nil"/>
        </w:pBdr>
        <w:ind w:left="720"/>
        <w:rPr>
          <w:rFonts w:ascii="Arial Narrow" w:eastAsia="Arial Narrow" w:hAnsi="Arial Narrow" w:cs="Arial Narrow"/>
          <w:i/>
          <w:iCs/>
          <w:color w:val="000000"/>
        </w:rPr>
      </w:pPr>
    </w:p>
    <w:p w14:paraId="2741DB6C" w14:textId="77777777" w:rsidR="007169B7" w:rsidRPr="00CF17A9" w:rsidRDefault="007169B7" w:rsidP="007169B7">
      <w:pPr>
        <w:widowControl w:val="0"/>
        <w:numPr>
          <w:ilvl w:val="0"/>
          <w:numId w:val="7"/>
        </w:numPr>
        <w:pBdr>
          <w:top w:val="nil"/>
          <w:left w:val="nil"/>
          <w:bottom w:val="nil"/>
          <w:right w:val="nil"/>
          <w:between w:val="nil"/>
        </w:pBdr>
        <w:spacing w:after="0" w:line="213" w:lineRule="auto"/>
        <w:ind w:left="284" w:right="48" w:hanging="284"/>
        <w:jc w:val="both"/>
        <w:rPr>
          <w:rFonts w:ascii="Arial Narrow" w:hAnsi="Arial Narrow"/>
          <w:i/>
          <w:iCs/>
          <w:color w:val="000000"/>
        </w:rPr>
      </w:pPr>
      <w:r w:rsidRPr="00CF17A9">
        <w:rPr>
          <w:rFonts w:ascii="Arial Narrow" w:eastAsia="Arial Narrow" w:hAnsi="Arial Narrow" w:cs="Arial Narrow"/>
          <w:b/>
          <w:bCs/>
          <w:i/>
          <w:iCs/>
          <w:color w:val="000000"/>
        </w:rPr>
        <w:t>Beneficio directo:</w:t>
      </w:r>
      <w:r w:rsidRPr="00CF17A9">
        <w:rPr>
          <w:rFonts w:ascii="Arial Narrow" w:eastAsia="Arial Narrow" w:hAnsi="Arial Narrow" w:cs="Arial Narrow"/>
          <w:i/>
          <w:iCs/>
          <w:color w:val="000000"/>
        </w:rPr>
        <w:t xml:space="preserve">  Aquel que se produzca de manera específica respecto del congresista, de su cónyuge, compañero o compañera permanente, o parientes dentro del segundo grado de consanguinidad, segundo de afinidad o primero civil.</w:t>
      </w:r>
    </w:p>
    <w:p w14:paraId="248B8A83" w14:textId="77777777" w:rsidR="007169B7" w:rsidRPr="00CF17A9" w:rsidRDefault="007169B7" w:rsidP="007169B7">
      <w:pPr>
        <w:spacing w:before="188" w:line="213" w:lineRule="auto"/>
        <w:ind w:right="48" w:firstLine="7"/>
        <w:jc w:val="both"/>
        <w:rPr>
          <w:rFonts w:ascii="Arial Narrow" w:eastAsia="Arial Narrow" w:hAnsi="Arial Narrow" w:cs="Arial Narrow"/>
          <w:i/>
          <w:iCs/>
        </w:rPr>
      </w:pPr>
    </w:p>
    <w:p w14:paraId="184D99FC" w14:textId="77777777" w:rsidR="007169B7" w:rsidRPr="00CF17A9" w:rsidRDefault="007169B7" w:rsidP="007169B7">
      <w:pPr>
        <w:spacing w:before="188" w:line="213" w:lineRule="auto"/>
        <w:ind w:right="48" w:firstLine="7"/>
        <w:jc w:val="both"/>
        <w:rPr>
          <w:rFonts w:ascii="Arial Narrow" w:eastAsia="Arial Narrow" w:hAnsi="Arial Narrow" w:cs="Arial Narrow"/>
          <w:i/>
          <w:iCs/>
        </w:rPr>
      </w:pPr>
      <w:r w:rsidRPr="00CF17A9">
        <w:rPr>
          <w:rFonts w:ascii="Arial Narrow" w:eastAsia="Arial Narrow" w:hAnsi="Arial Narrow" w:cs="Arial Narrow"/>
          <w:i/>
          <w:iCs/>
        </w:rPr>
        <w:t>De conformidad con la jurisprudencia del Consejo de Estado y la Corte Constitucional, para que se configure el conflicto de intereses como causal de pérdida de investidura deben presentarse las siguientes condiciones o supuestos:</w:t>
      </w:r>
    </w:p>
    <w:p w14:paraId="74191C94" w14:textId="77777777" w:rsidR="007169B7" w:rsidRPr="00CF17A9" w:rsidRDefault="007169B7" w:rsidP="007169B7">
      <w:pPr>
        <w:widowControl w:val="0"/>
        <w:numPr>
          <w:ilvl w:val="1"/>
          <w:numId w:val="7"/>
        </w:numPr>
        <w:pBdr>
          <w:top w:val="nil"/>
          <w:left w:val="nil"/>
          <w:bottom w:val="nil"/>
          <w:right w:val="nil"/>
          <w:between w:val="nil"/>
        </w:pBdr>
        <w:tabs>
          <w:tab w:val="left" w:pos="1843"/>
        </w:tabs>
        <w:spacing w:before="226" w:after="0" w:line="240" w:lineRule="auto"/>
        <w:ind w:left="1843" w:hanging="850"/>
        <w:jc w:val="both"/>
        <w:rPr>
          <w:rFonts w:ascii="Arial Narrow" w:eastAsia="Arial Narrow" w:hAnsi="Arial Narrow" w:cs="Arial Narrow"/>
          <w:color w:val="000000"/>
        </w:rPr>
      </w:pPr>
      <w:r w:rsidRPr="00CF17A9">
        <w:rPr>
          <w:rFonts w:ascii="Arial Narrow" w:eastAsia="Arial Narrow" w:hAnsi="Arial Narrow" w:cs="Arial Narrow"/>
          <w:i/>
          <w:iCs/>
          <w:color w:val="000000"/>
        </w:rPr>
        <w:t>Que existe un interés directo, particular y actual: moral o económico.</w:t>
      </w:r>
    </w:p>
    <w:p w14:paraId="026A5746" w14:textId="77777777" w:rsidR="007169B7" w:rsidRPr="00CF17A9" w:rsidRDefault="007169B7" w:rsidP="007169B7">
      <w:pPr>
        <w:widowControl w:val="0"/>
        <w:numPr>
          <w:ilvl w:val="1"/>
          <w:numId w:val="7"/>
        </w:numPr>
        <w:pBdr>
          <w:top w:val="nil"/>
          <w:left w:val="nil"/>
          <w:bottom w:val="nil"/>
          <w:right w:val="nil"/>
          <w:between w:val="nil"/>
        </w:pBdr>
        <w:tabs>
          <w:tab w:val="left" w:pos="1843"/>
          <w:tab w:val="left" w:pos="7227"/>
        </w:tabs>
        <w:spacing w:before="14" w:after="0" w:line="288" w:lineRule="auto"/>
        <w:ind w:left="1843" w:right="752" w:hanging="850"/>
        <w:jc w:val="both"/>
        <w:rPr>
          <w:rFonts w:ascii="Arial Narrow" w:eastAsia="Arial Narrow" w:hAnsi="Arial Narrow" w:cs="Arial Narrow"/>
          <w:color w:val="000000"/>
        </w:rPr>
      </w:pPr>
      <w:r w:rsidRPr="00CF17A9">
        <w:rPr>
          <w:rFonts w:ascii="Arial Narrow" w:eastAsia="Arial Narrow" w:hAnsi="Arial Narrow" w:cs="Arial Narrow"/>
          <w:i/>
          <w:iCs/>
          <w:color w:val="000000"/>
        </w:rPr>
        <w:t>Que el congresista no manifieste su impedimento o pesar de que exista un interés directo en la decisión que se ha de tomar</w:t>
      </w:r>
    </w:p>
    <w:p w14:paraId="44A2D57F" w14:textId="77777777" w:rsidR="007169B7" w:rsidRPr="00CF17A9" w:rsidRDefault="007169B7" w:rsidP="007169B7">
      <w:pPr>
        <w:widowControl w:val="0"/>
        <w:numPr>
          <w:ilvl w:val="1"/>
          <w:numId w:val="7"/>
        </w:numPr>
        <w:pBdr>
          <w:top w:val="nil"/>
          <w:left w:val="nil"/>
          <w:bottom w:val="nil"/>
          <w:right w:val="nil"/>
          <w:between w:val="nil"/>
        </w:pBdr>
        <w:spacing w:before="14" w:after="0" w:line="288" w:lineRule="auto"/>
        <w:ind w:left="1843" w:right="48" w:hanging="850"/>
        <w:jc w:val="both"/>
        <w:rPr>
          <w:rFonts w:ascii="Arial Narrow" w:eastAsia="Arial Narrow" w:hAnsi="Arial Narrow" w:cs="Arial Narrow"/>
          <w:color w:val="000000"/>
        </w:rPr>
      </w:pPr>
      <w:r w:rsidRPr="00CF17A9">
        <w:rPr>
          <w:rFonts w:ascii="Arial Narrow" w:eastAsia="Arial Narrow" w:hAnsi="Arial Narrow" w:cs="Arial Narrow"/>
          <w:i/>
          <w:iCs/>
          <w:color w:val="000000"/>
        </w:rPr>
        <w:t>Que el congresista no haya sido separado del asunto mediante recusación</w:t>
      </w:r>
    </w:p>
    <w:p w14:paraId="35E54467" w14:textId="77777777" w:rsidR="007169B7" w:rsidRPr="00CF17A9" w:rsidRDefault="007169B7" w:rsidP="007169B7">
      <w:pPr>
        <w:widowControl w:val="0"/>
        <w:numPr>
          <w:ilvl w:val="1"/>
          <w:numId w:val="7"/>
        </w:numPr>
        <w:pBdr>
          <w:top w:val="nil"/>
          <w:left w:val="nil"/>
          <w:bottom w:val="nil"/>
          <w:right w:val="nil"/>
          <w:between w:val="nil"/>
        </w:pBdr>
        <w:tabs>
          <w:tab w:val="left" w:pos="1843"/>
          <w:tab w:val="left" w:pos="7227"/>
        </w:tabs>
        <w:spacing w:before="14" w:after="0" w:line="288" w:lineRule="auto"/>
        <w:ind w:left="1843" w:right="48" w:hanging="850"/>
        <w:jc w:val="both"/>
        <w:rPr>
          <w:rFonts w:ascii="Arial Narrow" w:eastAsia="Arial Narrow" w:hAnsi="Arial Narrow" w:cs="Arial Narrow"/>
          <w:color w:val="000000"/>
        </w:rPr>
      </w:pPr>
      <w:r w:rsidRPr="00CF17A9">
        <w:rPr>
          <w:rFonts w:ascii="Arial Narrow" w:eastAsia="Arial Narrow" w:hAnsi="Arial Narrow" w:cs="Arial Narrow"/>
          <w:i/>
          <w:iCs/>
          <w:color w:val="000000"/>
        </w:rPr>
        <w:t>Que el congresista haya participado en los debates y/o haya votado</w:t>
      </w:r>
    </w:p>
    <w:p w14:paraId="377DF70A" w14:textId="77777777" w:rsidR="007169B7" w:rsidRPr="00CF17A9" w:rsidRDefault="007169B7" w:rsidP="007169B7">
      <w:pPr>
        <w:widowControl w:val="0"/>
        <w:numPr>
          <w:ilvl w:val="1"/>
          <w:numId w:val="7"/>
        </w:numPr>
        <w:pBdr>
          <w:top w:val="nil"/>
          <w:left w:val="nil"/>
          <w:bottom w:val="nil"/>
          <w:right w:val="nil"/>
          <w:between w:val="nil"/>
        </w:pBdr>
        <w:tabs>
          <w:tab w:val="left" w:pos="1843"/>
          <w:tab w:val="left" w:pos="7227"/>
        </w:tabs>
        <w:spacing w:before="14" w:after="0" w:line="288" w:lineRule="auto"/>
        <w:ind w:left="1843" w:right="48" w:hanging="850"/>
        <w:jc w:val="both"/>
        <w:rPr>
          <w:rFonts w:ascii="Arial Narrow" w:eastAsia="Arial Narrow" w:hAnsi="Arial Narrow" w:cs="Arial Narrow"/>
          <w:color w:val="000000"/>
        </w:rPr>
      </w:pPr>
      <w:r w:rsidRPr="00CF17A9">
        <w:rPr>
          <w:rFonts w:ascii="Arial Narrow" w:eastAsia="Arial Narrow" w:hAnsi="Arial Narrow" w:cs="Arial Narrow"/>
          <w:i/>
          <w:iCs/>
          <w:color w:val="000000"/>
        </w:rPr>
        <w:t>Que la participación del congresista se haya producido en relación con el trámite de leyes o de cualquier otro asunto sometido a su conocimiento</w:t>
      </w:r>
    </w:p>
    <w:p w14:paraId="767B0961" w14:textId="77777777" w:rsidR="007169B7" w:rsidRPr="00CF17A9" w:rsidRDefault="007169B7" w:rsidP="007169B7">
      <w:pPr>
        <w:tabs>
          <w:tab w:val="left" w:pos="1843"/>
        </w:tabs>
        <w:spacing w:line="218" w:lineRule="auto"/>
        <w:ind w:left="1843" w:right="688" w:hanging="850"/>
        <w:jc w:val="both"/>
        <w:rPr>
          <w:rFonts w:ascii="Arial Narrow" w:eastAsia="Arial Narrow" w:hAnsi="Arial Narrow" w:cs="Arial Narrow"/>
          <w:i/>
          <w:iCs/>
        </w:rPr>
      </w:pPr>
    </w:p>
    <w:p w14:paraId="6923CAC4" w14:textId="77777777" w:rsidR="007169B7" w:rsidRPr="00CF17A9" w:rsidRDefault="007169B7" w:rsidP="007169B7">
      <w:pPr>
        <w:widowControl w:val="0"/>
        <w:pBdr>
          <w:top w:val="nil"/>
          <w:left w:val="nil"/>
          <w:bottom w:val="nil"/>
          <w:right w:val="nil"/>
          <w:between w:val="nil"/>
        </w:pBdr>
        <w:spacing w:before="203" w:line="223" w:lineRule="auto"/>
        <w:ind w:right="48" w:firstLine="2"/>
        <w:jc w:val="both"/>
        <w:rPr>
          <w:rFonts w:ascii="Arial Narrow" w:eastAsia="Arial Narrow" w:hAnsi="Arial Narrow" w:cs="Arial Narrow"/>
          <w:color w:val="000000"/>
        </w:rPr>
      </w:pPr>
      <w:r w:rsidRPr="00CF17A9">
        <w:rPr>
          <w:rFonts w:ascii="Arial Narrow" w:eastAsia="Arial Narrow" w:hAnsi="Arial Narrow" w:cs="Arial Narrow"/>
          <w:color w:val="000000"/>
        </w:rPr>
        <w:t>De igual forma la Sentencia SU-S79 de 2017, estableció que no es suficiente con la acreditación del factor objetivo del conflicto de intereses, es decir, que exista una relación de consanguinidad entre el congresista y un familiar que pueda percibir un eventual beneficio. Deben ser dotadas de contenido de acuerdo con las circunstancias específicas del caso concreto. Lo anterior hace notar, que la razón de ser del régimen de conflictos de interés parlamentario, es preservar la rectitud de la conducta de los congresistas, que deben actuar siempre consultando la justicia y el bien común, como manda el artículo 133 de la Constitución.</w:t>
      </w:r>
    </w:p>
    <w:p w14:paraId="1D26BD36" w14:textId="77777777" w:rsidR="007169B7" w:rsidRPr="00CF17A9" w:rsidRDefault="007169B7" w:rsidP="007169B7">
      <w:pPr>
        <w:spacing w:line="218" w:lineRule="auto"/>
        <w:ind w:right="48" w:hanging="5"/>
        <w:jc w:val="both"/>
        <w:rPr>
          <w:rFonts w:ascii="Arial Narrow" w:eastAsia="Arial Narrow" w:hAnsi="Arial Narrow" w:cs="Arial Narrow"/>
        </w:rPr>
      </w:pPr>
      <w:r w:rsidRPr="00CF17A9">
        <w:rPr>
          <w:rFonts w:ascii="Arial Narrow" w:eastAsia="Arial Narrow" w:hAnsi="Arial Narrow" w:cs="Arial Narrow"/>
        </w:rPr>
        <w:lastRenderedPageBreak/>
        <w:t>Por todo lo anterior, el ponente considera que el proyecto de ley que se pone a consideración en el presente documento, no genera conflicto de interés, debido a que no crea beneficios particulares, actuales o directos para el congresista, ni para sus familiares en los grados de consanguinidad establecidos en la ley.</w:t>
      </w:r>
    </w:p>
    <w:p w14:paraId="3B7FDE69" w14:textId="72358BB1" w:rsidR="007169B7" w:rsidRPr="00CF17A9" w:rsidRDefault="007169B7" w:rsidP="007169B7">
      <w:pPr>
        <w:spacing w:before="312"/>
        <w:ind w:right="17"/>
        <w:jc w:val="both"/>
        <w:rPr>
          <w:rFonts w:ascii="Arial Narrow" w:hAnsi="Arial Narrow" w:cs="Segoe UI"/>
          <w:color w:val="0D0D0D"/>
          <w:shd w:val="clear" w:color="auto" w:fill="FCFCFC"/>
        </w:rPr>
      </w:pPr>
      <w:r w:rsidRPr="00CF17A9">
        <w:rPr>
          <w:rFonts w:ascii="Arial Narrow" w:eastAsia="Arial Narrow" w:hAnsi="Arial Narrow" w:cs="Arial Narrow"/>
        </w:rPr>
        <w:t>En suma, se considera que este proyecto se enmarca en lo dispuesto por el literal a del artículo primero de la Ley 2003 de 2019 sobre las hipótesis de cuando se entiende que no hay conflicto de interés; no obstante, es pertinente aclarar que los conflictos de interés son personales y corresponde a cada Congresista evaluarlos y declararlos si es necesario.</w:t>
      </w:r>
    </w:p>
    <w:p w14:paraId="728A6A5F" w14:textId="77777777" w:rsidR="005A6511" w:rsidRPr="00CF17A9" w:rsidRDefault="005A6511">
      <w:pPr>
        <w:spacing w:before="312"/>
        <w:ind w:right="17"/>
        <w:jc w:val="both"/>
        <w:rPr>
          <w:rFonts w:ascii="Arial Narrow" w:hAnsi="Arial Narrow" w:cs="Segoe UI"/>
          <w:color w:val="0D0D0D"/>
          <w:shd w:val="clear" w:color="auto" w:fill="FCFCFC"/>
        </w:rPr>
      </w:pPr>
    </w:p>
    <w:p w14:paraId="224F32A4" w14:textId="43CE8F19" w:rsidR="00861FE3" w:rsidRPr="00CF17A9" w:rsidRDefault="005B46B1">
      <w:pPr>
        <w:spacing w:line="240" w:lineRule="auto"/>
        <w:jc w:val="both"/>
        <w:rPr>
          <w:rFonts w:ascii="Arial Narrow" w:eastAsia="Arial Narrow" w:hAnsi="Arial Narrow" w:cs="Arial Narrow"/>
          <w:b/>
          <w:bCs/>
        </w:rPr>
      </w:pPr>
      <w:r w:rsidRPr="00CF17A9">
        <w:rPr>
          <w:rFonts w:ascii="Arial Narrow" w:eastAsia="Arial Narrow" w:hAnsi="Arial Narrow" w:cs="Arial Narrow"/>
          <w:b/>
          <w:bCs/>
        </w:rPr>
        <w:t>9</w:t>
      </w:r>
      <w:r w:rsidR="00C419A0" w:rsidRPr="00CF17A9">
        <w:rPr>
          <w:rFonts w:ascii="Arial Narrow" w:eastAsia="Arial Narrow" w:hAnsi="Arial Narrow" w:cs="Arial Narrow"/>
          <w:b/>
          <w:bCs/>
        </w:rPr>
        <w:t>. PLIEGO DE</w:t>
      </w:r>
      <w:r w:rsidR="00C419A0" w:rsidRPr="00CF17A9">
        <w:rPr>
          <w:rFonts w:ascii="Arial Narrow" w:eastAsia="Arial Narrow" w:hAnsi="Arial Narrow" w:cs="Arial Narrow"/>
          <w:b/>
          <w:bCs/>
        </w:rPr>
        <w:t xml:space="preserve"> MODIFICACIONES</w:t>
      </w:r>
    </w:p>
    <w:p w14:paraId="4943FDF1" w14:textId="67B796A6" w:rsidR="00431D41" w:rsidRPr="00CF17A9" w:rsidRDefault="005B46B1" w:rsidP="005B46B1">
      <w:pPr>
        <w:spacing w:line="240" w:lineRule="auto"/>
        <w:jc w:val="both"/>
        <w:rPr>
          <w:rFonts w:ascii="Arial Narrow" w:eastAsia="Arial Narrow" w:hAnsi="Arial Narrow" w:cs="Arial Narrow"/>
        </w:rPr>
      </w:pPr>
      <w:r w:rsidRPr="00CF17A9">
        <w:rPr>
          <w:rFonts w:ascii="Arial Narrow" w:eastAsia="Arial Narrow" w:hAnsi="Arial Narrow" w:cs="Arial Narrow"/>
        </w:rPr>
        <w:t>El presente proyecto de ley no contempla modificaciones.</w:t>
      </w:r>
    </w:p>
    <w:p w14:paraId="091B5C0A" w14:textId="77777777" w:rsidR="00CF17A9" w:rsidRPr="00CF17A9" w:rsidRDefault="00CF17A9" w:rsidP="005B46B1">
      <w:pPr>
        <w:spacing w:line="240" w:lineRule="auto"/>
        <w:jc w:val="both"/>
        <w:rPr>
          <w:rFonts w:ascii="Arial Narrow" w:eastAsia="Arial Narrow" w:hAnsi="Arial Narrow" w:cs="Arial Narrow"/>
        </w:rPr>
      </w:pPr>
    </w:p>
    <w:p w14:paraId="2307C813" w14:textId="77777777" w:rsidR="00861FE3" w:rsidRPr="00CF17A9" w:rsidRDefault="005B46B1">
      <w:pPr>
        <w:spacing w:line="240" w:lineRule="auto"/>
        <w:jc w:val="both"/>
        <w:rPr>
          <w:rFonts w:ascii="Arial Narrow" w:eastAsia="Arial Narrow" w:hAnsi="Arial Narrow" w:cs="Arial Narrow"/>
          <w:b/>
          <w:bCs/>
        </w:rPr>
      </w:pPr>
      <w:r w:rsidRPr="00CF17A9">
        <w:rPr>
          <w:rFonts w:ascii="Arial Narrow" w:eastAsia="Arial Narrow" w:hAnsi="Arial Narrow" w:cs="Arial Narrow"/>
          <w:b/>
          <w:bCs/>
        </w:rPr>
        <w:t>10</w:t>
      </w:r>
      <w:r w:rsidR="00C419A0" w:rsidRPr="00CF17A9">
        <w:rPr>
          <w:rFonts w:ascii="Arial Narrow" w:eastAsia="Arial Narrow" w:hAnsi="Arial Narrow" w:cs="Arial Narrow"/>
          <w:b/>
          <w:bCs/>
        </w:rPr>
        <w:t xml:space="preserve">. PROPOSICIÓN </w:t>
      </w:r>
    </w:p>
    <w:p w14:paraId="7C933580" w14:textId="5C996721" w:rsidR="00861FE3" w:rsidRPr="00CF17A9" w:rsidRDefault="00C419A0">
      <w:pPr>
        <w:pBdr>
          <w:top w:val="nil"/>
          <w:left w:val="nil"/>
          <w:bottom w:val="nil"/>
          <w:right w:val="nil"/>
          <w:between w:val="nil"/>
        </w:pBdr>
        <w:spacing w:after="0" w:line="240" w:lineRule="auto"/>
        <w:jc w:val="both"/>
        <w:rPr>
          <w:rFonts w:ascii="Arial Narrow" w:eastAsia="Arial Narrow" w:hAnsi="Arial Narrow" w:cs="Arial Narrow"/>
          <w:color w:val="000000"/>
        </w:rPr>
      </w:pPr>
      <w:r w:rsidRPr="00CF17A9">
        <w:rPr>
          <w:rFonts w:ascii="Arial Narrow" w:eastAsia="Arial Narrow" w:hAnsi="Arial Narrow" w:cs="Arial Narrow"/>
          <w:color w:val="000000"/>
        </w:rPr>
        <w:t>Con base en las anteriores consideraciones, prese</w:t>
      </w:r>
      <w:r w:rsidR="00BF0E8A" w:rsidRPr="00CF17A9">
        <w:rPr>
          <w:rFonts w:ascii="Arial Narrow" w:eastAsia="Arial Narrow" w:hAnsi="Arial Narrow" w:cs="Arial Narrow"/>
          <w:color w:val="000000"/>
        </w:rPr>
        <w:t>nto</w:t>
      </w:r>
      <w:r w:rsidRPr="00CF17A9">
        <w:rPr>
          <w:rFonts w:ascii="Arial Narrow" w:eastAsia="Arial Narrow" w:hAnsi="Arial Narrow" w:cs="Arial Narrow"/>
          <w:color w:val="000000"/>
        </w:rPr>
        <w:t xml:space="preserve"> ponencia positiva y solicit</w:t>
      </w:r>
      <w:r w:rsidR="00BF0E8A" w:rsidRPr="00CF17A9">
        <w:rPr>
          <w:rFonts w:ascii="Arial Narrow" w:eastAsia="Arial Narrow" w:hAnsi="Arial Narrow" w:cs="Arial Narrow"/>
          <w:color w:val="000000"/>
        </w:rPr>
        <w:t>o</w:t>
      </w:r>
      <w:r w:rsidRPr="00CF17A9">
        <w:rPr>
          <w:rFonts w:ascii="Arial Narrow" w:eastAsia="Arial Narrow" w:hAnsi="Arial Narrow" w:cs="Arial Narrow"/>
          <w:color w:val="000000"/>
        </w:rPr>
        <w:t xml:space="preserve"> respetuosamente a la Comisión </w:t>
      </w:r>
      <w:r w:rsidRPr="00CF17A9">
        <w:rPr>
          <w:rFonts w:ascii="Arial Narrow" w:eastAsia="Arial Narrow" w:hAnsi="Arial Narrow" w:cs="Arial Narrow"/>
        </w:rPr>
        <w:t xml:space="preserve">Primera </w:t>
      </w:r>
      <w:r w:rsidR="00BF0E8A" w:rsidRPr="00CF17A9">
        <w:rPr>
          <w:rFonts w:ascii="Arial Narrow" w:eastAsia="Arial Narrow" w:hAnsi="Arial Narrow" w:cs="Arial Narrow"/>
        </w:rPr>
        <w:t xml:space="preserve">Constitucional </w:t>
      </w:r>
      <w:r w:rsidRPr="00CF17A9">
        <w:rPr>
          <w:rFonts w:ascii="Arial Narrow" w:eastAsia="Arial Narrow" w:hAnsi="Arial Narrow" w:cs="Arial Narrow"/>
          <w:color w:val="000000"/>
        </w:rPr>
        <w:t xml:space="preserve">de la Cámara de Representantes, dar trámite para primer debate al </w:t>
      </w:r>
      <w:r w:rsidRPr="00CF17A9">
        <w:rPr>
          <w:rFonts w:ascii="Arial Narrow" w:eastAsia="Arial Narrow" w:hAnsi="Arial Narrow" w:cs="Arial Narrow"/>
          <w:b/>
          <w:bCs/>
          <w:color w:val="000000"/>
        </w:rPr>
        <w:t xml:space="preserve">Proyecto de Ley No.  </w:t>
      </w:r>
      <w:r w:rsidRPr="00CF17A9">
        <w:rPr>
          <w:rFonts w:ascii="Arial Narrow" w:eastAsia="Arial Narrow" w:hAnsi="Arial Narrow" w:cs="Arial Narrow"/>
          <w:b/>
          <w:bCs/>
        </w:rPr>
        <w:t xml:space="preserve">023 </w:t>
      </w:r>
      <w:r w:rsidRPr="00CF17A9">
        <w:rPr>
          <w:rFonts w:ascii="Arial Narrow" w:eastAsia="Arial Narrow" w:hAnsi="Arial Narrow" w:cs="Arial Narrow"/>
          <w:b/>
          <w:bCs/>
          <w:color w:val="000000"/>
        </w:rPr>
        <w:t>de 2026, Cámara</w:t>
      </w:r>
      <w:r w:rsidRPr="00CF17A9">
        <w:rPr>
          <w:rFonts w:ascii="Arial Narrow" w:eastAsia="Arial Narrow" w:hAnsi="Arial Narrow" w:cs="Arial Narrow"/>
          <w:color w:val="000000"/>
        </w:rPr>
        <w:t xml:space="preserve">, </w:t>
      </w:r>
      <w:r w:rsidRPr="00CF17A9">
        <w:rPr>
          <w:rFonts w:ascii="Arial Narrow" w:eastAsia="Arial Narrow" w:hAnsi="Arial Narrow" w:cs="Arial Narrow"/>
          <w:i/>
          <w:iCs/>
        </w:rPr>
        <w:t xml:space="preserve">“Por medio de la cual </w:t>
      </w:r>
      <w:r w:rsidRPr="00CF17A9">
        <w:rPr>
          <w:rFonts w:ascii="Arial Narrow" w:eastAsia="Arial Narrow" w:hAnsi="Arial Narrow" w:cs="Arial Narrow"/>
          <w:i/>
          <w:iCs/>
        </w:rPr>
        <w:t xml:space="preserve">se modifican y adicionan disposiciones de la Ley 599 de 2000, con el fin de sancionar la utilización del ocultamiento de identidad para facilitar la comisión de conductas punibles en el contexto de manifestaciones públicas, y se dictan otras disposiciones </w:t>
      </w:r>
      <w:r w:rsidRPr="00CF17A9">
        <w:rPr>
          <w:rFonts w:ascii="Arial Narrow" w:eastAsia="Arial Narrow" w:hAnsi="Arial Narrow" w:cs="Arial Narrow"/>
          <w:i/>
          <w:iCs/>
        </w:rPr>
        <w:t>- Ley Anti Capuchos”</w:t>
      </w:r>
      <w:r w:rsidRPr="00CF17A9">
        <w:rPr>
          <w:rFonts w:ascii="Arial Narrow" w:eastAsia="Arial Narrow" w:hAnsi="Arial Narrow" w:cs="Arial Narrow"/>
          <w:b/>
          <w:bCs/>
        </w:rPr>
        <w:t xml:space="preserve">, </w:t>
      </w:r>
      <w:r w:rsidR="00CF17A9" w:rsidRPr="00CF17A9">
        <w:rPr>
          <w:rFonts w:ascii="Arial Narrow" w:eastAsia="Arial Narrow" w:hAnsi="Arial Narrow" w:cs="Arial Narrow"/>
          <w:color w:val="000000"/>
        </w:rPr>
        <w:t>conforme a</w:t>
      </w:r>
      <w:r w:rsidRPr="00CF17A9">
        <w:rPr>
          <w:rFonts w:ascii="Arial Narrow" w:eastAsia="Arial Narrow" w:hAnsi="Arial Narrow" w:cs="Arial Narrow"/>
          <w:color w:val="000000"/>
        </w:rPr>
        <w:t xml:space="preserve">l texto propuesto para </w:t>
      </w:r>
      <w:r w:rsidR="00CF17A9" w:rsidRPr="00CF17A9">
        <w:rPr>
          <w:rFonts w:ascii="Arial Narrow" w:eastAsia="Arial Narrow" w:hAnsi="Arial Narrow" w:cs="Arial Narrow"/>
          <w:color w:val="000000"/>
        </w:rPr>
        <w:t xml:space="preserve">primer </w:t>
      </w:r>
      <w:r w:rsidRPr="00CF17A9">
        <w:rPr>
          <w:rFonts w:ascii="Arial Narrow" w:eastAsia="Arial Narrow" w:hAnsi="Arial Narrow" w:cs="Arial Narrow"/>
          <w:color w:val="000000"/>
        </w:rPr>
        <w:t>debate</w:t>
      </w:r>
      <w:r w:rsidR="00CF17A9" w:rsidRPr="00CF17A9">
        <w:rPr>
          <w:rFonts w:ascii="Arial Narrow" w:eastAsia="Arial Narrow" w:hAnsi="Arial Narrow" w:cs="Arial Narrow"/>
          <w:color w:val="000000"/>
        </w:rPr>
        <w:t>.</w:t>
      </w:r>
    </w:p>
    <w:p w14:paraId="3217F71F" w14:textId="5C703A06" w:rsidR="007169B7" w:rsidRPr="00CF17A9" w:rsidRDefault="007169B7">
      <w:pPr>
        <w:pBdr>
          <w:top w:val="nil"/>
          <w:left w:val="nil"/>
          <w:bottom w:val="nil"/>
          <w:right w:val="nil"/>
          <w:between w:val="nil"/>
        </w:pBdr>
        <w:spacing w:after="0" w:line="240" w:lineRule="auto"/>
        <w:jc w:val="both"/>
        <w:rPr>
          <w:rFonts w:ascii="Arial Narrow" w:eastAsia="Arial Narrow" w:hAnsi="Arial Narrow" w:cs="Arial Narrow"/>
          <w:color w:val="000000"/>
        </w:rPr>
      </w:pPr>
    </w:p>
    <w:p w14:paraId="635EFE4C" w14:textId="77777777" w:rsidR="007169B7" w:rsidRPr="00CF17A9" w:rsidRDefault="007169B7" w:rsidP="007169B7">
      <w:pPr>
        <w:ind w:right="-136"/>
        <w:jc w:val="both"/>
        <w:rPr>
          <w:rFonts w:ascii="Arial Narrow" w:eastAsia="Arial Narrow" w:hAnsi="Arial Narrow" w:cs="Arial Narrow"/>
        </w:rPr>
      </w:pPr>
      <w:r w:rsidRPr="00CF17A9">
        <w:rPr>
          <w:rFonts w:ascii="Arial Narrow" w:eastAsia="Arial Narrow" w:hAnsi="Arial Narrow" w:cs="Arial Narrow"/>
        </w:rPr>
        <w:t>Cordialmente,</w:t>
      </w:r>
    </w:p>
    <w:p w14:paraId="4E4EA684" w14:textId="77777777" w:rsidR="007169B7" w:rsidRPr="00CF17A9" w:rsidRDefault="007169B7" w:rsidP="007169B7">
      <w:pPr>
        <w:ind w:right="-136"/>
        <w:jc w:val="both"/>
        <w:rPr>
          <w:rFonts w:ascii="Arial Narrow" w:eastAsia="Arial Narrow" w:hAnsi="Arial Narrow" w:cs="Arial Narrow"/>
        </w:rPr>
      </w:pPr>
    </w:p>
    <w:p w14:paraId="3A56E7ED" w14:textId="77777777" w:rsidR="007169B7" w:rsidRPr="00CF17A9" w:rsidRDefault="007169B7" w:rsidP="007169B7">
      <w:pPr>
        <w:pBdr>
          <w:top w:val="nil"/>
          <w:left w:val="nil"/>
          <w:bottom w:val="nil"/>
          <w:right w:val="nil"/>
          <w:between w:val="nil"/>
        </w:pBdr>
        <w:spacing w:after="0" w:line="240" w:lineRule="auto"/>
        <w:jc w:val="both"/>
        <w:rPr>
          <w:rFonts w:ascii="Arial Narrow" w:eastAsia="Arial Narrow" w:hAnsi="Arial Narrow" w:cs="Arial Narrow"/>
          <w:b/>
          <w:bCs/>
        </w:rPr>
      </w:pPr>
      <w:r w:rsidRPr="00CF17A9">
        <w:rPr>
          <w:rFonts w:ascii="Arial Narrow" w:eastAsia="Arial Narrow" w:hAnsi="Arial Narrow" w:cs="Arial Narrow"/>
          <w:b/>
          <w:bCs/>
        </w:rPr>
        <w:t>Jaime Ignacio Arizabaleta Fajardo.</w:t>
      </w:r>
    </w:p>
    <w:p w14:paraId="330C3E00" w14:textId="77777777" w:rsidR="007169B7" w:rsidRPr="00CF17A9" w:rsidRDefault="007169B7" w:rsidP="007169B7">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Representante a la Cámara</w:t>
      </w:r>
    </w:p>
    <w:p w14:paraId="77B343BD" w14:textId="77777777" w:rsidR="007169B7" w:rsidRPr="00CF17A9" w:rsidRDefault="007169B7" w:rsidP="007169B7">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Departamento del Valle del Cauca</w:t>
      </w:r>
    </w:p>
    <w:p w14:paraId="333A9D47" w14:textId="77777777" w:rsidR="007169B7" w:rsidRPr="00CF17A9" w:rsidRDefault="007169B7" w:rsidP="007169B7">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 xml:space="preserve">Centro Democrático </w:t>
      </w:r>
    </w:p>
    <w:p w14:paraId="5B72EF9B" w14:textId="77777777" w:rsidR="007169B7" w:rsidRPr="00CF17A9" w:rsidRDefault="007169B7">
      <w:pPr>
        <w:pBdr>
          <w:top w:val="nil"/>
          <w:left w:val="nil"/>
          <w:bottom w:val="nil"/>
          <w:right w:val="nil"/>
          <w:between w:val="nil"/>
        </w:pBdr>
        <w:spacing w:after="0" w:line="240" w:lineRule="auto"/>
        <w:jc w:val="both"/>
        <w:rPr>
          <w:rFonts w:ascii="Arial Narrow" w:eastAsia="Arial Narrow" w:hAnsi="Arial Narrow" w:cs="Arial Narrow"/>
          <w:color w:val="000000"/>
        </w:rPr>
      </w:pPr>
    </w:p>
    <w:p w14:paraId="66FECD1D" w14:textId="77777777" w:rsidR="00861FE3" w:rsidRPr="00CF17A9" w:rsidRDefault="00861FE3">
      <w:pPr>
        <w:widowControl w:val="0"/>
        <w:spacing w:after="0" w:line="240" w:lineRule="auto"/>
        <w:rPr>
          <w:rFonts w:ascii="Arial Narrow" w:eastAsia="Arial Narrow" w:hAnsi="Arial Narrow" w:cs="Arial Narrow"/>
        </w:rPr>
      </w:pPr>
    </w:p>
    <w:p w14:paraId="580FC48D" w14:textId="77777777" w:rsidR="00861FE3" w:rsidRPr="00CF17A9" w:rsidRDefault="00861FE3">
      <w:pPr>
        <w:pBdr>
          <w:top w:val="nil"/>
          <w:left w:val="nil"/>
          <w:bottom w:val="nil"/>
          <w:right w:val="nil"/>
          <w:between w:val="nil"/>
        </w:pBdr>
        <w:spacing w:after="0" w:line="240" w:lineRule="auto"/>
        <w:jc w:val="both"/>
        <w:rPr>
          <w:rFonts w:ascii="Arial Narrow" w:eastAsia="Arial Narrow" w:hAnsi="Arial Narrow" w:cs="Arial Narrow"/>
          <w:b/>
          <w:bCs/>
        </w:rPr>
      </w:pPr>
    </w:p>
    <w:p w14:paraId="6FF42817" w14:textId="539DF01B" w:rsidR="00861FE3" w:rsidRPr="00CF17A9" w:rsidRDefault="00C419A0" w:rsidP="00C1388E">
      <w:pPr>
        <w:pBdr>
          <w:top w:val="nil"/>
          <w:left w:val="nil"/>
          <w:bottom w:val="nil"/>
          <w:right w:val="nil"/>
          <w:between w:val="nil"/>
        </w:pBdr>
        <w:spacing w:after="0" w:line="240" w:lineRule="auto"/>
        <w:jc w:val="both"/>
        <w:rPr>
          <w:rFonts w:ascii="Arial Narrow" w:eastAsia="Arial Narrow" w:hAnsi="Arial Narrow" w:cs="Arial Narrow"/>
          <w:color w:val="000000"/>
        </w:rPr>
      </w:pPr>
      <w:r w:rsidRPr="00CF17A9">
        <w:rPr>
          <w:rFonts w:ascii="Arial Narrow" w:eastAsia="Arial Narrow" w:hAnsi="Arial Narrow" w:cs="Arial Narrow"/>
          <w:b/>
          <w:bCs/>
        </w:rPr>
        <w:t>1</w:t>
      </w:r>
      <w:r w:rsidR="005B46B1" w:rsidRPr="00CF17A9">
        <w:rPr>
          <w:rFonts w:ascii="Arial Narrow" w:eastAsia="Arial Narrow" w:hAnsi="Arial Narrow" w:cs="Arial Narrow"/>
          <w:b/>
          <w:bCs/>
        </w:rPr>
        <w:t>1.</w:t>
      </w:r>
      <w:r w:rsidR="00C1388E" w:rsidRPr="00CF17A9">
        <w:rPr>
          <w:rFonts w:ascii="Arial Narrow" w:hAnsi="Arial Narrow" w:cs="Arial"/>
          <w:b/>
          <w:bCs/>
        </w:rPr>
        <w:t xml:space="preserve"> </w:t>
      </w:r>
      <w:r w:rsidR="00C1388E" w:rsidRPr="00CF17A9">
        <w:rPr>
          <w:rFonts w:ascii="Arial Narrow" w:hAnsi="Arial Narrow" w:cs="Arial"/>
          <w:b/>
          <w:bCs/>
        </w:rPr>
        <w:t>TEXTO PROPUESTO PARA EL PRIMER DEBATE EN LA COMISIÓN PRIMERA CONSTITUCIONAL PERMANENTE DE LA CÁMARA DE REPRESENTANTES AL PROYECTO DE LEY No.</w:t>
      </w:r>
      <w:r w:rsidRPr="00CF17A9">
        <w:rPr>
          <w:rFonts w:ascii="Arial Narrow" w:eastAsia="Arial Narrow" w:hAnsi="Arial Narrow" w:cs="Arial Narrow"/>
          <w:b/>
          <w:bCs/>
        </w:rPr>
        <w:t xml:space="preserve">023 </w:t>
      </w:r>
      <w:r w:rsidRPr="00CF17A9">
        <w:rPr>
          <w:rFonts w:ascii="Arial Narrow" w:eastAsia="Arial Narrow" w:hAnsi="Arial Narrow" w:cs="Arial Narrow"/>
          <w:b/>
          <w:bCs/>
          <w:color w:val="000000"/>
        </w:rPr>
        <w:t>DE 2026, CÁMARA</w:t>
      </w:r>
      <w:r w:rsidR="00C1388E" w:rsidRPr="00CF17A9">
        <w:rPr>
          <w:rFonts w:ascii="Arial Narrow" w:eastAsia="Arial Narrow" w:hAnsi="Arial Narrow" w:cs="Arial Narrow"/>
          <w:b/>
          <w:bCs/>
          <w:color w:val="000000"/>
        </w:rPr>
        <w:t>.</w:t>
      </w:r>
    </w:p>
    <w:p w14:paraId="04B2F684" w14:textId="77777777" w:rsidR="00861FE3" w:rsidRPr="00CF17A9" w:rsidRDefault="00861FE3">
      <w:pPr>
        <w:pBdr>
          <w:top w:val="nil"/>
          <w:left w:val="nil"/>
          <w:bottom w:val="nil"/>
          <w:right w:val="nil"/>
          <w:between w:val="nil"/>
        </w:pBdr>
        <w:spacing w:after="0" w:line="240" w:lineRule="auto"/>
        <w:rPr>
          <w:rFonts w:ascii="Arial Narrow" w:eastAsia="Arial Narrow" w:hAnsi="Arial Narrow" w:cs="Arial Narrow"/>
          <w:color w:val="000000"/>
        </w:rPr>
      </w:pPr>
    </w:p>
    <w:p w14:paraId="60A7D8AE" w14:textId="77777777" w:rsidR="00861FE3" w:rsidRPr="00CF17A9" w:rsidRDefault="00861FE3">
      <w:pPr>
        <w:spacing w:after="0" w:line="259" w:lineRule="auto"/>
        <w:rPr>
          <w:rFonts w:ascii="Arial Narrow" w:eastAsia="Arial Narrow" w:hAnsi="Arial Narrow" w:cs="Arial Narrow"/>
          <w:i/>
          <w:iCs/>
        </w:rPr>
      </w:pPr>
    </w:p>
    <w:p w14:paraId="223063EE" w14:textId="77777777" w:rsidR="00861FE3" w:rsidRPr="00CF17A9" w:rsidRDefault="00C419A0">
      <w:pPr>
        <w:spacing w:after="0" w:line="259" w:lineRule="auto"/>
        <w:jc w:val="center"/>
        <w:rPr>
          <w:rFonts w:ascii="Arial Narrow" w:eastAsia="Arial Narrow" w:hAnsi="Arial Narrow" w:cs="Arial Narrow"/>
          <w:i/>
          <w:iCs/>
        </w:rPr>
      </w:pPr>
      <w:r w:rsidRPr="00CF17A9">
        <w:rPr>
          <w:rFonts w:ascii="Arial Narrow" w:eastAsia="Arial Narrow" w:hAnsi="Arial Narrow" w:cs="Arial Narrow"/>
          <w:i/>
          <w:iCs/>
        </w:rPr>
        <w:t>“Por medio de la cual se modifican y adicionan disposiciones de la Ley 599 de 2000, con el fin de sancionar la utilización del ocultamiento de identidad para facilitar la comisión de conductas punibles en el contexto de manifestaciones públicas, y se dicta</w:t>
      </w:r>
      <w:r w:rsidRPr="00CF17A9">
        <w:rPr>
          <w:rFonts w:ascii="Arial Narrow" w:eastAsia="Arial Narrow" w:hAnsi="Arial Narrow" w:cs="Arial Narrow"/>
          <w:i/>
          <w:iCs/>
        </w:rPr>
        <w:t>n otras disposiciones - Ley Anti Capuchos.”</w:t>
      </w:r>
    </w:p>
    <w:p w14:paraId="35765756" w14:textId="77777777" w:rsidR="00861FE3" w:rsidRPr="00CF17A9" w:rsidRDefault="00861FE3">
      <w:pPr>
        <w:pBdr>
          <w:top w:val="nil"/>
          <w:left w:val="nil"/>
          <w:bottom w:val="nil"/>
          <w:right w:val="nil"/>
          <w:between w:val="nil"/>
        </w:pBdr>
        <w:spacing w:after="0" w:line="240" w:lineRule="auto"/>
        <w:jc w:val="center"/>
        <w:rPr>
          <w:rFonts w:ascii="Arial Narrow" w:eastAsia="Arial Narrow" w:hAnsi="Arial Narrow" w:cs="Arial Narrow"/>
          <w:i/>
          <w:iCs/>
        </w:rPr>
      </w:pPr>
    </w:p>
    <w:p w14:paraId="044FA9D1" w14:textId="041635B5" w:rsidR="00861FE3" w:rsidRPr="00CF17A9" w:rsidRDefault="00C419A0" w:rsidP="00BF0E8A">
      <w:pPr>
        <w:ind w:right="-136"/>
        <w:jc w:val="center"/>
        <w:rPr>
          <w:rFonts w:ascii="Arial Narrow" w:eastAsia="Arial Narrow" w:hAnsi="Arial Narrow" w:cs="Arial Narrow"/>
          <w:b/>
          <w:bCs/>
        </w:rPr>
      </w:pPr>
      <w:r w:rsidRPr="00CF17A9">
        <w:rPr>
          <w:rFonts w:ascii="Arial Narrow" w:eastAsia="Arial Narrow" w:hAnsi="Arial Narrow" w:cs="Arial Narrow"/>
          <w:b/>
          <w:bCs/>
        </w:rPr>
        <w:t xml:space="preserve">EL CONGRESO </w:t>
      </w:r>
      <w:r w:rsidR="007169B7" w:rsidRPr="00CF17A9">
        <w:rPr>
          <w:rFonts w:ascii="Arial Narrow" w:eastAsia="Arial Narrow" w:hAnsi="Arial Narrow" w:cs="Arial Narrow"/>
          <w:b/>
          <w:bCs/>
        </w:rPr>
        <w:t xml:space="preserve">DE </w:t>
      </w:r>
      <w:r w:rsidRPr="00CF17A9">
        <w:rPr>
          <w:rFonts w:ascii="Arial Narrow" w:eastAsia="Arial Narrow" w:hAnsi="Arial Narrow" w:cs="Arial Narrow"/>
          <w:b/>
          <w:bCs/>
        </w:rPr>
        <w:t>COLOMBIA</w:t>
      </w:r>
    </w:p>
    <w:p w14:paraId="7F326AC6" w14:textId="77777777" w:rsidR="00861FE3" w:rsidRPr="00CF17A9" w:rsidRDefault="00C419A0">
      <w:pPr>
        <w:ind w:right="-136"/>
        <w:jc w:val="center"/>
        <w:rPr>
          <w:rFonts w:ascii="Arial Narrow" w:eastAsia="Arial Narrow" w:hAnsi="Arial Narrow" w:cs="Arial Narrow"/>
          <w:b/>
          <w:bCs/>
        </w:rPr>
      </w:pPr>
      <w:r w:rsidRPr="00CF17A9">
        <w:rPr>
          <w:rFonts w:ascii="Arial Narrow" w:eastAsia="Arial Narrow" w:hAnsi="Arial Narrow" w:cs="Arial Narrow"/>
          <w:b/>
          <w:bCs/>
        </w:rPr>
        <w:lastRenderedPageBreak/>
        <w:t>DECRETA:</w:t>
      </w:r>
    </w:p>
    <w:p w14:paraId="4C372271" w14:textId="77777777" w:rsidR="00861FE3" w:rsidRPr="00CF17A9" w:rsidRDefault="00861FE3">
      <w:pPr>
        <w:widowControl w:val="0"/>
        <w:jc w:val="center"/>
        <w:rPr>
          <w:rFonts w:ascii="Arial Narrow" w:eastAsia="Arial Narrow" w:hAnsi="Arial Narrow" w:cs="Arial Narrow"/>
        </w:rPr>
      </w:pPr>
    </w:p>
    <w:p w14:paraId="7A313445"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1°. Objeto. La presente ley tiene por objeto fortalecer la protección del orden público, la seguridad ciudadana y el ejercicio del derecho fundamental a la protesta pacífica mediante la tipificación de conductas punibles y la adopción de medidas o</w:t>
      </w:r>
      <w:r w:rsidRPr="00CF17A9">
        <w:rPr>
          <w:rFonts w:ascii="Arial Narrow" w:eastAsia="Arial Narrow" w:hAnsi="Arial Narrow" w:cs="Arial Narrow"/>
        </w:rPr>
        <w:t>rientadas a sancionar la utilización del ocultamiento de identidad como medio para facilitar la comisión de delitos en el contexto de manifestaciones públicas.</w:t>
      </w:r>
    </w:p>
    <w:p w14:paraId="4CAF387F" w14:textId="77777777" w:rsidR="00861FE3" w:rsidRPr="00CF17A9" w:rsidRDefault="00861FE3">
      <w:pPr>
        <w:spacing w:after="0" w:line="259" w:lineRule="auto"/>
        <w:jc w:val="both"/>
        <w:rPr>
          <w:rFonts w:ascii="Arial Narrow" w:eastAsia="Arial Narrow" w:hAnsi="Arial Narrow" w:cs="Arial Narrow"/>
        </w:rPr>
      </w:pPr>
    </w:p>
    <w:p w14:paraId="79173CAC"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2°. Definiciones. Para efectos de la presente ley, se entenderá por:</w:t>
      </w:r>
    </w:p>
    <w:p w14:paraId="0B7F78D7" w14:textId="77777777" w:rsidR="00861FE3" w:rsidRPr="00CF17A9" w:rsidRDefault="00861FE3">
      <w:pPr>
        <w:spacing w:after="0" w:line="259" w:lineRule="auto"/>
        <w:jc w:val="both"/>
        <w:rPr>
          <w:rFonts w:ascii="Arial Narrow" w:eastAsia="Arial Narrow" w:hAnsi="Arial Narrow" w:cs="Arial Narrow"/>
        </w:rPr>
      </w:pPr>
    </w:p>
    <w:p w14:paraId="344B8861" w14:textId="77777777" w:rsidR="00861FE3" w:rsidRPr="00CF17A9" w:rsidRDefault="00C419A0">
      <w:pPr>
        <w:numPr>
          <w:ilvl w:val="0"/>
          <w:numId w:val="8"/>
        </w:numPr>
        <w:spacing w:after="0" w:line="259" w:lineRule="auto"/>
        <w:ind w:left="1420" w:hanging="710"/>
        <w:jc w:val="both"/>
        <w:rPr>
          <w:rFonts w:ascii="Arial Narrow" w:eastAsia="Arial Narrow" w:hAnsi="Arial Narrow" w:cs="Arial Narrow"/>
        </w:rPr>
      </w:pPr>
      <w:r w:rsidRPr="00CF17A9">
        <w:rPr>
          <w:rFonts w:ascii="Arial Narrow" w:eastAsia="Arial Narrow" w:hAnsi="Arial Narrow" w:cs="Arial Narrow"/>
        </w:rPr>
        <w:t>Ocultamiento de identidad: Utilización deliberada de prendas, máscaras, pasamontañas, elementos u otros medios similares destinados a impedir o dificultar la identificación de una persona con ocasión a la comisión de un delito.</w:t>
      </w:r>
    </w:p>
    <w:p w14:paraId="50BBB486" w14:textId="77777777" w:rsidR="00861FE3" w:rsidRPr="00CF17A9" w:rsidRDefault="00861FE3">
      <w:pPr>
        <w:spacing w:after="0" w:line="259" w:lineRule="auto"/>
        <w:ind w:left="1420"/>
        <w:jc w:val="both"/>
        <w:rPr>
          <w:rFonts w:ascii="Arial Narrow" w:eastAsia="Arial Narrow" w:hAnsi="Arial Narrow" w:cs="Arial Narrow"/>
        </w:rPr>
      </w:pPr>
    </w:p>
    <w:p w14:paraId="4C0956DD" w14:textId="77777777" w:rsidR="00861FE3" w:rsidRPr="00CF17A9" w:rsidRDefault="00C419A0">
      <w:pPr>
        <w:numPr>
          <w:ilvl w:val="0"/>
          <w:numId w:val="8"/>
        </w:numPr>
        <w:spacing w:after="0" w:line="259" w:lineRule="auto"/>
        <w:ind w:left="1420" w:hanging="710"/>
        <w:jc w:val="both"/>
        <w:rPr>
          <w:rFonts w:ascii="Arial Narrow" w:eastAsia="Arial Narrow" w:hAnsi="Arial Narrow" w:cs="Arial Narrow"/>
        </w:rPr>
      </w:pPr>
      <w:r w:rsidRPr="00CF17A9">
        <w:rPr>
          <w:rFonts w:ascii="Arial Narrow" w:eastAsia="Arial Narrow" w:hAnsi="Arial Narrow" w:cs="Arial Narrow"/>
        </w:rPr>
        <w:t>Acto vandálico: Para los ef</w:t>
      </w:r>
      <w:r w:rsidRPr="00CF17A9">
        <w:rPr>
          <w:rFonts w:ascii="Arial Narrow" w:eastAsia="Arial Narrow" w:hAnsi="Arial Narrow" w:cs="Arial Narrow"/>
        </w:rPr>
        <w:t>ectos de la presente ley, constituye acto vandálico toda conducta dolosa ejecutada con ocasión o aprovechando de una manifestación, reunión, movilización o concentración pública, dirigida a destruir, deteriorar, incendiar, inutilizar, saquear, invadir, ocu</w:t>
      </w:r>
      <w:r w:rsidRPr="00CF17A9">
        <w:rPr>
          <w:rFonts w:ascii="Arial Narrow" w:eastAsia="Arial Narrow" w:hAnsi="Arial Narrow" w:cs="Arial Narrow"/>
        </w:rPr>
        <w:t xml:space="preserve">par violentamente o afectar de manera grave bienes públicos o privados, y/o ejercer violencia física contra personas, al margen del ejercicio legítimo del derecho fundamental a la protesta pacífica. </w:t>
      </w:r>
    </w:p>
    <w:p w14:paraId="1D56427D" w14:textId="77777777" w:rsidR="00861FE3" w:rsidRPr="00CF17A9" w:rsidRDefault="00861FE3">
      <w:pPr>
        <w:spacing w:after="0" w:line="259" w:lineRule="auto"/>
        <w:ind w:left="1420"/>
        <w:jc w:val="both"/>
        <w:rPr>
          <w:rFonts w:ascii="Arial Narrow" w:eastAsia="Arial Narrow" w:hAnsi="Arial Narrow" w:cs="Arial Narrow"/>
        </w:rPr>
      </w:pPr>
    </w:p>
    <w:p w14:paraId="114185F6" w14:textId="77777777" w:rsidR="00861FE3" w:rsidRPr="00CF17A9" w:rsidRDefault="00C419A0" w:rsidP="005B46B1">
      <w:pPr>
        <w:numPr>
          <w:ilvl w:val="0"/>
          <w:numId w:val="8"/>
        </w:numPr>
        <w:spacing w:after="0" w:line="259" w:lineRule="auto"/>
        <w:ind w:left="2160" w:hanging="1450"/>
        <w:jc w:val="both"/>
        <w:rPr>
          <w:rFonts w:ascii="Arial Narrow" w:eastAsia="Arial Narrow" w:hAnsi="Arial Narrow" w:cs="Arial Narrow"/>
        </w:rPr>
      </w:pPr>
      <w:r w:rsidRPr="00CF17A9">
        <w:rPr>
          <w:rFonts w:ascii="Arial Narrow" w:eastAsia="Arial Narrow" w:hAnsi="Arial Narrow" w:cs="Arial Narrow"/>
        </w:rPr>
        <w:t>Artefactos o elementos peligrosos de fabricación artesa</w:t>
      </w:r>
      <w:r w:rsidRPr="00CF17A9">
        <w:rPr>
          <w:rFonts w:ascii="Arial Narrow" w:eastAsia="Arial Narrow" w:hAnsi="Arial Narrow" w:cs="Arial Narrow"/>
        </w:rPr>
        <w:t>nal. Se entenderá por artefactos o elementos peligrosos de fabricación artesanal todo objeto, sustancia, elemento o instrumento elaborado, adaptado o improvisado con la finalidad de causar lesiones a las personas, afectar bienes públicos o privados, altera</w:t>
      </w:r>
      <w:r w:rsidRPr="00CF17A9">
        <w:rPr>
          <w:rFonts w:ascii="Arial Narrow" w:eastAsia="Arial Narrow" w:hAnsi="Arial Narrow" w:cs="Arial Narrow"/>
        </w:rPr>
        <w:t>r gravemente el orden público o facilitar la comisión de conductas punibles durante manifestaciones públicas. Comprende, entre otros, artefactos explosivos artesanales, bombas incendiarias, sustancias corrosivas y objetos modificados con capacidad ofensiva</w:t>
      </w:r>
      <w:r w:rsidRPr="00CF17A9">
        <w:rPr>
          <w:rFonts w:ascii="Arial Narrow" w:eastAsia="Arial Narrow" w:hAnsi="Arial Narrow" w:cs="Arial Narrow"/>
        </w:rPr>
        <w:t>.</w:t>
      </w:r>
    </w:p>
    <w:p w14:paraId="19BCEBF6" w14:textId="77777777" w:rsidR="00861FE3" w:rsidRPr="00CF17A9" w:rsidRDefault="00861FE3" w:rsidP="005B46B1">
      <w:pPr>
        <w:spacing w:after="0" w:line="259" w:lineRule="auto"/>
        <w:ind w:left="720" w:hanging="720"/>
        <w:jc w:val="both"/>
        <w:rPr>
          <w:rFonts w:ascii="Arial Narrow" w:eastAsia="Arial Narrow" w:hAnsi="Arial Narrow" w:cs="Arial Narrow"/>
        </w:rPr>
      </w:pPr>
    </w:p>
    <w:p w14:paraId="7FB4FBAE" w14:textId="384054BD" w:rsidR="00861FE3" w:rsidRPr="00CF17A9" w:rsidRDefault="00C419A0" w:rsidP="005B46B1">
      <w:pPr>
        <w:spacing w:after="0" w:line="259" w:lineRule="auto"/>
        <w:ind w:left="1440" w:hanging="1440"/>
        <w:jc w:val="both"/>
        <w:rPr>
          <w:rFonts w:ascii="Arial Narrow" w:eastAsia="Arial Narrow" w:hAnsi="Arial Narrow" w:cs="Arial Narrow"/>
        </w:rPr>
      </w:pPr>
      <w:r w:rsidRPr="00CF17A9">
        <w:rPr>
          <w:rFonts w:ascii="Arial Narrow" w:eastAsia="Arial Narrow" w:hAnsi="Arial Narrow" w:cs="Arial Narrow"/>
        </w:rPr>
        <w:t>Artículo 3°. Adiciónese un nuevo tipo penal a la ley 599 del 2000. Actos vandálicos mediante ocultamiento de identidad.</w:t>
      </w:r>
    </w:p>
    <w:p w14:paraId="5D282EB5" w14:textId="77777777" w:rsidR="00861FE3" w:rsidRPr="00CF17A9" w:rsidRDefault="00861FE3">
      <w:pPr>
        <w:spacing w:after="0" w:line="259" w:lineRule="auto"/>
        <w:jc w:val="both"/>
        <w:rPr>
          <w:rFonts w:ascii="Arial Narrow" w:eastAsia="Arial Narrow" w:hAnsi="Arial Narrow" w:cs="Arial Narrow"/>
        </w:rPr>
      </w:pPr>
    </w:p>
    <w:p w14:paraId="6994B031"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Adiciónese a la Ley 599 de 2000 un artículo del siguiente tenor:</w:t>
      </w:r>
    </w:p>
    <w:p w14:paraId="08382ADC" w14:textId="77777777" w:rsidR="00861FE3" w:rsidRPr="00CF17A9" w:rsidRDefault="00861FE3">
      <w:pPr>
        <w:spacing w:after="0" w:line="259" w:lineRule="auto"/>
        <w:jc w:val="both"/>
        <w:rPr>
          <w:rFonts w:ascii="Arial Narrow" w:eastAsia="Arial Narrow" w:hAnsi="Arial Narrow" w:cs="Arial Narrow"/>
        </w:rPr>
      </w:pPr>
    </w:p>
    <w:p w14:paraId="6DD0F257"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nuevo. Actos vandálicos mediante ocultamiento de identid</w:t>
      </w:r>
      <w:r w:rsidRPr="00CF17A9">
        <w:rPr>
          <w:rFonts w:ascii="Arial Narrow" w:eastAsia="Arial Narrow" w:hAnsi="Arial Narrow" w:cs="Arial Narrow"/>
        </w:rPr>
        <w:t>ad. El que utilizando el ocultamiento de identidad como medio para facilitar la comisión de delitos y con ocasión o aprovechando una manifestación, reunión, movilización o concentración pública, ejecute actos vandálicos, incurrirá en pena de prisión de cua</w:t>
      </w:r>
      <w:r w:rsidRPr="00CF17A9">
        <w:rPr>
          <w:rFonts w:ascii="Arial Narrow" w:eastAsia="Arial Narrow" w:hAnsi="Arial Narrow" w:cs="Arial Narrow"/>
        </w:rPr>
        <w:t>renta y ocho meses (48) a noventa y seis (96) meses y multa de cincuenta (50) a doscientos (200) salarios mínimos legales mensuales vigentes.</w:t>
      </w:r>
    </w:p>
    <w:p w14:paraId="03EDEB32" w14:textId="77777777" w:rsidR="00861FE3" w:rsidRPr="00CF17A9" w:rsidRDefault="00861FE3">
      <w:pPr>
        <w:spacing w:after="0" w:line="259" w:lineRule="auto"/>
        <w:jc w:val="both"/>
        <w:rPr>
          <w:rFonts w:ascii="Arial Narrow" w:eastAsia="Arial Narrow" w:hAnsi="Arial Narrow" w:cs="Arial Narrow"/>
        </w:rPr>
      </w:pPr>
    </w:p>
    <w:p w14:paraId="59648CBE"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lastRenderedPageBreak/>
        <w:t>La pena imponible para la conducta descrita en el artículo anterior se aumentará de la mitad a las dos terceras p</w:t>
      </w:r>
      <w:r w:rsidRPr="00CF17A9">
        <w:rPr>
          <w:rFonts w:ascii="Arial Narrow" w:eastAsia="Arial Narrow" w:hAnsi="Arial Narrow" w:cs="Arial Narrow"/>
        </w:rPr>
        <w:t>artes, si la conducta la realiza así:</w:t>
      </w:r>
    </w:p>
    <w:p w14:paraId="01783BFB" w14:textId="77777777" w:rsidR="00861FE3" w:rsidRPr="00CF17A9" w:rsidRDefault="00861FE3">
      <w:pPr>
        <w:spacing w:after="0" w:line="259" w:lineRule="auto"/>
        <w:jc w:val="both"/>
        <w:rPr>
          <w:rFonts w:ascii="Arial Narrow" w:eastAsia="Arial Narrow" w:hAnsi="Arial Narrow" w:cs="Arial Narrow"/>
        </w:rPr>
      </w:pPr>
    </w:p>
    <w:p w14:paraId="7CA1AF52"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1. Se utilicen artefactos o elementos peligrosos de fabricación artesanal, explosivos, sustancias corrosivas o cualquier otro medio idóneo para causar grave daño a las personas o a los bienes públicos y privados.</w:t>
      </w:r>
    </w:p>
    <w:p w14:paraId="61CFE442"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2. L</w:t>
      </w:r>
      <w:r w:rsidRPr="00CF17A9">
        <w:rPr>
          <w:rFonts w:ascii="Arial Narrow" w:eastAsia="Arial Narrow" w:hAnsi="Arial Narrow" w:cs="Arial Narrow"/>
        </w:rPr>
        <w:t>a conducta recaiga sobre establecimientos educativos, instituciones prestadoras de servicios de salud, instalaciones de los organismos de socorro, bienes de interés cultural, infraestructura de servicios públicos esenciales o demás infraestructura estratég</w:t>
      </w:r>
      <w:r w:rsidRPr="00CF17A9">
        <w:rPr>
          <w:rFonts w:ascii="Arial Narrow" w:eastAsia="Arial Narrow" w:hAnsi="Arial Narrow" w:cs="Arial Narrow"/>
        </w:rPr>
        <w:t>ica del Estado.</w:t>
      </w:r>
    </w:p>
    <w:p w14:paraId="7F74ACF0"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3. La conducta genere una alteración grave del orden público que afecte el normal desarrollo de las actividades de la comunidad o el funcionamiento de las instituciones.</w:t>
      </w:r>
    </w:p>
    <w:p w14:paraId="3A1B61C8" w14:textId="77777777" w:rsidR="00861FE3" w:rsidRPr="00CF17A9" w:rsidRDefault="00861FE3">
      <w:pPr>
        <w:spacing w:after="0" w:line="259" w:lineRule="auto"/>
        <w:jc w:val="both"/>
        <w:rPr>
          <w:rFonts w:ascii="Arial Narrow" w:eastAsia="Arial Narrow" w:hAnsi="Arial Narrow" w:cs="Arial Narrow"/>
        </w:rPr>
      </w:pPr>
    </w:p>
    <w:p w14:paraId="47831364"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4. Modifíquese el artículo 353A de la ley 599 del 2000, la c</w:t>
      </w:r>
      <w:r w:rsidRPr="00CF17A9">
        <w:rPr>
          <w:rFonts w:ascii="Arial Narrow" w:eastAsia="Arial Narrow" w:hAnsi="Arial Narrow" w:cs="Arial Narrow"/>
        </w:rPr>
        <w:t>ual quedará así:</w:t>
      </w:r>
    </w:p>
    <w:p w14:paraId="0A8BC616" w14:textId="77777777" w:rsidR="00861FE3" w:rsidRPr="00CF17A9" w:rsidRDefault="00C419A0">
      <w:pPr>
        <w:pStyle w:val="Ttulo1"/>
        <w:keepNext w:val="0"/>
        <w:keepLines w:val="0"/>
        <w:spacing w:before="80" w:after="80" w:line="259" w:lineRule="auto"/>
        <w:ind w:right="80"/>
        <w:rPr>
          <w:rFonts w:ascii="Arial Narrow" w:eastAsia="Arial Narrow" w:hAnsi="Arial Narrow" w:cs="Arial Narrow"/>
          <w:color w:val="333333"/>
          <w:sz w:val="22"/>
          <w:szCs w:val="22"/>
        </w:rPr>
      </w:pPr>
      <w:bookmarkStart w:id="0" w:name="_heading=h.mx6anz4kxq9b" w:colFirst="0" w:colLast="0"/>
      <w:bookmarkEnd w:id="0"/>
      <w:r w:rsidRPr="00CF17A9">
        <w:rPr>
          <w:rFonts w:ascii="Arial Narrow" w:eastAsia="Arial Narrow" w:hAnsi="Arial Narrow" w:cs="Arial Narrow"/>
          <w:color w:val="333333"/>
          <w:sz w:val="22"/>
          <w:szCs w:val="22"/>
        </w:rPr>
        <w:t>“Artículo 353A. Obstrucción a vías públicas que afecten el orden público</w:t>
      </w:r>
    </w:p>
    <w:p w14:paraId="2F3AFCE8"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El que por medios ilícitos incite, dirija, constriña o proporcione los medios para obstaculizar de manera temporal o permanente, selectiva o general, las vías o la in</w:t>
      </w:r>
      <w:r w:rsidRPr="00CF17A9">
        <w:rPr>
          <w:rFonts w:ascii="Arial Narrow" w:eastAsia="Arial Narrow" w:hAnsi="Arial Narrow" w:cs="Arial Narrow"/>
        </w:rPr>
        <w:t xml:space="preserve">fraestructura de transporte de tal manera que atente contra la vida humana, la salud pública, la seguridad alimentaria, el medio ambiente o el derecho al trabajo, incurrirá en prisión </w:t>
      </w:r>
      <w:r w:rsidRPr="00CB2B68">
        <w:rPr>
          <w:rFonts w:ascii="Arial Narrow" w:eastAsia="Arial Narrow" w:hAnsi="Arial Narrow" w:cs="Arial Narrow"/>
        </w:rPr>
        <w:t>de</w:t>
      </w:r>
      <w:r w:rsidRPr="00CB2B68">
        <w:rPr>
          <w:rFonts w:ascii="Arial Narrow" w:eastAsia="Arial Narrow" w:hAnsi="Arial Narrow" w:cs="Arial Narrow"/>
        </w:rPr>
        <w:t xml:space="preserve"> cuarenta y ocho meses (48) a noventa y seis  meses (96) y multa de ci</w:t>
      </w:r>
      <w:r w:rsidRPr="00CB2B68">
        <w:rPr>
          <w:rFonts w:ascii="Arial Narrow" w:eastAsia="Arial Narrow" w:hAnsi="Arial Narrow" w:cs="Arial Narrow"/>
        </w:rPr>
        <w:t>ncuenta (50) a doscientos (200) salarios mínimos legales mensuales vigentes</w:t>
      </w:r>
      <w:r w:rsidRPr="00CF17A9">
        <w:rPr>
          <w:rFonts w:ascii="Arial Narrow" w:eastAsia="Arial Narrow" w:hAnsi="Arial Narrow" w:cs="Arial Narrow"/>
          <w:b/>
          <w:bCs/>
        </w:rPr>
        <w:t xml:space="preserve"> </w:t>
      </w:r>
      <w:r w:rsidRPr="00CF17A9">
        <w:rPr>
          <w:rFonts w:ascii="Arial Narrow" w:eastAsia="Arial Narrow" w:hAnsi="Arial Narrow" w:cs="Arial Narrow"/>
        </w:rPr>
        <w:t>y pérdida de inhabilidad de derechos y funciones públicas por el mismo término de la pena de prisión.</w:t>
      </w:r>
    </w:p>
    <w:p w14:paraId="05050BA1" w14:textId="77777777" w:rsidR="00861FE3" w:rsidRPr="00CF17A9" w:rsidRDefault="00861FE3">
      <w:pPr>
        <w:spacing w:after="0" w:line="259" w:lineRule="auto"/>
        <w:jc w:val="both"/>
        <w:rPr>
          <w:rFonts w:ascii="Arial Narrow" w:eastAsia="Arial Narrow" w:hAnsi="Arial Narrow" w:cs="Arial Narrow"/>
        </w:rPr>
      </w:pPr>
    </w:p>
    <w:p w14:paraId="2D9BCD92"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 xml:space="preserve">PARÁGRAFO. Se excluyen del presente artículo las movilizaciones realizadas con permiso de la autoridad competente en el marco del </w:t>
      </w:r>
      <w:hyperlink r:id="rId23">
        <w:r w:rsidRPr="00CF17A9">
          <w:rPr>
            <w:rFonts w:ascii="Arial Narrow" w:eastAsia="Arial Narrow" w:hAnsi="Arial Narrow" w:cs="Arial Narrow"/>
          </w:rPr>
          <w:t>artículo 37 de la Constitución Política</w:t>
        </w:r>
      </w:hyperlink>
      <w:r w:rsidRPr="00CF17A9">
        <w:rPr>
          <w:rFonts w:ascii="Arial Narrow" w:eastAsia="Arial Narrow" w:hAnsi="Arial Narrow" w:cs="Arial Narrow"/>
        </w:rPr>
        <w:t>.</w:t>
      </w:r>
    </w:p>
    <w:p w14:paraId="4D2A28B7" w14:textId="77777777" w:rsidR="00861FE3" w:rsidRPr="00CF17A9" w:rsidRDefault="00861FE3">
      <w:pPr>
        <w:spacing w:after="0" w:line="259" w:lineRule="auto"/>
        <w:jc w:val="both"/>
        <w:rPr>
          <w:rFonts w:ascii="Arial Narrow" w:eastAsia="Arial Narrow" w:hAnsi="Arial Narrow" w:cs="Arial Narrow"/>
        </w:rPr>
      </w:pPr>
    </w:p>
    <w:p w14:paraId="6568C3AD"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5. Protección del d</w:t>
      </w:r>
      <w:r w:rsidRPr="00CF17A9">
        <w:rPr>
          <w:rFonts w:ascii="Arial Narrow" w:eastAsia="Arial Narrow" w:hAnsi="Arial Narrow" w:cs="Arial Narrow"/>
        </w:rPr>
        <w:t>erecho fundamental a la protesta pacífica. La presente ley no podrá interpretarse ni aplicarse en el sentido de restringir, limitar o criminalizar el ejercicio legítimo del derecho fundamental a la reunión, manifestación y protesta pacífica reconocido en l</w:t>
      </w:r>
      <w:r w:rsidRPr="00CF17A9">
        <w:rPr>
          <w:rFonts w:ascii="Arial Narrow" w:eastAsia="Arial Narrow" w:hAnsi="Arial Narrow" w:cs="Arial Narrow"/>
        </w:rPr>
        <w:t>a Constitución Política de Colombia.</w:t>
      </w:r>
    </w:p>
    <w:p w14:paraId="7F27C3D2" w14:textId="77777777" w:rsidR="00861FE3" w:rsidRPr="00CF17A9" w:rsidRDefault="00861FE3">
      <w:pPr>
        <w:spacing w:after="0" w:line="259" w:lineRule="auto"/>
        <w:jc w:val="both"/>
        <w:rPr>
          <w:rFonts w:ascii="Arial Narrow" w:eastAsia="Arial Narrow" w:hAnsi="Arial Narrow" w:cs="Arial Narrow"/>
        </w:rPr>
      </w:pPr>
    </w:p>
    <w:p w14:paraId="339058C9" w14:textId="77777777" w:rsidR="00861FE3" w:rsidRPr="00CF17A9" w:rsidRDefault="00C419A0">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6. Interpretación y aplicación de la presente ley. Las disposiciones de la presente ley se interpretarán y aplicarán de conformidad con la Constitución Política, el bloque de constitucionalidad, los tratados i</w:t>
      </w:r>
      <w:r w:rsidRPr="00CF17A9">
        <w:rPr>
          <w:rFonts w:ascii="Arial Narrow" w:eastAsia="Arial Narrow" w:hAnsi="Arial Narrow" w:cs="Arial Narrow"/>
        </w:rPr>
        <w:t>nternacionales sobre derechos humanos ratificados por Colombia y la jurisprudencia de las altas cortes, garantizando en todo caso la protección del derecho fundamental a la protesta pacífica.</w:t>
      </w:r>
    </w:p>
    <w:p w14:paraId="43AAD67C" w14:textId="77777777" w:rsidR="00861FE3" w:rsidRPr="00CF17A9" w:rsidRDefault="00861FE3">
      <w:pPr>
        <w:spacing w:after="0" w:line="259" w:lineRule="auto"/>
        <w:jc w:val="both"/>
        <w:rPr>
          <w:rFonts w:ascii="Arial Narrow" w:eastAsia="Arial Narrow" w:hAnsi="Arial Narrow" w:cs="Arial Narrow"/>
        </w:rPr>
      </w:pPr>
    </w:p>
    <w:p w14:paraId="01158887" w14:textId="0EF606EE" w:rsidR="00861FE3" w:rsidRPr="00CF17A9" w:rsidRDefault="00C419A0" w:rsidP="00BF0E8A">
      <w:pPr>
        <w:spacing w:after="0" w:line="259" w:lineRule="auto"/>
        <w:jc w:val="both"/>
        <w:rPr>
          <w:rFonts w:ascii="Arial Narrow" w:eastAsia="Arial Narrow" w:hAnsi="Arial Narrow" w:cs="Arial Narrow"/>
        </w:rPr>
      </w:pPr>
      <w:r w:rsidRPr="00CF17A9">
        <w:rPr>
          <w:rFonts w:ascii="Arial Narrow" w:eastAsia="Arial Narrow" w:hAnsi="Arial Narrow" w:cs="Arial Narrow"/>
        </w:rPr>
        <w:t>Artículo 7. Vigencia y derogatorias. La presente ley rige a par</w:t>
      </w:r>
      <w:r w:rsidRPr="00CF17A9">
        <w:rPr>
          <w:rFonts w:ascii="Arial Narrow" w:eastAsia="Arial Narrow" w:hAnsi="Arial Narrow" w:cs="Arial Narrow"/>
        </w:rPr>
        <w:t>tir de la fecha de su promulgación y deroga todas las disposiciones que le sean contrarias.</w:t>
      </w:r>
    </w:p>
    <w:p w14:paraId="0254E309" w14:textId="77777777" w:rsidR="00BF0E8A" w:rsidRPr="00CF17A9" w:rsidRDefault="00BF0E8A" w:rsidP="005A6511">
      <w:pPr>
        <w:ind w:right="-136"/>
        <w:jc w:val="both"/>
        <w:rPr>
          <w:rFonts w:ascii="Arial Narrow" w:eastAsia="Arial Narrow" w:hAnsi="Arial Narrow" w:cs="Arial Narrow"/>
        </w:rPr>
      </w:pPr>
      <w:bookmarkStart w:id="1" w:name="_heading=h.3awmd4uq3s1e" w:colFirst="0" w:colLast="0"/>
      <w:bookmarkEnd w:id="1"/>
    </w:p>
    <w:p w14:paraId="04ECEA94" w14:textId="5FC24528" w:rsidR="00BF0E8A" w:rsidRPr="00CF17A9" w:rsidRDefault="00C419A0" w:rsidP="005A6511">
      <w:pPr>
        <w:ind w:right="-136"/>
        <w:jc w:val="both"/>
        <w:rPr>
          <w:rFonts w:ascii="Arial Narrow" w:eastAsia="Arial Narrow" w:hAnsi="Arial Narrow" w:cs="Arial Narrow"/>
        </w:rPr>
      </w:pPr>
      <w:r w:rsidRPr="00CF17A9">
        <w:rPr>
          <w:rFonts w:ascii="Arial Narrow" w:eastAsia="Arial Narrow" w:hAnsi="Arial Narrow" w:cs="Arial Narrow"/>
        </w:rPr>
        <w:t>Cordialmente</w:t>
      </w:r>
      <w:r w:rsidR="00BF0E8A" w:rsidRPr="00CF17A9">
        <w:rPr>
          <w:rFonts w:ascii="Arial Narrow" w:eastAsia="Arial Narrow" w:hAnsi="Arial Narrow" w:cs="Arial Narrow"/>
        </w:rPr>
        <w:t>,</w:t>
      </w:r>
    </w:p>
    <w:p w14:paraId="3AE40671" w14:textId="77777777" w:rsidR="00BF0E8A" w:rsidRPr="00CF17A9" w:rsidRDefault="00BF0E8A" w:rsidP="005A6511">
      <w:pPr>
        <w:ind w:right="-136"/>
        <w:jc w:val="both"/>
        <w:rPr>
          <w:rFonts w:ascii="Arial Narrow" w:eastAsia="Arial Narrow" w:hAnsi="Arial Narrow" w:cs="Arial Narrow"/>
        </w:rPr>
      </w:pPr>
    </w:p>
    <w:p w14:paraId="60D1F336" w14:textId="77777777" w:rsidR="005A6511" w:rsidRPr="00CF17A9" w:rsidRDefault="005A6511" w:rsidP="005A6511">
      <w:pPr>
        <w:pBdr>
          <w:top w:val="nil"/>
          <w:left w:val="nil"/>
          <w:bottom w:val="nil"/>
          <w:right w:val="nil"/>
          <w:between w:val="nil"/>
        </w:pBdr>
        <w:spacing w:after="0" w:line="240" w:lineRule="auto"/>
        <w:jc w:val="both"/>
        <w:rPr>
          <w:rFonts w:ascii="Arial Narrow" w:eastAsia="Arial Narrow" w:hAnsi="Arial Narrow" w:cs="Arial Narrow"/>
          <w:b/>
          <w:bCs/>
        </w:rPr>
      </w:pPr>
      <w:r w:rsidRPr="00CF17A9">
        <w:rPr>
          <w:rFonts w:ascii="Arial Narrow" w:eastAsia="Arial Narrow" w:hAnsi="Arial Narrow" w:cs="Arial Narrow"/>
          <w:b/>
          <w:bCs/>
        </w:rPr>
        <w:t>Jaime Ignacio Arizabaleta Fajardo.</w:t>
      </w:r>
    </w:p>
    <w:p w14:paraId="37BE6421" w14:textId="5E48D180" w:rsidR="00861FE3" w:rsidRDefault="005A6511" w:rsidP="005A6511">
      <w:pPr>
        <w:pBdr>
          <w:top w:val="nil"/>
          <w:left w:val="nil"/>
          <w:bottom w:val="nil"/>
          <w:right w:val="nil"/>
          <w:between w:val="nil"/>
        </w:pBdr>
        <w:spacing w:after="0" w:line="240" w:lineRule="auto"/>
        <w:jc w:val="both"/>
        <w:rPr>
          <w:rFonts w:ascii="Arial Narrow" w:eastAsia="Arial Narrow" w:hAnsi="Arial Narrow" w:cs="Arial Narrow"/>
        </w:rPr>
      </w:pPr>
      <w:r w:rsidRPr="00CF17A9">
        <w:rPr>
          <w:rFonts w:ascii="Arial Narrow" w:eastAsia="Arial Narrow" w:hAnsi="Arial Narrow" w:cs="Arial Narrow"/>
        </w:rPr>
        <w:t>Representante a la Cámara</w:t>
      </w:r>
    </w:p>
    <w:sectPr w:rsidR="00861FE3">
      <w:headerReference w:type="default" r:id="rId24"/>
      <w:footerReference w:type="default" r:id="rId25"/>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C8E2" w14:textId="77777777" w:rsidR="00C419A0" w:rsidRDefault="00C419A0">
      <w:pPr>
        <w:spacing w:after="0" w:line="240" w:lineRule="auto"/>
      </w:pPr>
      <w:r>
        <w:separator/>
      </w:r>
    </w:p>
  </w:endnote>
  <w:endnote w:type="continuationSeparator" w:id="0">
    <w:p w14:paraId="7F510164" w14:textId="77777777" w:rsidR="00C419A0" w:rsidRDefault="00C41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embedBold r:id="rId1" w:fontKey="{2C447E44-D70A-4F09-B328-65496790ED08}"/>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2" w:fontKey="{185493AD-3970-4B7B-BE25-20B8557844A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31E544DB-5448-4AC4-BA56-35A34D134773}"/>
    <w:embedBold r:id="rId4" w:fontKey="{DD54B7B9-7913-4EA9-A899-CE4D57B45D3C}"/>
    <w:embedItalic r:id="rId5" w:fontKey="{3F036D52-9F99-4930-9B86-5EB965AED96F}"/>
  </w:font>
  <w:font w:name="Georgia">
    <w:panose1 w:val="02040502050405020303"/>
    <w:charset w:val="00"/>
    <w:family w:val="roman"/>
    <w:pitch w:val="variable"/>
    <w:sig w:usb0="00000287" w:usb1="00000000" w:usb2="00000000" w:usb3="00000000" w:csb0="0000009F" w:csb1="00000000"/>
    <w:embedItalic r:id="rId6" w:fontKey="{558F0A2A-E83A-41CE-8CB1-DC2CBBB21A87}"/>
  </w:font>
  <w:font w:name="Arial Narrow">
    <w:panose1 w:val="020B0606020202030204"/>
    <w:charset w:val="00"/>
    <w:family w:val="swiss"/>
    <w:pitch w:val="variable"/>
    <w:sig w:usb0="00000287" w:usb1="00000800" w:usb2="00000000" w:usb3="00000000" w:csb0="0000009F" w:csb1="00000000"/>
    <w:embedRegular r:id="rId7" w:fontKey="{897ED56D-F8D0-4325-ABCE-445FBB639FCF}"/>
    <w:embedBold r:id="rId8" w:fontKey="{93FDC3B1-4C54-4436-8D42-A41689C55271}"/>
    <w:embedItalic r:id="rId9" w:fontKey="{6BD49E0A-2F64-4C95-8594-64129CEC34FD}"/>
    <w:embedBoldItalic r:id="rId10" w:fontKey="{094472F3-DC5B-4B0E-8D0C-33CC06D6E8EC}"/>
  </w:font>
  <w:font w:name="Segoe UI">
    <w:panose1 w:val="020B0502040204020203"/>
    <w:charset w:val="00"/>
    <w:family w:val="swiss"/>
    <w:pitch w:val="variable"/>
    <w:sig w:usb0="E4002EFF" w:usb1="C000E47F" w:usb2="00000009" w:usb3="00000000" w:csb0="000001FF" w:csb1="00000000"/>
    <w:embedRegular r:id="rId11" w:fontKey="{735A1584-8AF4-4D06-80F2-295BDE2039F2}"/>
    <w:embedBold r:id="rId12" w:fontKey="{D22D8C16-9901-4509-9960-1DA3923F014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3" w:fontKey="{908300EB-4AD4-423C-8F9E-760228F254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A7FE" w14:textId="3DA12CBF" w:rsidR="00BE0B6B" w:rsidRPr="00BE0B6B" w:rsidRDefault="00BE0B6B" w:rsidP="00BE0B6B">
    <w:pPr>
      <w:pStyle w:val="Piedepgina"/>
      <w:rPr>
        <w:rFonts w:ascii="Arial Narrow" w:hAnsi="Arial Narrow"/>
      </w:rPr>
    </w:pPr>
  </w:p>
  <w:p w14:paraId="7B92806E" w14:textId="77777777" w:rsidR="00BE0B6B" w:rsidRDefault="00BE0B6B" w:rsidP="00BE0B6B">
    <w:pPr>
      <w:tabs>
        <w:tab w:val="left" w:pos="714"/>
      </w:tabs>
      <w:spacing w:line="240" w:lineRule="auto"/>
      <w:jc w:val="center"/>
      <w:rPr>
        <w:rFonts w:ascii="Arial Narrow" w:hAnsi="Arial Narrow"/>
        <w:noProof/>
        <w:sz w:val="20"/>
        <w:szCs w:val="20"/>
      </w:rPr>
    </w:pPr>
    <w:r w:rsidRPr="00437E4B">
      <w:rPr>
        <w:rFonts w:ascii="Arial Narrow" w:hAnsi="Arial Narrow"/>
        <w:noProof/>
        <w:sz w:val="20"/>
        <w:szCs w:val="20"/>
      </w:rPr>
      <w:drawing>
        <wp:anchor distT="0" distB="0" distL="114300" distR="114300" simplePos="0" relativeHeight="251662336" behindDoc="1" locked="0" layoutInCell="1" allowOverlap="1" wp14:anchorId="792F14F1" wp14:editId="1E435851">
          <wp:simplePos x="0" y="0"/>
          <wp:positionH relativeFrom="margin">
            <wp:align>left</wp:align>
          </wp:positionH>
          <wp:positionV relativeFrom="paragraph">
            <wp:posOffset>12700</wp:posOffset>
          </wp:positionV>
          <wp:extent cx="5400040" cy="793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5EEE7" w14:textId="77777777" w:rsidR="00BE0B6B" w:rsidRPr="00437E4B" w:rsidRDefault="00BE0B6B" w:rsidP="00BE0B6B">
    <w:pPr>
      <w:tabs>
        <w:tab w:val="left" w:pos="714"/>
      </w:tabs>
      <w:spacing w:line="240" w:lineRule="auto"/>
      <w:jc w:val="center"/>
      <w:rPr>
        <w:rFonts w:ascii="Arial Narrow" w:hAnsi="Arial Narrow"/>
        <w:noProof/>
        <w:sz w:val="20"/>
        <w:szCs w:val="20"/>
      </w:rPr>
    </w:pPr>
    <w:r w:rsidRPr="00437E4B">
      <w:rPr>
        <w:rFonts w:ascii="Arial Narrow" w:hAnsi="Arial Narrow"/>
        <w:noProof/>
        <w:sz w:val="20"/>
        <w:szCs w:val="20"/>
      </w:rPr>
      <w:drawing>
        <wp:anchor distT="0" distB="0" distL="114300" distR="114300" simplePos="0" relativeHeight="251661312" behindDoc="1" locked="0" layoutInCell="1" allowOverlap="1" wp14:anchorId="189FE216" wp14:editId="48B1247B">
          <wp:simplePos x="0" y="0"/>
          <wp:positionH relativeFrom="column">
            <wp:posOffset>-3175</wp:posOffset>
          </wp:positionH>
          <wp:positionV relativeFrom="paragraph">
            <wp:posOffset>9278620</wp:posOffset>
          </wp:positionV>
          <wp:extent cx="5400040" cy="7937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E4B">
      <w:rPr>
        <w:rFonts w:ascii="Arial Narrow" w:hAnsi="Arial Narrow"/>
        <w:noProof/>
        <w:sz w:val="20"/>
        <w:szCs w:val="20"/>
      </w:rPr>
      <w:drawing>
        <wp:anchor distT="0" distB="0" distL="114300" distR="114300" simplePos="0" relativeHeight="251660288" behindDoc="1" locked="0" layoutInCell="1" allowOverlap="1" wp14:anchorId="4ED16F41" wp14:editId="53A5F205">
          <wp:simplePos x="0" y="0"/>
          <wp:positionH relativeFrom="column">
            <wp:posOffset>-3175</wp:posOffset>
          </wp:positionH>
          <wp:positionV relativeFrom="paragraph">
            <wp:posOffset>9278620</wp:posOffset>
          </wp:positionV>
          <wp:extent cx="5400040" cy="7937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E4B">
      <w:rPr>
        <w:rFonts w:ascii="Arial Narrow" w:hAnsi="Arial Narrow"/>
        <w:noProof/>
        <w:sz w:val="20"/>
        <w:szCs w:val="20"/>
      </w:rPr>
      <w:drawing>
        <wp:anchor distT="0" distB="0" distL="114300" distR="114300" simplePos="0" relativeHeight="251659264" behindDoc="1" locked="0" layoutInCell="1" allowOverlap="1" wp14:anchorId="204288C1" wp14:editId="33850CE9">
          <wp:simplePos x="0" y="0"/>
          <wp:positionH relativeFrom="column">
            <wp:posOffset>-3175</wp:posOffset>
          </wp:positionH>
          <wp:positionV relativeFrom="paragraph">
            <wp:posOffset>9278620</wp:posOffset>
          </wp:positionV>
          <wp:extent cx="5400040" cy="7937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E4B">
      <w:rPr>
        <w:rFonts w:ascii="Arial Narrow" w:hAnsi="Arial Narrow"/>
        <w:noProof/>
        <w:sz w:val="20"/>
        <w:szCs w:val="20"/>
      </w:rPr>
      <w:t>Carrera 7 N° 8 – 68 Ed. Nuevo del Congreso – PBX: (+57) 60 1 3904050 – Email:</w:t>
    </w:r>
    <w:r>
      <w:rPr>
        <w:rFonts w:ascii="Arial Narrow" w:hAnsi="Arial Narrow"/>
        <w:noProof/>
        <w:sz w:val="20"/>
        <w:szCs w:val="20"/>
      </w:rPr>
      <w:t xml:space="preserve"> jaime.arizabaleta@camara.gov.co</w:t>
    </w:r>
  </w:p>
  <w:p w14:paraId="01BADFF9" w14:textId="77777777" w:rsidR="00BE0B6B" w:rsidRPr="00437E4B" w:rsidRDefault="00BE0B6B" w:rsidP="00BE0B6B">
    <w:pPr>
      <w:tabs>
        <w:tab w:val="left" w:pos="714"/>
      </w:tabs>
      <w:spacing w:line="240" w:lineRule="auto"/>
      <w:jc w:val="center"/>
      <w:rPr>
        <w:rFonts w:ascii="Arial Narrow" w:hAnsi="Arial Narrow"/>
        <w:noProof/>
        <w:sz w:val="20"/>
        <w:szCs w:val="20"/>
      </w:rPr>
    </w:pPr>
    <w:r w:rsidRPr="00437E4B">
      <w:rPr>
        <w:rFonts w:ascii="Arial Narrow" w:hAnsi="Arial Narrow"/>
        <w:noProof/>
        <w:sz w:val="20"/>
        <w:szCs w:val="20"/>
      </w:rPr>
      <w:t>Bogota D.C.</w:t>
    </w:r>
  </w:p>
  <w:p w14:paraId="20C84B57" w14:textId="0C506E9E" w:rsidR="00861FE3" w:rsidRPr="00BE0B6B" w:rsidRDefault="00BE0B6B" w:rsidP="00BE0B6B">
    <w:pPr>
      <w:pBdr>
        <w:top w:val="nil"/>
        <w:left w:val="nil"/>
        <w:bottom w:val="nil"/>
        <w:right w:val="nil"/>
        <w:between w:val="nil"/>
      </w:pBdr>
      <w:tabs>
        <w:tab w:val="center" w:pos="4419"/>
        <w:tab w:val="right" w:pos="8838"/>
      </w:tabs>
      <w:spacing w:after="0" w:line="240" w:lineRule="auto"/>
      <w:jc w:val="right"/>
      <w:rPr>
        <w:color w:val="000000"/>
        <w:sz w:val="16"/>
        <w:szCs w:val="16"/>
      </w:rPr>
    </w:pPr>
    <w:r w:rsidRPr="00BE0B6B">
      <w:rPr>
        <w:rFonts w:ascii="Arial Narrow" w:hAnsi="Arial Narrow"/>
        <w:sz w:val="16"/>
        <w:szCs w:val="16"/>
      </w:rPr>
      <w:fldChar w:fldCharType="begin"/>
    </w:r>
    <w:r w:rsidRPr="00BE0B6B">
      <w:rPr>
        <w:rFonts w:ascii="Arial Narrow" w:hAnsi="Arial Narrow"/>
        <w:sz w:val="16"/>
        <w:szCs w:val="16"/>
      </w:rPr>
      <w:instrText>PAGE   \* MERGEFORMAT</w:instrText>
    </w:r>
    <w:r w:rsidRPr="00BE0B6B">
      <w:rPr>
        <w:rFonts w:ascii="Arial Narrow" w:hAnsi="Arial Narrow"/>
        <w:sz w:val="16"/>
        <w:szCs w:val="16"/>
      </w:rPr>
      <w:fldChar w:fldCharType="separate"/>
    </w:r>
    <w:r w:rsidRPr="00BE0B6B">
      <w:rPr>
        <w:rFonts w:ascii="Arial Narrow" w:hAnsi="Arial Narrow"/>
        <w:sz w:val="16"/>
        <w:szCs w:val="16"/>
      </w:rPr>
      <w:t>4</w:t>
    </w:r>
    <w:r w:rsidRPr="00BE0B6B">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78171" w14:textId="77777777" w:rsidR="00C419A0" w:rsidRDefault="00C419A0">
      <w:pPr>
        <w:spacing w:after="0" w:line="240" w:lineRule="auto"/>
      </w:pPr>
      <w:r>
        <w:separator/>
      </w:r>
    </w:p>
  </w:footnote>
  <w:footnote w:type="continuationSeparator" w:id="0">
    <w:p w14:paraId="33353932" w14:textId="77777777" w:rsidR="00C419A0" w:rsidRDefault="00C41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B8E5" w14:textId="6FE671BD" w:rsidR="00861FE3" w:rsidRDefault="00C419A0">
    <w:pPr>
      <w:tabs>
        <w:tab w:val="center" w:pos="4419"/>
        <w:tab w:val="right" w:pos="8838"/>
      </w:tabs>
      <w:spacing w:after="0" w:line="240" w:lineRule="auto"/>
      <w:jc w:val="right"/>
      <w:rPr>
        <w:color w:val="000000"/>
      </w:rPr>
    </w:pPr>
    <w:r>
      <w:rPr>
        <w:noProof/>
      </w:rPr>
      <w:drawing>
        <wp:inline distT="0" distB="0" distL="0" distR="0" wp14:anchorId="6C5BCCDD" wp14:editId="18CF1F84">
          <wp:extent cx="2145665" cy="8597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5665" cy="8597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465"/>
    <w:multiLevelType w:val="multilevel"/>
    <w:tmpl w:val="2CD0776E"/>
    <w:lvl w:ilvl="0">
      <w:start w:val="1"/>
      <w:numFmt w:val="lowerLetter"/>
      <w:lvlText w:val="%1)"/>
      <w:lvlJc w:val="left"/>
      <w:pPr>
        <w:ind w:left="1243" w:hanging="253"/>
      </w:pPr>
      <w:rPr>
        <w:rFonts w:ascii="Tahoma" w:eastAsia="Tahoma" w:hAnsi="Tahoma" w:cs="Tahoma"/>
        <w:b/>
        <w:bCs/>
        <w:sz w:val="24"/>
        <w:szCs w:val="24"/>
      </w:rPr>
    </w:lvl>
    <w:lvl w:ilvl="1">
      <w:start w:val="1"/>
      <w:numFmt w:val="lowerRoman"/>
      <w:lvlText w:val="(%2)"/>
      <w:lvlJc w:val="left"/>
      <w:pPr>
        <w:ind w:left="2335" w:hanging="721"/>
      </w:pPr>
      <w:rPr>
        <w:i/>
        <w:iCs/>
      </w:rPr>
    </w:lvl>
    <w:lvl w:ilvl="2">
      <w:numFmt w:val="bullet"/>
      <w:lvlText w:val="•"/>
      <w:lvlJc w:val="left"/>
      <w:pPr>
        <w:ind w:left="3313" w:hanging="720"/>
      </w:pPr>
    </w:lvl>
    <w:lvl w:ilvl="3">
      <w:numFmt w:val="bullet"/>
      <w:lvlText w:val="•"/>
      <w:lvlJc w:val="left"/>
      <w:pPr>
        <w:ind w:left="4286" w:hanging="721"/>
      </w:pPr>
    </w:lvl>
    <w:lvl w:ilvl="4">
      <w:numFmt w:val="bullet"/>
      <w:lvlText w:val="•"/>
      <w:lvlJc w:val="left"/>
      <w:pPr>
        <w:ind w:left="5260" w:hanging="721"/>
      </w:pPr>
    </w:lvl>
    <w:lvl w:ilvl="5">
      <w:numFmt w:val="bullet"/>
      <w:lvlText w:val="•"/>
      <w:lvlJc w:val="left"/>
      <w:pPr>
        <w:ind w:left="6233" w:hanging="721"/>
      </w:pPr>
    </w:lvl>
    <w:lvl w:ilvl="6">
      <w:numFmt w:val="bullet"/>
      <w:lvlText w:val="•"/>
      <w:lvlJc w:val="left"/>
      <w:pPr>
        <w:ind w:left="7206" w:hanging="721"/>
      </w:pPr>
    </w:lvl>
    <w:lvl w:ilvl="7">
      <w:numFmt w:val="bullet"/>
      <w:lvlText w:val="•"/>
      <w:lvlJc w:val="left"/>
      <w:pPr>
        <w:ind w:left="8180" w:hanging="721"/>
      </w:pPr>
    </w:lvl>
    <w:lvl w:ilvl="8">
      <w:numFmt w:val="bullet"/>
      <w:lvlText w:val="•"/>
      <w:lvlJc w:val="left"/>
      <w:pPr>
        <w:ind w:left="9153" w:hanging="721"/>
      </w:pPr>
    </w:lvl>
  </w:abstractNum>
  <w:abstractNum w:abstractNumId="1" w15:restartNumberingAfterBreak="0">
    <w:nsid w:val="085C5724"/>
    <w:multiLevelType w:val="multilevel"/>
    <w:tmpl w:val="722C5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A26D45"/>
    <w:multiLevelType w:val="multilevel"/>
    <w:tmpl w:val="80E68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2B56E6"/>
    <w:multiLevelType w:val="multilevel"/>
    <w:tmpl w:val="DB8E8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6D5CF9"/>
    <w:multiLevelType w:val="multilevel"/>
    <w:tmpl w:val="FA8A3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F97A59"/>
    <w:multiLevelType w:val="multilevel"/>
    <w:tmpl w:val="EE2EDF7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 w15:restartNumberingAfterBreak="0">
    <w:nsid w:val="2DC772CF"/>
    <w:multiLevelType w:val="multilevel"/>
    <w:tmpl w:val="68AE6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A70912"/>
    <w:multiLevelType w:val="multilevel"/>
    <w:tmpl w:val="4568F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520654"/>
    <w:multiLevelType w:val="multilevel"/>
    <w:tmpl w:val="FEA0C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384BF9"/>
    <w:multiLevelType w:val="multilevel"/>
    <w:tmpl w:val="BA247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8"/>
  </w:num>
  <w:num w:numId="4">
    <w:abstractNumId w:val="7"/>
  </w:num>
  <w:num w:numId="5">
    <w:abstractNumId w:val="4"/>
  </w:num>
  <w:num w:numId="6">
    <w:abstractNumId w:val="1"/>
  </w:num>
  <w:num w:numId="7">
    <w:abstractNumId w:val="0"/>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FE3"/>
    <w:rsid w:val="00431D41"/>
    <w:rsid w:val="005A6511"/>
    <w:rsid w:val="005B46B1"/>
    <w:rsid w:val="007169B7"/>
    <w:rsid w:val="00861FE3"/>
    <w:rsid w:val="00870472"/>
    <w:rsid w:val="00BE0B6B"/>
    <w:rsid w:val="00BF0E8A"/>
    <w:rsid w:val="00C1388E"/>
    <w:rsid w:val="00C419A0"/>
    <w:rsid w:val="00CB2B68"/>
    <w:rsid w:val="00CF17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8B940"/>
  <w15:docId w15:val="{48004290-9264-4E76-A4A3-FBB60CC5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BE0B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0B6B"/>
  </w:style>
  <w:style w:type="paragraph" w:styleId="Piedepgina">
    <w:name w:val="footer"/>
    <w:basedOn w:val="Normal"/>
    <w:link w:val="PiedepginaCar"/>
    <w:uiPriority w:val="99"/>
    <w:unhideWhenUsed/>
    <w:rsid w:val="00BE0B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0B6B"/>
  </w:style>
  <w:style w:type="character" w:styleId="Textoennegrita">
    <w:name w:val="Strong"/>
    <w:basedOn w:val="Fuentedeprrafopredeter"/>
    <w:uiPriority w:val="22"/>
    <w:qFormat/>
    <w:rsid w:val="005A6511"/>
    <w:rPr>
      <w:b/>
      <w:bCs/>
    </w:rPr>
  </w:style>
  <w:style w:type="paragraph" w:styleId="NormalWeb">
    <w:name w:val="Normal (Web)"/>
    <w:basedOn w:val="Normal"/>
    <w:uiPriority w:val="99"/>
    <w:unhideWhenUsed/>
    <w:rsid w:val="005B46B1"/>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CF17A9"/>
    <w:rPr>
      <w:color w:val="0000FF" w:themeColor="hyperlink"/>
      <w:u w:val="single"/>
    </w:rPr>
  </w:style>
  <w:style w:type="character" w:styleId="Mencinsinresolver">
    <w:name w:val="Unresolved Mention"/>
    <w:basedOn w:val="Fuentedeprrafopredeter"/>
    <w:uiPriority w:val="99"/>
    <w:semiHidden/>
    <w:unhideWhenUsed/>
    <w:rsid w:val="00CF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20163">
      <w:bodyDiv w:val="1"/>
      <w:marLeft w:val="0"/>
      <w:marRight w:val="0"/>
      <w:marTop w:val="0"/>
      <w:marBottom w:val="0"/>
      <w:divBdr>
        <w:top w:val="none" w:sz="0" w:space="0" w:color="auto"/>
        <w:left w:val="none" w:sz="0" w:space="0" w:color="auto"/>
        <w:bottom w:val="none" w:sz="0" w:space="0" w:color="auto"/>
        <w:right w:val="none" w:sz="0" w:space="0" w:color="auto"/>
      </w:divBdr>
      <w:divsChild>
        <w:div w:id="1293093772">
          <w:marLeft w:val="0"/>
          <w:marRight w:val="0"/>
          <w:marTop w:val="0"/>
          <w:marBottom w:val="0"/>
          <w:divBdr>
            <w:top w:val="none" w:sz="0" w:space="0" w:color="auto"/>
            <w:left w:val="none" w:sz="0" w:space="0" w:color="auto"/>
            <w:bottom w:val="none" w:sz="0" w:space="0" w:color="auto"/>
            <w:right w:val="none" w:sz="0" w:space="0" w:color="auto"/>
          </w:divBdr>
          <w:divsChild>
            <w:div w:id="1895923299">
              <w:marLeft w:val="0"/>
              <w:marRight w:val="0"/>
              <w:marTop w:val="0"/>
              <w:marBottom w:val="0"/>
              <w:divBdr>
                <w:top w:val="none" w:sz="0" w:space="0" w:color="auto"/>
                <w:left w:val="none" w:sz="0" w:space="0" w:color="auto"/>
                <w:bottom w:val="none" w:sz="0" w:space="0" w:color="auto"/>
                <w:right w:val="none" w:sz="0" w:space="0" w:color="auto"/>
              </w:divBdr>
              <w:divsChild>
                <w:div w:id="21014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99842">
      <w:bodyDiv w:val="1"/>
      <w:marLeft w:val="0"/>
      <w:marRight w:val="0"/>
      <w:marTop w:val="0"/>
      <w:marBottom w:val="0"/>
      <w:divBdr>
        <w:top w:val="none" w:sz="0" w:space="0" w:color="auto"/>
        <w:left w:val="none" w:sz="0" w:space="0" w:color="auto"/>
        <w:bottom w:val="none" w:sz="0" w:space="0" w:color="auto"/>
        <w:right w:val="none" w:sz="0" w:space="0" w:color="auto"/>
      </w:divBdr>
    </w:div>
    <w:div w:id="1436363286">
      <w:bodyDiv w:val="1"/>
      <w:marLeft w:val="0"/>
      <w:marRight w:val="0"/>
      <w:marTop w:val="0"/>
      <w:marBottom w:val="0"/>
      <w:divBdr>
        <w:top w:val="none" w:sz="0" w:space="0" w:color="auto"/>
        <w:left w:val="none" w:sz="0" w:space="0" w:color="auto"/>
        <w:bottom w:val="none" w:sz="0" w:space="0" w:color="auto"/>
        <w:right w:val="none" w:sz="0" w:space="0" w:color="auto"/>
      </w:divBdr>
      <w:divsChild>
        <w:div w:id="145637076">
          <w:marLeft w:val="0"/>
          <w:marRight w:val="0"/>
          <w:marTop w:val="0"/>
          <w:marBottom w:val="0"/>
          <w:divBdr>
            <w:top w:val="none" w:sz="0" w:space="0" w:color="auto"/>
            <w:left w:val="none" w:sz="0" w:space="0" w:color="auto"/>
            <w:bottom w:val="none" w:sz="0" w:space="0" w:color="auto"/>
            <w:right w:val="none" w:sz="0" w:space="0" w:color="auto"/>
          </w:divBdr>
          <w:divsChild>
            <w:div w:id="2048790723">
              <w:marLeft w:val="0"/>
              <w:marRight w:val="0"/>
              <w:marTop w:val="0"/>
              <w:marBottom w:val="0"/>
              <w:divBdr>
                <w:top w:val="none" w:sz="0" w:space="0" w:color="auto"/>
                <w:left w:val="none" w:sz="0" w:space="0" w:color="auto"/>
                <w:bottom w:val="none" w:sz="0" w:space="0" w:color="auto"/>
                <w:right w:val="none" w:sz="0" w:space="0" w:color="auto"/>
              </w:divBdr>
              <w:divsChild>
                <w:div w:id="8200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rteconstitucional.gov.co/relatoria/2017/c-223-17.htm" TargetMode="External"/><Relationship Id="rId13" Type="http://schemas.openxmlformats.org/officeDocument/2006/relationships/hyperlink" Target="https://www.corteconstitucional.gov.co/relatoria/1997/c-309-97.htm?utm_source=chatgpt.com" TargetMode="External"/><Relationship Id="rId18" Type="http://schemas.openxmlformats.org/officeDocument/2006/relationships/hyperlink" Target="https://www.camara.gov.co/protesta-social-839/?utm_source=chatgpt.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olicia.gov.co/noticia/cayeron-los-ppp-responsables-16-actos-violentos-en-bogota?utm_source=chatgpt.com" TargetMode="External"/><Relationship Id="rId7" Type="http://schemas.openxmlformats.org/officeDocument/2006/relationships/endnotes" Target="endnotes.xml"/><Relationship Id="rId12" Type="http://schemas.openxmlformats.org/officeDocument/2006/relationships/hyperlink" Target="https://www.corteconstitucional.gov.co/relatoria/2012/c-742-12.htm?utm_source=chatgpt.com" TargetMode="External"/><Relationship Id="rId17" Type="http://schemas.openxmlformats.org/officeDocument/2006/relationships/hyperlink" Target="https://www.camara.gov.co/manifestacion-social-1188/?utm_source=chatgpt.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amara.gov.co/protesta-social-1193/" TargetMode="External"/><Relationship Id="rId20" Type="http://schemas.openxmlformats.org/officeDocument/2006/relationships/hyperlink" Target="https://www.noticiascaracol.com/colombia/bogota/actos-vandalicos-de-encapuchados-durante-marchas-del-1-de-mayo-en-bogota-rg10?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teconstitucional.gov.co/relatoria/2012/c-742-12.htm?utm_source=chatgpt.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rteconstitucional.gov.co/relatoria/2025/t-227-25.htm" TargetMode="External"/><Relationship Id="rId23" Type="http://schemas.openxmlformats.org/officeDocument/2006/relationships/hyperlink" Target="https://leyes.co/constitucion/37.htm" TargetMode="External"/><Relationship Id="rId10" Type="http://schemas.openxmlformats.org/officeDocument/2006/relationships/hyperlink" Target="https://www.corteconstitucional.gov.co/relatoria/2017/C-281-17.htm" TargetMode="External"/><Relationship Id="rId19" Type="http://schemas.openxmlformats.org/officeDocument/2006/relationships/hyperlink" Target="https://www.policia.gov.co/noticia/van-185-capturas-por-hechos-vandalicos-delictivos-los-ultimos-dias?utm_source=chatgpt.com" TargetMode="External"/><Relationship Id="rId4" Type="http://schemas.openxmlformats.org/officeDocument/2006/relationships/settings" Target="settings.xml"/><Relationship Id="rId9" Type="http://schemas.openxmlformats.org/officeDocument/2006/relationships/hyperlink" Target="https://www.corteconstitucional.gov.co/relatoria/2017/c-223-17.htm" TargetMode="External"/><Relationship Id="rId14" Type="http://schemas.openxmlformats.org/officeDocument/2006/relationships/hyperlink" Target="https://www.corteconstitucional.gov.co/relatoria/2011/C-442-11.htm?utm_source=chatgpt.com" TargetMode="External"/><Relationship Id="rId22" Type="http://schemas.openxmlformats.org/officeDocument/2006/relationships/hyperlink" Target="https://dadep.gov.co/noticias/bogota-rechaza-actos-de-vandalismo-que-afectaron-el-mobiliario-publico-en-marchas"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g9nurpqIuwa13mr3mwY4JbZrlg==">CgMxLjAyDmguejYxMG5uaWhsM3c3Mg5oLnVnbWVoNWZ2bXk1ZzIOaC5teDZhbno0a3hxOWIyDmguM2F3bWQ0dXEzczFlOAByITFsSnNYdW1xNmRkU0xPaVRaUklpdEIxUTZEeWRIb0dCcw==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7228</Words>
  <Characters>39757</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Samira Gomez Ojeda</dc:creator>
  <cp:lastModifiedBy>Samira Gomez Ojeda</cp:lastModifiedBy>
  <cp:revision>3</cp:revision>
  <cp:lastPrinted>2026-08-18T16:12:00Z</cp:lastPrinted>
  <dcterms:created xsi:type="dcterms:W3CDTF">2026-08-18T15:45:00Z</dcterms:created>
  <dcterms:modified xsi:type="dcterms:W3CDTF">2026-08-18T16:16:00Z</dcterms:modified>
</cp:coreProperties>
</file>