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1765"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Rama Legislativa del Poder Público</w:t>
      </w:r>
    </w:p>
    <w:p w14:paraId="0975518A" w14:textId="77777777"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Comisión Séptima Constitucional Permanente</w:t>
      </w:r>
    </w:p>
    <w:p w14:paraId="74C5D86C" w14:textId="2C71915A" w:rsidR="00900D93" w:rsidRPr="002C21DA" w:rsidRDefault="000F3249" w:rsidP="002C21DA">
      <w:pPr>
        <w:pStyle w:val="Sinespaciado"/>
        <w:jc w:val="center"/>
        <w:rPr>
          <w:rFonts w:ascii="Edwardian Script ITC" w:hAnsi="Edwardian Script ITC"/>
          <w:b/>
          <w:sz w:val="36"/>
          <w:szCs w:val="36"/>
        </w:rPr>
      </w:pPr>
      <w:r w:rsidRPr="002C21DA">
        <w:rPr>
          <w:rFonts w:ascii="Edwardian Script ITC" w:hAnsi="Edwardian Script ITC"/>
          <w:b/>
          <w:sz w:val="36"/>
          <w:szCs w:val="36"/>
        </w:rPr>
        <w:t>Legislatura 202</w:t>
      </w:r>
      <w:r w:rsidR="0093363E">
        <w:rPr>
          <w:rFonts w:ascii="Edwardian Script ITC" w:hAnsi="Edwardian Script ITC"/>
          <w:b/>
          <w:sz w:val="36"/>
          <w:szCs w:val="36"/>
        </w:rPr>
        <w:t>5</w:t>
      </w:r>
      <w:r w:rsidRPr="002C21DA">
        <w:rPr>
          <w:rFonts w:ascii="Edwardian Script ITC" w:hAnsi="Edwardian Script ITC"/>
          <w:b/>
          <w:sz w:val="36"/>
          <w:szCs w:val="36"/>
        </w:rPr>
        <w:t>-202</w:t>
      </w:r>
      <w:r w:rsidR="0093363E">
        <w:rPr>
          <w:rFonts w:ascii="Edwardian Script ITC" w:hAnsi="Edwardian Script ITC"/>
          <w:b/>
          <w:sz w:val="36"/>
          <w:szCs w:val="36"/>
        </w:rPr>
        <w:t>6</w:t>
      </w:r>
    </w:p>
    <w:p w14:paraId="650C9766" w14:textId="77777777" w:rsidR="00900D93" w:rsidRPr="00330383" w:rsidRDefault="00900D93">
      <w:pPr>
        <w:pBdr>
          <w:top w:val="nil"/>
          <w:left w:val="nil"/>
          <w:bottom w:val="nil"/>
          <w:right w:val="nil"/>
          <w:between w:val="nil"/>
        </w:pBdr>
        <w:spacing w:after="0" w:line="240" w:lineRule="auto"/>
        <w:jc w:val="center"/>
        <w:rPr>
          <w:rFonts w:ascii="Arial" w:eastAsia="Pinyon Script" w:hAnsi="Arial" w:cs="Arial"/>
          <w:b/>
          <w:color w:val="000000"/>
          <w:highlight w:val="yellow"/>
        </w:rPr>
      </w:pPr>
    </w:p>
    <w:p w14:paraId="2F19211D" w14:textId="6B7819F8" w:rsidR="00900D93" w:rsidRPr="00D67453" w:rsidRDefault="000F3249" w:rsidP="00D67453">
      <w:pPr>
        <w:pStyle w:val="Sinespaciado"/>
        <w:ind w:right="-376"/>
        <w:rPr>
          <w:rFonts w:eastAsia="Arial MT" w:cs="Arial"/>
          <w:b/>
          <w:bCs/>
          <w:sz w:val="21"/>
          <w:szCs w:val="21"/>
          <w:lang w:val="es-ES" w:eastAsia="es-ES"/>
        </w:rPr>
      </w:pPr>
      <w:r w:rsidRPr="00D67453">
        <w:rPr>
          <w:rFonts w:eastAsia="Arial" w:cs="Arial"/>
          <w:b/>
          <w:color w:val="000000"/>
          <w:sz w:val="21"/>
          <w:szCs w:val="21"/>
        </w:rPr>
        <w:t xml:space="preserve">TEXTO DEFINITIVO APROBADO EN PRIMER DEBATE DEL </w:t>
      </w:r>
      <w:r w:rsidRPr="00D67453">
        <w:rPr>
          <w:rFonts w:eastAsia="Arial" w:cs="Arial"/>
          <w:b/>
          <w:sz w:val="21"/>
          <w:szCs w:val="21"/>
        </w:rPr>
        <w:t xml:space="preserve">PROYECTO DE </w:t>
      </w:r>
      <w:r w:rsidR="008C140C" w:rsidRPr="00D67453">
        <w:rPr>
          <w:rFonts w:cs="Arial"/>
          <w:b/>
          <w:bCs/>
          <w:color w:val="000000"/>
          <w:sz w:val="21"/>
          <w:szCs w:val="21"/>
        </w:rPr>
        <w:t>No. 535 DE 2026 CÁMARA – 137 DE 2024 SENADO ACUMULADO CON EL PROYECTO DE LEY No. 193 DE 2024 SENADO “POR MEDIO DE LA CUAL SE ESTABLECEN MEDIDAS, SERVICIOS Y MECANISMOS DE ATENCIÓN INTEGRAL, PARA LA PROTECCIÓN E INCLUSIÓN DE LAS PERSONAS DIAGNOSTICADAS O CON SOSPECHA DEL TRASTORNO DEL ESPECTRO AUTISTA (TEA), O CON TRASTORNOS DEL NEURODESARROLLO, Y SE DICTAN OTRAS DISPOCIONES”.</w:t>
      </w:r>
      <w:r w:rsidR="0080316C" w:rsidRPr="00D67453">
        <w:rPr>
          <w:rFonts w:cs="Arial"/>
          <w:b/>
          <w:sz w:val="21"/>
          <w:szCs w:val="21"/>
        </w:rPr>
        <w:t xml:space="preserve"> </w:t>
      </w:r>
    </w:p>
    <w:p w14:paraId="72180F14" w14:textId="77777777" w:rsidR="00931B69" w:rsidRPr="00D67453" w:rsidRDefault="00931B69" w:rsidP="009A5477">
      <w:pPr>
        <w:pStyle w:val="Sinespaciado"/>
        <w:jc w:val="center"/>
        <w:rPr>
          <w:rFonts w:cs="Arial"/>
          <w:sz w:val="21"/>
          <w:szCs w:val="21"/>
        </w:rPr>
      </w:pPr>
    </w:p>
    <w:p w14:paraId="20075F4A" w14:textId="2BC12887" w:rsidR="00900D93" w:rsidRPr="00D67453" w:rsidRDefault="000F3249" w:rsidP="009A5477">
      <w:pPr>
        <w:pStyle w:val="Sinespaciado"/>
        <w:jc w:val="center"/>
        <w:rPr>
          <w:rFonts w:cs="Arial"/>
          <w:sz w:val="21"/>
          <w:szCs w:val="21"/>
        </w:rPr>
      </w:pPr>
      <w:r w:rsidRPr="00D67453">
        <w:rPr>
          <w:rFonts w:cs="Arial"/>
          <w:sz w:val="21"/>
          <w:szCs w:val="21"/>
        </w:rPr>
        <w:t>(Aprobado en la</w:t>
      </w:r>
      <w:r w:rsidR="00722B7D" w:rsidRPr="00D67453">
        <w:rPr>
          <w:rFonts w:cs="Arial"/>
          <w:sz w:val="21"/>
          <w:szCs w:val="21"/>
        </w:rPr>
        <w:t xml:space="preserve"> sesión</w:t>
      </w:r>
      <w:r w:rsidR="00874E4E" w:rsidRPr="00D67453">
        <w:rPr>
          <w:rFonts w:cs="Arial"/>
          <w:sz w:val="21"/>
          <w:szCs w:val="21"/>
        </w:rPr>
        <w:t xml:space="preserve"> presencial </w:t>
      </w:r>
      <w:r w:rsidR="00722B7D" w:rsidRPr="00D67453">
        <w:rPr>
          <w:rFonts w:cs="Arial"/>
          <w:sz w:val="21"/>
          <w:szCs w:val="21"/>
        </w:rPr>
        <w:t>del</w:t>
      </w:r>
      <w:r w:rsidR="00874E4E" w:rsidRPr="00D67453">
        <w:rPr>
          <w:rFonts w:cs="Arial"/>
          <w:sz w:val="21"/>
          <w:szCs w:val="21"/>
        </w:rPr>
        <w:t xml:space="preserve"> </w:t>
      </w:r>
      <w:r w:rsidR="00DF1C5B" w:rsidRPr="00D67453">
        <w:rPr>
          <w:rFonts w:cs="Arial"/>
          <w:sz w:val="21"/>
          <w:szCs w:val="21"/>
        </w:rPr>
        <w:t>9</w:t>
      </w:r>
      <w:r w:rsidR="008010C4" w:rsidRPr="00D67453">
        <w:rPr>
          <w:rFonts w:cs="Arial"/>
          <w:sz w:val="21"/>
          <w:szCs w:val="21"/>
        </w:rPr>
        <w:t xml:space="preserve"> de </w:t>
      </w:r>
      <w:r w:rsidR="00E43D5C" w:rsidRPr="00D67453">
        <w:rPr>
          <w:rFonts w:cs="Arial"/>
          <w:sz w:val="21"/>
          <w:szCs w:val="21"/>
        </w:rPr>
        <w:t>junio</w:t>
      </w:r>
      <w:r w:rsidR="00510F4A" w:rsidRPr="00D67453">
        <w:rPr>
          <w:rFonts w:cs="Arial"/>
          <w:sz w:val="21"/>
          <w:szCs w:val="21"/>
        </w:rPr>
        <w:t xml:space="preserve"> </w:t>
      </w:r>
      <w:r w:rsidR="00344B4D" w:rsidRPr="00D67453">
        <w:rPr>
          <w:rFonts w:cs="Arial"/>
          <w:sz w:val="21"/>
          <w:szCs w:val="21"/>
        </w:rPr>
        <w:t>de 202</w:t>
      </w:r>
      <w:r w:rsidR="00631A0A" w:rsidRPr="00D67453">
        <w:rPr>
          <w:rFonts w:cs="Arial"/>
          <w:sz w:val="21"/>
          <w:szCs w:val="21"/>
        </w:rPr>
        <w:t>6</w:t>
      </w:r>
      <w:r w:rsidR="009A5477" w:rsidRPr="00D67453">
        <w:rPr>
          <w:rFonts w:cs="Arial"/>
          <w:sz w:val="21"/>
          <w:szCs w:val="21"/>
        </w:rPr>
        <w:t xml:space="preserve">, Comisión VII Constitucional </w:t>
      </w:r>
      <w:r w:rsidRPr="00D67453">
        <w:rPr>
          <w:rFonts w:cs="Arial"/>
          <w:sz w:val="21"/>
          <w:szCs w:val="21"/>
        </w:rPr>
        <w:t xml:space="preserve">Permanente de la H. Cámara de Representantes, </w:t>
      </w:r>
      <w:r w:rsidR="009A5477" w:rsidRPr="00D67453">
        <w:rPr>
          <w:rFonts w:cs="Arial"/>
          <w:sz w:val="21"/>
          <w:szCs w:val="21"/>
        </w:rPr>
        <w:t>a</w:t>
      </w:r>
      <w:r w:rsidRPr="00D67453">
        <w:rPr>
          <w:rFonts w:cs="Arial"/>
          <w:sz w:val="21"/>
          <w:szCs w:val="21"/>
        </w:rPr>
        <w:t xml:space="preserve">cta No. </w:t>
      </w:r>
      <w:r w:rsidR="00631A0A" w:rsidRPr="00D67453">
        <w:rPr>
          <w:rFonts w:cs="Arial"/>
          <w:sz w:val="21"/>
          <w:szCs w:val="21"/>
        </w:rPr>
        <w:t>2</w:t>
      </w:r>
      <w:r w:rsidR="008C140C" w:rsidRPr="00D67453">
        <w:rPr>
          <w:rFonts w:cs="Arial"/>
          <w:sz w:val="21"/>
          <w:szCs w:val="21"/>
        </w:rPr>
        <w:t>7</w:t>
      </w:r>
      <w:r w:rsidRPr="00D67453">
        <w:rPr>
          <w:rFonts w:cs="Arial"/>
          <w:sz w:val="21"/>
          <w:szCs w:val="21"/>
        </w:rPr>
        <w:t>)</w:t>
      </w:r>
    </w:p>
    <w:p w14:paraId="55DF5872" w14:textId="77777777" w:rsidR="00900D93" w:rsidRPr="00D67453" w:rsidRDefault="000F3249" w:rsidP="00D410FE">
      <w:pPr>
        <w:spacing w:before="240" w:after="0" w:line="240" w:lineRule="atLeast"/>
        <w:jc w:val="center"/>
        <w:rPr>
          <w:rFonts w:ascii="Arial" w:eastAsia="Arial" w:hAnsi="Arial" w:cs="Arial"/>
          <w:b/>
          <w:sz w:val="21"/>
          <w:szCs w:val="21"/>
        </w:rPr>
      </w:pPr>
      <w:r w:rsidRPr="00D67453">
        <w:rPr>
          <w:rFonts w:ascii="Arial" w:eastAsia="Arial" w:hAnsi="Arial" w:cs="Arial"/>
          <w:b/>
          <w:sz w:val="21"/>
          <w:szCs w:val="21"/>
        </w:rPr>
        <w:t>EL CONGRESO DE COLOMBIA</w:t>
      </w:r>
    </w:p>
    <w:p w14:paraId="745100F3" w14:textId="77777777" w:rsidR="00900D93" w:rsidRPr="00D67453" w:rsidRDefault="000F3249" w:rsidP="00D410FE">
      <w:pPr>
        <w:spacing w:before="240" w:after="0" w:line="240" w:lineRule="atLeast"/>
        <w:jc w:val="center"/>
        <w:rPr>
          <w:rFonts w:ascii="Arial" w:eastAsia="Arial" w:hAnsi="Arial" w:cs="Arial"/>
          <w:b/>
          <w:sz w:val="21"/>
          <w:szCs w:val="21"/>
        </w:rPr>
      </w:pPr>
      <w:r w:rsidRPr="00D67453">
        <w:rPr>
          <w:rFonts w:ascii="Arial" w:eastAsia="Arial" w:hAnsi="Arial" w:cs="Arial"/>
          <w:b/>
          <w:sz w:val="21"/>
          <w:szCs w:val="21"/>
        </w:rPr>
        <w:t>DECRETA:</w:t>
      </w:r>
    </w:p>
    <w:p w14:paraId="68E82B2D" w14:textId="77777777" w:rsidR="004C02BE" w:rsidRPr="00D67453" w:rsidRDefault="004C02BE" w:rsidP="004C02BE">
      <w:pPr>
        <w:pStyle w:val="Sinespaciado"/>
        <w:rPr>
          <w:b/>
          <w:bCs/>
          <w:sz w:val="21"/>
          <w:szCs w:val="21"/>
          <w:lang w:val="es-ES" w:eastAsia="es-CO"/>
        </w:rPr>
      </w:pPr>
    </w:p>
    <w:tbl>
      <w:tblPr>
        <w:tblStyle w:val="Tablaconcuadrculaclara1"/>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351"/>
      </w:tblGrid>
      <w:tr w:rsidR="00901397" w:rsidRPr="00D67453" w14:paraId="6A84912D" w14:textId="77777777" w:rsidTr="007343AC">
        <w:tc>
          <w:tcPr>
            <w:tcW w:w="9351" w:type="dxa"/>
          </w:tcPr>
          <w:p w14:paraId="7072BCA7" w14:textId="696FFF1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Artículo 1°. Objeto. </w:t>
            </w:r>
            <w:r w:rsidRPr="007343AC">
              <w:rPr>
                <w:rFonts w:ascii="Arial" w:eastAsia="Verdana" w:hAnsi="Arial" w:cs="Arial"/>
                <w:sz w:val="21"/>
                <w:szCs w:val="21"/>
                <w:lang w:val="es-ES"/>
              </w:rPr>
              <w:t>La presente ley tiene por objeto propender por medidas, servicios y</w:t>
            </w:r>
            <w:r w:rsidR="00906D5A" w:rsidRPr="00D67453">
              <w:rPr>
                <w:rFonts w:ascii="Arial" w:eastAsia="Verdana" w:hAnsi="Arial" w:cs="Arial"/>
                <w:sz w:val="21"/>
                <w:szCs w:val="21"/>
                <w:lang w:val="es-ES"/>
              </w:rPr>
              <w:t>,</w:t>
            </w:r>
            <w:r w:rsidRPr="007343AC">
              <w:rPr>
                <w:rFonts w:ascii="Arial" w:eastAsia="Verdana" w:hAnsi="Arial" w:cs="Arial"/>
                <w:sz w:val="21"/>
                <w:szCs w:val="21"/>
                <w:lang w:val="es-ES"/>
              </w:rPr>
              <w:t xml:space="preserve"> mecanismos de atención integral, protección e inclusión  de personas que estén </w:t>
            </w:r>
            <w:r w:rsidRPr="00D67453">
              <w:rPr>
                <w:rFonts w:ascii="Arial" w:eastAsia="Verdana" w:hAnsi="Arial" w:cs="Arial"/>
                <w:sz w:val="21"/>
                <w:szCs w:val="21"/>
                <w:lang w:val="es-ES"/>
              </w:rPr>
              <w:t xml:space="preserve">diagnosticadas o con sospecha del </w:t>
            </w:r>
            <w:r w:rsidRPr="007343AC">
              <w:rPr>
                <w:rFonts w:ascii="Arial" w:eastAsia="Verdana" w:hAnsi="Arial" w:cs="Arial"/>
                <w:sz w:val="21"/>
                <w:szCs w:val="21"/>
                <w:lang w:val="es-ES"/>
              </w:rPr>
              <w:t xml:space="preserve"> Trastorno del Espectro Autista </w:t>
            </w:r>
            <w:r w:rsidRPr="00D67453">
              <w:rPr>
                <w:rFonts w:ascii="Arial" w:eastAsia="Verdana" w:hAnsi="Arial" w:cs="Arial"/>
                <w:sz w:val="21"/>
                <w:szCs w:val="21"/>
                <w:lang w:val="es-ES"/>
              </w:rPr>
              <w:t>(TEA), o con</w:t>
            </w:r>
            <w:r w:rsidRPr="007343AC">
              <w:rPr>
                <w:rFonts w:ascii="Arial" w:eastAsia="Verdana" w:hAnsi="Arial" w:cs="Arial"/>
                <w:sz w:val="21"/>
                <w:szCs w:val="21"/>
                <w:lang w:val="es-ES"/>
              </w:rPr>
              <w:t xml:space="preserve"> otros trastornos del neurodesarrollo, así como crear mecanismos que permitan el acceso a programas, beneficios, atención y servicios más fáciles y expeditos en materia de salud, educación, trabajo y vida, que logren un diagnóstico pronto y eficaz para alcanzar una vida plena de esta población.</w:t>
            </w:r>
          </w:p>
          <w:p w14:paraId="7CBC35A5"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5B62F932" w14:textId="3B908DE5" w:rsidR="007343AC" w:rsidRPr="007343AC" w:rsidRDefault="00405CB0" w:rsidP="007343AC">
            <w:pPr>
              <w:widowControl w:val="0"/>
              <w:autoSpaceDE w:val="0"/>
              <w:autoSpaceDN w:val="0"/>
              <w:jc w:val="both"/>
              <w:rPr>
                <w:rFonts w:ascii="Arial" w:eastAsia="Verdana" w:hAnsi="Arial" w:cs="Arial"/>
                <w:sz w:val="21"/>
                <w:szCs w:val="21"/>
                <w:lang w:val="es-ES"/>
              </w:rPr>
            </w:pPr>
            <w:r w:rsidRPr="00405CB0">
              <w:rPr>
                <w:rFonts w:ascii="Arial" w:hAnsi="Arial" w:cs="Arial"/>
                <w:b/>
                <w:bCs/>
                <w:sz w:val="21"/>
                <w:szCs w:val="21"/>
                <w:lang w:val="es-CO" w:eastAsia="es-CO"/>
              </w:rPr>
              <w:t>Artículo 2°. Ámbito de aplicación.</w:t>
            </w:r>
            <w:r w:rsidRPr="00405CB0">
              <w:rPr>
                <w:rFonts w:ascii="Arial" w:hAnsi="Arial" w:cs="Arial"/>
                <w:sz w:val="21"/>
                <w:szCs w:val="21"/>
                <w:lang w:val="es-CO" w:eastAsia="es-CO"/>
              </w:rPr>
              <w:t xml:space="preserve"> Esta ley tiene como finalidad lograr y promulgar el cumplimiento de los derechos plenos de personas diagnosticadas o con sospecha Trastorno del Espectro Autista (TEA), o con Trastorno del Neurodesarrollo, así como promover y garantizar su igualdad material y real en el goce pleno de sus derechos. </w:t>
            </w:r>
          </w:p>
          <w:p w14:paraId="7EFECF8C"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77A4FB71" w14:textId="77777777" w:rsidR="00405CB0" w:rsidRPr="00405CB0" w:rsidRDefault="00405CB0" w:rsidP="00405CB0">
            <w:pPr>
              <w:jc w:val="both"/>
              <w:rPr>
                <w:rFonts w:ascii="Arial" w:hAnsi="Arial" w:cs="Arial"/>
                <w:sz w:val="21"/>
                <w:szCs w:val="21"/>
                <w:lang w:eastAsia="es-CO"/>
              </w:rPr>
            </w:pPr>
            <w:r w:rsidRPr="00405CB0">
              <w:rPr>
                <w:rFonts w:ascii="Arial" w:hAnsi="Arial" w:cs="Arial"/>
                <w:b/>
                <w:bCs/>
                <w:sz w:val="21"/>
                <w:szCs w:val="21"/>
                <w:lang w:eastAsia="es-CO"/>
              </w:rPr>
              <w:t>Artículo 3°. Definiciones.</w:t>
            </w:r>
            <w:r w:rsidRPr="00405CB0">
              <w:rPr>
                <w:rFonts w:ascii="Arial" w:hAnsi="Arial" w:cs="Arial"/>
                <w:sz w:val="21"/>
                <w:szCs w:val="21"/>
                <w:lang w:eastAsia="es-CO"/>
              </w:rPr>
              <w:t xml:space="preserve"> Para los efectos de la presente ley se tendrá en cuenta los siguientes conceptos:</w:t>
            </w:r>
          </w:p>
          <w:p w14:paraId="0F4F1531" w14:textId="77777777" w:rsidR="00405CB0" w:rsidRPr="00405CB0" w:rsidRDefault="00405CB0" w:rsidP="00405CB0">
            <w:pPr>
              <w:jc w:val="both"/>
              <w:rPr>
                <w:rFonts w:ascii="Arial" w:hAnsi="Arial" w:cs="Arial"/>
                <w:sz w:val="21"/>
                <w:szCs w:val="21"/>
                <w:lang w:eastAsia="es-CO"/>
              </w:rPr>
            </w:pPr>
          </w:p>
          <w:p w14:paraId="67ECA515" w14:textId="07A00981" w:rsidR="00405CB0" w:rsidRPr="00D67453" w:rsidRDefault="00405CB0" w:rsidP="00405CB0">
            <w:pPr>
              <w:numPr>
                <w:ilvl w:val="0"/>
                <w:numId w:val="35"/>
              </w:numPr>
              <w:jc w:val="both"/>
              <w:rPr>
                <w:rFonts w:ascii="Arial" w:hAnsi="Arial" w:cs="Arial"/>
                <w:sz w:val="21"/>
                <w:szCs w:val="21"/>
                <w:lang w:val="es-CO" w:eastAsia="es-CO"/>
              </w:rPr>
            </w:pPr>
            <w:r w:rsidRPr="00405CB0">
              <w:rPr>
                <w:rFonts w:ascii="Arial" w:hAnsi="Arial" w:cs="Arial"/>
                <w:b/>
                <w:bCs/>
                <w:sz w:val="21"/>
                <w:szCs w:val="21"/>
                <w:lang w:val="es-CO" w:eastAsia="es-CO"/>
              </w:rPr>
              <w:t>Trastornos del Neurodesarrollo:</w:t>
            </w:r>
            <w:r w:rsidRPr="00405CB0">
              <w:rPr>
                <w:rFonts w:ascii="Arial" w:hAnsi="Arial" w:cs="Arial"/>
                <w:sz w:val="21"/>
                <w:szCs w:val="21"/>
                <w:lang w:val="es-CO" w:eastAsia="es-CO"/>
              </w:rPr>
              <w:t xml:space="preserve"> Son trastornos con base neurológica que afectan la adquisición, retención o aplicación de habilidades específicas o conjuntos de información. Pueden alterar la atención, la memoria, la percepción, el lenguaje, la resolución de problemas o la interacción social.</w:t>
            </w:r>
          </w:p>
          <w:p w14:paraId="21994686" w14:textId="77777777" w:rsidR="00755E90" w:rsidRPr="00D67453" w:rsidRDefault="00755E90" w:rsidP="00755E90">
            <w:pPr>
              <w:ind w:left="720"/>
              <w:jc w:val="both"/>
              <w:rPr>
                <w:rFonts w:ascii="Arial" w:hAnsi="Arial" w:cs="Arial"/>
                <w:sz w:val="21"/>
                <w:szCs w:val="21"/>
                <w:lang w:val="es-CO" w:eastAsia="es-CO"/>
              </w:rPr>
            </w:pPr>
          </w:p>
          <w:p w14:paraId="7C85FDE0" w14:textId="192CDD23" w:rsidR="00405CB0" w:rsidRPr="00D67453" w:rsidRDefault="00405CB0" w:rsidP="00755E90">
            <w:pPr>
              <w:pStyle w:val="Prrafodelista"/>
              <w:numPr>
                <w:ilvl w:val="0"/>
                <w:numId w:val="35"/>
              </w:numPr>
              <w:jc w:val="both"/>
              <w:rPr>
                <w:rFonts w:ascii="Arial" w:hAnsi="Arial" w:cs="Arial"/>
                <w:sz w:val="21"/>
                <w:szCs w:val="21"/>
                <w:lang w:val="es-CO" w:eastAsia="es-CO"/>
              </w:rPr>
            </w:pPr>
            <w:r w:rsidRPr="00D67453">
              <w:rPr>
                <w:rFonts w:ascii="Arial" w:hAnsi="Arial" w:cs="Arial"/>
                <w:b/>
                <w:bCs/>
                <w:sz w:val="21"/>
                <w:szCs w:val="21"/>
                <w:lang w:val="es-CO" w:eastAsia="es-CO"/>
              </w:rPr>
              <w:t>Trastornos del Espectro Autista (TEA</w:t>
            </w:r>
            <w:r w:rsidR="00755E90" w:rsidRPr="00D67453">
              <w:rPr>
                <w:rFonts w:ascii="Arial" w:hAnsi="Arial" w:cs="Arial"/>
                <w:b/>
                <w:bCs/>
                <w:sz w:val="21"/>
                <w:szCs w:val="21"/>
                <w:lang w:val="es-CO" w:eastAsia="es-CO"/>
              </w:rPr>
              <w:t>)</w:t>
            </w:r>
            <w:r w:rsidRPr="00D67453">
              <w:rPr>
                <w:rFonts w:ascii="Arial" w:hAnsi="Arial" w:cs="Arial"/>
                <w:b/>
                <w:bCs/>
                <w:sz w:val="21"/>
                <w:szCs w:val="21"/>
                <w:lang w:val="es-CO" w:eastAsia="es-CO"/>
              </w:rPr>
              <w:t>:</w:t>
            </w:r>
            <w:r w:rsidRPr="00D67453">
              <w:rPr>
                <w:rFonts w:ascii="Arial" w:hAnsi="Arial" w:cs="Arial"/>
                <w:sz w:val="21"/>
                <w:szCs w:val="21"/>
                <w:lang w:val="es-CO" w:eastAsia="es-CO"/>
              </w:rPr>
              <w:t xml:space="preserve"> Es una condición relacionada con el desarrollo del cerebro que afecta la manera en la que la persona percibe y socializa con otras personas, causando problemas con la interacción social y la comunicación. Este trastorno también comprende patrones de conducta restringidos y repetitivos.</w:t>
            </w:r>
          </w:p>
          <w:p w14:paraId="3B69861E" w14:textId="77777777" w:rsidR="00405CB0" w:rsidRPr="00405CB0" w:rsidRDefault="00405CB0" w:rsidP="00405CB0">
            <w:pPr>
              <w:jc w:val="both"/>
              <w:rPr>
                <w:rFonts w:ascii="Arial" w:hAnsi="Arial" w:cs="Arial"/>
                <w:sz w:val="21"/>
                <w:szCs w:val="21"/>
                <w:lang w:eastAsia="es-CO"/>
              </w:rPr>
            </w:pPr>
            <w:r w:rsidRPr="00405CB0">
              <w:rPr>
                <w:rFonts w:ascii="Arial" w:hAnsi="Arial" w:cs="Arial"/>
                <w:sz w:val="21"/>
                <w:szCs w:val="21"/>
                <w:lang w:eastAsia="es-CO"/>
              </w:rPr>
              <w:t>  </w:t>
            </w:r>
          </w:p>
          <w:p w14:paraId="07AF44E1" w14:textId="5A4AFD98" w:rsidR="007343AC" w:rsidRPr="007343AC" w:rsidRDefault="00405CB0" w:rsidP="00405CB0">
            <w:pPr>
              <w:widowControl w:val="0"/>
              <w:autoSpaceDE w:val="0"/>
              <w:autoSpaceDN w:val="0"/>
              <w:jc w:val="both"/>
              <w:rPr>
                <w:rFonts w:ascii="Arial" w:eastAsia="Verdana" w:hAnsi="Arial" w:cs="Arial"/>
                <w:sz w:val="21"/>
                <w:szCs w:val="21"/>
                <w:lang w:val="es-ES"/>
              </w:rPr>
            </w:pPr>
            <w:r w:rsidRPr="00405CB0">
              <w:rPr>
                <w:rFonts w:ascii="Arial" w:hAnsi="Arial" w:cs="Arial"/>
                <w:b/>
                <w:bCs/>
                <w:sz w:val="21"/>
                <w:szCs w:val="21"/>
                <w:lang w:val="es-CO" w:eastAsia="es-CO"/>
              </w:rPr>
              <w:t>Parágrafo.</w:t>
            </w:r>
            <w:r w:rsidRPr="00405CB0">
              <w:rPr>
                <w:rFonts w:ascii="Arial" w:hAnsi="Arial" w:cs="Arial"/>
                <w:sz w:val="21"/>
                <w:szCs w:val="21"/>
                <w:lang w:val="es-CO" w:eastAsia="es-CO"/>
              </w:rPr>
              <w:t xml:space="preserve"> Las anteriores definiciones no son estáticas, pueden variar, transformarse y conmutarse de acuerdo con los lineamientos y parámetros del Ministerio de Salud, atendiendo a las recomendaciones impartidas por la Organización Mundial de la Salud (OMS).</w:t>
            </w:r>
          </w:p>
          <w:p w14:paraId="69F20F2D" w14:textId="77777777" w:rsidR="007343AC" w:rsidRPr="007343AC" w:rsidRDefault="007343AC" w:rsidP="007343AC">
            <w:pPr>
              <w:widowControl w:val="0"/>
              <w:autoSpaceDE w:val="0"/>
              <w:autoSpaceDN w:val="0"/>
              <w:jc w:val="both"/>
              <w:rPr>
                <w:rFonts w:ascii="Arial" w:eastAsia="Verdana" w:hAnsi="Arial" w:cs="Arial"/>
                <w:color w:val="FF0000"/>
                <w:sz w:val="21"/>
                <w:szCs w:val="21"/>
                <w:lang w:val="es-ES"/>
              </w:rPr>
            </w:pPr>
          </w:p>
          <w:p w14:paraId="063D2E55" w14:textId="3C7BF325" w:rsidR="007343AC" w:rsidRPr="007343AC" w:rsidRDefault="00755E90" w:rsidP="007343AC">
            <w:pPr>
              <w:widowControl w:val="0"/>
              <w:autoSpaceDE w:val="0"/>
              <w:autoSpaceDN w:val="0"/>
              <w:jc w:val="both"/>
              <w:rPr>
                <w:rFonts w:ascii="Arial" w:eastAsia="Verdana" w:hAnsi="Arial" w:cs="Arial"/>
                <w:sz w:val="21"/>
                <w:szCs w:val="21"/>
                <w:lang w:val="es-ES"/>
              </w:rPr>
            </w:pPr>
            <w:r w:rsidRPr="00755E90">
              <w:rPr>
                <w:rFonts w:ascii="Arial" w:hAnsi="Arial" w:cs="Arial"/>
                <w:b/>
                <w:bCs/>
                <w:sz w:val="21"/>
                <w:szCs w:val="21"/>
                <w:lang w:val="es-CO" w:eastAsia="es-CO"/>
              </w:rPr>
              <w:t>Artículo 4°. Investigación en salud mental.</w:t>
            </w:r>
            <w:r w:rsidRPr="00755E90">
              <w:rPr>
                <w:rFonts w:ascii="Arial" w:hAnsi="Arial" w:cs="Arial"/>
                <w:sz w:val="21"/>
                <w:szCs w:val="21"/>
                <w:lang w:val="es-CO" w:eastAsia="es-CO"/>
              </w:rPr>
              <w:t xml:space="preserve"> El Ministerio de Salud y Protección Social, en coordinación con el Instituto Nacional de Salud (INS), promoverá y desarrollará líneas de investigación científica en salud mental en el marco de la Política Pública de Atención, Acompañamiento y Protección para personas diagnosticadas o con sospecha Trastorno del </w:t>
            </w:r>
            <w:r w:rsidRPr="00755E90">
              <w:rPr>
                <w:rFonts w:ascii="Arial" w:hAnsi="Arial" w:cs="Arial"/>
                <w:sz w:val="21"/>
                <w:szCs w:val="21"/>
                <w:lang w:val="es-CO" w:eastAsia="es-CO"/>
              </w:rPr>
              <w:lastRenderedPageBreak/>
              <w:t>Espectro Autista (TEA) o con otros trastornos del Neurodesarrollo. Dichas investigaciones tendrán como fin primordial la actualización permanente de los protocolos clínicos de atención, así como la incorporación de tecnologías e innovaciones en salud mental orientadas a esta población.</w:t>
            </w:r>
          </w:p>
          <w:p w14:paraId="74272574"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4DDCDBF8" w14:textId="77777777" w:rsidR="00AA061D" w:rsidRPr="00AA061D" w:rsidRDefault="00AA061D" w:rsidP="00AA061D">
            <w:pPr>
              <w:jc w:val="both"/>
              <w:rPr>
                <w:rFonts w:ascii="Arial" w:hAnsi="Arial" w:cs="Arial"/>
                <w:sz w:val="21"/>
                <w:szCs w:val="21"/>
                <w:lang w:eastAsia="es-CO"/>
              </w:rPr>
            </w:pPr>
            <w:r w:rsidRPr="00AA061D">
              <w:rPr>
                <w:rFonts w:ascii="Arial" w:hAnsi="Arial" w:cs="Arial"/>
                <w:b/>
                <w:bCs/>
                <w:sz w:val="21"/>
                <w:szCs w:val="21"/>
                <w:lang w:eastAsia="es-CO"/>
              </w:rPr>
              <w:t xml:space="preserve">Artículo 5. Identificación, certificación y registro para la garantía de derechos. </w:t>
            </w:r>
            <w:r w:rsidRPr="00AA061D">
              <w:rPr>
                <w:rFonts w:ascii="Arial" w:hAnsi="Arial" w:cs="Arial"/>
                <w:sz w:val="21"/>
                <w:szCs w:val="21"/>
                <w:lang w:eastAsia="es-CO"/>
              </w:rPr>
              <w:t>El Ministerio de Salud y Protección Social, en coordinación con las entidades territoriales, deberá fortalecer los mecanismos existentes de diagnóstico, identificación, certificación de discapacidad y registro de las personas autistas, de las personas con diagnóstico de Trastorno del Espectro Autista (TEA) y de las personas con otros trastornos del neurodesarrollo, evitando la creación de trámites paralelos, duplicados o innecesarios.</w:t>
            </w:r>
          </w:p>
          <w:p w14:paraId="2CEF946F" w14:textId="77777777" w:rsidR="00AA061D" w:rsidRPr="00AA061D" w:rsidRDefault="00AA061D" w:rsidP="00AA061D">
            <w:pPr>
              <w:jc w:val="both"/>
              <w:rPr>
                <w:rFonts w:ascii="Arial" w:hAnsi="Arial" w:cs="Arial"/>
                <w:sz w:val="21"/>
                <w:szCs w:val="21"/>
                <w:lang w:eastAsia="es-CO"/>
              </w:rPr>
            </w:pPr>
          </w:p>
          <w:p w14:paraId="7E1E29E8" w14:textId="77777777" w:rsidR="00AA061D" w:rsidRPr="00AA061D" w:rsidRDefault="00AA061D" w:rsidP="00AA061D">
            <w:pPr>
              <w:jc w:val="both"/>
              <w:rPr>
                <w:rFonts w:ascii="Arial" w:hAnsi="Arial" w:cs="Arial"/>
                <w:sz w:val="21"/>
                <w:szCs w:val="21"/>
                <w:lang w:eastAsia="es-CO"/>
              </w:rPr>
            </w:pPr>
            <w:r w:rsidRPr="00AA061D">
              <w:rPr>
                <w:rFonts w:ascii="Arial" w:hAnsi="Arial" w:cs="Arial"/>
                <w:sz w:val="21"/>
                <w:szCs w:val="21"/>
                <w:lang w:eastAsia="es-CO"/>
              </w:rPr>
              <w:t>El diagnóstico clínico emitido por el profesional o equipo competente será suficiente para activar las rutas de atención en salud, educación y protección social, así como para solicitar los apoyos y ajustes razonables requeridos. La certificación de discapacidad solo podrá exigirse cuando sea necesaria para acceder a beneficios, programas o medidas afirmativas que, conforme a la normativa vigente, requieran dicha certificación.</w:t>
            </w:r>
          </w:p>
          <w:p w14:paraId="663AA356" w14:textId="77777777" w:rsidR="00AA061D" w:rsidRPr="00AA061D" w:rsidRDefault="00AA061D" w:rsidP="00AA061D">
            <w:pPr>
              <w:jc w:val="both"/>
              <w:rPr>
                <w:rFonts w:ascii="Arial" w:hAnsi="Arial" w:cs="Arial"/>
                <w:sz w:val="21"/>
                <w:szCs w:val="21"/>
                <w:lang w:eastAsia="es-CO"/>
              </w:rPr>
            </w:pPr>
          </w:p>
          <w:p w14:paraId="72991665" w14:textId="77777777" w:rsidR="00AA061D" w:rsidRPr="00AA061D" w:rsidRDefault="00AA061D" w:rsidP="00AA061D">
            <w:pPr>
              <w:jc w:val="both"/>
              <w:rPr>
                <w:rFonts w:ascii="Arial" w:hAnsi="Arial" w:cs="Arial"/>
                <w:sz w:val="21"/>
                <w:szCs w:val="21"/>
                <w:lang w:eastAsia="es-CO"/>
              </w:rPr>
            </w:pPr>
            <w:r w:rsidRPr="00AA061D">
              <w:rPr>
                <w:rFonts w:ascii="Arial" w:hAnsi="Arial" w:cs="Arial"/>
                <w:sz w:val="21"/>
                <w:szCs w:val="21"/>
                <w:lang w:eastAsia="es-CO"/>
              </w:rPr>
              <w:t>De conformidad con el literal i) de la Ley 1861 de 2017, los pacientes con Trastorno del Espectro Autista (TEA), trastorno del neurodesarrollo y en condiciones similares; están exonerados de la prestación del servicio militar obligatorio. El Comando de Reclutamiento reconocerá el Certificado Único de Trastorno del Neurodesarrollo como documento justificativo, sin perjuicio de la validez de la historia clínica para determinar la exoneración. En todo caso, el trámite deberá ser simple y expedito para garantizar los derechos de los pacientes.</w:t>
            </w:r>
          </w:p>
          <w:p w14:paraId="75FD2011" w14:textId="77777777" w:rsidR="00AA061D" w:rsidRPr="00AA061D" w:rsidRDefault="00AA061D" w:rsidP="00AA061D">
            <w:pPr>
              <w:jc w:val="both"/>
              <w:rPr>
                <w:rFonts w:ascii="Arial" w:hAnsi="Arial" w:cs="Arial"/>
                <w:sz w:val="21"/>
                <w:szCs w:val="21"/>
                <w:lang w:eastAsia="es-CO"/>
              </w:rPr>
            </w:pPr>
          </w:p>
          <w:p w14:paraId="0AC4244A" w14:textId="77777777" w:rsidR="00AA061D" w:rsidRPr="00AA061D" w:rsidRDefault="00AA061D" w:rsidP="00AA061D">
            <w:pPr>
              <w:jc w:val="both"/>
              <w:rPr>
                <w:rFonts w:ascii="Arial" w:hAnsi="Arial" w:cs="Arial"/>
                <w:sz w:val="21"/>
                <w:szCs w:val="21"/>
                <w:lang w:eastAsia="es-CO"/>
              </w:rPr>
            </w:pPr>
            <w:r w:rsidRPr="00AA061D">
              <w:rPr>
                <w:rFonts w:ascii="Arial" w:hAnsi="Arial" w:cs="Arial"/>
                <w:b/>
                <w:bCs/>
                <w:sz w:val="21"/>
                <w:szCs w:val="21"/>
                <w:lang w:eastAsia="es-CO"/>
              </w:rPr>
              <w:t>Parágrafo 1°.</w:t>
            </w:r>
            <w:r w:rsidRPr="00AA061D">
              <w:rPr>
                <w:rFonts w:ascii="Arial" w:hAnsi="Arial" w:cs="Arial"/>
                <w:sz w:val="21"/>
                <w:szCs w:val="21"/>
                <w:lang w:eastAsia="es-CO"/>
              </w:rPr>
              <w:t xml:space="preserve"> Ninguna entidad pública o privada podrá negar, suspender, dilatar o condicionar la atención en salud, la matrícula educativa, la permanencia escolar, los ajustes razonables, los apoyos pedagógicos, la orientación familiar o las rutas de atención por la ausencia de una certificación adicional al diagnóstico clínico.</w:t>
            </w:r>
          </w:p>
          <w:p w14:paraId="21B0E4F4" w14:textId="77777777" w:rsidR="00AA061D" w:rsidRPr="00AA061D" w:rsidRDefault="00AA061D" w:rsidP="00AA061D">
            <w:pPr>
              <w:jc w:val="both"/>
              <w:rPr>
                <w:rFonts w:ascii="Arial" w:hAnsi="Arial" w:cs="Arial"/>
                <w:sz w:val="21"/>
                <w:szCs w:val="21"/>
                <w:lang w:eastAsia="es-CO"/>
              </w:rPr>
            </w:pPr>
          </w:p>
          <w:p w14:paraId="1A4C35B7" w14:textId="77777777" w:rsidR="00AA061D" w:rsidRPr="00AA061D" w:rsidRDefault="00AA061D" w:rsidP="00AA061D">
            <w:pPr>
              <w:jc w:val="both"/>
              <w:rPr>
                <w:rFonts w:ascii="Arial" w:hAnsi="Arial" w:cs="Arial"/>
                <w:sz w:val="21"/>
                <w:szCs w:val="21"/>
                <w:lang w:eastAsia="es-CO"/>
              </w:rPr>
            </w:pPr>
            <w:r w:rsidRPr="00AA061D">
              <w:rPr>
                <w:rFonts w:ascii="Arial" w:hAnsi="Arial" w:cs="Arial"/>
                <w:b/>
                <w:bCs/>
                <w:sz w:val="21"/>
                <w:szCs w:val="21"/>
                <w:lang w:eastAsia="es-CO"/>
              </w:rPr>
              <w:t xml:space="preserve">Parágrafo 2°. </w:t>
            </w:r>
            <w:r w:rsidRPr="00AA061D">
              <w:rPr>
                <w:rFonts w:ascii="Arial" w:hAnsi="Arial" w:cs="Arial"/>
                <w:sz w:val="21"/>
                <w:szCs w:val="21"/>
                <w:lang w:eastAsia="es-CO"/>
              </w:rPr>
              <w:t>El Ministerio de Salud y Protección Social deberá garantizar que los procesos de certificación de discapacidad, cuando sean requeridos, sean accesibles, oportunos, gratuitos, territorialmente disponibles y realizados por equipos idóneos. Para ello podrá adoptar medidas de teleorientación, interoperabilidad, jornadas territoriales y articulación con la red pública y privada de prestación de servicios.</w:t>
            </w:r>
          </w:p>
          <w:p w14:paraId="78B5757C" w14:textId="77777777" w:rsidR="00AA061D" w:rsidRPr="00AA061D" w:rsidRDefault="00AA061D" w:rsidP="00AA061D">
            <w:pPr>
              <w:jc w:val="both"/>
              <w:rPr>
                <w:rFonts w:ascii="Arial" w:hAnsi="Arial" w:cs="Arial"/>
                <w:sz w:val="21"/>
                <w:szCs w:val="21"/>
                <w:lang w:eastAsia="es-CO"/>
              </w:rPr>
            </w:pPr>
          </w:p>
          <w:p w14:paraId="6469053D" w14:textId="77777777" w:rsidR="00AA061D" w:rsidRPr="00AA061D" w:rsidRDefault="00AA061D" w:rsidP="00AA061D">
            <w:pPr>
              <w:jc w:val="both"/>
              <w:rPr>
                <w:rFonts w:ascii="Arial" w:hAnsi="Arial" w:cs="Arial"/>
                <w:sz w:val="21"/>
                <w:szCs w:val="21"/>
                <w:lang w:eastAsia="es-CO"/>
              </w:rPr>
            </w:pPr>
            <w:r w:rsidRPr="00AA061D">
              <w:rPr>
                <w:rFonts w:ascii="Arial" w:hAnsi="Arial" w:cs="Arial"/>
                <w:b/>
                <w:bCs/>
                <w:sz w:val="21"/>
                <w:szCs w:val="21"/>
                <w:lang w:eastAsia="es-CO"/>
              </w:rPr>
              <w:t>Parágrafo 3°.</w:t>
            </w:r>
            <w:r w:rsidRPr="00AA061D">
              <w:rPr>
                <w:rFonts w:ascii="Arial" w:hAnsi="Arial" w:cs="Arial"/>
                <w:sz w:val="21"/>
                <w:szCs w:val="21"/>
                <w:lang w:eastAsia="es-CO"/>
              </w:rPr>
              <w:t xml:space="preserve"> La información recolectada en los procesos de diagnóstico, certificación y registro tendrá carácter sensible y deberá ser tratada conforme a los principios de confidencialidad, finalidad, necesidad, circulación restringida, seguridad, consentimiento informado cuando corresponda y prohibición de uso discriminatorio.</w:t>
            </w:r>
          </w:p>
          <w:p w14:paraId="2BFAE448" w14:textId="77777777" w:rsidR="00AA061D" w:rsidRPr="00AA061D" w:rsidRDefault="00AA061D" w:rsidP="00AA061D">
            <w:pPr>
              <w:jc w:val="both"/>
              <w:rPr>
                <w:rFonts w:ascii="Arial" w:hAnsi="Arial" w:cs="Arial"/>
                <w:sz w:val="21"/>
                <w:szCs w:val="21"/>
                <w:lang w:eastAsia="es-CO"/>
              </w:rPr>
            </w:pPr>
          </w:p>
          <w:p w14:paraId="53145FF1" w14:textId="77777777" w:rsidR="00AA061D" w:rsidRPr="00AA061D" w:rsidRDefault="00AA061D" w:rsidP="00AA061D">
            <w:pPr>
              <w:jc w:val="both"/>
              <w:rPr>
                <w:rFonts w:ascii="Arial" w:hAnsi="Arial" w:cs="Arial"/>
                <w:sz w:val="21"/>
                <w:szCs w:val="21"/>
                <w:lang w:eastAsia="es-CO"/>
              </w:rPr>
            </w:pPr>
            <w:r w:rsidRPr="00AA061D">
              <w:rPr>
                <w:rFonts w:ascii="Arial" w:hAnsi="Arial" w:cs="Arial"/>
                <w:b/>
                <w:bCs/>
                <w:sz w:val="21"/>
                <w:szCs w:val="21"/>
                <w:lang w:eastAsia="es-CO"/>
              </w:rPr>
              <w:t>Parágrafo 4°.</w:t>
            </w:r>
            <w:r w:rsidRPr="00AA061D">
              <w:rPr>
                <w:rFonts w:ascii="Arial" w:hAnsi="Arial" w:cs="Arial"/>
                <w:sz w:val="21"/>
                <w:szCs w:val="21"/>
                <w:lang w:eastAsia="es-CO"/>
              </w:rPr>
              <w:t xml:space="preserve"> El Gobierno Nacional reglamentará este artículo en un término no superior a doce meses, priorizando la eliminación de barreras administrativas, la articulación con los sistemas de información existentes y la participación de personas autistas, familias, cuidadores, organizaciones sociales, academia y entidades territoriales.</w:t>
            </w:r>
          </w:p>
          <w:p w14:paraId="428CD2AE" w14:textId="51C0006B" w:rsidR="007343AC" w:rsidRPr="007343AC" w:rsidRDefault="007343AC" w:rsidP="007343AC">
            <w:pPr>
              <w:widowControl w:val="0"/>
              <w:autoSpaceDE w:val="0"/>
              <w:autoSpaceDN w:val="0"/>
              <w:jc w:val="both"/>
              <w:rPr>
                <w:rFonts w:ascii="Arial" w:eastAsia="Verdana" w:hAnsi="Arial" w:cs="Arial"/>
                <w:sz w:val="21"/>
                <w:szCs w:val="21"/>
                <w:lang w:val="es-CO"/>
              </w:rPr>
            </w:pPr>
          </w:p>
          <w:p w14:paraId="3F39743D" w14:textId="77777777" w:rsidR="00256AED" w:rsidRPr="00256AED" w:rsidRDefault="00256AED" w:rsidP="00256AED">
            <w:pPr>
              <w:jc w:val="both"/>
              <w:rPr>
                <w:rFonts w:ascii="Arial" w:hAnsi="Arial" w:cs="Arial"/>
                <w:sz w:val="21"/>
                <w:szCs w:val="21"/>
                <w:lang w:eastAsia="es-CO"/>
              </w:rPr>
            </w:pPr>
            <w:r w:rsidRPr="00256AED">
              <w:rPr>
                <w:rFonts w:ascii="Arial" w:hAnsi="Arial" w:cs="Arial"/>
                <w:b/>
                <w:bCs/>
                <w:sz w:val="21"/>
                <w:szCs w:val="21"/>
                <w:lang w:eastAsia="es-CO"/>
              </w:rPr>
              <w:t>Artículo 6. Sistemas de información y estadísticas.</w:t>
            </w:r>
            <w:r w:rsidRPr="00256AED">
              <w:rPr>
                <w:rFonts w:ascii="Arial" w:hAnsi="Arial" w:cs="Arial"/>
                <w:sz w:val="21"/>
                <w:szCs w:val="21"/>
                <w:lang w:eastAsia="es-CO"/>
              </w:rPr>
              <w:t xml:space="preserve"> El Departamento Administrativo Nacional de Estadística (DANE) incorporará en los censos poblacionales y operativos estadísticos, variables y parámetros que permitan la identificación y caracterización de las personas diagnosticadas o con sospecha de Trastorno del Espectro Autista (TEA), o con trastornos del Neurodesarrollo. El Gobierno Nacional reglamentará la materia para asegurar la interoperabilidad de estos datos.</w:t>
            </w:r>
          </w:p>
          <w:p w14:paraId="0B51FD99" w14:textId="77777777" w:rsidR="00256AED" w:rsidRPr="00D67453" w:rsidRDefault="00256AED" w:rsidP="00256AED">
            <w:pPr>
              <w:jc w:val="both"/>
              <w:rPr>
                <w:rFonts w:ascii="Arial" w:hAnsi="Arial" w:cs="Arial"/>
                <w:b/>
                <w:bCs/>
                <w:sz w:val="21"/>
                <w:szCs w:val="21"/>
                <w:lang w:eastAsia="es-CO"/>
              </w:rPr>
            </w:pPr>
          </w:p>
          <w:p w14:paraId="1A2D20BA" w14:textId="772CC36C" w:rsidR="00256AED" w:rsidRPr="00256AED" w:rsidRDefault="00256AED" w:rsidP="00256AED">
            <w:pPr>
              <w:jc w:val="both"/>
              <w:rPr>
                <w:rFonts w:ascii="Arial" w:hAnsi="Arial" w:cs="Arial"/>
                <w:sz w:val="21"/>
                <w:szCs w:val="21"/>
                <w:lang w:eastAsia="es-CO"/>
              </w:rPr>
            </w:pPr>
            <w:r w:rsidRPr="00256AED">
              <w:rPr>
                <w:rFonts w:ascii="Arial" w:hAnsi="Arial" w:cs="Arial"/>
                <w:b/>
                <w:bCs/>
                <w:sz w:val="21"/>
                <w:szCs w:val="21"/>
                <w:lang w:eastAsia="es-CO"/>
              </w:rPr>
              <w:t>Parágrafo 1°.</w:t>
            </w:r>
            <w:r w:rsidRPr="00256AED">
              <w:rPr>
                <w:rFonts w:ascii="Arial" w:hAnsi="Arial" w:cs="Arial"/>
                <w:sz w:val="21"/>
                <w:szCs w:val="21"/>
                <w:lang w:eastAsia="es-CO"/>
              </w:rPr>
              <w:t xml:space="preserve"> El Ministerio de Salud y Protección Social y el Ministerio de Educación Nacional, en el marco de sus competencias, deberán estructurar y actualizar en sus respectivos sistemas de información, registros estadísticos detallados de la población diagnosticada o con sospecha de </w:t>
            </w:r>
            <w:r w:rsidRPr="00256AED">
              <w:rPr>
                <w:rFonts w:ascii="Arial" w:hAnsi="Arial" w:cs="Arial"/>
                <w:sz w:val="21"/>
                <w:szCs w:val="21"/>
                <w:lang w:eastAsia="es-CO"/>
              </w:rPr>
              <w:lastRenderedPageBreak/>
              <w:t>TEA y otros Trastornos del Neurodesarrollo. Estos registros deberán incluir, como mínimo: el diagnóstico clínico, el tipo de tratamiento o apoyo pedagógico recibido y la cobertura de servicios.</w:t>
            </w:r>
          </w:p>
          <w:p w14:paraId="711A5B95" w14:textId="77777777" w:rsidR="00256AED" w:rsidRPr="00D67453" w:rsidRDefault="00256AED" w:rsidP="00256AED">
            <w:pPr>
              <w:widowControl w:val="0"/>
              <w:autoSpaceDE w:val="0"/>
              <w:autoSpaceDN w:val="0"/>
              <w:jc w:val="both"/>
              <w:rPr>
                <w:rFonts w:ascii="Arial" w:hAnsi="Arial" w:cs="Arial"/>
                <w:b/>
                <w:bCs/>
                <w:sz w:val="21"/>
                <w:szCs w:val="21"/>
                <w:lang w:val="es-CO" w:eastAsia="es-CO"/>
              </w:rPr>
            </w:pPr>
          </w:p>
          <w:p w14:paraId="6FC8860B" w14:textId="637A97B1" w:rsidR="007343AC" w:rsidRPr="007343AC" w:rsidRDefault="00256AED" w:rsidP="00256AED">
            <w:pPr>
              <w:widowControl w:val="0"/>
              <w:autoSpaceDE w:val="0"/>
              <w:autoSpaceDN w:val="0"/>
              <w:jc w:val="both"/>
              <w:rPr>
                <w:rFonts w:ascii="Arial" w:eastAsia="Verdana" w:hAnsi="Arial" w:cs="Arial"/>
                <w:sz w:val="21"/>
                <w:szCs w:val="21"/>
                <w:lang w:val="es-ES"/>
              </w:rPr>
            </w:pPr>
            <w:r w:rsidRPr="00256AED">
              <w:rPr>
                <w:rFonts w:ascii="Arial" w:hAnsi="Arial" w:cs="Arial"/>
                <w:b/>
                <w:bCs/>
                <w:sz w:val="21"/>
                <w:szCs w:val="21"/>
                <w:lang w:val="es-CO" w:eastAsia="es-CO"/>
              </w:rPr>
              <w:t>Parágrafo 2°.</w:t>
            </w:r>
            <w:r w:rsidRPr="00256AED">
              <w:rPr>
                <w:rFonts w:ascii="Arial" w:hAnsi="Arial" w:cs="Arial"/>
                <w:sz w:val="21"/>
                <w:szCs w:val="21"/>
                <w:lang w:val="es-CO" w:eastAsia="es-CO"/>
              </w:rPr>
              <w:t xml:space="preserve"> La información recopilada en virtud del presente artículo será de carácter reservado conforme a las leyes de protección de datos personales, y servirá como insumo obligatorio para el diseño, seguimiento y evaluación de las políticas públicas sectoriales.</w:t>
            </w:r>
          </w:p>
          <w:p w14:paraId="7ACB57DE"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7185CFAB" w14:textId="77777777" w:rsidR="00256AED" w:rsidRPr="00D67453" w:rsidRDefault="00256AED" w:rsidP="00256AED">
            <w:pPr>
              <w:pStyle w:val="Sinespaciado"/>
              <w:rPr>
                <w:rFonts w:cs="Arial"/>
                <w:sz w:val="21"/>
                <w:szCs w:val="21"/>
                <w:lang w:val="es-CO"/>
              </w:rPr>
            </w:pPr>
            <w:r w:rsidRPr="00D67453">
              <w:rPr>
                <w:rFonts w:cs="Arial"/>
                <w:b/>
                <w:bCs/>
                <w:sz w:val="21"/>
                <w:szCs w:val="21"/>
                <w:lang w:val="es-CO"/>
              </w:rPr>
              <w:t>Artículo 7°. Derechos y alcances de la atención</w:t>
            </w:r>
            <w:r w:rsidRPr="00D67453">
              <w:rPr>
                <w:rFonts w:cs="Arial"/>
                <w:sz w:val="21"/>
                <w:szCs w:val="21"/>
                <w:lang w:val="es-CO"/>
              </w:rPr>
              <w:t>. En el marco de la garantía de los derechos de las personas con Trastorno del Espectro Autista (TEA), y de conformidad con la Ley Estatutaria 1751 de 2015, la Política Pública deberá integrar, como mínimo, los siguientes componentes:</w:t>
            </w:r>
          </w:p>
          <w:p w14:paraId="357CC52A" w14:textId="77777777" w:rsidR="00256AED" w:rsidRPr="00D67453" w:rsidRDefault="00256AED" w:rsidP="00256AED">
            <w:pPr>
              <w:pStyle w:val="Sinespaciado"/>
              <w:rPr>
                <w:rFonts w:cs="Arial"/>
                <w:sz w:val="21"/>
                <w:szCs w:val="21"/>
                <w:lang w:val="es-CO"/>
              </w:rPr>
            </w:pPr>
          </w:p>
          <w:p w14:paraId="0EA4A16C" w14:textId="77777777" w:rsidR="00256AED" w:rsidRPr="00D67453" w:rsidRDefault="00256AED" w:rsidP="00256AED">
            <w:pPr>
              <w:pStyle w:val="Sinespaciado"/>
              <w:numPr>
                <w:ilvl w:val="0"/>
                <w:numId w:val="36"/>
              </w:numPr>
              <w:rPr>
                <w:rFonts w:cs="Arial"/>
                <w:sz w:val="21"/>
                <w:szCs w:val="21"/>
                <w:lang w:val="es-CO"/>
              </w:rPr>
            </w:pPr>
            <w:r w:rsidRPr="00D67453">
              <w:rPr>
                <w:rFonts w:cs="Arial"/>
                <w:sz w:val="21"/>
                <w:szCs w:val="21"/>
                <w:lang w:val="es-CO"/>
              </w:rPr>
              <w:t xml:space="preserve">Actualización y Revisión periódica del Protocolo Clínico para el diagnóstico, tratamiento y ruta de atención integral de niños, niñas y adolescentes con Trastorno del Espectro </w:t>
            </w:r>
            <w:proofErr w:type="gramStart"/>
            <w:r w:rsidRPr="00D67453">
              <w:rPr>
                <w:rFonts w:cs="Arial"/>
                <w:sz w:val="21"/>
                <w:szCs w:val="21"/>
                <w:lang w:val="es-CO"/>
              </w:rPr>
              <w:t>Autista(</w:t>
            </w:r>
            <w:proofErr w:type="gramEnd"/>
            <w:r w:rsidRPr="00D67453">
              <w:rPr>
                <w:rFonts w:cs="Arial"/>
                <w:sz w:val="21"/>
                <w:szCs w:val="21"/>
                <w:lang w:val="es-CO"/>
              </w:rPr>
              <w:t>TEA).</w:t>
            </w:r>
          </w:p>
          <w:p w14:paraId="5CD15272" w14:textId="77777777" w:rsidR="00256AED" w:rsidRPr="00D67453" w:rsidRDefault="00256AED" w:rsidP="00256AED">
            <w:pPr>
              <w:pStyle w:val="Sinespaciado"/>
              <w:numPr>
                <w:ilvl w:val="0"/>
                <w:numId w:val="36"/>
              </w:numPr>
              <w:rPr>
                <w:rFonts w:cs="Arial"/>
                <w:sz w:val="21"/>
                <w:szCs w:val="21"/>
                <w:lang w:val="es-CO"/>
              </w:rPr>
            </w:pPr>
            <w:r w:rsidRPr="00D67453">
              <w:rPr>
                <w:rFonts w:cs="Arial"/>
                <w:sz w:val="21"/>
                <w:szCs w:val="21"/>
                <w:lang w:val="es-CO"/>
              </w:rPr>
              <w:t>Garantía de la atención integral en salud mediante equipos interdisciplinarios, que tengan en cuenta el nivel de gravedad o tipología del trastorno.</w:t>
            </w:r>
          </w:p>
          <w:p w14:paraId="6554D1AE" w14:textId="77777777" w:rsidR="00256AED" w:rsidRPr="00D67453" w:rsidRDefault="00256AED" w:rsidP="00256AED">
            <w:pPr>
              <w:pStyle w:val="Sinespaciado"/>
              <w:numPr>
                <w:ilvl w:val="0"/>
                <w:numId w:val="36"/>
              </w:numPr>
              <w:rPr>
                <w:rFonts w:cs="Arial"/>
                <w:sz w:val="21"/>
                <w:szCs w:val="21"/>
                <w:lang w:val="es-CO"/>
              </w:rPr>
            </w:pPr>
            <w:r w:rsidRPr="00D67453">
              <w:rPr>
                <w:rFonts w:cs="Arial"/>
                <w:sz w:val="21"/>
                <w:szCs w:val="21"/>
                <w:lang w:val="es-CO"/>
              </w:rPr>
              <w:t>Aseguramiento del acceso a información clara, oportuna y suficiente para las personas con TEA, sus familias y cuidadores. Se promoverá su participación activa en los procesos de atención, rehabilitación funcional y el fomento de su autonomía.</w:t>
            </w:r>
          </w:p>
          <w:p w14:paraId="01FCDA21" w14:textId="77777777" w:rsidR="00256AED" w:rsidRPr="00D67453" w:rsidRDefault="00256AED" w:rsidP="00256AED">
            <w:pPr>
              <w:pStyle w:val="Sinespaciado"/>
              <w:numPr>
                <w:ilvl w:val="0"/>
                <w:numId w:val="36"/>
              </w:numPr>
              <w:rPr>
                <w:rFonts w:cs="Arial"/>
                <w:sz w:val="21"/>
                <w:szCs w:val="21"/>
                <w:lang w:val="es-CO"/>
              </w:rPr>
            </w:pPr>
            <w:r w:rsidRPr="00D67453">
              <w:rPr>
                <w:rFonts w:cs="Arial"/>
                <w:sz w:val="21"/>
                <w:szCs w:val="21"/>
                <w:lang w:val="es-CO"/>
              </w:rPr>
              <w:t>Elaboración y difusión de una Guía de Atención Integral con enfoque de curso de vida, que incorpore estándares internacionales y buenas prácticas basadas en el respeto a la dignidad y la neurodiversidad.</w:t>
            </w:r>
          </w:p>
          <w:p w14:paraId="5C48D644" w14:textId="77777777" w:rsidR="00256AED" w:rsidRPr="00D67453" w:rsidRDefault="00256AED" w:rsidP="00256AED">
            <w:pPr>
              <w:pStyle w:val="Sinespaciado"/>
              <w:rPr>
                <w:rFonts w:cs="Arial"/>
                <w:sz w:val="21"/>
                <w:szCs w:val="21"/>
                <w:lang w:val="es-CO"/>
              </w:rPr>
            </w:pPr>
          </w:p>
          <w:p w14:paraId="1837FAF2" w14:textId="7150C3F9" w:rsidR="007343AC" w:rsidRPr="00D67453" w:rsidRDefault="00256AED" w:rsidP="00256AED">
            <w:pPr>
              <w:widowControl w:val="0"/>
              <w:autoSpaceDE w:val="0"/>
              <w:autoSpaceDN w:val="0"/>
              <w:jc w:val="both"/>
              <w:rPr>
                <w:rFonts w:ascii="Arial" w:eastAsia="Verdana" w:hAnsi="Arial" w:cs="Arial"/>
                <w:sz w:val="21"/>
                <w:szCs w:val="21"/>
                <w:lang w:val="es-ES"/>
              </w:rPr>
            </w:pPr>
            <w:r w:rsidRPr="00D67453">
              <w:rPr>
                <w:rFonts w:ascii="Arial" w:hAnsi="Arial" w:cs="Arial"/>
                <w:sz w:val="21"/>
                <w:szCs w:val="21"/>
                <w:lang w:val="es-CO"/>
              </w:rPr>
              <w:t>Gestión estratégica para asegurar la disponibilidad, oportunidad y eficiencia en la dispensación de medicamentos necesarios para el tratamiento del TEA y condiciones de salud asociadas al Trastorno del Neurodesarrollo y similares.</w:t>
            </w:r>
          </w:p>
          <w:p w14:paraId="36A2C605"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214D43CB" w14:textId="77777777" w:rsidR="00E629C6" w:rsidRPr="00E629C6" w:rsidRDefault="00E629C6" w:rsidP="00E629C6">
            <w:pPr>
              <w:jc w:val="both"/>
              <w:rPr>
                <w:rFonts w:ascii="Arial" w:hAnsi="Arial" w:cs="Arial"/>
                <w:sz w:val="21"/>
                <w:szCs w:val="21"/>
                <w:lang w:eastAsia="es-CO"/>
              </w:rPr>
            </w:pPr>
            <w:r w:rsidRPr="00E629C6">
              <w:rPr>
                <w:rFonts w:ascii="Arial" w:hAnsi="Arial" w:cs="Arial"/>
                <w:b/>
                <w:bCs/>
                <w:sz w:val="21"/>
                <w:szCs w:val="21"/>
                <w:lang w:eastAsia="es-CO"/>
              </w:rPr>
              <w:t xml:space="preserve">Artículo 8°. Estandarización de criterios y lenguaje técnico. </w:t>
            </w:r>
            <w:r w:rsidRPr="00E629C6">
              <w:rPr>
                <w:rFonts w:ascii="Arial" w:hAnsi="Arial" w:cs="Arial"/>
                <w:sz w:val="21"/>
                <w:szCs w:val="21"/>
                <w:lang w:eastAsia="es-CO"/>
              </w:rPr>
              <w:t xml:space="preserve">El Ministerio de Salud y Protección Social, en un término no mayor a doce (12) meses a partir de la entrada de la vigencia de la presente ley, expedirá el Manual Único de Atención </w:t>
            </w:r>
            <w:proofErr w:type="gramStart"/>
            <w:r w:rsidRPr="00E629C6">
              <w:rPr>
                <w:rFonts w:ascii="Arial" w:hAnsi="Arial" w:cs="Arial"/>
                <w:sz w:val="21"/>
                <w:szCs w:val="21"/>
                <w:lang w:eastAsia="es-CO"/>
              </w:rPr>
              <w:t>para Personas</w:t>
            </w:r>
            <w:proofErr w:type="gramEnd"/>
            <w:r w:rsidRPr="00E629C6">
              <w:rPr>
                <w:rFonts w:ascii="Arial" w:hAnsi="Arial" w:cs="Arial"/>
                <w:sz w:val="21"/>
                <w:szCs w:val="21"/>
                <w:lang w:eastAsia="es-CO"/>
              </w:rPr>
              <w:t xml:space="preserve"> diagnosticadas o con sospecha Trastorno del Espectro Autista (TEA), Trastornos del Neurodesarrollo. Dicho manual tendrá como objeto la unificación de los conceptos definidos en el artículo 3° de esta ley y la estandarización del lenguaje técnico-clínico. Para su cumplimiento, el Ministerio expedirá las directrices y circulares necesarias que garanticen la adopción de criterios uniformes en el diagnóstico, tratamiento y activación de rutas de atención integral por parte de todos los actores del Sistema General de Seguridad Social en Salud (SGSSS).</w:t>
            </w:r>
          </w:p>
          <w:p w14:paraId="3D8EE34F"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2DB3316E" w14:textId="6ED0C343"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Artículo 9°. Detección temprana.</w:t>
            </w:r>
            <w:r w:rsidRPr="007343AC">
              <w:rPr>
                <w:rFonts w:ascii="Arial" w:eastAsia="Verdana" w:hAnsi="Arial" w:cs="Arial"/>
                <w:b/>
                <w:i/>
                <w:sz w:val="21"/>
                <w:szCs w:val="21"/>
                <w:lang w:val="es-ES"/>
              </w:rPr>
              <w:t xml:space="preserve"> </w:t>
            </w:r>
            <w:r w:rsidRPr="007343AC">
              <w:rPr>
                <w:rFonts w:ascii="Arial" w:eastAsia="Verdana" w:hAnsi="Arial" w:cs="Arial"/>
                <w:sz w:val="21"/>
                <w:szCs w:val="21"/>
                <w:lang w:val="es-ES"/>
              </w:rPr>
              <w:t>Se propenderá por la detección y atención temprana del Trastorno del Espectro Autista (T E A), así como de otras condiciones asociadas, mediante la remisión de profesionales capacitados al encontrar características conductuales en las evaluaciones periódicas pediátricas.</w:t>
            </w:r>
          </w:p>
          <w:p w14:paraId="4E7C19BC"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00CFB76C" w14:textId="77777777" w:rsidR="00857AB4" w:rsidRPr="00857AB4" w:rsidRDefault="00857AB4" w:rsidP="00857AB4">
            <w:pPr>
              <w:jc w:val="both"/>
              <w:rPr>
                <w:rFonts w:ascii="Arial" w:hAnsi="Arial" w:cs="Arial"/>
                <w:sz w:val="21"/>
                <w:szCs w:val="21"/>
                <w:lang w:eastAsia="es-CO"/>
              </w:rPr>
            </w:pPr>
            <w:r w:rsidRPr="00857AB4">
              <w:rPr>
                <w:rFonts w:ascii="Arial" w:hAnsi="Arial" w:cs="Arial"/>
                <w:b/>
                <w:bCs/>
                <w:sz w:val="21"/>
                <w:szCs w:val="21"/>
                <w:lang w:eastAsia="es-CO"/>
              </w:rPr>
              <w:t xml:space="preserve">Artículo 10 Ruta de Atención en Salud. </w:t>
            </w:r>
            <w:r w:rsidRPr="00857AB4">
              <w:rPr>
                <w:rFonts w:ascii="Arial" w:hAnsi="Arial" w:cs="Arial"/>
                <w:sz w:val="21"/>
                <w:szCs w:val="21"/>
                <w:lang w:eastAsia="es-CO"/>
              </w:rPr>
              <w:t>El Gobierno Nacional, en cabeza del Ministerio de Salud y Protección Social, establecerá y coordinará una Ruta de Atención Médica clara y pública con el fin de que las personas que estén en el Trastorno del Espectro Autista o presentan otros trastornos del neurodesarrollo que se encuentren o no protegidos normativamente y sus familiares puedan conocer y acceder a las condiciones médicas mínimas que requieren para su vida en sociedad.</w:t>
            </w:r>
          </w:p>
          <w:p w14:paraId="3BBC6295" w14:textId="77777777" w:rsidR="00857AB4" w:rsidRPr="00857AB4" w:rsidRDefault="00857AB4" w:rsidP="00857AB4">
            <w:pPr>
              <w:jc w:val="both"/>
              <w:rPr>
                <w:rFonts w:ascii="Arial" w:hAnsi="Arial" w:cs="Arial"/>
                <w:sz w:val="21"/>
                <w:szCs w:val="21"/>
                <w:lang w:eastAsia="es-CO"/>
              </w:rPr>
            </w:pPr>
          </w:p>
          <w:p w14:paraId="451EB862" w14:textId="77777777" w:rsidR="00857AB4" w:rsidRPr="00857AB4" w:rsidRDefault="00857AB4" w:rsidP="00857AB4">
            <w:pPr>
              <w:jc w:val="both"/>
              <w:rPr>
                <w:rFonts w:ascii="Arial" w:hAnsi="Arial" w:cs="Arial"/>
                <w:sz w:val="21"/>
                <w:szCs w:val="21"/>
                <w:lang w:eastAsia="es-CO"/>
              </w:rPr>
            </w:pPr>
            <w:r w:rsidRPr="00857AB4">
              <w:rPr>
                <w:rFonts w:ascii="Arial" w:hAnsi="Arial" w:cs="Arial"/>
                <w:b/>
                <w:bCs/>
                <w:sz w:val="21"/>
                <w:szCs w:val="21"/>
                <w:lang w:eastAsia="es-CO"/>
              </w:rPr>
              <w:t xml:space="preserve">Parágrafo 1°. </w:t>
            </w:r>
            <w:r w:rsidRPr="00857AB4">
              <w:rPr>
                <w:rFonts w:ascii="Arial" w:hAnsi="Arial" w:cs="Arial"/>
                <w:sz w:val="21"/>
                <w:szCs w:val="21"/>
                <w:lang w:eastAsia="es-CO"/>
              </w:rPr>
              <w:t>En la construcción de la Ruta de Atención Médica, se garantizará la participación de los pacientes, sus familias y en general organizaciones de la sociedad civil. </w:t>
            </w:r>
          </w:p>
          <w:p w14:paraId="7B4F9083" w14:textId="77777777" w:rsidR="00857AB4" w:rsidRPr="00D67453" w:rsidRDefault="00857AB4" w:rsidP="00857AB4">
            <w:pPr>
              <w:jc w:val="both"/>
              <w:rPr>
                <w:rFonts w:ascii="Arial" w:hAnsi="Arial" w:cs="Arial"/>
                <w:b/>
                <w:bCs/>
                <w:sz w:val="21"/>
                <w:szCs w:val="21"/>
                <w:lang w:eastAsia="es-CO"/>
              </w:rPr>
            </w:pPr>
          </w:p>
          <w:p w14:paraId="46946D21" w14:textId="41D74A70" w:rsidR="00857AB4" w:rsidRPr="00857AB4" w:rsidRDefault="00857AB4" w:rsidP="00857AB4">
            <w:pPr>
              <w:jc w:val="both"/>
              <w:rPr>
                <w:rFonts w:ascii="Arial" w:hAnsi="Arial" w:cs="Arial"/>
                <w:sz w:val="21"/>
                <w:szCs w:val="21"/>
                <w:lang w:eastAsia="es-CO"/>
              </w:rPr>
            </w:pPr>
            <w:r w:rsidRPr="00857AB4">
              <w:rPr>
                <w:rFonts w:ascii="Arial" w:hAnsi="Arial" w:cs="Arial"/>
                <w:b/>
                <w:bCs/>
                <w:sz w:val="21"/>
                <w:szCs w:val="21"/>
                <w:lang w:eastAsia="es-CO"/>
              </w:rPr>
              <w:t>Parágrafo 2°.</w:t>
            </w:r>
            <w:r w:rsidRPr="00857AB4">
              <w:rPr>
                <w:rFonts w:ascii="Arial" w:hAnsi="Arial" w:cs="Arial"/>
                <w:sz w:val="21"/>
                <w:szCs w:val="21"/>
                <w:lang w:eastAsia="es-CO"/>
              </w:rPr>
              <w:t xml:space="preserve"> El Ministerio de Salud y Protección Social deberá establecer la Ruta dentro del término de un (1) año, contado a partir de la vigencia de esta ley, sin perjuicio de mantener su competencia para el efecto pasado este tiempo, para lo cual deberá establecer un mecanismo de </w:t>
            </w:r>
            <w:r w:rsidRPr="00857AB4">
              <w:rPr>
                <w:rFonts w:ascii="Arial" w:hAnsi="Arial" w:cs="Arial"/>
                <w:sz w:val="21"/>
                <w:szCs w:val="21"/>
                <w:lang w:eastAsia="es-CO"/>
              </w:rPr>
              <w:lastRenderedPageBreak/>
              <w:t>seguimiento y monitoreo, y deberá garantizar el acceso oportuno a tratamientos y medicamentos de acuerdo a la orden médica y respetando el grado mejor de adherencia a los mismos; así como contar con estrategias de cubrimiento de la demanda en caso de desabastecimiento para lo cual podrá coordinar con entes de cooperación internacional como con los productores de los medicamentos.</w:t>
            </w:r>
          </w:p>
          <w:p w14:paraId="73A82C0F"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15AF2912"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Artículo 11°. Capacitación Ministerio de Salud. </w:t>
            </w:r>
            <w:r w:rsidRPr="007343AC">
              <w:rPr>
                <w:rFonts w:ascii="Arial" w:eastAsia="Verdana" w:hAnsi="Arial" w:cs="Arial"/>
                <w:sz w:val="21"/>
                <w:szCs w:val="21"/>
                <w:lang w:val="es-ES"/>
              </w:rPr>
              <w:t>El Ministerio de Salud y Protección Social establecerá un programa nacional de capacitación y sensibilización para el trato adecuado en materia de salud de las personas que estén en el Trastorno del Espectro Autista o presentan otros trastornos del neurodesarrollo que se encuentren o no protegidos normativamente. Para ello deberá reglamentar la materia, en un término no superior a un año, sin perjuicio de mantener su competencia pasado dicho lapso de tiempo.</w:t>
            </w:r>
          </w:p>
          <w:p w14:paraId="7BC7677C"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2BD9F8FC"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sz w:val="21"/>
                <w:szCs w:val="21"/>
                <w:lang w:val="es-ES"/>
              </w:rPr>
              <w:t>Parágrafo. Los profesionales de atención primaria, que no tengan vocación o formación en temas de salud mental, pero que puedan tener relación directa con personas con T.E.A. y sus cuidadores y familiares, deberán realizar esta capacitación, lo cual deberá constar en el Registro Único Nacional del Talento Humano en Salud (RETHUS).</w:t>
            </w:r>
          </w:p>
          <w:p w14:paraId="6431959D"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5D459F78"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Artículo 12°. Ruta educativa. </w:t>
            </w:r>
            <w:r w:rsidRPr="007343AC">
              <w:rPr>
                <w:rFonts w:ascii="Arial" w:eastAsia="Verdana" w:hAnsi="Arial" w:cs="Arial"/>
                <w:sz w:val="21"/>
                <w:szCs w:val="21"/>
                <w:lang w:val="es-ES"/>
              </w:rPr>
              <w:t>El Ministerio de Educación Nacional, en coordinación con las Secretarías de Educación de los departamentos, distritos y municipios, establecerá y coordinará una ruta de educación inclusiva clara y pública con el fin que las personas que estén en el Trastorno del Espectro Autista o presentan otros trastornos del neurodesarrollo que se encuentren o no protegidos normativamente y sus familiares, puedan conocer y acceder a las condiciones escolares mínimas que requieren para su vida en sociedad.</w:t>
            </w:r>
          </w:p>
          <w:p w14:paraId="5303ACF6"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4F0F488F"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Parágrafo.</w:t>
            </w:r>
            <w:r w:rsidRPr="007343AC">
              <w:rPr>
                <w:rFonts w:ascii="Arial" w:eastAsia="Verdana" w:hAnsi="Arial" w:cs="Arial"/>
                <w:sz w:val="21"/>
                <w:szCs w:val="21"/>
                <w:lang w:val="es-ES"/>
              </w:rPr>
              <w:t xml:space="preserve"> Adicionalmente, dicha ruta educativa contará con la diferenciación y especialización de los docentes, de acuerdo con el nivel de apoyo, para lo cual el Ministerio de Educación Nacional reglamentará la materia.</w:t>
            </w:r>
          </w:p>
          <w:p w14:paraId="185F8512"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7496E5DA" w14:textId="77777777" w:rsidR="00857AB4" w:rsidRPr="00857AB4" w:rsidRDefault="00857AB4" w:rsidP="00857AB4">
            <w:pPr>
              <w:jc w:val="both"/>
              <w:rPr>
                <w:rFonts w:ascii="Arial" w:hAnsi="Arial" w:cs="Arial"/>
                <w:sz w:val="21"/>
                <w:szCs w:val="21"/>
                <w:lang w:eastAsia="es-CO"/>
              </w:rPr>
            </w:pPr>
            <w:r w:rsidRPr="00857AB4">
              <w:rPr>
                <w:rFonts w:ascii="Arial" w:hAnsi="Arial" w:cs="Arial"/>
                <w:b/>
                <w:bCs/>
                <w:sz w:val="21"/>
                <w:szCs w:val="21"/>
                <w:lang w:eastAsia="es-CO"/>
              </w:rPr>
              <w:t>Artículo 13 Educación inclusiva.</w:t>
            </w:r>
            <w:r w:rsidRPr="00857AB4">
              <w:rPr>
                <w:rFonts w:ascii="Arial" w:hAnsi="Arial" w:cs="Arial"/>
                <w:sz w:val="21"/>
                <w:szCs w:val="21"/>
                <w:lang w:eastAsia="es-CO"/>
              </w:rPr>
              <w:t xml:space="preserve"> El Ministerio de Educación deberá garantizar que las secretarías de educación departamentales, distritales y municipales, definan un mínimo de cupos escolares, tanto oficiales como no oficiales, las condiciones de atención educativa eficientes y eficaces, para personas que estén en el Trastorno del Espectro Autista o presentan otros trastornos del neurodesarrollo que se encuentren o no protegidos normativamente, teniendo en cuenta los datos suministrados por el Departamento Administrativo Nacional de Estadística (DANE), el Ministerio de Salud y Protección Social y las Empresas Promotoras de Salud (EPS). </w:t>
            </w:r>
          </w:p>
          <w:p w14:paraId="5BFCCF5C" w14:textId="77777777" w:rsidR="00857AB4" w:rsidRPr="00857AB4" w:rsidRDefault="00857AB4" w:rsidP="00857AB4">
            <w:pPr>
              <w:jc w:val="both"/>
              <w:rPr>
                <w:rFonts w:ascii="Arial" w:hAnsi="Arial" w:cs="Arial"/>
                <w:b/>
                <w:bCs/>
                <w:sz w:val="21"/>
                <w:szCs w:val="21"/>
                <w:lang w:eastAsia="es-CO"/>
              </w:rPr>
            </w:pPr>
          </w:p>
          <w:p w14:paraId="0CABDD4F" w14:textId="77777777" w:rsidR="00857AB4" w:rsidRPr="00857AB4" w:rsidRDefault="00857AB4" w:rsidP="00857AB4">
            <w:pPr>
              <w:jc w:val="both"/>
              <w:rPr>
                <w:rFonts w:ascii="Arial" w:hAnsi="Arial" w:cs="Arial"/>
                <w:sz w:val="21"/>
                <w:szCs w:val="21"/>
                <w:lang w:eastAsia="es-CO"/>
              </w:rPr>
            </w:pPr>
            <w:r w:rsidRPr="00857AB4">
              <w:rPr>
                <w:rFonts w:ascii="Arial" w:hAnsi="Arial" w:cs="Arial"/>
                <w:b/>
                <w:bCs/>
                <w:sz w:val="21"/>
                <w:szCs w:val="21"/>
                <w:lang w:eastAsia="es-CO"/>
              </w:rPr>
              <w:t>Parágrafo 1°.</w:t>
            </w:r>
            <w:r w:rsidRPr="00857AB4">
              <w:rPr>
                <w:rFonts w:ascii="Arial" w:hAnsi="Arial" w:cs="Arial"/>
                <w:sz w:val="21"/>
                <w:szCs w:val="21"/>
                <w:lang w:eastAsia="es-CO"/>
              </w:rPr>
              <w:t xml:space="preserve"> Las entidades territoriales definirán los cupos de conformidad con la Resolución 1515 del 3 de julio de 2003, o la que la modifique o sustituya, expedida por el Ministerio de Educación Nacional. Para lo cual el ministerio de educación reglamentará la materia. </w:t>
            </w:r>
          </w:p>
          <w:p w14:paraId="3855CDDB" w14:textId="77777777" w:rsidR="00857AB4" w:rsidRPr="00857AB4" w:rsidRDefault="00857AB4" w:rsidP="00857AB4">
            <w:pPr>
              <w:jc w:val="both"/>
              <w:rPr>
                <w:rFonts w:ascii="Arial" w:hAnsi="Arial" w:cs="Arial"/>
                <w:b/>
                <w:bCs/>
                <w:sz w:val="21"/>
                <w:szCs w:val="21"/>
                <w:lang w:eastAsia="es-CO"/>
              </w:rPr>
            </w:pPr>
          </w:p>
          <w:p w14:paraId="4EC72033" w14:textId="77777777" w:rsidR="00857AB4" w:rsidRPr="00857AB4" w:rsidRDefault="00857AB4" w:rsidP="00857AB4">
            <w:pPr>
              <w:jc w:val="both"/>
              <w:rPr>
                <w:rFonts w:ascii="Arial" w:hAnsi="Arial" w:cs="Arial"/>
                <w:sz w:val="21"/>
                <w:szCs w:val="21"/>
                <w:lang w:eastAsia="es-CO"/>
              </w:rPr>
            </w:pPr>
            <w:r w:rsidRPr="00857AB4">
              <w:rPr>
                <w:rFonts w:ascii="Arial" w:hAnsi="Arial" w:cs="Arial"/>
                <w:b/>
                <w:bCs/>
                <w:sz w:val="21"/>
                <w:szCs w:val="21"/>
                <w:lang w:eastAsia="es-CO"/>
              </w:rPr>
              <w:t>Parágrafo 2°.</w:t>
            </w:r>
            <w:r w:rsidRPr="00857AB4">
              <w:rPr>
                <w:rFonts w:ascii="Arial" w:hAnsi="Arial" w:cs="Arial"/>
                <w:sz w:val="21"/>
                <w:szCs w:val="21"/>
                <w:lang w:eastAsia="es-CO"/>
              </w:rPr>
              <w:t xml:space="preserve"> La aplicación del presente artículo no solo se encuentra determinada </w:t>
            </w:r>
            <w:proofErr w:type="gramStart"/>
            <w:r w:rsidRPr="00857AB4">
              <w:rPr>
                <w:rFonts w:ascii="Arial" w:hAnsi="Arial" w:cs="Arial"/>
                <w:sz w:val="21"/>
                <w:szCs w:val="21"/>
                <w:lang w:eastAsia="es-CO"/>
              </w:rPr>
              <w:t>a</w:t>
            </w:r>
            <w:proofErr w:type="gramEnd"/>
            <w:r w:rsidRPr="00857AB4">
              <w:rPr>
                <w:rFonts w:ascii="Arial" w:hAnsi="Arial" w:cs="Arial"/>
                <w:sz w:val="21"/>
                <w:szCs w:val="21"/>
                <w:lang w:eastAsia="es-CO"/>
              </w:rPr>
              <w:t xml:space="preserve"> admitir al estudiante, sino en propender por condiciones de prestación escolar adecuadas de acuerdo con las capacidades y limitaciones presupuestales de los entes territoriales. Estas incluyen, entre otras, las medidas necesarias para que la matrícula, la permanencia y el aprendizaje se desarrollen en condiciones de dignidad, inclusión, seguridad y respeto por la diversidad.</w:t>
            </w:r>
          </w:p>
          <w:p w14:paraId="482B35F8" w14:textId="77777777" w:rsidR="00857AB4" w:rsidRPr="00857AB4" w:rsidRDefault="00857AB4" w:rsidP="00857AB4">
            <w:pPr>
              <w:jc w:val="both"/>
              <w:rPr>
                <w:rFonts w:ascii="Arial" w:hAnsi="Arial" w:cs="Arial"/>
                <w:b/>
                <w:bCs/>
                <w:sz w:val="21"/>
                <w:szCs w:val="21"/>
                <w:lang w:eastAsia="es-CO"/>
              </w:rPr>
            </w:pPr>
          </w:p>
          <w:p w14:paraId="3CC24515" w14:textId="77777777" w:rsidR="00857AB4" w:rsidRPr="00857AB4" w:rsidRDefault="00857AB4" w:rsidP="00857AB4">
            <w:pPr>
              <w:jc w:val="both"/>
              <w:rPr>
                <w:rFonts w:ascii="Arial" w:hAnsi="Arial" w:cs="Arial"/>
                <w:sz w:val="21"/>
                <w:szCs w:val="21"/>
                <w:lang w:eastAsia="es-CO"/>
              </w:rPr>
            </w:pPr>
            <w:r w:rsidRPr="00857AB4">
              <w:rPr>
                <w:rFonts w:ascii="Arial" w:hAnsi="Arial" w:cs="Arial"/>
                <w:b/>
                <w:bCs/>
                <w:sz w:val="21"/>
                <w:szCs w:val="21"/>
                <w:lang w:eastAsia="es-CO"/>
              </w:rPr>
              <w:t>Parágrafo 3°.</w:t>
            </w:r>
            <w:r w:rsidRPr="00857AB4">
              <w:rPr>
                <w:rFonts w:ascii="Arial" w:hAnsi="Arial" w:cs="Arial"/>
                <w:sz w:val="21"/>
                <w:szCs w:val="21"/>
                <w:lang w:eastAsia="es-CO"/>
              </w:rPr>
              <w:t xml:space="preserve"> Dentro de la prestación efectiva del sistema educativo se debe propender porque los espacios, donde los estudiantes con condiciones de hipersensibilidad realicen actividades de esparcimiento, cuenten con la debida seguridad.</w:t>
            </w:r>
          </w:p>
          <w:p w14:paraId="03E1163E" w14:textId="77777777" w:rsidR="00857AB4" w:rsidRPr="00857AB4" w:rsidRDefault="00857AB4" w:rsidP="00857AB4">
            <w:pPr>
              <w:jc w:val="both"/>
              <w:rPr>
                <w:rFonts w:ascii="Arial" w:hAnsi="Arial" w:cs="Arial"/>
                <w:sz w:val="21"/>
                <w:szCs w:val="21"/>
                <w:lang w:eastAsia="es-CO"/>
              </w:rPr>
            </w:pPr>
          </w:p>
          <w:p w14:paraId="51A78523" w14:textId="6D1EF34E" w:rsidR="007343AC" w:rsidRPr="007343AC" w:rsidRDefault="00857AB4" w:rsidP="00857AB4">
            <w:pPr>
              <w:widowControl w:val="0"/>
              <w:autoSpaceDE w:val="0"/>
              <w:autoSpaceDN w:val="0"/>
              <w:jc w:val="both"/>
              <w:rPr>
                <w:rFonts w:ascii="Arial" w:eastAsia="Verdana" w:hAnsi="Arial" w:cs="Arial"/>
                <w:sz w:val="21"/>
                <w:szCs w:val="21"/>
                <w:lang w:val="es-ES"/>
              </w:rPr>
            </w:pPr>
            <w:r w:rsidRPr="00857AB4">
              <w:rPr>
                <w:rFonts w:ascii="Arial" w:hAnsi="Arial" w:cs="Arial"/>
                <w:b/>
                <w:bCs/>
                <w:sz w:val="21"/>
                <w:szCs w:val="21"/>
                <w:lang w:val="es-CO" w:eastAsia="es-CO"/>
              </w:rPr>
              <w:t xml:space="preserve">Parágrafo 4°. </w:t>
            </w:r>
            <w:r w:rsidRPr="00857AB4">
              <w:rPr>
                <w:rFonts w:ascii="Arial" w:hAnsi="Arial" w:cs="Arial"/>
                <w:sz w:val="21"/>
                <w:szCs w:val="21"/>
                <w:lang w:val="es-CO" w:eastAsia="es-CO"/>
              </w:rPr>
              <w:t xml:space="preserve">Las instituciones educativas deberán contar con protocolos de prevención y atención de violencias, acoso escolar, discriminación y crisis asociadas a sobrecarga sensorial o emocional, desde un enfoque de respeto, cuidado, desescalamiento, comunicación accesible y no </w:t>
            </w:r>
            <w:r w:rsidRPr="00857AB4">
              <w:rPr>
                <w:rFonts w:ascii="Arial" w:hAnsi="Arial" w:cs="Arial"/>
                <w:sz w:val="21"/>
                <w:szCs w:val="21"/>
                <w:lang w:val="es-CO" w:eastAsia="es-CO"/>
              </w:rPr>
              <w:lastRenderedPageBreak/>
              <w:t>revictimización.</w:t>
            </w:r>
          </w:p>
          <w:p w14:paraId="22AB710C"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261CB154"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Artículo 14°. Formación Docente.</w:t>
            </w:r>
            <w:r w:rsidRPr="007343AC">
              <w:rPr>
                <w:rFonts w:ascii="Arial" w:eastAsia="Verdana" w:hAnsi="Arial" w:cs="Arial"/>
                <w:sz w:val="21"/>
                <w:szCs w:val="21"/>
                <w:lang w:val="es-ES"/>
              </w:rPr>
              <w:t xml:space="preserve"> El Ministerio de Educación Nacional establecerá un programa nacional de formación y concientización para el trato adecuado en materia educativa para las personas que estén en el Trastorno del Espectro Autista o presentan otros trastornos del neurodesarrollo que se encuentren o no protegidos normativamente, dirigido al cuerpo docente que se determine en las instituciones educativas públicas y privadas de todos los niveles educativos. El Ministerio reglamentará sobre la materia.</w:t>
            </w:r>
          </w:p>
          <w:p w14:paraId="35CBA06F"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5FD68FA6"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Artículo 15°. Consolidación de información escolar</w:t>
            </w:r>
            <w:r w:rsidRPr="007343AC">
              <w:rPr>
                <w:rFonts w:ascii="Arial" w:eastAsia="Verdana" w:hAnsi="Arial" w:cs="Arial"/>
                <w:sz w:val="21"/>
                <w:szCs w:val="21"/>
                <w:lang w:val="es-ES"/>
              </w:rPr>
              <w:t>. En adelante, el Sistema de Gestión de la Matrícula Estudiantil de los estudiantes oficiales, deberá incluir un módulo en su plataforma que permita consolidar la información de las personas que estén en el Trastorno del Espectro Autista o presentan otros trastornos del neurodesarrollo que se encuentren o no protegidos normativamente, para lo cual el Ministerio de Educación Nacional o quien hagas sus veces reglamentará sobre la materia.</w:t>
            </w:r>
          </w:p>
          <w:p w14:paraId="4551BE87"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6C07181B"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r w:rsidRPr="007343AC">
              <w:rPr>
                <w:rFonts w:ascii="Arial" w:eastAsia="Verdana" w:hAnsi="Arial" w:cs="Arial"/>
                <w:b/>
                <w:sz w:val="21"/>
                <w:szCs w:val="21"/>
                <w:lang w:val="es-ES"/>
              </w:rPr>
              <w:t xml:space="preserve">Parágrafo. </w:t>
            </w:r>
            <w:r w:rsidRPr="007343AC">
              <w:rPr>
                <w:rFonts w:ascii="Arial" w:eastAsia="Verdana" w:hAnsi="Arial" w:cs="Arial"/>
                <w:sz w:val="21"/>
                <w:szCs w:val="21"/>
                <w:lang w:val="es-ES"/>
              </w:rPr>
              <w:t>El Trastorno del Espectro Autista, con trastorno del neurodesarrollo y en condiciones similares, no deberá entenderse en el registro como un trastorno psicosocial, sino como condición en los términos de esta ley.</w:t>
            </w:r>
          </w:p>
          <w:p w14:paraId="6734C68E"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6EB23470"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Artículo 16°. Apoyo familiar. </w:t>
            </w:r>
            <w:r w:rsidRPr="007343AC">
              <w:rPr>
                <w:rFonts w:ascii="Arial" w:eastAsia="Verdana" w:hAnsi="Arial" w:cs="Arial"/>
                <w:sz w:val="21"/>
                <w:szCs w:val="21"/>
                <w:lang w:val="es-ES"/>
              </w:rPr>
              <w:t>Los miembros del núcleo familiar de una persona diagnosticada en el Trastorno del Espectro Autista o presentan otros trastornos del neurodesarrollo que se encuentren o no protegidos normativamente, con su debido Certificado Único de Trastorno del Neurodesarrollo, podrá hacer uso de la flexibilidad laboral que trata el Artículo 7° de la Ley 2297 de 2023, que permitan el acompañamiento de a su respectivo familiar.</w:t>
            </w:r>
          </w:p>
          <w:p w14:paraId="45929A62"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24397872"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Artículo 17°. Campañas de comunicación. </w:t>
            </w:r>
            <w:r w:rsidRPr="007343AC">
              <w:rPr>
                <w:rFonts w:ascii="Arial" w:eastAsia="Verdana" w:hAnsi="Arial" w:cs="Arial"/>
                <w:sz w:val="21"/>
                <w:szCs w:val="21"/>
                <w:lang w:val="es-ES"/>
              </w:rPr>
              <w:t>El Ministerio de Tecnologías de la Información y Comunicaciones deberá articular con el Ministerio de Salud y Protección Social y el Ministerio de Educación Nacional, una campaña de comunicación nacional que concientice sobre la convivencia de las personas que estén en el Trastorno del Espectro Autista o presentan otros trastornos del neurodesarrollo que se encuentren o no protegidos normativamente, con el objetivo de facilitar su convivencia en comunidad.</w:t>
            </w:r>
          </w:p>
          <w:p w14:paraId="4BCE74E5"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4A6759F8"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sz w:val="21"/>
                <w:szCs w:val="21"/>
                <w:lang w:val="es-ES"/>
              </w:rPr>
              <w:t>Igualmente, en compañía del Ministerio de Educación Nacional, establecerá una campaña de comunicación y concienciación para que los estudiantes con condición de Trastorno del Espectro Autista con trastorno del neurodesarrollo y en condiciones similares, disfruten de espacios escolares seguros y dignos.</w:t>
            </w:r>
          </w:p>
          <w:p w14:paraId="79F364B1"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096AE632"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Artículo 18°. Apoyo a los cuidadores. </w:t>
            </w:r>
            <w:r w:rsidRPr="007343AC">
              <w:rPr>
                <w:rFonts w:ascii="Arial" w:eastAsia="Verdana" w:hAnsi="Arial" w:cs="Arial"/>
                <w:sz w:val="21"/>
                <w:szCs w:val="21"/>
                <w:lang w:val="es-ES"/>
              </w:rPr>
              <w:t>Se propenderá por la creación y fortalecimiento de organizaciones con cuidadores de personas que estén en el Trastorno del Espectro Autista o presentan otros trastornos del neurodesarrollo que se encuentren o no protegidos normativamente, que trabajen en beneficio de la autonomía y defensa de esta población, con el apoyo de los comités departamentales y distritales y municipales de Discapacidad, para promover acciones de apoyo, sensibilización, información de rutas de atención psico social y jurídica y capacitación a los cuidadores y población civil interesada.</w:t>
            </w:r>
          </w:p>
          <w:p w14:paraId="650DC46F"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5C35BFF9"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sz w:val="21"/>
                <w:szCs w:val="21"/>
                <w:lang w:val="es-ES"/>
              </w:rPr>
              <w:t>Así mismo, realizar campañas con el fin de dar a conocer a la sociedad en general de qué se tratan los Trastorno del Espectro Autista, con trastorno del neurodesarrollo y en condiciones similares mediante la implementación de acciones que promuevan la tolerancia y el respeto por la diferencia.</w:t>
            </w:r>
          </w:p>
          <w:p w14:paraId="151291A5"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775E9733"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Artículo 19°. Medidas de inserción laboral. </w:t>
            </w:r>
            <w:r w:rsidRPr="007343AC">
              <w:rPr>
                <w:rFonts w:ascii="Arial" w:eastAsia="Verdana" w:hAnsi="Arial" w:cs="Arial"/>
                <w:sz w:val="21"/>
                <w:szCs w:val="21"/>
                <w:lang w:val="es-ES"/>
              </w:rPr>
              <w:t xml:space="preserve">El Ministerio de Trabajo, en integración con el Servicio Nacional de Aprendizaje (SENA), promoverán una oferta específica de acceso laboral para las personas que estén en el Trastorno del Espectro Autista o presentan otros trastornos del neurodesarrollo que se encuentren o no protegidos normativamente, donde podrán integrarse al </w:t>
            </w:r>
            <w:r w:rsidRPr="007343AC">
              <w:rPr>
                <w:rFonts w:ascii="Arial" w:eastAsia="Verdana" w:hAnsi="Arial" w:cs="Arial"/>
                <w:sz w:val="21"/>
                <w:szCs w:val="21"/>
                <w:lang w:val="es-ES"/>
              </w:rPr>
              <w:lastRenderedPageBreak/>
              <w:t>sector público y privado.</w:t>
            </w:r>
          </w:p>
          <w:p w14:paraId="02DB89D9"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3B44094C"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Parágrafo. </w:t>
            </w:r>
            <w:r w:rsidRPr="007343AC">
              <w:rPr>
                <w:rFonts w:ascii="Arial" w:eastAsia="Verdana" w:hAnsi="Arial" w:cs="Arial"/>
                <w:sz w:val="21"/>
                <w:szCs w:val="21"/>
                <w:lang w:val="es-ES"/>
              </w:rPr>
              <w:t>Tanto el Ministerio de Trabajo, como el Sistema de Compras Nacionales, diseñarán una estrategia de estímulos de contratación y permanencia en todos los niveles laborales y contractuales para las personas que estén en el Trastorno del Espectro Autista o presentan otros trastornos del neurodesarrollo que se encuentren o no protegidos normativamente, con el objetivo de facilitar su inserción laboral.</w:t>
            </w:r>
          </w:p>
          <w:p w14:paraId="3C257CAF" w14:textId="77777777" w:rsidR="007343AC" w:rsidRPr="007343AC" w:rsidRDefault="007343AC" w:rsidP="007343AC">
            <w:pPr>
              <w:widowControl w:val="0"/>
              <w:autoSpaceDE w:val="0"/>
              <w:autoSpaceDN w:val="0"/>
              <w:jc w:val="center"/>
              <w:rPr>
                <w:rFonts w:ascii="Arial" w:eastAsia="Verdana" w:hAnsi="Arial" w:cs="Arial"/>
                <w:sz w:val="21"/>
                <w:szCs w:val="21"/>
                <w:lang w:val="es-ES"/>
              </w:rPr>
            </w:pPr>
          </w:p>
          <w:p w14:paraId="052D086A"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Artículo 20°. Apoyo al emprendimiento.</w:t>
            </w:r>
            <w:r w:rsidRPr="007343AC">
              <w:rPr>
                <w:rFonts w:ascii="Arial" w:eastAsia="Verdana" w:hAnsi="Arial" w:cs="Arial"/>
                <w:b/>
                <w:i/>
                <w:sz w:val="21"/>
                <w:szCs w:val="21"/>
                <w:lang w:val="es-ES"/>
              </w:rPr>
              <w:t xml:space="preserve"> </w:t>
            </w:r>
            <w:r w:rsidRPr="007343AC">
              <w:rPr>
                <w:rFonts w:ascii="Arial" w:eastAsia="Verdana" w:hAnsi="Arial" w:cs="Arial"/>
                <w:sz w:val="21"/>
                <w:szCs w:val="21"/>
                <w:lang w:val="es-ES"/>
              </w:rPr>
              <w:t>El Servicio Nacional de Aprendizaje (SENA), en articulación con las entidades territoriales, desarrollarán ferias empresariales donde se garantice una participación efectiva y real a la población que este en el Trastorno del Espectro Autista o presentan otros trastornos del neurodesarrollo que se encuentren o no protegidos normativamente.</w:t>
            </w:r>
          </w:p>
          <w:p w14:paraId="2BA87EE2" w14:textId="77777777" w:rsidR="007343AC" w:rsidRPr="007343AC" w:rsidRDefault="007343AC" w:rsidP="007343AC">
            <w:pPr>
              <w:widowControl w:val="0"/>
              <w:autoSpaceDE w:val="0"/>
              <w:autoSpaceDN w:val="0"/>
              <w:jc w:val="both"/>
              <w:rPr>
                <w:rFonts w:ascii="Arial" w:eastAsia="Verdana" w:hAnsi="Arial" w:cs="Arial"/>
                <w:b/>
                <w:sz w:val="21"/>
                <w:szCs w:val="21"/>
                <w:lang w:val="es-ES"/>
              </w:rPr>
            </w:pPr>
          </w:p>
          <w:p w14:paraId="7A187CAA"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Parágrafo. </w:t>
            </w:r>
            <w:r w:rsidRPr="007343AC">
              <w:rPr>
                <w:rFonts w:ascii="Arial" w:eastAsia="Verdana" w:hAnsi="Arial" w:cs="Arial"/>
                <w:sz w:val="21"/>
                <w:szCs w:val="21"/>
                <w:lang w:val="es-ES"/>
              </w:rPr>
              <w:t>Los cuidadores de personas que estén en el Trastorno del Espectro Autista o presentan otros trastornos del neurodesarrollo que se encuentren o no protegidos normativamente, recibirán apoyo para proyectos de emprendimiento por parte del Ministerio de Comercio, Industria y Turismo, en los términos del Artículo 18° de la Ley 2297 de 2023.</w:t>
            </w:r>
          </w:p>
          <w:p w14:paraId="18737A6D"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212C5408"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 xml:space="preserve">Artículo 21°. Día internacional de concienciación sobre el Trastorno del Espectro Autista. </w:t>
            </w:r>
            <w:r w:rsidRPr="007343AC">
              <w:rPr>
                <w:rFonts w:ascii="Arial" w:eastAsia="Verdana" w:hAnsi="Arial" w:cs="Arial"/>
                <w:sz w:val="21"/>
                <w:szCs w:val="21"/>
                <w:lang w:val="es-ES"/>
              </w:rPr>
              <w:t>El Ministerio de Salud y Protección Social, en coordinación con el Ministerio de Educación Nacional, realizará el 2 de abril de cada año actividades educativas, culturales, y recreativas en celebración del día de la concienciación sobre las personas que estén en el Trastorno del Espectro Autista o presentan otros trastornos del neurodesarrollo que se encuentren o no protegidos normativamente.</w:t>
            </w:r>
          </w:p>
          <w:p w14:paraId="3CA085BB" w14:textId="77777777" w:rsidR="007343AC" w:rsidRPr="007343AC" w:rsidRDefault="007343AC" w:rsidP="007343AC">
            <w:pPr>
              <w:widowControl w:val="0"/>
              <w:autoSpaceDE w:val="0"/>
              <w:autoSpaceDN w:val="0"/>
              <w:jc w:val="both"/>
              <w:rPr>
                <w:rFonts w:ascii="Arial" w:eastAsia="Verdana" w:hAnsi="Arial" w:cs="Arial"/>
                <w:sz w:val="21"/>
                <w:szCs w:val="21"/>
                <w:lang w:val="es-ES"/>
              </w:rPr>
            </w:pPr>
          </w:p>
          <w:p w14:paraId="75373411" w14:textId="77777777" w:rsidR="007343AC" w:rsidRPr="007343AC" w:rsidRDefault="007343AC" w:rsidP="007343AC">
            <w:pPr>
              <w:widowControl w:val="0"/>
              <w:autoSpaceDE w:val="0"/>
              <w:autoSpaceDN w:val="0"/>
              <w:jc w:val="both"/>
              <w:rPr>
                <w:rFonts w:ascii="Arial" w:eastAsia="Verdana" w:hAnsi="Arial" w:cs="Arial"/>
                <w:sz w:val="21"/>
                <w:szCs w:val="21"/>
                <w:lang w:val="es-ES"/>
              </w:rPr>
            </w:pPr>
            <w:r w:rsidRPr="007343AC">
              <w:rPr>
                <w:rFonts w:ascii="Arial" w:eastAsia="Verdana" w:hAnsi="Arial" w:cs="Arial"/>
                <w:b/>
                <w:sz w:val="21"/>
                <w:szCs w:val="21"/>
                <w:lang w:val="es-ES"/>
              </w:rPr>
              <w:t>Artículo 22°. Vigencia y derogatorias</w:t>
            </w:r>
            <w:r w:rsidRPr="007343AC">
              <w:rPr>
                <w:rFonts w:ascii="Arial" w:eastAsia="Verdana" w:hAnsi="Arial" w:cs="Arial"/>
                <w:sz w:val="21"/>
                <w:szCs w:val="21"/>
                <w:lang w:val="es-ES"/>
              </w:rPr>
              <w:t>. La presente ley rige a partir de su sanción y deroga las disposiciones que le sean contrarias.</w:t>
            </w:r>
          </w:p>
          <w:p w14:paraId="614D38B0" w14:textId="5749E010" w:rsidR="00901397" w:rsidRPr="00D67453" w:rsidRDefault="00901397" w:rsidP="00901397">
            <w:pPr>
              <w:pStyle w:val="Sinespaciado"/>
              <w:rPr>
                <w:sz w:val="21"/>
                <w:szCs w:val="21"/>
                <w:u w:val="single"/>
                <w:lang w:val="es-ES"/>
              </w:rPr>
            </w:pPr>
          </w:p>
        </w:tc>
      </w:tr>
      <w:tr w:rsidR="00901397" w:rsidRPr="00D67453" w14:paraId="7C928814" w14:textId="77777777" w:rsidTr="007343AC">
        <w:tc>
          <w:tcPr>
            <w:tcW w:w="9351" w:type="dxa"/>
          </w:tcPr>
          <w:p w14:paraId="5D4A0AF0" w14:textId="4825BB60" w:rsidR="00901397" w:rsidRPr="00D67453" w:rsidRDefault="00901397" w:rsidP="00901397">
            <w:pPr>
              <w:pStyle w:val="Sinespaciado"/>
              <w:rPr>
                <w:sz w:val="21"/>
                <w:szCs w:val="21"/>
                <w:lang w:val="es-MX"/>
              </w:rPr>
            </w:pPr>
          </w:p>
        </w:tc>
      </w:tr>
      <w:tr w:rsidR="00901397" w:rsidRPr="00D67453" w14:paraId="015ED8FF" w14:textId="77777777" w:rsidTr="007343AC">
        <w:tc>
          <w:tcPr>
            <w:tcW w:w="9351" w:type="dxa"/>
          </w:tcPr>
          <w:p w14:paraId="7072DB95" w14:textId="6A922B7D" w:rsidR="00901397" w:rsidRPr="00D67453" w:rsidRDefault="00901397" w:rsidP="00901397">
            <w:pPr>
              <w:pStyle w:val="Sinespaciado"/>
              <w:rPr>
                <w:sz w:val="21"/>
                <w:szCs w:val="21"/>
                <w:lang w:val="es-MX"/>
              </w:rPr>
            </w:pPr>
          </w:p>
        </w:tc>
      </w:tr>
    </w:tbl>
    <w:p w14:paraId="25E39A8D" w14:textId="77777777" w:rsidR="007343AC" w:rsidRPr="00D67453" w:rsidRDefault="007343AC" w:rsidP="00EA764E">
      <w:pPr>
        <w:spacing w:after="0" w:line="240" w:lineRule="auto"/>
        <w:jc w:val="both"/>
        <w:rPr>
          <w:rFonts w:ascii="Arial" w:hAnsi="Arial" w:cs="Arial"/>
          <w:b/>
          <w:bCs/>
          <w:sz w:val="21"/>
          <w:szCs w:val="21"/>
        </w:rPr>
      </w:pPr>
    </w:p>
    <w:p w14:paraId="004F361C" w14:textId="05ED60CB" w:rsidR="00EA764E" w:rsidRPr="00D67453" w:rsidRDefault="00D67453" w:rsidP="00EA764E">
      <w:pPr>
        <w:spacing w:after="0" w:line="240" w:lineRule="auto"/>
        <w:jc w:val="both"/>
        <w:rPr>
          <w:rFonts w:ascii="Arial" w:hAnsi="Arial" w:cs="Arial"/>
          <w:b/>
          <w:bCs/>
          <w:sz w:val="21"/>
          <w:szCs w:val="21"/>
        </w:rPr>
      </w:pPr>
      <w:r>
        <w:rPr>
          <w:rFonts w:ascii="Arial" w:hAnsi="Arial" w:cs="Arial"/>
          <w:b/>
          <w:bCs/>
          <w:sz w:val="21"/>
          <w:szCs w:val="21"/>
        </w:rPr>
        <w:t>Camilo Esteban Ávila Morales</w:t>
      </w:r>
      <w:r w:rsidR="00EA764E" w:rsidRPr="00D67453">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Pr>
          <w:rFonts w:ascii="Arial" w:hAnsi="Arial" w:cs="Arial"/>
          <w:b/>
          <w:bCs/>
          <w:sz w:val="21"/>
          <w:szCs w:val="21"/>
        </w:rPr>
        <w:tab/>
      </w:r>
      <w:r w:rsidRPr="00D67453">
        <w:rPr>
          <w:rFonts w:ascii="Arial" w:hAnsi="Arial" w:cs="Arial"/>
          <w:b/>
          <w:bCs/>
          <w:sz w:val="21"/>
          <w:szCs w:val="21"/>
        </w:rPr>
        <w:t>Betsy Judith Pérez Arango</w:t>
      </w:r>
    </w:p>
    <w:p w14:paraId="79DB91F5" w14:textId="7EA70C1B" w:rsidR="00EA764E" w:rsidRPr="00D67453" w:rsidRDefault="00D67453" w:rsidP="00EA764E">
      <w:pPr>
        <w:spacing w:after="0" w:line="240" w:lineRule="auto"/>
        <w:jc w:val="both"/>
        <w:rPr>
          <w:rFonts w:ascii="Arial" w:hAnsi="Arial" w:cs="Arial"/>
          <w:sz w:val="21"/>
          <w:szCs w:val="21"/>
        </w:rPr>
      </w:pPr>
      <w:r>
        <w:rPr>
          <w:rFonts w:ascii="Arial" w:hAnsi="Arial" w:cs="Arial"/>
          <w:sz w:val="21"/>
          <w:szCs w:val="21"/>
        </w:rPr>
        <w:t>P</w:t>
      </w:r>
      <w:r w:rsidR="005E70F3" w:rsidRPr="00D67453">
        <w:rPr>
          <w:rFonts w:ascii="Arial" w:hAnsi="Arial" w:cs="Arial"/>
          <w:sz w:val="21"/>
          <w:szCs w:val="21"/>
        </w:rPr>
        <w:t>resident</w:t>
      </w:r>
      <w:r>
        <w:rPr>
          <w:rFonts w:ascii="Arial" w:hAnsi="Arial" w:cs="Arial"/>
          <w:sz w:val="21"/>
          <w:szCs w:val="21"/>
        </w:rPr>
        <w:t>e</w:t>
      </w:r>
      <w:r>
        <w:rPr>
          <w:rFonts w:ascii="Arial" w:hAnsi="Arial" w:cs="Arial"/>
          <w:sz w:val="21"/>
          <w:szCs w:val="21"/>
        </w:rPr>
        <w:tab/>
      </w:r>
      <w:r w:rsidR="00EA764E" w:rsidRPr="00D67453">
        <w:rPr>
          <w:rFonts w:ascii="Arial" w:hAnsi="Arial" w:cs="Arial"/>
          <w:sz w:val="21"/>
          <w:szCs w:val="21"/>
        </w:rPr>
        <w:tab/>
      </w:r>
      <w:r w:rsidR="00EA764E" w:rsidRPr="00D67453">
        <w:rPr>
          <w:rFonts w:ascii="Arial" w:hAnsi="Arial" w:cs="Arial"/>
          <w:sz w:val="21"/>
          <w:szCs w:val="21"/>
        </w:rPr>
        <w:tab/>
      </w:r>
      <w:r w:rsidR="00EA764E" w:rsidRPr="00D67453">
        <w:rPr>
          <w:rFonts w:ascii="Arial" w:hAnsi="Arial" w:cs="Arial"/>
          <w:sz w:val="21"/>
          <w:szCs w:val="21"/>
        </w:rPr>
        <w:tab/>
      </w:r>
      <w:r w:rsidR="00EA764E" w:rsidRPr="00D67453">
        <w:rPr>
          <w:rFonts w:ascii="Arial" w:hAnsi="Arial" w:cs="Arial"/>
          <w:sz w:val="21"/>
          <w:szCs w:val="21"/>
        </w:rPr>
        <w:tab/>
      </w:r>
      <w:r w:rsidR="00EA764E" w:rsidRPr="00D67453">
        <w:rPr>
          <w:rFonts w:ascii="Arial" w:hAnsi="Arial" w:cs="Arial"/>
          <w:sz w:val="21"/>
          <w:szCs w:val="21"/>
        </w:rPr>
        <w:tab/>
      </w:r>
      <w:r>
        <w:rPr>
          <w:rFonts w:ascii="Arial" w:hAnsi="Arial" w:cs="Arial"/>
          <w:sz w:val="21"/>
          <w:szCs w:val="21"/>
        </w:rPr>
        <w:tab/>
      </w:r>
      <w:r w:rsidR="00E43D5C" w:rsidRPr="00D67453">
        <w:rPr>
          <w:rFonts w:ascii="Arial" w:hAnsi="Arial" w:cs="Arial"/>
          <w:sz w:val="21"/>
          <w:szCs w:val="21"/>
        </w:rPr>
        <w:t xml:space="preserve">Coordinador </w:t>
      </w:r>
      <w:r w:rsidR="004C02BE" w:rsidRPr="00D67453">
        <w:rPr>
          <w:rFonts w:ascii="Arial" w:hAnsi="Arial" w:cs="Arial"/>
          <w:sz w:val="21"/>
          <w:szCs w:val="21"/>
        </w:rPr>
        <w:t>P</w:t>
      </w:r>
      <w:r w:rsidR="00EA764E" w:rsidRPr="00D67453">
        <w:rPr>
          <w:rFonts w:ascii="Arial" w:hAnsi="Arial" w:cs="Arial"/>
          <w:sz w:val="21"/>
          <w:szCs w:val="21"/>
        </w:rPr>
        <w:t>onente</w:t>
      </w:r>
      <w:r w:rsidR="00EA764E" w:rsidRPr="00D67453">
        <w:rPr>
          <w:rFonts w:ascii="Arial" w:hAnsi="Arial" w:cs="Arial"/>
          <w:sz w:val="21"/>
          <w:szCs w:val="21"/>
        </w:rPr>
        <w:tab/>
        <w:t xml:space="preserve">                                   </w:t>
      </w:r>
      <w:r w:rsidR="00EA764E" w:rsidRPr="00D67453">
        <w:rPr>
          <w:rFonts w:ascii="Arial" w:hAnsi="Arial" w:cs="Arial"/>
          <w:sz w:val="21"/>
          <w:szCs w:val="21"/>
        </w:rPr>
        <w:tab/>
      </w:r>
      <w:r w:rsidR="00EA764E" w:rsidRPr="00D67453">
        <w:rPr>
          <w:rFonts w:ascii="Arial" w:hAnsi="Arial" w:cs="Arial"/>
          <w:sz w:val="21"/>
          <w:szCs w:val="21"/>
        </w:rPr>
        <w:tab/>
      </w:r>
      <w:r w:rsidR="00EA764E" w:rsidRPr="00D67453">
        <w:rPr>
          <w:rFonts w:ascii="Arial" w:hAnsi="Arial" w:cs="Arial"/>
          <w:sz w:val="21"/>
          <w:szCs w:val="21"/>
        </w:rPr>
        <w:tab/>
      </w:r>
      <w:r w:rsidR="00EA764E" w:rsidRPr="00D67453">
        <w:rPr>
          <w:rFonts w:ascii="Arial" w:hAnsi="Arial" w:cs="Arial"/>
          <w:sz w:val="21"/>
          <w:szCs w:val="21"/>
        </w:rPr>
        <w:tab/>
      </w:r>
    </w:p>
    <w:p w14:paraId="777B5046" w14:textId="77777777" w:rsidR="00EA764E" w:rsidRPr="00D67453" w:rsidRDefault="00EA764E" w:rsidP="00EA764E">
      <w:pPr>
        <w:spacing w:after="0" w:line="240" w:lineRule="auto"/>
        <w:jc w:val="both"/>
        <w:rPr>
          <w:rFonts w:ascii="Arial" w:hAnsi="Arial" w:cs="Arial"/>
          <w:b/>
          <w:bCs/>
          <w:sz w:val="21"/>
          <w:szCs w:val="21"/>
        </w:rPr>
      </w:pPr>
    </w:p>
    <w:p w14:paraId="50C387C9" w14:textId="77777777" w:rsidR="00EA764E" w:rsidRPr="00D67453" w:rsidRDefault="00EA764E" w:rsidP="00EA764E">
      <w:pPr>
        <w:spacing w:after="0" w:line="240" w:lineRule="auto"/>
        <w:jc w:val="both"/>
        <w:rPr>
          <w:rFonts w:ascii="Arial" w:hAnsi="Arial" w:cs="Arial"/>
          <w:b/>
          <w:bCs/>
          <w:sz w:val="21"/>
          <w:szCs w:val="21"/>
        </w:rPr>
      </w:pPr>
    </w:p>
    <w:p w14:paraId="5B5BF777" w14:textId="77777777" w:rsidR="00EA764E" w:rsidRPr="00D67453" w:rsidRDefault="00EA764E" w:rsidP="00EA764E">
      <w:pPr>
        <w:spacing w:after="0" w:line="240" w:lineRule="auto"/>
        <w:jc w:val="both"/>
        <w:rPr>
          <w:rFonts w:ascii="Arial" w:hAnsi="Arial" w:cs="Arial"/>
          <w:b/>
          <w:bCs/>
          <w:sz w:val="21"/>
          <w:szCs w:val="21"/>
        </w:rPr>
      </w:pPr>
    </w:p>
    <w:p w14:paraId="4C1D3376" w14:textId="7606FD87" w:rsidR="00EA764E" w:rsidRPr="00D67453" w:rsidRDefault="005E2128" w:rsidP="00EA764E">
      <w:pPr>
        <w:spacing w:after="0" w:line="240" w:lineRule="auto"/>
        <w:jc w:val="center"/>
        <w:rPr>
          <w:rFonts w:ascii="Arial" w:hAnsi="Arial" w:cs="Arial"/>
          <w:b/>
          <w:bCs/>
          <w:sz w:val="21"/>
          <w:szCs w:val="21"/>
        </w:rPr>
      </w:pPr>
      <w:r w:rsidRPr="00D67453">
        <w:rPr>
          <w:rFonts w:ascii="Arial" w:hAnsi="Arial" w:cs="Arial"/>
          <w:b/>
          <w:bCs/>
          <w:sz w:val="21"/>
          <w:szCs w:val="21"/>
        </w:rPr>
        <w:t>Ricardo Alfonso Albornoz Barreto</w:t>
      </w:r>
    </w:p>
    <w:p w14:paraId="794621BE" w14:textId="0CB76891" w:rsidR="004D631D" w:rsidRPr="00D67453" w:rsidRDefault="00EA764E" w:rsidP="00EA764E">
      <w:pPr>
        <w:spacing w:after="0" w:line="240" w:lineRule="auto"/>
        <w:jc w:val="center"/>
        <w:rPr>
          <w:rFonts w:ascii="Arial" w:hAnsi="Arial" w:cs="Arial"/>
          <w:sz w:val="21"/>
          <w:szCs w:val="21"/>
        </w:rPr>
      </w:pPr>
      <w:r w:rsidRPr="00D67453">
        <w:rPr>
          <w:rFonts w:ascii="Arial" w:hAnsi="Arial" w:cs="Arial"/>
          <w:sz w:val="21"/>
          <w:szCs w:val="21"/>
        </w:rPr>
        <w:t>Secretario</w:t>
      </w:r>
    </w:p>
    <w:p w14:paraId="7333327A" w14:textId="0E246E2E" w:rsidR="004C02BE" w:rsidRPr="004C02BE" w:rsidRDefault="004C02BE" w:rsidP="004C02BE">
      <w:pPr>
        <w:rPr>
          <w:rFonts w:ascii="Arial" w:eastAsia="Arial" w:hAnsi="Arial" w:cs="Arial"/>
        </w:rPr>
      </w:pPr>
    </w:p>
    <w:p w14:paraId="250FE8BA" w14:textId="77777777" w:rsidR="004C02BE" w:rsidRPr="004C02BE" w:rsidRDefault="004C02BE" w:rsidP="001A23BC">
      <w:pPr>
        <w:rPr>
          <w:rFonts w:ascii="Arial" w:eastAsia="Arial" w:hAnsi="Arial" w:cs="Arial"/>
        </w:rPr>
      </w:pPr>
    </w:p>
    <w:sectPr w:rsidR="004C02BE" w:rsidRPr="004C02BE" w:rsidSect="00D20A00">
      <w:headerReference w:type="default" r:id="rId9"/>
      <w:footerReference w:type="default" r:id="rId10"/>
      <w:type w:val="continuous"/>
      <w:pgSz w:w="12240" w:h="15840" w:code="1"/>
      <w:pgMar w:top="1758" w:right="1701" w:bottom="680" w:left="1701" w:header="737" w:footer="4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095C3" w14:textId="77777777" w:rsidR="006E7D4F" w:rsidRDefault="006E7D4F">
      <w:pPr>
        <w:spacing w:after="0" w:line="240" w:lineRule="auto"/>
      </w:pPr>
      <w:r>
        <w:separator/>
      </w:r>
    </w:p>
  </w:endnote>
  <w:endnote w:type="continuationSeparator" w:id="0">
    <w:p w14:paraId="2005182C" w14:textId="77777777" w:rsidR="006E7D4F" w:rsidRDefault="006E7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Edwardian Script ITC">
    <w:panose1 w:val="030303020407070D0804"/>
    <w:charset w:val="00"/>
    <w:family w:val="script"/>
    <w:pitch w:val="variable"/>
    <w:sig w:usb0="00000003" w:usb1="00000000" w:usb2="00000000" w:usb3="00000000" w:csb0="00000001" w:csb1="00000000"/>
  </w:font>
  <w:font w:name="Pinyon Script">
    <w:altName w:val="Calibri"/>
    <w:charset w:val="00"/>
    <w:family w:val="auto"/>
    <w:pitch w:val="default"/>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8D89B" w14:textId="72220B5B" w:rsidR="0083265E" w:rsidRPr="008A36E1" w:rsidRDefault="0083265E">
    <w:pPr>
      <w:pStyle w:val="Piedepgina"/>
      <w:jc w:val="center"/>
      <w:rPr>
        <w:rFonts w:ascii="Arial" w:hAnsi="Arial" w:cs="Arial"/>
        <w:color w:val="4F81BD" w:themeColor="accent1"/>
        <w:sz w:val="16"/>
        <w:szCs w:val="16"/>
      </w:rPr>
    </w:pPr>
    <w:r>
      <w:rPr>
        <w:rFonts w:ascii="Arial" w:hAnsi="Arial" w:cs="Arial"/>
        <w:color w:val="4F81BD" w:themeColor="accent1"/>
        <w:sz w:val="16"/>
        <w:szCs w:val="16"/>
        <w:lang w:val="es-ES"/>
      </w:rPr>
      <w:t xml:space="preserve">Texto definitivo del proyecto de ley </w:t>
    </w:r>
    <w:r w:rsidR="004C02BE">
      <w:rPr>
        <w:rFonts w:ascii="Arial" w:hAnsi="Arial" w:cs="Arial"/>
        <w:color w:val="4F81BD" w:themeColor="accent1"/>
        <w:sz w:val="16"/>
        <w:szCs w:val="16"/>
        <w:lang w:val="es-ES"/>
      </w:rPr>
      <w:t xml:space="preserve">No. </w:t>
    </w:r>
    <w:r w:rsidR="007343AC">
      <w:rPr>
        <w:rFonts w:ascii="Arial" w:hAnsi="Arial" w:cs="Arial"/>
        <w:color w:val="4F81BD" w:themeColor="accent1"/>
        <w:sz w:val="16"/>
        <w:szCs w:val="16"/>
        <w:lang w:val="es-ES"/>
      </w:rPr>
      <w:t>535</w:t>
    </w:r>
    <w:r>
      <w:rPr>
        <w:rFonts w:ascii="Arial" w:hAnsi="Arial" w:cs="Arial"/>
        <w:color w:val="4F81BD" w:themeColor="accent1"/>
        <w:sz w:val="16"/>
        <w:szCs w:val="16"/>
        <w:lang w:val="es-ES"/>
      </w:rPr>
      <w:t xml:space="preserve"> de 202</w:t>
    </w:r>
    <w:r w:rsidR="007343AC">
      <w:rPr>
        <w:rFonts w:ascii="Arial" w:hAnsi="Arial" w:cs="Arial"/>
        <w:color w:val="4F81BD" w:themeColor="accent1"/>
        <w:sz w:val="16"/>
        <w:szCs w:val="16"/>
        <w:lang w:val="es-ES"/>
      </w:rPr>
      <w:t>6</w:t>
    </w:r>
    <w:r>
      <w:rPr>
        <w:rFonts w:ascii="Arial" w:hAnsi="Arial" w:cs="Arial"/>
        <w:color w:val="4F81BD" w:themeColor="accent1"/>
        <w:sz w:val="16"/>
        <w:szCs w:val="16"/>
        <w:lang w:val="es-ES"/>
      </w:rPr>
      <w:t xml:space="preserve"> aprobado en Comisión - </w:t>
    </w:r>
    <w:r w:rsidRPr="008A36E1">
      <w:rPr>
        <w:rFonts w:ascii="Arial" w:hAnsi="Arial" w:cs="Arial"/>
        <w:color w:val="4F81BD" w:themeColor="accent1"/>
        <w:sz w:val="16"/>
        <w:szCs w:val="16"/>
        <w:lang w:val="es-ES"/>
      </w:rPr>
      <w:t xml:space="preserve">Página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PAGE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5</w:t>
    </w:r>
    <w:r w:rsidRPr="008A36E1">
      <w:rPr>
        <w:rFonts w:ascii="Arial" w:hAnsi="Arial" w:cs="Arial"/>
        <w:color w:val="4F81BD" w:themeColor="accent1"/>
        <w:sz w:val="16"/>
        <w:szCs w:val="16"/>
      </w:rPr>
      <w:fldChar w:fldCharType="end"/>
    </w:r>
    <w:r w:rsidRPr="008A36E1">
      <w:rPr>
        <w:rFonts w:ascii="Arial" w:hAnsi="Arial" w:cs="Arial"/>
        <w:color w:val="4F81BD" w:themeColor="accent1"/>
        <w:sz w:val="16"/>
        <w:szCs w:val="16"/>
        <w:lang w:val="es-ES"/>
      </w:rPr>
      <w:t xml:space="preserve"> de </w:t>
    </w:r>
    <w:r w:rsidRPr="008A36E1">
      <w:rPr>
        <w:rFonts w:ascii="Arial" w:hAnsi="Arial" w:cs="Arial"/>
        <w:color w:val="4F81BD" w:themeColor="accent1"/>
        <w:sz w:val="16"/>
        <w:szCs w:val="16"/>
      </w:rPr>
      <w:fldChar w:fldCharType="begin"/>
    </w:r>
    <w:r w:rsidRPr="008A36E1">
      <w:rPr>
        <w:rFonts w:ascii="Arial" w:hAnsi="Arial" w:cs="Arial"/>
        <w:color w:val="4F81BD" w:themeColor="accent1"/>
        <w:sz w:val="16"/>
        <w:szCs w:val="16"/>
      </w:rPr>
      <w:instrText>NUMPAGES  \* Arabic  \* MERGEFORMAT</w:instrText>
    </w:r>
    <w:r w:rsidRPr="008A36E1">
      <w:rPr>
        <w:rFonts w:ascii="Arial" w:hAnsi="Arial" w:cs="Arial"/>
        <w:color w:val="4F81BD" w:themeColor="accent1"/>
        <w:sz w:val="16"/>
        <w:szCs w:val="16"/>
      </w:rPr>
      <w:fldChar w:fldCharType="separate"/>
    </w:r>
    <w:r w:rsidR="004F3AF6" w:rsidRPr="004F3AF6">
      <w:rPr>
        <w:rFonts w:ascii="Arial" w:hAnsi="Arial" w:cs="Arial"/>
        <w:noProof/>
        <w:color w:val="4F81BD" w:themeColor="accent1"/>
        <w:sz w:val="16"/>
        <w:szCs w:val="16"/>
        <w:lang w:val="es-ES"/>
      </w:rPr>
      <w:t>6</w:t>
    </w:r>
    <w:r w:rsidRPr="008A36E1">
      <w:rPr>
        <w:rFonts w:ascii="Arial" w:hAnsi="Arial" w:cs="Arial"/>
        <w:color w:val="4F81BD" w:themeColor="accent1"/>
        <w:sz w:val="16"/>
        <w:szCs w:val="16"/>
      </w:rPr>
      <w:fldChar w:fldCharType="end"/>
    </w:r>
  </w:p>
  <w:p w14:paraId="43AAA852"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A68AC" w14:textId="77777777" w:rsidR="006E7D4F" w:rsidRDefault="006E7D4F">
      <w:pPr>
        <w:spacing w:after="0" w:line="240" w:lineRule="auto"/>
      </w:pPr>
      <w:r>
        <w:separator/>
      </w:r>
    </w:p>
  </w:footnote>
  <w:footnote w:type="continuationSeparator" w:id="0">
    <w:p w14:paraId="6E3846DE" w14:textId="77777777" w:rsidR="006E7D4F" w:rsidRDefault="006E7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E2B" w14:textId="77777777" w:rsidR="0083265E" w:rsidRDefault="0083265E">
    <w:pPr>
      <w:pBdr>
        <w:top w:val="nil"/>
        <w:left w:val="nil"/>
        <w:bottom w:val="nil"/>
        <w:right w:val="nil"/>
        <w:between w:val="nil"/>
      </w:pBdr>
      <w:tabs>
        <w:tab w:val="center" w:pos="4419"/>
        <w:tab w:val="right" w:pos="8838"/>
      </w:tabs>
      <w:spacing w:after="0" w:line="240" w:lineRule="auto"/>
      <w:rPr>
        <w:color w:val="000000"/>
      </w:rPr>
    </w:pPr>
    <w:r>
      <w:rPr>
        <w:noProof/>
        <w:lang w:eastAsia="es-CO"/>
      </w:rPr>
      <w:drawing>
        <wp:anchor distT="0" distB="0" distL="114300" distR="114300" simplePos="0" relativeHeight="251658240" behindDoc="0" locked="0" layoutInCell="1" hidden="0" allowOverlap="1" wp14:anchorId="09677496" wp14:editId="60F05676">
          <wp:simplePos x="0" y="0"/>
          <wp:positionH relativeFrom="column">
            <wp:posOffset>1980565</wp:posOffset>
          </wp:positionH>
          <wp:positionV relativeFrom="paragraph">
            <wp:posOffset>-269646</wp:posOffset>
          </wp:positionV>
          <wp:extent cx="2082800" cy="838200"/>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l="31070" t="9701" r="53331" b="79139"/>
                  <a:stretch>
                    <a:fillRect/>
                  </a:stretch>
                </pic:blipFill>
                <pic:spPr>
                  <a:xfrm>
                    <a:off x="0" y="0"/>
                    <a:ext cx="2082800" cy="83820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195C"/>
    <w:multiLevelType w:val="hybridMultilevel"/>
    <w:tmpl w:val="0C8C931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3784ECE"/>
    <w:multiLevelType w:val="hybridMultilevel"/>
    <w:tmpl w:val="0BAE8874"/>
    <w:lvl w:ilvl="0" w:tplc="240A0015">
      <w:start w:val="1"/>
      <w:numFmt w:val="upp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79F1687"/>
    <w:multiLevelType w:val="hybridMultilevel"/>
    <w:tmpl w:val="F8A6B58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A80072C"/>
    <w:multiLevelType w:val="multilevel"/>
    <w:tmpl w:val="8EE46DF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B0F5F4C"/>
    <w:multiLevelType w:val="multilevel"/>
    <w:tmpl w:val="56DE173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18E1770"/>
    <w:multiLevelType w:val="hybridMultilevel"/>
    <w:tmpl w:val="39CE0550"/>
    <w:lvl w:ilvl="0" w:tplc="73609C0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7F83E89"/>
    <w:multiLevelType w:val="hybridMultilevel"/>
    <w:tmpl w:val="C14E88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6B421F"/>
    <w:multiLevelType w:val="hybridMultilevel"/>
    <w:tmpl w:val="C0EC8E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3F9414D"/>
    <w:multiLevelType w:val="multilevel"/>
    <w:tmpl w:val="EA32231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15:restartNumberingAfterBreak="0">
    <w:nsid w:val="29A97CDC"/>
    <w:multiLevelType w:val="hybridMultilevel"/>
    <w:tmpl w:val="CC6827F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B1462C7"/>
    <w:multiLevelType w:val="multilevel"/>
    <w:tmpl w:val="94B2E0F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1" w15:restartNumberingAfterBreak="0">
    <w:nsid w:val="2D4D29E6"/>
    <w:multiLevelType w:val="hybridMultilevel"/>
    <w:tmpl w:val="4974367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FB60936"/>
    <w:multiLevelType w:val="multilevel"/>
    <w:tmpl w:val="12CEC58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3F049AD"/>
    <w:multiLevelType w:val="multilevel"/>
    <w:tmpl w:val="814EF2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6F935AB"/>
    <w:multiLevelType w:val="multilevel"/>
    <w:tmpl w:val="39CC9B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15:restartNumberingAfterBreak="0">
    <w:nsid w:val="3C6D5655"/>
    <w:multiLevelType w:val="hybridMultilevel"/>
    <w:tmpl w:val="7A822D7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9B4BD9"/>
    <w:multiLevelType w:val="multilevel"/>
    <w:tmpl w:val="06E6F3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3CC22E01"/>
    <w:multiLevelType w:val="hybridMultilevel"/>
    <w:tmpl w:val="27401AA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4B21551"/>
    <w:multiLevelType w:val="multilevel"/>
    <w:tmpl w:val="0024C9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5A22404"/>
    <w:multiLevelType w:val="hybridMultilevel"/>
    <w:tmpl w:val="E9E4865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BAB2AD8"/>
    <w:multiLevelType w:val="multilevel"/>
    <w:tmpl w:val="91F6320C"/>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1" w15:restartNumberingAfterBreak="0">
    <w:nsid w:val="4F6927A5"/>
    <w:multiLevelType w:val="hybridMultilevel"/>
    <w:tmpl w:val="076E669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51D929B1"/>
    <w:multiLevelType w:val="hybridMultilevel"/>
    <w:tmpl w:val="6722FBA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3E25D50"/>
    <w:multiLevelType w:val="hybridMultilevel"/>
    <w:tmpl w:val="3C6417D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7B562D3"/>
    <w:multiLevelType w:val="multilevel"/>
    <w:tmpl w:val="15FE28C2"/>
    <w:lvl w:ilvl="0">
      <w:start w:val="1"/>
      <w:numFmt w:val="lowerLetter"/>
      <w:lvlText w:val="%1."/>
      <w:lvlJc w:val="left"/>
      <w:pPr>
        <w:ind w:left="425"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5" w15:restartNumberingAfterBreak="0">
    <w:nsid w:val="6C1B127E"/>
    <w:multiLevelType w:val="multilevel"/>
    <w:tmpl w:val="2F820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6DDA09D7"/>
    <w:multiLevelType w:val="hybridMultilevel"/>
    <w:tmpl w:val="7E60B3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ECD0FB7"/>
    <w:multiLevelType w:val="hybridMultilevel"/>
    <w:tmpl w:val="2FC8857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1C552CF"/>
    <w:multiLevelType w:val="hybridMultilevel"/>
    <w:tmpl w:val="3BDCCA04"/>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4F934D0"/>
    <w:multiLevelType w:val="hybridMultilevel"/>
    <w:tmpl w:val="960A6F2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59B05F1"/>
    <w:multiLevelType w:val="hybridMultilevel"/>
    <w:tmpl w:val="33B63F4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F056BE"/>
    <w:multiLevelType w:val="multilevel"/>
    <w:tmpl w:val="FDDA540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8716802"/>
    <w:multiLevelType w:val="hybridMultilevel"/>
    <w:tmpl w:val="E6F000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7C576BBF"/>
    <w:multiLevelType w:val="hybridMultilevel"/>
    <w:tmpl w:val="762E1CB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7C6E6BFB"/>
    <w:multiLevelType w:val="hybridMultilevel"/>
    <w:tmpl w:val="7C2620F6"/>
    <w:lvl w:ilvl="0" w:tplc="240A0019">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7FBB6C5B"/>
    <w:multiLevelType w:val="hybridMultilevel"/>
    <w:tmpl w:val="76BC7B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4"/>
  </w:num>
  <w:num w:numId="4">
    <w:abstractNumId w:val="25"/>
  </w:num>
  <w:num w:numId="5">
    <w:abstractNumId w:val="13"/>
  </w:num>
  <w:num w:numId="6">
    <w:abstractNumId w:val="16"/>
  </w:num>
  <w:num w:numId="7">
    <w:abstractNumId w:val="3"/>
  </w:num>
  <w:num w:numId="8">
    <w:abstractNumId w:val="12"/>
  </w:num>
  <w:num w:numId="9">
    <w:abstractNumId w:val="31"/>
  </w:num>
  <w:num w:numId="10">
    <w:abstractNumId w:val="18"/>
  </w:num>
  <w:num w:numId="11">
    <w:abstractNumId w:val="5"/>
  </w:num>
  <w:num w:numId="12">
    <w:abstractNumId w:val="33"/>
  </w:num>
  <w:num w:numId="13">
    <w:abstractNumId w:val="27"/>
  </w:num>
  <w:num w:numId="14">
    <w:abstractNumId w:val="29"/>
  </w:num>
  <w:num w:numId="15">
    <w:abstractNumId w:val="23"/>
  </w:num>
  <w:num w:numId="16">
    <w:abstractNumId w:val="9"/>
  </w:num>
  <w:num w:numId="17">
    <w:abstractNumId w:val="19"/>
  </w:num>
  <w:num w:numId="18">
    <w:abstractNumId w:val="6"/>
  </w:num>
  <w:num w:numId="19">
    <w:abstractNumId w:val="17"/>
  </w:num>
  <w:num w:numId="20">
    <w:abstractNumId w:val="34"/>
  </w:num>
  <w:num w:numId="21">
    <w:abstractNumId w:val="28"/>
  </w:num>
  <w:num w:numId="22">
    <w:abstractNumId w:val="2"/>
  </w:num>
  <w:num w:numId="23">
    <w:abstractNumId w:val="22"/>
  </w:num>
  <w:num w:numId="24">
    <w:abstractNumId w:val="15"/>
  </w:num>
  <w:num w:numId="25">
    <w:abstractNumId w:val="32"/>
  </w:num>
  <w:num w:numId="26">
    <w:abstractNumId w:val="0"/>
  </w:num>
  <w:num w:numId="27">
    <w:abstractNumId w:val="26"/>
  </w:num>
  <w:num w:numId="28">
    <w:abstractNumId w:val="7"/>
  </w:num>
  <w:num w:numId="29">
    <w:abstractNumId w:val="30"/>
  </w:num>
  <w:num w:numId="30">
    <w:abstractNumId w:val="24"/>
  </w:num>
  <w:num w:numId="31">
    <w:abstractNumId w:val="1"/>
  </w:num>
  <w:num w:numId="32">
    <w:abstractNumId w:val="20"/>
  </w:num>
  <w:num w:numId="33">
    <w:abstractNumId w:val="10"/>
  </w:num>
  <w:num w:numId="34">
    <w:abstractNumId w:val="35"/>
  </w:num>
  <w:num w:numId="35">
    <w:abstractNumId w:val="21"/>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D93"/>
    <w:rsid w:val="000018A3"/>
    <w:rsid w:val="00004D26"/>
    <w:rsid w:val="00006060"/>
    <w:rsid w:val="000218A0"/>
    <w:rsid w:val="00035A12"/>
    <w:rsid w:val="000D0321"/>
    <w:rsid w:val="000D4049"/>
    <w:rsid w:val="000D59FE"/>
    <w:rsid w:val="000F3249"/>
    <w:rsid w:val="000F3F41"/>
    <w:rsid w:val="00102AC9"/>
    <w:rsid w:val="00106067"/>
    <w:rsid w:val="001303C3"/>
    <w:rsid w:val="00134E23"/>
    <w:rsid w:val="00141A7E"/>
    <w:rsid w:val="00145732"/>
    <w:rsid w:val="00180E10"/>
    <w:rsid w:val="001826C3"/>
    <w:rsid w:val="00193E1C"/>
    <w:rsid w:val="001A23BC"/>
    <w:rsid w:val="001B1C28"/>
    <w:rsid w:val="001B6E7B"/>
    <w:rsid w:val="001C10AB"/>
    <w:rsid w:val="001C6DF6"/>
    <w:rsid w:val="001F7A2A"/>
    <w:rsid w:val="00217B1E"/>
    <w:rsid w:val="00227978"/>
    <w:rsid w:val="0023530D"/>
    <w:rsid w:val="00245986"/>
    <w:rsid w:val="00256AED"/>
    <w:rsid w:val="00273C01"/>
    <w:rsid w:val="00290644"/>
    <w:rsid w:val="002A1BAF"/>
    <w:rsid w:val="002C21DA"/>
    <w:rsid w:val="002E6C1D"/>
    <w:rsid w:val="0030775B"/>
    <w:rsid w:val="003206AC"/>
    <w:rsid w:val="0032624C"/>
    <w:rsid w:val="00330383"/>
    <w:rsid w:val="00332B24"/>
    <w:rsid w:val="00344B4D"/>
    <w:rsid w:val="00351E0C"/>
    <w:rsid w:val="00374FCF"/>
    <w:rsid w:val="00375224"/>
    <w:rsid w:val="00392B70"/>
    <w:rsid w:val="00392FE1"/>
    <w:rsid w:val="003B3F8A"/>
    <w:rsid w:val="003C3541"/>
    <w:rsid w:val="003C5D20"/>
    <w:rsid w:val="003D08DE"/>
    <w:rsid w:val="003D1BA0"/>
    <w:rsid w:val="003E1433"/>
    <w:rsid w:val="00401837"/>
    <w:rsid w:val="00405CB0"/>
    <w:rsid w:val="00430816"/>
    <w:rsid w:val="00457018"/>
    <w:rsid w:val="00482B48"/>
    <w:rsid w:val="00484475"/>
    <w:rsid w:val="0049721E"/>
    <w:rsid w:val="004A083B"/>
    <w:rsid w:val="004B0124"/>
    <w:rsid w:val="004C02BE"/>
    <w:rsid w:val="004D631D"/>
    <w:rsid w:val="004E4789"/>
    <w:rsid w:val="004F0BC8"/>
    <w:rsid w:val="004F3AF6"/>
    <w:rsid w:val="004F563C"/>
    <w:rsid w:val="005004BD"/>
    <w:rsid w:val="00510F4A"/>
    <w:rsid w:val="00523CF6"/>
    <w:rsid w:val="00533F5F"/>
    <w:rsid w:val="00537CCD"/>
    <w:rsid w:val="0054501C"/>
    <w:rsid w:val="00545AF9"/>
    <w:rsid w:val="0057061D"/>
    <w:rsid w:val="005970FF"/>
    <w:rsid w:val="005B79B2"/>
    <w:rsid w:val="005C4915"/>
    <w:rsid w:val="005E2128"/>
    <w:rsid w:val="005E608A"/>
    <w:rsid w:val="005E70F3"/>
    <w:rsid w:val="006020FC"/>
    <w:rsid w:val="006124BA"/>
    <w:rsid w:val="00631A0A"/>
    <w:rsid w:val="00644D12"/>
    <w:rsid w:val="00645D96"/>
    <w:rsid w:val="0066551C"/>
    <w:rsid w:val="00671065"/>
    <w:rsid w:val="00676A02"/>
    <w:rsid w:val="006A6E00"/>
    <w:rsid w:val="006A6E52"/>
    <w:rsid w:val="006A72E4"/>
    <w:rsid w:val="006C2368"/>
    <w:rsid w:val="006D531F"/>
    <w:rsid w:val="006E07FA"/>
    <w:rsid w:val="006E594C"/>
    <w:rsid w:val="006E7D4F"/>
    <w:rsid w:val="00703BB5"/>
    <w:rsid w:val="00722B7D"/>
    <w:rsid w:val="007343AC"/>
    <w:rsid w:val="0073598D"/>
    <w:rsid w:val="00745DA4"/>
    <w:rsid w:val="00751A35"/>
    <w:rsid w:val="00755E90"/>
    <w:rsid w:val="00757DEE"/>
    <w:rsid w:val="00767847"/>
    <w:rsid w:val="00780935"/>
    <w:rsid w:val="00793F4D"/>
    <w:rsid w:val="007D2959"/>
    <w:rsid w:val="007D2F62"/>
    <w:rsid w:val="007D3C92"/>
    <w:rsid w:val="007F0D11"/>
    <w:rsid w:val="007F5168"/>
    <w:rsid w:val="008010C4"/>
    <w:rsid w:val="0080316C"/>
    <w:rsid w:val="0083265E"/>
    <w:rsid w:val="00856BE4"/>
    <w:rsid w:val="008571E9"/>
    <w:rsid w:val="00857AB4"/>
    <w:rsid w:val="008609ED"/>
    <w:rsid w:val="00874E4E"/>
    <w:rsid w:val="00892DFB"/>
    <w:rsid w:val="008A36E1"/>
    <w:rsid w:val="008A4907"/>
    <w:rsid w:val="008A4A9B"/>
    <w:rsid w:val="008C140C"/>
    <w:rsid w:val="008C5481"/>
    <w:rsid w:val="008E2412"/>
    <w:rsid w:val="008E538C"/>
    <w:rsid w:val="008E689B"/>
    <w:rsid w:val="008F518D"/>
    <w:rsid w:val="00900D93"/>
    <w:rsid w:val="00901397"/>
    <w:rsid w:val="00906D5A"/>
    <w:rsid w:val="00931B69"/>
    <w:rsid w:val="0093363E"/>
    <w:rsid w:val="00980D46"/>
    <w:rsid w:val="00984A08"/>
    <w:rsid w:val="009A5477"/>
    <w:rsid w:val="009B5502"/>
    <w:rsid w:val="009C516C"/>
    <w:rsid w:val="009D1384"/>
    <w:rsid w:val="009E1B8B"/>
    <w:rsid w:val="009E3F42"/>
    <w:rsid w:val="009F1C08"/>
    <w:rsid w:val="00A10DC4"/>
    <w:rsid w:val="00A16412"/>
    <w:rsid w:val="00A260C7"/>
    <w:rsid w:val="00A26C81"/>
    <w:rsid w:val="00A27D65"/>
    <w:rsid w:val="00A549FD"/>
    <w:rsid w:val="00A5673E"/>
    <w:rsid w:val="00A63FE4"/>
    <w:rsid w:val="00A776DC"/>
    <w:rsid w:val="00A819AF"/>
    <w:rsid w:val="00AA061D"/>
    <w:rsid w:val="00AA5167"/>
    <w:rsid w:val="00AC09C4"/>
    <w:rsid w:val="00AC2952"/>
    <w:rsid w:val="00AF4493"/>
    <w:rsid w:val="00AF47C1"/>
    <w:rsid w:val="00B31264"/>
    <w:rsid w:val="00B32743"/>
    <w:rsid w:val="00B4204B"/>
    <w:rsid w:val="00B47081"/>
    <w:rsid w:val="00B51276"/>
    <w:rsid w:val="00B57363"/>
    <w:rsid w:val="00B61831"/>
    <w:rsid w:val="00B8597F"/>
    <w:rsid w:val="00B94C52"/>
    <w:rsid w:val="00BA2504"/>
    <w:rsid w:val="00BA6354"/>
    <w:rsid w:val="00BD3B0E"/>
    <w:rsid w:val="00BF038C"/>
    <w:rsid w:val="00BF32C7"/>
    <w:rsid w:val="00BF5872"/>
    <w:rsid w:val="00BF5DE4"/>
    <w:rsid w:val="00C04298"/>
    <w:rsid w:val="00C0783C"/>
    <w:rsid w:val="00C10A0F"/>
    <w:rsid w:val="00C24F1B"/>
    <w:rsid w:val="00C25E24"/>
    <w:rsid w:val="00C64587"/>
    <w:rsid w:val="00C733DF"/>
    <w:rsid w:val="00C85EE9"/>
    <w:rsid w:val="00CA7A0C"/>
    <w:rsid w:val="00D05139"/>
    <w:rsid w:val="00D16302"/>
    <w:rsid w:val="00D20A00"/>
    <w:rsid w:val="00D40FD1"/>
    <w:rsid w:val="00D410FE"/>
    <w:rsid w:val="00D655E9"/>
    <w:rsid w:val="00D65C9D"/>
    <w:rsid w:val="00D67453"/>
    <w:rsid w:val="00D7060A"/>
    <w:rsid w:val="00D7787B"/>
    <w:rsid w:val="00D84872"/>
    <w:rsid w:val="00DC1FF5"/>
    <w:rsid w:val="00DD5FA1"/>
    <w:rsid w:val="00DE0A3B"/>
    <w:rsid w:val="00DE0DE7"/>
    <w:rsid w:val="00DF1C5B"/>
    <w:rsid w:val="00E02D4A"/>
    <w:rsid w:val="00E2082D"/>
    <w:rsid w:val="00E27292"/>
    <w:rsid w:val="00E43D5C"/>
    <w:rsid w:val="00E629C6"/>
    <w:rsid w:val="00E8354F"/>
    <w:rsid w:val="00EA764E"/>
    <w:rsid w:val="00EB3579"/>
    <w:rsid w:val="00EC0D32"/>
    <w:rsid w:val="00EC5690"/>
    <w:rsid w:val="00ED4980"/>
    <w:rsid w:val="00ED4C9D"/>
    <w:rsid w:val="00EF5B1B"/>
    <w:rsid w:val="00F04E2C"/>
    <w:rsid w:val="00F25E2F"/>
    <w:rsid w:val="00F320FC"/>
    <w:rsid w:val="00F36254"/>
    <w:rsid w:val="00F42CA9"/>
    <w:rsid w:val="00F4360E"/>
    <w:rsid w:val="00F50D3E"/>
    <w:rsid w:val="00F637A9"/>
    <w:rsid w:val="00F66F0B"/>
    <w:rsid w:val="00F67633"/>
    <w:rsid w:val="00F718B4"/>
    <w:rsid w:val="00F94622"/>
    <w:rsid w:val="00FB2411"/>
    <w:rsid w:val="00FC1DEF"/>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1D209"/>
  <w15:docId w15:val="{5000D18E-4321-4784-962A-0EF1FB71F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CO" w:eastAsia="es-419"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F4A"/>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218A0"/>
    <w:pPr>
      <w:spacing w:after="0" w:line="240" w:lineRule="auto"/>
      <w:jc w:val="both"/>
    </w:pPr>
    <w:rPr>
      <w:rFonts w:ascii="Arial" w:hAnsi="Arial"/>
    </w:rPr>
  </w:style>
  <w:style w:type="character" w:customStyle="1" w:styleId="a0">
    <w:name w:val="a0"/>
    <w:rsid w:val="008C4C99"/>
  </w:style>
  <w:style w:type="paragraph" w:customStyle="1" w:styleId="Default">
    <w:name w:val="Default"/>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0218A0"/>
    <w:rPr>
      <w:rFonts w:ascii="Arial" w:hAnsi="Arial"/>
    </w:rPr>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Refdecomentario">
    <w:name w:val="annotation reference"/>
    <w:basedOn w:val="Fuentedeprrafopredeter"/>
    <w:uiPriority w:val="99"/>
    <w:semiHidden/>
    <w:unhideWhenUsed/>
    <w:rsid w:val="008A36E1"/>
    <w:rPr>
      <w:sz w:val="16"/>
      <w:szCs w:val="16"/>
    </w:rPr>
  </w:style>
  <w:style w:type="table" w:customStyle="1" w:styleId="Tablaconcuadrculaclara1">
    <w:name w:val="Tabla con cuadrícula clara1"/>
    <w:basedOn w:val="Tablanormal"/>
    <w:next w:val="Tablaconcuadrculaclara"/>
    <w:uiPriority w:val="40"/>
    <w:rsid w:val="00901397"/>
    <w:pPr>
      <w:spacing w:after="0" w:line="240" w:lineRule="auto"/>
    </w:pPr>
    <w:rPr>
      <w:rFonts w:cs="Times New Roman"/>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aconcuadrculaclara">
    <w:name w:val="Grid Table Light"/>
    <w:basedOn w:val="Tablanormal"/>
    <w:uiPriority w:val="40"/>
    <w:rsid w:val="0090139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9540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DEH2QwE851htgsxIsh+/9wNLFHw==">AMUW2mWFy1y4PWVRt8srbyc52XXJNag+lOKeN+pDNJBchPx4U7ToiYb+/pJhWSPvjRo2LSP4s95z3Vn1FklT+cXBpwD8bXqMGcheiZDIzNoqZ3b54Ea//jDvXm2Gq8TrRmtqiODlJV0k</go:docsCustomData>
</go:gDocsCustomXmlDataStorage>
</file>

<file path=customXml/itemProps1.xml><?xml version="1.0" encoding="utf-8"?>
<ds:datastoreItem xmlns:ds="http://schemas.openxmlformats.org/officeDocument/2006/customXml" ds:itemID="{298521D9-2B48-4F13-B5C6-031716DB25D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Pages>
  <Words>3139</Words>
  <Characters>17269</Characters>
  <Application>Microsoft Office Word</Application>
  <DocSecurity>0</DocSecurity>
  <Lines>143</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 Enrique Gonzalez Martinez</cp:lastModifiedBy>
  <cp:revision>24</cp:revision>
  <cp:lastPrinted>2026-06-09T23:12:00Z</cp:lastPrinted>
  <dcterms:created xsi:type="dcterms:W3CDTF">2026-06-09T22:12:00Z</dcterms:created>
  <dcterms:modified xsi:type="dcterms:W3CDTF">2026-06-09T23:20:00Z</dcterms:modified>
</cp:coreProperties>
</file>