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929799" w14:textId="77777777" w:rsidR="007C242F" w:rsidRDefault="007C242F">
      <w:pPr>
        <w:pBdr>
          <w:top w:val="nil"/>
          <w:left w:val="nil"/>
          <w:bottom w:val="nil"/>
          <w:right w:val="nil"/>
          <w:between w:val="nil"/>
        </w:pBdr>
        <w:jc w:val="both"/>
        <w:rPr>
          <w:rFonts w:ascii="Times New Roman" w:eastAsia="Times New Roman" w:hAnsi="Times New Roman" w:cs="Times New Roman"/>
          <w:color w:val="000000"/>
          <w:sz w:val="20"/>
          <w:szCs w:val="20"/>
        </w:rPr>
      </w:pPr>
    </w:p>
    <w:p w14:paraId="76CE9575" w14:textId="77777777" w:rsidR="007C242F" w:rsidRDefault="007C242F">
      <w:pPr>
        <w:pBdr>
          <w:top w:val="nil"/>
          <w:left w:val="nil"/>
          <w:bottom w:val="nil"/>
          <w:right w:val="nil"/>
          <w:between w:val="nil"/>
        </w:pBdr>
        <w:jc w:val="both"/>
        <w:rPr>
          <w:rFonts w:ascii="Times New Roman" w:eastAsia="Times New Roman" w:hAnsi="Times New Roman" w:cs="Times New Roman"/>
          <w:color w:val="000000"/>
          <w:sz w:val="20"/>
          <w:szCs w:val="20"/>
        </w:rPr>
      </w:pPr>
    </w:p>
    <w:p w14:paraId="6E489147" w14:textId="77777777" w:rsidR="007C242F" w:rsidRDefault="007C242F">
      <w:pPr>
        <w:pBdr>
          <w:top w:val="nil"/>
          <w:left w:val="nil"/>
          <w:bottom w:val="nil"/>
          <w:right w:val="nil"/>
          <w:between w:val="nil"/>
        </w:pBdr>
        <w:jc w:val="both"/>
        <w:rPr>
          <w:rFonts w:ascii="Times New Roman" w:eastAsia="Times New Roman" w:hAnsi="Times New Roman" w:cs="Times New Roman"/>
          <w:color w:val="000000"/>
          <w:sz w:val="20"/>
          <w:szCs w:val="20"/>
        </w:rPr>
      </w:pPr>
    </w:p>
    <w:p w14:paraId="70FA40A9" w14:textId="77777777" w:rsidR="007C242F" w:rsidRDefault="007C242F">
      <w:pPr>
        <w:jc w:val="both"/>
        <w:rPr>
          <w:rFonts w:ascii="Times New Roman" w:eastAsia="Times New Roman" w:hAnsi="Times New Roman" w:cs="Times New Roman"/>
          <w:b/>
          <w:bCs/>
        </w:rPr>
      </w:pPr>
    </w:p>
    <w:p w14:paraId="4B8F7493" w14:textId="77777777" w:rsidR="007C242F"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Bogotá D.C, mayo 2026 </w:t>
      </w:r>
    </w:p>
    <w:p w14:paraId="59781BDE" w14:textId="77777777" w:rsidR="007C242F" w:rsidRDefault="007C242F">
      <w:pPr>
        <w:jc w:val="both"/>
        <w:rPr>
          <w:rFonts w:ascii="Times New Roman" w:eastAsia="Times New Roman" w:hAnsi="Times New Roman" w:cs="Times New Roman"/>
          <w:b/>
          <w:bCs/>
          <w:sz w:val="24"/>
          <w:szCs w:val="24"/>
        </w:rPr>
      </w:pPr>
    </w:p>
    <w:p w14:paraId="6FD20623" w14:textId="77777777" w:rsidR="007C242F" w:rsidRDefault="007C242F">
      <w:pPr>
        <w:jc w:val="both"/>
        <w:rPr>
          <w:rFonts w:ascii="Times New Roman" w:eastAsia="Times New Roman" w:hAnsi="Times New Roman" w:cs="Times New Roman"/>
          <w:b/>
          <w:bCs/>
          <w:sz w:val="24"/>
          <w:szCs w:val="24"/>
        </w:rPr>
      </w:pPr>
    </w:p>
    <w:p w14:paraId="67425B88" w14:textId="77777777" w:rsidR="007C242F"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Señor</w:t>
      </w:r>
    </w:p>
    <w:p w14:paraId="77BE631E" w14:textId="77777777" w:rsidR="007C242F"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Presidente</w:t>
      </w:r>
    </w:p>
    <w:p w14:paraId="5DED799F" w14:textId="77777777" w:rsidR="007C242F"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GABRIEL BECERRA</w:t>
      </w:r>
    </w:p>
    <w:p w14:paraId="7A5FAF09" w14:textId="77777777" w:rsidR="007C242F"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Comisión Primera Constitucional </w:t>
      </w:r>
    </w:p>
    <w:p w14:paraId="43CAEA26" w14:textId="77777777" w:rsidR="007C242F"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Ciudad</w:t>
      </w:r>
    </w:p>
    <w:p w14:paraId="5A8593A3" w14:textId="77777777" w:rsidR="007C242F" w:rsidRDefault="007C242F">
      <w:pPr>
        <w:jc w:val="both"/>
        <w:rPr>
          <w:rFonts w:ascii="Times New Roman" w:eastAsia="Times New Roman" w:hAnsi="Times New Roman" w:cs="Times New Roman"/>
          <w:b/>
          <w:bCs/>
          <w:sz w:val="24"/>
          <w:szCs w:val="24"/>
        </w:rPr>
      </w:pPr>
    </w:p>
    <w:p w14:paraId="517DBA44" w14:textId="77777777" w:rsidR="007C242F" w:rsidRDefault="007C242F">
      <w:pPr>
        <w:jc w:val="both"/>
        <w:rPr>
          <w:rFonts w:ascii="Times New Roman" w:eastAsia="Times New Roman" w:hAnsi="Times New Roman" w:cs="Times New Roman"/>
          <w:b/>
          <w:bCs/>
          <w:sz w:val="24"/>
          <w:szCs w:val="24"/>
        </w:rPr>
      </w:pPr>
    </w:p>
    <w:p w14:paraId="5F5FABAD" w14:textId="77777777" w:rsidR="007C242F" w:rsidRDefault="00000000">
      <w:pPr>
        <w:jc w:val="right"/>
        <w:rPr>
          <w:rFonts w:ascii="Times New Roman" w:eastAsia="Times New Roman" w:hAnsi="Times New Roman" w:cs="Times New Roman"/>
        </w:rPr>
      </w:pPr>
      <w:r>
        <w:rPr>
          <w:rFonts w:ascii="Times New Roman" w:eastAsia="Times New Roman" w:hAnsi="Times New Roman" w:cs="Times New Roman"/>
          <w:b/>
          <w:bCs/>
          <w:sz w:val="24"/>
          <w:szCs w:val="24"/>
        </w:rPr>
        <w:t xml:space="preserve">Asunto: </w:t>
      </w:r>
      <w:r>
        <w:rPr>
          <w:rFonts w:ascii="Times New Roman" w:eastAsia="Times New Roman" w:hAnsi="Times New Roman" w:cs="Times New Roman"/>
          <w:b/>
          <w:bCs/>
        </w:rPr>
        <w:t>Informe de Ponencia para primer debate al Proyecto de Ley 277 de 2025 Cámara “Por medio del cual se deroga la ley 2272 de 2022 (LEY DE PAZ TOTAL)”</w:t>
      </w:r>
    </w:p>
    <w:p w14:paraId="7449F80B" w14:textId="77777777" w:rsidR="007C242F" w:rsidRDefault="007C242F">
      <w:pPr>
        <w:jc w:val="both"/>
        <w:rPr>
          <w:rFonts w:ascii="Times New Roman" w:eastAsia="Times New Roman" w:hAnsi="Times New Roman" w:cs="Times New Roman"/>
          <w:sz w:val="24"/>
          <w:szCs w:val="24"/>
        </w:rPr>
      </w:pPr>
    </w:p>
    <w:p w14:paraId="54BDA2EC" w14:textId="77777777" w:rsidR="007C242F" w:rsidRDefault="007C242F">
      <w:pPr>
        <w:jc w:val="both"/>
        <w:rPr>
          <w:rFonts w:ascii="Times New Roman" w:eastAsia="Times New Roman" w:hAnsi="Times New Roman" w:cs="Times New Roman"/>
          <w:sz w:val="24"/>
          <w:szCs w:val="24"/>
        </w:rPr>
      </w:pPr>
    </w:p>
    <w:p w14:paraId="0A202B5A" w14:textId="77777777" w:rsidR="007C242F" w:rsidRDefault="007C242F">
      <w:pPr>
        <w:jc w:val="both"/>
        <w:rPr>
          <w:rFonts w:ascii="Times New Roman" w:eastAsia="Times New Roman" w:hAnsi="Times New Roman" w:cs="Times New Roman"/>
          <w:sz w:val="24"/>
          <w:szCs w:val="24"/>
        </w:rPr>
      </w:pPr>
    </w:p>
    <w:p w14:paraId="0F2BD997"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Respetado presidente, reciba un cordial saludo, atendiendo a lo establecido en los artículos 150, 153 y 156 de la Ley 5° de 1992 y con base en la honrosa designación como ponente en calidad de presidente de la Comisión Primera Constitucional Permanente de la Cámara, nos hiciera mediante Acta 30 notificada el 16 de abril de 2026. Por medio de la cual presente escrito me permito rendir Informe de Ponencia para primer debate </w:t>
      </w:r>
      <w:r>
        <w:rPr>
          <w:rFonts w:ascii="Times New Roman" w:eastAsia="Times New Roman" w:hAnsi="Times New Roman" w:cs="Times New Roman"/>
          <w:b/>
          <w:bCs/>
        </w:rPr>
        <w:t>Proyecto de Ley 277 de 2025 Cámara “Por medio del cual se deroga la ley 2272 de 2022 (LEY DE PAZ TOTAL)”.</w:t>
      </w:r>
    </w:p>
    <w:p w14:paraId="20472AAF" w14:textId="77777777" w:rsidR="007C242F" w:rsidRDefault="007C242F">
      <w:pPr>
        <w:jc w:val="both"/>
        <w:rPr>
          <w:rFonts w:ascii="Times New Roman" w:eastAsia="Times New Roman" w:hAnsi="Times New Roman" w:cs="Times New Roman"/>
          <w:sz w:val="24"/>
          <w:szCs w:val="24"/>
        </w:rPr>
      </w:pPr>
    </w:p>
    <w:p w14:paraId="653D3139" w14:textId="77777777" w:rsidR="007C242F" w:rsidRDefault="007C242F">
      <w:pPr>
        <w:jc w:val="both"/>
        <w:rPr>
          <w:rFonts w:ascii="Times New Roman" w:eastAsia="Times New Roman" w:hAnsi="Times New Roman" w:cs="Times New Roman"/>
          <w:sz w:val="24"/>
          <w:szCs w:val="24"/>
        </w:rPr>
      </w:pPr>
    </w:p>
    <w:p w14:paraId="779633A4"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Atentamente,</w:t>
      </w:r>
    </w:p>
    <w:p w14:paraId="584815E9" w14:textId="77777777" w:rsidR="007C242F" w:rsidRDefault="007C242F">
      <w:pPr>
        <w:jc w:val="both"/>
        <w:rPr>
          <w:rFonts w:ascii="Times New Roman" w:eastAsia="Times New Roman" w:hAnsi="Times New Roman" w:cs="Times New Roman"/>
          <w:sz w:val="24"/>
          <w:szCs w:val="24"/>
        </w:rPr>
      </w:pPr>
    </w:p>
    <w:p w14:paraId="607D64BC" w14:textId="77777777" w:rsidR="007C242F" w:rsidRDefault="007C242F">
      <w:pPr>
        <w:jc w:val="both"/>
        <w:rPr>
          <w:rFonts w:ascii="Times New Roman" w:eastAsia="Times New Roman" w:hAnsi="Times New Roman" w:cs="Times New Roman"/>
          <w:sz w:val="24"/>
          <w:szCs w:val="24"/>
        </w:rPr>
      </w:pPr>
    </w:p>
    <w:p w14:paraId="458E5903" w14:textId="77777777" w:rsidR="007C242F" w:rsidRDefault="007C242F">
      <w:pPr>
        <w:jc w:val="both"/>
        <w:rPr>
          <w:rFonts w:ascii="Times New Roman" w:eastAsia="Times New Roman" w:hAnsi="Times New Roman" w:cs="Times New Roman"/>
          <w:sz w:val="24"/>
          <w:szCs w:val="24"/>
        </w:rPr>
      </w:pPr>
    </w:p>
    <w:p w14:paraId="00F9A455" w14:textId="77777777" w:rsidR="007C242F" w:rsidRDefault="007C242F">
      <w:pPr>
        <w:jc w:val="both"/>
        <w:rPr>
          <w:rFonts w:ascii="Times New Roman" w:eastAsia="Times New Roman" w:hAnsi="Times New Roman" w:cs="Times New Roman"/>
          <w:sz w:val="24"/>
          <w:szCs w:val="24"/>
        </w:rPr>
      </w:pPr>
    </w:p>
    <w:p w14:paraId="0421F500" w14:textId="77777777" w:rsidR="007C242F" w:rsidRDefault="007C242F">
      <w:pPr>
        <w:rPr>
          <w:rFonts w:ascii="Times New Roman" w:eastAsia="Times New Roman" w:hAnsi="Times New Roman" w:cs="Times New Roman"/>
          <w:b/>
          <w:bCs/>
        </w:rPr>
      </w:pPr>
    </w:p>
    <w:p w14:paraId="25C0A33F" w14:textId="77777777" w:rsidR="007C242F" w:rsidRDefault="007C242F">
      <w:pPr>
        <w:rPr>
          <w:rFonts w:ascii="Times New Roman" w:eastAsia="Times New Roman" w:hAnsi="Times New Roman" w:cs="Times New Roman"/>
          <w:b/>
          <w:bCs/>
          <w:sz w:val="21"/>
          <w:szCs w:val="21"/>
        </w:rPr>
      </w:pPr>
    </w:p>
    <w:p w14:paraId="6A43673D" w14:textId="77777777" w:rsidR="007C242F" w:rsidRDefault="00000000">
      <w:pPr>
        <w:pBdr>
          <w:top w:val="nil"/>
          <w:left w:val="nil"/>
          <w:bottom w:val="nil"/>
          <w:right w:val="nil"/>
          <w:between w:val="nil"/>
        </w:pBdr>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z w:val="21"/>
          <w:szCs w:val="21"/>
        </w:rPr>
        <w:t xml:space="preserve">MIGUEL ABRAHAM POLO </w:t>
      </w:r>
      <w:proofErr w:type="spellStart"/>
      <w:r>
        <w:rPr>
          <w:rFonts w:ascii="Times New Roman" w:eastAsia="Times New Roman" w:hAnsi="Times New Roman" w:cs="Times New Roman"/>
          <w:b/>
          <w:bCs/>
          <w:color w:val="000000"/>
          <w:sz w:val="21"/>
          <w:szCs w:val="21"/>
        </w:rPr>
        <w:t>POLO</w:t>
      </w:r>
      <w:proofErr w:type="spellEnd"/>
      <w:r>
        <w:rPr>
          <w:rFonts w:ascii="Times New Roman" w:eastAsia="Times New Roman" w:hAnsi="Times New Roman" w:cs="Times New Roman"/>
          <w:b/>
          <w:bCs/>
          <w:color w:val="000000"/>
          <w:sz w:val="21"/>
          <w:szCs w:val="21"/>
        </w:rPr>
        <w:t xml:space="preserve">   </w:t>
      </w:r>
      <w:r>
        <w:rPr>
          <w:rFonts w:ascii="Times New Roman" w:eastAsia="Times New Roman" w:hAnsi="Times New Roman" w:cs="Times New Roman"/>
          <w:b/>
          <w:bCs/>
          <w:color w:val="000000"/>
          <w:sz w:val="21"/>
          <w:szCs w:val="21"/>
        </w:rPr>
        <w:tab/>
      </w:r>
      <w:r>
        <w:rPr>
          <w:rFonts w:ascii="Times New Roman" w:eastAsia="Times New Roman" w:hAnsi="Times New Roman" w:cs="Times New Roman"/>
          <w:b/>
          <w:bCs/>
          <w:color w:val="000000"/>
          <w:sz w:val="21"/>
          <w:szCs w:val="21"/>
        </w:rPr>
        <w:tab/>
      </w:r>
      <w:r>
        <w:rPr>
          <w:rFonts w:ascii="Times New Roman" w:eastAsia="Times New Roman" w:hAnsi="Times New Roman" w:cs="Times New Roman"/>
          <w:b/>
          <w:bCs/>
          <w:color w:val="000000"/>
          <w:sz w:val="21"/>
          <w:szCs w:val="21"/>
        </w:rPr>
        <w:tab/>
      </w:r>
      <w:r>
        <w:rPr>
          <w:rFonts w:ascii="Times New Roman" w:eastAsia="Times New Roman" w:hAnsi="Times New Roman" w:cs="Times New Roman"/>
          <w:b/>
          <w:bCs/>
          <w:color w:val="000000"/>
          <w:sz w:val="21"/>
          <w:szCs w:val="21"/>
        </w:rPr>
        <w:tab/>
        <w:t xml:space="preserve"> DELCY ESPERANZA ISAZA BUENAVENTURA,</w:t>
      </w:r>
    </w:p>
    <w:p w14:paraId="36DC6BF6" w14:textId="77777777" w:rsidR="007C242F" w:rsidRDefault="00000000">
      <w:pP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 xml:space="preserve">REPRESENTANTE A LA CÁMARA </w:t>
      </w:r>
      <w:r>
        <w:rPr>
          <w:rFonts w:ascii="Times New Roman" w:eastAsia="Times New Roman" w:hAnsi="Times New Roman" w:cs="Times New Roman"/>
          <w:b/>
          <w:bCs/>
          <w:sz w:val="21"/>
          <w:szCs w:val="21"/>
        </w:rPr>
        <w:tab/>
      </w:r>
      <w:r>
        <w:rPr>
          <w:rFonts w:ascii="Times New Roman" w:eastAsia="Times New Roman" w:hAnsi="Times New Roman" w:cs="Times New Roman"/>
          <w:b/>
          <w:bCs/>
          <w:sz w:val="21"/>
          <w:szCs w:val="21"/>
        </w:rPr>
        <w:tab/>
      </w:r>
      <w:r>
        <w:rPr>
          <w:rFonts w:ascii="Times New Roman" w:eastAsia="Times New Roman" w:hAnsi="Times New Roman" w:cs="Times New Roman"/>
          <w:b/>
          <w:bCs/>
          <w:sz w:val="21"/>
          <w:szCs w:val="21"/>
        </w:rPr>
        <w:tab/>
      </w:r>
      <w:r>
        <w:rPr>
          <w:rFonts w:ascii="Times New Roman" w:eastAsia="Times New Roman" w:hAnsi="Times New Roman" w:cs="Times New Roman"/>
          <w:b/>
          <w:bCs/>
          <w:sz w:val="21"/>
          <w:szCs w:val="21"/>
        </w:rPr>
        <w:tab/>
        <w:t>REPRESENTANTE A LA CÁMARA</w:t>
      </w:r>
    </w:p>
    <w:p w14:paraId="4126819A" w14:textId="77777777" w:rsidR="007C242F" w:rsidRDefault="007C242F">
      <w:pPr>
        <w:rPr>
          <w:rFonts w:ascii="Times New Roman" w:eastAsia="Times New Roman" w:hAnsi="Times New Roman" w:cs="Times New Roman"/>
          <w:b/>
          <w:bCs/>
          <w:sz w:val="21"/>
          <w:szCs w:val="21"/>
        </w:rPr>
      </w:pPr>
    </w:p>
    <w:p w14:paraId="7D46C47D"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1"/>
          <w:szCs w:val="21"/>
        </w:rPr>
      </w:pPr>
    </w:p>
    <w:p w14:paraId="1EECDD8F"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1"/>
          <w:szCs w:val="21"/>
        </w:rPr>
      </w:pPr>
    </w:p>
    <w:p w14:paraId="7FFC6ADF"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1"/>
          <w:szCs w:val="21"/>
        </w:rPr>
      </w:pPr>
    </w:p>
    <w:p w14:paraId="119CE87F"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1"/>
          <w:szCs w:val="21"/>
        </w:rPr>
      </w:pPr>
    </w:p>
    <w:p w14:paraId="4B9010CD"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1"/>
          <w:szCs w:val="21"/>
        </w:rPr>
      </w:pPr>
    </w:p>
    <w:p w14:paraId="70E158F1" w14:textId="77777777" w:rsidR="007C242F" w:rsidRDefault="00000000">
      <w:pPr>
        <w:pBdr>
          <w:top w:val="nil"/>
          <w:left w:val="nil"/>
          <w:bottom w:val="nil"/>
          <w:right w:val="nil"/>
          <w:between w:val="nil"/>
        </w:pBdr>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z w:val="21"/>
          <w:szCs w:val="21"/>
        </w:rPr>
        <w:t xml:space="preserve">DUVALIER SÁNCHEZ ARANGO                               </w:t>
      </w:r>
      <w:r>
        <w:rPr>
          <w:rFonts w:ascii="Times New Roman" w:eastAsia="Times New Roman" w:hAnsi="Times New Roman" w:cs="Times New Roman"/>
          <w:b/>
          <w:bCs/>
          <w:color w:val="000000"/>
          <w:sz w:val="21"/>
          <w:szCs w:val="21"/>
        </w:rPr>
        <w:tab/>
      </w:r>
      <w:r>
        <w:rPr>
          <w:rFonts w:ascii="Times New Roman" w:eastAsia="Times New Roman" w:hAnsi="Times New Roman" w:cs="Times New Roman"/>
          <w:b/>
          <w:bCs/>
          <w:color w:val="000000"/>
          <w:sz w:val="21"/>
          <w:szCs w:val="21"/>
        </w:rPr>
        <w:tab/>
        <w:t xml:space="preserve"> JAMES HERMENEGILDO MOSQUERA TORRES,</w:t>
      </w:r>
    </w:p>
    <w:p w14:paraId="101E18E7" w14:textId="77777777" w:rsidR="007C242F" w:rsidRDefault="00000000">
      <w:pP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 xml:space="preserve">REPRESENTANTE A LA CÁMARA </w:t>
      </w:r>
      <w:r>
        <w:rPr>
          <w:rFonts w:ascii="Times New Roman" w:eastAsia="Times New Roman" w:hAnsi="Times New Roman" w:cs="Times New Roman"/>
          <w:b/>
          <w:bCs/>
          <w:sz w:val="21"/>
          <w:szCs w:val="21"/>
        </w:rPr>
        <w:tab/>
      </w:r>
      <w:r>
        <w:rPr>
          <w:rFonts w:ascii="Times New Roman" w:eastAsia="Times New Roman" w:hAnsi="Times New Roman" w:cs="Times New Roman"/>
          <w:b/>
          <w:bCs/>
          <w:sz w:val="21"/>
          <w:szCs w:val="21"/>
        </w:rPr>
        <w:tab/>
      </w:r>
      <w:r>
        <w:rPr>
          <w:rFonts w:ascii="Times New Roman" w:eastAsia="Times New Roman" w:hAnsi="Times New Roman" w:cs="Times New Roman"/>
          <w:b/>
          <w:bCs/>
          <w:sz w:val="21"/>
          <w:szCs w:val="21"/>
        </w:rPr>
        <w:tab/>
      </w:r>
      <w:r>
        <w:rPr>
          <w:rFonts w:ascii="Times New Roman" w:eastAsia="Times New Roman" w:hAnsi="Times New Roman" w:cs="Times New Roman"/>
          <w:b/>
          <w:bCs/>
          <w:sz w:val="21"/>
          <w:szCs w:val="21"/>
        </w:rPr>
        <w:tab/>
        <w:t>REPRESENTANTE A LA CÁMARA</w:t>
      </w:r>
    </w:p>
    <w:p w14:paraId="6DAE196D" w14:textId="77777777" w:rsidR="007C242F" w:rsidRDefault="007C242F">
      <w:pPr>
        <w:rPr>
          <w:rFonts w:ascii="Times New Roman" w:eastAsia="Times New Roman" w:hAnsi="Times New Roman" w:cs="Times New Roman"/>
          <w:b/>
          <w:bCs/>
          <w:sz w:val="21"/>
          <w:szCs w:val="21"/>
        </w:rPr>
      </w:pPr>
    </w:p>
    <w:p w14:paraId="4B125DB0" w14:textId="77777777" w:rsidR="007C242F" w:rsidRDefault="007C242F">
      <w:pPr>
        <w:rPr>
          <w:rFonts w:ascii="Times New Roman" w:eastAsia="Times New Roman" w:hAnsi="Times New Roman" w:cs="Times New Roman"/>
          <w:b/>
          <w:bCs/>
          <w:sz w:val="21"/>
          <w:szCs w:val="21"/>
        </w:rPr>
      </w:pPr>
    </w:p>
    <w:p w14:paraId="1AA102C7" w14:textId="77777777" w:rsidR="007C242F" w:rsidRDefault="007C242F">
      <w:pPr>
        <w:rPr>
          <w:rFonts w:ascii="Times New Roman" w:eastAsia="Times New Roman" w:hAnsi="Times New Roman" w:cs="Times New Roman"/>
          <w:b/>
          <w:bCs/>
          <w:sz w:val="21"/>
          <w:szCs w:val="21"/>
        </w:rPr>
      </w:pPr>
    </w:p>
    <w:p w14:paraId="2DF45DF7" w14:textId="77777777" w:rsidR="007C242F" w:rsidRDefault="007C242F">
      <w:pPr>
        <w:rPr>
          <w:rFonts w:ascii="Times New Roman" w:eastAsia="Times New Roman" w:hAnsi="Times New Roman" w:cs="Times New Roman"/>
          <w:b/>
          <w:bCs/>
          <w:sz w:val="21"/>
          <w:szCs w:val="21"/>
        </w:rPr>
      </w:pPr>
    </w:p>
    <w:p w14:paraId="12C5A61F" w14:textId="77777777" w:rsidR="007C242F" w:rsidRDefault="007C242F">
      <w:pPr>
        <w:rPr>
          <w:rFonts w:ascii="Times New Roman" w:eastAsia="Times New Roman" w:hAnsi="Times New Roman" w:cs="Times New Roman"/>
          <w:b/>
          <w:bCs/>
          <w:sz w:val="21"/>
          <w:szCs w:val="21"/>
        </w:rPr>
      </w:pPr>
    </w:p>
    <w:p w14:paraId="4382C17D" w14:textId="77777777" w:rsidR="007C242F" w:rsidRDefault="007C242F">
      <w:pPr>
        <w:rPr>
          <w:rFonts w:ascii="Times New Roman" w:eastAsia="Times New Roman" w:hAnsi="Times New Roman" w:cs="Times New Roman"/>
          <w:b/>
          <w:bCs/>
          <w:sz w:val="21"/>
          <w:szCs w:val="21"/>
        </w:rPr>
      </w:pPr>
    </w:p>
    <w:p w14:paraId="0A45A42B" w14:textId="77777777" w:rsidR="007C242F" w:rsidRDefault="007C242F">
      <w:pPr>
        <w:rPr>
          <w:rFonts w:ascii="Times New Roman" w:eastAsia="Times New Roman" w:hAnsi="Times New Roman" w:cs="Times New Roman"/>
          <w:b/>
          <w:bCs/>
          <w:sz w:val="21"/>
          <w:szCs w:val="21"/>
        </w:rPr>
      </w:pPr>
    </w:p>
    <w:p w14:paraId="2CB7AB3D" w14:textId="77777777" w:rsidR="007C242F" w:rsidRDefault="007C242F">
      <w:pPr>
        <w:rPr>
          <w:rFonts w:ascii="Times New Roman" w:eastAsia="Times New Roman" w:hAnsi="Times New Roman" w:cs="Times New Roman"/>
          <w:b/>
          <w:bCs/>
          <w:sz w:val="21"/>
          <w:szCs w:val="21"/>
        </w:rPr>
      </w:pPr>
    </w:p>
    <w:p w14:paraId="1D30FDAE" w14:textId="77777777" w:rsidR="007C242F" w:rsidRDefault="007C242F">
      <w:pPr>
        <w:rPr>
          <w:rFonts w:ascii="Times New Roman" w:eastAsia="Times New Roman" w:hAnsi="Times New Roman" w:cs="Times New Roman"/>
          <w:b/>
          <w:bCs/>
          <w:sz w:val="21"/>
          <w:szCs w:val="21"/>
        </w:rPr>
      </w:pPr>
    </w:p>
    <w:p w14:paraId="7B80D0BA" w14:textId="77777777" w:rsidR="007C242F" w:rsidRDefault="007C242F">
      <w:pPr>
        <w:rPr>
          <w:rFonts w:ascii="Times New Roman" w:eastAsia="Times New Roman" w:hAnsi="Times New Roman" w:cs="Times New Roman"/>
          <w:b/>
          <w:bCs/>
          <w:sz w:val="21"/>
          <w:szCs w:val="21"/>
        </w:rPr>
      </w:pPr>
    </w:p>
    <w:p w14:paraId="17D46B94" w14:textId="77777777" w:rsidR="007C242F" w:rsidRDefault="007C242F">
      <w:pPr>
        <w:rPr>
          <w:rFonts w:ascii="Times New Roman" w:eastAsia="Times New Roman" w:hAnsi="Times New Roman" w:cs="Times New Roman"/>
          <w:b/>
          <w:bCs/>
          <w:sz w:val="21"/>
          <w:szCs w:val="21"/>
        </w:rPr>
      </w:pPr>
    </w:p>
    <w:p w14:paraId="4B2FD7EB" w14:textId="77777777" w:rsidR="007C242F" w:rsidRDefault="007C242F">
      <w:pPr>
        <w:rPr>
          <w:rFonts w:ascii="Times New Roman" w:eastAsia="Times New Roman" w:hAnsi="Times New Roman" w:cs="Times New Roman"/>
          <w:b/>
          <w:bCs/>
          <w:sz w:val="21"/>
          <w:szCs w:val="21"/>
        </w:rPr>
      </w:pPr>
    </w:p>
    <w:p w14:paraId="057B3355"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1"/>
          <w:szCs w:val="21"/>
        </w:rPr>
      </w:pPr>
    </w:p>
    <w:p w14:paraId="626CF900" w14:textId="77777777" w:rsidR="007C242F" w:rsidRDefault="00000000">
      <w:pPr>
        <w:pBdr>
          <w:top w:val="nil"/>
          <w:left w:val="nil"/>
          <w:bottom w:val="nil"/>
          <w:right w:val="nil"/>
          <w:between w:val="nil"/>
        </w:pBdr>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z w:val="21"/>
          <w:szCs w:val="21"/>
        </w:rPr>
        <w:t xml:space="preserve">JORGE ELIECER TAMAYO MARULANDA, </w:t>
      </w:r>
      <w:r>
        <w:rPr>
          <w:rFonts w:ascii="Times New Roman" w:eastAsia="Times New Roman" w:hAnsi="Times New Roman" w:cs="Times New Roman"/>
          <w:b/>
          <w:bCs/>
          <w:color w:val="000000"/>
          <w:sz w:val="21"/>
          <w:szCs w:val="21"/>
        </w:rPr>
        <w:tab/>
      </w:r>
      <w:r>
        <w:rPr>
          <w:rFonts w:ascii="Times New Roman" w:eastAsia="Times New Roman" w:hAnsi="Times New Roman" w:cs="Times New Roman"/>
          <w:b/>
          <w:bCs/>
          <w:color w:val="000000"/>
          <w:sz w:val="21"/>
          <w:szCs w:val="21"/>
        </w:rPr>
        <w:tab/>
      </w:r>
      <w:r>
        <w:rPr>
          <w:rFonts w:ascii="Times New Roman" w:eastAsia="Times New Roman" w:hAnsi="Times New Roman" w:cs="Times New Roman"/>
          <w:b/>
          <w:bCs/>
          <w:color w:val="000000"/>
          <w:sz w:val="21"/>
          <w:szCs w:val="21"/>
        </w:rPr>
        <w:tab/>
        <w:t>KARYME ADRANA COTES MARTÍNEZ,</w:t>
      </w:r>
    </w:p>
    <w:p w14:paraId="09996CE4" w14:textId="77777777" w:rsidR="007C242F" w:rsidRDefault="00000000">
      <w:pP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 xml:space="preserve">REPRESENTANTE A LA CÁMARA </w:t>
      </w:r>
      <w:r>
        <w:rPr>
          <w:rFonts w:ascii="Times New Roman" w:eastAsia="Times New Roman" w:hAnsi="Times New Roman" w:cs="Times New Roman"/>
          <w:b/>
          <w:bCs/>
          <w:sz w:val="21"/>
          <w:szCs w:val="21"/>
        </w:rPr>
        <w:tab/>
      </w:r>
      <w:r>
        <w:rPr>
          <w:rFonts w:ascii="Times New Roman" w:eastAsia="Times New Roman" w:hAnsi="Times New Roman" w:cs="Times New Roman"/>
          <w:b/>
          <w:bCs/>
          <w:sz w:val="21"/>
          <w:szCs w:val="21"/>
        </w:rPr>
        <w:tab/>
      </w:r>
      <w:r>
        <w:rPr>
          <w:rFonts w:ascii="Times New Roman" w:eastAsia="Times New Roman" w:hAnsi="Times New Roman" w:cs="Times New Roman"/>
          <w:b/>
          <w:bCs/>
          <w:sz w:val="21"/>
          <w:szCs w:val="21"/>
        </w:rPr>
        <w:tab/>
      </w:r>
      <w:r>
        <w:rPr>
          <w:rFonts w:ascii="Times New Roman" w:eastAsia="Times New Roman" w:hAnsi="Times New Roman" w:cs="Times New Roman"/>
          <w:b/>
          <w:bCs/>
          <w:sz w:val="21"/>
          <w:szCs w:val="21"/>
        </w:rPr>
        <w:tab/>
        <w:t>REPRESENTANTE A LA CÁMARA</w:t>
      </w:r>
    </w:p>
    <w:p w14:paraId="5DF30BEB"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1"/>
          <w:szCs w:val="21"/>
        </w:rPr>
      </w:pPr>
    </w:p>
    <w:p w14:paraId="501D0CD6"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1"/>
          <w:szCs w:val="21"/>
        </w:rPr>
      </w:pPr>
    </w:p>
    <w:p w14:paraId="05825F1D"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1"/>
          <w:szCs w:val="21"/>
        </w:rPr>
      </w:pPr>
    </w:p>
    <w:p w14:paraId="75878831"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1"/>
          <w:szCs w:val="21"/>
        </w:rPr>
      </w:pPr>
    </w:p>
    <w:p w14:paraId="6B80A387"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1"/>
          <w:szCs w:val="21"/>
        </w:rPr>
      </w:pPr>
    </w:p>
    <w:p w14:paraId="410E6941"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1"/>
          <w:szCs w:val="21"/>
        </w:rPr>
      </w:pPr>
    </w:p>
    <w:p w14:paraId="60E8BC27" w14:textId="77777777" w:rsidR="007C242F" w:rsidRDefault="00000000">
      <w:pPr>
        <w:pBdr>
          <w:top w:val="nil"/>
          <w:left w:val="nil"/>
          <w:bottom w:val="nil"/>
          <w:right w:val="nil"/>
          <w:between w:val="nil"/>
        </w:pBdr>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z w:val="21"/>
          <w:szCs w:val="21"/>
        </w:rPr>
        <w:t xml:space="preserve">LUIS ALBERTO ALBÁN URBANO </w:t>
      </w:r>
      <w:r>
        <w:rPr>
          <w:rFonts w:ascii="Times New Roman" w:eastAsia="Times New Roman" w:hAnsi="Times New Roman" w:cs="Times New Roman"/>
          <w:b/>
          <w:bCs/>
          <w:color w:val="000000"/>
          <w:sz w:val="21"/>
          <w:szCs w:val="21"/>
        </w:rPr>
        <w:tab/>
      </w:r>
      <w:r>
        <w:rPr>
          <w:rFonts w:ascii="Times New Roman" w:eastAsia="Times New Roman" w:hAnsi="Times New Roman" w:cs="Times New Roman"/>
          <w:b/>
          <w:bCs/>
          <w:color w:val="000000"/>
          <w:sz w:val="21"/>
          <w:szCs w:val="21"/>
        </w:rPr>
        <w:tab/>
      </w:r>
      <w:r>
        <w:rPr>
          <w:rFonts w:ascii="Times New Roman" w:eastAsia="Times New Roman" w:hAnsi="Times New Roman" w:cs="Times New Roman"/>
          <w:b/>
          <w:bCs/>
          <w:color w:val="000000"/>
          <w:sz w:val="21"/>
          <w:szCs w:val="21"/>
        </w:rPr>
        <w:tab/>
      </w:r>
      <w:r>
        <w:rPr>
          <w:rFonts w:ascii="Times New Roman" w:eastAsia="Times New Roman" w:hAnsi="Times New Roman" w:cs="Times New Roman"/>
          <w:b/>
          <w:bCs/>
          <w:color w:val="000000"/>
          <w:sz w:val="21"/>
          <w:szCs w:val="21"/>
        </w:rPr>
        <w:tab/>
        <w:t>LUZ AYDA PASTRANA LOAIZA,</w:t>
      </w:r>
    </w:p>
    <w:p w14:paraId="5B870054" w14:textId="77777777" w:rsidR="007C242F" w:rsidRDefault="00000000">
      <w:pP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 xml:space="preserve">REPRESENTANTE A LA CÁMARA </w:t>
      </w:r>
      <w:r>
        <w:rPr>
          <w:rFonts w:ascii="Times New Roman" w:eastAsia="Times New Roman" w:hAnsi="Times New Roman" w:cs="Times New Roman"/>
          <w:b/>
          <w:bCs/>
          <w:sz w:val="21"/>
          <w:szCs w:val="21"/>
        </w:rPr>
        <w:tab/>
      </w:r>
      <w:r>
        <w:rPr>
          <w:rFonts w:ascii="Times New Roman" w:eastAsia="Times New Roman" w:hAnsi="Times New Roman" w:cs="Times New Roman"/>
          <w:b/>
          <w:bCs/>
          <w:sz w:val="21"/>
          <w:szCs w:val="21"/>
        </w:rPr>
        <w:tab/>
      </w:r>
      <w:r>
        <w:rPr>
          <w:rFonts w:ascii="Times New Roman" w:eastAsia="Times New Roman" w:hAnsi="Times New Roman" w:cs="Times New Roman"/>
          <w:b/>
          <w:bCs/>
          <w:sz w:val="21"/>
          <w:szCs w:val="21"/>
        </w:rPr>
        <w:tab/>
      </w:r>
      <w:r>
        <w:rPr>
          <w:rFonts w:ascii="Times New Roman" w:eastAsia="Times New Roman" w:hAnsi="Times New Roman" w:cs="Times New Roman"/>
          <w:b/>
          <w:bCs/>
          <w:sz w:val="21"/>
          <w:szCs w:val="21"/>
        </w:rPr>
        <w:tab/>
        <w:t xml:space="preserve"> REPRESENTANTE A LA CÁMARA</w:t>
      </w:r>
    </w:p>
    <w:p w14:paraId="65248063"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4"/>
          <w:szCs w:val="24"/>
        </w:rPr>
      </w:pPr>
    </w:p>
    <w:p w14:paraId="445E490E"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4"/>
          <w:szCs w:val="24"/>
        </w:rPr>
      </w:pPr>
    </w:p>
    <w:p w14:paraId="702577EC"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4"/>
          <w:szCs w:val="24"/>
        </w:rPr>
      </w:pPr>
    </w:p>
    <w:p w14:paraId="687690C4"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4"/>
          <w:szCs w:val="24"/>
        </w:rPr>
      </w:pPr>
    </w:p>
    <w:p w14:paraId="279CAEF5"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4"/>
          <w:szCs w:val="24"/>
        </w:rPr>
      </w:pPr>
    </w:p>
    <w:p w14:paraId="40F0BB3B"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4"/>
          <w:szCs w:val="24"/>
        </w:rPr>
      </w:pPr>
    </w:p>
    <w:p w14:paraId="6E4B922F" w14:textId="77777777" w:rsidR="007C242F" w:rsidRDefault="00000000">
      <w:pPr>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MARELEN CASTILLO TORRES. </w:t>
      </w:r>
    </w:p>
    <w:p w14:paraId="6434076A" w14:textId="77777777" w:rsidR="007C242F" w:rsidRDefault="00000000">
      <w:pPr>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REPRESENTANTE A LA CÁMARA </w:t>
      </w:r>
    </w:p>
    <w:p w14:paraId="3B0D4E64" w14:textId="77777777" w:rsidR="007C242F" w:rsidRDefault="007C242F">
      <w:pPr>
        <w:jc w:val="both"/>
        <w:rPr>
          <w:rFonts w:ascii="Times New Roman" w:eastAsia="Times New Roman" w:hAnsi="Times New Roman" w:cs="Times New Roman"/>
          <w:b/>
          <w:bCs/>
          <w:sz w:val="24"/>
          <w:szCs w:val="24"/>
        </w:rPr>
      </w:pPr>
    </w:p>
    <w:p w14:paraId="088526DA" w14:textId="77777777" w:rsidR="007C242F" w:rsidRDefault="007C242F">
      <w:pPr>
        <w:jc w:val="both"/>
        <w:rPr>
          <w:rFonts w:ascii="Times New Roman" w:eastAsia="Times New Roman" w:hAnsi="Times New Roman" w:cs="Times New Roman"/>
          <w:b/>
          <w:bCs/>
          <w:sz w:val="24"/>
          <w:szCs w:val="24"/>
        </w:rPr>
      </w:pPr>
    </w:p>
    <w:p w14:paraId="77302879" w14:textId="77777777" w:rsidR="007C242F" w:rsidRDefault="007C242F">
      <w:pPr>
        <w:jc w:val="both"/>
        <w:rPr>
          <w:rFonts w:ascii="Times New Roman" w:eastAsia="Times New Roman" w:hAnsi="Times New Roman" w:cs="Times New Roman"/>
          <w:b/>
          <w:bCs/>
          <w:sz w:val="24"/>
          <w:szCs w:val="24"/>
        </w:rPr>
      </w:pPr>
    </w:p>
    <w:p w14:paraId="0D8D9B67" w14:textId="77777777" w:rsidR="007C242F" w:rsidRDefault="007C242F">
      <w:pPr>
        <w:jc w:val="both"/>
        <w:rPr>
          <w:rFonts w:ascii="Times New Roman" w:eastAsia="Times New Roman" w:hAnsi="Times New Roman" w:cs="Times New Roman"/>
          <w:b/>
          <w:bCs/>
          <w:sz w:val="24"/>
          <w:szCs w:val="24"/>
        </w:rPr>
      </w:pPr>
    </w:p>
    <w:p w14:paraId="0C8F720C" w14:textId="77777777" w:rsidR="007C242F" w:rsidRDefault="007C242F">
      <w:pPr>
        <w:jc w:val="both"/>
        <w:rPr>
          <w:rFonts w:ascii="Times New Roman" w:eastAsia="Times New Roman" w:hAnsi="Times New Roman" w:cs="Times New Roman"/>
          <w:b/>
          <w:bCs/>
          <w:sz w:val="24"/>
          <w:szCs w:val="24"/>
        </w:rPr>
      </w:pPr>
    </w:p>
    <w:p w14:paraId="7616EF9A" w14:textId="77777777" w:rsidR="007C242F" w:rsidRDefault="007C242F">
      <w:pPr>
        <w:rPr>
          <w:rFonts w:ascii="Times New Roman" w:eastAsia="Times New Roman" w:hAnsi="Times New Roman" w:cs="Times New Roman"/>
          <w:b/>
          <w:bCs/>
          <w:sz w:val="24"/>
          <w:szCs w:val="24"/>
        </w:rPr>
      </w:pPr>
    </w:p>
    <w:p w14:paraId="68F2DE74" w14:textId="77777777" w:rsidR="007C242F" w:rsidRDefault="007C242F">
      <w:pPr>
        <w:rPr>
          <w:rFonts w:ascii="Times New Roman" w:eastAsia="Times New Roman" w:hAnsi="Times New Roman" w:cs="Times New Roman"/>
          <w:b/>
          <w:bCs/>
          <w:sz w:val="24"/>
          <w:szCs w:val="24"/>
        </w:rPr>
      </w:pPr>
    </w:p>
    <w:p w14:paraId="484CFD8E" w14:textId="77777777" w:rsidR="007C242F" w:rsidRDefault="007C242F">
      <w:pPr>
        <w:rPr>
          <w:rFonts w:ascii="Times New Roman" w:eastAsia="Times New Roman" w:hAnsi="Times New Roman" w:cs="Times New Roman"/>
          <w:b/>
          <w:bCs/>
          <w:sz w:val="24"/>
          <w:szCs w:val="24"/>
        </w:rPr>
      </w:pPr>
    </w:p>
    <w:p w14:paraId="4CA7FC43" w14:textId="77777777" w:rsidR="007C242F" w:rsidRDefault="00000000">
      <w:pPr>
        <w:rPr>
          <w:rFonts w:ascii="Times New Roman" w:eastAsia="Times New Roman" w:hAnsi="Times New Roman" w:cs="Times New Roman"/>
          <w:b/>
          <w:bCs/>
          <w:sz w:val="24"/>
          <w:szCs w:val="24"/>
        </w:rPr>
      </w:pPr>
      <w:r>
        <w:br w:type="page"/>
      </w:r>
    </w:p>
    <w:p w14:paraId="638581B6" w14:textId="77777777" w:rsidR="007C242F" w:rsidRDefault="007C242F">
      <w:pPr>
        <w:rPr>
          <w:rFonts w:ascii="Times New Roman" w:eastAsia="Times New Roman" w:hAnsi="Times New Roman" w:cs="Times New Roman"/>
          <w:b/>
          <w:bCs/>
          <w:sz w:val="24"/>
          <w:szCs w:val="24"/>
        </w:rPr>
      </w:pPr>
    </w:p>
    <w:p w14:paraId="13CE0820" w14:textId="77777777" w:rsidR="007C242F" w:rsidRDefault="007C242F">
      <w:pPr>
        <w:rPr>
          <w:rFonts w:ascii="Times New Roman" w:eastAsia="Times New Roman" w:hAnsi="Times New Roman" w:cs="Times New Roman"/>
          <w:b/>
          <w:bCs/>
          <w:sz w:val="24"/>
          <w:szCs w:val="24"/>
        </w:rPr>
      </w:pPr>
    </w:p>
    <w:p w14:paraId="621A6168" w14:textId="77777777" w:rsidR="007C242F" w:rsidRDefault="007C242F">
      <w:pPr>
        <w:rPr>
          <w:rFonts w:ascii="Times New Roman" w:eastAsia="Times New Roman" w:hAnsi="Times New Roman" w:cs="Times New Roman"/>
          <w:b/>
          <w:bCs/>
          <w:sz w:val="24"/>
          <w:szCs w:val="24"/>
        </w:rPr>
      </w:pPr>
    </w:p>
    <w:p w14:paraId="2917ABF3" w14:textId="77777777" w:rsidR="007C242F" w:rsidRDefault="007C242F">
      <w:pPr>
        <w:rPr>
          <w:rFonts w:ascii="Times New Roman" w:eastAsia="Times New Roman" w:hAnsi="Times New Roman" w:cs="Times New Roman"/>
          <w:b/>
          <w:bCs/>
          <w:sz w:val="24"/>
          <w:szCs w:val="24"/>
        </w:rPr>
      </w:pPr>
    </w:p>
    <w:p w14:paraId="0C2C429A" w14:textId="77777777" w:rsidR="007C242F" w:rsidRDefault="007C242F">
      <w:pPr>
        <w:jc w:val="both"/>
        <w:rPr>
          <w:rFonts w:ascii="Times New Roman" w:eastAsia="Times New Roman" w:hAnsi="Times New Roman" w:cs="Times New Roman"/>
          <w:b/>
          <w:bCs/>
          <w:sz w:val="24"/>
          <w:szCs w:val="24"/>
        </w:rPr>
      </w:pPr>
    </w:p>
    <w:p w14:paraId="1903BFB3" w14:textId="77777777" w:rsidR="007C242F"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INFORME DE PONENCIA POSITIVA PARA PRIMER DEBATE </w:t>
      </w:r>
    </w:p>
    <w:p w14:paraId="3FDE00E2" w14:textId="77777777" w:rsidR="007C242F" w:rsidRDefault="007C242F">
      <w:pPr>
        <w:jc w:val="center"/>
        <w:rPr>
          <w:rFonts w:ascii="Times New Roman" w:eastAsia="Times New Roman" w:hAnsi="Times New Roman" w:cs="Times New Roman"/>
          <w:b/>
          <w:bCs/>
          <w:sz w:val="24"/>
          <w:szCs w:val="24"/>
        </w:rPr>
      </w:pPr>
    </w:p>
    <w:p w14:paraId="42D4A330" w14:textId="77777777" w:rsidR="007C242F"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 xml:space="preserve">Proyecto de Ley 277 de 2025 Cámara </w:t>
      </w:r>
    </w:p>
    <w:p w14:paraId="72852E0B" w14:textId="77777777" w:rsidR="007C242F" w:rsidRDefault="007C242F">
      <w:pPr>
        <w:jc w:val="center"/>
        <w:rPr>
          <w:rFonts w:ascii="Times New Roman" w:eastAsia="Times New Roman" w:hAnsi="Times New Roman" w:cs="Times New Roman"/>
          <w:b/>
          <w:bCs/>
        </w:rPr>
      </w:pPr>
    </w:p>
    <w:p w14:paraId="7A445261" w14:textId="77777777" w:rsidR="007C242F" w:rsidRDefault="00000000">
      <w:pPr>
        <w:jc w:val="center"/>
        <w:rPr>
          <w:rFonts w:ascii="Times New Roman" w:eastAsia="Times New Roman" w:hAnsi="Times New Roman" w:cs="Times New Roman"/>
          <w:i/>
          <w:iCs/>
          <w:sz w:val="24"/>
          <w:szCs w:val="24"/>
        </w:rPr>
      </w:pPr>
      <w:r>
        <w:rPr>
          <w:rFonts w:ascii="Times New Roman" w:eastAsia="Times New Roman" w:hAnsi="Times New Roman" w:cs="Times New Roman"/>
          <w:i/>
          <w:iCs/>
        </w:rPr>
        <w:t>“Por medio del cual se deroga la ley 2272 de 2022 (LEY DE PAZ TOTAL)”</w:t>
      </w:r>
      <w:r>
        <w:rPr>
          <w:rFonts w:ascii="Times New Roman" w:eastAsia="Times New Roman" w:hAnsi="Times New Roman" w:cs="Times New Roman"/>
          <w:i/>
          <w:iCs/>
          <w:sz w:val="24"/>
          <w:szCs w:val="24"/>
        </w:rPr>
        <w:t xml:space="preserve"> </w:t>
      </w:r>
    </w:p>
    <w:p w14:paraId="2A195324" w14:textId="77777777" w:rsidR="007C242F" w:rsidRDefault="007C242F">
      <w:pPr>
        <w:pBdr>
          <w:top w:val="nil"/>
          <w:left w:val="nil"/>
          <w:bottom w:val="nil"/>
          <w:right w:val="nil"/>
          <w:between w:val="nil"/>
        </w:pBdr>
        <w:jc w:val="center"/>
        <w:rPr>
          <w:rFonts w:ascii="Times New Roman" w:eastAsia="Times New Roman" w:hAnsi="Times New Roman" w:cs="Times New Roman"/>
          <w:color w:val="000000"/>
          <w:sz w:val="24"/>
          <w:szCs w:val="24"/>
        </w:rPr>
      </w:pPr>
    </w:p>
    <w:p w14:paraId="28976851" w14:textId="77777777" w:rsidR="007C242F" w:rsidRDefault="007C242F">
      <w:pPr>
        <w:pBdr>
          <w:top w:val="nil"/>
          <w:left w:val="nil"/>
          <w:bottom w:val="nil"/>
          <w:right w:val="nil"/>
          <w:between w:val="nil"/>
        </w:pBdr>
        <w:jc w:val="both"/>
        <w:rPr>
          <w:rFonts w:ascii="Times New Roman" w:eastAsia="Times New Roman" w:hAnsi="Times New Roman" w:cs="Times New Roman"/>
          <w:color w:val="000000"/>
          <w:sz w:val="24"/>
          <w:szCs w:val="24"/>
        </w:rPr>
      </w:pPr>
    </w:p>
    <w:p w14:paraId="5389B5E7" w14:textId="77777777" w:rsidR="007C242F" w:rsidRDefault="00000000">
      <w:pPr>
        <w:numPr>
          <w:ilvl w:val="0"/>
          <w:numId w:val="7"/>
        </w:numPr>
        <w:pBdr>
          <w:top w:val="nil"/>
          <w:left w:val="nil"/>
          <w:bottom w:val="nil"/>
          <w:right w:val="nil"/>
          <w:between w:val="nil"/>
        </w:pBdr>
        <w:ind w:left="0" w:firstLine="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OBJETO  </w:t>
      </w:r>
    </w:p>
    <w:p w14:paraId="65144DE3" w14:textId="77777777" w:rsidR="007C242F" w:rsidRDefault="007C242F">
      <w:pPr>
        <w:pBdr>
          <w:top w:val="nil"/>
          <w:left w:val="nil"/>
          <w:bottom w:val="nil"/>
          <w:right w:val="nil"/>
          <w:between w:val="nil"/>
        </w:pBdr>
        <w:jc w:val="both"/>
        <w:rPr>
          <w:rFonts w:ascii="Times New Roman" w:eastAsia="Times New Roman" w:hAnsi="Times New Roman" w:cs="Times New Roman"/>
          <w:color w:val="000000"/>
          <w:sz w:val="24"/>
          <w:szCs w:val="24"/>
        </w:rPr>
      </w:pPr>
    </w:p>
    <w:p w14:paraId="56FCD7AD" w14:textId="77777777" w:rsidR="007C242F" w:rsidRDefault="00000000">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El presente Proyecto de Ley tiene por objeto derogar la denominada </w:t>
      </w:r>
      <w:r>
        <w:rPr>
          <w:rFonts w:ascii="Times New Roman" w:eastAsia="Times New Roman" w:hAnsi="Times New Roman" w:cs="Times New Roman"/>
          <w:b/>
          <w:bCs/>
          <w:color w:val="000000"/>
          <w:sz w:val="28"/>
          <w:szCs w:val="28"/>
        </w:rPr>
        <w:t>Ley 2272 del 2022, conocida como Ley de Paz Total,</w:t>
      </w:r>
      <w:r>
        <w:rPr>
          <w:rFonts w:ascii="Times New Roman" w:eastAsia="Times New Roman" w:hAnsi="Times New Roman" w:cs="Times New Roman"/>
          <w:color w:val="000000"/>
          <w:sz w:val="28"/>
          <w:szCs w:val="28"/>
        </w:rPr>
        <w:t xml:space="preserve"> en razón al balance negativo de sus resultados en materia de seguridad ciudadana, orden público y protección de los derechos humanos. A pesar de los objetivos declarados, la implementación de dicha ley ha coincidido con un aumento de homicidios, desplazamientos forzados, reclutamiento de menores y una mayor presencia territorial de grupos armados ilegales, lo cual evidencia  que no cumplió con la finalidad de garantizar condiciones efectivas de paz. </w:t>
      </w:r>
    </w:p>
    <w:p w14:paraId="3CEAFC5D" w14:textId="77777777" w:rsidR="007C242F" w:rsidRDefault="007C242F">
      <w:pPr>
        <w:widowControl/>
        <w:pBdr>
          <w:top w:val="nil"/>
          <w:left w:val="nil"/>
          <w:bottom w:val="nil"/>
          <w:right w:val="nil"/>
          <w:between w:val="nil"/>
        </w:pBdr>
        <w:jc w:val="both"/>
        <w:rPr>
          <w:rFonts w:ascii="Times New Roman" w:eastAsia="Times New Roman" w:hAnsi="Times New Roman" w:cs="Times New Roman"/>
          <w:color w:val="000000"/>
          <w:sz w:val="28"/>
          <w:szCs w:val="28"/>
        </w:rPr>
      </w:pPr>
    </w:p>
    <w:p w14:paraId="1DE04092" w14:textId="77777777" w:rsidR="007C242F" w:rsidRDefault="007C242F">
      <w:pPr>
        <w:widowControl/>
        <w:pBdr>
          <w:top w:val="nil"/>
          <w:left w:val="nil"/>
          <w:bottom w:val="nil"/>
          <w:right w:val="nil"/>
          <w:between w:val="nil"/>
        </w:pBdr>
        <w:jc w:val="both"/>
        <w:rPr>
          <w:rFonts w:ascii="Times New Roman" w:eastAsia="Times New Roman" w:hAnsi="Times New Roman" w:cs="Times New Roman"/>
          <w:color w:val="000000"/>
          <w:sz w:val="28"/>
          <w:szCs w:val="28"/>
        </w:rPr>
      </w:pPr>
    </w:p>
    <w:p w14:paraId="3F19F123" w14:textId="77777777" w:rsidR="007C242F" w:rsidRDefault="00000000">
      <w:pPr>
        <w:numPr>
          <w:ilvl w:val="0"/>
          <w:numId w:val="7"/>
        </w:numPr>
        <w:pBdr>
          <w:top w:val="nil"/>
          <w:left w:val="nil"/>
          <w:bottom w:val="nil"/>
          <w:right w:val="nil"/>
          <w:between w:val="nil"/>
        </w:pBdr>
        <w:ind w:left="0" w:firstLine="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ANTECEDENTES DEL PROYECTO </w:t>
      </w:r>
    </w:p>
    <w:p w14:paraId="6144AC39" w14:textId="77777777" w:rsidR="007C242F" w:rsidRDefault="007C242F">
      <w:pPr>
        <w:pBdr>
          <w:top w:val="nil"/>
          <w:left w:val="nil"/>
          <w:bottom w:val="nil"/>
          <w:right w:val="nil"/>
          <w:between w:val="nil"/>
        </w:pBdr>
        <w:jc w:val="both"/>
        <w:rPr>
          <w:rFonts w:ascii="Times New Roman" w:eastAsia="Times New Roman" w:hAnsi="Times New Roman" w:cs="Times New Roman"/>
          <w:b/>
          <w:bCs/>
          <w:color w:val="000000"/>
          <w:sz w:val="24"/>
          <w:szCs w:val="24"/>
        </w:rPr>
      </w:pPr>
    </w:p>
    <w:p w14:paraId="228FDEC0" w14:textId="77777777" w:rsidR="007C242F"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presente iniciativa de Ley ordinaria, su sentir, ha sido radicada en la legislatura anterior 2024- 2025, por el  Honorable Representante Oscar Leonardo Villamizar Meneses presentada el 19 de febrero de 2025, la cual debido a su unidad de materia fue remitido a la Comisión Primera de la Cámara de Representantes el 10 de marzo de 2025 y allí fui designado mediante acta 023 de la mesa directiva como ponente único para rendir ponencia de primer debate al presente Proyecto de Ley, sin embargo la misma fe archivada de conformidad con el artículo 162 C.P. en concordancia con el artículo 190 Ley 5ª de 1992, Junio 24 de 2025, es decir, por no completar su trámite de primer debate en una legislatura.</w:t>
      </w:r>
    </w:p>
    <w:p w14:paraId="04612FA4" w14:textId="77777777" w:rsidR="007C242F" w:rsidRDefault="007C242F">
      <w:pPr>
        <w:pBdr>
          <w:top w:val="nil"/>
          <w:left w:val="nil"/>
          <w:bottom w:val="nil"/>
          <w:right w:val="nil"/>
          <w:between w:val="nil"/>
        </w:pBdr>
        <w:jc w:val="both"/>
        <w:rPr>
          <w:rFonts w:ascii="Times New Roman" w:eastAsia="Times New Roman" w:hAnsi="Times New Roman" w:cs="Times New Roman"/>
          <w:color w:val="000000"/>
          <w:sz w:val="24"/>
          <w:szCs w:val="24"/>
        </w:rPr>
      </w:pPr>
    </w:p>
    <w:p w14:paraId="1F6D496C" w14:textId="77777777" w:rsidR="007C242F"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la presente legislatura, el presente es radicado por la Honorable Representante </w:t>
      </w:r>
      <w:proofErr w:type="spellStart"/>
      <w:r>
        <w:rPr>
          <w:rFonts w:ascii="Times New Roman" w:eastAsia="Times New Roman" w:hAnsi="Times New Roman" w:cs="Times New Roman"/>
          <w:color w:val="000000"/>
          <w:sz w:val="24"/>
          <w:szCs w:val="24"/>
        </w:rPr>
        <w:t>Luvi</w:t>
      </w:r>
      <w:proofErr w:type="spellEnd"/>
      <w:r>
        <w:rPr>
          <w:rFonts w:ascii="Times New Roman" w:eastAsia="Times New Roman" w:hAnsi="Times New Roman" w:cs="Times New Roman"/>
          <w:color w:val="000000"/>
          <w:sz w:val="24"/>
          <w:szCs w:val="24"/>
        </w:rPr>
        <w:t xml:space="preserve"> Katherine Miranda Peña,</w:t>
      </w:r>
      <w:r>
        <w:rPr>
          <w:color w:val="000000"/>
        </w:rPr>
        <w:t xml:space="preserve"> </w:t>
      </w:r>
      <w:r>
        <w:rPr>
          <w:rFonts w:ascii="Times New Roman" w:eastAsia="Times New Roman" w:hAnsi="Times New Roman" w:cs="Times New Roman"/>
          <w:color w:val="000000"/>
          <w:sz w:val="24"/>
          <w:szCs w:val="24"/>
        </w:rPr>
        <w:t xml:space="preserve">Betsy Judith Pérez Arango, Carlos Edward Osorio Aguiar, Christian Munir Garcés Aljure, Elkin Rodolfo Ospina </w:t>
      </w:r>
      <w:proofErr w:type="spellStart"/>
      <w:r>
        <w:rPr>
          <w:rFonts w:ascii="Times New Roman" w:eastAsia="Times New Roman" w:hAnsi="Times New Roman" w:cs="Times New Roman"/>
          <w:color w:val="000000"/>
          <w:sz w:val="24"/>
          <w:szCs w:val="24"/>
        </w:rPr>
        <w:t>Ospina</w:t>
      </w:r>
      <w:proofErr w:type="spellEnd"/>
      <w:r>
        <w:rPr>
          <w:rFonts w:ascii="Times New Roman" w:eastAsia="Times New Roman" w:hAnsi="Times New Roman" w:cs="Times New Roman"/>
          <w:color w:val="000000"/>
          <w:sz w:val="24"/>
          <w:szCs w:val="24"/>
        </w:rPr>
        <w:t xml:space="preserve">, Hernán Darío Cadavid Márquez, Hernando González, John Edgar Pérez Rojas, Jorge Méndez Hernández, José Jaime </w:t>
      </w:r>
      <w:proofErr w:type="spellStart"/>
      <w:r>
        <w:rPr>
          <w:rFonts w:ascii="Times New Roman" w:eastAsia="Times New Roman" w:hAnsi="Times New Roman" w:cs="Times New Roman"/>
          <w:color w:val="000000"/>
          <w:sz w:val="24"/>
          <w:szCs w:val="24"/>
        </w:rPr>
        <w:t>Uscátegui</w:t>
      </w:r>
      <w:proofErr w:type="spellEnd"/>
      <w:r>
        <w:rPr>
          <w:rFonts w:ascii="Times New Roman" w:eastAsia="Times New Roman" w:hAnsi="Times New Roman" w:cs="Times New Roman"/>
          <w:color w:val="000000"/>
          <w:sz w:val="24"/>
          <w:szCs w:val="24"/>
        </w:rPr>
        <w:t xml:space="preserve"> Pastrana, Juan Fernando Espinal Ramírez, Julia Miranda Londoño, Luis Carlos Ochoa Tobón, Luis Miguel López Aristizábal, , Luz Ayda Pastrana Loaiza, </w:t>
      </w:r>
      <w:proofErr w:type="spellStart"/>
      <w:r>
        <w:rPr>
          <w:rFonts w:ascii="Times New Roman" w:eastAsia="Times New Roman" w:hAnsi="Times New Roman" w:cs="Times New Roman"/>
          <w:color w:val="000000"/>
          <w:sz w:val="24"/>
          <w:szCs w:val="24"/>
        </w:rPr>
        <w:t>Marelen</w:t>
      </w:r>
      <w:proofErr w:type="spellEnd"/>
      <w:r>
        <w:rPr>
          <w:rFonts w:ascii="Times New Roman" w:eastAsia="Times New Roman" w:hAnsi="Times New Roman" w:cs="Times New Roman"/>
          <w:color w:val="000000"/>
          <w:sz w:val="24"/>
          <w:szCs w:val="24"/>
        </w:rPr>
        <w:t xml:space="preserve"> Castillo Torres, Mauricio Parodi Díaz, </w:t>
      </w:r>
      <w:proofErr w:type="spellStart"/>
      <w:r>
        <w:rPr>
          <w:rFonts w:ascii="Times New Roman" w:eastAsia="Times New Roman" w:hAnsi="Times New Roman" w:cs="Times New Roman"/>
          <w:color w:val="000000"/>
          <w:sz w:val="24"/>
          <w:szCs w:val="24"/>
        </w:rPr>
        <w:t>Olmes</w:t>
      </w:r>
      <w:proofErr w:type="spellEnd"/>
      <w:r>
        <w:rPr>
          <w:rFonts w:ascii="Times New Roman" w:eastAsia="Times New Roman" w:hAnsi="Times New Roman" w:cs="Times New Roman"/>
          <w:color w:val="000000"/>
          <w:sz w:val="24"/>
          <w:szCs w:val="24"/>
        </w:rPr>
        <w:t xml:space="preserve"> de Jesús Echeverría de la Rosa, </w:t>
      </w:r>
      <w:proofErr w:type="spellStart"/>
      <w:r>
        <w:rPr>
          <w:rFonts w:ascii="Times New Roman" w:eastAsia="Times New Roman" w:hAnsi="Times New Roman" w:cs="Times New Roman"/>
          <w:color w:val="000000"/>
          <w:sz w:val="24"/>
          <w:szCs w:val="24"/>
        </w:rPr>
        <w:t>Yenica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Sugein</w:t>
      </w:r>
      <w:proofErr w:type="spellEnd"/>
      <w:r>
        <w:rPr>
          <w:rFonts w:ascii="Times New Roman" w:eastAsia="Times New Roman" w:hAnsi="Times New Roman" w:cs="Times New Roman"/>
          <w:color w:val="000000"/>
          <w:sz w:val="24"/>
          <w:szCs w:val="24"/>
        </w:rPr>
        <w:t xml:space="preserve"> Acosta Infante, Yulieth Andrea Sánchez Carreño y mi persona Miguel Abraham Polo </w:t>
      </w:r>
      <w:proofErr w:type="spellStart"/>
      <w:r>
        <w:rPr>
          <w:rFonts w:ascii="Times New Roman" w:eastAsia="Times New Roman" w:hAnsi="Times New Roman" w:cs="Times New Roman"/>
          <w:color w:val="000000"/>
          <w:sz w:val="24"/>
          <w:szCs w:val="24"/>
        </w:rPr>
        <w:t>Polo</w:t>
      </w:r>
      <w:proofErr w:type="spellEnd"/>
      <w:r>
        <w:rPr>
          <w:rFonts w:ascii="Times New Roman" w:eastAsia="Times New Roman" w:hAnsi="Times New Roman" w:cs="Times New Roman"/>
          <w:color w:val="000000"/>
          <w:sz w:val="24"/>
          <w:szCs w:val="24"/>
        </w:rPr>
        <w:t>, 27 de agosto de 2025.</w:t>
      </w:r>
    </w:p>
    <w:p w14:paraId="3EA67978" w14:textId="77777777" w:rsidR="007C242F" w:rsidRDefault="007C242F">
      <w:pPr>
        <w:pBdr>
          <w:top w:val="nil"/>
          <w:left w:val="nil"/>
          <w:bottom w:val="nil"/>
          <w:right w:val="nil"/>
          <w:between w:val="nil"/>
        </w:pBdr>
        <w:jc w:val="both"/>
        <w:rPr>
          <w:rFonts w:ascii="Times New Roman" w:eastAsia="Times New Roman" w:hAnsi="Times New Roman" w:cs="Times New Roman"/>
          <w:color w:val="000000"/>
          <w:sz w:val="24"/>
          <w:szCs w:val="24"/>
        </w:rPr>
      </w:pPr>
    </w:p>
    <w:p w14:paraId="138EC424" w14:textId="77777777" w:rsidR="007C242F"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el mismo sentido la presente fue remitida a la Comisión Primera de la Cámara de Representantes el 18 de marzo de 2026, y la cual mediante acta 30 del 16 de abril de 2026, me designa como ponente coordinador en compañía del Honorable Representante Alirio Uribe Muñoz, así mismo designo como ponentes a los representantes: Delcy Esperanza Isaza Buenaventura, </w:t>
      </w:r>
      <w:proofErr w:type="spellStart"/>
      <w:r>
        <w:rPr>
          <w:rFonts w:ascii="Times New Roman" w:eastAsia="Times New Roman" w:hAnsi="Times New Roman" w:cs="Times New Roman"/>
          <w:color w:val="000000"/>
          <w:sz w:val="24"/>
          <w:szCs w:val="24"/>
        </w:rPr>
        <w:t>Duvalier</w:t>
      </w:r>
      <w:proofErr w:type="spellEnd"/>
      <w:r>
        <w:rPr>
          <w:rFonts w:ascii="Times New Roman" w:eastAsia="Times New Roman" w:hAnsi="Times New Roman" w:cs="Times New Roman"/>
          <w:color w:val="000000"/>
          <w:sz w:val="24"/>
          <w:szCs w:val="24"/>
        </w:rPr>
        <w:t xml:space="preserve"> Sánchez Arango, James Hermenegildo Mosquera </w:t>
      </w:r>
      <w:r>
        <w:rPr>
          <w:rFonts w:ascii="Times New Roman" w:eastAsia="Times New Roman" w:hAnsi="Times New Roman" w:cs="Times New Roman"/>
          <w:color w:val="000000"/>
          <w:sz w:val="24"/>
          <w:szCs w:val="24"/>
        </w:rPr>
        <w:lastRenderedPageBreak/>
        <w:t xml:space="preserve">Torres, Jorge Eliecer Tamayo Marulanda, Karyme </w:t>
      </w:r>
      <w:proofErr w:type="spellStart"/>
      <w:r>
        <w:rPr>
          <w:rFonts w:ascii="Times New Roman" w:eastAsia="Times New Roman" w:hAnsi="Times New Roman" w:cs="Times New Roman"/>
          <w:color w:val="000000"/>
          <w:sz w:val="24"/>
          <w:szCs w:val="24"/>
        </w:rPr>
        <w:t>Adrana</w:t>
      </w:r>
      <w:proofErr w:type="spellEnd"/>
      <w:r>
        <w:rPr>
          <w:rFonts w:ascii="Times New Roman" w:eastAsia="Times New Roman" w:hAnsi="Times New Roman" w:cs="Times New Roman"/>
          <w:color w:val="000000"/>
          <w:sz w:val="24"/>
          <w:szCs w:val="24"/>
        </w:rPr>
        <w:t xml:space="preserve"> Cotes Martínez, Luis Alberto Albán Urbano Luz Ayda Pastrana Loaiza, </w:t>
      </w:r>
      <w:proofErr w:type="spellStart"/>
      <w:r>
        <w:rPr>
          <w:rFonts w:ascii="Times New Roman" w:eastAsia="Times New Roman" w:hAnsi="Times New Roman" w:cs="Times New Roman"/>
          <w:color w:val="000000"/>
          <w:sz w:val="24"/>
          <w:szCs w:val="24"/>
        </w:rPr>
        <w:t>Marelen</w:t>
      </w:r>
      <w:proofErr w:type="spellEnd"/>
      <w:r>
        <w:rPr>
          <w:rFonts w:ascii="Times New Roman" w:eastAsia="Times New Roman" w:hAnsi="Times New Roman" w:cs="Times New Roman"/>
          <w:color w:val="000000"/>
          <w:sz w:val="24"/>
          <w:szCs w:val="24"/>
        </w:rPr>
        <w:t xml:space="preserve"> Castillo Torres. </w:t>
      </w:r>
    </w:p>
    <w:p w14:paraId="670760DB" w14:textId="77777777" w:rsidR="007C242F" w:rsidRDefault="007C242F">
      <w:pPr>
        <w:pBdr>
          <w:top w:val="nil"/>
          <w:left w:val="nil"/>
          <w:bottom w:val="nil"/>
          <w:right w:val="nil"/>
          <w:between w:val="nil"/>
        </w:pBdr>
        <w:jc w:val="both"/>
        <w:rPr>
          <w:rFonts w:ascii="Times New Roman" w:eastAsia="Times New Roman" w:hAnsi="Times New Roman" w:cs="Times New Roman"/>
          <w:color w:val="000000"/>
          <w:sz w:val="24"/>
          <w:szCs w:val="24"/>
        </w:rPr>
      </w:pPr>
    </w:p>
    <w:p w14:paraId="211BB236" w14:textId="77777777" w:rsidR="007C242F" w:rsidRDefault="007C242F">
      <w:pPr>
        <w:pBdr>
          <w:top w:val="nil"/>
          <w:left w:val="nil"/>
          <w:bottom w:val="nil"/>
          <w:right w:val="nil"/>
          <w:between w:val="nil"/>
        </w:pBdr>
        <w:jc w:val="both"/>
        <w:rPr>
          <w:rFonts w:ascii="Times New Roman" w:eastAsia="Times New Roman" w:hAnsi="Times New Roman" w:cs="Times New Roman"/>
          <w:color w:val="000000"/>
          <w:sz w:val="24"/>
          <w:szCs w:val="24"/>
        </w:rPr>
      </w:pPr>
    </w:p>
    <w:p w14:paraId="3E9096BC" w14:textId="77777777" w:rsidR="007C242F" w:rsidRDefault="007C242F">
      <w:pPr>
        <w:jc w:val="both"/>
        <w:rPr>
          <w:rFonts w:ascii="Times New Roman" w:eastAsia="Times New Roman" w:hAnsi="Times New Roman" w:cs="Times New Roman"/>
          <w:b/>
          <w:bCs/>
          <w:sz w:val="24"/>
          <w:szCs w:val="24"/>
        </w:rPr>
      </w:pPr>
    </w:p>
    <w:p w14:paraId="4BF39153" w14:textId="77777777" w:rsidR="007C242F" w:rsidRDefault="00000000">
      <w:pPr>
        <w:numPr>
          <w:ilvl w:val="0"/>
          <w:numId w:val="7"/>
        </w:numPr>
        <w:pBdr>
          <w:top w:val="nil"/>
          <w:left w:val="nil"/>
          <w:bottom w:val="nil"/>
          <w:right w:val="nil"/>
          <w:between w:val="nil"/>
        </w:pBdr>
        <w:ind w:left="0" w:firstLine="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CONTENIDO DE LA INCIATIVA</w:t>
      </w:r>
    </w:p>
    <w:p w14:paraId="5A1AEDA0" w14:textId="77777777" w:rsidR="007C242F" w:rsidRDefault="007C242F">
      <w:pPr>
        <w:pBdr>
          <w:top w:val="nil"/>
          <w:left w:val="nil"/>
          <w:bottom w:val="nil"/>
          <w:right w:val="nil"/>
          <w:between w:val="nil"/>
        </w:pBdr>
        <w:jc w:val="both"/>
        <w:rPr>
          <w:rFonts w:ascii="Times New Roman" w:eastAsia="Times New Roman" w:hAnsi="Times New Roman" w:cs="Times New Roman"/>
          <w:b/>
          <w:bCs/>
          <w:color w:val="000000"/>
          <w:sz w:val="24"/>
          <w:szCs w:val="24"/>
        </w:rPr>
      </w:pPr>
    </w:p>
    <w:p w14:paraId="561AF01C" w14:textId="77777777" w:rsidR="007C242F"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presente Proyecto de Ley pretende poner a consideración ante la Comisión Primera Constitucional Permanente de la Cámara de Representantes del Congreso de la República la derogación de la ley 2272 de 2022, LEY PAZ TOTAL.</w:t>
      </w:r>
    </w:p>
    <w:p w14:paraId="627A4BF8" w14:textId="77777777" w:rsidR="007C242F" w:rsidRDefault="007C242F">
      <w:pPr>
        <w:jc w:val="both"/>
        <w:rPr>
          <w:rFonts w:ascii="Times New Roman" w:eastAsia="Times New Roman" w:hAnsi="Times New Roman" w:cs="Times New Roman"/>
          <w:sz w:val="24"/>
          <w:szCs w:val="24"/>
        </w:rPr>
      </w:pPr>
    </w:p>
    <w:p w14:paraId="08C15538"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cual, contempla dos (2) artículos incluido su vigencia, detallados de la siguiente manera:</w:t>
      </w:r>
    </w:p>
    <w:p w14:paraId="7BEEFCF0" w14:textId="77777777" w:rsidR="007C242F" w:rsidRDefault="007C242F">
      <w:pPr>
        <w:jc w:val="both"/>
        <w:rPr>
          <w:rFonts w:ascii="Times New Roman" w:eastAsia="Times New Roman" w:hAnsi="Times New Roman" w:cs="Times New Roman"/>
          <w:sz w:val="24"/>
          <w:szCs w:val="24"/>
        </w:rPr>
      </w:pPr>
    </w:p>
    <w:p w14:paraId="1A6A7ADA" w14:textId="77777777" w:rsidR="007C242F" w:rsidRDefault="00000000">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Artículo 1. </w:t>
      </w:r>
      <w:r>
        <w:rPr>
          <w:rFonts w:ascii="Times New Roman" w:eastAsia="Times New Roman" w:hAnsi="Times New Roman" w:cs="Times New Roman"/>
          <w:color w:val="000000"/>
          <w:sz w:val="24"/>
          <w:szCs w:val="24"/>
        </w:rPr>
        <w:t xml:space="preserve">Derogatoria. Derogase en su integridad la Ley 2272 del 2022 </w:t>
      </w:r>
      <w:r>
        <w:rPr>
          <w:rFonts w:ascii="Times New Roman" w:eastAsia="Times New Roman" w:hAnsi="Times New Roman" w:cs="Times New Roman"/>
          <w:i/>
          <w:iCs/>
          <w:color w:val="000000"/>
          <w:sz w:val="24"/>
          <w:szCs w:val="24"/>
        </w:rPr>
        <w:t>"Por medio de la cual se modifica, adiciona y prorroga la ley </w:t>
      </w:r>
      <w:hyperlink r:id="rId8" w:anchor="418">
        <w:r>
          <w:rPr>
            <w:rFonts w:ascii="Times New Roman" w:eastAsia="Times New Roman" w:hAnsi="Times New Roman" w:cs="Times New Roman"/>
            <w:i/>
            <w:iCs/>
            <w:color w:val="000000"/>
            <w:sz w:val="24"/>
            <w:szCs w:val="24"/>
            <w:u w:val="single"/>
          </w:rPr>
          <w:t>418 </w:t>
        </w:r>
      </w:hyperlink>
      <w:r>
        <w:rPr>
          <w:rFonts w:ascii="Times New Roman" w:eastAsia="Times New Roman" w:hAnsi="Times New Roman" w:cs="Times New Roman"/>
          <w:i/>
          <w:iCs/>
          <w:color w:val="000000"/>
          <w:sz w:val="24"/>
          <w:szCs w:val="24"/>
        </w:rPr>
        <w:t>de 1997, prorrogada, modificada y adicionada por las leyes </w:t>
      </w:r>
      <w:hyperlink r:id="rId9" w:anchor="548">
        <w:r>
          <w:rPr>
            <w:rFonts w:ascii="Times New Roman" w:eastAsia="Times New Roman" w:hAnsi="Times New Roman" w:cs="Times New Roman"/>
            <w:i/>
            <w:iCs/>
            <w:color w:val="000000"/>
            <w:sz w:val="24"/>
            <w:szCs w:val="24"/>
            <w:u w:val="single"/>
          </w:rPr>
          <w:t>548 </w:t>
        </w:r>
      </w:hyperlink>
      <w:r>
        <w:rPr>
          <w:rFonts w:ascii="Times New Roman" w:eastAsia="Times New Roman" w:hAnsi="Times New Roman" w:cs="Times New Roman"/>
          <w:i/>
          <w:iCs/>
          <w:color w:val="000000"/>
          <w:sz w:val="24"/>
          <w:szCs w:val="24"/>
        </w:rPr>
        <w:t>de 1999, </w:t>
      </w:r>
      <w:hyperlink r:id="rId10" w:anchor="782">
        <w:r>
          <w:rPr>
            <w:rFonts w:ascii="Times New Roman" w:eastAsia="Times New Roman" w:hAnsi="Times New Roman" w:cs="Times New Roman"/>
            <w:i/>
            <w:iCs/>
            <w:color w:val="000000"/>
            <w:sz w:val="24"/>
            <w:szCs w:val="24"/>
            <w:u w:val="single"/>
          </w:rPr>
          <w:t>782 </w:t>
        </w:r>
      </w:hyperlink>
      <w:r>
        <w:rPr>
          <w:rFonts w:ascii="Times New Roman" w:eastAsia="Times New Roman" w:hAnsi="Times New Roman" w:cs="Times New Roman"/>
          <w:i/>
          <w:iCs/>
          <w:color w:val="000000"/>
          <w:sz w:val="24"/>
          <w:szCs w:val="24"/>
        </w:rPr>
        <w:t>de 2002, </w:t>
      </w:r>
      <w:hyperlink r:id="rId11" w:anchor="1106">
        <w:r>
          <w:rPr>
            <w:rFonts w:ascii="Times New Roman" w:eastAsia="Times New Roman" w:hAnsi="Times New Roman" w:cs="Times New Roman"/>
            <w:i/>
            <w:iCs/>
            <w:color w:val="000000"/>
            <w:sz w:val="24"/>
            <w:szCs w:val="24"/>
            <w:u w:val="single"/>
          </w:rPr>
          <w:t>1106 </w:t>
        </w:r>
      </w:hyperlink>
      <w:r>
        <w:rPr>
          <w:rFonts w:ascii="Times New Roman" w:eastAsia="Times New Roman" w:hAnsi="Times New Roman" w:cs="Times New Roman"/>
          <w:i/>
          <w:iCs/>
          <w:color w:val="000000"/>
          <w:sz w:val="24"/>
          <w:szCs w:val="24"/>
        </w:rPr>
        <w:t>de 2006, </w:t>
      </w:r>
      <w:hyperlink r:id="rId12" w:anchor="1421">
        <w:r>
          <w:rPr>
            <w:rFonts w:ascii="Times New Roman" w:eastAsia="Times New Roman" w:hAnsi="Times New Roman" w:cs="Times New Roman"/>
            <w:i/>
            <w:iCs/>
            <w:color w:val="000000"/>
            <w:sz w:val="24"/>
            <w:szCs w:val="24"/>
            <w:u w:val="single"/>
          </w:rPr>
          <w:t>1421 </w:t>
        </w:r>
      </w:hyperlink>
      <w:r>
        <w:rPr>
          <w:rFonts w:ascii="Times New Roman" w:eastAsia="Times New Roman" w:hAnsi="Times New Roman" w:cs="Times New Roman"/>
          <w:i/>
          <w:iCs/>
          <w:color w:val="000000"/>
          <w:sz w:val="24"/>
          <w:szCs w:val="24"/>
        </w:rPr>
        <w:t>de 2010, </w:t>
      </w:r>
      <w:hyperlink r:id="rId13" w:anchor="1738">
        <w:r>
          <w:rPr>
            <w:rFonts w:ascii="Times New Roman" w:eastAsia="Times New Roman" w:hAnsi="Times New Roman" w:cs="Times New Roman"/>
            <w:i/>
            <w:iCs/>
            <w:color w:val="000000"/>
            <w:sz w:val="24"/>
            <w:szCs w:val="24"/>
            <w:u w:val="single"/>
          </w:rPr>
          <w:t>1738 </w:t>
        </w:r>
      </w:hyperlink>
      <w:r>
        <w:rPr>
          <w:rFonts w:ascii="Times New Roman" w:eastAsia="Times New Roman" w:hAnsi="Times New Roman" w:cs="Times New Roman"/>
          <w:i/>
          <w:iCs/>
          <w:color w:val="000000"/>
          <w:sz w:val="24"/>
          <w:szCs w:val="24"/>
        </w:rPr>
        <w:t>de 2014 y </w:t>
      </w:r>
      <w:hyperlink r:id="rId14" w:anchor="1941">
        <w:r>
          <w:rPr>
            <w:rFonts w:ascii="Times New Roman" w:eastAsia="Times New Roman" w:hAnsi="Times New Roman" w:cs="Times New Roman"/>
            <w:i/>
            <w:iCs/>
            <w:color w:val="000000"/>
            <w:sz w:val="24"/>
            <w:szCs w:val="24"/>
            <w:u w:val="single"/>
          </w:rPr>
          <w:t>1941 </w:t>
        </w:r>
      </w:hyperlink>
      <w:r>
        <w:rPr>
          <w:rFonts w:ascii="Times New Roman" w:eastAsia="Times New Roman" w:hAnsi="Times New Roman" w:cs="Times New Roman"/>
          <w:i/>
          <w:iCs/>
          <w:color w:val="000000"/>
          <w:sz w:val="24"/>
          <w:szCs w:val="24"/>
        </w:rPr>
        <w:t>de 2018, se define la política de paz de estado, se crea el servicio social para la paz, y se dictan otras disposiciones"</w:t>
      </w:r>
    </w:p>
    <w:p w14:paraId="01F7B3D2" w14:textId="77777777" w:rsidR="007C242F" w:rsidRDefault="007C242F">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16BA42BA" w14:textId="77777777" w:rsidR="007C242F" w:rsidRDefault="00000000">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Artículo 2. Vigencia. </w:t>
      </w:r>
      <w:r>
        <w:rPr>
          <w:rFonts w:ascii="Times New Roman" w:eastAsia="Times New Roman" w:hAnsi="Times New Roman" w:cs="Times New Roman"/>
          <w:color w:val="000000"/>
          <w:sz w:val="24"/>
          <w:szCs w:val="24"/>
        </w:rPr>
        <w:t xml:space="preserve">La presente ley rige a partir de su promulgación y deroga todas las normas que le sean contrarias. </w:t>
      </w:r>
    </w:p>
    <w:p w14:paraId="029E9F56" w14:textId="77777777" w:rsidR="007C242F" w:rsidRDefault="007C242F">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1A534E7B" w14:textId="77777777" w:rsidR="007C242F" w:rsidRDefault="007C242F">
      <w:pPr>
        <w:jc w:val="both"/>
        <w:rPr>
          <w:rFonts w:ascii="Times New Roman" w:eastAsia="Times New Roman" w:hAnsi="Times New Roman" w:cs="Times New Roman"/>
          <w:sz w:val="24"/>
          <w:szCs w:val="24"/>
        </w:rPr>
      </w:pPr>
    </w:p>
    <w:p w14:paraId="08F68CEC" w14:textId="77777777" w:rsidR="007C242F" w:rsidRDefault="00000000">
      <w:pPr>
        <w:numPr>
          <w:ilvl w:val="0"/>
          <w:numId w:val="7"/>
        </w:numPr>
        <w:pBdr>
          <w:top w:val="nil"/>
          <w:left w:val="nil"/>
          <w:bottom w:val="nil"/>
          <w:right w:val="nil"/>
          <w:between w:val="nil"/>
        </w:pBdr>
        <w:ind w:left="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FUNDAMENTOS </w:t>
      </w:r>
      <w:r>
        <w:rPr>
          <w:rFonts w:ascii="Times New Roman" w:eastAsia="Times New Roman" w:hAnsi="Times New Roman" w:cs="Times New Roman"/>
          <w:b/>
          <w:bCs/>
          <w:sz w:val="24"/>
          <w:szCs w:val="24"/>
        </w:rPr>
        <w:t>JURÍDICOS</w:t>
      </w:r>
      <w:r>
        <w:rPr>
          <w:rFonts w:ascii="Times New Roman" w:eastAsia="Times New Roman" w:hAnsi="Times New Roman" w:cs="Times New Roman"/>
          <w:b/>
          <w:bCs/>
          <w:color w:val="000000"/>
          <w:sz w:val="24"/>
          <w:szCs w:val="24"/>
        </w:rPr>
        <w:t xml:space="preserve"> DE PRESENTE INICIATIVA </w:t>
      </w:r>
    </w:p>
    <w:p w14:paraId="7588E1BE" w14:textId="77777777" w:rsidR="007C242F" w:rsidRDefault="007C242F">
      <w:pPr>
        <w:jc w:val="both"/>
        <w:rPr>
          <w:rFonts w:ascii="Times New Roman" w:eastAsia="Times New Roman" w:hAnsi="Times New Roman" w:cs="Times New Roman"/>
          <w:b/>
          <w:bCs/>
          <w:sz w:val="24"/>
          <w:szCs w:val="24"/>
        </w:rPr>
      </w:pPr>
    </w:p>
    <w:p w14:paraId="1F493614"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fundamentos jurídicos que se expondrán a continuación tienen como finalidad evidenciar la  vulneración de los derechos fundamentales, que desde la promulgación de la ley 2272 DE 2022 se vienen violando a todos los colombianos. Lo anterior, teniendo en cuenta que los resultados de la llamada PAZ TOTAL, han sido nulos, y por el contrario estos grupos armados han venido fortaleciéndose a lo largo y ancho del territorio colombiano.</w:t>
      </w:r>
    </w:p>
    <w:p w14:paraId="56AC6113" w14:textId="77777777" w:rsidR="007C242F" w:rsidRDefault="007C242F">
      <w:pPr>
        <w:jc w:val="both"/>
        <w:rPr>
          <w:rFonts w:ascii="Times New Roman" w:eastAsia="Times New Roman" w:hAnsi="Times New Roman" w:cs="Times New Roman"/>
          <w:sz w:val="24"/>
          <w:szCs w:val="24"/>
        </w:rPr>
      </w:pPr>
    </w:p>
    <w:p w14:paraId="2E14FE81" w14:textId="77777777" w:rsidR="007C242F"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Conforme a lo expuesto en el articulado de la presente iniciativa, se plasma el siguiente estudio jurídico sobre las vulneraciones al Ordenamiento Jurídico en las que incurre la Ley 2272 de 2022, conocida como la Paz Total y que justifican la presente Ponencia Positiva:</w:t>
      </w:r>
    </w:p>
    <w:p w14:paraId="76746437" w14:textId="77777777" w:rsidR="007C242F" w:rsidRDefault="007C242F">
      <w:pPr>
        <w:jc w:val="both"/>
        <w:rPr>
          <w:rFonts w:ascii="Times New Roman" w:eastAsia="Times New Roman" w:hAnsi="Times New Roman" w:cs="Times New Roman"/>
          <w:b/>
          <w:bCs/>
          <w:sz w:val="24"/>
          <w:szCs w:val="24"/>
          <w:u w:val="single"/>
        </w:rPr>
      </w:pPr>
    </w:p>
    <w:p w14:paraId="6A358B83" w14:textId="77777777" w:rsidR="007C242F" w:rsidRDefault="007C242F">
      <w:pPr>
        <w:jc w:val="both"/>
        <w:rPr>
          <w:rFonts w:ascii="Times New Roman" w:eastAsia="Times New Roman" w:hAnsi="Times New Roman" w:cs="Times New Roman"/>
          <w:b/>
          <w:bCs/>
          <w:sz w:val="24"/>
          <w:szCs w:val="24"/>
        </w:rPr>
      </w:pPr>
    </w:p>
    <w:p w14:paraId="23361242" w14:textId="77777777" w:rsidR="007C242F" w:rsidRDefault="007C242F">
      <w:pPr>
        <w:jc w:val="both"/>
        <w:rPr>
          <w:rFonts w:ascii="Times New Roman" w:eastAsia="Times New Roman" w:hAnsi="Times New Roman" w:cs="Times New Roman"/>
          <w:b/>
          <w:bCs/>
          <w:sz w:val="24"/>
          <w:szCs w:val="24"/>
        </w:rPr>
      </w:pPr>
    </w:p>
    <w:p w14:paraId="6C673681" w14:textId="77777777" w:rsidR="007C242F"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TRANSGRESIONES AL MARCO NORMATIVO POR PARTE DE LA LEY 2272 DE 2022</w:t>
      </w:r>
    </w:p>
    <w:p w14:paraId="4EA2EC79" w14:textId="77777777" w:rsidR="007C242F" w:rsidRDefault="007C242F">
      <w:pPr>
        <w:jc w:val="both"/>
        <w:rPr>
          <w:rFonts w:ascii="Times New Roman" w:eastAsia="Times New Roman" w:hAnsi="Times New Roman" w:cs="Times New Roman"/>
          <w:b/>
          <w:bCs/>
          <w:sz w:val="24"/>
          <w:szCs w:val="24"/>
        </w:rPr>
      </w:pPr>
    </w:p>
    <w:p w14:paraId="5B56B04D" w14:textId="77777777" w:rsidR="007C242F" w:rsidRDefault="00000000">
      <w:pPr>
        <w:numPr>
          <w:ilvl w:val="0"/>
          <w:numId w:val="1"/>
        </w:num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CONSTITUCIONALES</w:t>
      </w:r>
    </w:p>
    <w:p w14:paraId="27B66BB7" w14:textId="77777777" w:rsidR="007C242F" w:rsidRDefault="007C242F">
      <w:pPr>
        <w:jc w:val="both"/>
        <w:rPr>
          <w:rFonts w:ascii="Times New Roman" w:eastAsia="Times New Roman" w:hAnsi="Times New Roman" w:cs="Times New Roman"/>
          <w:b/>
          <w:bCs/>
          <w:sz w:val="24"/>
          <w:szCs w:val="24"/>
        </w:rPr>
      </w:pPr>
    </w:p>
    <w:p w14:paraId="1C4F1AFB" w14:textId="77777777" w:rsidR="007C242F" w:rsidRDefault="007C242F">
      <w:pPr>
        <w:jc w:val="both"/>
        <w:rPr>
          <w:rFonts w:ascii="Times New Roman" w:eastAsia="Times New Roman" w:hAnsi="Times New Roman" w:cs="Times New Roman"/>
          <w:b/>
          <w:bCs/>
          <w:sz w:val="24"/>
          <w:szCs w:val="24"/>
        </w:rPr>
      </w:pPr>
    </w:p>
    <w:p w14:paraId="21CADE4F" w14:textId="77777777" w:rsidR="007C242F"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Artículo 1° de la Constitución Política</w:t>
      </w:r>
    </w:p>
    <w:p w14:paraId="7EBF4F57" w14:textId="77777777" w:rsidR="007C242F" w:rsidRDefault="00000000">
      <w:pPr>
        <w:ind w:left="1440"/>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“ARTICULO 1º</w:t>
      </w:r>
      <w:r>
        <w:rPr>
          <w:rFonts w:ascii="Times New Roman" w:eastAsia="Times New Roman" w:hAnsi="Times New Roman" w:cs="Times New Roman"/>
          <w:i/>
          <w:iCs/>
          <w:sz w:val="24"/>
          <w:szCs w:val="24"/>
        </w:rPr>
        <w:t>—Colombia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w:t>
      </w:r>
    </w:p>
    <w:p w14:paraId="0C53CA39" w14:textId="77777777" w:rsidR="007C242F" w:rsidRDefault="007C242F">
      <w:pPr>
        <w:jc w:val="both"/>
        <w:rPr>
          <w:rFonts w:ascii="Times New Roman" w:eastAsia="Times New Roman" w:hAnsi="Times New Roman" w:cs="Times New Roman"/>
          <w:sz w:val="24"/>
          <w:szCs w:val="24"/>
        </w:rPr>
      </w:pPr>
    </w:p>
    <w:p w14:paraId="0581ABBA" w14:textId="77777777" w:rsidR="007C242F" w:rsidRDefault="007C242F">
      <w:pPr>
        <w:jc w:val="both"/>
        <w:rPr>
          <w:rFonts w:ascii="Times New Roman" w:eastAsia="Times New Roman" w:hAnsi="Times New Roman" w:cs="Times New Roman"/>
          <w:sz w:val="24"/>
          <w:szCs w:val="24"/>
        </w:rPr>
      </w:pPr>
    </w:p>
    <w:p w14:paraId="5AA5A8D4"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La Ley 2272 de 2022 otorga un marco de funciones y beneficios para los grupos delincuenciales y para el Gobierno en el marco de una negociación, que resultan supremamente abstractos, sin tener un marco jurídico de competencias claro y debidamente delimitado. Esto no solo rompe con la armonía establecida en la Carta Magna esclareciendo la diferenciación entre el sistema de gobierno y de territorio elegido por el constituyente, esclareciendo como ramas del poder público al ejecutivo, judicial y legislativo, sino que rompe con el principio de la democracia participativa y pluralista al otorgar facultades extraordinarias al presidente, rompiendo así con dicha armonía. </w:t>
      </w:r>
    </w:p>
    <w:p w14:paraId="204AB7F1" w14:textId="77777777" w:rsidR="007C242F" w:rsidRDefault="007C242F">
      <w:pPr>
        <w:jc w:val="both"/>
        <w:rPr>
          <w:rFonts w:ascii="Times New Roman" w:eastAsia="Times New Roman" w:hAnsi="Times New Roman" w:cs="Times New Roman"/>
          <w:sz w:val="24"/>
          <w:szCs w:val="24"/>
        </w:rPr>
      </w:pPr>
    </w:p>
    <w:p w14:paraId="6D7F53BE"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Sumado a la premisa anterior, debe serse vehemente en que la vulneración no es exclusivamente teórica, ya que en la práctica dicha super competencia otorgada al presidente no ha mostrado tener resultados y eficacia en la realidad, sino que ha acentuado los problemas que pretendía resolver. </w:t>
      </w:r>
    </w:p>
    <w:p w14:paraId="48BC8CE5" w14:textId="77777777" w:rsidR="007C242F" w:rsidRDefault="007C242F">
      <w:pPr>
        <w:jc w:val="both"/>
        <w:rPr>
          <w:rFonts w:ascii="Times New Roman" w:eastAsia="Times New Roman" w:hAnsi="Times New Roman" w:cs="Times New Roman"/>
          <w:b/>
          <w:bCs/>
          <w:sz w:val="24"/>
          <w:szCs w:val="24"/>
        </w:rPr>
      </w:pPr>
    </w:p>
    <w:p w14:paraId="04760430"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Artículo 2 de la Constitución Política: </w:t>
      </w:r>
      <w:r>
        <w:rPr>
          <w:rFonts w:ascii="Times New Roman" w:eastAsia="Times New Roman" w:hAnsi="Times New Roman" w:cs="Times New Roman"/>
          <w:sz w:val="24"/>
          <w:szCs w:val="24"/>
        </w:rPr>
        <w:t xml:space="preserve"> </w:t>
      </w:r>
    </w:p>
    <w:p w14:paraId="3E8B547E" w14:textId="77777777" w:rsidR="007C242F" w:rsidRDefault="007C242F">
      <w:pPr>
        <w:jc w:val="both"/>
        <w:rPr>
          <w:rFonts w:ascii="Times New Roman" w:eastAsia="Times New Roman" w:hAnsi="Times New Roman" w:cs="Times New Roman"/>
          <w:sz w:val="24"/>
          <w:szCs w:val="24"/>
        </w:rPr>
      </w:pPr>
    </w:p>
    <w:p w14:paraId="02354250" w14:textId="77777777" w:rsidR="007C242F" w:rsidRDefault="00000000">
      <w:pPr>
        <w:ind w:left="14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w:t>
      </w:r>
      <w:r>
        <w:rPr>
          <w:rFonts w:ascii="Times New Roman" w:eastAsia="Times New Roman" w:hAnsi="Times New Roman" w:cs="Times New Roman"/>
          <w:b/>
          <w:bCs/>
          <w:i/>
          <w:iCs/>
          <w:sz w:val="24"/>
          <w:szCs w:val="24"/>
        </w:rPr>
        <w:t>ARTICULO 2º</w:t>
      </w:r>
      <w:r>
        <w:rPr>
          <w:rFonts w:ascii="Times New Roman" w:eastAsia="Times New Roman" w:hAnsi="Times New Roman" w:cs="Times New Roman"/>
          <w:i/>
          <w:iCs/>
          <w:sz w:val="24"/>
          <w:szCs w:val="24"/>
        </w:rPr>
        <w:t>—</w:t>
      </w:r>
      <w:r>
        <w:rPr>
          <w:rFonts w:ascii="Times New Roman" w:eastAsia="Times New Roman" w:hAnsi="Times New Roman" w:cs="Times New Roman"/>
          <w:b/>
          <w:bCs/>
          <w:i/>
          <w:iCs/>
          <w:sz w:val="24"/>
          <w:szCs w:val="24"/>
        </w:rPr>
        <w:t>Son fines esenciales del Estado</w:t>
      </w:r>
      <w:r>
        <w:rPr>
          <w:rFonts w:ascii="Times New Roman" w:eastAsia="Times New Roman" w:hAnsi="Times New Roman" w:cs="Times New Roman"/>
          <w:i/>
          <w:iCs/>
          <w:sz w:val="24"/>
          <w:szCs w:val="24"/>
        </w:rPr>
        <w:t>: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 Las autoridades de la República están instituidas para proteger a todas las personas residentes en Colombia, en su vida, honra, bienes, creencias y demás derechos y libertades, y para asegurar el cumplimiento de los deberes sociales del Estado y de los particulares”</w:t>
      </w:r>
    </w:p>
    <w:p w14:paraId="503DB70D"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AA44C35"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Colindante con el apartado anterior, dado que la practicidad de la Ley ha sido ineficaz y ha otorgado facultades extraordinarias al ejecutivo, el Estado se ve mermado para garantizar los fines esenciales del Estado, tales como promover los derechos de la Constitución y mantener la integridad y orden justo nacional. La ley Paz Total, desestimó a las autoridades de la República para proteger los derechos de los particulares, ya que rompió con la estabilidad institucional al disminuir la aparición de las entidades territoriales independientes, que tienen autoridad propia y no han podido realizar acciones necesarias contra los grupos armados, pues se deben regir a las ordenes dirigidas desde el Gobierno Nacional en el marco de las negociaciones con estos grupos. </w:t>
      </w:r>
    </w:p>
    <w:p w14:paraId="3C0C7FF8" w14:textId="77777777" w:rsidR="007C242F" w:rsidRDefault="007C242F">
      <w:pPr>
        <w:jc w:val="both"/>
        <w:rPr>
          <w:rFonts w:ascii="Times New Roman" w:eastAsia="Times New Roman" w:hAnsi="Times New Roman" w:cs="Times New Roman"/>
          <w:b/>
          <w:bCs/>
          <w:sz w:val="24"/>
          <w:szCs w:val="24"/>
        </w:rPr>
      </w:pPr>
    </w:p>
    <w:p w14:paraId="46962A74" w14:textId="77777777" w:rsidR="007C242F"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Artículo 13 de la Constitución Política, Derecho a la igualdad:</w:t>
      </w:r>
    </w:p>
    <w:p w14:paraId="09E78A6C" w14:textId="77777777" w:rsidR="007C242F" w:rsidRDefault="007C242F">
      <w:pPr>
        <w:jc w:val="both"/>
        <w:rPr>
          <w:rFonts w:ascii="Times New Roman" w:eastAsia="Times New Roman" w:hAnsi="Times New Roman" w:cs="Times New Roman"/>
          <w:b/>
          <w:bCs/>
          <w:sz w:val="24"/>
          <w:szCs w:val="24"/>
        </w:rPr>
      </w:pPr>
    </w:p>
    <w:p w14:paraId="12B60264" w14:textId="77777777" w:rsidR="007C242F" w:rsidRDefault="00000000">
      <w:pPr>
        <w:ind w:left="1440"/>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“ARTICULO 13º—</w:t>
      </w:r>
      <w:r>
        <w:rPr>
          <w:rFonts w:ascii="Times New Roman" w:eastAsia="Times New Roman" w:hAnsi="Times New Roman" w:cs="Times New Roman"/>
          <w:i/>
          <w:iCs/>
          <w:sz w:val="24"/>
          <w:szCs w:val="24"/>
        </w:rPr>
        <w:t>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 El Estado promoverá las condiciones para que la igualdad sea real y efectiva y adoptará medidas en favor de grupos discriminados o marginados. El Estado protegerá especialmente a aquellas personas que por su condición económica, física o mental, se encuentren en circunstancia de debilidad manifiesta y sancionará los abusos o maltratos que contra ellas se cometan”</w:t>
      </w:r>
    </w:p>
    <w:p w14:paraId="6B866FCC" w14:textId="77777777" w:rsidR="007C242F" w:rsidRDefault="007C242F">
      <w:pPr>
        <w:ind w:left="1440"/>
        <w:jc w:val="both"/>
        <w:rPr>
          <w:rFonts w:ascii="Times New Roman" w:eastAsia="Times New Roman" w:hAnsi="Times New Roman" w:cs="Times New Roman"/>
          <w:sz w:val="24"/>
          <w:szCs w:val="24"/>
        </w:rPr>
      </w:pPr>
    </w:p>
    <w:p w14:paraId="1F7BCB2A"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 haber otorgado beneficios particulares a los miembros de los grupos armados organizados, se les ha dado un trato diferencial ante la Ley, rompiendo así con el principio constitucional de la igualdad respecto de este matiz. Lo anterior resulta agravado toda vez que se presenta el contexto de individuos cuyo actuar se ha materializado en graves faltas contra nuestro Estado Social de Derecho y la nación, situación fáctica que la redacción, </w:t>
      </w:r>
      <w:r>
        <w:rPr>
          <w:rFonts w:ascii="Times New Roman" w:eastAsia="Times New Roman" w:hAnsi="Times New Roman" w:cs="Times New Roman"/>
          <w:sz w:val="24"/>
          <w:szCs w:val="24"/>
        </w:rPr>
        <w:lastRenderedPageBreak/>
        <w:t xml:space="preserve">exposición de motivos, justificación y articulado de la Ley 2272 del 2022, no ha podido avalar el otorgamiento de estos privilegios legales. Además, se rompe con el reconocimiento de las víctimas como personas de especial protección constitucional, toda vez que el esfuerzo de este Gobierno mediante la promulgación de esta Ley no ha tenido como objetivo dicho foco población, sino sus victimarios, que, en vez de acogerse a la posibilidad de negociación, han aprovechado el contexto legal aprobado para hacer aún más visible y comprobable su actuar criminal. </w:t>
      </w:r>
    </w:p>
    <w:p w14:paraId="6B2DCCDE" w14:textId="77777777" w:rsidR="007C242F" w:rsidRDefault="007C242F">
      <w:pPr>
        <w:jc w:val="both"/>
        <w:rPr>
          <w:rFonts w:ascii="Times New Roman" w:eastAsia="Times New Roman" w:hAnsi="Times New Roman" w:cs="Times New Roman"/>
          <w:b/>
          <w:bCs/>
          <w:sz w:val="24"/>
          <w:szCs w:val="24"/>
        </w:rPr>
      </w:pPr>
    </w:p>
    <w:p w14:paraId="57194CD8" w14:textId="77777777" w:rsidR="007C242F"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Artículo 29 de la Constitución Política:</w:t>
      </w:r>
    </w:p>
    <w:p w14:paraId="00A5DF67" w14:textId="77777777" w:rsidR="007C242F" w:rsidRDefault="007C242F">
      <w:pPr>
        <w:jc w:val="both"/>
        <w:rPr>
          <w:rFonts w:ascii="Times New Roman" w:eastAsia="Times New Roman" w:hAnsi="Times New Roman" w:cs="Times New Roman"/>
          <w:sz w:val="24"/>
          <w:szCs w:val="24"/>
        </w:rPr>
      </w:pPr>
    </w:p>
    <w:p w14:paraId="7678193A" w14:textId="77777777" w:rsidR="007C242F" w:rsidRDefault="00000000">
      <w:pPr>
        <w:ind w:left="1440"/>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bCs/>
          <w:i/>
          <w:iCs/>
          <w:sz w:val="24"/>
          <w:szCs w:val="24"/>
        </w:rPr>
        <w:t>ARTICULO 29º</w:t>
      </w:r>
      <w:r>
        <w:rPr>
          <w:rFonts w:ascii="Times New Roman" w:eastAsia="Times New Roman" w:hAnsi="Times New Roman" w:cs="Times New Roman"/>
          <w:i/>
          <w:iCs/>
          <w:sz w:val="24"/>
          <w:szCs w:val="24"/>
        </w:rPr>
        <w:t>—</w:t>
      </w:r>
      <w:r>
        <w:rPr>
          <w:rFonts w:ascii="Times New Roman" w:eastAsia="Times New Roman" w:hAnsi="Times New Roman" w:cs="Times New Roman"/>
          <w:b/>
          <w:bCs/>
          <w:i/>
          <w:iCs/>
          <w:sz w:val="24"/>
          <w:szCs w:val="24"/>
        </w:rPr>
        <w:t>El debido proceso</w:t>
      </w:r>
      <w:r>
        <w:rPr>
          <w:rFonts w:ascii="Times New Roman" w:eastAsia="Times New Roman" w:hAnsi="Times New Roman" w:cs="Times New Roman"/>
          <w:i/>
          <w:iCs/>
          <w:sz w:val="24"/>
          <w:szCs w:val="24"/>
        </w:rPr>
        <w:t xml:space="preserve"> se aplicará a toda clase de actuaciones judiciales y administrativas. Nadie podrá ser juzgado sino conforme a leyes preexistentes al acto que se le imputa, ante juez o tribunal competente y con observancia de la plenitud de las formas propias de cada juicio. En materia penal, la ley permisiva o favorable, aun cuando sea posterior, se aplicará de preferencia a la restrictiva o desfavorable. Toda persona se presume inocente mientras no se la haya declarado judicialmente culpable. Quien sea sindicado tiene derecho a la defensa y a la asistencia de un abogado escogido por él, o de oficio, durante la investigación y el juzgamiento; a un debido proceso público sin dilaciones injustificadas; a presentar pruebas y a controvertir las que se alleguen en su contra; a impugnar la sentencia condenatoria, y a no ser juzgado dos veces por el mismo hecho. Es nula, de pleno derecho, la prueba obtenida con violación del debido proceso”</w:t>
      </w:r>
    </w:p>
    <w:p w14:paraId="786CC9B8" w14:textId="77777777" w:rsidR="007C242F" w:rsidRDefault="007C242F">
      <w:pPr>
        <w:jc w:val="both"/>
        <w:rPr>
          <w:rFonts w:ascii="Times New Roman" w:eastAsia="Times New Roman" w:hAnsi="Times New Roman" w:cs="Times New Roman"/>
          <w:sz w:val="24"/>
          <w:szCs w:val="24"/>
        </w:rPr>
      </w:pPr>
    </w:p>
    <w:p w14:paraId="0083829F"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Ley 2272 de 2022, dentro de las ya nombradas facultades extraordinarias dadas al Presidente de la República, se encuentra la posibilidad de suspender órdenes de captura o de liberar personas ya capturadas. El principio del debido proceso no debe ser entendido de manera limitada, sino amplia. Esto significa que su aplicativo es potestativo y exclusivo del poder judicial. Dar estos beneficios procesales al ejecutivo, es no solo una violación directa al principio constitucional de que la justicia recae en cabeza de los jueces de la República, sino que determina una dictadura bajo el argumento de que es el presidente quien, a partir de sus facultades, determina quien puede estar o no libre en el marco del conflicto armado. Esto rompe completamente con el equilibrio procesal. </w:t>
      </w:r>
    </w:p>
    <w:p w14:paraId="5036BB18"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EB45D70" w14:textId="77777777" w:rsidR="007C242F"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Artículo 116 de la Constitución Política, Rama Judicial:</w:t>
      </w:r>
    </w:p>
    <w:p w14:paraId="48716F33" w14:textId="77777777" w:rsidR="007C242F" w:rsidRDefault="007C242F">
      <w:pPr>
        <w:ind w:left="1440"/>
        <w:jc w:val="both"/>
        <w:rPr>
          <w:rFonts w:ascii="Times New Roman" w:eastAsia="Times New Roman" w:hAnsi="Times New Roman" w:cs="Times New Roman"/>
          <w:b/>
          <w:bCs/>
          <w:i/>
          <w:iCs/>
          <w:sz w:val="24"/>
          <w:szCs w:val="24"/>
        </w:rPr>
      </w:pPr>
    </w:p>
    <w:p w14:paraId="42C3C561" w14:textId="77777777" w:rsidR="007C242F" w:rsidRDefault="00000000">
      <w:pPr>
        <w:ind w:left="1440"/>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 xml:space="preserve">“Artículo 116. </w:t>
      </w:r>
      <w:r>
        <w:rPr>
          <w:rFonts w:ascii="Times New Roman" w:eastAsia="Times New Roman" w:hAnsi="Times New Roman" w:cs="Times New Roman"/>
          <w:i/>
          <w:iCs/>
          <w:sz w:val="24"/>
          <w:szCs w:val="24"/>
        </w:rPr>
        <w:t>La Corte Constitucional, la Corte Suprema de Justicia, el Consejo de Estado, el Consejo Superior de la Judicatura, la Fiscalía General de la Nación, los Tribunales y los Jueces, administran Justicia. También lo hace la Justicia Penal Militar.</w:t>
      </w:r>
    </w:p>
    <w:p w14:paraId="6B77E983" w14:textId="77777777" w:rsidR="007C242F" w:rsidRDefault="007C242F">
      <w:pPr>
        <w:ind w:left="1440"/>
        <w:jc w:val="both"/>
        <w:rPr>
          <w:rFonts w:ascii="Times New Roman" w:eastAsia="Times New Roman" w:hAnsi="Times New Roman" w:cs="Times New Roman"/>
          <w:i/>
          <w:iCs/>
          <w:sz w:val="24"/>
          <w:szCs w:val="24"/>
        </w:rPr>
      </w:pPr>
    </w:p>
    <w:p w14:paraId="7246272B" w14:textId="77777777" w:rsidR="007C242F" w:rsidRDefault="00000000">
      <w:pPr>
        <w:ind w:left="14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El Congreso ejercerá determinadas funciones judiciales.</w:t>
      </w:r>
    </w:p>
    <w:p w14:paraId="0859A212" w14:textId="77777777" w:rsidR="007C242F" w:rsidRDefault="007C242F">
      <w:pPr>
        <w:ind w:left="1440"/>
        <w:jc w:val="both"/>
        <w:rPr>
          <w:rFonts w:ascii="Times New Roman" w:eastAsia="Times New Roman" w:hAnsi="Times New Roman" w:cs="Times New Roman"/>
          <w:i/>
          <w:iCs/>
          <w:sz w:val="24"/>
          <w:szCs w:val="24"/>
        </w:rPr>
      </w:pPr>
    </w:p>
    <w:p w14:paraId="71AB5358" w14:textId="77777777" w:rsidR="007C242F" w:rsidRDefault="00000000">
      <w:pPr>
        <w:ind w:left="14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Excepcionalmente la ley podrá atribuir función jurisdiccional en materias precisas a determinadas autoridades administrativas. Sin embargo, no les será permitido adelantar la instrucción de sumarios ni juzgar delitos”</w:t>
      </w:r>
    </w:p>
    <w:p w14:paraId="54A949C2" w14:textId="77777777" w:rsidR="007C242F" w:rsidRDefault="007C242F">
      <w:pPr>
        <w:jc w:val="both"/>
        <w:rPr>
          <w:rFonts w:ascii="Times New Roman" w:eastAsia="Times New Roman" w:hAnsi="Times New Roman" w:cs="Times New Roman"/>
          <w:sz w:val="24"/>
          <w:szCs w:val="24"/>
        </w:rPr>
      </w:pPr>
    </w:p>
    <w:p w14:paraId="7D7F7BCD" w14:textId="77777777" w:rsidR="007C242F" w:rsidRDefault="007C242F">
      <w:pPr>
        <w:jc w:val="both"/>
        <w:rPr>
          <w:rFonts w:ascii="Times New Roman" w:eastAsia="Times New Roman" w:hAnsi="Times New Roman" w:cs="Times New Roman"/>
          <w:sz w:val="24"/>
          <w:szCs w:val="24"/>
        </w:rPr>
      </w:pPr>
    </w:p>
    <w:p w14:paraId="1EBD6FFF"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particulares pueden ser investidos transitoriamente de la función de administrar justicia en la condición de jurados en las causas criminales, conciliadores o en la de árbitros habilitados por las partes para proferir fallos en derecho o en equidad, en los términos que determine la ley.</w:t>
      </w:r>
    </w:p>
    <w:p w14:paraId="647E3B2A" w14:textId="77777777" w:rsidR="007C242F" w:rsidRDefault="007C242F">
      <w:pPr>
        <w:jc w:val="both"/>
        <w:rPr>
          <w:rFonts w:ascii="Times New Roman" w:eastAsia="Times New Roman" w:hAnsi="Times New Roman" w:cs="Times New Roman"/>
          <w:sz w:val="24"/>
          <w:szCs w:val="24"/>
        </w:rPr>
      </w:pPr>
    </w:p>
    <w:p w14:paraId="59B09691"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En el marco del contexto en el acápite anterior, debe destacarse que también se rompe con la autonomía dada por la Constitución a los Jueces de la República para administrar el poder judicial y las decisiones que en su contexto se toman, entre ellas, los beneficios procesales planteados y otorgados a los grupos delincuenciales. Rompe a su vez con la determinación dada por el artículo 116, esto al expresamente delimitar que la función jurisdiccional dada al ejecutivo debe ser en materias precisas y determinadas, pero el articulado de la Ley 2272 de 2022 dan un marco completamente abstracto que no cumple con el mandamiento constitucional. </w:t>
      </w:r>
    </w:p>
    <w:p w14:paraId="668D307C" w14:textId="77777777" w:rsidR="007C242F" w:rsidRDefault="007C242F">
      <w:pPr>
        <w:jc w:val="both"/>
        <w:rPr>
          <w:rFonts w:ascii="Times New Roman" w:eastAsia="Times New Roman" w:hAnsi="Times New Roman" w:cs="Times New Roman"/>
          <w:b/>
          <w:bCs/>
          <w:sz w:val="24"/>
          <w:szCs w:val="24"/>
        </w:rPr>
      </w:pPr>
    </w:p>
    <w:p w14:paraId="5189EFE5" w14:textId="77777777" w:rsidR="007C242F" w:rsidRDefault="00000000">
      <w:pPr>
        <w:numPr>
          <w:ilvl w:val="0"/>
          <w:numId w:val="1"/>
        </w:num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TRATADOS INTERNACIONALES</w:t>
      </w:r>
    </w:p>
    <w:p w14:paraId="33C4FEC8" w14:textId="77777777" w:rsidR="007C242F" w:rsidRDefault="007C242F">
      <w:pPr>
        <w:ind w:left="1080"/>
        <w:jc w:val="both"/>
        <w:rPr>
          <w:rFonts w:ascii="Times New Roman" w:eastAsia="Times New Roman" w:hAnsi="Times New Roman" w:cs="Times New Roman"/>
          <w:b/>
          <w:bCs/>
          <w:sz w:val="24"/>
          <w:szCs w:val="24"/>
        </w:rPr>
      </w:pPr>
    </w:p>
    <w:p w14:paraId="276F0949"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Preámbulo del Estatuto de Roma de la Corte Penal Internacional suscrito por Colombia. </w:t>
      </w:r>
    </w:p>
    <w:p w14:paraId="69C40C0F" w14:textId="77777777" w:rsidR="007C242F" w:rsidRDefault="00000000">
      <w:pPr>
        <w:ind w:left="14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“Los Estados Partes en el presente Estatuto , </w:t>
      </w:r>
    </w:p>
    <w:p w14:paraId="210F93C9" w14:textId="77777777" w:rsidR="007C242F" w:rsidRDefault="007C242F">
      <w:pPr>
        <w:ind w:left="1440"/>
        <w:jc w:val="both"/>
        <w:rPr>
          <w:rFonts w:ascii="Times New Roman" w:eastAsia="Times New Roman" w:hAnsi="Times New Roman" w:cs="Times New Roman"/>
          <w:i/>
          <w:iCs/>
          <w:sz w:val="24"/>
          <w:szCs w:val="24"/>
        </w:rPr>
      </w:pPr>
    </w:p>
    <w:p w14:paraId="6DA554EB" w14:textId="77777777" w:rsidR="007C242F" w:rsidRDefault="00000000">
      <w:pPr>
        <w:ind w:left="14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Conscientes de que todos los pueblos están unidos por estrechos lazos y sus culturas configuran un patrimonio común y observando con preocupación que este delicado mosaico puede romperse en cualquier momento, </w:t>
      </w:r>
    </w:p>
    <w:p w14:paraId="7AB79F79" w14:textId="77777777" w:rsidR="007C242F" w:rsidRDefault="007C242F">
      <w:pPr>
        <w:ind w:left="1440"/>
        <w:jc w:val="both"/>
        <w:rPr>
          <w:rFonts w:ascii="Times New Roman" w:eastAsia="Times New Roman" w:hAnsi="Times New Roman" w:cs="Times New Roman"/>
          <w:i/>
          <w:iCs/>
          <w:sz w:val="24"/>
          <w:szCs w:val="24"/>
        </w:rPr>
      </w:pPr>
    </w:p>
    <w:p w14:paraId="716DD892" w14:textId="77777777" w:rsidR="007C242F" w:rsidRDefault="00000000">
      <w:pPr>
        <w:ind w:left="1440"/>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Teniendo presente que, en este siglo, millones de niños, mujeres y hombres han sido víctimas de atrocidades que desafían la imaginación y conmueven profundamente la conciencia de la humanidad, </w:t>
      </w:r>
    </w:p>
    <w:p w14:paraId="1E1A3D5F" w14:textId="77777777" w:rsidR="007C242F" w:rsidRDefault="007C242F">
      <w:pPr>
        <w:ind w:left="1440"/>
        <w:jc w:val="both"/>
        <w:rPr>
          <w:rFonts w:ascii="Times New Roman" w:eastAsia="Times New Roman" w:hAnsi="Times New Roman" w:cs="Times New Roman"/>
          <w:i/>
          <w:iCs/>
          <w:sz w:val="24"/>
          <w:szCs w:val="24"/>
        </w:rPr>
      </w:pPr>
    </w:p>
    <w:p w14:paraId="6FB12160" w14:textId="77777777" w:rsidR="007C242F" w:rsidRDefault="00000000">
      <w:pPr>
        <w:ind w:left="1440"/>
        <w:jc w:val="both"/>
        <w:rPr>
          <w:rFonts w:ascii="Times New Roman" w:eastAsia="Times New Roman" w:hAnsi="Times New Roman" w:cs="Times New Roman"/>
          <w:b/>
          <w:bCs/>
          <w:i/>
          <w:iCs/>
          <w:sz w:val="24"/>
          <w:szCs w:val="24"/>
        </w:rPr>
      </w:pPr>
      <w:r>
        <w:rPr>
          <w:rFonts w:ascii="Times New Roman" w:eastAsia="Times New Roman" w:hAnsi="Times New Roman" w:cs="Times New Roman"/>
          <w:i/>
          <w:iCs/>
          <w:sz w:val="24"/>
          <w:szCs w:val="24"/>
        </w:rPr>
        <w:t>Reconociendo que esos</w:t>
      </w:r>
      <w:r>
        <w:rPr>
          <w:rFonts w:ascii="Times New Roman" w:eastAsia="Times New Roman" w:hAnsi="Times New Roman" w:cs="Times New Roman"/>
          <w:b/>
          <w:bCs/>
          <w:i/>
          <w:iCs/>
          <w:sz w:val="24"/>
          <w:szCs w:val="24"/>
        </w:rPr>
        <w:t xml:space="preserve"> graves crímenes constituyen una amenaza para la paz, la seguridad y el bienestar de la humanidad, </w:t>
      </w:r>
    </w:p>
    <w:p w14:paraId="795A6518" w14:textId="77777777" w:rsidR="007C242F" w:rsidRDefault="007C242F">
      <w:pPr>
        <w:ind w:left="1440"/>
        <w:jc w:val="both"/>
        <w:rPr>
          <w:rFonts w:ascii="Times New Roman" w:eastAsia="Times New Roman" w:hAnsi="Times New Roman" w:cs="Times New Roman"/>
          <w:i/>
          <w:iCs/>
          <w:sz w:val="24"/>
          <w:szCs w:val="24"/>
        </w:rPr>
      </w:pPr>
    </w:p>
    <w:p w14:paraId="1BE54846" w14:textId="77777777" w:rsidR="007C242F" w:rsidRDefault="00000000">
      <w:pPr>
        <w:ind w:left="14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Afirmando que los crímenes más graves de trascendencia para la comunidad internacional en su conjunto no deben quedar sin castigo y que, a tal fin, hay que adoptar medidas en el plano nacional e intensificar la cooperación internacional para asegurar que sean efectivamente sometidos a la acción de la justicia, </w:t>
      </w:r>
    </w:p>
    <w:p w14:paraId="46127754" w14:textId="77777777" w:rsidR="007C242F" w:rsidRDefault="00000000">
      <w:pPr>
        <w:ind w:left="1440"/>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Decididos a poner fin a la impunidad de los autores de esos crímenes y a contribuir así a la prevención de nuevos crímenes, </w:t>
      </w:r>
    </w:p>
    <w:p w14:paraId="4D789972" w14:textId="77777777" w:rsidR="007C242F" w:rsidRDefault="007C242F">
      <w:pPr>
        <w:ind w:left="1440"/>
        <w:jc w:val="both"/>
        <w:rPr>
          <w:rFonts w:ascii="Times New Roman" w:eastAsia="Times New Roman" w:hAnsi="Times New Roman" w:cs="Times New Roman"/>
          <w:i/>
          <w:iCs/>
          <w:sz w:val="24"/>
          <w:szCs w:val="24"/>
        </w:rPr>
      </w:pPr>
    </w:p>
    <w:p w14:paraId="26A392A4" w14:textId="77777777" w:rsidR="007C242F" w:rsidRDefault="00000000">
      <w:pPr>
        <w:ind w:left="1440"/>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Recordando que es deber de todo Estado ejercer su jurisdicción penal contra los responsables de crímenes internacionales, </w:t>
      </w:r>
    </w:p>
    <w:p w14:paraId="6C3D6A74" w14:textId="77777777" w:rsidR="007C242F" w:rsidRDefault="007C242F">
      <w:pPr>
        <w:ind w:left="1440"/>
        <w:jc w:val="both"/>
        <w:rPr>
          <w:rFonts w:ascii="Times New Roman" w:eastAsia="Times New Roman" w:hAnsi="Times New Roman" w:cs="Times New Roman"/>
          <w:i/>
          <w:iCs/>
          <w:sz w:val="24"/>
          <w:szCs w:val="24"/>
        </w:rPr>
      </w:pPr>
    </w:p>
    <w:p w14:paraId="0B29CBEB" w14:textId="77777777" w:rsidR="007C242F" w:rsidRDefault="00000000">
      <w:pPr>
        <w:ind w:left="14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Reafirmando los Propósitos y Principios de la Carta de las Naciones Unidas y, en particular, que los Estados se abstendrán de recurrir a la amenaza o al uso de la fuerza contra la integridad territorial o la independencia política de cualquier Estado o en cualquier otra forma incompatible con los propósitos de las Naciones Unidas, </w:t>
      </w:r>
    </w:p>
    <w:p w14:paraId="5D80BFE0" w14:textId="77777777" w:rsidR="007C242F" w:rsidRDefault="007C242F">
      <w:pPr>
        <w:ind w:left="1440"/>
        <w:jc w:val="both"/>
        <w:rPr>
          <w:rFonts w:ascii="Times New Roman" w:eastAsia="Times New Roman" w:hAnsi="Times New Roman" w:cs="Times New Roman"/>
          <w:i/>
          <w:iCs/>
          <w:sz w:val="24"/>
          <w:szCs w:val="24"/>
        </w:rPr>
      </w:pPr>
    </w:p>
    <w:p w14:paraId="2F4DD57C" w14:textId="77777777" w:rsidR="007C242F" w:rsidRDefault="00000000">
      <w:pPr>
        <w:ind w:left="14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Destacando, en este contexto, que nada de lo dispuesto en el presente Estatuto deberá entenderse en el sentido de que autorice a un Estado Parte a intervenir en una situación de conflicto armado o en los asuntos internos de otro Estado, </w:t>
      </w:r>
    </w:p>
    <w:p w14:paraId="5803B91B" w14:textId="77777777" w:rsidR="007C242F" w:rsidRDefault="007C242F">
      <w:pPr>
        <w:ind w:left="1440"/>
        <w:jc w:val="both"/>
        <w:rPr>
          <w:rFonts w:ascii="Times New Roman" w:eastAsia="Times New Roman" w:hAnsi="Times New Roman" w:cs="Times New Roman"/>
          <w:i/>
          <w:iCs/>
          <w:sz w:val="24"/>
          <w:szCs w:val="24"/>
        </w:rPr>
      </w:pPr>
    </w:p>
    <w:p w14:paraId="21E13074" w14:textId="77777777" w:rsidR="007C242F" w:rsidRDefault="00000000">
      <w:pPr>
        <w:ind w:left="14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Decididos, a los efectos de la consecución de esos fines y en interés de las generaciones presentes y futuras, a establecer una Corte Penal Internacional de carácter permanente, independiente y vinculada con el sistema de las Naciones Unidas que tenga competencia sobre los crímenes más graves de trascendencia para la comunidad internacional en su conjunto, </w:t>
      </w:r>
    </w:p>
    <w:p w14:paraId="570C9E57" w14:textId="77777777" w:rsidR="007C242F" w:rsidRDefault="007C242F">
      <w:pPr>
        <w:ind w:left="1440"/>
        <w:jc w:val="both"/>
        <w:rPr>
          <w:rFonts w:ascii="Times New Roman" w:eastAsia="Times New Roman" w:hAnsi="Times New Roman" w:cs="Times New Roman"/>
          <w:i/>
          <w:iCs/>
          <w:sz w:val="24"/>
          <w:szCs w:val="24"/>
        </w:rPr>
      </w:pPr>
    </w:p>
    <w:p w14:paraId="1A236565" w14:textId="77777777" w:rsidR="007C242F" w:rsidRDefault="00000000">
      <w:pPr>
        <w:ind w:left="14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 xml:space="preserve">Destacando que la Corte Penal Internacional establecida en virtud del presente Estatuto será complementaria de las jurisdicciones penales nacionales, </w:t>
      </w:r>
    </w:p>
    <w:p w14:paraId="5AF59BD9" w14:textId="77777777" w:rsidR="007C242F" w:rsidRDefault="007C242F">
      <w:pPr>
        <w:ind w:left="1440"/>
        <w:jc w:val="both"/>
        <w:rPr>
          <w:rFonts w:ascii="Times New Roman" w:eastAsia="Times New Roman" w:hAnsi="Times New Roman" w:cs="Times New Roman"/>
          <w:i/>
          <w:iCs/>
          <w:sz w:val="24"/>
          <w:szCs w:val="24"/>
        </w:rPr>
      </w:pPr>
    </w:p>
    <w:p w14:paraId="1B68AA9A" w14:textId="77777777" w:rsidR="007C242F" w:rsidRDefault="00000000">
      <w:pPr>
        <w:ind w:left="14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Decididos a garantizar que la justicia internacional sea respetada y puesta en práctica en forma duradera”</w:t>
      </w:r>
    </w:p>
    <w:p w14:paraId="19659676" w14:textId="77777777" w:rsidR="007C242F" w:rsidRDefault="007C242F">
      <w:pPr>
        <w:jc w:val="both"/>
        <w:rPr>
          <w:rFonts w:ascii="Times New Roman" w:eastAsia="Times New Roman" w:hAnsi="Times New Roman" w:cs="Times New Roman"/>
          <w:b/>
          <w:bCs/>
          <w:sz w:val="24"/>
          <w:szCs w:val="24"/>
        </w:rPr>
      </w:pPr>
    </w:p>
    <w:p w14:paraId="6949EF67"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firma por parte del Estado colombiano de este Tratado Internacional deja en ver la responsabilidad que tiene la nación de trabajar por la no impunidad de los individuos que cometieron crímenes de guerra y de lesa humanidad, como es el caso concreto de la gran mayoría de los grupos insurgentes beneficiarios de la aprobación de la Paz Total en el territorio nacional. </w:t>
      </w:r>
    </w:p>
    <w:p w14:paraId="547227A5" w14:textId="77777777" w:rsidR="007C242F" w:rsidRDefault="007C242F">
      <w:pPr>
        <w:jc w:val="both"/>
        <w:rPr>
          <w:rFonts w:ascii="Times New Roman" w:eastAsia="Times New Roman" w:hAnsi="Times New Roman" w:cs="Times New Roman"/>
          <w:sz w:val="24"/>
          <w:szCs w:val="24"/>
        </w:rPr>
      </w:pPr>
    </w:p>
    <w:p w14:paraId="3A67CDFE"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claro que los beneficios dados, tanto procesales como delictivos, a los miembros de grupos al margen de la Ley, configuran una clara conducta que va en contravía del Estatuto de Roma y por tanto, vulnera nuestro Bloque de Constitucionalidad, destacando así que esta no es una mera lesión al Ordenamiento Jurídico.  </w:t>
      </w:r>
    </w:p>
    <w:p w14:paraId="3B565613" w14:textId="77777777" w:rsidR="007C242F" w:rsidRDefault="007C242F">
      <w:pPr>
        <w:jc w:val="both"/>
        <w:rPr>
          <w:rFonts w:ascii="Times New Roman" w:eastAsia="Times New Roman" w:hAnsi="Times New Roman" w:cs="Times New Roman"/>
          <w:sz w:val="24"/>
          <w:szCs w:val="24"/>
        </w:rPr>
      </w:pPr>
    </w:p>
    <w:p w14:paraId="7A30F7B5" w14:textId="77777777" w:rsidR="007C242F" w:rsidRDefault="007C242F">
      <w:pPr>
        <w:jc w:val="both"/>
        <w:rPr>
          <w:rFonts w:ascii="Times New Roman" w:eastAsia="Times New Roman" w:hAnsi="Times New Roman" w:cs="Times New Roman"/>
          <w:sz w:val="24"/>
          <w:szCs w:val="24"/>
        </w:rPr>
      </w:pPr>
    </w:p>
    <w:p w14:paraId="439BCEAB" w14:textId="77777777" w:rsidR="007C242F" w:rsidRDefault="00000000">
      <w:pPr>
        <w:numPr>
          <w:ilvl w:val="0"/>
          <w:numId w:val="1"/>
        </w:num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JUDICIALES</w:t>
      </w:r>
    </w:p>
    <w:p w14:paraId="4B544FF6" w14:textId="77777777" w:rsidR="007C242F" w:rsidRDefault="007C242F">
      <w:pPr>
        <w:jc w:val="both"/>
        <w:rPr>
          <w:rFonts w:ascii="Times New Roman" w:eastAsia="Times New Roman" w:hAnsi="Times New Roman" w:cs="Times New Roman"/>
          <w:b/>
          <w:bCs/>
          <w:sz w:val="24"/>
          <w:szCs w:val="24"/>
        </w:rPr>
      </w:pPr>
    </w:p>
    <w:p w14:paraId="7C8C6209"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Sentencia C-579 de 2013</w:t>
      </w:r>
      <w:r>
        <w:rPr>
          <w:rFonts w:ascii="Times New Roman" w:eastAsia="Times New Roman" w:hAnsi="Times New Roman" w:cs="Times New Roman"/>
          <w:sz w:val="24"/>
          <w:szCs w:val="24"/>
        </w:rPr>
        <w:t xml:space="preserve"> </w:t>
      </w:r>
    </w:p>
    <w:p w14:paraId="3099F306" w14:textId="77777777" w:rsidR="007C242F" w:rsidRDefault="007C242F">
      <w:pPr>
        <w:jc w:val="both"/>
        <w:rPr>
          <w:rFonts w:ascii="Times New Roman" w:eastAsia="Times New Roman" w:hAnsi="Times New Roman" w:cs="Times New Roman"/>
          <w:sz w:val="24"/>
          <w:szCs w:val="24"/>
        </w:rPr>
      </w:pPr>
    </w:p>
    <w:p w14:paraId="1D0CFB7B" w14:textId="77777777" w:rsidR="007C242F" w:rsidRDefault="00000000">
      <w:pPr>
        <w:ind w:left="1440"/>
        <w:jc w:val="both"/>
        <w:rPr>
          <w:rFonts w:ascii="Times New Roman" w:eastAsia="Times New Roman" w:hAnsi="Times New Roman" w:cs="Times New Roman"/>
          <w:b/>
          <w:bCs/>
          <w:i/>
          <w:iCs/>
          <w:sz w:val="24"/>
          <w:szCs w:val="24"/>
        </w:rPr>
      </w:pPr>
      <w:r>
        <w:rPr>
          <w:rFonts w:ascii="Times New Roman" w:eastAsia="Times New Roman" w:hAnsi="Times New Roman" w:cs="Times New Roman"/>
          <w:i/>
          <w:iCs/>
          <w:sz w:val="24"/>
          <w:szCs w:val="24"/>
        </w:rPr>
        <w:t xml:space="preserve">“Este derecho implica que toda víctima tenga la posibilidad de hacer valer sus derechos beneficiándose de un recurso justo y eficaz, </w:t>
      </w:r>
      <w:r>
        <w:rPr>
          <w:rFonts w:ascii="Times New Roman" w:eastAsia="Times New Roman" w:hAnsi="Times New Roman" w:cs="Times New Roman"/>
          <w:b/>
          <w:bCs/>
          <w:i/>
          <w:iCs/>
          <w:sz w:val="24"/>
          <w:szCs w:val="24"/>
        </w:rPr>
        <w:t>principalmente para conseguir que su agresor sea juzgado, obteniendo su reparación</w:t>
      </w:r>
      <w:r>
        <w:rPr>
          <w:rFonts w:ascii="Times New Roman" w:eastAsia="Times New Roman" w:hAnsi="Times New Roman" w:cs="Times New Roman"/>
          <w:i/>
          <w:iCs/>
          <w:sz w:val="24"/>
          <w:szCs w:val="24"/>
        </w:rPr>
        <w:t xml:space="preserve">. En este sentido, los Principios de </w:t>
      </w:r>
      <w:proofErr w:type="spellStart"/>
      <w:r>
        <w:rPr>
          <w:rFonts w:ascii="Times New Roman" w:eastAsia="Times New Roman" w:hAnsi="Times New Roman" w:cs="Times New Roman"/>
          <w:i/>
          <w:iCs/>
          <w:sz w:val="24"/>
          <w:szCs w:val="24"/>
        </w:rPr>
        <w:t>Joinet</w:t>
      </w:r>
      <w:proofErr w:type="spellEnd"/>
      <w:r>
        <w:rPr>
          <w:rFonts w:ascii="Times New Roman" w:eastAsia="Times New Roman" w:hAnsi="Times New Roman" w:cs="Times New Roman"/>
          <w:i/>
          <w:iCs/>
          <w:sz w:val="24"/>
          <w:szCs w:val="24"/>
        </w:rPr>
        <w:t xml:space="preserve"> señalan que “no existe reconciliación justa y durable sin que </w:t>
      </w:r>
      <w:r>
        <w:rPr>
          <w:rFonts w:ascii="Times New Roman" w:eastAsia="Times New Roman" w:hAnsi="Times New Roman" w:cs="Times New Roman"/>
          <w:b/>
          <w:bCs/>
          <w:i/>
          <w:iCs/>
          <w:sz w:val="24"/>
          <w:szCs w:val="24"/>
        </w:rPr>
        <w:t>sea aportada una respuesta efectiva a los deseos de justicia</w:t>
      </w:r>
      <w:r>
        <w:rPr>
          <w:rFonts w:ascii="Times New Roman" w:eastAsia="Times New Roman" w:hAnsi="Times New Roman" w:cs="Times New Roman"/>
          <w:i/>
          <w:iCs/>
          <w:sz w:val="24"/>
          <w:szCs w:val="24"/>
        </w:rPr>
        <w:t xml:space="preserve">”. Ahora bien, también se establece en los Principios que “(e)l derecho a la justicia confiere al Estado una serie de obligaciones: la de investigar las violaciones, perseguir a sus autores y, si </w:t>
      </w:r>
      <w:r>
        <w:rPr>
          <w:rFonts w:ascii="Times New Roman" w:eastAsia="Times New Roman" w:hAnsi="Times New Roman" w:cs="Times New Roman"/>
          <w:b/>
          <w:bCs/>
          <w:i/>
          <w:iCs/>
          <w:sz w:val="24"/>
          <w:szCs w:val="24"/>
        </w:rPr>
        <w:t xml:space="preserve">su culpabilidad es establecida, de asegurar su sanción. </w:t>
      </w:r>
      <w:r>
        <w:rPr>
          <w:rFonts w:ascii="Times New Roman" w:eastAsia="Times New Roman" w:hAnsi="Times New Roman" w:cs="Times New Roman"/>
          <w:i/>
          <w:iCs/>
          <w:sz w:val="24"/>
          <w:szCs w:val="24"/>
        </w:rPr>
        <w:t>Si la iniciativa de investigar corresponde en primer lugar al Estado, las reglas complementarias de procedimiento deben prever que todas las víctimas puedan ser parte civil y, en caso de carencia de poderes públicos, tomar ella misma la iniciativa.” De esta manera, el derecho a que se haga justicia en el caso concreto, es decir</w:t>
      </w:r>
      <w:r>
        <w:rPr>
          <w:rFonts w:ascii="Times New Roman" w:eastAsia="Times New Roman" w:hAnsi="Times New Roman" w:cs="Times New Roman"/>
          <w:b/>
          <w:bCs/>
          <w:i/>
          <w:iCs/>
          <w:sz w:val="24"/>
          <w:szCs w:val="24"/>
        </w:rPr>
        <w:t>, el derecho a que no haya impunidad. Este derecho incorpora una serie de garantías para las víctimas de los delitos que se derivan de unos correlativos deberes para las autoridades, que pueden sistematizarse así: (i) el deber del Estado de investigar y sancionar adecuadamente a los autores y partícipes de los delitos; (</w:t>
      </w:r>
      <w:proofErr w:type="spellStart"/>
      <w:r>
        <w:rPr>
          <w:rFonts w:ascii="Times New Roman" w:eastAsia="Times New Roman" w:hAnsi="Times New Roman" w:cs="Times New Roman"/>
          <w:b/>
          <w:bCs/>
          <w:i/>
          <w:iCs/>
          <w:sz w:val="24"/>
          <w:szCs w:val="24"/>
        </w:rPr>
        <w:t>ii</w:t>
      </w:r>
      <w:proofErr w:type="spellEnd"/>
      <w:r>
        <w:rPr>
          <w:rFonts w:ascii="Times New Roman" w:eastAsia="Times New Roman" w:hAnsi="Times New Roman" w:cs="Times New Roman"/>
          <w:b/>
          <w:bCs/>
          <w:i/>
          <w:iCs/>
          <w:sz w:val="24"/>
          <w:szCs w:val="24"/>
        </w:rPr>
        <w:t>) el derecho de las víctimas a un recurso judicial efectivo; (</w:t>
      </w:r>
      <w:proofErr w:type="spellStart"/>
      <w:r>
        <w:rPr>
          <w:rFonts w:ascii="Times New Roman" w:eastAsia="Times New Roman" w:hAnsi="Times New Roman" w:cs="Times New Roman"/>
          <w:b/>
          <w:bCs/>
          <w:i/>
          <w:iCs/>
          <w:sz w:val="24"/>
          <w:szCs w:val="24"/>
        </w:rPr>
        <w:t>iii</w:t>
      </w:r>
      <w:proofErr w:type="spellEnd"/>
      <w:r>
        <w:rPr>
          <w:rFonts w:ascii="Times New Roman" w:eastAsia="Times New Roman" w:hAnsi="Times New Roman" w:cs="Times New Roman"/>
          <w:b/>
          <w:bCs/>
          <w:i/>
          <w:iCs/>
          <w:sz w:val="24"/>
          <w:szCs w:val="24"/>
        </w:rPr>
        <w:t>) el deber de respetar en todos los juicios las reglas del debido proceso”</w:t>
      </w:r>
    </w:p>
    <w:p w14:paraId="16187068" w14:textId="77777777" w:rsidR="007C242F" w:rsidRDefault="007C242F">
      <w:pPr>
        <w:ind w:left="1440"/>
        <w:jc w:val="both"/>
        <w:rPr>
          <w:rFonts w:ascii="Times New Roman" w:eastAsia="Times New Roman" w:hAnsi="Times New Roman" w:cs="Times New Roman"/>
          <w:b/>
          <w:bCs/>
          <w:sz w:val="24"/>
          <w:szCs w:val="24"/>
        </w:rPr>
      </w:pPr>
    </w:p>
    <w:p w14:paraId="429D0DA3" w14:textId="77777777" w:rsidR="007C242F" w:rsidRDefault="007C242F">
      <w:pPr>
        <w:jc w:val="both"/>
        <w:rPr>
          <w:rFonts w:ascii="Times New Roman" w:eastAsia="Times New Roman" w:hAnsi="Times New Roman" w:cs="Times New Roman"/>
          <w:b/>
          <w:bCs/>
          <w:sz w:val="24"/>
          <w:szCs w:val="24"/>
        </w:rPr>
      </w:pPr>
    </w:p>
    <w:p w14:paraId="1E210779" w14:textId="77777777" w:rsidR="007C242F" w:rsidRDefault="00000000">
      <w:pPr>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 xml:space="preserve">Dentro de los derechos y fines del proceso penal, la jurisprudencia ha establecido que se tienen 3 derechos que deben buscarse sobre toda circunstancia en el ámbito judicial, destacando así la verdad, justicia y reparación como eje fundante y hoja de ruta que debe guiar al Estado para garantizar los derechos y efectividad del proceso para con las víctimas. Bajo esta introducción, no tiene base jurídica alguna que la Ley “Paz Total” haya permitido beneficios en cuanto a la excarcelación de algunos individuos o el otorgamiento de beneficios procesales, toda vez que esto se presenta como un claro regazo de impunidad, vulnerando así a las víctimas. </w:t>
      </w:r>
    </w:p>
    <w:p w14:paraId="74287DF4" w14:textId="77777777" w:rsidR="007C242F" w:rsidRDefault="007C242F">
      <w:pPr>
        <w:jc w:val="both"/>
        <w:rPr>
          <w:rFonts w:ascii="Times New Roman" w:eastAsia="Times New Roman" w:hAnsi="Times New Roman" w:cs="Times New Roman"/>
          <w:sz w:val="24"/>
          <w:szCs w:val="24"/>
        </w:rPr>
      </w:pPr>
    </w:p>
    <w:p w14:paraId="5074E10A"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Deja en claro la Corte que ninguna política de paz puede estar por encima de los derechos reconocidos y foco de las víctimas, por lo que establecer políticas de impunidad contra sus principales victimarios es, desde todas las </w:t>
      </w:r>
      <w:r>
        <w:rPr>
          <w:rFonts w:ascii="Times New Roman" w:eastAsia="Times New Roman" w:hAnsi="Times New Roman" w:cs="Times New Roman"/>
          <w:sz w:val="24"/>
          <w:szCs w:val="24"/>
        </w:rPr>
        <w:lastRenderedPageBreak/>
        <w:t xml:space="preserve">perspectivas, un desconocimiento total de los fines del proceso penal y de los dictámenes dados por la jurisprudencia. </w:t>
      </w:r>
    </w:p>
    <w:p w14:paraId="2EEA2FF3" w14:textId="77777777" w:rsidR="007C242F" w:rsidRDefault="007C242F">
      <w:pPr>
        <w:jc w:val="both"/>
        <w:rPr>
          <w:rFonts w:ascii="Times New Roman" w:eastAsia="Times New Roman" w:hAnsi="Times New Roman" w:cs="Times New Roman"/>
          <w:sz w:val="24"/>
          <w:szCs w:val="24"/>
        </w:rPr>
      </w:pPr>
    </w:p>
    <w:p w14:paraId="693E45A8" w14:textId="77777777" w:rsidR="007C242F" w:rsidRDefault="007C242F">
      <w:pPr>
        <w:ind w:left="1080"/>
        <w:jc w:val="both"/>
        <w:rPr>
          <w:rFonts w:ascii="Times New Roman" w:eastAsia="Times New Roman" w:hAnsi="Times New Roman" w:cs="Times New Roman"/>
          <w:b/>
          <w:bCs/>
          <w:sz w:val="24"/>
          <w:szCs w:val="24"/>
        </w:rPr>
      </w:pPr>
    </w:p>
    <w:p w14:paraId="150329B5" w14:textId="77777777" w:rsidR="007C242F" w:rsidRDefault="00000000">
      <w:pPr>
        <w:numPr>
          <w:ilvl w:val="0"/>
          <w:numId w:val="1"/>
        </w:num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LEGALES</w:t>
      </w:r>
    </w:p>
    <w:p w14:paraId="3563B8E8" w14:textId="77777777" w:rsidR="007C242F" w:rsidRDefault="007C242F">
      <w:pPr>
        <w:jc w:val="both"/>
        <w:rPr>
          <w:rFonts w:ascii="Times New Roman" w:eastAsia="Times New Roman" w:hAnsi="Times New Roman" w:cs="Times New Roman"/>
          <w:b/>
          <w:bCs/>
          <w:sz w:val="24"/>
          <w:szCs w:val="24"/>
        </w:rPr>
      </w:pPr>
    </w:p>
    <w:p w14:paraId="4DB95FF1"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Ley 975 de 2005:</w:t>
      </w:r>
    </w:p>
    <w:p w14:paraId="5BA27B36" w14:textId="77777777" w:rsidR="007C242F" w:rsidRDefault="007C242F">
      <w:pPr>
        <w:jc w:val="both"/>
        <w:rPr>
          <w:rFonts w:ascii="Times New Roman" w:eastAsia="Times New Roman" w:hAnsi="Times New Roman" w:cs="Times New Roman"/>
          <w:i/>
          <w:iCs/>
          <w:sz w:val="24"/>
          <w:szCs w:val="24"/>
        </w:rPr>
      </w:pPr>
    </w:p>
    <w:p w14:paraId="035DBE95" w14:textId="77777777" w:rsidR="007C242F" w:rsidRDefault="00000000">
      <w:pPr>
        <w:ind w:left="1440"/>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“Artículo 4°. Derecho a la verdad, la justicia y la reparación y debido proceso. El proceso de reconciliación nacional al que dé lugar la presente ley, deberá promover, en todo caso, el derecho de las víctimas a la verdad, la justicia y la reparación</w:t>
      </w:r>
      <w:r>
        <w:rPr>
          <w:rFonts w:ascii="Times New Roman" w:eastAsia="Times New Roman" w:hAnsi="Times New Roman" w:cs="Times New Roman"/>
          <w:i/>
          <w:iCs/>
          <w:sz w:val="24"/>
          <w:szCs w:val="24"/>
        </w:rPr>
        <w:t xml:space="preserve"> y respetar el derecho al debido proceso y las garantías judiciales de los procesados”</w:t>
      </w:r>
    </w:p>
    <w:p w14:paraId="3E650630" w14:textId="77777777" w:rsidR="007C242F" w:rsidRDefault="007C242F">
      <w:pPr>
        <w:jc w:val="both"/>
        <w:rPr>
          <w:rFonts w:ascii="Times New Roman" w:eastAsia="Times New Roman" w:hAnsi="Times New Roman" w:cs="Times New Roman"/>
          <w:sz w:val="24"/>
          <w:szCs w:val="24"/>
        </w:rPr>
      </w:pPr>
    </w:p>
    <w:p w14:paraId="44AB31C9"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derecho a la Justicia, previamente definidos por la jurisprudencia, extrapolando lo que ella supone y definiendo las aristas que este tiene, ha sido expresado en la legislación nacional. La Ley 975 de 2005, definió que el proceso de reconciliación en el marco de la expedición de esta norma debía promover en todo caso la justicia y respetar el debido proceso, por lo que su amplia interpretación deja entrever que las disposiciones aportadas y beneficiosas para grupos al margen de la Ley con la Ley “Paz Total” rompen totalmente este mandato legal al determinar condiciones de impunidad sobre los victimarios. Esto se materializa en un claro desconocimiento del trato que ameritan las víctimas y que supone que debe versarse sobre la no impunidad de sus agresores. </w:t>
      </w:r>
    </w:p>
    <w:p w14:paraId="76A1B765" w14:textId="77777777" w:rsidR="007C242F" w:rsidRDefault="007C242F">
      <w:pPr>
        <w:jc w:val="both"/>
        <w:rPr>
          <w:rFonts w:ascii="Times New Roman" w:eastAsia="Times New Roman" w:hAnsi="Times New Roman" w:cs="Times New Roman"/>
          <w:b/>
          <w:bCs/>
          <w:sz w:val="24"/>
          <w:szCs w:val="24"/>
        </w:rPr>
      </w:pPr>
    </w:p>
    <w:p w14:paraId="3505938E"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Ley 1448 de 2011:</w:t>
      </w:r>
    </w:p>
    <w:p w14:paraId="31FA7DC9" w14:textId="77777777" w:rsidR="007C242F" w:rsidRDefault="007C242F">
      <w:pPr>
        <w:jc w:val="both"/>
        <w:rPr>
          <w:rFonts w:ascii="Times New Roman" w:eastAsia="Times New Roman" w:hAnsi="Times New Roman" w:cs="Times New Roman"/>
          <w:sz w:val="24"/>
          <w:szCs w:val="24"/>
        </w:rPr>
      </w:pPr>
    </w:p>
    <w:p w14:paraId="71B861A2" w14:textId="77777777" w:rsidR="007C242F" w:rsidRDefault="00000000">
      <w:pPr>
        <w:ind w:left="1440"/>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“ARTÍCULO 24. DERECHO A LA JUSTICIA. </w:t>
      </w:r>
      <w:r>
        <w:rPr>
          <w:rFonts w:ascii="Times New Roman" w:eastAsia="Times New Roman" w:hAnsi="Times New Roman" w:cs="Times New Roman"/>
          <w:i/>
          <w:iCs/>
          <w:sz w:val="24"/>
          <w:szCs w:val="24"/>
        </w:rPr>
        <w:t>Es deber del Estado adelantar una investigación efectiva que conduzca al esclarecimiento de las violaciones contempladas en el artículo 3° de la presente Ley, la identificación de los responsables, y su respectiva sanción.</w:t>
      </w:r>
    </w:p>
    <w:p w14:paraId="498666FB" w14:textId="77777777" w:rsidR="007C242F" w:rsidRDefault="007C242F">
      <w:pPr>
        <w:ind w:left="1440"/>
        <w:jc w:val="both"/>
        <w:rPr>
          <w:rFonts w:ascii="Times New Roman" w:eastAsia="Times New Roman" w:hAnsi="Times New Roman" w:cs="Times New Roman"/>
          <w:b/>
          <w:bCs/>
          <w:i/>
          <w:iCs/>
          <w:sz w:val="24"/>
          <w:szCs w:val="24"/>
        </w:rPr>
      </w:pPr>
    </w:p>
    <w:p w14:paraId="44299103" w14:textId="77777777" w:rsidR="007C242F" w:rsidRDefault="00000000">
      <w:pPr>
        <w:ind w:left="14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Las víctimas tendrán acceso a las medidas de atención, asistencia y reparación contempladas en esta ley o en otros instrumentos legales sobre la materia, sin perjuicio de su ejercicio del derecho de acceso a la justicia.</w:t>
      </w:r>
    </w:p>
    <w:p w14:paraId="09ACF42A" w14:textId="77777777" w:rsidR="007C242F" w:rsidRDefault="007C242F">
      <w:pPr>
        <w:ind w:left="1440"/>
        <w:jc w:val="both"/>
        <w:rPr>
          <w:rFonts w:ascii="Times New Roman" w:eastAsia="Times New Roman" w:hAnsi="Times New Roman" w:cs="Times New Roman"/>
          <w:sz w:val="24"/>
          <w:szCs w:val="24"/>
        </w:rPr>
      </w:pPr>
    </w:p>
    <w:p w14:paraId="4B1F9B17" w14:textId="77777777" w:rsidR="007C242F" w:rsidRDefault="00000000">
      <w:pPr>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disposiciones consagradas en la Ley de “Paz Total” suponen una clara contravía a la obligación que impuso esta Ley respecto de imponer respectivas sanciones a aquellos que cometieron conductas delictivas en el marco del Conflicto armado colombiano, por lo que se resalta que las facultades otorgadas al presidente en cuanto a la impunidad de estos individuos claramente vulneran la búsqueda del derecho a la Justicia, negando un mandato legal y constitucional”</w:t>
      </w:r>
    </w:p>
    <w:p w14:paraId="168DA52A" w14:textId="77777777" w:rsidR="007C242F" w:rsidRDefault="007C242F">
      <w:pPr>
        <w:jc w:val="both"/>
        <w:rPr>
          <w:rFonts w:ascii="Times New Roman" w:eastAsia="Times New Roman" w:hAnsi="Times New Roman" w:cs="Times New Roman"/>
          <w:sz w:val="24"/>
          <w:szCs w:val="24"/>
        </w:rPr>
      </w:pPr>
    </w:p>
    <w:p w14:paraId="5305EDA2" w14:textId="77777777" w:rsidR="007C242F" w:rsidRDefault="007C242F">
      <w:pPr>
        <w:jc w:val="both"/>
        <w:rPr>
          <w:rFonts w:ascii="Times New Roman" w:eastAsia="Times New Roman" w:hAnsi="Times New Roman" w:cs="Times New Roman"/>
          <w:sz w:val="24"/>
          <w:szCs w:val="24"/>
        </w:rPr>
      </w:pPr>
    </w:p>
    <w:p w14:paraId="257A5497" w14:textId="77777777" w:rsidR="007C242F" w:rsidRDefault="00000000">
      <w:pPr>
        <w:numPr>
          <w:ilvl w:val="0"/>
          <w:numId w:val="1"/>
        </w:num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CONCEPTO DE LA PROCURADURÍA GENERAL DE LA NACIÓN SOLICITANDO SU INEXEQUIBILIDAD </w:t>
      </w:r>
    </w:p>
    <w:p w14:paraId="610BFE8B" w14:textId="77777777" w:rsidR="007C242F" w:rsidRDefault="007C242F">
      <w:pPr>
        <w:jc w:val="both"/>
        <w:rPr>
          <w:rFonts w:ascii="Times New Roman" w:eastAsia="Times New Roman" w:hAnsi="Times New Roman" w:cs="Times New Roman"/>
          <w:b/>
          <w:bCs/>
          <w:sz w:val="24"/>
          <w:szCs w:val="24"/>
        </w:rPr>
      </w:pPr>
    </w:p>
    <w:p w14:paraId="24310499" w14:textId="77777777" w:rsidR="007C242F"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La Ley 2272 de 2022, conocida como la "Ley de Paz Total", ya ha sido objeto de múltiples cuestionamientos y demandas de inconstitucionalidad debido a preocupaciones sobre los beneficios que se les otorgaron a bandas criminales, generando esto un impacto negativo en los derechos de las víctimas y el sentimiento de impunidad social frente a los crímenes atroces realizados por los únicos beneficiados por esta ley. </w:t>
      </w:r>
    </w:p>
    <w:p w14:paraId="078A1CDB" w14:textId="77777777" w:rsidR="007C242F" w:rsidRDefault="007C242F">
      <w:pPr>
        <w:jc w:val="both"/>
        <w:rPr>
          <w:rFonts w:ascii="Times New Roman" w:eastAsia="Times New Roman" w:hAnsi="Times New Roman" w:cs="Times New Roman"/>
          <w:sz w:val="24"/>
          <w:szCs w:val="24"/>
        </w:rPr>
      </w:pPr>
    </w:p>
    <w:p w14:paraId="5881A4AC"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 </w:t>
      </w:r>
      <w:r>
        <w:rPr>
          <w:rFonts w:ascii="Times New Roman" w:eastAsia="Times New Roman" w:hAnsi="Times New Roman" w:cs="Times New Roman"/>
          <w:sz w:val="24"/>
          <w:szCs w:val="24"/>
        </w:rPr>
        <w:t>En su momento</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Procuraduría General de la Nación solicitó a la Corte Constitucional declarar inexequible la Ley 2272 de 2022, argumentando que se violó el principio de conectividad durante su trámite legislativo. Además, donde señaló que la ley </w:t>
      </w:r>
      <w:r>
        <w:rPr>
          <w:rFonts w:ascii="Times New Roman" w:eastAsia="Times New Roman" w:hAnsi="Times New Roman" w:cs="Times New Roman"/>
          <w:b/>
          <w:bCs/>
          <w:sz w:val="24"/>
          <w:szCs w:val="24"/>
        </w:rPr>
        <w:t>permite que disidentes de procesos de paz anteriores puedan negociar nuevamente con el Gobierno y obtener beneficios sin limitaciones claras, lo cual contraviene mandatos.</w:t>
      </w:r>
      <w:r>
        <w:rPr>
          <w:rFonts w:ascii="Times New Roman" w:eastAsia="Times New Roman" w:hAnsi="Times New Roman" w:cs="Times New Roman"/>
          <w:sz w:val="24"/>
          <w:szCs w:val="24"/>
        </w:rPr>
        <w:t xml:space="preserve"> </w:t>
      </w:r>
    </w:p>
    <w:p w14:paraId="00972D49" w14:textId="77777777" w:rsidR="007C242F" w:rsidRDefault="007C242F">
      <w:pPr>
        <w:jc w:val="both"/>
        <w:rPr>
          <w:rFonts w:ascii="Times New Roman" w:eastAsia="Times New Roman" w:hAnsi="Times New Roman" w:cs="Times New Roman"/>
          <w:sz w:val="24"/>
          <w:szCs w:val="24"/>
        </w:rPr>
      </w:pPr>
    </w:p>
    <w:p w14:paraId="42B0F1FB"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Esclareció además que otorgar al presidente de la República, la potestad de decidir sobre la libertad de personas procesadas o condenadas, incluso en casos donde la medida de aseguramiento busca proteger a las víctimas, es una disposición que podría vulnerar los derechos de las víctimas y contravenir tratados internacionales ratificados por Colombia que garantizan su protección judicial.</w:t>
      </w:r>
    </w:p>
    <w:p w14:paraId="19400753" w14:textId="77777777" w:rsidR="007C242F" w:rsidRDefault="007C242F">
      <w:pPr>
        <w:jc w:val="both"/>
        <w:rPr>
          <w:rFonts w:ascii="Times New Roman" w:eastAsia="Times New Roman" w:hAnsi="Times New Roman" w:cs="Times New Roman"/>
          <w:sz w:val="24"/>
          <w:szCs w:val="24"/>
        </w:rPr>
      </w:pPr>
    </w:p>
    <w:p w14:paraId="4865B1A0" w14:textId="77777777" w:rsidR="007C242F" w:rsidRDefault="00000000">
      <w:pPr>
        <w:numPr>
          <w:ilvl w:val="0"/>
          <w:numId w:val="7"/>
        </w:numPr>
        <w:pBdr>
          <w:top w:val="nil"/>
          <w:left w:val="nil"/>
          <w:bottom w:val="nil"/>
          <w:right w:val="nil"/>
          <w:between w:val="nil"/>
        </w:pBd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CONSIDERACIONES DEL PONENTE</w:t>
      </w:r>
    </w:p>
    <w:p w14:paraId="005C22FE" w14:textId="77777777" w:rsidR="007C242F" w:rsidRDefault="007C242F">
      <w:pPr>
        <w:jc w:val="both"/>
        <w:rPr>
          <w:rFonts w:ascii="Times New Roman" w:eastAsia="Times New Roman" w:hAnsi="Times New Roman" w:cs="Times New Roman"/>
          <w:b/>
          <w:bCs/>
          <w:sz w:val="24"/>
          <w:szCs w:val="24"/>
        </w:rPr>
      </w:pPr>
    </w:p>
    <w:p w14:paraId="69B711E9"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presente proyecto de ley tiene como finalidad derogar la Ley 2272 de 2022, con el objetivo de restablecer plenamente las garantías para que las Fuerzas Militares puedan actuar con eficacia en la protección de los derechos de todos los colombianos. Esta iniciativa se sustenta en la necesidad de superar las limitaciones operativas impuestas por dicha norma, a la luz del siguiente análisis:</w:t>
      </w:r>
    </w:p>
    <w:p w14:paraId="2F36F4DC" w14:textId="77777777" w:rsidR="007C242F" w:rsidRDefault="00000000">
      <w:pPr>
        <w:widowControl/>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Como congresista desde el año 2022, advertí durante los debates sobre la denominada “paz total” que esta política no solo sería un fracaso, sino también la materialización de un compromiso inaceptable del Gobierno Nacional de entregar el país a estructuras criminales. cuatro años después, la realidad confirma esa advertencia: no hay paz. Colombia atraviesa uno de los capítulos más oscuros de su historia reciente.  </w:t>
      </w:r>
    </w:p>
    <w:p w14:paraId="6A5C5C48" w14:textId="77777777" w:rsidR="007C242F" w:rsidRDefault="00000000">
      <w:pPr>
        <w:widowControl/>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Ley 2272 de 2022 constituye una afrenta institucional. En lugar de desarticular las estructuras armadas ilegales, les permitió reorganizarse, fortalecerse y expandir su control territorial. El resultado no ha sido la paz, sino una agudización de la violencia: masacres, secuestros, desplazamientos forzados, bombardeos y, de forma alarmante, un “plan pistola” que ha cobrado la vida de miembros de nuestra Fuerza Pública.</w:t>
      </w:r>
    </w:p>
    <w:p w14:paraId="744D377B" w14:textId="77777777" w:rsidR="007C242F" w:rsidRDefault="00000000">
      <w:pPr>
        <w:widowControl/>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Hoy en Colombia están cazando policías como si fueran presas, mientras el gobierno del presidente Petro permanece inerte. Bajo el eufemismo de “paz total”, lo que se ha instaurado es una guerra total contra quienes defienden el orden constitucional. Solo en lo corrido del 2025 han sido asesinados al menos 18 policías y 4 soldados en emboscadas, atentados y homicidios selectivos en departamentos como Córdoba, Huila, Norte de Santander, Valle del Cauca, Cesar, Antioquia y Guaviare.</w:t>
      </w:r>
    </w:p>
    <w:p w14:paraId="51565727" w14:textId="77777777" w:rsidR="007C242F" w:rsidRDefault="00000000">
      <w:pPr>
        <w:widowControl/>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 que impera hoy es el miedo, la sangre y el luto en los batallones y estaciones de policía. Mientras tanto, el Gobierno continúa priorizando “diálogos exploratorios” con grupos armados ilegales, en vez de garantizar la seguridad y la vida de nuestros uniformados y ciudadanos.</w:t>
      </w:r>
    </w:p>
    <w:p w14:paraId="785A5B8A"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misma línea, han transcurrido tres años marcados por una sucesión incesante de hechos violentos en todo el territorio nacional. Hoy, el rol del Gobierno Nacional parece haberse reducido a contabilizar muertos, mientras que el Jefe de Estado emite directrices tan irresponsables como peligrosas: “no responder y esperar”.</w:t>
      </w:r>
    </w:p>
    <w:p w14:paraId="3D76BE4F" w14:textId="77777777" w:rsidR="007C242F" w:rsidRDefault="007C242F">
      <w:pPr>
        <w:jc w:val="both"/>
        <w:rPr>
          <w:rFonts w:ascii="Times New Roman" w:eastAsia="Times New Roman" w:hAnsi="Times New Roman" w:cs="Times New Roman"/>
          <w:sz w:val="24"/>
          <w:szCs w:val="24"/>
        </w:rPr>
      </w:pPr>
    </w:p>
    <w:p w14:paraId="0F6FBC3C"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2025, es el peor año desde hace 7 años, para los uniformados a causa del “Plan Pistola” del Clan del Golfo, con 41 uniformados en lo que va de la anualidad, como se puede evidenciar en la siguiente grafica.</w:t>
      </w:r>
    </w:p>
    <w:p w14:paraId="4C9513FA"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703A41B" wp14:editId="01BB59A8">
            <wp:extent cx="5279245" cy="4262582"/>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279245" cy="4262582"/>
                    </a:xfrm>
                    <a:prstGeom prst="rect">
                      <a:avLst/>
                    </a:prstGeom>
                    <a:ln/>
                  </pic:spPr>
                </pic:pic>
              </a:graphicData>
            </a:graphic>
          </wp:inline>
        </w:drawing>
      </w:r>
    </w:p>
    <w:p w14:paraId="0E2C30EB"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Fuentes: informe trimestral del 2025, sobre la fuerza pública, del TIEMPO</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w:t>
      </w:r>
    </w:p>
    <w:p w14:paraId="505D6BB4" w14:textId="77777777" w:rsidR="007C242F" w:rsidRDefault="007C242F">
      <w:pPr>
        <w:jc w:val="both"/>
        <w:rPr>
          <w:rFonts w:ascii="Times New Roman" w:eastAsia="Times New Roman" w:hAnsi="Times New Roman" w:cs="Times New Roman"/>
          <w:sz w:val="24"/>
          <w:szCs w:val="24"/>
        </w:rPr>
      </w:pPr>
    </w:p>
    <w:p w14:paraId="2AF9CB68"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Haciendo un recuento cronológico de los fracasados intentos de diálogo en el marco de la mal llamada “paz total”, es evidente cómo, mientras el Gobierno Nacional se dedicaba a hacer concesiones y satisfacer las exigencias de los grupos armados, estos, en acciones paralelas, continuaban agrediendo a la población civil, expandiendo su control territorial y fortaleciendo su capacidad operativa.</w:t>
      </w:r>
    </w:p>
    <w:p w14:paraId="4BFD27A7" w14:textId="77777777" w:rsidR="007C242F" w:rsidRDefault="007C242F">
      <w:pPr>
        <w:jc w:val="both"/>
        <w:rPr>
          <w:rFonts w:ascii="Times New Roman" w:eastAsia="Times New Roman" w:hAnsi="Times New Roman" w:cs="Times New Roman"/>
          <w:sz w:val="24"/>
          <w:szCs w:val="24"/>
        </w:rPr>
      </w:pPr>
    </w:p>
    <w:p w14:paraId="49E70776" w14:textId="77777777" w:rsidR="007C242F" w:rsidRDefault="007C242F">
      <w:pPr>
        <w:jc w:val="both"/>
        <w:rPr>
          <w:rFonts w:ascii="Times New Roman" w:eastAsia="Times New Roman" w:hAnsi="Times New Roman" w:cs="Times New Roman"/>
          <w:sz w:val="24"/>
          <w:szCs w:val="24"/>
        </w:rPr>
      </w:pPr>
    </w:p>
    <w:tbl>
      <w:tblPr>
        <w:tblStyle w:val="a"/>
        <w:tblW w:w="10632" w:type="dxa"/>
        <w:tblInd w:w="0" w:type="dxa"/>
        <w:tblBorders>
          <w:top w:val="single" w:sz="4" w:space="0" w:color="B7DDE8"/>
          <w:left w:val="single" w:sz="4" w:space="0" w:color="B7DDE8"/>
          <w:bottom w:val="single" w:sz="4" w:space="0" w:color="B7DDE8"/>
          <w:right w:val="single" w:sz="4" w:space="0" w:color="B7DDE8"/>
          <w:insideH w:val="single" w:sz="4" w:space="0" w:color="B7DDE8"/>
          <w:insideV w:val="single" w:sz="4" w:space="0" w:color="B7DDE8"/>
        </w:tblBorders>
        <w:tblLayout w:type="fixed"/>
        <w:tblLook w:val="04A0" w:firstRow="1" w:lastRow="0" w:firstColumn="1" w:lastColumn="0" w:noHBand="0" w:noVBand="1"/>
      </w:tblPr>
      <w:tblGrid>
        <w:gridCol w:w="1843"/>
        <w:gridCol w:w="1985"/>
        <w:gridCol w:w="2551"/>
        <w:gridCol w:w="4253"/>
      </w:tblGrid>
      <w:tr w:rsidR="007C242F" w14:paraId="2ABB1A31" w14:textId="77777777" w:rsidTr="007C24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B8CCE4"/>
          </w:tcPr>
          <w:p w14:paraId="3F1612E2" w14:textId="77777777" w:rsidR="007C242F" w:rsidRDefault="007C242F">
            <w:pPr>
              <w:jc w:val="center"/>
              <w:rPr>
                <w:rFonts w:ascii="Times New Roman" w:eastAsia="Times New Roman" w:hAnsi="Times New Roman" w:cs="Times New Roman"/>
                <w:sz w:val="20"/>
                <w:szCs w:val="20"/>
              </w:rPr>
            </w:pPr>
          </w:p>
        </w:tc>
        <w:tc>
          <w:tcPr>
            <w:tcW w:w="8789" w:type="dxa"/>
            <w:gridSpan w:val="3"/>
            <w:shd w:val="clear" w:color="auto" w:fill="B8CCE4"/>
          </w:tcPr>
          <w:p w14:paraId="4CDF39D9" w14:textId="77777777" w:rsidR="007C242F"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LINEA DE TIEMPO DIALOGOS DE PAZ TOTAL 2022- 2025.</w:t>
            </w:r>
          </w:p>
        </w:tc>
      </w:tr>
      <w:tr w:rsidR="007C242F" w14:paraId="74A83819" w14:textId="77777777" w:rsidTr="007C242F">
        <w:tc>
          <w:tcPr>
            <w:cnfStyle w:val="001000000000" w:firstRow="0" w:lastRow="0" w:firstColumn="1" w:lastColumn="0" w:oddVBand="0" w:evenVBand="0" w:oddHBand="0" w:evenHBand="0" w:firstRowFirstColumn="0" w:firstRowLastColumn="0" w:lastRowFirstColumn="0" w:lastRowLastColumn="0"/>
            <w:tcW w:w="1843" w:type="dxa"/>
          </w:tcPr>
          <w:p w14:paraId="66E893E7" w14:textId="77777777" w:rsidR="007C242F"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FECHA</w:t>
            </w:r>
          </w:p>
        </w:tc>
        <w:tc>
          <w:tcPr>
            <w:tcW w:w="1985" w:type="dxa"/>
          </w:tcPr>
          <w:p w14:paraId="037EF76A" w14:textId="77777777" w:rsidR="007C242F"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ACCIONES DEL GOBIERNO</w:t>
            </w:r>
          </w:p>
        </w:tc>
        <w:tc>
          <w:tcPr>
            <w:tcW w:w="2551" w:type="dxa"/>
          </w:tcPr>
          <w:p w14:paraId="38E63F9A" w14:textId="77777777" w:rsidR="007C242F"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ACUERDOS</w:t>
            </w:r>
          </w:p>
        </w:tc>
        <w:tc>
          <w:tcPr>
            <w:tcW w:w="4253" w:type="dxa"/>
          </w:tcPr>
          <w:p w14:paraId="7422C338" w14:textId="77777777" w:rsidR="007C242F"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VIOLACIONES DE LOS GRUPOS ARMANDOS</w:t>
            </w:r>
          </w:p>
        </w:tc>
      </w:tr>
      <w:tr w:rsidR="007C242F" w14:paraId="06F2A5D9" w14:textId="77777777" w:rsidTr="007C242F">
        <w:tc>
          <w:tcPr>
            <w:cnfStyle w:val="001000000000" w:firstRow="0" w:lastRow="0" w:firstColumn="1" w:lastColumn="0" w:oddVBand="0" w:evenVBand="0" w:oddHBand="0" w:evenHBand="0" w:firstRowFirstColumn="0" w:firstRowLastColumn="0" w:lastRowFirstColumn="0" w:lastRowLastColumn="0"/>
            <w:tcW w:w="1843" w:type="dxa"/>
            <w:shd w:val="clear" w:color="auto" w:fill="E5B9B7"/>
          </w:tcPr>
          <w:p w14:paraId="747D018D" w14:textId="77777777" w:rsidR="007C242F" w:rsidRDefault="007C242F">
            <w:pPr>
              <w:jc w:val="both"/>
              <w:rPr>
                <w:rFonts w:ascii="Times New Roman" w:eastAsia="Times New Roman" w:hAnsi="Times New Roman" w:cs="Times New Roman"/>
                <w:sz w:val="20"/>
                <w:szCs w:val="20"/>
              </w:rPr>
            </w:pPr>
          </w:p>
        </w:tc>
        <w:tc>
          <w:tcPr>
            <w:tcW w:w="8789" w:type="dxa"/>
            <w:gridSpan w:val="3"/>
            <w:shd w:val="clear" w:color="auto" w:fill="E5B9B7"/>
          </w:tcPr>
          <w:p w14:paraId="7AB182C4" w14:textId="77777777" w:rsidR="007C242F"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2022</w:t>
            </w:r>
          </w:p>
        </w:tc>
      </w:tr>
      <w:tr w:rsidR="007C242F" w14:paraId="5186E20F" w14:textId="77777777" w:rsidTr="007C242F">
        <w:tc>
          <w:tcPr>
            <w:cnfStyle w:val="001000000000" w:firstRow="0" w:lastRow="0" w:firstColumn="1" w:lastColumn="0" w:oddVBand="0" w:evenVBand="0" w:oddHBand="0" w:evenHBand="0" w:firstRowFirstColumn="0" w:firstRowLastColumn="0" w:lastRowFirstColumn="0" w:lastRowLastColumn="0"/>
            <w:tcW w:w="1843" w:type="dxa"/>
          </w:tcPr>
          <w:p w14:paraId="25D12710" w14:textId="77777777" w:rsidR="007C242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NOVIEMBRE</w:t>
            </w:r>
          </w:p>
        </w:tc>
        <w:tc>
          <w:tcPr>
            <w:tcW w:w="1985" w:type="dxa"/>
          </w:tcPr>
          <w:p w14:paraId="63D45140"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Inicio formal de los diálogos de paz e instalación de primer ciclo en Venezuela</w:t>
            </w:r>
          </w:p>
          <w:p w14:paraId="633DE62E"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2551" w:type="dxa"/>
          </w:tcPr>
          <w:p w14:paraId="58B45C0F"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Respetar los roles de los países garantes</w:t>
            </w:r>
          </w:p>
          <w:p w14:paraId="1A3C9420"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p w14:paraId="210B5FF3"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Definir protocolos y lineamientos de las mesas de diálogos</w:t>
            </w:r>
          </w:p>
          <w:p w14:paraId="4C6CBC54"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p w14:paraId="0281AE33"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Alivios humanitarios; beneficios de prisioneros políticos.</w:t>
            </w:r>
          </w:p>
        </w:tc>
        <w:tc>
          <w:tcPr>
            <w:tcW w:w="4253" w:type="dxa"/>
          </w:tcPr>
          <w:p w14:paraId="4404792C"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22 de noviembre: </w:t>
            </w:r>
            <w:r>
              <w:rPr>
                <w:rFonts w:ascii="Times New Roman" w:eastAsia="Times New Roman" w:hAnsi="Times New Roman" w:cs="Times New Roman"/>
                <w:color w:val="000000"/>
                <w:sz w:val="20"/>
                <w:szCs w:val="20"/>
              </w:rPr>
              <w:t xml:space="preserve">enfrentamiento entre las FARC y frente carolina Ramírez deja un saldo de </w:t>
            </w:r>
            <w:r>
              <w:rPr>
                <w:rFonts w:ascii="Times New Roman" w:eastAsia="Times New Roman" w:hAnsi="Times New Roman" w:cs="Times New Roman"/>
                <w:b/>
                <w:bCs/>
                <w:color w:val="000000"/>
                <w:sz w:val="20"/>
                <w:szCs w:val="20"/>
              </w:rPr>
              <w:t xml:space="preserve">23 personas muertas </w:t>
            </w:r>
          </w:p>
          <w:p w14:paraId="7AA971FD"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lugar: putumayo</w:t>
            </w:r>
          </w:p>
        </w:tc>
      </w:tr>
      <w:tr w:rsidR="007C242F" w14:paraId="2C79C43F" w14:textId="77777777" w:rsidTr="007C242F">
        <w:tc>
          <w:tcPr>
            <w:cnfStyle w:val="001000000000" w:firstRow="0" w:lastRow="0" w:firstColumn="1" w:lastColumn="0" w:oddVBand="0" w:evenVBand="0" w:oddHBand="0" w:evenHBand="0" w:firstRowFirstColumn="0" w:firstRowLastColumn="0" w:lastRowFirstColumn="0" w:lastRowLastColumn="0"/>
            <w:tcW w:w="1843" w:type="dxa"/>
          </w:tcPr>
          <w:p w14:paraId="3E9B298C" w14:textId="77777777" w:rsidR="007C242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DICIEMBRE</w:t>
            </w:r>
          </w:p>
        </w:tc>
        <w:tc>
          <w:tcPr>
            <w:tcW w:w="1985" w:type="dxa"/>
          </w:tcPr>
          <w:p w14:paraId="6195C05E"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excarcelar a miembros de la primera línea como gestores de paz</w:t>
            </w:r>
          </w:p>
        </w:tc>
        <w:tc>
          <w:tcPr>
            <w:tcW w:w="2551" w:type="dxa"/>
          </w:tcPr>
          <w:p w14:paraId="4901AE30"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Se nombran jóvenes como gestores de paz </w:t>
            </w:r>
          </w:p>
          <w:p w14:paraId="608451AF"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Estrategia Buenaventura: “potencia de la vida”</w:t>
            </w:r>
          </w:p>
          <w:p w14:paraId="4F3E9624"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p w14:paraId="2F12CEAD"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31 de diciembre: decreto 2657 – 2659 - 2660 sobre cese bilateral con el ELN – AUTODEFENSAS CONQUISTADORAS DE LA SIERRA NEVADA - ACSN  / PACHENCA – SEGUNDA MARQUETALIA -SM.</w:t>
            </w:r>
          </w:p>
          <w:p w14:paraId="7F8F9664" w14:textId="77777777" w:rsidR="007C242F" w:rsidRDefault="007C242F">
            <w:pPr>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253" w:type="dxa"/>
          </w:tcPr>
          <w:p w14:paraId="42896879"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12 de diciembre paro armado en chocó, ELN</w:t>
            </w:r>
            <w:r>
              <w:rPr>
                <w:rFonts w:ascii="Times New Roman" w:eastAsia="Times New Roman" w:hAnsi="Times New Roman" w:cs="Times New Roman"/>
                <w:color w:val="000000"/>
                <w:sz w:val="20"/>
                <w:szCs w:val="20"/>
              </w:rPr>
              <w:t xml:space="preserve"> decretó un paro armado a partir del 15 de diciembre a las 6 de la tarde en los ríos san juan, </w:t>
            </w:r>
            <w:proofErr w:type="spellStart"/>
            <w:r>
              <w:rPr>
                <w:rFonts w:ascii="Times New Roman" w:eastAsia="Times New Roman" w:hAnsi="Times New Roman" w:cs="Times New Roman"/>
                <w:color w:val="000000"/>
                <w:sz w:val="20"/>
                <w:szCs w:val="20"/>
              </w:rPr>
              <w:t>sipí</w:t>
            </w:r>
            <w:proofErr w:type="spellEnd"/>
            <w:r>
              <w:rPr>
                <w:rFonts w:ascii="Times New Roman" w:eastAsia="Times New Roman" w:hAnsi="Times New Roman" w:cs="Times New Roman"/>
                <w:color w:val="000000"/>
                <w:sz w:val="20"/>
                <w:szCs w:val="20"/>
              </w:rPr>
              <w:t>, cajón y calima, en los departamentos de chocó y valle del cauca, zonas donde la mesa de diálogos había anunciado el inicio de alivios humanitarios para la población.</w:t>
            </w:r>
          </w:p>
        </w:tc>
      </w:tr>
      <w:tr w:rsidR="007C242F" w14:paraId="4DD75F64" w14:textId="77777777" w:rsidTr="007C242F">
        <w:tc>
          <w:tcPr>
            <w:cnfStyle w:val="001000000000" w:firstRow="0" w:lastRow="0" w:firstColumn="1" w:lastColumn="0" w:oddVBand="0" w:evenVBand="0" w:oddHBand="0" w:evenHBand="0" w:firstRowFirstColumn="0" w:firstRowLastColumn="0" w:lastRowFirstColumn="0" w:lastRowLastColumn="0"/>
            <w:tcW w:w="10632" w:type="dxa"/>
            <w:gridSpan w:val="4"/>
            <w:shd w:val="clear" w:color="auto" w:fill="E5B9B7"/>
          </w:tcPr>
          <w:p w14:paraId="566A7A01" w14:textId="77777777" w:rsidR="007C242F"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r>
      <w:tr w:rsidR="007C242F" w14:paraId="35EB22C7" w14:textId="77777777" w:rsidTr="007C242F">
        <w:tc>
          <w:tcPr>
            <w:cnfStyle w:val="001000000000" w:firstRow="0" w:lastRow="0" w:firstColumn="1" w:lastColumn="0" w:oddVBand="0" w:evenVBand="0" w:oddHBand="0" w:evenHBand="0" w:firstRowFirstColumn="0" w:firstRowLastColumn="0" w:lastRowFirstColumn="0" w:lastRowLastColumn="0"/>
            <w:tcW w:w="1843" w:type="dxa"/>
          </w:tcPr>
          <w:p w14:paraId="5A734FCD" w14:textId="77777777" w:rsidR="007C242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ENERO</w:t>
            </w:r>
          </w:p>
          <w:p w14:paraId="14C94876" w14:textId="77777777" w:rsidR="007C242F" w:rsidRDefault="007C242F">
            <w:pPr>
              <w:jc w:val="both"/>
              <w:rPr>
                <w:rFonts w:ascii="Times New Roman" w:eastAsia="Times New Roman" w:hAnsi="Times New Roman" w:cs="Times New Roman"/>
                <w:sz w:val="20"/>
                <w:szCs w:val="20"/>
              </w:rPr>
            </w:pPr>
          </w:p>
          <w:p w14:paraId="08ED9A4E" w14:textId="77777777" w:rsidR="007C242F" w:rsidRDefault="007C242F">
            <w:pPr>
              <w:jc w:val="both"/>
              <w:rPr>
                <w:rFonts w:ascii="Times New Roman" w:eastAsia="Times New Roman" w:hAnsi="Times New Roman" w:cs="Times New Roman"/>
                <w:sz w:val="20"/>
                <w:szCs w:val="20"/>
              </w:rPr>
            </w:pPr>
          </w:p>
          <w:p w14:paraId="1E456819" w14:textId="77777777" w:rsidR="007C242F" w:rsidRDefault="007C242F">
            <w:pPr>
              <w:jc w:val="both"/>
              <w:rPr>
                <w:rFonts w:ascii="Times New Roman" w:eastAsia="Times New Roman" w:hAnsi="Times New Roman" w:cs="Times New Roman"/>
                <w:sz w:val="20"/>
                <w:szCs w:val="20"/>
              </w:rPr>
            </w:pPr>
          </w:p>
        </w:tc>
        <w:tc>
          <w:tcPr>
            <w:tcW w:w="1985" w:type="dxa"/>
          </w:tcPr>
          <w:p w14:paraId="67B73EAD"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Suspensión de decreto 2657 de 2022</w:t>
            </w:r>
          </w:p>
        </w:tc>
        <w:tc>
          <w:tcPr>
            <w:tcW w:w="2551" w:type="dxa"/>
          </w:tcPr>
          <w:p w14:paraId="7BEC6A81"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Suspensión de cese bilateral con el </w:t>
            </w:r>
            <w:proofErr w:type="spellStart"/>
            <w:r>
              <w:rPr>
                <w:rFonts w:ascii="Times New Roman" w:eastAsia="Times New Roman" w:hAnsi="Times New Roman" w:cs="Times New Roman"/>
                <w:color w:val="000000"/>
                <w:sz w:val="20"/>
                <w:szCs w:val="20"/>
              </w:rPr>
              <w:t>eln</w:t>
            </w:r>
            <w:proofErr w:type="spellEnd"/>
            <w:r>
              <w:rPr>
                <w:rFonts w:ascii="Times New Roman" w:eastAsia="Times New Roman" w:hAnsi="Times New Roman" w:cs="Times New Roman"/>
                <w:color w:val="000000"/>
                <w:sz w:val="20"/>
                <w:szCs w:val="20"/>
              </w:rPr>
              <w:t xml:space="preserve"> – el decreto duro vigente: 4 días.</w:t>
            </w:r>
          </w:p>
          <w:p w14:paraId="37BEDA23"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p w14:paraId="2FC3538C"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 enero- gobierno suspende capturas a miembros del </w:t>
            </w:r>
            <w:r>
              <w:rPr>
                <w:rFonts w:ascii="Times New Roman" w:eastAsia="Times New Roman" w:hAnsi="Times New Roman" w:cs="Times New Roman"/>
                <w:b/>
                <w:bCs/>
                <w:color w:val="000000"/>
                <w:sz w:val="20"/>
                <w:szCs w:val="20"/>
              </w:rPr>
              <w:t>ESTADO MAYOR CENTRAL</w:t>
            </w:r>
          </w:p>
        </w:tc>
        <w:tc>
          <w:tcPr>
            <w:tcW w:w="4253" w:type="dxa"/>
          </w:tcPr>
          <w:p w14:paraId="7368EBBC"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 de enero: ELN niega haber pactado cese al fuego.</w:t>
            </w:r>
          </w:p>
          <w:p w14:paraId="1B288F40"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p w14:paraId="7E0C38C7"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Estado mayor central denuncia que el ejército  y </w:t>
            </w:r>
            <w:r>
              <w:rPr>
                <w:rFonts w:ascii="Times New Roman" w:eastAsia="Times New Roman" w:hAnsi="Times New Roman" w:cs="Times New Roman"/>
                <w:b/>
                <w:bCs/>
                <w:color w:val="000000"/>
                <w:sz w:val="20"/>
                <w:szCs w:val="20"/>
              </w:rPr>
              <w:t>ELN</w:t>
            </w:r>
            <w:r>
              <w:rPr>
                <w:rFonts w:ascii="Times New Roman" w:eastAsia="Times New Roman" w:hAnsi="Times New Roman" w:cs="Times New Roman"/>
                <w:color w:val="000000"/>
                <w:sz w:val="20"/>
                <w:szCs w:val="20"/>
              </w:rPr>
              <w:t xml:space="preserve"> violan cese al fuego en Arauca.</w:t>
            </w:r>
          </w:p>
        </w:tc>
      </w:tr>
      <w:tr w:rsidR="007C242F" w14:paraId="1C92311F" w14:textId="77777777" w:rsidTr="007C242F">
        <w:tc>
          <w:tcPr>
            <w:cnfStyle w:val="001000000000" w:firstRow="0" w:lastRow="0" w:firstColumn="1" w:lastColumn="0" w:oddVBand="0" w:evenVBand="0" w:oddHBand="0" w:evenHBand="0" w:firstRowFirstColumn="0" w:firstRowLastColumn="0" w:lastRowFirstColumn="0" w:lastRowLastColumn="0"/>
            <w:tcW w:w="1843" w:type="dxa"/>
          </w:tcPr>
          <w:p w14:paraId="18A20922" w14:textId="77777777" w:rsidR="007C242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FEBRERO</w:t>
            </w:r>
          </w:p>
        </w:tc>
        <w:tc>
          <w:tcPr>
            <w:tcW w:w="1985" w:type="dxa"/>
          </w:tcPr>
          <w:p w14:paraId="1B4512DA"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Cese al fuego prorrogado </w:t>
            </w:r>
          </w:p>
        </w:tc>
        <w:tc>
          <w:tcPr>
            <w:tcW w:w="2551" w:type="dxa"/>
          </w:tcPr>
          <w:p w14:paraId="43F10332"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253" w:type="dxa"/>
          </w:tcPr>
          <w:p w14:paraId="10147261"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hechos de violencia en Quibdó, donde las bandas criminales ofrecen 1 millón de pesos a los jóvenes para engrosar sus filas.</w:t>
            </w:r>
          </w:p>
          <w:p w14:paraId="7B74A536"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p w14:paraId="44F30EBD"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p w14:paraId="3B8947BF"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CLAN DEL GOLFO</w:t>
            </w:r>
            <w:r>
              <w:rPr>
                <w:rFonts w:ascii="Times New Roman" w:eastAsia="Times New Roman" w:hAnsi="Times New Roman" w:cs="Times New Roman"/>
                <w:color w:val="000000"/>
                <w:sz w:val="20"/>
                <w:szCs w:val="20"/>
              </w:rPr>
              <w:t xml:space="preserve"> autor de amenazas a </w:t>
            </w:r>
            <w:proofErr w:type="spellStart"/>
            <w:r>
              <w:rPr>
                <w:rFonts w:ascii="Times New Roman" w:eastAsia="Times New Roman" w:hAnsi="Times New Roman" w:cs="Times New Roman"/>
                <w:color w:val="000000"/>
                <w:sz w:val="20"/>
                <w:szCs w:val="20"/>
              </w:rPr>
              <w:t>excomisionado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Leyder</w:t>
            </w:r>
            <w:proofErr w:type="spellEnd"/>
            <w:r>
              <w:rPr>
                <w:rFonts w:ascii="Times New Roman" w:eastAsia="Times New Roman" w:hAnsi="Times New Roman" w:cs="Times New Roman"/>
                <w:color w:val="000000"/>
                <w:sz w:val="20"/>
                <w:szCs w:val="20"/>
              </w:rPr>
              <w:t xml:space="preserve"> Palacios </w:t>
            </w:r>
          </w:p>
        </w:tc>
      </w:tr>
      <w:tr w:rsidR="007C242F" w14:paraId="1C61B4A5" w14:textId="77777777" w:rsidTr="007C242F">
        <w:tc>
          <w:tcPr>
            <w:cnfStyle w:val="001000000000" w:firstRow="0" w:lastRow="0" w:firstColumn="1" w:lastColumn="0" w:oddVBand="0" w:evenVBand="0" w:oddHBand="0" w:evenHBand="0" w:firstRowFirstColumn="0" w:firstRowLastColumn="0" w:lastRowFirstColumn="0" w:lastRowLastColumn="0"/>
            <w:tcW w:w="1843" w:type="dxa"/>
          </w:tcPr>
          <w:p w14:paraId="2F7337B9" w14:textId="77777777" w:rsidR="007C242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MARZO</w:t>
            </w:r>
          </w:p>
        </w:tc>
        <w:tc>
          <w:tcPr>
            <w:tcW w:w="1985" w:type="dxa"/>
          </w:tcPr>
          <w:p w14:paraId="722D764B"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 gobierno nacional llama a negociadores a consulta</w:t>
            </w:r>
          </w:p>
        </w:tc>
        <w:tc>
          <w:tcPr>
            <w:tcW w:w="2551" w:type="dxa"/>
          </w:tcPr>
          <w:p w14:paraId="551FFD07"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El gobierno nacional consulta a grupos armados por  ataques violentos. </w:t>
            </w:r>
          </w:p>
        </w:tc>
        <w:tc>
          <w:tcPr>
            <w:tcW w:w="4253" w:type="dxa"/>
          </w:tcPr>
          <w:p w14:paraId="473AD108"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CLAN DEL GOLFO – AUTODEFENSAS GAITANISTAS DE COLOMBIA</w:t>
            </w:r>
            <w:r>
              <w:rPr>
                <w:rFonts w:ascii="Times New Roman" w:eastAsia="Times New Roman" w:hAnsi="Times New Roman" w:cs="Times New Roman"/>
                <w:color w:val="000000"/>
                <w:sz w:val="20"/>
                <w:szCs w:val="20"/>
              </w:rPr>
              <w:t xml:space="preserve"> detrás de </w:t>
            </w:r>
            <w:r>
              <w:rPr>
                <w:rFonts w:ascii="Times New Roman" w:eastAsia="Times New Roman" w:hAnsi="Times New Roman" w:cs="Times New Roman"/>
                <w:b/>
                <w:bCs/>
                <w:color w:val="000000"/>
                <w:sz w:val="20"/>
                <w:szCs w:val="20"/>
              </w:rPr>
              <w:t xml:space="preserve">paro minero en Antioquia y </w:t>
            </w:r>
            <w:r>
              <w:rPr>
                <w:rFonts w:ascii="Times New Roman" w:eastAsia="Times New Roman" w:hAnsi="Times New Roman" w:cs="Times New Roman"/>
                <w:color w:val="000000"/>
                <w:sz w:val="20"/>
                <w:szCs w:val="20"/>
              </w:rPr>
              <w:t>Constreñimiento a comerciantes.</w:t>
            </w:r>
          </w:p>
          <w:p w14:paraId="3671F16E"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p w14:paraId="4C47D46A"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Desplazamiento de 200 excombatientes por presión el </w:t>
            </w:r>
            <w:r>
              <w:rPr>
                <w:rFonts w:ascii="Times New Roman" w:eastAsia="Times New Roman" w:hAnsi="Times New Roman" w:cs="Times New Roman"/>
                <w:b/>
                <w:bCs/>
                <w:color w:val="000000"/>
                <w:sz w:val="20"/>
                <w:szCs w:val="20"/>
              </w:rPr>
              <w:t>Estado Mayor Central</w:t>
            </w:r>
            <w:r>
              <w:rPr>
                <w:rFonts w:ascii="Times New Roman" w:eastAsia="Times New Roman" w:hAnsi="Times New Roman" w:cs="Times New Roman"/>
                <w:color w:val="000000"/>
                <w:sz w:val="20"/>
                <w:szCs w:val="20"/>
              </w:rPr>
              <w:t xml:space="preserve">  en </w:t>
            </w:r>
            <w:r>
              <w:rPr>
                <w:rFonts w:ascii="Times New Roman" w:eastAsia="Times New Roman" w:hAnsi="Times New Roman" w:cs="Times New Roman"/>
                <w:b/>
                <w:bCs/>
                <w:color w:val="000000"/>
                <w:sz w:val="20"/>
                <w:szCs w:val="20"/>
              </w:rPr>
              <w:t>el META</w:t>
            </w:r>
          </w:p>
          <w:p w14:paraId="7AACBCF9"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p w14:paraId="4FDA8DD3"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Atentados del </w:t>
            </w:r>
            <w:r>
              <w:rPr>
                <w:rFonts w:ascii="Times New Roman" w:eastAsia="Times New Roman" w:hAnsi="Times New Roman" w:cs="Times New Roman"/>
                <w:b/>
                <w:bCs/>
                <w:color w:val="000000"/>
                <w:sz w:val="20"/>
                <w:szCs w:val="20"/>
              </w:rPr>
              <w:t>ELN</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28 de marzo de 2023</w:t>
            </w:r>
            <w:r>
              <w:rPr>
                <w:rFonts w:ascii="Times New Roman" w:eastAsia="Times New Roman" w:hAnsi="Times New Roman" w:cs="Times New Roman"/>
                <w:color w:val="000000"/>
                <w:sz w:val="20"/>
                <w:szCs w:val="20"/>
              </w:rPr>
              <w:t> – </w:t>
            </w:r>
            <w:r>
              <w:rPr>
                <w:rFonts w:ascii="Times New Roman" w:eastAsia="Times New Roman" w:hAnsi="Times New Roman" w:cs="Times New Roman"/>
                <w:i/>
                <w:iCs/>
                <w:color w:val="000000"/>
                <w:sz w:val="20"/>
                <w:szCs w:val="20"/>
              </w:rPr>
              <w:t>El Carmen, Norte de Santander</w:t>
            </w:r>
            <w:r>
              <w:rPr>
                <w:rFonts w:ascii="Times New Roman" w:eastAsia="Times New Roman" w:hAnsi="Times New Roman" w:cs="Times New Roman"/>
                <w:color w:val="000000"/>
                <w:sz w:val="20"/>
                <w:szCs w:val="20"/>
              </w:rPr>
              <w:t>: Nueve militares murieron en un ataque atribuido al ELN.</w:t>
            </w:r>
          </w:p>
          <w:p w14:paraId="0E7FAAC0"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p w14:paraId="52C64C15"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Masacre de barranquilla (19 de marzo de 2023):</w:t>
            </w:r>
            <w:r>
              <w:rPr>
                <w:rFonts w:ascii="Times New Roman" w:eastAsia="Times New Roman" w:hAnsi="Times New Roman" w:cs="Times New Roman"/>
                <w:color w:val="000000"/>
                <w:sz w:val="20"/>
                <w:szCs w:val="20"/>
              </w:rPr>
              <w:t xml:space="preserve"> durante una fiesta en el barrio Villanueva, hombres armados asesinaron a cinco personas y dejaron catorce heridos (ajustes de cuentas de Bandas Criminales)</w:t>
            </w:r>
          </w:p>
        </w:tc>
      </w:tr>
      <w:tr w:rsidR="007C242F" w14:paraId="09CF9E2A" w14:textId="77777777" w:rsidTr="007C242F">
        <w:tc>
          <w:tcPr>
            <w:cnfStyle w:val="001000000000" w:firstRow="0" w:lastRow="0" w:firstColumn="1" w:lastColumn="0" w:oddVBand="0" w:evenVBand="0" w:oddHBand="0" w:evenHBand="0" w:firstRowFirstColumn="0" w:firstRowLastColumn="0" w:lastRowFirstColumn="0" w:lastRowLastColumn="0"/>
            <w:tcW w:w="1843" w:type="dxa"/>
          </w:tcPr>
          <w:p w14:paraId="6B5BF0CF" w14:textId="77777777" w:rsidR="007C242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ABRIL</w:t>
            </w:r>
          </w:p>
        </w:tc>
        <w:tc>
          <w:tcPr>
            <w:tcW w:w="1985" w:type="dxa"/>
          </w:tcPr>
          <w:p w14:paraId="4132315B"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Gobierno propone un pre ciclo.</w:t>
            </w:r>
          </w:p>
        </w:tc>
        <w:tc>
          <w:tcPr>
            <w:tcW w:w="2551" w:type="dxa"/>
          </w:tcPr>
          <w:p w14:paraId="3D9C4926"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 indaga sobre la voluntad de cese al fuego del ELN</w:t>
            </w:r>
          </w:p>
          <w:p w14:paraId="2FAF0F85"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p w14:paraId="69F33D8D"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Gobierno nacional, </w:t>
            </w:r>
            <w:r>
              <w:rPr>
                <w:rFonts w:ascii="Times New Roman" w:eastAsia="Times New Roman" w:hAnsi="Times New Roman" w:cs="Times New Roman"/>
                <w:b/>
                <w:bCs/>
                <w:color w:val="000000"/>
                <w:sz w:val="20"/>
                <w:szCs w:val="20"/>
              </w:rPr>
              <w:t>anuncia alianza militar con Venezuela para contrarrestar al ELN.</w:t>
            </w:r>
            <w:r>
              <w:rPr>
                <w:rFonts w:ascii="Times New Roman" w:eastAsia="Times New Roman" w:hAnsi="Times New Roman" w:cs="Times New Roman"/>
                <w:color w:val="000000"/>
                <w:sz w:val="20"/>
                <w:szCs w:val="20"/>
              </w:rPr>
              <w:t xml:space="preserve"> </w:t>
            </w:r>
          </w:p>
        </w:tc>
        <w:tc>
          <w:tcPr>
            <w:tcW w:w="4253" w:type="dxa"/>
          </w:tcPr>
          <w:p w14:paraId="338D3B11"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Bandas criminales, amenazan a la población a pagar vacunas – aumenta la extorsión, Según </w:t>
            </w:r>
            <w:r>
              <w:rPr>
                <w:rFonts w:ascii="Times New Roman" w:eastAsia="Times New Roman" w:hAnsi="Times New Roman" w:cs="Times New Roman"/>
                <w:b/>
                <w:bCs/>
                <w:color w:val="000000"/>
                <w:sz w:val="20"/>
                <w:szCs w:val="20"/>
              </w:rPr>
              <w:t xml:space="preserve">Ministerio de Defensa,  en el mes de abril hubo, 788 hechos de extorsión y 11.078 hechos en todo el año.   </w:t>
            </w:r>
          </w:p>
          <w:p w14:paraId="4C1FC3C8"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p w14:paraId="79A6A9DE"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LA SEGUNDA MARQUETALIA</w:t>
            </w:r>
            <w:r>
              <w:rPr>
                <w:rFonts w:ascii="Times New Roman" w:eastAsia="Times New Roman" w:hAnsi="Times New Roman" w:cs="Times New Roman"/>
                <w:color w:val="000000"/>
                <w:sz w:val="20"/>
                <w:szCs w:val="20"/>
              </w:rPr>
              <w:t xml:space="preserve"> anuncia </w:t>
            </w:r>
            <w:r>
              <w:rPr>
                <w:rFonts w:ascii="Times New Roman" w:eastAsia="Times New Roman" w:hAnsi="Times New Roman" w:cs="Times New Roman"/>
                <w:b/>
                <w:bCs/>
                <w:color w:val="000000"/>
                <w:sz w:val="20"/>
                <w:szCs w:val="20"/>
              </w:rPr>
              <w:t>refundación frente 53</w:t>
            </w:r>
            <w:r>
              <w:rPr>
                <w:rFonts w:ascii="Times New Roman" w:eastAsia="Times New Roman" w:hAnsi="Times New Roman" w:cs="Times New Roman"/>
                <w:color w:val="000000"/>
                <w:sz w:val="20"/>
                <w:szCs w:val="20"/>
              </w:rPr>
              <w:t xml:space="preserve"> y anuncia operaciones en </w:t>
            </w:r>
            <w:r>
              <w:rPr>
                <w:rFonts w:ascii="Times New Roman" w:eastAsia="Times New Roman" w:hAnsi="Times New Roman" w:cs="Times New Roman"/>
                <w:color w:val="000000"/>
                <w:sz w:val="20"/>
                <w:szCs w:val="20"/>
              </w:rPr>
              <w:lastRenderedPageBreak/>
              <w:t>Sumapaz, Cundinamarca, Meta y alto del Vichada.</w:t>
            </w:r>
          </w:p>
        </w:tc>
      </w:tr>
      <w:tr w:rsidR="007C242F" w14:paraId="73746484" w14:textId="77777777" w:rsidTr="007C242F">
        <w:tc>
          <w:tcPr>
            <w:cnfStyle w:val="001000000000" w:firstRow="0" w:lastRow="0" w:firstColumn="1" w:lastColumn="0" w:oddVBand="0" w:evenVBand="0" w:oddHBand="0" w:evenHBand="0" w:firstRowFirstColumn="0" w:firstRowLastColumn="0" w:lastRowFirstColumn="0" w:lastRowLastColumn="0"/>
            <w:tcW w:w="1843" w:type="dxa"/>
          </w:tcPr>
          <w:p w14:paraId="7CF3761D" w14:textId="77777777" w:rsidR="007C242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MAYO</w:t>
            </w:r>
          </w:p>
        </w:tc>
        <w:tc>
          <w:tcPr>
            <w:tcW w:w="1985" w:type="dxa"/>
          </w:tcPr>
          <w:p w14:paraId="230733F8"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ciclo de negociación</w:t>
            </w:r>
          </w:p>
        </w:tc>
        <w:tc>
          <w:tcPr>
            <w:tcW w:w="2551" w:type="dxa"/>
          </w:tcPr>
          <w:p w14:paraId="6661671D"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 aplaza inicio de mesa de negociación.</w:t>
            </w:r>
          </w:p>
          <w:p w14:paraId="41BDC250"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p w14:paraId="27D45DCA"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Gobierno Nacional hace operación Darién, para la captura de alias “</w:t>
            </w:r>
            <w:r>
              <w:rPr>
                <w:rFonts w:ascii="Times New Roman" w:eastAsia="Times New Roman" w:hAnsi="Times New Roman" w:cs="Times New Roman"/>
                <w:b/>
                <w:bCs/>
                <w:color w:val="000000"/>
                <w:sz w:val="20"/>
                <w:szCs w:val="20"/>
              </w:rPr>
              <w:t>chiquito malo”.</w:t>
            </w:r>
          </w:p>
        </w:tc>
        <w:tc>
          <w:tcPr>
            <w:tcW w:w="4253" w:type="dxa"/>
          </w:tcPr>
          <w:p w14:paraId="191EE959"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Fundación del bloque occidental Jacobo arenas</w:t>
            </w:r>
          </w:p>
          <w:p w14:paraId="51EAC270"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p w14:paraId="36322AFD"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Clan del Golfo</w:t>
            </w:r>
            <w:r>
              <w:rPr>
                <w:rFonts w:ascii="Times New Roman" w:eastAsia="Times New Roman" w:hAnsi="Times New Roman" w:cs="Times New Roman"/>
                <w:color w:val="000000"/>
                <w:sz w:val="20"/>
                <w:szCs w:val="20"/>
              </w:rPr>
              <w:t xml:space="preserve"> amenaza a magistrados de la JEP</w:t>
            </w:r>
          </w:p>
          <w:p w14:paraId="3DA7FFC1"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p w14:paraId="710B72C4"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AUTODEFENSAS CONQUISTADORAS DE LA SIERRA NEVADA ACSN</w:t>
            </w:r>
            <w:r>
              <w:rPr>
                <w:rFonts w:ascii="Times New Roman" w:eastAsia="Times New Roman" w:hAnsi="Times New Roman" w:cs="Times New Roman"/>
                <w:color w:val="000000"/>
                <w:sz w:val="20"/>
                <w:szCs w:val="20"/>
              </w:rPr>
              <w:t xml:space="preserve"> – denuncia acciones de la policía en contra de la población civil.</w:t>
            </w:r>
          </w:p>
          <w:p w14:paraId="5F3EB95F"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p w14:paraId="045A4835"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Reclutamiento de menores e instalación de minas antipersonas por las </w:t>
            </w:r>
            <w:r>
              <w:rPr>
                <w:rFonts w:ascii="Times New Roman" w:eastAsia="Times New Roman" w:hAnsi="Times New Roman" w:cs="Times New Roman"/>
                <w:b/>
                <w:bCs/>
                <w:color w:val="000000"/>
                <w:sz w:val="20"/>
                <w:szCs w:val="20"/>
              </w:rPr>
              <w:t>AUTODEFENSAS GAITANISTAS DE COLOMBIA -AGC.</w:t>
            </w:r>
          </w:p>
          <w:p w14:paraId="1690D2CD"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p w14:paraId="4CF3C921"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Buenaventura,</w:t>
            </w:r>
            <w:r>
              <w:rPr>
                <w:rFonts w:ascii="Times New Roman" w:eastAsia="Times New Roman" w:hAnsi="Times New Roman" w:cs="Times New Roman"/>
                <w:color w:val="000000"/>
                <w:sz w:val="20"/>
                <w:szCs w:val="20"/>
              </w:rPr>
              <w:t xml:space="preserve"> en medio de enfrentamiento de bandas y aumento en  asesinatos.</w:t>
            </w:r>
          </w:p>
          <w:p w14:paraId="3F77DBD8"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p w14:paraId="7439B3AC"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EL ESTADO MAYOR CENTRAL</w:t>
            </w:r>
            <w:r>
              <w:rPr>
                <w:rFonts w:ascii="Times New Roman" w:eastAsia="Times New Roman" w:hAnsi="Times New Roman" w:cs="Times New Roman"/>
                <w:color w:val="000000"/>
                <w:sz w:val="20"/>
                <w:szCs w:val="20"/>
              </w:rPr>
              <w:t xml:space="preserve"> considera </w:t>
            </w:r>
            <w:r>
              <w:rPr>
                <w:rFonts w:ascii="Times New Roman" w:eastAsia="Times New Roman" w:hAnsi="Times New Roman" w:cs="Times New Roman"/>
                <w:b/>
                <w:bCs/>
                <w:color w:val="000000"/>
                <w:sz w:val="20"/>
                <w:szCs w:val="20"/>
              </w:rPr>
              <w:t>invalido protocolos de cese al fuego.</w:t>
            </w:r>
          </w:p>
          <w:p w14:paraId="64AED541"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p w14:paraId="2237FD8D"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Masacre de Riohacha (21 de mayo de 2023):</w:t>
            </w:r>
            <w:r>
              <w:rPr>
                <w:rFonts w:ascii="Times New Roman" w:eastAsia="Times New Roman" w:hAnsi="Times New Roman" w:cs="Times New Roman"/>
                <w:color w:val="000000"/>
                <w:sz w:val="20"/>
                <w:szCs w:val="20"/>
              </w:rPr>
              <w:t xml:space="preserve"> cinco personas fueron encontradas desmembradas en la zona rural de Riohacha, La Guajira.</w:t>
            </w:r>
          </w:p>
          <w:p w14:paraId="5906C304"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r>
      <w:tr w:rsidR="007C242F" w14:paraId="37C1815E" w14:textId="77777777" w:rsidTr="007C242F">
        <w:tc>
          <w:tcPr>
            <w:cnfStyle w:val="001000000000" w:firstRow="0" w:lastRow="0" w:firstColumn="1" w:lastColumn="0" w:oddVBand="0" w:evenVBand="0" w:oddHBand="0" w:evenHBand="0" w:firstRowFirstColumn="0" w:firstRowLastColumn="0" w:lastRowFirstColumn="0" w:lastRowLastColumn="0"/>
            <w:tcW w:w="1843" w:type="dxa"/>
          </w:tcPr>
          <w:p w14:paraId="534103A7" w14:textId="77777777" w:rsidR="007C242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JUNIO</w:t>
            </w:r>
          </w:p>
        </w:tc>
        <w:tc>
          <w:tcPr>
            <w:tcW w:w="1985" w:type="dxa"/>
          </w:tcPr>
          <w:p w14:paraId="0036067F"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Mesas de diálogo.</w:t>
            </w:r>
          </w:p>
        </w:tc>
        <w:tc>
          <w:tcPr>
            <w:tcW w:w="2551" w:type="dxa"/>
          </w:tcPr>
          <w:p w14:paraId="33A3EE09"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Se estudia la extensión del cese bilateral con </w:t>
            </w:r>
            <w:r>
              <w:rPr>
                <w:rFonts w:ascii="Times New Roman" w:eastAsia="Times New Roman" w:hAnsi="Times New Roman" w:cs="Times New Roman"/>
                <w:b/>
                <w:bCs/>
                <w:color w:val="000000"/>
                <w:sz w:val="20"/>
                <w:szCs w:val="20"/>
              </w:rPr>
              <w:t>AUTODEFENSAS CONQUISTADORAS DE LA SIERRA NEVADA ACSN.</w:t>
            </w:r>
          </w:p>
          <w:p w14:paraId="32EF9614"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p w14:paraId="2C5D5815"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 xml:space="preserve">Fiscalía levanta captura de </w:t>
            </w:r>
            <w:r>
              <w:rPr>
                <w:rFonts w:ascii="Times New Roman" w:eastAsia="Times New Roman" w:hAnsi="Times New Roman" w:cs="Times New Roman"/>
                <w:b/>
                <w:bCs/>
                <w:color w:val="000000"/>
                <w:sz w:val="20"/>
                <w:szCs w:val="20"/>
              </w:rPr>
              <w:t>19 miembros de FARC</w:t>
            </w:r>
          </w:p>
          <w:p w14:paraId="1408D6CD"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p w14:paraId="322540A7"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Presidencia habla de financiamiento del </w:t>
            </w:r>
            <w:r>
              <w:rPr>
                <w:rFonts w:ascii="Times New Roman" w:eastAsia="Times New Roman" w:hAnsi="Times New Roman" w:cs="Times New Roman"/>
                <w:b/>
                <w:bCs/>
                <w:color w:val="000000"/>
                <w:sz w:val="20"/>
                <w:szCs w:val="20"/>
              </w:rPr>
              <w:t>ELN a cambio de terminar acciones violentas.</w:t>
            </w:r>
          </w:p>
          <w:p w14:paraId="5A2E19C3"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p w14:paraId="359F388A"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 xml:space="preserve">Gobierno hace operativo: alias camilo, por parte de la policía. </w:t>
            </w:r>
            <w:r>
              <w:rPr>
                <w:rFonts w:ascii="Times New Roman" w:eastAsia="Times New Roman" w:hAnsi="Times New Roman" w:cs="Times New Roman"/>
                <w:b/>
                <w:bCs/>
                <w:color w:val="000000"/>
                <w:sz w:val="20"/>
                <w:szCs w:val="20"/>
              </w:rPr>
              <w:t>congelo el inicio de la mesa.</w:t>
            </w:r>
          </w:p>
          <w:p w14:paraId="3848D2C9"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p w14:paraId="5CCB3BE4"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30 de junio - fin del cese multilateral declarado por el gobierno en los decretos 2659 – 2660 de 2022</w:t>
            </w:r>
          </w:p>
        </w:tc>
        <w:tc>
          <w:tcPr>
            <w:tcW w:w="4253" w:type="dxa"/>
          </w:tcPr>
          <w:p w14:paraId="7BC56F9E"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EL ESTADO MAYOR CENTRAL</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manifiesta ruptura del cese al fuego y su voluntad de sentar de nuevo con el gobierno.</w:t>
            </w:r>
          </w:p>
          <w:p w14:paraId="6057FFC6"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p w14:paraId="2AFC470B"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En el mes se registran múltiples enfrentamientos, homicidios, una masacre y un desplazamiento forzado masivo, en todo el territorio nacional</w:t>
            </w:r>
          </w:p>
          <w:p w14:paraId="2B3E2AFE"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p w14:paraId="0B041C62"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En junio de 2023, el departamento del Chocó, especialmente el municipio de </w:t>
            </w:r>
            <w:proofErr w:type="spellStart"/>
            <w:r>
              <w:rPr>
                <w:rFonts w:ascii="Times New Roman" w:eastAsia="Times New Roman" w:hAnsi="Times New Roman" w:cs="Times New Roman"/>
                <w:color w:val="000000"/>
                <w:sz w:val="20"/>
                <w:szCs w:val="20"/>
              </w:rPr>
              <w:t>Nóvita</w:t>
            </w:r>
            <w:proofErr w:type="spellEnd"/>
            <w:r>
              <w:rPr>
                <w:rFonts w:ascii="Times New Roman" w:eastAsia="Times New Roman" w:hAnsi="Times New Roman" w:cs="Times New Roman"/>
                <w:color w:val="000000"/>
                <w:sz w:val="20"/>
                <w:szCs w:val="20"/>
              </w:rPr>
              <w:t>, fue escenario de un paro armado impuesto por el Ejército de Liberación Nacional (ELN)</w:t>
            </w:r>
          </w:p>
        </w:tc>
      </w:tr>
      <w:tr w:rsidR="007C242F" w14:paraId="1B51E672" w14:textId="77777777" w:rsidTr="007C242F">
        <w:tc>
          <w:tcPr>
            <w:cnfStyle w:val="001000000000" w:firstRow="0" w:lastRow="0" w:firstColumn="1" w:lastColumn="0" w:oddVBand="0" w:evenVBand="0" w:oddHBand="0" w:evenHBand="0" w:firstRowFirstColumn="0" w:firstRowLastColumn="0" w:lastRowFirstColumn="0" w:lastRowLastColumn="0"/>
            <w:tcW w:w="1843" w:type="dxa"/>
          </w:tcPr>
          <w:p w14:paraId="158CBB9B" w14:textId="77777777" w:rsidR="007C242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JULIO</w:t>
            </w:r>
          </w:p>
        </w:tc>
        <w:tc>
          <w:tcPr>
            <w:tcW w:w="1985" w:type="dxa"/>
          </w:tcPr>
          <w:p w14:paraId="5305F596"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Mesa en buenaventura</w:t>
            </w:r>
          </w:p>
        </w:tc>
        <w:tc>
          <w:tcPr>
            <w:tcW w:w="2551" w:type="dxa"/>
          </w:tcPr>
          <w:p w14:paraId="26AB51E3"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Decreto 1117 de 2023, cese de operaciones ofensivas.</w:t>
            </w:r>
          </w:p>
          <w:p w14:paraId="15713581"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p w14:paraId="331E46A5"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253" w:type="dxa"/>
          </w:tcPr>
          <w:p w14:paraId="2B88E4EF"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 evidencia patrulla de hombres armados en las calles de buenaventura.</w:t>
            </w:r>
          </w:p>
          <w:p w14:paraId="3DC3791E"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p w14:paraId="0F0A5B01"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Julio 2023</w:t>
            </w:r>
            <w:r>
              <w:rPr>
                <w:rFonts w:ascii="Times New Roman" w:eastAsia="Times New Roman" w:hAnsi="Times New Roman" w:cs="Times New Roman"/>
                <w:color w:val="000000"/>
                <w:sz w:val="20"/>
                <w:szCs w:val="20"/>
              </w:rPr>
              <w:t>: Un paro armado impuesto por el ELN confinó a más de 25,000 personas en los municipios mencionados, restringiendo su movilidad y acceso a servicios básicos en el Chocó</w:t>
            </w:r>
          </w:p>
        </w:tc>
      </w:tr>
      <w:tr w:rsidR="007C242F" w14:paraId="5FE679AD" w14:textId="77777777" w:rsidTr="007C242F">
        <w:tc>
          <w:tcPr>
            <w:cnfStyle w:val="001000000000" w:firstRow="0" w:lastRow="0" w:firstColumn="1" w:lastColumn="0" w:oddVBand="0" w:evenVBand="0" w:oddHBand="0" w:evenHBand="0" w:firstRowFirstColumn="0" w:firstRowLastColumn="0" w:lastRowFirstColumn="0" w:lastRowLastColumn="0"/>
            <w:tcW w:w="1843" w:type="dxa"/>
          </w:tcPr>
          <w:p w14:paraId="300255EB" w14:textId="77777777" w:rsidR="007C242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AGOSTO</w:t>
            </w:r>
          </w:p>
        </w:tc>
        <w:tc>
          <w:tcPr>
            <w:tcW w:w="1985" w:type="dxa"/>
          </w:tcPr>
          <w:p w14:paraId="64A6DC2E"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Mesa de dialogo</w:t>
            </w:r>
          </w:p>
        </w:tc>
        <w:tc>
          <w:tcPr>
            <w:tcW w:w="2551" w:type="dxa"/>
          </w:tcPr>
          <w:p w14:paraId="7059B94F"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Inicia plan pistola.</w:t>
            </w:r>
          </w:p>
          <w:p w14:paraId="3D26FB6B"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p w14:paraId="1B880B1E"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gobierno explora la posibilidad de que los voceros realicen pedagogía por fuera de las cárceles.</w:t>
            </w:r>
          </w:p>
        </w:tc>
        <w:tc>
          <w:tcPr>
            <w:tcW w:w="4253" w:type="dxa"/>
          </w:tcPr>
          <w:p w14:paraId="4D1F502B"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Se desata ola de asesinatos contra miembros de </w:t>
            </w:r>
            <w:r>
              <w:rPr>
                <w:rFonts w:ascii="Times New Roman" w:eastAsia="Times New Roman" w:hAnsi="Times New Roman" w:cs="Times New Roman"/>
                <w:color w:val="000000"/>
                <w:sz w:val="20"/>
                <w:szCs w:val="20"/>
              </w:rPr>
              <w:lastRenderedPageBreak/>
              <w:t>Policía en Neiva.</w:t>
            </w:r>
          </w:p>
          <w:p w14:paraId="45536C65"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p w14:paraId="2C723250"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Seis violaciones del cese al fuego por parte del ELN, en Arauca, cauca y Nariño.</w:t>
            </w:r>
          </w:p>
          <w:p w14:paraId="3400F5D0"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p w14:paraId="23E302BB"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Presunto plan de atentando contra fiscal general, Francisco Barbosa por parte del ELN.</w:t>
            </w:r>
          </w:p>
          <w:p w14:paraId="56EC956D"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p w14:paraId="4D2D5A1A"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AUTODEFENSAS GAITANISTAS DE COLOMBIA- AGC</w:t>
            </w:r>
            <w:r>
              <w:rPr>
                <w:rFonts w:ascii="Times New Roman" w:eastAsia="Times New Roman" w:hAnsi="Times New Roman" w:cs="Times New Roman"/>
                <w:color w:val="000000"/>
                <w:sz w:val="20"/>
                <w:szCs w:val="20"/>
              </w:rPr>
              <w:t xml:space="preserve"> anuncia enfrentamientos contra el Tren de Aragua en Bogotá.</w:t>
            </w:r>
          </w:p>
        </w:tc>
      </w:tr>
      <w:tr w:rsidR="007C242F" w14:paraId="163FB730" w14:textId="77777777" w:rsidTr="007C242F">
        <w:tc>
          <w:tcPr>
            <w:cnfStyle w:val="001000000000" w:firstRow="0" w:lastRow="0" w:firstColumn="1" w:lastColumn="0" w:oddVBand="0" w:evenVBand="0" w:oddHBand="0" w:evenHBand="0" w:firstRowFirstColumn="0" w:firstRowLastColumn="0" w:lastRowFirstColumn="0" w:lastRowLastColumn="0"/>
            <w:tcW w:w="1843" w:type="dxa"/>
          </w:tcPr>
          <w:p w14:paraId="27D6C0B5" w14:textId="77777777" w:rsidR="007C242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SEPTIEMBRE</w:t>
            </w:r>
          </w:p>
        </w:tc>
        <w:tc>
          <w:tcPr>
            <w:tcW w:w="1985" w:type="dxa"/>
          </w:tcPr>
          <w:p w14:paraId="74ABB7F1"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2551" w:type="dxa"/>
          </w:tcPr>
          <w:p w14:paraId="7ABC90BC"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Tregua de bandas en </w:t>
            </w:r>
            <w:r>
              <w:rPr>
                <w:rFonts w:ascii="Times New Roman" w:eastAsia="Times New Roman" w:hAnsi="Times New Roman" w:cs="Times New Roman"/>
                <w:b/>
                <w:bCs/>
                <w:color w:val="000000"/>
                <w:sz w:val="20"/>
                <w:szCs w:val="20"/>
              </w:rPr>
              <w:t>Buenaventura.</w:t>
            </w:r>
          </w:p>
        </w:tc>
        <w:tc>
          <w:tcPr>
            <w:tcW w:w="4253" w:type="dxa"/>
          </w:tcPr>
          <w:p w14:paraId="2F0963A0"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disputa de territorio de las </w:t>
            </w:r>
            <w:r>
              <w:rPr>
                <w:rFonts w:ascii="Times New Roman" w:eastAsia="Times New Roman" w:hAnsi="Times New Roman" w:cs="Times New Roman"/>
                <w:b/>
                <w:bCs/>
                <w:color w:val="000000"/>
                <w:sz w:val="20"/>
                <w:szCs w:val="20"/>
              </w:rPr>
              <w:t>AUTODEFENSAS GAITANISTAS DE COLOMBIA- AGC</w:t>
            </w:r>
            <w:r>
              <w:rPr>
                <w:rFonts w:ascii="Times New Roman" w:eastAsia="Times New Roman" w:hAnsi="Times New Roman" w:cs="Times New Roman"/>
                <w:color w:val="000000"/>
                <w:sz w:val="20"/>
                <w:szCs w:val="20"/>
              </w:rPr>
              <w:t>, en Aracataca Magdalena.</w:t>
            </w:r>
          </w:p>
        </w:tc>
      </w:tr>
      <w:tr w:rsidR="007C242F" w14:paraId="61F939D9" w14:textId="77777777" w:rsidTr="007C242F">
        <w:tc>
          <w:tcPr>
            <w:cnfStyle w:val="001000000000" w:firstRow="0" w:lastRow="0" w:firstColumn="1" w:lastColumn="0" w:oddVBand="0" w:evenVBand="0" w:oddHBand="0" w:evenHBand="0" w:firstRowFirstColumn="0" w:firstRowLastColumn="0" w:lastRowFirstColumn="0" w:lastRowLastColumn="0"/>
            <w:tcW w:w="1843" w:type="dxa"/>
          </w:tcPr>
          <w:p w14:paraId="2563598C" w14:textId="77777777" w:rsidR="007C242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OCTUBRE</w:t>
            </w:r>
          </w:p>
        </w:tc>
        <w:tc>
          <w:tcPr>
            <w:tcW w:w="1985" w:type="dxa"/>
          </w:tcPr>
          <w:p w14:paraId="6F6F10AB"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2551" w:type="dxa"/>
          </w:tcPr>
          <w:p w14:paraId="12DF74E6"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Gobierno anuncia cese de hostilidades contra el ESTADO MAYOR CENTRAL</w:t>
            </w:r>
          </w:p>
        </w:tc>
        <w:tc>
          <w:tcPr>
            <w:tcW w:w="4253" w:type="dxa"/>
          </w:tcPr>
          <w:p w14:paraId="219449F0"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AUTODEFENSAS GAITANISTAS DE COLOMBIA- AGC</w:t>
            </w:r>
            <w:r>
              <w:rPr>
                <w:rFonts w:ascii="Times New Roman" w:eastAsia="Times New Roman" w:hAnsi="Times New Roman" w:cs="Times New Roman"/>
                <w:color w:val="000000"/>
                <w:sz w:val="20"/>
                <w:szCs w:val="20"/>
              </w:rPr>
              <w:t xml:space="preserve"> presiona salida de la fuerza pública por presuntos hechos de violencia en Tierralta.</w:t>
            </w:r>
          </w:p>
          <w:p w14:paraId="50E5405F"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p w14:paraId="05E36198"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 xml:space="preserve">Comando de frontera decreta </w:t>
            </w:r>
            <w:r>
              <w:rPr>
                <w:rFonts w:ascii="Times New Roman" w:eastAsia="Times New Roman" w:hAnsi="Times New Roman" w:cs="Times New Roman"/>
                <w:b/>
                <w:bCs/>
                <w:color w:val="000000"/>
                <w:sz w:val="20"/>
                <w:szCs w:val="20"/>
              </w:rPr>
              <w:t>paro armado, en putumayo y chaqueta.</w:t>
            </w:r>
          </w:p>
          <w:p w14:paraId="7F23B8F7"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p w14:paraId="187BD724"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las </w:t>
            </w:r>
            <w:r>
              <w:rPr>
                <w:rFonts w:ascii="Times New Roman" w:eastAsia="Times New Roman" w:hAnsi="Times New Roman" w:cs="Times New Roman"/>
                <w:b/>
                <w:bCs/>
                <w:color w:val="000000"/>
                <w:sz w:val="20"/>
                <w:szCs w:val="20"/>
              </w:rPr>
              <w:t>AUTODEFENSAS GAITANISTAS DE COLOMBIA- AGC</w:t>
            </w:r>
            <w:r>
              <w:rPr>
                <w:rFonts w:ascii="Times New Roman" w:eastAsia="Times New Roman" w:hAnsi="Times New Roman" w:cs="Times New Roman"/>
                <w:color w:val="000000"/>
                <w:sz w:val="20"/>
                <w:szCs w:val="20"/>
              </w:rPr>
              <w:t>, continúan enfrentándose afectando la sociedad civil en el sur de bolívar</w:t>
            </w:r>
          </w:p>
        </w:tc>
      </w:tr>
      <w:tr w:rsidR="007C242F" w14:paraId="706EF7AB" w14:textId="77777777" w:rsidTr="007C242F">
        <w:tc>
          <w:tcPr>
            <w:cnfStyle w:val="001000000000" w:firstRow="0" w:lastRow="0" w:firstColumn="1" w:lastColumn="0" w:oddVBand="0" w:evenVBand="0" w:oddHBand="0" w:evenHBand="0" w:firstRowFirstColumn="0" w:firstRowLastColumn="0" w:lastRowFirstColumn="0" w:lastRowLastColumn="0"/>
            <w:tcW w:w="1843" w:type="dxa"/>
          </w:tcPr>
          <w:p w14:paraId="312D1565" w14:textId="77777777" w:rsidR="007C242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NOVIEMBRE</w:t>
            </w:r>
          </w:p>
        </w:tc>
        <w:tc>
          <w:tcPr>
            <w:tcW w:w="1985" w:type="dxa"/>
          </w:tcPr>
          <w:p w14:paraId="299A9C2F"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2551" w:type="dxa"/>
          </w:tcPr>
          <w:p w14:paraId="2B667E68"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 Gobierno se comprometido a desmilitarizar zonas.</w:t>
            </w:r>
          </w:p>
        </w:tc>
        <w:tc>
          <w:tcPr>
            <w:tcW w:w="4253" w:type="dxa"/>
          </w:tcPr>
          <w:p w14:paraId="160C32A0"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 xml:space="preserve">ESTADO MAYOR CENTRAL </w:t>
            </w:r>
            <w:r>
              <w:rPr>
                <w:rFonts w:ascii="Times New Roman" w:eastAsia="Times New Roman" w:hAnsi="Times New Roman" w:cs="Times New Roman"/>
                <w:color w:val="000000"/>
                <w:sz w:val="20"/>
                <w:szCs w:val="20"/>
              </w:rPr>
              <w:t>suspende la mesa de diálogo.</w:t>
            </w:r>
          </w:p>
          <w:p w14:paraId="6CFEEB9B"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p w14:paraId="0AA17E17"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ELN secuestra</w:t>
            </w:r>
            <w:r>
              <w:rPr>
                <w:rFonts w:ascii="Times New Roman" w:eastAsia="Times New Roman" w:hAnsi="Times New Roman" w:cs="Times New Roman"/>
                <w:color w:val="000000"/>
                <w:sz w:val="20"/>
                <w:szCs w:val="20"/>
              </w:rPr>
              <w:t xml:space="preserve"> a Luis Manuel Días ENTRE LA GUAJIRA Y EL CESAR.</w:t>
            </w:r>
          </w:p>
        </w:tc>
      </w:tr>
      <w:tr w:rsidR="007C242F" w14:paraId="66666A4D" w14:textId="77777777" w:rsidTr="007C242F">
        <w:tc>
          <w:tcPr>
            <w:cnfStyle w:val="001000000000" w:firstRow="0" w:lastRow="0" w:firstColumn="1" w:lastColumn="0" w:oddVBand="0" w:evenVBand="0" w:oddHBand="0" w:evenHBand="0" w:firstRowFirstColumn="0" w:firstRowLastColumn="0" w:lastRowFirstColumn="0" w:lastRowLastColumn="0"/>
            <w:tcW w:w="1843" w:type="dxa"/>
          </w:tcPr>
          <w:p w14:paraId="6C20479D" w14:textId="77777777" w:rsidR="007C242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DICIEMBRE</w:t>
            </w:r>
          </w:p>
        </w:tc>
        <w:tc>
          <w:tcPr>
            <w:tcW w:w="1985" w:type="dxa"/>
          </w:tcPr>
          <w:p w14:paraId="2D6852D7"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Reanudan dialogo</w:t>
            </w:r>
          </w:p>
        </w:tc>
        <w:tc>
          <w:tcPr>
            <w:tcW w:w="2551" w:type="dxa"/>
          </w:tcPr>
          <w:p w14:paraId="163EBEE0"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 condiciona el fin del secuestro con la financiación de grupos por parte de la financiación.</w:t>
            </w:r>
          </w:p>
        </w:tc>
        <w:tc>
          <w:tcPr>
            <w:tcW w:w="4253" w:type="dxa"/>
          </w:tcPr>
          <w:p w14:paraId="002D56C5"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Masacre de Santander de Quilichao (22 de diciembre de 2023)</w:t>
            </w:r>
            <w:r>
              <w:rPr>
                <w:rFonts w:ascii="Times New Roman" w:eastAsia="Times New Roman" w:hAnsi="Times New Roman" w:cs="Times New Roman"/>
                <w:color w:val="000000"/>
                <w:sz w:val="20"/>
                <w:szCs w:val="20"/>
              </w:rPr>
              <w:t>: cinco personas, incluyendo un profesor, su esposa y su hija de 15 años, fueron asesinadas en el resguardo de canoas, cauca.</w:t>
            </w:r>
          </w:p>
        </w:tc>
      </w:tr>
      <w:tr w:rsidR="007C242F" w14:paraId="2F9DE07C" w14:textId="77777777" w:rsidTr="007C242F">
        <w:tc>
          <w:tcPr>
            <w:cnfStyle w:val="001000000000" w:firstRow="0" w:lastRow="0" w:firstColumn="1" w:lastColumn="0" w:oddVBand="0" w:evenVBand="0" w:oddHBand="0" w:evenHBand="0" w:firstRowFirstColumn="0" w:firstRowLastColumn="0" w:lastRowFirstColumn="0" w:lastRowLastColumn="0"/>
            <w:tcW w:w="10632" w:type="dxa"/>
            <w:gridSpan w:val="4"/>
            <w:shd w:val="clear" w:color="auto" w:fill="E5B9B7"/>
          </w:tcPr>
          <w:p w14:paraId="020908A9" w14:textId="77777777" w:rsidR="007C242F"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2024</w:t>
            </w:r>
          </w:p>
        </w:tc>
      </w:tr>
      <w:tr w:rsidR="007C242F" w14:paraId="1061DDAB" w14:textId="77777777" w:rsidTr="007C242F">
        <w:tc>
          <w:tcPr>
            <w:cnfStyle w:val="001000000000" w:firstRow="0" w:lastRow="0" w:firstColumn="1" w:lastColumn="0" w:oddVBand="0" w:evenVBand="0" w:oddHBand="0" w:evenHBand="0" w:firstRowFirstColumn="0" w:firstRowLastColumn="0" w:lastRowFirstColumn="0" w:lastRowLastColumn="0"/>
            <w:tcW w:w="1843" w:type="dxa"/>
          </w:tcPr>
          <w:p w14:paraId="56B9CB84" w14:textId="77777777" w:rsidR="007C242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ENERO</w:t>
            </w:r>
          </w:p>
        </w:tc>
        <w:tc>
          <w:tcPr>
            <w:tcW w:w="1985" w:type="dxa"/>
          </w:tcPr>
          <w:p w14:paraId="30C168F6"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Mesas de dialogo</w:t>
            </w:r>
          </w:p>
        </w:tc>
        <w:tc>
          <w:tcPr>
            <w:tcW w:w="2551" w:type="dxa"/>
          </w:tcPr>
          <w:p w14:paraId="06E46F53"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 prorroga cese al fuego</w:t>
            </w:r>
          </w:p>
        </w:tc>
        <w:tc>
          <w:tcPr>
            <w:tcW w:w="4253" w:type="dxa"/>
          </w:tcPr>
          <w:p w14:paraId="048F8159"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r>
      <w:tr w:rsidR="007C242F" w14:paraId="5C74C40E" w14:textId="77777777" w:rsidTr="007C242F">
        <w:tc>
          <w:tcPr>
            <w:cnfStyle w:val="001000000000" w:firstRow="0" w:lastRow="0" w:firstColumn="1" w:lastColumn="0" w:oddVBand="0" w:evenVBand="0" w:oddHBand="0" w:evenHBand="0" w:firstRowFirstColumn="0" w:firstRowLastColumn="0" w:lastRowFirstColumn="0" w:lastRowLastColumn="0"/>
            <w:tcW w:w="1843" w:type="dxa"/>
          </w:tcPr>
          <w:p w14:paraId="1581B4A7" w14:textId="77777777" w:rsidR="007C242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FEBRERO</w:t>
            </w:r>
          </w:p>
        </w:tc>
        <w:tc>
          <w:tcPr>
            <w:tcW w:w="1985" w:type="dxa"/>
          </w:tcPr>
          <w:p w14:paraId="2BFC21BE"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2551" w:type="dxa"/>
          </w:tcPr>
          <w:p w14:paraId="02A73CE9"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253" w:type="dxa"/>
          </w:tcPr>
          <w:p w14:paraId="64D863AD"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highlight w:val="white"/>
              </w:rPr>
              <w:t xml:space="preserve">Hechos violentos cometidos por el </w:t>
            </w:r>
            <w:r>
              <w:rPr>
                <w:rFonts w:ascii="Times New Roman" w:eastAsia="Times New Roman" w:hAnsi="Times New Roman" w:cs="Times New Roman"/>
                <w:b/>
                <w:bCs/>
                <w:color w:val="000000"/>
                <w:sz w:val="20"/>
                <w:szCs w:val="20"/>
                <w:highlight w:val="white"/>
              </w:rPr>
              <w:t>ELN</w:t>
            </w:r>
            <w:r>
              <w:rPr>
                <w:rFonts w:ascii="Times New Roman" w:eastAsia="Times New Roman" w:hAnsi="Times New Roman" w:cs="Times New Roman"/>
                <w:color w:val="000000"/>
                <w:sz w:val="20"/>
                <w:szCs w:val="20"/>
                <w:highlight w:val="white"/>
              </w:rPr>
              <w:t xml:space="preserve"> y el </w:t>
            </w:r>
            <w:r>
              <w:rPr>
                <w:rFonts w:ascii="Times New Roman" w:eastAsia="Times New Roman" w:hAnsi="Times New Roman" w:cs="Times New Roman"/>
                <w:b/>
                <w:bCs/>
                <w:color w:val="000000"/>
                <w:sz w:val="20"/>
                <w:szCs w:val="20"/>
                <w:highlight w:val="white"/>
              </w:rPr>
              <w:t>ESTADO MAYOR CENTRAL</w:t>
            </w:r>
            <w:r>
              <w:rPr>
                <w:rFonts w:ascii="Times New Roman" w:eastAsia="Times New Roman" w:hAnsi="Times New Roman" w:cs="Times New Roman"/>
                <w:color w:val="000000"/>
                <w:sz w:val="20"/>
                <w:szCs w:val="20"/>
                <w:highlight w:val="white"/>
              </w:rPr>
              <w:t xml:space="preserve"> en Chocó, Cauca, Valle del Cauca y Nariño.</w:t>
            </w:r>
          </w:p>
        </w:tc>
      </w:tr>
      <w:tr w:rsidR="007C242F" w14:paraId="0423E6BB" w14:textId="77777777" w:rsidTr="007C242F">
        <w:tc>
          <w:tcPr>
            <w:cnfStyle w:val="001000000000" w:firstRow="0" w:lastRow="0" w:firstColumn="1" w:lastColumn="0" w:oddVBand="0" w:evenVBand="0" w:oddHBand="0" w:evenHBand="0" w:firstRowFirstColumn="0" w:firstRowLastColumn="0" w:lastRowFirstColumn="0" w:lastRowLastColumn="0"/>
            <w:tcW w:w="1843" w:type="dxa"/>
          </w:tcPr>
          <w:p w14:paraId="069246A0" w14:textId="77777777" w:rsidR="007C242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MARZO</w:t>
            </w:r>
          </w:p>
        </w:tc>
        <w:tc>
          <w:tcPr>
            <w:tcW w:w="1985" w:type="dxa"/>
          </w:tcPr>
          <w:p w14:paraId="34AC0D11"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2551" w:type="dxa"/>
          </w:tcPr>
          <w:p w14:paraId="477E0DB5"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253" w:type="dxa"/>
          </w:tcPr>
          <w:p w14:paraId="49E0AC00"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highlight w:val="white"/>
              </w:rPr>
            </w:pPr>
            <w:r>
              <w:rPr>
                <w:rFonts w:ascii="Times New Roman" w:eastAsia="Times New Roman" w:hAnsi="Times New Roman" w:cs="Times New Roman"/>
                <w:b/>
                <w:bCs/>
                <w:color w:val="000000"/>
                <w:sz w:val="20"/>
                <w:szCs w:val="20"/>
                <w:highlight w:val="white"/>
              </w:rPr>
              <w:t>Masacre en Quibdó</w:t>
            </w:r>
          </w:p>
          <w:p w14:paraId="4B334E45"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cuatro personas fueron asesinadas y otras tres más resultaron heridas.</w:t>
            </w:r>
          </w:p>
          <w:p w14:paraId="0A4E97D8"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white"/>
              </w:rPr>
            </w:pPr>
          </w:p>
        </w:tc>
      </w:tr>
      <w:tr w:rsidR="007C242F" w14:paraId="14E0CAFF" w14:textId="77777777" w:rsidTr="007C242F">
        <w:tc>
          <w:tcPr>
            <w:cnfStyle w:val="001000000000" w:firstRow="0" w:lastRow="0" w:firstColumn="1" w:lastColumn="0" w:oddVBand="0" w:evenVBand="0" w:oddHBand="0" w:evenHBand="0" w:firstRowFirstColumn="0" w:firstRowLastColumn="0" w:lastRowFirstColumn="0" w:lastRowLastColumn="0"/>
            <w:tcW w:w="1843" w:type="dxa"/>
          </w:tcPr>
          <w:p w14:paraId="70573C51" w14:textId="77777777" w:rsidR="007C242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ABRIL</w:t>
            </w:r>
          </w:p>
        </w:tc>
        <w:tc>
          <w:tcPr>
            <w:tcW w:w="1985" w:type="dxa"/>
          </w:tcPr>
          <w:p w14:paraId="5DB1EBF5" w14:textId="77777777" w:rsidR="007C242F" w:rsidRDefault="00000000">
            <w:pPr>
              <w:pStyle w:val="Ttulo3"/>
              <w:jc w:val="both"/>
              <w:outlineLvl w:val="2"/>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Fiscalía levanta órdenes de captura a líderes de la SEGUNDA MARQUETALIA.</w:t>
            </w:r>
          </w:p>
          <w:p w14:paraId="0DB5EB80"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2551" w:type="dxa"/>
          </w:tcPr>
          <w:p w14:paraId="17184AA5"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la mesa avanza con nuevos compromisos</w:t>
            </w:r>
          </w:p>
          <w:p w14:paraId="19F457D0"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p w14:paraId="4DD97F0F"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El Congresista David Racero</w:t>
            </w:r>
            <w:r>
              <w:rPr>
                <w:rFonts w:ascii="Times New Roman" w:eastAsia="Times New Roman" w:hAnsi="Times New Roman" w:cs="Times New Roman"/>
                <w:color w:val="000000"/>
                <w:sz w:val="20"/>
                <w:szCs w:val="20"/>
              </w:rPr>
              <w:t xml:space="preserve"> comienza a liderar el proceso. se acuerda con las bandas la construcción de una nueva cárcel y la creación de un programa de ollas comunitarias.</w:t>
            </w:r>
          </w:p>
          <w:p w14:paraId="2BEC3AA4"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253" w:type="dxa"/>
          </w:tcPr>
          <w:p w14:paraId="20927767"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 xml:space="preserve">el </w:t>
            </w:r>
            <w:r>
              <w:rPr>
                <w:rFonts w:ascii="Times New Roman" w:eastAsia="Times New Roman" w:hAnsi="Times New Roman" w:cs="Times New Roman"/>
                <w:b/>
                <w:bCs/>
                <w:color w:val="000000"/>
                <w:sz w:val="20"/>
                <w:szCs w:val="20"/>
                <w:highlight w:val="white"/>
              </w:rPr>
              <w:t>ESTADO MAYOR CENTRAL</w:t>
            </w:r>
            <w:r>
              <w:rPr>
                <w:rFonts w:ascii="Times New Roman" w:eastAsia="Times New Roman" w:hAnsi="Times New Roman" w:cs="Times New Roman"/>
                <w:color w:val="000000"/>
                <w:sz w:val="20"/>
                <w:szCs w:val="20"/>
                <w:highlight w:val="white"/>
              </w:rPr>
              <w:t xml:space="preserve"> se reorganiza para </w:t>
            </w:r>
            <w:r>
              <w:rPr>
                <w:rFonts w:ascii="Times New Roman" w:eastAsia="Times New Roman" w:hAnsi="Times New Roman" w:cs="Times New Roman"/>
                <w:b/>
                <w:bCs/>
                <w:color w:val="000000"/>
                <w:sz w:val="20"/>
                <w:szCs w:val="20"/>
                <w:highlight w:val="white"/>
              </w:rPr>
              <w:t>crear el bloque central Isaías pardo,</w:t>
            </w:r>
            <w:r>
              <w:rPr>
                <w:rFonts w:ascii="Times New Roman" w:eastAsia="Times New Roman" w:hAnsi="Times New Roman" w:cs="Times New Roman"/>
                <w:color w:val="000000"/>
                <w:sz w:val="20"/>
                <w:szCs w:val="20"/>
                <w:highlight w:val="white"/>
              </w:rPr>
              <w:t xml:space="preserve"> que operará en Tolima, Valle del Cauca, Huila y Quindío.</w:t>
            </w:r>
          </w:p>
          <w:p w14:paraId="2DFB6B62"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white"/>
              </w:rPr>
            </w:pPr>
          </w:p>
          <w:p w14:paraId="21535496"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highlight w:val="white"/>
              </w:rPr>
            </w:pPr>
            <w:r>
              <w:rPr>
                <w:rFonts w:ascii="Times New Roman" w:eastAsia="Times New Roman" w:hAnsi="Times New Roman" w:cs="Times New Roman"/>
                <w:color w:val="000000"/>
                <w:sz w:val="20"/>
                <w:szCs w:val="20"/>
                <w:highlight w:val="white"/>
              </w:rPr>
              <w:t>Desde la fractura del ESTADO</w:t>
            </w:r>
            <w:r>
              <w:rPr>
                <w:rFonts w:ascii="Times New Roman" w:eastAsia="Times New Roman" w:hAnsi="Times New Roman" w:cs="Times New Roman"/>
                <w:b/>
                <w:bCs/>
                <w:color w:val="000000"/>
                <w:sz w:val="20"/>
                <w:szCs w:val="20"/>
                <w:highlight w:val="white"/>
              </w:rPr>
              <w:t xml:space="preserve"> MAYOR CENTRAL</w:t>
            </w:r>
            <w:r>
              <w:rPr>
                <w:rFonts w:ascii="Times New Roman" w:eastAsia="Times New Roman" w:hAnsi="Times New Roman" w:cs="Times New Roman"/>
                <w:color w:val="000000"/>
                <w:sz w:val="20"/>
                <w:szCs w:val="20"/>
                <w:highlight w:val="white"/>
              </w:rPr>
              <w:t xml:space="preserve">, se intensifica la situación humanitaria en el cauca por cuenta de los choques entre la </w:t>
            </w:r>
            <w:r>
              <w:rPr>
                <w:rFonts w:ascii="Times New Roman" w:eastAsia="Times New Roman" w:hAnsi="Times New Roman" w:cs="Times New Roman"/>
                <w:b/>
                <w:bCs/>
                <w:color w:val="000000"/>
                <w:sz w:val="20"/>
                <w:szCs w:val="20"/>
                <w:highlight w:val="white"/>
              </w:rPr>
              <w:t>fuerza pública.</w:t>
            </w:r>
          </w:p>
        </w:tc>
      </w:tr>
      <w:tr w:rsidR="007C242F" w14:paraId="5D8E0C29" w14:textId="77777777" w:rsidTr="007C242F">
        <w:trPr>
          <w:trHeight w:val="2878"/>
        </w:trPr>
        <w:tc>
          <w:tcPr>
            <w:cnfStyle w:val="001000000000" w:firstRow="0" w:lastRow="0" w:firstColumn="1" w:lastColumn="0" w:oddVBand="0" w:evenVBand="0" w:oddHBand="0" w:evenHBand="0" w:firstRowFirstColumn="0" w:firstRowLastColumn="0" w:lastRowFirstColumn="0" w:lastRowLastColumn="0"/>
            <w:tcW w:w="1843" w:type="dxa"/>
          </w:tcPr>
          <w:p w14:paraId="0ED85D93" w14:textId="77777777" w:rsidR="007C242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MAYO</w:t>
            </w:r>
          </w:p>
        </w:tc>
        <w:tc>
          <w:tcPr>
            <w:tcW w:w="1985" w:type="dxa"/>
          </w:tcPr>
          <w:p w14:paraId="1D8A8814" w14:textId="77777777" w:rsidR="007C242F" w:rsidRDefault="007C242F">
            <w:pPr>
              <w:pStyle w:val="Ttulo3"/>
              <w:jc w:val="both"/>
              <w:outlineLvl w:val="2"/>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551" w:type="dxa"/>
          </w:tcPr>
          <w:p w14:paraId="6693192A" w14:textId="77777777" w:rsidR="007C242F" w:rsidRDefault="00000000">
            <w:pPr>
              <w:tabs>
                <w:tab w:val="left" w:pos="1073"/>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Gobierno anuncia que no se pactará un nuevo cese al fuego con el ESTADO MAYOR CENTRAL</w:t>
            </w:r>
          </w:p>
        </w:tc>
        <w:tc>
          <w:tcPr>
            <w:tcW w:w="4253" w:type="dxa"/>
          </w:tcPr>
          <w:p w14:paraId="34395F6A"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 xml:space="preserve">El </w:t>
            </w:r>
            <w:r>
              <w:rPr>
                <w:rFonts w:ascii="Times New Roman" w:eastAsia="Times New Roman" w:hAnsi="Times New Roman" w:cs="Times New Roman"/>
                <w:b/>
                <w:bCs/>
                <w:color w:val="000000"/>
                <w:sz w:val="20"/>
                <w:szCs w:val="20"/>
                <w:highlight w:val="white"/>
              </w:rPr>
              <w:t xml:space="preserve">ELN </w:t>
            </w:r>
            <w:r>
              <w:rPr>
                <w:rFonts w:ascii="Times New Roman" w:eastAsia="Times New Roman" w:hAnsi="Times New Roman" w:cs="Times New Roman"/>
                <w:color w:val="000000"/>
                <w:sz w:val="20"/>
                <w:szCs w:val="20"/>
                <w:highlight w:val="white"/>
              </w:rPr>
              <w:t xml:space="preserve">reanuda secuestro y acusa al gobierno de poca voluntad de negociar. </w:t>
            </w:r>
          </w:p>
          <w:p w14:paraId="180E225A"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En razón a que el gobierno no ha cumplido con la creación del fondo</w:t>
            </w:r>
          </w:p>
          <w:p w14:paraId="71489D0D"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white"/>
              </w:rPr>
            </w:pPr>
            <w:proofErr w:type="spellStart"/>
            <w:r>
              <w:rPr>
                <w:rFonts w:ascii="Times New Roman" w:eastAsia="Times New Roman" w:hAnsi="Times New Roman" w:cs="Times New Roman"/>
                <w:color w:val="000000"/>
                <w:sz w:val="20"/>
                <w:szCs w:val="20"/>
                <w:highlight w:val="white"/>
              </w:rPr>
              <w:t>multidonante</w:t>
            </w:r>
            <w:proofErr w:type="spellEnd"/>
            <w:r>
              <w:rPr>
                <w:rFonts w:ascii="Times New Roman" w:eastAsia="Times New Roman" w:hAnsi="Times New Roman" w:cs="Times New Roman"/>
                <w:color w:val="000000"/>
                <w:sz w:val="20"/>
                <w:szCs w:val="20"/>
                <w:highlight w:val="white"/>
              </w:rPr>
              <w:t xml:space="preserve"> establecido en el</w:t>
            </w:r>
          </w:p>
          <w:p w14:paraId="09BDEB12"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acuerdo número 26.</w:t>
            </w:r>
          </w:p>
          <w:p w14:paraId="55EFC1DE"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white"/>
              </w:rPr>
            </w:pPr>
          </w:p>
          <w:p w14:paraId="69ED418E"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bCs/>
                <w:color w:val="000000"/>
                <w:sz w:val="20"/>
                <w:szCs w:val="20"/>
                <w:highlight w:val="white"/>
              </w:rPr>
              <w:t>ESTADO MAYOR CENTRAL</w:t>
            </w:r>
            <w:r>
              <w:rPr>
                <w:rFonts w:ascii="Times New Roman" w:eastAsia="Times New Roman" w:hAnsi="Times New Roman" w:cs="Times New Roman"/>
                <w:color w:val="000000"/>
                <w:sz w:val="20"/>
                <w:szCs w:val="20"/>
                <w:highlight w:val="white"/>
              </w:rPr>
              <w:t xml:space="preserve"> – </w:t>
            </w:r>
            <w:r>
              <w:rPr>
                <w:rFonts w:ascii="Times New Roman" w:eastAsia="Times New Roman" w:hAnsi="Times New Roman" w:cs="Times New Roman"/>
                <w:b/>
                <w:bCs/>
                <w:color w:val="000000"/>
                <w:sz w:val="20"/>
                <w:szCs w:val="20"/>
                <w:highlight w:val="white"/>
              </w:rPr>
              <w:t>EMC</w:t>
            </w:r>
            <w:r>
              <w:rPr>
                <w:rFonts w:ascii="Times New Roman" w:eastAsia="Times New Roman" w:hAnsi="Times New Roman" w:cs="Times New Roman"/>
                <w:color w:val="000000"/>
                <w:sz w:val="20"/>
                <w:szCs w:val="20"/>
                <w:highlight w:val="white"/>
              </w:rPr>
              <w:t xml:space="preserve"> realiza ataque bomba contra la población civil en Jamundí, Valle, resultando cinco personas heridas.</w:t>
            </w:r>
          </w:p>
          <w:p w14:paraId="4DF8D19B"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white"/>
              </w:rPr>
            </w:pPr>
          </w:p>
        </w:tc>
      </w:tr>
      <w:tr w:rsidR="007C242F" w14:paraId="3D485BAA" w14:textId="77777777" w:rsidTr="007C242F">
        <w:tc>
          <w:tcPr>
            <w:cnfStyle w:val="001000000000" w:firstRow="0" w:lastRow="0" w:firstColumn="1" w:lastColumn="0" w:oddVBand="0" w:evenVBand="0" w:oddHBand="0" w:evenHBand="0" w:firstRowFirstColumn="0" w:firstRowLastColumn="0" w:lastRowFirstColumn="0" w:lastRowLastColumn="0"/>
            <w:tcW w:w="1843" w:type="dxa"/>
          </w:tcPr>
          <w:p w14:paraId="2D756D78" w14:textId="77777777" w:rsidR="007C242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JUNIO</w:t>
            </w:r>
          </w:p>
        </w:tc>
        <w:tc>
          <w:tcPr>
            <w:tcW w:w="1985" w:type="dxa"/>
          </w:tcPr>
          <w:p w14:paraId="0CF54FA4" w14:textId="77777777" w:rsidR="007C242F" w:rsidRDefault="007C242F">
            <w:pPr>
              <w:pStyle w:val="Ttulo3"/>
              <w:jc w:val="both"/>
              <w:outlineLvl w:val="2"/>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551" w:type="dxa"/>
          </w:tcPr>
          <w:p w14:paraId="39FCFF26" w14:textId="77777777" w:rsidR="007C242F" w:rsidRDefault="007C242F">
            <w:pPr>
              <w:tabs>
                <w:tab w:val="left" w:pos="1073"/>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4253" w:type="dxa"/>
          </w:tcPr>
          <w:p w14:paraId="39D533F7"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highlight w:val="white"/>
              </w:rPr>
            </w:pPr>
            <w:r>
              <w:rPr>
                <w:rFonts w:ascii="Times New Roman" w:eastAsia="Times New Roman" w:hAnsi="Times New Roman" w:cs="Times New Roman"/>
                <w:b/>
                <w:bCs/>
                <w:color w:val="000000"/>
                <w:sz w:val="20"/>
                <w:szCs w:val="20"/>
                <w:highlight w:val="white"/>
              </w:rPr>
              <w:t>Paro cívico en la sierra nevada</w:t>
            </w:r>
          </w:p>
          <w:p w14:paraId="4337586E"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 xml:space="preserve">las comunidades bloquearon la troncal del caribe para llamar la atención del gobierno nacional por la situación de disputa entre las </w:t>
            </w:r>
            <w:r>
              <w:rPr>
                <w:rFonts w:ascii="Times New Roman" w:eastAsia="Times New Roman" w:hAnsi="Times New Roman" w:cs="Times New Roman"/>
                <w:b/>
                <w:bCs/>
                <w:color w:val="000000"/>
                <w:sz w:val="20"/>
                <w:szCs w:val="20"/>
                <w:highlight w:val="white"/>
              </w:rPr>
              <w:t>ASCN Y EL CLAN DEL GOLFO</w:t>
            </w:r>
            <w:r>
              <w:rPr>
                <w:rFonts w:ascii="Times New Roman" w:eastAsia="Times New Roman" w:hAnsi="Times New Roman" w:cs="Times New Roman"/>
                <w:color w:val="000000"/>
                <w:sz w:val="20"/>
                <w:szCs w:val="20"/>
                <w:highlight w:val="white"/>
              </w:rPr>
              <w:t xml:space="preserve">. </w:t>
            </w:r>
          </w:p>
        </w:tc>
      </w:tr>
      <w:tr w:rsidR="007C242F" w14:paraId="28484656" w14:textId="77777777" w:rsidTr="007C242F">
        <w:tc>
          <w:tcPr>
            <w:cnfStyle w:val="001000000000" w:firstRow="0" w:lastRow="0" w:firstColumn="1" w:lastColumn="0" w:oddVBand="0" w:evenVBand="0" w:oddHBand="0" w:evenHBand="0" w:firstRowFirstColumn="0" w:firstRowLastColumn="0" w:lastRowFirstColumn="0" w:lastRowLastColumn="0"/>
            <w:tcW w:w="1843" w:type="dxa"/>
          </w:tcPr>
          <w:p w14:paraId="1BF14B39" w14:textId="77777777" w:rsidR="007C242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JULIO</w:t>
            </w:r>
          </w:p>
        </w:tc>
        <w:tc>
          <w:tcPr>
            <w:tcW w:w="1985" w:type="dxa"/>
          </w:tcPr>
          <w:p w14:paraId="12DF819B" w14:textId="77777777" w:rsidR="007C242F" w:rsidRDefault="00000000">
            <w:pPr>
              <w:pStyle w:val="Ttulo3"/>
              <w:jc w:val="both"/>
              <w:outlineLvl w:val="2"/>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Fin cese al fugo</w:t>
            </w:r>
          </w:p>
        </w:tc>
        <w:tc>
          <w:tcPr>
            <w:tcW w:w="2551" w:type="dxa"/>
          </w:tcPr>
          <w:p w14:paraId="237BDE1E" w14:textId="77777777" w:rsidR="007C242F" w:rsidRDefault="00000000">
            <w:pPr>
              <w:tabs>
                <w:tab w:val="left" w:pos="1073"/>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El gobierno nacional a través del ministro de defensa </w:t>
            </w:r>
            <w:proofErr w:type="spellStart"/>
            <w:r>
              <w:rPr>
                <w:rFonts w:ascii="Times New Roman" w:eastAsia="Times New Roman" w:hAnsi="Times New Roman" w:cs="Times New Roman"/>
                <w:color w:val="000000"/>
                <w:sz w:val="20"/>
                <w:szCs w:val="20"/>
              </w:rPr>
              <w:t>iván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velásquez</w:t>
            </w:r>
            <w:proofErr w:type="spellEnd"/>
            <w:r>
              <w:rPr>
                <w:rFonts w:ascii="Times New Roman" w:eastAsia="Times New Roman" w:hAnsi="Times New Roman" w:cs="Times New Roman"/>
                <w:color w:val="000000"/>
                <w:sz w:val="20"/>
                <w:szCs w:val="20"/>
              </w:rPr>
              <w:t xml:space="preserve"> declara la terminación del cese al fuego con los bloques y frentes que integraban el antes denominado ESTADO MAYOR CENTRAL, excepto con los bloques magdalena medio.</w:t>
            </w:r>
          </w:p>
        </w:tc>
        <w:tc>
          <w:tcPr>
            <w:tcW w:w="4253" w:type="dxa"/>
          </w:tcPr>
          <w:p w14:paraId="6204F153"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 xml:space="preserve">en la tarde del martes 23 de julio, siete miembros del </w:t>
            </w:r>
            <w:r>
              <w:rPr>
                <w:rFonts w:ascii="Times New Roman" w:eastAsia="Times New Roman" w:hAnsi="Times New Roman" w:cs="Times New Roman"/>
                <w:b/>
                <w:bCs/>
                <w:color w:val="000000"/>
                <w:sz w:val="20"/>
                <w:szCs w:val="20"/>
                <w:highlight w:val="white"/>
              </w:rPr>
              <w:t>ESTADO MAYOR CENTRAL (EMC)</w:t>
            </w:r>
            <w:r>
              <w:rPr>
                <w:rFonts w:ascii="Times New Roman" w:eastAsia="Times New Roman" w:hAnsi="Times New Roman" w:cs="Times New Roman"/>
                <w:color w:val="000000"/>
                <w:sz w:val="20"/>
                <w:szCs w:val="20"/>
                <w:highlight w:val="white"/>
              </w:rPr>
              <w:t xml:space="preserve"> de las disidencias de las frac, fueron detenidos en Antioquia mientras se desplazaban en vehículos de la unidad nacional de protección (UNP).</w:t>
            </w:r>
          </w:p>
          <w:p w14:paraId="72AAE17B"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white"/>
              </w:rPr>
            </w:pPr>
          </w:p>
          <w:p w14:paraId="20990DD8"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bCs/>
                <w:color w:val="000000"/>
                <w:sz w:val="20"/>
                <w:szCs w:val="20"/>
                <w:highlight w:val="white"/>
              </w:rPr>
              <w:t>Situación de orden público</w:t>
            </w:r>
            <w:r>
              <w:rPr>
                <w:rFonts w:ascii="Times New Roman" w:eastAsia="Times New Roman" w:hAnsi="Times New Roman" w:cs="Times New Roman"/>
                <w:color w:val="000000"/>
                <w:sz w:val="20"/>
                <w:szCs w:val="20"/>
                <w:highlight w:val="white"/>
              </w:rPr>
              <w:t xml:space="preserve"> en el corregimiento de robles, zona rural de Jamundí, valle del cauca.</w:t>
            </w:r>
          </w:p>
          <w:p w14:paraId="2AB4C8FF"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white"/>
              </w:rPr>
            </w:pPr>
          </w:p>
          <w:p w14:paraId="748FBAF2"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bCs/>
                <w:color w:val="000000"/>
                <w:sz w:val="20"/>
                <w:szCs w:val="20"/>
                <w:highlight w:val="white"/>
              </w:rPr>
              <w:t>Cauca:</w:t>
            </w:r>
            <w:r>
              <w:rPr>
                <w:rFonts w:ascii="Times New Roman" w:eastAsia="Times New Roman" w:hAnsi="Times New Roman" w:cs="Times New Roman"/>
                <w:color w:val="000000"/>
                <w:sz w:val="20"/>
                <w:szCs w:val="20"/>
                <w:highlight w:val="white"/>
              </w:rPr>
              <w:t xml:space="preserve"> fuerte presencia de grupos armados al margen de la ley en el corregimiento del Sinaí y sus veredas aledañas como Desiderio zapata, la cumbre, cristales, la libertad, la mina, encanto, cabuyo y la playa, del municipio de Argelia, donde hay manifestaciones de los miembros de estos grupos. lo que generó la alerta en la población por la necesidad de abandonar sus hogares debido a</w:t>
            </w:r>
          </w:p>
          <w:p w14:paraId="4903CDB9"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que se avecinaban fuertes combates.</w:t>
            </w:r>
          </w:p>
          <w:p w14:paraId="31F81D22"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white"/>
              </w:rPr>
            </w:pPr>
          </w:p>
          <w:p w14:paraId="16825C8C"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bCs/>
                <w:color w:val="000000"/>
                <w:sz w:val="20"/>
                <w:szCs w:val="20"/>
                <w:highlight w:val="white"/>
              </w:rPr>
              <w:t>Arauca:</w:t>
            </w:r>
            <w:r>
              <w:rPr>
                <w:rFonts w:ascii="Times New Roman" w:eastAsia="Times New Roman" w:hAnsi="Times New Roman" w:cs="Times New Roman"/>
                <w:color w:val="000000"/>
                <w:sz w:val="20"/>
                <w:szCs w:val="20"/>
                <w:highlight w:val="white"/>
              </w:rPr>
              <w:t xml:space="preserve"> en el departamento se presentaron 2 eventos:</w:t>
            </w:r>
          </w:p>
          <w:p w14:paraId="22252D5E"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 xml:space="preserve"> </w:t>
            </w:r>
            <w:r>
              <w:rPr>
                <w:rFonts w:ascii="Times New Roman" w:eastAsia="Times New Roman" w:hAnsi="Times New Roman" w:cs="Times New Roman"/>
                <w:b/>
                <w:bCs/>
                <w:color w:val="000000"/>
                <w:sz w:val="20"/>
                <w:szCs w:val="20"/>
                <w:highlight w:val="white"/>
              </w:rPr>
              <w:t>puerto rondón:</w:t>
            </w:r>
            <w:r>
              <w:rPr>
                <w:rFonts w:ascii="Times New Roman" w:eastAsia="Times New Roman" w:hAnsi="Times New Roman" w:cs="Times New Roman"/>
                <w:color w:val="000000"/>
                <w:sz w:val="20"/>
                <w:szCs w:val="20"/>
                <w:highlight w:val="white"/>
              </w:rPr>
              <w:t xml:space="preserve"> 70 personas aproximadamente desplazadas de la vereda al progreso y Normandía a la iglesia shalom de la vereda Normandía, zona rural del municipio de puerto rondón.</w:t>
            </w:r>
          </w:p>
          <w:p w14:paraId="074A4612"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puerto rondón: 64 personas se vieron obligadas a desplazarse de la vereda el progreso, Normandía y la esmeralda, albergadas en el internado de una</w:t>
            </w:r>
          </w:p>
          <w:p w14:paraId="476EC8A0"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institución educativa.</w:t>
            </w:r>
          </w:p>
          <w:p w14:paraId="001382C9"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white"/>
              </w:rPr>
            </w:pPr>
          </w:p>
          <w:p w14:paraId="078D18A3"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bCs/>
                <w:color w:val="000000"/>
                <w:sz w:val="20"/>
                <w:szCs w:val="20"/>
                <w:highlight w:val="white"/>
              </w:rPr>
              <w:t>Risaralda:</w:t>
            </w:r>
            <w:r>
              <w:rPr>
                <w:rFonts w:ascii="Times New Roman" w:eastAsia="Times New Roman" w:hAnsi="Times New Roman" w:cs="Times New Roman"/>
                <w:color w:val="000000"/>
                <w:sz w:val="20"/>
                <w:szCs w:val="20"/>
                <w:highlight w:val="white"/>
              </w:rPr>
              <w:t xml:space="preserve"> la quema de una volqueta por parte de actores armados ilegales, que transportaba materiales de construcción, generó temor en los territorios de las comunidades indígenas de los resguardos unificados del rio san juan y </w:t>
            </w:r>
            <w:proofErr w:type="spellStart"/>
            <w:r>
              <w:rPr>
                <w:rFonts w:ascii="Times New Roman" w:eastAsia="Times New Roman" w:hAnsi="Times New Roman" w:cs="Times New Roman"/>
                <w:color w:val="000000"/>
                <w:sz w:val="20"/>
                <w:szCs w:val="20"/>
                <w:highlight w:val="white"/>
              </w:rPr>
              <w:t>gitó</w:t>
            </w:r>
            <w:proofErr w:type="spellEnd"/>
            <w:r>
              <w:rPr>
                <w:rFonts w:ascii="Times New Roman" w:eastAsia="Times New Roman" w:hAnsi="Times New Roman" w:cs="Times New Roman"/>
                <w:color w:val="000000"/>
                <w:sz w:val="20"/>
                <w:szCs w:val="20"/>
                <w:highlight w:val="white"/>
              </w:rPr>
              <w:t xml:space="preserve"> </w:t>
            </w:r>
            <w:proofErr w:type="spellStart"/>
            <w:r>
              <w:rPr>
                <w:rFonts w:ascii="Times New Roman" w:eastAsia="Times New Roman" w:hAnsi="Times New Roman" w:cs="Times New Roman"/>
                <w:color w:val="000000"/>
                <w:sz w:val="20"/>
                <w:szCs w:val="20"/>
                <w:highlight w:val="white"/>
              </w:rPr>
              <w:t>dokabu</w:t>
            </w:r>
            <w:proofErr w:type="spellEnd"/>
            <w:r>
              <w:rPr>
                <w:rFonts w:ascii="Times New Roman" w:eastAsia="Times New Roman" w:hAnsi="Times New Roman" w:cs="Times New Roman"/>
                <w:color w:val="000000"/>
                <w:sz w:val="20"/>
                <w:szCs w:val="20"/>
                <w:highlight w:val="white"/>
              </w:rPr>
              <w:t>, en la vereda de agüita corregimiento de santa</w:t>
            </w:r>
          </w:p>
          <w:p w14:paraId="4AF6E0DC"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Cecilia, municipio de pueblo rico.</w:t>
            </w:r>
          </w:p>
          <w:p w14:paraId="7C1D2F87"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white"/>
              </w:rPr>
            </w:pPr>
          </w:p>
          <w:p w14:paraId="06B55358"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highlight w:val="white"/>
              </w:rPr>
            </w:pPr>
          </w:p>
          <w:p w14:paraId="754B0FD6"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bCs/>
                <w:color w:val="000000"/>
                <w:sz w:val="20"/>
                <w:szCs w:val="20"/>
                <w:highlight w:val="white"/>
              </w:rPr>
              <w:t>Buenaventura:</w:t>
            </w:r>
            <w:r>
              <w:rPr>
                <w:rFonts w:ascii="Times New Roman" w:eastAsia="Times New Roman" w:hAnsi="Times New Roman" w:cs="Times New Roman"/>
                <w:color w:val="000000"/>
                <w:sz w:val="20"/>
                <w:szCs w:val="20"/>
                <w:highlight w:val="white"/>
              </w:rPr>
              <w:t xml:space="preserve"> confrontación armada entre grupos irregulares, entre ellos los </w:t>
            </w:r>
            <w:proofErr w:type="spellStart"/>
            <w:r>
              <w:rPr>
                <w:rFonts w:ascii="Times New Roman" w:eastAsia="Times New Roman" w:hAnsi="Times New Roman" w:cs="Times New Roman"/>
                <w:color w:val="000000"/>
                <w:sz w:val="20"/>
                <w:szCs w:val="20"/>
                <w:highlight w:val="white"/>
              </w:rPr>
              <w:t>shotas</w:t>
            </w:r>
            <w:proofErr w:type="spellEnd"/>
            <w:r>
              <w:rPr>
                <w:rFonts w:ascii="Times New Roman" w:eastAsia="Times New Roman" w:hAnsi="Times New Roman" w:cs="Times New Roman"/>
                <w:color w:val="000000"/>
                <w:sz w:val="20"/>
                <w:szCs w:val="20"/>
                <w:highlight w:val="white"/>
              </w:rPr>
              <w:t xml:space="preserve">, la cual tuvo una intensidad de un poco más de una hora, en el corregimiento tres del distrito de buenaventura conocido como la zona de playas, especialmente en la comunidad de </w:t>
            </w:r>
            <w:proofErr w:type="spellStart"/>
            <w:r>
              <w:rPr>
                <w:rFonts w:ascii="Times New Roman" w:eastAsia="Times New Roman" w:hAnsi="Times New Roman" w:cs="Times New Roman"/>
                <w:color w:val="000000"/>
                <w:sz w:val="20"/>
                <w:szCs w:val="20"/>
                <w:highlight w:val="white"/>
              </w:rPr>
              <w:t>juanchaco</w:t>
            </w:r>
            <w:proofErr w:type="spellEnd"/>
            <w:r>
              <w:rPr>
                <w:rFonts w:ascii="Times New Roman" w:eastAsia="Times New Roman" w:hAnsi="Times New Roman" w:cs="Times New Roman"/>
                <w:color w:val="000000"/>
                <w:sz w:val="20"/>
                <w:szCs w:val="20"/>
                <w:highlight w:val="white"/>
              </w:rPr>
              <w:t>.</w:t>
            </w:r>
          </w:p>
          <w:p w14:paraId="5BAB7FC6"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white"/>
              </w:rPr>
            </w:pPr>
          </w:p>
          <w:p w14:paraId="5D51B282"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 xml:space="preserve">Riesgo de desplazamiento masivo del resguardo indígena de </w:t>
            </w:r>
            <w:proofErr w:type="spellStart"/>
            <w:r>
              <w:rPr>
                <w:rFonts w:ascii="Times New Roman" w:eastAsia="Times New Roman" w:hAnsi="Times New Roman" w:cs="Times New Roman"/>
                <w:color w:val="000000"/>
                <w:sz w:val="20"/>
                <w:szCs w:val="20"/>
                <w:highlight w:val="white"/>
              </w:rPr>
              <w:t>joaquincito</w:t>
            </w:r>
            <w:proofErr w:type="spellEnd"/>
            <w:r>
              <w:rPr>
                <w:rFonts w:ascii="Times New Roman" w:eastAsia="Times New Roman" w:hAnsi="Times New Roman" w:cs="Times New Roman"/>
                <w:color w:val="000000"/>
                <w:sz w:val="20"/>
                <w:szCs w:val="20"/>
                <w:highlight w:val="white"/>
              </w:rPr>
              <w:t xml:space="preserve"> en razón de las confrontaciones entre los actores armados ilegales en</w:t>
            </w:r>
          </w:p>
          <w:p w14:paraId="223A0E6E"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su territorio.</w:t>
            </w:r>
          </w:p>
        </w:tc>
      </w:tr>
      <w:tr w:rsidR="007C242F" w14:paraId="3076EA55" w14:textId="77777777" w:rsidTr="007C242F">
        <w:tc>
          <w:tcPr>
            <w:cnfStyle w:val="001000000000" w:firstRow="0" w:lastRow="0" w:firstColumn="1" w:lastColumn="0" w:oddVBand="0" w:evenVBand="0" w:oddHBand="0" w:evenHBand="0" w:firstRowFirstColumn="0" w:firstRowLastColumn="0" w:lastRowFirstColumn="0" w:lastRowLastColumn="0"/>
            <w:tcW w:w="1843" w:type="dxa"/>
          </w:tcPr>
          <w:p w14:paraId="77BF29CE" w14:textId="77777777" w:rsidR="007C242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AGOSTO</w:t>
            </w:r>
          </w:p>
        </w:tc>
        <w:tc>
          <w:tcPr>
            <w:tcW w:w="1985" w:type="dxa"/>
          </w:tcPr>
          <w:p w14:paraId="7BB3B87F" w14:textId="77777777" w:rsidR="007C242F" w:rsidRDefault="007C242F">
            <w:pPr>
              <w:pStyle w:val="Ttulo3"/>
              <w:jc w:val="both"/>
              <w:outlineLvl w:val="2"/>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551" w:type="dxa"/>
          </w:tcPr>
          <w:p w14:paraId="38B9D94C" w14:textId="77777777" w:rsidR="007C242F" w:rsidRDefault="00000000">
            <w:pPr>
              <w:tabs>
                <w:tab w:val="left" w:pos="1073"/>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highlight w:val="white"/>
              </w:rPr>
              <w:t>El gobierno de Colombia dispuso este martes enviar más tropas al departamento de Arauca, fronterizo con Venezuela, para evitar que los grupos armados sigan atentando contra los oleoductos en esta parte del país.</w:t>
            </w:r>
          </w:p>
        </w:tc>
        <w:tc>
          <w:tcPr>
            <w:tcW w:w="4253" w:type="dxa"/>
          </w:tcPr>
          <w:p w14:paraId="4CD20782"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 xml:space="preserve">los grupos armados sigan atentando contra los oleoductos, en el departamento de Arauca - </w:t>
            </w:r>
            <w:r>
              <w:rPr>
                <w:rFonts w:ascii="Times New Roman" w:eastAsia="Times New Roman" w:hAnsi="Times New Roman" w:cs="Times New Roman"/>
                <w:b/>
                <w:bCs/>
                <w:color w:val="000000"/>
                <w:sz w:val="20"/>
                <w:szCs w:val="20"/>
                <w:highlight w:val="white"/>
              </w:rPr>
              <w:t>ELN</w:t>
            </w:r>
          </w:p>
        </w:tc>
      </w:tr>
      <w:tr w:rsidR="007C242F" w14:paraId="506C8F11" w14:textId="77777777" w:rsidTr="007C242F">
        <w:tc>
          <w:tcPr>
            <w:cnfStyle w:val="001000000000" w:firstRow="0" w:lastRow="0" w:firstColumn="1" w:lastColumn="0" w:oddVBand="0" w:evenVBand="0" w:oddHBand="0" w:evenHBand="0" w:firstRowFirstColumn="0" w:firstRowLastColumn="0" w:lastRowFirstColumn="0" w:lastRowLastColumn="0"/>
            <w:tcW w:w="1843" w:type="dxa"/>
          </w:tcPr>
          <w:p w14:paraId="5D088C21" w14:textId="77777777" w:rsidR="007C242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SEPTIEMBRE</w:t>
            </w:r>
          </w:p>
        </w:tc>
        <w:tc>
          <w:tcPr>
            <w:tcW w:w="1985" w:type="dxa"/>
          </w:tcPr>
          <w:p w14:paraId="2BF4B23E" w14:textId="77777777" w:rsidR="007C242F" w:rsidRDefault="007C242F">
            <w:pPr>
              <w:pStyle w:val="Ttulo3"/>
              <w:jc w:val="both"/>
              <w:outlineLvl w:val="2"/>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551" w:type="dxa"/>
          </w:tcPr>
          <w:p w14:paraId="6566CFB6" w14:textId="77777777" w:rsidR="007C242F" w:rsidRDefault="007C242F">
            <w:pPr>
              <w:tabs>
                <w:tab w:val="left" w:pos="1073"/>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4253" w:type="dxa"/>
          </w:tcPr>
          <w:p w14:paraId="343B5521"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MASACRE DE LÓPEZ DE MICAY</w:t>
            </w:r>
            <w:r>
              <w:rPr>
                <w:rFonts w:ascii="Times New Roman" w:eastAsia="Times New Roman" w:hAnsi="Times New Roman" w:cs="Times New Roman"/>
                <w:color w:val="000000"/>
                <w:sz w:val="20"/>
                <w:szCs w:val="20"/>
              </w:rPr>
              <w:t xml:space="preserve"> (8 de septiembre de 2024): doce personas fueron asesinadas en la vereda la sagrada familia, cauca.</w:t>
            </w:r>
          </w:p>
          <w:p w14:paraId="633DAEEC"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white"/>
              </w:rPr>
            </w:pPr>
          </w:p>
        </w:tc>
      </w:tr>
      <w:tr w:rsidR="007C242F" w14:paraId="29AE2D46" w14:textId="77777777" w:rsidTr="007C242F">
        <w:tc>
          <w:tcPr>
            <w:cnfStyle w:val="001000000000" w:firstRow="0" w:lastRow="0" w:firstColumn="1" w:lastColumn="0" w:oddVBand="0" w:evenVBand="0" w:oddHBand="0" w:evenHBand="0" w:firstRowFirstColumn="0" w:firstRowLastColumn="0" w:lastRowFirstColumn="0" w:lastRowLastColumn="0"/>
            <w:tcW w:w="1843" w:type="dxa"/>
          </w:tcPr>
          <w:p w14:paraId="6FB95843" w14:textId="77777777" w:rsidR="007C242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OCTUBRE</w:t>
            </w:r>
          </w:p>
        </w:tc>
        <w:tc>
          <w:tcPr>
            <w:tcW w:w="1985" w:type="dxa"/>
          </w:tcPr>
          <w:p w14:paraId="347C016B" w14:textId="77777777" w:rsidR="007C242F" w:rsidRDefault="007C242F">
            <w:pPr>
              <w:pStyle w:val="Ttulo3"/>
              <w:jc w:val="both"/>
              <w:outlineLvl w:val="2"/>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551" w:type="dxa"/>
          </w:tcPr>
          <w:p w14:paraId="144F421C" w14:textId="77777777" w:rsidR="007C242F" w:rsidRDefault="007C242F">
            <w:pPr>
              <w:tabs>
                <w:tab w:val="left" w:pos="1073"/>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4253" w:type="dxa"/>
          </w:tcPr>
          <w:p w14:paraId="3FA7F6A7"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212529"/>
                <w:sz w:val="20"/>
                <w:szCs w:val="20"/>
              </w:rPr>
              <w:t>Chocó, ante la </w:t>
            </w:r>
            <w:r>
              <w:rPr>
                <w:rFonts w:ascii="Times New Roman" w:eastAsia="Times New Roman" w:hAnsi="Times New Roman" w:cs="Times New Roman"/>
                <w:b/>
                <w:bCs/>
                <w:color w:val="212529"/>
                <w:sz w:val="20"/>
                <w:szCs w:val="20"/>
              </w:rPr>
              <w:t>escalada de violencia desatada por parte de grupos criminales </w:t>
            </w:r>
            <w:r>
              <w:rPr>
                <w:rFonts w:ascii="Times New Roman" w:eastAsia="Times New Roman" w:hAnsi="Times New Roman" w:cs="Times New Roman"/>
                <w:color w:val="212529"/>
                <w:sz w:val="20"/>
                <w:szCs w:val="20"/>
              </w:rPr>
              <w:t xml:space="preserve">conocidos como Los </w:t>
            </w:r>
            <w:proofErr w:type="spellStart"/>
            <w:r>
              <w:rPr>
                <w:rFonts w:ascii="Times New Roman" w:eastAsia="Times New Roman" w:hAnsi="Times New Roman" w:cs="Times New Roman"/>
                <w:color w:val="212529"/>
                <w:sz w:val="20"/>
                <w:szCs w:val="20"/>
              </w:rPr>
              <w:t>Loko</w:t>
            </w:r>
            <w:proofErr w:type="spellEnd"/>
            <w:r>
              <w:rPr>
                <w:rFonts w:ascii="Times New Roman" w:eastAsia="Times New Roman" w:hAnsi="Times New Roman" w:cs="Times New Roman"/>
                <w:color w:val="212529"/>
                <w:sz w:val="20"/>
                <w:szCs w:val="20"/>
              </w:rPr>
              <w:t xml:space="preserve"> </w:t>
            </w:r>
            <w:proofErr w:type="spellStart"/>
            <w:r>
              <w:rPr>
                <w:rFonts w:ascii="Times New Roman" w:eastAsia="Times New Roman" w:hAnsi="Times New Roman" w:cs="Times New Roman"/>
                <w:color w:val="212529"/>
                <w:sz w:val="20"/>
                <w:szCs w:val="20"/>
              </w:rPr>
              <w:t>Yam</w:t>
            </w:r>
            <w:proofErr w:type="spellEnd"/>
            <w:r>
              <w:rPr>
                <w:rFonts w:ascii="Times New Roman" w:eastAsia="Times New Roman" w:hAnsi="Times New Roman" w:cs="Times New Roman"/>
                <w:color w:val="212529"/>
                <w:sz w:val="20"/>
                <w:szCs w:val="20"/>
              </w:rPr>
              <w:t xml:space="preserve">, Los Mexicanos y el Ejército </w:t>
            </w:r>
            <w:proofErr w:type="spellStart"/>
            <w:r>
              <w:rPr>
                <w:rFonts w:ascii="Times New Roman" w:eastAsia="Times New Roman" w:hAnsi="Times New Roman" w:cs="Times New Roman"/>
                <w:color w:val="212529"/>
                <w:sz w:val="20"/>
                <w:szCs w:val="20"/>
              </w:rPr>
              <w:t>Gaitanista</w:t>
            </w:r>
            <w:proofErr w:type="spellEnd"/>
            <w:r>
              <w:rPr>
                <w:rFonts w:ascii="Times New Roman" w:eastAsia="Times New Roman" w:hAnsi="Times New Roman" w:cs="Times New Roman"/>
                <w:color w:val="212529"/>
                <w:sz w:val="20"/>
                <w:szCs w:val="20"/>
              </w:rPr>
              <w:t xml:space="preserve"> de Colombia (EGC). </w:t>
            </w:r>
          </w:p>
        </w:tc>
      </w:tr>
      <w:tr w:rsidR="007C242F" w14:paraId="5C0F2EF3" w14:textId="77777777" w:rsidTr="007C242F">
        <w:tc>
          <w:tcPr>
            <w:cnfStyle w:val="001000000000" w:firstRow="0" w:lastRow="0" w:firstColumn="1" w:lastColumn="0" w:oddVBand="0" w:evenVBand="0" w:oddHBand="0" w:evenHBand="0" w:firstRowFirstColumn="0" w:firstRowLastColumn="0" w:lastRowFirstColumn="0" w:lastRowLastColumn="0"/>
            <w:tcW w:w="1843" w:type="dxa"/>
          </w:tcPr>
          <w:p w14:paraId="1A0BB0A5" w14:textId="77777777" w:rsidR="007C242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NOVIEMBRE</w:t>
            </w:r>
          </w:p>
        </w:tc>
        <w:tc>
          <w:tcPr>
            <w:tcW w:w="1985" w:type="dxa"/>
          </w:tcPr>
          <w:p w14:paraId="4D847817" w14:textId="77777777" w:rsidR="007C242F" w:rsidRDefault="007C242F">
            <w:pPr>
              <w:pStyle w:val="Ttulo3"/>
              <w:jc w:val="both"/>
              <w:outlineLvl w:val="2"/>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551" w:type="dxa"/>
          </w:tcPr>
          <w:p w14:paraId="6DFFF580" w14:textId="77777777" w:rsidR="007C242F" w:rsidRDefault="007C242F">
            <w:pPr>
              <w:tabs>
                <w:tab w:val="left" w:pos="1073"/>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4253" w:type="dxa"/>
          </w:tcPr>
          <w:p w14:paraId="0F7A25F7"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rPr>
              <w:t xml:space="preserve">paro armado que instauró esa guerrilla desde hace siete días sobre los ríos San Juan, </w:t>
            </w:r>
            <w:proofErr w:type="spellStart"/>
            <w:r>
              <w:rPr>
                <w:rFonts w:ascii="Times New Roman" w:eastAsia="Times New Roman" w:hAnsi="Times New Roman" w:cs="Times New Roman"/>
                <w:color w:val="000000"/>
                <w:sz w:val="20"/>
                <w:szCs w:val="20"/>
              </w:rPr>
              <w:t>Sipí</w:t>
            </w:r>
            <w:proofErr w:type="spellEnd"/>
            <w:r>
              <w:rPr>
                <w:rFonts w:ascii="Times New Roman" w:eastAsia="Times New Roman" w:hAnsi="Times New Roman" w:cs="Times New Roman"/>
                <w:color w:val="000000"/>
                <w:sz w:val="20"/>
                <w:szCs w:val="20"/>
              </w:rPr>
              <w:t xml:space="preserve"> y Cajón, que tenía incomunicadas a 85 comunidades afros e indígenas (unas 45.000 personas)</w:t>
            </w:r>
          </w:p>
        </w:tc>
      </w:tr>
      <w:tr w:rsidR="007C242F" w14:paraId="1BB679A6" w14:textId="77777777" w:rsidTr="007C242F">
        <w:tc>
          <w:tcPr>
            <w:cnfStyle w:val="001000000000" w:firstRow="0" w:lastRow="0" w:firstColumn="1" w:lastColumn="0" w:oddVBand="0" w:evenVBand="0" w:oddHBand="0" w:evenHBand="0" w:firstRowFirstColumn="0" w:firstRowLastColumn="0" w:lastRowFirstColumn="0" w:lastRowLastColumn="0"/>
            <w:tcW w:w="10632" w:type="dxa"/>
            <w:gridSpan w:val="4"/>
            <w:shd w:val="clear" w:color="auto" w:fill="E5B9B7"/>
          </w:tcPr>
          <w:p w14:paraId="4D88FF49" w14:textId="77777777" w:rsidR="007C242F" w:rsidRDefault="00000000">
            <w:pPr>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rPr>
              <w:t>2025</w:t>
            </w:r>
          </w:p>
        </w:tc>
      </w:tr>
      <w:tr w:rsidR="007C242F" w14:paraId="3A842FEF" w14:textId="77777777" w:rsidTr="007C242F">
        <w:tc>
          <w:tcPr>
            <w:cnfStyle w:val="001000000000" w:firstRow="0" w:lastRow="0" w:firstColumn="1" w:lastColumn="0" w:oddVBand="0" w:evenVBand="0" w:oddHBand="0" w:evenHBand="0" w:firstRowFirstColumn="0" w:firstRowLastColumn="0" w:lastRowFirstColumn="0" w:lastRowLastColumn="0"/>
            <w:tcW w:w="1843" w:type="dxa"/>
          </w:tcPr>
          <w:p w14:paraId="42659EE2" w14:textId="77777777" w:rsidR="007C242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ENERO</w:t>
            </w:r>
          </w:p>
        </w:tc>
        <w:tc>
          <w:tcPr>
            <w:tcW w:w="1985" w:type="dxa"/>
          </w:tcPr>
          <w:p w14:paraId="4F8D2C2D" w14:textId="77777777" w:rsidR="007C242F" w:rsidRDefault="007C242F">
            <w:pPr>
              <w:pStyle w:val="Ttulo3"/>
              <w:jc w:val="both"/>
              <w:outlineLvl w:val="2"/>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551" w:type="dxa"/>
          </w:tcPr>
          <w:p w14:paraId="75E49FA6" w14:textId="77777777" w:rsidR="007C242F" w:rsidRDefault="00000000">
            <w:pPr>
              <w:tabs>
                <w:tab w:val="left" w:pos="1073"/>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CONMOCION INTERIOR POR EL CATATUMBO.</w:t>
            </w:r>
          </w:p>
        </w:tc>
        <w:tc>
          <w:tcPr>
            <w:tcW w:w="4253" w:type="dxa"/>
          </w:tcPr>
          <w:p w14:paraId="5ECD9352"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Una crisis humanitaria, la peor desde 1997, en enero de 2025, en la región del Catatumbo, norte de Santander, una toma de territorio y enfrentamiento por parte de grupos armados como ELN y FARC que dejaron como resultado: </w:t>
            </w:r>
          </w:p>
          <w:p w14:paraId="0F999FE9" w14:textId="77777777" w:rsidR="007C242F" w:rsidRDefault="00000000">
            <w:pPr>
              <w:numPr>
                <w:ilvl w:val="0"/>
                <w:numId w:val="2"/>
              </w:numPr>
              <w:pBdr>
                <w:top w:val="nil"/>
                <w:left w:val="nil"/>
                <w:bottom w:val="nil"/>
                <w:right w:val="nil"/>
                <w:between w:val="nil"/>
              </w:pBdr>
              <w:ind w:hanging="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más de 71 muertes confirmadas.</w:t>
            </w:r>
          </w:p>
          <w:p w14:paraId="13986F6F" w14:textId="77777777" w:rsidR="007C242F" w:rsidRDefault="00000000">
            <w:pPr>
              <w:numPr>
                <w:ilvl w:val="0"/>
                <w:numId w:val="2"/>
              </w:numPr>
              <w:pBdr>
                <w:top w:val="nil"/>
                <w:left w:val="nil"/>
                <w:bottom w:val="nil"/>
                <w:right w:val="nil"/>
                <w:between w:val="nil"/>
              </w:pBdr>
              <w:ind w:hanging="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más de 56,000 personas desplazadas.</w:t>
            </w:r>
          </w:p>
          <w:p w14:paraId="59F7BB3B" w14:textId="77777777" w:rsidR="007C242F" w:rsidRDefault="00000000">
            <w:pPr>
              <w:numPr>
                <w:ilvl w:val="0"/>
                <w:numId w:val="2"/>
              </w:numPr>
              <w:pBdr>
                <w:top w:val="nil"/>
                <w:left w:val="nil"/>
                <w:bottom w:val="nil"/>
                <w:right w:val="nil"/>
                <w:between w:val="nil"/>
              </w:pBdr>
              <w:ind w:hanging="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aproximadamente 47,000 niños sin acceso a la educación debido a la crisis.</w:t>
            </w:r>
          </w:p>
          <w:p w14:paraId="0FD6B255"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white"/>
              </w:rPr>
            </w:pPr>
          </w:p>
        </w:tc>
      </w:tr>
      <w:tr w:rsidR="007C242F" w14:paraId="7BF396B9" w14:textId="77777777" w:rsidTr="007C242F">
        <w:tc>
          <w:tcPr>
            <w:cnfStyle w:val="001000000000" w:firstRow="0" w:lastRow="0" w:firstColumn="1" w:lastColumn="0" w:oddVBand="0" w:evenVBand="0" w:oddHBand="0" w:evenHBand="0" w:firstRowFirstColumn="0" w:firstRowLastColumn="0" w:lastRowFirstColumn="0" w:lastRowLastColumn="0"/>
            <w:tcW w:w="1843" w:type="dxa"/>
          </w:tcPr>
          <w:p w14:paraId="7C2FC17B" w14:textId="77777777" w:rsidR="007C242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FEBRERO</w:t>
            </w:r>
          </w:p>
        </w:tc>
        <w:tc>
          <w:tcPr>
            <w:tcW w:w="1985" w:type="dxa"/>
          </w:tcPr>
          <w:p w14:paraId="4F1E8DD5" w14:textId="77777777" w:rsidR="007C242F" w:rsidRDefault="007C242F">
            <w:pPr>
              <w:pStyle w:val="Ttulo3"/>
              <w:jc w:val="both"/>
              <w:outlineLvl w:val="2"/>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551" w:type="dxa"/>
          </w:tcPr>
          <w:p w14:paraId="623411D9" w14:textId="77777777" w:rsidR="007C242F" w:rsidRDefault="007C242F">
            <w:pPr>
              <w:tabs>
                <w:tab w:val="left" w:pos="1073"/>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4253" w:type="dxa"/>
          </w:tcPr>
          <w:p w14:paraId="029D9A23"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Una crisis humanitaria, la peor desde 1997, en enero de 2025, en la región del Catatumbo, norte de Santander, una toma de territorio y enfrentamiento por parte de grupos armados como ELN y FARC que dejaron como resultado: </w:t>
            </w:r>
          </w:p>
          <w:p w14:paraId="732EDE32" w14:textId="77777777" w:rsidR="007C242F" w:rsidRDefault="00000000">
            <w:pPr>
              <w:numPr>
                <w:ilvl w:val="0"/>
                <w:numId w:val="2"/>
              </w:numPr>
              <w:pBdr>
                <w:top w:val="nil"/>
                <w:left w:val="nil"/>
                <w:bottom w:val="nil"/>
                <w:right w:val="nil"/>
                <w:between w:val="nil"/>
              </w:pBdr>
              <w:ind w:left="502" w:hanging="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más de 71 muertes confirmadas.</w:t>
            </w:r>
          </w:p>
          <w:p w14:paraId="680F07D2" w14:textId="77777777" w:rsidR="007C242F" w:rsidRDefault="00000000">
            <w:pPr>
              <w:numPr>
                <w:ilvl w:val="0"/>
                <w:numId w:val="2"/>
              </w:numPr>
              <w:pBdr>
                <w:top w:val="nil"/>
                <w:left w:val="nil"/>
                <w:bottom w:val="nil"/>
                <w:right w:val="nil"/>
                <w:between w:val="nil"/>
              </w:pBdr>
              <w:ind w:left="502" w:hanging="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más de 56,000 personas desplazadas.</w:t>
            </w:r>
          </w:p>
          <w:p w14:paraId="23ABE406" w14:textId="77777777" w:rsidR="007C242F" w:rsidRDefault="00000000">
            <w:pPr>
              <w:numPr>
                <w:ilvl w:val="0"/>
                <w:numId w:val="2"/>
              </w:numPr>
              <w:pBdr>
                <w:top w:val="nil"/>
                <w:left w:val="nil"/>
                <w:bottom w:val="nil"/>
                <w:right w:val="nil"/>
                <w:between w:val="nil"/>
              </w:pBdr>
              <w:ind w:left="502" w:hanging="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aproximadamente 47,000 niños sin acceso a </w:t>
            </w:r>
            <w:r>
              <w:rPr>
                <w:rFonts w:ascii="Times New Roman" w:eastAsia="Times New Roman" w:hAnsi="Times New Roman" w:cs="Times New Roman"/>
                <w:color w:val="000000"/>
                <w:sz w:val="20"/>
                <w:szCs w:val="20"/>
              </w:rPr>
              <w:lastRenderedPageBreak/>
              <w:t>la educación debido a la crisis.</w:t>
            </w:r>
          </w:p>
          <w:p w14:paraId="145780C4"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r>
      <w:tr w:rsidR="007C242F" w14:paraId="717B70C5" w14:textId="77777777" w:rsidTr="007C242F">
        <w:tc>
          <w:tcPr>
            <w:cnfStyle w:val="001000000000" w:firstRow="0" w:lastRow="0" w:firstColumn="1" w:lastColumn="0" w:oddVBand="0" w:evenVBand="0" w:oddHBand="0" w:evenHBand="0" w:firstRowFirstColumn="0" w:firstRowLastColumn="0" w:lastRowFirstColumn="0" w:lastRowLastColumn="0"/>
            <w:tcW w:w="1843" w:type="dxa"/>
          </w:tcPr>
          <w:p w14:paraId="4AEA27E6" w14:textId="77777777" w:rsidR="007C242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MARZO</w:t>
            </w:r>
          </w:p>
        </w:tc>
        <w:tc>
          <w:tcPr>
            <w:tcW w:w="1985" w:type="dxa"/>
          </w:tcPr>
          <w:p w14:paraId="14098397" w14:textId="77777777" w:rsidR="007C242F" w:rsidRDefault="007C242F">
            <w:pPr>
              <w:pStyle w:val="Ttulo3"/>
              <w:jc w:val="both"/>
              <w:outlineLvl w:val="2"/>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551" w:type="dxa"/>
          </w:tcPr>
          <w:p w14:paraId="4C09F3F3" w14:textId="77777777" w:rsidR="007C242F" w:rsidRDefault="007C242F">
            <w:pPr>
              <w:tabs>
                <w:tab w:val="left" w:pos="1073"/>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4253" w:type="dxa"/>
          </w:tcPr>
          <w:p w14:paraId="34E07EAE"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 24 de febrero, tras la muerte de alias "Terror", líder del Clan del Golfo, el director de la Policía Nacional advirtió sobre la posible activación de un "plan pistola" por parte de este grupo contra la Fuerza Pública.</w:t>
            </w:r>
          </w:p>
          <w:p w14:paraId="2368A50A"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p w14:paraId="00904395" w14:textId="77777777" w:rsidR="007C242F" w:rsidRDefault="00000000">
            <w:pPr>
              <w:numPr>
                <w:ilvl w:val="0"/>
                <w:numId w:val="2"/>
              </w:numPr>
              <w:pBdr>
                <w:top w:val="nil"/>
                <w:left w:val="nil"/>
                <w:bottom w:val="nil"/>
                <w:right w:val="nil"/>
                <w:between w:val="nil"/>
              </w:pBdr>
              <w:ind w:left="502" w:hanging="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 incrementan amenazas y ataques selectivos contra policías y militares.</w:t>
            </w:r>
          </w:p>
          <w:p w14:paraId="397D6187" w14:textId="77777777" w:rsidR="007C242F" w:rsidRDefault="00000000">
            <w:pPr>
              <w:numPr>
                <w:ilvl w:val="0"/>
                <w:numId w:val="2"/>
              </w:numPr>
              <w:pBdr>
                <w:top w:val="nil"/>
                <w:left w:val="nil"/>
                <w:bottom w:val="nil"/>
                <w:right w:val="nil"/>
                <w:between w:val="nil"/>
              </w:pBdr>
              <w:ind w:left="502" w:hanging="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continúan hostigamientos armados y presencia de disidencias de las FARC en Cauca, Nariño y Norte de Santander.</w:t>
            </w:r>
          </w:p>
          <w:p w14:paraId="1A134CF1"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 Gobierno mantiene acercamientos y canales de diálogo con estructuras armadas ilegales.</w:t>
            </w:r>
          </w:p>
        </w:tc>
      </w:tr>
      <w:tr w:rsidR="007C242F" w14:paraId="14BD0C3B" w14:textId="77777777" w:rsidTr="007C242F">
        <w:tc>
          <w:tcPr>
            <w:cnfStyle w:val="001000000000" w:firstRow="0" w:lastRow="0" w:firstColumn="1" w:lastColumn="0" w:oddVBand="0" w:evenVBand="0" w:oddHBand="0" w:evenHBand="0" w:firstRowFirstColumn="0" w:firstRowLastColumn="0" w:lastRowFirstColumn="0" w:lastRowLastColumn="0"/>
            <w:tcW w:w="1843" w:type="dxa"/>
          </w:tcPr>
          <w:p w14:paraId="27A230C0" w14:textId="77777777" w:rsidR="007C242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ABRIL</w:t>
            </w:r>
          </w:p>
        </w:tc>
        <w:tc>
          <w:tcPr>
            <w:tcW w:w="1985" w:type="dxa"/>
          </w:tcPr>
          <w:p w14:paraId="143500E8" w14:textId="77777777" w:rsidR="007C242F" w:rsidRDefault="007C242F">
            <w:pPr>
              <w:pStyle w:val="Ttulo3"/>
              <w:jc w:val="both"/>
              <w:outlineLvl w:val="2"/>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551" w:type="dxa"/>
          </w:tcPr>
          <w:p w14:paraId="50707EE0" w14:textId="77777777" w:rsidR="007C242F" w:rsidRDefault="007C242F">
            <w:pPr>
              <w:tabs>
                <w:tab w:val="left" w:pos="1073"/>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4253" w:type="dxa"/>
          </w:tcPr>
          <w:p w14:paraId="06C032DE"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 1 de marzo, se hallaron tres cuerpos en Tibú, Norte de Santander, incluyendo a un miembro del</w:t>
            </w:r>
            <w:r>
              <w:rPr>
                <w:rFonts w:ascii="Times New Roman" w:eastAsia="Times New Roman" w:hAnsi="Times New Roman" w:cs="Times New Roman"/>
                <w:b/>
                <w:bCs/>
                <w:color w:val="000000"/>
                <w:sz w:val="20"/>
                <w:szCs w:val="20"/>
              </w:rPr>
              <w:t xml:space="preserve"> ELN</w:t>
            </w:r>
          </w:p>
          <w:p w14:paraId="166C19CF"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p w14:paraId="4C26E5A7"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ELN</w:t>
            </w:r>
            <w:r>
              <w:rPr>
                <w:rFonts w:ascii="Times New Roman" w:eastAsia="Times New Roman" w:hAnsi="Times New Roman" w:cs="Times New Roman"/>
                <w:color w:val="000000"/>
                <w:sz w:val="20"/>
                <w:szCs w:val="20"/>
              </w:rPr>
              <w:t xml:space="preserve"> realizó un ataque con drones en </w:t>
            </w:r>
            <w:r>
              <w:rPr>
                <w:rFonts w:ascii="Times New Roman" w:eastAsia="Times New Roman" w:hAnsi="Times New Roman" w:cs="Times New Roman"/>
                <w:b/>
                <w:bCs/>
                <w:color w:val="000000"/>
                <w:sz w:val="20"/>
                <w:szCs w:val="20"/>
              </w:rPr>
              <w:t>Teorama</w:t>
            </w:r>
            <w:r>
              <w:rPr>
                <w:rFonts w:ascii="Times New Roman" w:eastAsia="Times New Roman" w:hAnsi="Times New Roman" w:cs="Times New Roman"/>
                <w:color w:val="000000"/>
                <w:sz w:val="20"/>
                <w:szCs w:val="20"/>
              </w:rPr>
              <w:t>, matando a un soldado. 5 de marzo: ataque con drones explosivos en Teorama deja un soldado muerto.</w:t>
            </w:r>
          </w:p>
          <w:p w14:paraId="0B450E24"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p w14:paraId="733C1FB7"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El 7 de marzo</w:t>
            </w:r>
            <w:r>
              <w:rPr>
                <w:rFonts w:ascii="Times New Roman" w:eastAsia="Times New Roman" w:hAnsi="Times New Roman" w:cs="Times New Roman"/>
                <w:color w:val="000000"/>
                <w:sz w:val="20"/>
                <w:szCs w:val="20"/>
              </w:rPr>
              <w:t>, otro ataque con drones en Tibú dejó un soldado muerto y tres heridos</w:t>
            </w:r>
          </w:p>
          <w:p w14:paraId="6499A8DD"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p w14:paraId="75F00A03" w14:textId="77777777" w:rsidR="007C242F" w:rsidRDefault="007C242F">
            <w:pPr>
              <w:tabs>
                <w:tab w:val="left" w:pos="1073"/>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r>
      <w:tr w:rsidR="007C242F" w14:paraId="37B2FFB5" w14:textId="77777777" w:rsidTr="007C242F">
        <w:tc>
          <w:tcPr>
            <w:cnfStyle w:val="001000000000" w:firstRow="0" w:lastRow="0" w:firstColumn="1" w:lastColumn="0" w:oddVBand="0" w:evenVBand="0" w:oddHBand="0" w:evenHBand="0" w:firstRowFirstColumn="0" w:firstRowLastColumn="0" w:lastRowFirstColumn="0" w:lastRowLastColumn="0"/>
            <w:tcW w:w="1843" w:type="dxa"/>
          </w:tcPr>
          <w:p w14:paraId="338ADF91" w14:textId="77777777" w:rsidR="007C242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MAYO</w:t>
            </w:r>
          </w:p>
        </w:tc>
        <w:tc>
          <w:tcPr>
            <w:tcW w:w="1985" w:type="dxa"/>
          </w:tcPr>
          <w:p w14:paraId="71AF96FD" w14:textId="77777777" w:rsidR="007C242F" w:rsidRDefault="007C242F">
            <w:pPr>
              <w:pStyle w:val="Ttulo3"/>
              <w:jc w:val="both"/>
              <w:outlineLvl w:val="2"/>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551" w:type="dxa"/>
          </w:tcPr>
          <w:p w14:paraId="78405587" w14:textId="77777777" w:rsidR="007C242F" w:rsidRDefault="00000000">
            <w:pPr>
              <w:tabs>
                <w:tab w:val="left" w:pos="1073"/>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PROCURADURIA ADVIERTE QUE EL MINISTERIO DE DEFENSA NO HA TOMADO MEDIDAS EFICACES SOBRE EL PLAN PISTOLA.</w:t>
            </w:r>
          </w:p>
        </w:tc>
        <w:tc>
          <w:tcPr>
            <w:tcW w:w="4253" w:type="dxa"/>
          </w:tcPr>
          <w:p w14:paraId="571E125B"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Se reportaron </w:t>
            </w:r>
            <w:r>
              <w:rPr>
                <w:rFonts w:ascii="Times New Roman" w:eastAsia="Times New Roman" w:hAnsi="Times New Roman" w:cs="Times New Roman"/>
                <w:b/>
                <w:bCs/>
                <w:color w:val="000000"/>
                <w:sz w:val="20"/>
                <w:szCs w:val="20"/>
              </w:rPr>
              <w:t>13 policías y 11 militares</w:t>
            </w:r>
            <w:r>
              <w:rPr>
                <w:rFonts w:ascii="Times New Roman" w:eastAsia="Times New Roman" w:hAnsi="Times New Roman" w:cs="Times New Roman"/>
                <w:color w:val="000000"/>
                <w:sz w:val="20"/>
                <w:szCs w:val="20"/>
              </w:rPr>
              <w:t xml:space="preserve"> asesinados en ataques en departamentos </w:t>
            </w:r>
            <w:r>
              <w:rPr>
                <w:rFonts w:ascii="Times New Roman" w:eastAsia="Times New Roman" w:hAnsi="Times New Roman" w:cs="Times New Roman"/>
                <w:b/>
                <w:bCs/>
                <w:color w:val="000000"/>
                <w:sz w:val="20"/>
                <w:szCs w:val="20"/>
              </w:rPr>
              <w:t>como Norte de Santander, Guaviare, Cauca, Valle del Cauca, Cesar, Huila, Antioquia, Córdoba y Bolívar.</w:t>
            </w:r>
            <w:r>
              <w:rPr>
                <w:rFonts w:ascii="Times New Roman" w:eastAsia="Times New Roman" w:hAnsi="Times New Roman" w:cs="Times New Roman"/>
                <w:color w:val="000000"/>
                <w:sz w:val="20"/>
                <w:szCs w:val="20"/>
              </w:rPr>
              <w:t xml:space="preserve"> Estos ataques fueron atribuidos a disidencias de las FARC, el ELN y el Clan del Golfo</w:t>
            </w:r>
          </w:p>
        </w:tc>
      </w:tr>
      <w:tr w:rsidR="007C242F" w14:paraId="73EC1094" w14:textId="77777777" w:rsidTr="007C242F">
        <w:tc>
          <w:tcPr>
            <w:cnfStyle w:val="001000000000" w:firstRow="0" w:lastRow="0" w:firstColumn="1" w:lastColumn="0" w:oddVBand="0" w:evenVBand="0" w:oddHBand="0" w:evenHBand="0" w:firstRowFirstColumn="0" w:firstRowLastColumn="0" w:lastRowFirstColumn="0" w:lastRowLastColumn="0"/>
            <w:tcW w:w="1843" w:type="dxa"/>
          </w:tcPr>
          <w:p w14:paraId="690883A4" w14:textId="77777777" w:rsidR="007C242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JUNIO </w:t>
            </w:r>
          </w:p>
        </w:tc>
        <w:tc>
          <w:tcPr>
            <w:tcW w:w="1985" w:type="dxa"/>
          </w:tcPr>
          <w:p w14:paraId="06AF0FF6" w14:textId="77777777" w:rsidR="007C242F" w:rsidRDefault="007C242F">
            <w:pPr>
              <w:pStyle w:val="Ttulo3"/>
              <w:jc w:val="both"/>
              <w:outlineLvl w:val="2"/>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551" w:type="dxa"/>
          </w:tcPr>
          <w:p w14:paraId="0503FAA1" w14:textId="77777777" w:rsidR="007C242F" w:rsidRDefault="007C242F">
            <w:pPr>
              <w:tabs>
                <w:tab w:val="left" w:pos="1073"/>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4253" w:type="dxa"/>
          </w:tcPr>
          <w:p w14:paraId="04B2B70D" w14:textId="77777777" w:rsidR="007C242F" w:rsidRDefault="00000000">
            <w:pPr>
              <w:widowControl/>
              <w:numPr>
                <w:ilvl w:val="0"/>
                <w:numId w:val="5"/>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 de junio: atentado contra el senador y precandidato presidencial Miguel Uribe Turbay en Bogotá, en medio del deterioro de la seguridad nacional.</w:t>
            </w:r>
          </w:p>
          <w:p w14:paraId="572528EA" w14:textId="77777777" w:rsidR="007C242F" w:rsidRDefault="00000000">
            <w:pPr>
              <w:widowControl/>
              <w:numPr>
                <w:ilvl w:val="0"/>
                <w:numId w:val="5"/>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 de junio: se registran 19 ataques simultáneos con explosivos, drones, hostigamientos y carros bomba en Cauca y Valle del Cauca.</w:t>
            </w:r>
          </w:p>
          <w:p w14:paraId="479F85E1" w14:textId="77777777" w:rsidR="007C242F" w:rsidRDefault="00000000">
            <w:pPr>
              <w:widowControl/>
              <w:numPr>
                <w:ilvl w:val="0"/>
                <w:numId w:val="5"/>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 de junio: los atentados dejan muertos y decenas de heridos, afectando población civil y Fuerza Pública.</w:t>
            </w:r>
          </w:p>
          <w:p w14:paraId="4DDFDFA8" w14:textId="77777777" w:rsidR="007C242F" w:rsidRDefault="00000000">
            <w:pPr>
              <w:widowControl/>
              <w:numPr>
                <w:ilvl w:val="0"/>
                <w:numId w:val="5"/>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 de junio: el Estado Mayor Central (EMC) reivindica los ataques coordinados ocurridos en Cali, Jamundí y municipios cercanos.</w:t>
            </w:r>
          </w:p>
          <w:p w14:paraId="2093FE7C" w14:textId="77777777" w:rsidR="007C242F" w:rsidRDefault="00000000">
            <w:pPr>
              <w:widowControl/>
              <w:numPr>
                <w:ilvl w:val="0"/>
                <w:numId w:val="5"/>
              </w:numPr>
              <w:spacing w:after="28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Autoridades capturan integrantes del frente Jaime Martínez implicados en atentados terroristas y ataques con explosivos.</w:t>
            </w:r>
          </w:p>
          <w:p w14:paraId="68969557"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r>
      <w:tr w:rsidR="007C242F" w14:paraId="2C97264D" w14:textId="77777777" w:rsidTr="007C242F">
        <w:tc>
          <w:tcPr>
            <w:cnfStyle w:val="001000000000" w:firstRow="0" w:lastRow="0" w:firstColumn="1" w:lastColumn="0" w:oddVBand="0" w:evenVBand="0" w:oddHBand="0" w:evenHBand="0" w:firstRowFirstColumn="0" w:firstRowLastColumn="0" w:lastRowFirstColumn="0" w:lastRowLastColumn="0"/>
            <w:tcW w:w="1843" w:type="dxa"/>
          </w:tcPr>
          <w:p w14:paraId="42450623" w14:textId="77777777" w:rsidR="007C242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JULIO</w:t>
            </w:r>
          </w:p>
        </w:tc>
        <w:tc>
          <w:tcPr>
            <w:tcW w:w="1985" w:type="dxa"/>
          </w:tcPr>
          <w:p w14:paraId="6D0936AB" w14:textId="77777777" w:rsidR="007C242F" w:rsidRDefault="007C242F">
            <w:pPr>
              <w:pStyle w:val="Ttulo3"/>
              <w:jc w:val="both"/>
              <w:outlineLvl w:val="2"/>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551" w:type="dxa"/>
          </w:tcPr>
          <w:p w14:paraId="158322AE" w14:textId="77777777" w:rsidR="007C242F" w:rsidRDefault="007C242F">
            <w:pPr>
              <w:tabs>
                <w:tab w:val="left" w:pos="1073"/>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4253" w:type="dxa"/>
          </w:tcPr>
          <w:p w14:paraId="62D6178B" w14:textId="77777777" w:rsidR="007C242F" w:rsidRDefault="00000000">
            <w:pPr>
              <w:widowControl/>
              <w:numPr>
                <w:ilvl w:val="0"/>
                <w:numId w:val="6"/>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 Misión de Observación Electoral (MOE) advierte incremento de violencia política y expansión de grupos armados ilegales.</w:t>
            </w:r>
          </w:p>
          <w:p w14:paraId="4A522163" w14:textId="77777777" w:rsidR="007C242F" w:rsidRDefault="00000000">
            <w:pPr>
              <w:widowControl/>
              <w:numPr>
                <w:ilvl w:val="0"/>
                <w:numId w:val="6"/>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Continúan ataques de disidencias de las FARC contra líderes sociales y autoridades locales.</w:t>
            </w:r>
          </w:p>
          <w:p w14:paraId="4BD7B066" w14:textId="77777777" w:rsidR="007C242F" w:rsidRDefault="00000000">
            <w:pPr>
              <w:widowControl/>
              <w:numPr>
                <w:ilvl w:val="0"/>
                <w:numId w:val="6"/>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Aumentan denuncias por extorsión y confinamiento de comunidades rurales en Cauca y Nariño.</w:t>
            </w:r>
          </w:p>
        </w:tc>
      </w:tr>
      <w:tr w:rsidR="007C242F" w14:paraId="31855847" w14:textId="77777777" w:rsidTr="007C242F">
        <w:tc>
          <w:tcPr>
            <w:cnfStyle w:val="001000000000" w:firstRow="0" w:lastRow="0" w:firstColumn="1" w:lastColumn="0" w:oddVBand="0" w:evenVBand="0" w:oddHBand="0" w:evenHBand="0" w:firstRowFirstColumn="0" w:firstRowLastColumn="0" w:lastRowFirstColumn="0" w:lastRowLastColumn="0"/>
            <w:tcW w:w="1843" w:type="dxa"/>
          </w:tcPr>
          <w:p w14:paraId="3DA52B5E" w14:textId="77777777" w:rsidR="007C242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AGOSTO</w:t>
            </w:r>
          </w:p>
        </w:tc>
        <w:tc>
          <w:tcPr>
            <w:tcW w:w="1985" w:type="dxa"/>
          </w:tcPr>
          <w:p w14:paraId="047D955C" w14:textId="77777777" w:rsidR="007C242F" w:rsidRDefault="007C242F">
            <w:pPr>
              <w:pStyle w:val="Ttulo3"/>
              <w:jc w:val="both"/>
              <w:outlineLvl w:val="2"/>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551" w:type="dxa"/>
          </w:tcPr>
          <w:p w14:paraId="60D7A696" w14:textId="77777777" w:rsidR="007C242F" w:rsidRDefault="007C242F">
            <w:pPr>
              <w:tabs>
                <w:tab w:val="left" w:pos="1073"/>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4253" w:type="dxa"/>
          </w:tcPr>
          <w:p w14:paraId="4C1EC339"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Persisten ataques con explosivos improvisados y drones contra estaciones de Policía y bases militares.  </w:t>
            </w:r>
          </w:p>
          <w:p w14:paraId="53344FC7"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18E5589E"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Continúan enfrentamientos entre disidencias de las FARC y Fuerza Pública en Cauca y Valle del Cauca.</w:t>
            </w:r>
          </w:p>
        </w:tc>
      </w:tr>
      <w:tr w:rsidR="007C242F" w14:paraId="2821A521" w14:textId="77777777" w:rsidTr="007C242F">
        <w:tc>
          <w:tcPr>
            <w:cnfStyle w:val="001000000000" w:firstRow="0" w:lastRow="0" w:firstColumn="1" w:lastColumn="0" w:oddVBand="0" w:evenVBand="0" w:oddHBand="0" w:evenHBand="0" w:firstRowFirstColumn="0" w:firstRowLastColumn="0" w:lastRowFirstColumn="0" w:lastRowLastColumn="0"/>
            <w:tcW w:w="1843" w:type="dxa"/>
          </w:tcPr>
          <w:p w14:paraId="63985C14" w14:textId="77777777" w:rsidR="007C242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NOVIEMBRE</w:t>
            </w:r>
          </w:p>
        </w:tc>
        <w:tc>
          <w:tcPr>
            <w:tcW w:w="1985" w:type="dxa"/>
          </w:tcPr>
          <w:p w14:paraId="6711659F" w14:textId="77777777" w:rsidR="007C242F" w:rsidRDefault="007C242F">
            <w:pPr>
              <w:pStyle w:val="Ttulo3"/>
              <w:jc w:val="both"/>
              <w:outlineLvl w:val="2"/>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551" w:type="dxa"/>
          </w:tcPr>
          <w:p w14:paraId="2174765B" w14:textId="77777777" w:rsidR="007C242F" w:rsidRDefault="007C242F">
            <w:pPr>
              <w:tabs>
                <w:tab w:val="left" w:pos="1073"/>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4253" w:type="dxa"/>
          </w:tcPr>
          <w:p w14:paraId="0BED42A0"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Se reportan ataques con explosivos y acciones terroristas en Cauca y Norte de Santander.</w:t>
            </w:r>
          </w:p>
        </w:tc>
      </w:tr>
      <w:tr w:rsidR="007C242F" w14:paraId="51662893" w14:textId="77777777" w:rsidTr="007C242F">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000000"/>
            </w:tcBorders>
          </w:tcPr>
          <w:p w14:paraId="2DC8B4E3" w14:textId="77777777" w:rsidR="007C242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DICIEMBRE</w:t>
            </w:r>
          </w:p>
        </w:tc>
        <w:tc>
          <w:tcPr>
            <w:tcW w:w="1985" w:type="dxa"/>
            <w:tcBorders>
              <w:bottom w:val="single" w:sz="4" w:space="0" w:color="000000"/>
            </w:tcBorders>
          </w:tcPr>
          <w:p w14:paraId="07D03066" w14:textId="77777777" w:rsidR="007C242F" w:rsidRDefault="007C242F">
            <w:pPr>
              <w:pStyle w:val="Ttulo3"/>
              <w:jc w:val="both"/>
              <w:outlineLvl w:val="2"/>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551" w:type="dxa"/>
            <w:tcBorders>
              <w:bottom w:val="single" w:sz="4" w:space="0" w:color="000000"/>
            </w:tcBorders>
          </w:tcPr>
          <w:p w14:paraId="58DD7AEA" w14:textId="77777777" w:rsidR="007C242F" w:rsidRDefault="007C242F">
            <w:pPr>
              <w:tabs>
                <w:tab w:val="left" w:pos="1073"/>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4253" w:type="dxa"/>
            <w:tcBorders>
              <w:bottom w:val="single" w:sz="4" w:space="0" w:color="000000"/>
            </w:tcBorders>
          </w:tcPr>
          <w:p w14:paraId="43C1563F"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Ataques armados en Buenos Aires, Cauca, dejan graves afectaciones a la población civil y a la Fuerza Pública.</w:t>
            </w:r>
          </w:p>
          <w:p w14:paraId="6B1696A9"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5C9EC130"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Autoridades denuncian uso sistemático de drones explosivos y artefactos improvisados por disidencias de las FARC.</w:t>
            </w:r>
          </w:p>
        </w:tc>
      </w:tr>
      <w:tr w:rsidR="007C242F" w14:paraId="475E6E5C" w14:textId="77777777" w:rsidTr="007C242F">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left w:val="single" w:sz="4" w:space="0" w:color="000000"/>
              <w:bottom w:val="single" w:sz="4" w:space="0" w:color="000000"/>
            </w:tcBorders>
            <w:shd w:val="clear" w:color="auto" w:fill="FBD5B5"/>
          </w:tcPr>
          <w:p w14:paraId="572F7CF2" w14:textId="77777777" w:rsidR="007C242F" w:rsidRDefault="007C242F">
            <w:pPr>
              <w:jc w:val="center"/>
              <w:rPr>
                <w:rFonts w:ascii="Times New Roman" w:eastAsia="Times New Roman" w:hAnsi="Times New Roman" w:cs="Times New Roman"/>
                <w:sz w:val="20"/>
                <w:szCs w:val="20"/>
              </w:rPr>
            </w:pPr>
          </w:p>
        </w:tc>
        <w:tc>
          <w:tcPr>
            <w:tcW w:w="1985" w:type="dxa"/>
            <w:tcBorders>
              <w:top w:val="single" w:sz="4" w:space="0" w:color="000000"/>
              <w:bottom w:val="single" w:sz="4" w:space="0" w:color="000000"/>
            </w:tcBorders>
            <w:shd w:val="clear" w:color="auto" w:fill="FBD5B5"/>
          </w:tcPr>
          <w:p w14:paraId="53D93F2F" w14:textId="77777777" w:rsidR="007C242F" w:rsidRDefault="007C242F">
            <w:pPr>
              <w:pStyle w:val="Ttulo3"/>
              <w:jc w:val="center"/>
              <w:outlineLvl w:val="2"/>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551" w:type="dxa"/>
            <w:tcBorders>
              <w:top w:val="single" w:sz="4" w:space="0" w:color="000000"/>
              <w:bottom w:val="single" w:sz="4" w:space="0" w:color="000000"/>
            </w:tcBorders>
            <w:shd w:val="clear" w:color="auto" w:fill="FBD5B5"/>
          </w:tcPr>
          <w:p w14:paraId="5059BDCC" w14:textId="77777777" w:rsidR="007C242F" w:rsidRDefault="00000000">
            <w:pPr>
              <w:tabs>
                <w:tab w:val="left" w:pos="1073"/>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2026</w:t>
            </w:r>
          </w:p>
        </w:tc>
        <w:tc>
          <w:tcPr>
            <w:tcW w:w="4253" w:type="dxa"/>
            <w:tcBorders>
              <w:top w:val="single" w:sz="4" w:space="0" w:color="000000"/>
              <w:bottom w:val="single" w:sz="4" w:space="0" w:color="000000"/>
              <w:right w:val="single" w:sz="4" w:space="0" w:color="000000"/>
            </w:tcBorders>
            <w:shd w:val="clear" w:color="auto" w:fill="FBD5B5"/>
          </w:tcPr>
          <w:p w14:paraId="1DD31F24"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7C242F" w14:paraId="6DA8D456" w14:textId="77777777" w:rsidTr="007C242F">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tcBorders>
          </w:tcPr>
          <w:p w14:paraId="0CBCA7CD" w14:textId="77777777" w:rsidR="007C242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ENERO </w:t>
            </w:r>
          </w:p>
        </w:tc>
        <w:tc>
          <w:tcPr>
            <w:tcW w:w="1985" w:type="dxa"/>
            <w:tcBorders>
              <w:top w:val="single" w:sz="4" w:space="0" w:color="000000"/>
            </w:tcBorders>
          </w:tcPr>
          <w:p w14:paraId="3C7E17EC" w14:textId="77777777" w:rsidR="007C242F" w:rsidRDefault="007C242F">
            <w:pPr>
              <w:pStyle w:val="Ttulo3"/>
              <w:jc w:val="both"/>
              <w:outlineLvl w:val="2"/>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551" w:type="dxa"/>
            <w:tcBorders>
              <w:top w:val="single" w:sz="4" w:space="0" w:color="000000"/>
            </w:tcBorders>
          </w:tcPr>
          <w:p w14:paraId="4C689844" w14:textId="77777777" w:rsidR="007C242F" w:rsidRDefault="007C242F">
            <w:pPr>
              <w:tabs>
                <w:tab w:val="left" w:pos="1073"/>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4253" w:type="dxa"/>
            <w:tcBorders>
              <w:top w:val="single" w:sz="4" w:space="0" w:color="000000"/>
            </w:tcBorders>
          </w:tcPr>
          <w:p w14:paraId="63A6593E"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Indepaz reporta incremento de masacres y hechos violentos en diferentes regiones del país.</w:t>
            </w:r>
          </w:p>
          <w:p w14:paraId="7FBA98FB"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348BBFE2"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Continúan enfrentamientos entre disidencias de las FARC, ELN y Fuerza Pública.</w:t>
            </w:r>
          </w:p>
          <w:p w14:paraId="704D0DC0"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571577FC"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Persisten desplazamientos forzados y confinamientos en Cauca, Chocó y Norte de Santander.</w:t>
            </w:r>
          </w:p>
        </w:tc>
      </w:tr>
      <w:tr w:rsidR="007C242F" w14:paraId="650587BD" w14:textId="77777777" w:rsidTr="007C242F">
        <w:tc>
          <w:tcPr>
            <w:cnfStyle w:val="001000000000" w:firstRow="0" w:lastRow="0" w:firstColumn="1" w:lastColumn="0" w:oddVBand="0" w:evenVBand="0" w:oddHBand="0" w:evenHBand="0" w:firstRowFirstColumn="0" w:firstRowLastColumn="0" w:lastRowFirstColumn="0" w:lastRowLastColumn="0"/>
            <w:tcW w:w="1843" w:type="dxa"/>
          </w:tcPr>
          <w:p w14:paraId="00E6E6A0" w14:textId="77777777" w:rsidR="007C242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FEBRERO</w:t>
            </w:r>
          </w:p>
        </w:tc>
        <w:tc>
          <w:tcPr>
            <w:tcW w:w="1985" w:type="dxa"/>
          </w:tcPr>
          <w:p w14:paraId="352A3382" w14:textId="77777777" w:rsidR="007C242F" w:rsidRDefault="007C242F">
            <w:pPr>
              <w:pStyle w:val="Ttulo3"/>
              <w:jc w:val="both"/>
              <w:outlineLvl w:val="2"/>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551" w:type="dxa"/>
          </w:tcPr>
          <w:p w14:paraId="2F06E296" w14:textId="77777777" w:rsidR="007C242F" w:rsidRDefault="007C242F">
            <w:pPr>
              <w:tabs>
                <w:tab w:val="left" w:pos="1073"/>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4253" w:type="dxa"/>
          </w:tcPr>
          <w:p w14:paraId="362F6A19"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Continúan ataques contra la Fuerza Pública y hostigamientos armados en Cauca y Valle del Cauca.</w:t>
            </w:r>
          </w:p>
          <w:p w14:paraId="54061BDB"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09678FD5"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Organismos de seguridad alertan sobre fortalecimiento territorial de estructuras armadas ilegales.</w:t>
            </w:r>
          </w:p>
        </w:tc>
      </w:tr>
      <w:tr w:rsidR="007C242F" w14:paraId="5333A04C" w14:textId="77777777" w:rsidTr="007C242F">
        <w:tc>
          <w:tcPr>
            <w:cnfStyle w:val="001000000000" w:firstRow="0" w:lastRow="0" w:firstColumn="1" w:lastColumn="0" w:oddVBand="0" w:evenVBand="0" w:oddHBand="0" w:evenHBand="0" w:firstRowFirstColumn="0" w:firstRowLastColumn="0" w:lastRowFirstColumn="0" w:lastRowLastColumn="0"/>
            <w:tcW w:w="1843" w:type="dxa"/>
          </w:tcPr>
          <w:p w14:paraId="203541B1" w14:textId="77777777" w:rsidR="007C242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ABRIL</w:t>
            </w:r>
          </w:p>
        </w:tc>
        <w:tc>
          <w:tcPr>
            <w:tcW w:w="1985" w:type="dxa"/>
          </w:tcPr>
          <w:p w14:paraId="3625E996" w14:textId="77777777" w:rsidR="007C242F" w:rsidRDefault="007C242F">
            <w:pPr>
              <w:pStyle w:val="Ttulo3"/>
              <w:jc w:val="both"/>
              <w:outlineLvl w:val="2"/>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551" w:type="dxa"/>
          </w:tcPr>
          <w:p w14:paraId="677EE180" w14:textId="77777777" w:rsidR="007C242F" w:rsidRDefault="007C242F">
            <w:pPr>
              <w:tabs>
                <w:tab w:val="left" w:pos="1073"/>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4253" w:type="dxa"/>
          </w:tcPr>
          <w:p w14:paraId="099DECAE"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25 de abril: atentado con explosivos en Cauca deja más de 20 muertos y decenas de heridos en medio de confrontaciones atribuidas al EMC.</w:t>
            </w:r>
          </w:p>
          <w:p w14:paraId="0A8D8863"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72B5E1C7"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29 de abril: el Estado Mayor Central reconoce responsabilidad en el atentado y lo califica como un “error táctico”.</w:t>
            </w:r>
          </w:p>
          <w:p w14:paraId="46A388C0"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0AC21887"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Continúan denuncias por utilización de carros bomba, drones explosivos y artefactos improvisados.</w:t>
            </w:r>
          </w:p>
        </w:tc>
      </w:tr>
      <w:tr w:rsidR="007C242F" w14:paraId="4B8C361D" w14:textId="77777777" w:rsidTr="007C242F">
        <w:tc>
          <w:tcPr>
            <w:cnfStyle w:val="001000000000" w:firstRow="0" w:lastRow="0" w:firstColumn="1" w:lastColumn="0" w:oddVBand="0" w:evenVBand="0" w:oddHBand="0" w:evenHBand="0" w:firstRowFirstColumn="0" w:firstRowLastColumn="0" w:lastRowFirstColumn="0" w:lastRowLastColumn="0"/>
            <w:tcW w:w="1843" w:type="dxa"/>
          </w:tcPr>
          <w:p w14:paraId="7E9978B8" w14:textId="77777777" w:rsidR="007C242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MAYO</w:t>
            </w:r>
          </w:p>
        </w:tc>
        <w:tc>
          <w:tcPr>
            <w:tcW w:w="1985" w:type="dxa"/>
          </w:tcPr>
          <w:p w14:paraId="60B9275F" w14:textId="77777777" w:rsidR="007C242F" w:rsidRDefault="007C242F">
            <w:pPr>
              <w:pStyle w:val="Ttulo3"/>
              <w:jc w:val="both"/>
              <w:outlineLvl w:val="2"/>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551" w:type="dxa"/>
          </w:tcPr>
          <w:p w14:paraId="3A28635E" w14:textId="77777777" w:rsidR="007C242F" w:rsidRDefault="007C242F">
            <w:pPr>
              <w:tabs>
                <w:tab w:val="left" w:pos="1073"/>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4253" w:type="dxa"/>
          </w:tcPr>
          <w:p w14:paraId="3A78F0A7"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5 de mayo: se reabre debate nacional sobre la masacre de Bojayá y el uso de cilindros bomba por las FARC.</w:t>
            </w:r>
          </w:p>
          <w:p w14:paraId="4CB518E6"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5A890E6A"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7 de mayo: cinco militares resultan heridos en Morales, Cauca, tras ataque con drones explosivos atribuido al frente Jaime Martínez.</w:t>
            </w:r>
          </w:p>
          <w:p w14:paraId="56FAD0B3"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6F2534D9"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9 de mayo: Fiscalía judicializa a presuntos integrantes de la estructura Carlos Patiño vinculados con ataques terroristas y carros bomba.</w:t>
            </w:r>
          </w:p>
          <w:p w14:paraId="0169502A" w14:textId="77777777" w:rsidR="007C242F" w:rsidRDefault="007C24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4034FAF4" w14:textId="77777777" w:rsidR="007C242F"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Continúan cuestionamientos por deterioro del orden público y aumento de masacres durante la política de Paz Total.</w:t>
            </w:r>
          </w:p>
        </w:tc>
      </w:tr>
    </w:tbl>
    <w:p w14:paraId="5D04C2D0" w14:textId="77777777" w:rsidR="007C242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Elaboración propia: con datos de INDEPAZ, Línea de tiempo de Sila Vacía, noticias de medios de comunicación oficiales y Ministerio de Defensa.</w:t>
      </w:r>
    </w:p>
    <w:p w14:paraId="1AB27BF5" w14:textId="77777777" w:rsidR="007C242F" w:rsidRDefault="007C242F">
      <w:pPr>
        <w:jc w:val="both"/>
        <w:rPr>
          <w:rFonts w:ascii="Times New Roman" w:eastAsia="Times New Roman" w:hAnsi="Times New Roman" w:cs="Times New Roman"/>
          <w:sz w:val="24"/>
          <w:szCs w:val="24"/>
        </w:rPr>
      </w:pPr>
    </w:p>
    <w:p w14:paraId="4C4A2A0A"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la luz de esta línea de tiempo, se hace evidente la omisión sistemática del Gobierno Nacional frente a los reiterados ataques de los grupos armados ilegales contra la población civil. No solo se acumulan fracasos en los intentos de negociación y múltiples violaciones al cese al fuego, sino que los propios actores armados han manifestado de forma reiterada su decisión de desconocer los acuerdos suscritos y, en muchos casos, su negativa a continuar dialogando con el Estado.</w:t>
      </w:r>
    </w:p>
    <w:p w14:paraId="543B98C6" w14:textId="77777777" w:rsidR="007C242F" w:rsidRDefault="007C242F">
      <w:pPr>
        <w:jc w:val="both"/>
        <w:rPr>
          <w:rFonts w:ascii="Times New Roman" w:eastAsia="Times New Roman" w:hAnsi="Times New Roman" w:cs="Times New Roman"/>
          <w:sz w:val="24"/>
          <w:szCs w:val="24"/>
        </w:rPr>
      </w:pPr>
    </w:p>
    <w:p w14:paraId="0D60C74A"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 más alarmante es que, lejos de ejercer autoridad, el Gobierno ha facilitado el fortalecimiento de estos grupos mediante la creación de nuevos frentes armados, el otorgamiento de resoluciones de suspensión de órdenes de captura, la designación de “gestores de paz” y el reconocimiento político de organizaciones claramente delincuenciales. A esto se suma una medida aún más preocupante: la instrucción de frenar las operaciones de la Fuerza Pública, debilitando la capacidad del Estado para enfrentar el crimen organizado.</w:t>
      </w:r>
    </w:p>
    <w:p w14:paraId="54CA0FD0" w14:textId="77777777" w:rsidR="007C242F" w:rsidRDefault="007C242F">
      <w:pPr>
        <w:jc w:val="both"/>
        <w:rPr>
          <w:rFonts w:ascii="Times New Roman" w:eastAsia="Times New Roman" w:hAnsi="Times New Roman" w:cs="Times New Roman"/>
          <w:sz w:val="24"/>
          <w:szCs w:val="24"/>
        </w:rPr>
      </w:pPr>
    </w:p>
    <w:p w14:paraId="66CD85A9"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Dichas instrucciones han sido formalizadas a través del Decreto 1117 de 2023 y el Decreto 039 de 2024, mediante los cuales se ordena la suspensión de operaciones militares ofensivas a partir del 6 de julio de 2023, bajo el argumento de evitar incidentes que pongan en riesgo el cumplimiento del cese al fuego bilateral. Estas directrices abarcan también misiones médicas, acciones de salud pública y humanitarias, así como la atención de enfermos y heridos de la población civil.</w:t>
      </w:r>
    </w:p>
    <w:p w14:paraId="758DA232" w14:textId="77777777" w:rsidR="007C242F" w:rsidRDefault="007C242F">
      <w:pPr>
        <w:jc w:val="both"/>
        <w:rPr>
          <w:rFonts w:ascii="Times New Roman" w:eastAsia="Times New Roman" w:hAnsi="Times New Roman" w:cs="Times New Roman"/>
          <w:sz w:val="24"/>
          <w:szCs w:val="24"/>
        </w:rPr>
      </w:pPr>
    </w:p>
    <w:p w14:paraId="55945764"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Actualmente, se encuentra vigente el Decreto 448 de 2025, el cual mantiene la suspensión de operaciones militares, ofensivas y especiales por parte de la Policía Nacional contra el denominado Estado Mayor Central, cobijando a varios de sus bloques. Esta política ha tenido como efecto directo la consolidación de estos actores armados en diversos territorios, en detrimento de la seguridad ciudadana y del orden constitucional.</w:t>
      </w:r>
    </w:p>
    <w:p w14:paraId="36E98181" w14:textId="77777777" w:rsidR="007C242F" w:rsidRDefault="007C242F">
      <w:pPr>
        <w:jc w:val="both"/>
        <w:rPr>
          <w:rFonts w:ascii="Times New Roman" w:eastAsia="Times New Roman" w:hAnsi="Times New Roman" w:cs="Times New Roman"/>
          <w:sz w:val="24"/>
          <w:szCs w:val="24"/>
        </w:rPr>
      </w:pPr>
    </w:p>
    <w:p w14:paraId="3719F41A"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grupo armado ilegal conocido como Estado Mayor Central ha venido incumpliendo sistemáticamente los ceses al fuego desde 2022, como lo evidencia la cronología de eventos. Ha desconocido los acuerdos pactados y, de </w:t>
      </w:r>
    </w:p>
    <w:p w14:paraId="79B652CC"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forma paralela, ha avanzado en la reorganización de frentes y expansión territorial.</w:t>
      </w:r>
    </w:p>
    <w:p w14:paraId="629355A4" w14:textId="77777777" w:rsidR="007C242F" w:rsidRDefault="007C242F">
      <w:pPr>
        <w:jc w:val="both"/>
        <w:rPr>
          <w:rFonts w:ascii="Times New Roman" w:eastAsia="Times New Roman" w:hAnsi="Times New Roman" w:cs="Times New Roman"/>
          <w:sz w:val="24"/>
          <w:szCs w:val="24"/>
        </w:rPr>
      </w:pPr>
    </w:p>
    <w:p w14:paraId="4949663E" w14:textId="77777777" w:rsidR="007C242F" w:rsidRDefault="007C242F">
      <w:pPr>
        <w:jc w:val="both"/>
        <w:rPr>
          <w:rFonts w:ascii="Times New Roman" w:eastAsia="Times New Roman" w:hAnsi="Times New Roman" w:cs="Times New Roman"/>
          <w:sz w:val="24"/>
          <w:szCs w:val="24"/>
        </w:rPr>
      </w:pPr>
    </w:p>
    <w:p w14:paraId="1FE4476B"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pesar de estas violaciones reiteradas, el Gobierno Nacional no solo persiste en su política de concesiones, sino que además ha limitado deliberadamente la capacidad operativa de las Fuerzas Militares para enfrentar a estos actores. Mientras tanto, el Ministerio de Defensa se encuentra sin capacidad efectiva para proteger a la Policía Nacional, particularmente ante el “plan pistola” declarado por el Clan del Golfo, una amenaza que sigue cobrando vidas de uniformados en distintas regiones del país.</w:t>
      </w:r>
    </w:p>
    <w:p w14:paraId="1394A71F" w14:textId="77777777" w:rsidR="007C242F" w:rsidRDefault="007C242F">
      <w:pPr>
        <w:jc w:val="both"/>
        <w:rPr>
          <w:rFonts w:ascii="Times New Roman" w:eastAsia="Times New Roman" w:hAnsi="Times New Roman" w:cs="Times New Roman"/>
          <w:sz w:val="24"/>
          <w:szCs w:val="24"/>
        </w:rPr>
      </w:pPr>
    </w:p>
    <w:p w14:paraId="48DBFC2B" w14:textId="77777777" w:rsidR="007C242F" w:rsidRDefault="007C242F">
      <w:pPr>
        <w:jc w:val="both"/>
        <w:rPr>
          <w:rFonts w:ascii="Times New Roman" w:eastAsia="Times New Roman" w:hAnsi="Times New Roman" w:cs="Times New Roman"/>
          <w:sz w:val="24"/>
          <w:szCs w:val="24"/>
        </w:rPr>
      </w:pPr>
    </w:p>
    <w:p w14:paraId="3A65E865"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Esta crítica ha sido expresamente formulada por el Procurador General de la Nación, Gregorio </w:t>
      </w:r>
      <w:proofErr w:type="spellStart"/>
      <w:r>
        <w:rPr>
          <w:rFonts w:ascii="Times New Roman" w:eastAsia="Times New Roman" w:hAnsi="Times New Roman" w:cs="Times New Roman"/>
          <w:sz w:val="24"/>
          <w:szCs w:val="24"/>
        </w:rPr>
        <w:t>Eljach</w:t>
      </w:r>
      <w:proofErr w:type="spellEnd"/>
      <w:r>
        <w:rPr>
          <w:rFonts w:ascii="Times New Roman" w:eastAsia="Times New Roman" w:hAnsi="Times New Roman" w:cs="Times New Roman"/>
          <w:sz w:val="24"/>
          <w:szCs w:val="24"/>
        </w:rPr>
        <w:t>, quien advirtió que las medidas adoptadas por el Ministerio de Defensa son insuficientes para hacer frente a la gravedad del escenario. En este contexto, bajo el actual gobierno, continúan y previsiblemente continuarán  asesinando a nuestros policías, mientras el presidente Gustavo Petro prioriza la convocatoria de movilizaciones sociales por encima del cumplimiento de su deber constitucional de garantizar la seguridad y el orden público.</w:t>
      </w:r>
    </w:p>
    <w:p w14:paraId="72913E4F" w14:textId="77777777" w:rsidR="007C242F" w:rsidRDefault="007C242F">
      <w:pPr>
        <w:jc w:val="both"/>
        <w:rPr>
          <w:rFonts w:ascii="Times New Roman" w:eastAsia="Times New Roman" w:hAnsi="Times New Roman" w:cs="Times New Roman"/>
          <w:sz w:val="24"/>
          <w:szCs w:val="24"/>
        </w:rPr>
      </w:pPr>
    </w:p>
    <w:p w14:paraId="491051D0"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Desde el inicio de su mandato, el Presidente ha impulsado una agenda orientada al debilitamiento progresivo de la Fuerza Pública. El llamado “cambio” comenzó con la salida masiva de generales de todas las fuerzas, seguida de decisiones como la suspensión de bombardeos contra campamentos de grupos armados, la interrupción de la erradicación forzada de cultivos ilícitos, y una serie de ceses al fuego fallidos que han favorecido el fortalecimiento de las estructuras criminales</w:t>
      </w:r>
    </w:p>
    <w:p w14:paraId="121F6ECF" w14:textId="77777777" w:rsidR="007C242F" w:rsidRDefault="007C242F">
      <w:pPr>
        <w:jc w:val="both"/>
        <w:rPr>
          <w:rFonts w:ascii="Times New Roman" w:eastAsia="Times New Roman" w:hAnsi="Times New Roman" w:cs="Times New Roman"/>
          <w:sz w:val="24"/>
          <w:szCs w:val="24"/>
        </w:rPr>
      </w:pPr>
    </w:p>
    <w:p w14:paraId="5AEAB14C"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Según investigaciones de Juan Miguel Hernández Bonilla, en el medio de comunicación el PAIS en enero de 2025, menciona que: “</w:t>
      </w:r>
      <w:r>
        <w:rPr>
          <w:rFonts w:ascii="Times New Roman" w:eastAsia="Times New Roman" w:hAnsi="Times New Roman" w:cs="Times New Roman"/>
          <w:i/>
          <w:iCs/>
          <w:sz w:val="24"/>
          <w:szCs w:val="24"/>
        </w:rPr>
        <w:t>En 2021 había 203.000 integrantes en el ejército, y en 2023 el número se redujo a 172.000”</w:t>
      </w:r>
      <w:r>
        <w:rPr>
          <w:rFonts w:ascii="Times New Roman" w:eastAsia="Times New Roman" w:hAnsi="Times New Roman" w:cs="Times New Roman"/>
          <w:sz w:val="24"/>
          <w:szCs w:val="24"/>
        </w:rPr>
        <w:t>,  y el pie de fuerza no ha sido el único debilitamiento, recorte de presupuesto al Ministerio de Defensa, afectando la capacidad aérea, “</w:t>
      </w:r>
      <w:r>
        <w:rPr>
          <w:rFonts w:ascii="Times New Roman" w:eastAsia="Times New Roman" w:hAnsi="Times New Roman" w:cs="Times New Roman"/>
          <w:i/>
          <w:iCs/>
          <w:sz w:val="24"/>
          <w:szCs w:val="24"/>
        </w:rPr>
        <w:t>Cerca del 60 % de la flota aérea colombiana está hoy en el suelo. No puede volar o porque requiere mantenimiento, o porque está en una fase de obsolescencia, o porque no hay gasolina</w:t>
      </w:r>
      <w:r>
        <w:rPr>
          <w:rFonts w:ascii="Times New Roman" w:eastAsia="Times New Roman" w:hAnsi="Times New Roman" w:cs="Times New Roman"/>
          <w:sz w:val="24"/>
          <w:szCs w:val="24"/>
        </w:rPr>
        <w:t>”. Pero, además, hoy el ejército en el Catatumbo se dedica a recoger cuerpos, a evacuar a civiles, pero no logra controlar el territorio e imponer orden público.</w:t>
      </w:r>
    </w:p>
    <w:p w14:paraId="78A08FFD" w14:textId="77777777" w:rsidR="007C242F" w:rsidRDefault="007C242F">
      <w:pPr>
        <w:jc w:val="both"/>
        <w:rPr>
          <w:rFonts w:ascii="Times New Roman" w:eastAsia="Times New Roman" w:hAnsi="Times New Roman" w:cs="Times New Roman"/>
          <w:sz w:val="24"/>
          <w:szCs w:val="24"/>
        </w:rPr>
      </w:pPr>
    </w:p>
    <w:p w14:paraId="42C0E5E1"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Existe un debilitamiento sistemático de la Fuerza Pública y un fortalecimiento para  los grupos armados, como se puede evidenciar, en la nota de  prensa del 23 de enero de 2024</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de la Defensoría del Pueblo, con base en el monitoreo del Sistema de Alertas Tempranas, Carlos Camargo afirma que: “</w:t>
      </w:r>
      <w:r>
        <w:rPr>
          <w:rFonts w:ascii="Times New Roman" w:eastAsia="Times New Roman" w:hAnsi="Times New Roman" w:cs="Times New Roman"/>
          <w:b/>
          <w:bCs/>
          <w:i/>
          <w:iCs/>
          <w:sz w:val="24"/>
          <w:szCs w:val="24"/>
        </w:rPr>
        <w:t xml:space="preserve">Las autodefensas </w:t>
      </w:r>
      <w:proofErr w:type="spellStart"/>
      <w:r>
        <w:rPr>
          <w:rFonts w:ascii="Times New Roman" w:eastAsia="Times New Roman" w:hAnsi="Times New Roman" w:cs="Times New Roman"/>
          <w:b/>
          <w:bCs/>
          <w:i/>
          <w:iCs/>
          <w:sz w:val="24"/>
          <w:szCs w:val="24"/>
        </w:rPr>
        <w:t>Gaitanistas</w:t>
      </w:r>
      <w:proofErr w:type="spellEnd"/>
      <w:r>
        <w:rPr>
          <w:rFonts w:ascii="Times New Roman" w:eastAsia="Times New Roman" w:hAnsi="Times New Roman" w:cs="Times New Roman"/>
          <w:b/>
          <w:bCs/>
          <w:i/>
          <w:iCs/>
          <w:sz w:val="24"/>
          <w:szCs w:val="24"/>
        </w:rPr>
        <w:t xml:space="preserve"> de Colombia -AUC </w:t>
      </w:r>
      <w:r>
        <w:rPr>
          <w:rFonts w:ascii="Times New Roman" w:eastAsia="Times New Roman" w:hAnsi="Times New Roman" w:cs="Times New Roman"/>
          <w:i/>
          <w:iCs/>
          <w:sz w:val="24"/>
          <w:szCs w:val="24"/>
        </w:rPr>
        <w:t>pasaron de 253 Municipios en 2022 a 392 municipios de 24 departamentos en 2023</w:t>
      </w:r>
      <w:r>
        <w:rPr>
          <w:rFonts w:ascii="Times New Roman" w:eastAsia="Times New Roman" w:hAnsi="Times New Roman" w:cs="Times New Roman"/>
          <w:b/>
          <w:bCs/>
          <w:i/>
          <w:iCs/>
          <w:sz w:val="24"/>
          <w:szCs w:val="24"/>
        </w:rPr>
        <w:t xml:space="preserve">;  El Ejército de Liberación Nacional- ELN </w:t>
      </w:r>
      <w:r>
        <w:rPr>
          <w:rFonts w:ascii="Times New Roman" w:eastAsia="Times New Roman" w:hAnsi="Times New Roman" w:cs="Times New Roman"/>
          <w:i/>
          <w:iCs/>
          <w:sz w:val="24"/>
          <w:szCs w:val="24"/>
        </w:rPr>
        <w:t xml:space="preserve">tenía injerencia en 189 municipios en 2022 y en 2023 se extendió a 231 en 19 departamentos; </w:t>
      </w:r>
      <w:r>
        <w:rPr>
          <w:rFonts w:ascii="Times New Roman" w:eastAsia="Times New Roman" w:hAnsi="Times New Roman" w:cs="Times New Roman"/>
          <w:b/>
          <w:bCs/>
          <w:i/>
          <w:iCs/>
          <w:sz w:val="24"/>
          <w:szCs w:val="24"/>
        </w:rPr>
        <w:t xml:space="preserve">El Estado Mayor Central – EMC </w:t>
      </w:r>
      <w:r>
        <w:rPr>
          <w:rFonts w:ascii="Times New Roman" w:eastAsia="Times New Roman" w:hAnsi="Times New Roman" w:cs="Times New Roman"/>
          <w:i/>
          <w:iCs/>
          <w:sz w:val="24"/>
          <w:szCs w:val="24"/>
        </w:rPr>
        <w:t>pasó de 230 municipios en 2022 a 299 en 19 departamentos en 2023, al igual que</w:t>
      </w:r>
      <w:r>
        <w:rPr>
          <w:rFonts w:ascii="Times New Roman" w:eastAsia="Times New Roman" w:hAnsi="Times New Roman" w:cs="Times New Roman"/>
          <w:b/>
          <w:bCs/>
          <w:i/>
          <w:iCs/>
          <w:sz w:val="24"/>
          <w:szCs w:val="24"/>
        </w:rPr>
        <w:t xml:space="preserve"> LA SEGUNDA MARQUETALIA </w:t>
      </w:r>
      <w:r>
        <w:rPr>
          <w:rFonts w:ascii="Times New Roman" w:eastAsia="Times New Roman" w:hAnsi="Times New Roman" w:cs="Times New Roman"/>
          <w:i/>
          <w:iCs/>
          <w:sz w:val="24"/>
          <w:szCs w:val="24"/>
        </w:rPr>
        <w:t>con 299 en 15 departamentos en 2023. El crimen organizado paso de tener presencia en 141 municipios a tener 184 municipios en 22 departamentos en 2023.</w:t>
      </w:r>
      <w:r>
        <w:rPr>
          <w:rFonts w:ascii="Times New Roman" w:eastAsia="Times New Roman" w:hAnsi="Times New Roman" w:cs="Times New Roman"/>
          <w:sz w:val="24"/>
          <w:szCs w:val="24"/>
        </w:rPr>
        <w:t>”</w:t>
      </w:r>
    </w:p>
    <w:p w14:paraId="7D3FC413" w14:textId="77777777" w:rsidR="007C242F" w:rsidRDefault="007C242F">
      <w:pPr>
        <w:jc w:val="both"/>
        <w:rPr>
          <w:rFonts w:ascii="Times New Roman" w:eastAsia="Times New Roman" w:hAnsi="Times New Roman" w:cs="Times New Roman"/>
          <w:sz w:val="24"/>
          <w:szCs w:val="24"/>
        </w:rPr>
      </w:pPr>
    </w:p>
    <w:p w14:paraId="1251F6DB" w14:textId="77777777" w:rsidR="007C242F"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En el mismo sentido menciona Juan Miguel Hernández Bonilla, en el medio de comunicación el PAIS en enero de 2025: “</w:t>
      </w:r>
      <w:r>
        <w:rPr>
          <w:rFonts w:ascii="Times New Roman" w:eastAsia="Times New Roman" w:hAnsi="Times New Roman" w:cs="Times New Roman"/>
          <w:i/>
          <w:iCs/>
          <w:sz w:val="24"/>
          <w:szCs w:val="24"/>
        </w:rPr>
        <w:t xml:space="preserve">En contraste, en 2023, según el informe, había aproximadamente 18.334 hombres en armas de todos los grupos ilegales, una cifra que para 2024 era de 21.201, un </w:t>
      </w:r>
      <w:r>
        <w:rPr>
          <w:rFonts w:ascii="Times New Roman" w:eastAsia="Times New Roman" w:hAnsi="Times New Roman" w:cs="Times New Roman"/>
          <w:b/>
          <w:bCs/>
          <w:i/>
          <w:iCs/>
          <w:sz w:val="24"/>
          <w:szCs w:val="24"/>
        </w:rPr>
        <w:t>crecimiento del 14%.</w:t>
      </w:r>
      <w:r>
        <w:rPr>
          <w:rFonts w:ascii="Times New Roman" w:eastAsia="Times New Roman" w:hAnsi="Times New Roman" w:cs="Times New Roman"/>
          <w:i/>
          <w:iCs/>
          <w:sz w:val="24"/>
          <w:szCs w:val="24"/>
        </w:rPr>
        <w:t xml:space="preserve"> EL ELN, en particular, pasó de 5.800 guerrilleros en 2022 a 6.300 en 2024</w:t>
      </w:r>
      <w:r>
        <w:rPr>
          <w:rFonts w:ascii="Times New Roman" w:eastAsia="Times New Roman" w:hAnsi="Times New Roman" w:cs="Times New Roman"/>
          <w:sz w:val="24"/>
          <w:szCs w:val="24"/>
        </w:rPr>
        <w:t xml:space="preserve">”. De igual manera, </w:t>
      </w:r>
      <w:r>
        <w:rPr>
          <w:rFonts w:ascii="Times New Roman" w:eastAsia="Times New Roman" w:hAnsi="Times New Roman" w:cs="Times New Roman"/>
          <w:b/>
          <w:bCs/>
          <w:sz w:val="24"/>
          <w:szCs w:val="24"/>
        </w:rPr>
        <w:t xml:space="preserve">Human </w:t>
      </w:r>
      <w:proofErr w:type="spellStart"/>
      <w:r>
        <w:rPr>
          <w:rFonts w:ascii="Times New Roman" w:eastAsia="Times New Roman" w:hAnsi="Times New Roman" w:cs="Times New Roman"/>
          <w:b/>
          <w:bCs/>
          <w:sz w:val="24"/>
          <w:szCs w:val="24"/>
        </w:rPr>
        <w:t>Rights</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Watch</w:t>
      </w:r>
      <w:proofErr w:type="spellEnd"/>
      <w:r>
        <w:rPr>
          <w:rFonts w:ascii="Times New Roman" w:eastAsia="Times New Roman" w:hAnsi="Times New Roman" w:cs="Times New Roman"/>
          <w:b/>
          <w:bCs/>
          <w:sz w:val="24"/>
          <w:szCs w:val="24"/>
        </w:rPr>
        <w:t xml:space="preserve"> (HRW),</w:t>
      </w:r>
      <w:r>
        <w:rPr>
          <w:rFonts w:ascii="Times New Roman" w:eastAsia="Times New Roman" w:hAnsi="Times New Roman" w:cs="Times New Roman"/>
          <w:sz w:val="24"/>
          <w:szCs w:val="24"/>
        </w:rPr>
        <w:t xml:space="preserve"> denuncio que: “</w:t>
      </w:r>
      <w:r>
        <w:rPr>
          <w:rFonts w:ascii="Times New Roman" w:eastAsia="Times New Roman" w:hAnsi="Times New Roman" w:cs="Times New Roman"/>
          <w:i/>
          <w:iCs/>
          <w:sz w:val="24"/>
          <w:szCs w:val="24"/>
        </w:rPr>
        <w:t>Los grupos armados ilegales han expandido su poder y control territorial en Colombia, aumentando las violaciones contra la población civil, mientras que la política de paz del presidente Gustavo Petro muestra resultados limitados para frenar los abusos”… “HRW denunció que para mediados del 2024 el Clan del Golfo aumentó su expansión de un 55% en comparación con el 2022, el ELN en un 23% y la Segunda Marquetalia y el Estado Mayor Central, las dos facciones de las FARC, en un 30%, respectivamente”.</w:t>
      </w:r>
    </w:p>
    <w:p w14:paraId="6D77DCE3" w14:textId="77777777" w:rsidR="007C242F" w:rsidRDefault="007C242F">
      <w:pPr>
        <w:jc w:val="both"/>
        <w:rPr>
          <w:rFonts w:ascii="Times New Roman" w:eastAsia="Times New Roman" w:hAnsi="Times New Roman" w:cs="Times New Roman"/>
          <w:i/>
          <w:iCs/>
          <w:sz w:val="24"/>
          <w:szCs w:val="24"/>
        </w:rPr>
      </w:pPr>
    </w:p>
    <w:p w14:paraId="2A61EC8C"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coherencia esto, la Defensora del Pueblo menciono que: “</w:t>
      </w:r>
      <w:r>
        <w:rPr>
          <w:rFonts w:ascii="Times New Roman" w:eastAsia="Times New Roman" w:hAnsi="Times New Roman" w:cs="Times New Roman"/>
          <w:i/>
          <w:iCs/>
          <w:sz w:val="24"/>
          <w:szCs w:val="24"/>
        </w:rPr>
        <w:t>La situación de violencia en Colombia es crítica, con un 71% de los municipios bajo Alertas Tempranas debido a la presencia de grupos armados. Estas alertas, emitidas por la Defensoría, reflejan la expansión territorial y la fragmentación de estos grupos, como el Clan del Golfo en el norte del país</w:t>
      </w:r>
      <w:r>
        <w:rPr>
          <w:rFonts w:ascii="Times New Roman" w:eastAsia="Times New Roman" w:hAnsi="Times New Roman" w:cs="Times New Roman"/>
          <w:sz w:val="24"/>
          <w:szCs w:val="24"/>
        </w:rPr>
        <w:t>”. Lo que deja totalmente claro, que en Colombia los grupos armados tienen prebendas por parte del gobierno nacional y las fuerzas militares tienen prohibiciones.</w:t>
      </w:r>
    </w:p>
    <w:p w14:paraId="09BC88E9" w14:textId="77777777" w:rsidR="007C242F" w:rsidRDefault="007C242F">
      <w:pPr>
        <w:jc w:val="both"/>
        <w:rPr>
          <w:rFonts w:ascii="Times New Roman" w:eastAsia="Times New Roman" w:hAnsi="Times New Roman" w:cs="Times New Roman"/>
          <w:sz w:val="24"/>
          <w:szCs w:val="24"/>
        </w:rPr>
      </w:pPr>
    </w:p>
    <w:p w14:paraId="20DD0227"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 único que ha conseguido la denominada “paz total” es el fortalecimiento de las estructuras terroristas: mayor capacidad financiera, incremento en el reclutamiento, adquisición de armamento de guerra y control efectivo del territorio, mientras las instituciones del Estado se repliegan y la ciudadanía queda expuesta a la ley del más violento.</w:t>
      </w:r>
    </w:p>
    <w:p w14:paraId="59A84BC9" w14:textId="77777777" w:rsidR="007C242F" w:rsidRDefault="007C242F">
      <w:pPr>
        <w:jc w:val="both"/>
        <w:rPr>
          <w:rFonts w:ascii="Times New Roman" w:eastAsia="Times New Roman" w:hAnsi="Times New Roman" w:cs="Times New Roman"/>
          <w:sz w:val="24"/>
          <w:szCs w:val="24"/>
        </w:rPr>
      </w:pPr>
    </w:p>
    <w:p w14:paraId="28705203"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Pese a esta evidencia, el Gobierno Nacional persiste en su fallida apuesta, presentando un balance alarmante: expansión acelerada de los cultivos ilícitos, consolidación de rutas del narcotráfico y un crecimiento sostenido en el poder económico y bélico de los grupos armados ilegales. Todo esto ocurre en paralelo a un deterioro generalizado de los indicadores de seguridad: las masacres, los homicidios colectivos y los desplazamientos forzados no solo no han disminuido, sino que han aumentado.</w:t>
      </w:r>
    </w:p>
    <w:p w14:paraId="7806F775" w14:textId="77777777" w:rsidR="007C242F" w:rsidRDefault="007C242F">
      <w:pPr>
        <w:jc w:val="both"/>
        <w:rPr>
          <w:rFonts w:ascii="Times New Roman" w:eastAsia="Times New Roman" w:hAnsi="Times New Roman" w:cs="Times New Roman"/>
          <w:sz w:val="24"/>
          <w:szCs w:val="24"/>
        </w:rPr>
      </w:pPr>
    </w:p>
    <w:p w14:paraId="3E503073"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realidad es clara: Colombia enfrenta hoy un paro armado de facto, una profunda ausencia de Estado en vastas regiones del país, y una vulneración sistemática de los derechos fundamentales de millones de ciudadanos.</w:t>
      </w:r>
    </w:p>
    <w:p w14:paraId="255F89AA" w14:textId="77777777" w:rsidR="007C242F" w:rsidRDefault="007C242F">
      <w:pPr>
        <w:jc w:val="both"/>
        <w:rPr>
          <w:rFonts w:ascii="Times New Roman" w:eastAsia="Times New Roman" w:hAnsi="Times New Roman" w:cs="Times New Roman"/>
          <w:sz w:val="24"/>
          <w:szCs w:val="24"/>
          <w:highlight w:val="yellow"/>
        </w:rPr>
      </w:pPr>
    </w:p>
    <w:p w14:paraId="5D310916"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Desde el año 2022 hasta la fecha, esta es la realidad que viven las comunidades más apartadas de la capital: un “cambio” que se traduce en abandono estatal, expansión territorial de los grupos armados ilegales y una creciente inseguridad en las zonas rurales de Colombia. Esta es también la realidad que enfrentan diariamente los integrantes de la Fuerza Pública, víctimas de una política que los expone, los desprotege y limita su capacidad de acción, mientras el ELN —entre otros actores armados— continúa ganando poder y legitimidad a través de un proceso de paz sin condiciones ni resultados concretos:</w:t>
      </w:r>
    </w:p>
    <w:p w14:paraId="3D367206" w14:textId="77777777" w:rsidR="007C242F" w:rsidRDefault="007C242F">
      <w:pPr>
        <w:jc w:val="both"/>
        <w:rPr>
          <w:rFonts w:ascii="Times New Roman" w:eastAsia="Times New Roman" w:hAnsi="Times New Roman" w:cs="Times New Roman"/>
          <w:sz w:val="24"/>
          <w:szCs w:val="24"/>
        </w:rPr>
      </w:pPr>
    </w:p>
    <w:p w14:paraId="6CC132A2" w14:textId="77777777" w:rsidR="007C242F" w:rsidRDefault="00000000">
      <w:pPr>
        <w:numPr>
          <w:ilvl w:val="0"/>
          <w:numId w:val="4"/>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Paro armado del </w:t>
      </w:r>
      <w:r>
        <w:rPr>
          <w:rFonts w:ascii="Times New Roman" w:eastAsia="Times New Roman" w:hAnsi="Times New Roman" w:cs="Times New Roman"/>
          <w:b/>
          <w:bCs/>
          <w:color w:val="000000"/>
          <w:sz w:val="24"/>
          <w:szCs w:val="24"/>
        </w:rPr>
        <w:t>Clan del Golfo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(mayo 5–9 2022):</w:t>
      </w:r>
      <w:r>
        <w:rPr>
          <w:rFonts w:ascii="Times New Roman" w:eastAsia="Times New Roman" w:hAnsi="Times New Roman" w:cs="Times New Roman"/>
          <w:color w:val="000000"/>
          <w:sz w:val="24"/>
          <w:szCs w:val="24"/>
        </w:rPr>
        <w:t xml:space="preserve"> Afectó al menos 141 municipios en 11 departamentos. Se reportaron 24 homicidios, 187 vehículos afectados y 26 vías bloqueadas.</w:t>
      </w:r>
    </w:p>
    <w:p w14:paraId="4AC0649E" w14:textId="77777777" w:rsidR="007C242F" w:rsidRDefault="00000000">
      <w:pPr>
        <w:numPr>
          <w:ilvl w:val="0"/>
          <w:numId w:val="4"/>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Según la Jurisdicción Especial para la Paz (JEP), se registraron 49 paros armados en 2023. </w:t>
      </w:r>
      <w:r>
        <w:rPr>
          <w:rFonts w:ascii="Times New Roman" w:eastAsia="Times New Roman" w:hAnsi="Times New Roman" w:cs="Times New Roman"/>
          <w:b/>
          <w:bCs/>
          <w:color w:val="000000"/>
          <w:sz w:val="24"/>
          <w:szCs w:val="24"/>
        </w:rPr>
        <w:t>El departamento del Chocó</w:t>
      </w:r>
      <w:r>
        <w:rPr>
          <w:rFonts w:ascii="Times New Roman" w:eastAsia="Times New Roman" w:hAnsi="Times New Roman" w:cs="Times New Roman"/>
          <w:color w:val="000000"/>
          <w:sz w:val="24"/>
          <w:szCs w:val="24"/>
        </w:rPr>
        <w:t xml:space="preserve"> fue el más afectado, con al menos seis paros armados declarados por el </w:t>
      </w:r>
      <w:r>
        <w:rPr>
          <w:rFonts w:ascii="Times New Roman" w:eastAsia="Times New Roman" w:hAnsi="Times New Roman" w:cs="Times New Roman"/>
          <w:b/>
          <w:bCs/>
          <w:color w:val="000000"/>
          <w:sz w:val="24"/>
          <w:szCs w:val="24"/>
        </w:rPr>
        <w:t>Ejército de Liberación Nacional (ELN).</w:t>
      </w:r>
      <w:r>
        <w:rPr>
          <w:rFonts w:ascii="Times New Roman" w:eastAsia="Times New Roman" w:hAnsi="Times New Roman" w:cs="Times New Roman"/>
          <w:color w:val="000000"/>
          <w:sz w:val="24"/>
          <w:szCs w:val="24"/>
        </w:rPr>
        <w:t xml:space="preserve"> Uno de estos eventos, </w:t>
      </w:r>
      <w:r>
        <w:rPr>
          <w:rFonts w:ascii="Times New Roman" w:eastAsia="Times New Roman" w:hAnsi="Times New Roman" w:cs="Times New Roman"/>
          <w:b/>
          <w:bCs/>
          <w:color w:val="000000"/>
          <w:sz w:val="24"/>
          <w:szCs w:val="24"/>
        </w:rPr>
        <w:t>en noviembre de 2023</w:t>
      </w:r>
      <w:r>
        <w:rPr>
          <w:rFonts w:ascii="Times New Roman" w:eastAsia="Times New Roman" w:hAnsi="Times New Roman" w:cs="Times New Roman"/>
          <w:color w:val="000000"/>
          <w:sz w:val="24"/>
          <w:szCs w:val="24"/>
        </w:rPr>
        <w:t>, provocó el desplazamiento de aproximadamente 2.900 personas y afectó a 20 comunidades afro e indígenas</w:t>
      </w:r>
    </w:p>
    <w:p w14:paraId="51E0CD4D" w14:textId="77777777" w:rsidR="007C242F" w:rsidRDefault="00000000">
      <w:pPr>
        <w:numPr>
          <w:ilvl w:val="0"/>
          <w:numId w:val="4"/>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En agosto de 2024, el ELN</w:t>
      </w:r>
      <w:r>
        <w:rPr>
          <w:rFonts w:ascii="Times New Roman" w:eastAsia="Times New Roman" w:hAnsi="Times New Roman" w:cs="Times New Roman"/>
          <w:color w:val="000000"/>
          <w:sz w:val="24"/>
          <w:szCs w:val="24"/>
        </w:rPr>
        <w:t xml:space="preserve"> impuso un paro armado indefinido en el </w:t>
      </w:r>
      <w:r>
        <w:rPr>
          <w:rFonts w:ascii="Times New Roman" w:eastAsia="Times New Roman" w:hAnsi="Times New Roman" w:cs="Times New Roman"/>
          <w:b/>
          <w:bCs/>
          <w:color w:val="000000"/>
          <w:sz w:val="24"/>
          <w:szCs w:val="24"/>
        </w:rPr>
        <w:t>Chocó,</w:t>
      </w:r>
      <w:r>
        <w:rPr>
          <w:rFonts w:ascii="Times New Roman" w:eastAsia="Times New Roman" w:hAnsi="Times New Roman" w:cs="Times New Roman"/>
          <w:color w:val="000000"/>
          <w:sz w:val="24"/>
          <w:szCs w:val="24"/>
        </w:rPr>
        <w:t xml:space="preserve"> confinando a alrededor de 45.000 personas en 85 comunidades étnicas. Este evento interrumpió actividades comerciales y educativas, exacerbando la crisis humanitaria en la región.</w:t>
      </w:r>
    </w:p>
    <w:p w14:paraId="3830DCE3" w14:textId="77777777" w:rsidR="007C242F" w:rsidRDefault="00000000">
      <w:pPr>
        <w:pBdr>
          <w:top w:val="nil"/>
          <w:left w:val="nil"/>
          <w:bottom w:val="nil"/>
          <w:right w:val="nil"/>
          <w:between w:val="nil"/>
        </w:pBdr>
        <w:ind w:left="7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En noviembre de 2024,</w:t>
      </w:r>
      <w:r>
        <w:rPr>
          <w:rFonts w:ascii="Times New Roman" w:eastAsia="Times New Roman" w:hAnsi="Times New Roman" w:cs="Times New Roman"/>
          <w:color w:val="000000"/>
          <w:sz w:val="24"/>
          <w:szCs w:val="24"/>
        </w:rPr>
        <w:t xml:space="preserve"> otro paro armado del ELN afectó a más de 50.000 habitantes en las </w:t>
      </w:r>
      <w:r>
        <w:rPr>
          <w:rFonts w:ascii="Times New Roman" w:eastAsia="Times New Roman" w:hAnsi="Times New Roman" w:cs="Times New Roman"/>
          <w:b/>
          <w:bCs/>
          <w:color w:val="000000"/>
          <w:sz w:val="24"/>
          <w:szCs w:val="24"/>
        </w:rPr>
        <w:t xml:space="preserve">áreas de los ríos San Juan, </w:t>
      </w:r>
      <w:proofErr w:type="spellStart"/>
      <w:r>
        <w:rPr>
          <w:rFonts w:ascii="Times New Roman" w:eastAsia="Times New Roman" w:hAnsi="Times New Roman" w:cs="Times New Roman"/>
          <w:b/>
          <w:bCs/>
          <w:color w:val="000000"/>
          <w:sz w:val="24"/>
          <w:szCs w:val="24"/>
        </w:rPr>
        <w:t>Sipí</w:t>
      </w:r>
      <w:proofErr w:type="spellEnd"/>
      <w:r>
        <w:rPr>
          <w:rFonts w:ascii="Times New Roman" w:eastAsia="Times New Roman" w:hAnsi="Times New Roman" w:cs="Times New Roman"/>
          <w:b/>
          <w:bCs/>
          <w:color w:val="000000"/>
          <w:sz w:val="24"/>
          <w:szCs w:val="24"/>
        </w:rPr>
        <w:t xml:space="preserve"> y Cajón, según informes de la Defensoría del Pueblo</w:t>
      </w:r>
    </w:p>
    <w:p w14:paraId="4596C91B" w14:textId="77777777" w:rsidR="007C242F" w:rsidRDefault="00000000">
      <w:pPr>
        <w:numPr>
          <w:ilvl w:val="0"/>
          <w:numId w:val="4"/>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En febrero de 2025, el ELN declaró un paro armado en el Chocó </w:t>
      </w:r>
      <w:r>
        <w:rPr>
          <w:rFonts w:ascii="Times New Roman" w:eastAsia="Times New Roman" w:hAnsi="Times New Roman" w:cs="Times New Roman"/>
          <w:color w:val="000000"/>
          <w:sz w:val="24"/>
          <w:szCs w:val="24"/>
        </w:rPr>
        <w:t xml:space="preserve">que resultó en el confinamiento de aproximadamente 27.000 personas en municipios como Istmina, Litoral del San Juan, Medio San Juan, </w:t>
      </w:r>
      <w:proofErr w:type="spellStart"/>
      <w:r>
        <w:rPr>
          <w:rFonts w:ascii="Times New Roman" w:eastAsia="Times New Roman" w:hAnsi="Times New Roman" w:cs="Times New Roman"/>
          <w:color w:val="000000"/>
          <w:sz w:val="24"/>
          <w:szCs w:val="24"/>
        </w:rPr>
        <w:t>Sipí</w:t>
      </w:r>
      <w:proofErr w:type="spellEnd"/>
      <w:r>
        <w:rPr>
          <w:rFonts w:ascii="Times New Roman" w:eastAsia="Times New Roman" w:hAnsi="Times New Roman" w:cs="Times New Roman"/>
          <w:color w:val="000000"/>
          <w:sz w:val="24"/>
          <w:szCs w:val="24"/>
        </w:rPr>
        <w:t xml:space="preserve"> y </w:t>
      </w:r>
      <w:proofErr w:type="spellStart"/>
      <w:r>
        <w:rPr>
          <w:rFonts w:ascii="Times New Roman" w:eastAsia="Times New Roman" w:hAnsi="Times New Roman" w:cs="Times New Roman"/>
          <w:color w:val="000000"/>
          <w:sz w:val="24"/>
          <w:szCs w:val="24"/>
        </w:rPr>
        <w:t>Nóvita</w:t>
      </w:r>
      <w:proofErr w:type="spellEnd"/>
      <w:r>
        <w:rPr>
          <w:rFonts w:ascii="Times New Roman" w:eastAsia="Times New Roman" w:hAnsi="Times New Roman" w:cs="Times New Roman"/>
          <w:color w:val="000000"/>
          <w:sz w:val="24"/>
          <w:szCs w:val="24"/>
        </w:rPr>
        <w:t xml:space="preserve">. </w:t>
      </w:r>
    </w:p>
    <w:p w14:paraId="44ADE614" w14:textId="77777777" w:rsidR="007C242F" w:rsidRDefault="00000000">
      <w:pPr>
        <w:pBdr>
          <w:top w:val="nil"/>
          <w:left w:val="nil"/>
          <w:bottom w:val="nil"/>
          <w:right w:val="nil"/>
          <w:between w:val="nil"/>
        </w:pBdr>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En abril de 2025</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otro paro armado del ELN en el Chocó</w:t>
      </w:r>
      <w:r>
        <w:rPr>
          <w:rFonts w:ascii="Times New Roman" w:eastAsia="Times New Roman" w:hAnsi="Times New Roman" w:cs="Times New Roman"/>
          <w:color w:val="000000"/>
          <w:sz w:val="24"/>
          <w:szCs w:val="24"/>
        </w:rPr>
        <w:t xml:space="preserve"> provocó el desplazamiento de miles de personas, afectando significativamente a unas 5.500 familias.</w:t>
      </w:r>
    </w:p>
    <w:p w14:paraId="5E605BDD" w14:textId="77777777" w:rsidR="007C242F" w:rsidRDefault="007C242F">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31B11BE1"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Todo lo anterior demuestra que la Ley 2272 de 2022 ha operado exclusivamente en favor de los intereses de los grupos armados ilegales. Lejos de contribuir a una paz real, ha sido instrumentalizada por estos actores para ganar tiempo, consolidar su poder territorial y evadir responsabilidades penales, amparados en la retórica de los diálogos.</w:t>
      </w:r>
    </w:p>
    <w:p w14:paraId="72876479" w14:textId="77777777" w:rsidR="007C242F" w:rsidRDefault="007C242F">
      <w:pPr>
        <w:jc w:val="both"/>
        <w:rPr>
          <w:rFonts w:ascii="Times New Roman" w:eastAsia="Times New Roman" w:hAnsi="Times New Roman" w:cs="Times New Roman"/>
          <w:sz w:val="24"/>
          <w:szCs w:val="24"/>
          <w:highlight w:val="yellow"/>
        </w:rPr>
      </w:pPr>
    </w:p>
    <w:p w14:paraId="4F2658B6"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Hoy el país está al revés: los grupos armados impone las reglas, el policía se repliega, el campesino huye y el Gobierno guarda silencio. Lo que se presenta como política de paz no es más que impunidad disfrazada de legalidad.</w:t>
      </w:r>
    </w:p>
    <w:p w14:paraId="0D262765" w14:textId="77777777" w:rsidR="007C242F" w:rsidRDefault="007C242F">
      <w:pPr>
        <w:jc w:val="both"/>
        <w:rPr>
          <w:rFonts w:ascii="Times New Roman" w:eastAsia="Times New Roman" w:hAnsi="Times New Roman" w:cs="Times New Roman"/>
          <w:sz w:val="24"/>
          <w:szCs w:val="24"/>
        </w:rPr>
      </w:pPr>
    </w:p>
    <w:p w14:paraId="0BC2090A"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Ministerio de Defensa, a través del observatorio de seguridad, evidencia en su último </w:t>
      </w:r>
      <w:r>
        <w:rPr>
          <w:rFonts w:ascii="Times New Roman" w:eastAsia="Times New Roman" w:hAnsi="Times New Roman" w:cs="Times New Roman"/>
          <w:b/>
          <w:bCs/>
          <w:sz w:val="24"/>
          <w:szCs w:val="24"/>
        </w:rPr>
        <w:t>informe de seguimiento de indicadores de seguridad y resultados operacionales de Marzo de 2025</w:t>
      </w:r>
      <w:r>
        <w:rPr>
          <w:rFonts w:ascii="Times New Roman" w:eastAsia="Times New Roman" w:hAnsi="Times New Roman" w:cs="Times New Roman"/>
          <w:sz w:val="24"/>
          <w:szCs w:val="24"/>
        </w:rPr>
        <w:t xml:space="preserve">, lo siguientes datos: </w:t>
      </w:r>
    </w:p>
    <w:p w14:paraId="2DE172B7" w14:textId="77777777" w:rsidR="007C242F" w:rsidRDefault="007C242F">
      <w:pPr>
        <w:jc w:val="both"/>
        <w:rPr>
          <w:rFonts w:ascii="Times New Roman" w:eastAsia="Times New Roman" w:hAnsi="Times New Roman" w:cs="Times New Roman"/>
          <w:sz w:val="24"/>
          <w:szCs w:val="24"/>
        </w:rPr>
      </w:pPr>
    </w:p>
    <w:p w14:paraId="3CFAA528" w14:textId="77777777" w:rsidR="007C242F" w:rsidRDefault="00000000">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Secuestro</w:t>
      </w:r>
      <w:r>
        <w:rPr>
          <w:rFonts w:ascii="Times New Roman" w:eastAsia="Times New Roman" w:hAnsi="Times New Roman" w:cs="Times New Roman"/>
          <w:color w:val="000000"/>
          <w:sz w:val="24"/>
          <w:szCs w:val="24"/>
        </w:rPr>
        <w:t xml:space="preserve">, aumento sustancial pasando de 61 casos en 2021 a 82 casos  a 2022, 117 casos en 2023 y 104 casos en 2024 y 204 en 2025 y 40 en lo que va del 2026 </w:t>
      </w:r>
    </w:p>
    <w:p w14:paraId="769EBEBA" w14:textId="77777777" w:rsidR="007C242F" w:rsidRDefault="00000000">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Trata de personas, </w:t>
      </w:r>
      <w:r>
        <w:rPr>
          <w:rFonts w:ascii="Times New Roman" w:eastAsia="Times New Roman" w:hAnsi="Times New Roman" w:cs="Times New Roman"/>
          <w:color w:val="000000"/>
          <w:sz w:val="24"/>
          <w:szCs w:val="24"/>
        </w:rPr>
        <w:t>353 casos en 2022, 591 casos en 2023, 250 casos en 2024 y 261 en 2024 y 77 casos en lo que va corrido del 2026, pero lo alarmante es que desde hace ocho años, desde 2015 a 2023, se tiene una medición del mismo periodo de enero a marzo y los más altos son de 2023 con 133 casos en el trimestre.</w:t>
      </w:r>
    </w:p>
    <w:p w14:paraId="4307E58C" w14:textId="77777777" w:rsidR="007C242F" w:rsidRDefault="00000000">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Extorsión: </w:t>
      </w:r>
      <w:r>
        <w:rPr>
          <w:rFonts w:ascii="Times New Roman" w:eastAsia="Times New Roman" w:hAnsi="Times New Roman" w:cs="Times New Roman"/>
          <w:color w:val="000000"/>
          <w:sz w:val="24"/>
          <w:szCs w:val="24"/>
        </w:rPr>
        <w:t xml:space="preserve">9.791 casos en 2022, 11.078 casos en 2023, 13.802 casos en 2024 y 13.417 casos en 2025 y 2.914 casos lo que va del 2026, si analizamos 10 años, con medición del trimestre el 2024 y 2025 son los años más altos. </w:t>
      </w:r>
    </w:p>
    <w:p w14:paraId="20FE0EFE" w14:textId="77777777" w:rsidR="007C242F" w:rsidRDefault="00000000">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Terrorismo:</w:t>
      </w:r>
      <w:r>
        <w:rPr>
          <w:rFonts w:ascii="Times New Roman" w:eastAsia="Times New Roman" w:hAnsi="Times New Roman" w:cs="Times New Roman"/>
          <w:color w:val="000000"/>
          <w:sz w:val="24"/>
          <w:szCs w:val="24"/>
        </w:rPr>
        <w:t xml:space="preserve"> este delito tuvo un aumento significativo, siendo en 10 años el 2024 el año más violento con 1.126 casos de terrorismo, en el 2024 tuvo 1.125 casos; en 2025 1398 casos y 314 casos en lo que va del 2026</w:t>
      </w:r>
    </w:p>
    <w:p w14:paraId="4D91E5AA" w14:textId="77777777" w:rsidR="007C242F" w:rsidRDefault="00000000">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Erradicación Manual del Cultivo de coca: </w:t>
      </w:r>
      <w:r>
        <w:rPr>
          <w:rFonts w:ascii="Times New Roman" w:eastAsia="Times New Roman" w:hAnsi="Times New Roman" w:cs="Times New Roman"/>
          <w:color w:val="000000"/>
          <w:sz w:val="24"/>
          <w:szCs w:val="24"/>
        </w:rPr>
        <w:t>en los últimos 10 años, entre el 2019 y el 2020 fueron los años donde la erradicación fue más alta con un pico de 130.147 Hectáreas, sin embargo a partir del 2022, a la fecha ha venido en caída con una erradicación de 9.403 hectáreas en 2024; 8.051 ha en 2025 y 1.832 ha en lo que va del 2026.</w:t>
      </w:r>
    </w:p>
    <w:p w14:paraId="712477DB" w14:textId="77777777" w:rsidR="007C242F" w:rsidRDefault="007C242F">
      <w:pPr>
        <w:jc w:val="both"/>
        <w:rPr>
          <w:rFonts w:ascii="Times New Roman" w:eastAsia="Times New Roman" w:hAnsi="Times New Roman" w:cs="Times New Roman"/>
          <w:sz w:val="24"/>
          <w:szCs w:val="24"/>
        </w:rPr>
      </w:pPr>
    </w:p>
    <w:p w14:paraId="1F17093E" w14:textId="77777777" w:rsidR="007C242F" w:rsidRDefault="007C242F">
      <w:pPr>
        <w:jc w:val="both"/>
        <w:rPr>
          <w:rFonts w:ascii="Times New Roman" w:eastAsia="Times New Roman" w:hAnsi="Times New Roman" w:cs="Times New Roman"/>
          <w:sz w:val="24"/>
          <w:szCs w:val="24"/>
        </w:rPr>
      </w:pPr>
    </w:p>
    <w:p w14:paraId="51CA4C97"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Colombia, los cultivos de coca continúan aumentado, debido a las políticas públicas y de paz total implementadas por el gobierno nacional, Según cifras del Ministerio de Justicia, las Áreas de cultivo de coca para 2022 fue 230.000 hectáreas y en 2023, aumento el 10%, con 253.000 hectáreas, las regiones más afectadas fueron la del pacífico con un aumento del 14% y la Orinoquia con un 21%. Pero lo más alarmante, es la disminución del 70% de 2022 a 20233 en términos de erradicación manual forzoso de cultivos de coca, pasando de 69.974 hectáreas a 20.325 hectáreas en 2023.</w:t>
      </w:r>
    </w:p>
    <w:p w14:paraId="58E9181E" w14:textId="77777777" w:rsidR="007C242F" w:rsidRDefault="007C242F">
      <w:pPr>
        <w:jc w:val="both"/>
        <w:rPr>
          <w:rFonts w:ascii="Times New Roman" w:eastAsia="Times New Roman" w:hAnsi="Times New Roman" w:cs="Times New Roman"/>
          <w:sz w:val="24"/>
          <w:szCs w:val="24"/>
        </w:rPr>
      </w:pPr>
    </w:p>
    <w:p w14:paraId="014F19E2"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Norte de Santander, Putumayo, Nariño y Cauca son los 4 departamentos con más de 30.000 hectáreas; seguido a estos hay 5 departamentos que registran entre 20.000 ha y 5.000 ha de cultivos de coca: Bolívar, Córdoba, Antioquia, Chocó y Caquetá y 10 departamentos mas hoy representan entre 5.000 y 500, para un total de 19 departamentos con presencia de cultivos ilícitos de coca. La producción potencial de cocaína en todo el País aumentó un 53%, lo anterior es muestra de que el país lejos de tener una paz total, un cambio, representa un fracaso para la política de erradicación de cultivos en Colombia. </w:t>
      </w:r>
    </w:p>
    <w:p w14:paraId="52A0A48E" w14:textId="77777777" w:rsidR="007C242F" w:rsidRDefault="007C242F">
      <w:pPr>
        <w:jc w:val="both"/>
        <w:rPr>
          <w:rFonts w:ascii="Times New Roman" w:eastAsia="Times New Roman" w:hAnsi="Times New Roman" w:cs="Times New Roman"/>
          <w:sz w:val="24"/>
          <w:szCs w:val="24"/>
        </w:rPr>
      </w:pPr>
    </w:p>
    <w:p w14:paraId="77D5B0ED"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Finalmente, la Ley 2272 ha permitido que grupos criminales ganen tiempo, fortalezcan su capacidad de fuego y extorsión, y extiendan su dominio territorial bajo el pretexto de estar en diálogos exploratorios. Esta permisividad, revestida de legalidad, ha debilitado el principio de autoridad legítima, socavado la confianza ciudadana en las instituciones y enviado un mensaje de impunidad que desincentiva el sometimiento genuino a la justicia.</w:t>
      </w:r>
    </w:p>
    <w:p w14:paraId="5BF17B7E" w14:textId="77777777" w:rsidR="007C242F" w:rsidRDefault="007C242F">
      <w:pPr>
        <w:jc w:val="both"/>
        <w:rPr>
          <w:rFonts w:ascii="Times New Roman" w:eastAsia="Times New Roman" w:hAnsi="Times New Roman" w:cs="Times New Roman"/>
          <w:sz w:val="24"/>
          <w:szCs w:val="24"/>
        </w:rPr>
      </w:pPr>
    </w:p>
    <w:p w14:paraId="5A1B734E" w14:textId="77777777" w:rsidR="007C242F" w:rsidRDefault="00000000">
      <w:pPr>
        <w:widowControl/>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 tanto, la derogatoria de la Ley 2272 de 2022 se impone como una medida urgente e inaplazable, tal como ha quedado demostrado a lo largo de la presente ponencia. Hoy, 19 departamentos, que representan el 53 % del territorio nacional  registran presencia de cultivos ilícitos. De los 32 departamentos, 24 departamentos, equivalentes al 75 % del territorio evidencian la presencia activa de grupos armados ilegales. Esta expansión territorial y criminal es una consecuencia directa de los efectos nocivos de la mal llamada “paz total”.</w:t>
      </w:r>
    </w:p>
    <w:p w14:paraId="6A234BB4" w14:textId="77777777" w:rsidR="007C242F" w:rsidRDefault="00000000">
      <w:pPr>
        <w:widowControl/>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Como lo he sostenido desde el inicio de mi ejercicio como congresista, el Estado debe recuperar su autoridad mediante una presencia efectiva e integral en todo el territorio nacional. Es urgente corregir el rumbo de una política pública errática, restablecer la ley y diseñar una estrategia de seguridad y justicia que enfrente con decisión y contundencia a las estructuras criminales, en lugar de otorgarles legitimidad política, sin resultados concretos ni beneficios reales para los ciudadanos</w:t>
      </w:r>
    </w:p>
    <w:p w14:paraId="671C2675" w14:textId="77777777" w:rsidR="007C242F" w:rsidRDefault="007C242F">
      <w:pPr>
        <w:jc w:val="both"/>
        <w:rPr>
          <w:rFonts w:ascii="Times New Roman" w:eastAsia="Times New Roman" w:hAnsi="Times New Roman" w:cs="Times New Roman"/>
          <w:sz w:val="24"/>
          <w:szCs w:val="24"/>
        </w:rPr>
      </w:pPr>
    </w:p>
    <w:p w14:paraId="3DFC5030" w14:textId="77777777" w:rsidR="007C242F" w:rsidRDefault="00000000">
      <w:pPr>
        <w:numPr>
          <w:ilvl w:val="0"/>
          <w:numId w:val="7"/>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CONFLICTO DE INTERÉS</w:t>
      </w:r>
    </w:p>
    <w:p w14:paraId="139D1AAE" w14:textId="77777777" w:rsidR="007C242F" w:rsidRDefault="007C242F">
      <w:pPr>
        <w:pBdr>
          <w:top w:val="nil"/>
          <w:left w:val="nil"/>
          <w:bottom w:val="nil"/>
          <w:right w:val="nil"/>
          <w:between w:val="nil"/>
        </w:pBdr>
        <w:jc w:val="both"/>
        <w:rPr>
          <w:rFonts w:ascii="Times New Roman" w:eastAsia="Times New Roman" w:hAnsi="Times New Roman" w:cs="Times New Roman"/>
          <w:b/>
          <w:bCs/>
          <w:color w:val="000000"/>
          <w:sz w:val="24"/>
          <w:szCs w:val="24"/>
        </w:rPr>
      </w:pPr>
    </w:p>
    <w:p w14:paraId="0D154581" w14:textId="77777777" w:rsidR="007C242F"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artículo 291 de la Ley 5ª de 1992 -Reglamento Interno del Congreso, modificado por el artículo 3° de la Ley 2003 de 2019, establece que: “el autor del proyecto y el ponente presentarán en el cuerpo de la exposición de motivos un acápite que describa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 A su turno, el artículo 286 de la norma en comento, modificado por el artículo 1° de la Ley 2003 de 2019, define el conflicto de interés como la “situación donde la discusión o votación de un proyecto de ley o acto legislativo o artículo, pueda resultar en un beneficio particular, actual y directo a favor del congresista”.</w:t>
      </w:r>
    </w:p>
    <w:p w14:paraId="04181380" w14:textId="77777777" w:rsidR="007C242F" w:rsidRDefault="007C242F">
      <w:pPr>
        <w:jc w:val="both"/>
        <w:rPr>
          <w:rFonts w:ascii="Times New Roman" w:eastAsia="Times New Roman" w:hAnsi="Times New Roman" w:cs="Times New Roman"/>
          <w:b/>
          <w:bCs/>
          <w:sz w:val="24"/>
          <w:szCs w:val="24"/>
        </w:rPr>
      </w:pPr>
    </w:p>
    <w:p w14:paraId="2AB0BA5E" w14:textId="77777777" w:rsidR="007C242F" w:rsidRDefault="00000000">
      <w:pPr>
        <w:numPr>
          <w:ilvl w:val="0"/>
          <w:numId w:val="7"/>
        </w:num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IMPACTO FISCAL</w:t>
      </w:r>
    </w:p>
    <w:p w14:paraId="58EA69B6" w14:textId="77777777" w:rsidR="007C242F" w:rsidRDefault="007C242F">
      <w:pPr>
        <w:jc w:val="both"/>
        <w:rPr>
          <w:rFonts w:ascii="Times New Roman" w:eastAsia="Times New Roman" w:hAnsi="Times New Roman" w:cs="Times New Roman"/>
          <w:b/>
          <w:bCs/>
          <w:sz w:val="24"/>
          <w:szCs w:val="24"/>
        </w:rPr>
      </w:pPr>
    </w:p>
    <w:p w14:paraId="33E6427C" w14:textId="77777777" w:rsidR="007C242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cumplimiento de lo establecido en el artículo 7 de la Ley 819 de 2003 “Por la cual se dictan normas orgánicas en materia de presupuesto, responsabilidad y transparencia fiscal y se dictan otras disposiciones”, el cual consagra que se debe incluirse expresamente en la exposición de motivos y en las ponencias los respectivos costos fiscales de las iniciativas y la fuente de ingreso adicional generada para el financiamiento del Proyecto, es importante recalcar que este proyecto no tiene implicaciones fiscales.</w:t>
      </w:r>
    </w:p>
    <w:p w14:paraId="239160F2" w14:textId="77777777" w:rsidR="007C242F" w:rsidRDefault="007C242F">
      <w:pPr>
        <w:jc w:val="both"/>
        <w:rPr>
          <w:rFonts w:ascii="Times New Roman" w:eastAsia="Times New Roman" w:hAnsi="Times New Roman" w:cs="Times New Roman"/>
          <w:b/>
          <w:bCs/>
          <w:sz w:val="24"/>
          <w:szCs w:val="24"/>
        </w:rPr>
      </w:pPr>
    </w:p>
    <w:p w14:paraId="1B40EBD9" w14:textId="77777777" w:rsidR="007C242F" w:rsidRDefault="007C242F">
      <w:pPr>
        <w:jc w:val="both"/>
        <w:rPr>
          <w:rFonts w:ascii="Times New Roman" w:eastAsia="Times New Roman" w:hAnsi="Times New Roman" w:cs="Times New Roman"/>
          <w:b/>
          <w:bCs/>
          <w:sz w:val="24"/>
          <w:szCs w:val="24"/>
        </w:rPr>
      </w:pPr>
    </w:p>
    <w:p w14:paraId="24A4A5B2" w14:textId="77777777" w:rsidR="007C242F" w:rsidRDefault="00000000">
      <w:pPr>
        <w:numPr>
          <w:ilvl w:val="0"/>
          <w:numId w:val="7"/>
        </w:numPr>
        <w:pBdr>
          <w:top w:val="nil"/>
          <w:left w:val="nil"/>
          <w:bottom w:val="nil"/>
          <w:right w:val="nil"/>
          <w:between w:val="nil"/>
        </w:pBd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PLIEGO DE MODIFICACIONES</w:t>
      </w:r>
    </w:p>
    <w:p w14:paraId="5B756A8A" w14:textId="77777777" w:rsidR="007C242F" w:rsidRDefault="007C242F">
      <w:pPr>
        <w:jc w:val="both"/>
        <w:rPr>
          <w:rFonts w:ascii="Times New Roman" w:eastAsia="Times New Roman" w:hAnsi="Times New Roman" w:cs="Times New Roman"/>
          <w:b/>
          <w:bCs/>
          <w:sz w:val="24"/>
          <w:szCs w:val="24"/>
        </w:rPr>
      </w:pPr>
    </w:p>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7C242F" w14:paraId="5C3E3B2D" w14:textId="77777777">
        <w:tc>
          <w:tcPr>
            <w:tcW w:w="2942" w:type="dxa"/>
          </w:tcPr>
          <w:p w14:paraId="428517E9" w14:textId="77777777" w:rsidR="007C242F"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TEXTO RADICADO</w:t>
            </w:r>
          </w:p>
        </w:tc>
        <w:tc>
          <w:tcPr>
            <w:tcW w:w="2943" w:type="dxa"/>
          </w:tcPr>
          <w:p w14:paraId="06F30F14" w14:textId="77777777" w:rsidR="007C242F"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TEXTO PROPUESTO PARA PRIMER DEBATE</w:t>
            </w:r>
          </w:p>
        </w:tc>
        <w:tc>
          <w:tcPr>
            <w:tcW w:w="2943" w:type="dxa"/>
          </w:tcPr>
          <w:p w14:paraId="3596260B" w14:textId="77777777" w:rsidR="007C242F"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OBSERVACIONES</w:t>
            </w:r>
          </w:p>
        </w:tc>
      </w:tr>
      <w:tr w:rsidR="007C242F" w14:paraId="43D17987" w14:textId="77777777">
        <w:tc>
          <w:tcPr>
            <w:tcW w:w="2942" w:type="dxa"/>
          </w:tcPr>
          <w:p w14:paraId="5A711C9D" w14:textId="77777777" w:rsidR="007C242F"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TITULO </w:t>
            </w:r>
            <w:r>
              <w:rPr>
                <w:rFonts w:ascii="Times New Roman" w:eastAsia="Times New Roman" w:hAnsi="Times New Roman" w:cs="Times New Roman"/>
                <w:b/>
                <w:bCs/>
              </w:rPr>
              <w:t xml:space="preserve">“Por medio </w:t>
            </w:r>
            <w:proofErr w:type="spellStart"/>
            <w:r>
              <w:rPr>
                <w:rFonts w:ascii="Times New Roman" w:eastAsia="Times New Roman" w:hAnsi="Times New Roman" w:cs="Times New Roman"/>
                <w:b/>
                <w:bCs/>
              </w:rPr>
              <w:t>de l</w:t>
            </w:r>
            <w:proofErr w:type="spellEnd"/>
            <w:r>
              <w:rPr>
                <w:rFonts w:ascii="Times New Roman" w:eastAsia="Times New Roman" w:hAnsi="Times New Roman" w:cs="Times New Roman"/>
                <w:b/>
                <w:bCs/>
              </w:rPr>
              <w:t xml:space="preserve"> cual se deroga la ley 2272 de 2022 (LEY DE PAZ TOTAL)”</w:t>
            </w:r>
          </w:p>
        </w:tc>
        <w:tc>
          <w:tcPr>
            <w:tcW w:w="2943" w:type="dxa"/>
          </w:tcPr>
          <w:p w14:paraId="4063A91F" w14:textId="77777777" w:rsidR="007C242F"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TITULO </w:t>
            </w:r>
            <w:r>
              <w:rPr>
                <w:rFonts w:ascii="Times New Roman" w:eastAsia="Times New Roman" w:hAnsi="Times New Roman" w:cs="Times New Roman"/>
                <w:b/>
                <w:bCs/>
              </w:rPr>
              <w:t xml:space="preserve">“Por medio </w:t>
            </w:r>
            <w:proofErr w:type="spellStart"/>
            <w:r>
              <w:rPr>
                <w:rFonts w:ascii="Times New Roman" w:eastAsia="Times New Roman" w:hAnsi="Times New Roman" w:cs="Times New Roman"/>
                <w:b/>
                <w:bCs/>
              </w:rPr>
              <w:t>de l</w:t>
            </w:r>
            <w:proofErr w:type="spellEnd"/>
            <w:r>
              <w:rPr>
                <w:rFonts w:ascii="Times New Roman" w:eastAsia="Times New Roman" w:hAnsi="Times New Roman" w:cs="Times New Roman"/>
                <w:b/>
                <w:bCs/>
              </w:rPr>
              <w:t xml:space="preserve"> cual se deroga la ley 2272 de 2022 (LEY DE PAZ TOTAL)”</w:t>
            </w:r>
          </w:p>
        </w:tc>
        <w:tc>
          <w:tcPr>
            <w:tcW w:w="2943" w:type="dxa"/>
          </w:tcPr>
          <w:p w14:paraId="4A5BEE4A" w14:textId="77777777" w:rsidR="007C242F"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Sin modificaciones </w:t>
            </w:r>
          </w:p>
        </w:tc>
      </w:tr>
      <w:tr w:rsidR="007C242F" w14:paraId="6631C714" w14:textId="77777777">
        <w:tc>
          <w:tcPr>
            <w:tcW w:w="2942" w:type="dxa"/>
          </w:tcPr>
          <w:p w14:paraId="5630186B" w14:textId="77777777" w:rsidR="007C242F" w:rsidRDefault="00000000">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Artículo 1. </w:t>
            </w:r>
            <w:r>
              <w:rPr>
                <w:rFonts w:ascii="Times New Roman" w:eastAsia="Times New Roman" w:hAnsi="Times New Roman" w:cs="Times New Roman"/>
                <w:color w:val="000000"/>
                <w:sz w:val="24"/>
                <w:szCs w:val="24"/>
              </w:rPr>
              <w:t xml:space="preserve">Derogatoria. Derogase en su integridad la Ley 2272 del 2022 </w:t>
            </w:r>
            <w:r>
              <w:rPr>
                <w:rFonts w:ascii="Times New Roman" w:eastAsia="Times New Roman" w:hAnsi="Times New Roman" w:cs="Times New Roman"/>
                <w:i/>
                <w:iCs/>
                <w:color w:val="000000"/>
                <w:sz w:val="24"/>
                <w:szCs w:val="24"/>
              </w:rPr>
              <w:t>"Por medio de la cual se modifica, adiciona y prorroga la ley </w:t>
            </w:r>
            <w:hyperlink r:id="rId16" w:anchor="418">
              <w:r>
                <w:rPr>
                  <w:rFonts w:ascii="Times New Roman" w:eastAsia="Times New Roman" w:hAnsi="Times New Roman" w:cs="Times New Roman"/>
                  <w:i/>
                  <w:iCs/>
                  <w:color w:val="000000"/>
                  <w:sz w:val="24"/>
                  <w:szCs w:val="24"/>
                  <w:u w:val="single"/>
                </w:rPr>
                <w:t>418 </w:t>
              </w:r>
            </w:hyperlink>
            <w:r>
              <w:rPr>
                <w:rFonts w:ascii="Times New Roman" w:eastAsia="Times New Roman" w:hAnsi="Times New Roman" w:cs="Times New Roman"/>
                <w:i/>
                <w:iCs/>
                <w:color w:val="000000"/>
                <w:sz w:val="24"/>
                <w:szCs w:val="24"/>
              </w:rPr>
              <w:t>de 1997, prorrogada, modificada y adicionada por las leyes </w:t>
            </w:r>
            <w:hyperlink r:id="rId17" w:anchor="548">
              <w:r>
                <w:rPr>
                  <w:rFonts w:ascii="Times New Roman" w:eastAsia="Times New Roman" w:hAnsi="Times New Roman" w:cs="Times New Roman"/>
                  <w:i/>
                  <w:iCs/>
                  <w:color w:val="000000"/>
                  <w:sz w:val="24"/>
                  <w:szCs w:val="24"/>
                  <w:u w:val="single"/>
                </w:rPr>
                <w:t>548 </w:t>
              </w:r>
            </w:hyperlink>
            <w:r>
              <w:rPr>
                <w:rFonts w:ascii="Times New Roman" w:eastAsia="Times New Roman" w:hAnsi="Times New Roman" w:cs="Times New Roman"/>
                <w:i/>
                <w:iCs/>
                <w:color w:val="000000"/>
                <w:sz w:val="24"/>
                <w:szCs w:val="24"/>
              </w:rPr>
              <w:t>de 1999, </w:t>
            </w:r>
            <w:hyperlink r:id="rId18" w:anchor="782">
              <w:r>
                <w:rPr>
                  <w:rFonts w:ascii="Times New Roman" w:eastAsia="Times New Roman" w:hAnsi="Times New Roman" w:cs="Times New Roman"/>
                  <w:i/>
                  <w:iCs/>
                  <w:color w:val="000000"/>
                  <w:sz w:val="24"/>
                  <w:szCs w:val="24"/>
                  <w:u w:val="single"/>
                </w:rPr>
                <w:t>782 </w:t>
              </w:r>
            </w:hyperlink>
            <w:r>
              <w:rPr>
                <w:rFonts w:ascii="Times New Roman" w:eastAsia="Times New Roman" w:hAnsi="Times New Roman" w:cs="Times New Roman"/>
                <w:i/>
                <w:iCs/>
                <w:color w:val="000000"/>
                <w:sz w:val="24"/>
                <w:szCs w:val="24"/>
              </w:rPr>
              <w:t>de 2002, </w:t>
            </w:r>
            <w:hyperlink r:id="rId19" w:anchor="1106">
              <w:r>
                <w:rPr>
                  <w:rFonts w:ascii="Times New Roman" w:eastAsia="Times New Roman" w:hAnsi="Times New Roman" w:cs="Times New Roman"/>
                  <w:i/>
                  <w:iCs/>
                  <w:color w:val="000000"/>
                  <w:sz w:val="24"/>
                  <w:szCs w:val="24"/>
                  <w:u w:val="single"/>
                </w:rPr>
                <w:t>1106 </w:t>
              </w:r>
            </w:hyperlink>
            <w:r>
              <w:rPr>
                <w:rFonts w:ascii="Times New Roman" w:eastAsia="Times New Roman" w:hAnsi="Times New Roman" w:cs="Times New Roman"/>
                <w:i/>
                <w:iCs/>
                <w:color w:val="000000"/>
                <w:sz w:val="24"/>
                <w:szCs w:val="24"/>
              </w:rPr>
              <w:t>de 2006, </w:t>
            </w:r>
            <w:hyperlink r:id="rId20" w:anchor="1421">
              <w:r>
                <w:rPr>
                  <w:rFonts w:ascii="Times New Roman" w:eastAsia="Times New Roman" w:hAnsi="Times New Roman" w:cs="Times New Roman"/>
                  <w:i/>
                  <w:iCs/>
                  <w:color w:val="000000"/>
                  <w:sz w:val="24"/>
                  <w:szCs w:val="24"/>
                  <w:u w:val="single"/>
                </w:rPr>
                <w:t>1421 </w:t>
              </w:r>
            </w:hyperlink>
            <w:r>
              <w:rPr>
                <w:rFonts w:ascii="Times New Roman" w:eastAsia="Times New Roman" w:hAnsi="Times New Roman" w:cs="Times New Roman"/>
                <w:i/>
                <w:iCs/>
                <w:color w:val="000000"/>
                <w:sz w:val="24"/>
                <w:szCs w:val="24"/>
              </w:rPr>
              <w:t xml:space="preserve">de </w:t>
            </w:r>
            <w:r>
              <w:rPr>
                <w:rFonts w:ascii="Times New Roman" w:eastAsia="Times New Roman" w:hAnsi="Times New Roman" w:cs="Times New Roman"/>
                <w:i/>
                <w:iCs/>
                <w:color w:val="000000"/>
                <w:sz w:val="24"/>
                <w:szCs w:val="24"/>
              </w:rPr>
              <w:lastRenderedPageBreak/>
              <w:t>2010, </w:t>
            </w:r>
            <w:hyperlink r:id="rId21" w:anchor="1738">
              <w:r>
                <w:rPr>
                  <w:rFonts w:ascii="Times New Roman" w:eastAsia="Times New Roman" w:hAnsi="Times New Roman" w:cs="Times New Roman"/>
                  <w:i/>
                  <w:iCs/>
                  <w:color w:val="000000"/>
                  <w:sz w:val="24"/>
                  <w:szCs w:val="24"/>
                  <w:u w:val="single"/>
                </w:rPr>
                <w:t>1738 </w:t>
              </w:r>
            </w:hyperlink>
            <w:r>
              <w:rPr>
                <w:rFonts w:ascii="Times New Roman" w:eastAsia="Times New Roman" w:hAnsi="Times New Roman" w:cs="Times New Roman"/>
                <w:i/>
                <w:iCs/>
                <w:color w:val="000000"/>
                <w:sz w:val="24"/>
                <w:szCs w:val="24"/>
              </w:rPr>
              <w:t>de 2014 y </w:t>
            </w:r>
            <w:hyperlink r:id="rId22" w:anchor="1941">
              <w:r>
                <w:rPr>
                  <w:rFonts w:ascii="Times New Roman" w:eastAsia="Times New Roman" w:hAnsi="Times New Roman" w:cs="Times New Roman"/>
                  <w:i/>
                  <w:iCs/>
                  <w:color w:val="000000"/>
                  <w:sz w:val="24"/>
                  <w:szCs w:val="24"/>
                  <w:u w:val="single"/>
                </w:rPr>
                <w:t>1941 </w:t>
              </w:r>
            </w:hyperlink>
            <w:r>
              <w:rPr>
                <w:rFonts w:ascii="Times New Roman" w:eastAsia="Times New Roman" w:hAnsi="Times New Roman" w:cs="Times New Roman"/>
                <w:i/>
                <w:iCs/>
                <w:color w:val="000000"/>
                <w:sz w:val="24"/>
                <w:szCs w:val="24"/>
              </w:rPr>
              <w:t>de 2018, se define la política de paz de estado, se crea el servicio social para la paz, y se dictan otras disposiciones"</w:t>
            </w:r>
          </w:p>
          <w:p w14:paraId="0E259BB0" w14:textId="77777777" w:rsidR="007C242F" w:rsidRDefault="007C242F">
            <w:pPr>
              <w:jc w:val="both"/>
              <w:rPr>
                <w:rFonts w:ascii="Times New Roman" w:eastAsia="Times New Roman" w:hAnsi="Times New Roman" w:cs="Times New Roman"/>
                <w:b/>
                <w:bCs/>
                <w:sz w:val="24"/>
                <w:szCs w:val="24"/>
              </w:rPr>
            </w:pPr>
          </w:p>
        </w:tc>
        <w:tc>
          <w:tcPr>
            <w:tcW w:w="2943" w:type="dxa"/>
          </w:tcPr>
          <w:p w14:paraId="53D2681B" w14:textId="77777777" w:rsidR="007C242F" w:rsidRDefault="00000000">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Artículo 1. </w:t>
            </w:r>
            <w:r>
              <w:rPr>
                <w:rFonts w:ascii="Times New Roman" w:eastAsia="Times New Roman" w:hAnsi="Times New Roman" w:cs="Times New Roman"/>
                <w:color w:val="000000"/>
                <w:sz w:val="24"/>
                <w:szCs w:val="24"/>
              </w:rPr>
              <w:t xml:space="preserve">Derogatoria. Derogase en su integridad la Ley 2272 del 2022 </w:t>
            </w:r>
            <w:r>
              <w:rPr>
                <w:rFonts w:ascii="Times New Roman" w:eastAsia="Times New Roman" w:hAnsi="Times New Roman" w:cs="Times New Roman"/>
                <w:i/>
                <w:iCs/>
                <w:color w:val="000000"/>
                <w:sz w:val="24"/>
                <w:szCs w:val="24"/>
              </w:rPr>
              <w:t>"Por medio de la cual se modifica, adiciona y prorroga la ley </w:t>
            </w:r>
            <w:hyperlink r:id="rId23" w:anchor="418">
              <w:r>
                <w:rPr>
                  <w:rFonts w:ascii="Times New Roman" w:eastAsia="Times New Roman" w:hAnsi="Times New Roman" w:cs="Times New Roman"/>
                  <w:i/>
                  <w:iCs/>
                  <w:color w:val="000000"/>
                  <w:sz w:val="24"/>
                  <w:szCs w:val="24"/>
                  <w:u w:val="single"/>
                </w:rPr>
                <w:t>418 </w:t>
              </w:r>
            </w:hyperlink>
            <w:r>
              <w:rPr>
                <w:rFonts w:ascii="Times New Roman" w:eastAsia="Times New Roman" w:hAnsi="Times New Roman" w:cs="Times New Roman"/>
                <w:i/>
                <w:iCs/>
                <w:color w:val="000000"/>
                <w:sz w:val="24"/>
                <w:szCs w:val="24"/>
              </w:rPr>
              <w:t>de 1997, prorrogada, modificada y adicionada por las leyes </w:t>
            </w:r>
            <w:hyperlink r:id="rId24" w:anchor="548">
              <w:r>
                <w:rPr>
                  <w:rFonts w:ascii="Times New Roman" w:eastAsia="Times New Roman" w:hAnsi="Times New Roman" w:cs="Times New Roman"/>
                  <w:i/>
                  <w:iCs/>
                  <w:color w:val="000000"/>
                  <w:sz w:val="24"/>
                  <w:szCs w:val="24"/>
                  <w:u w:val="single"/>
                </w:rPr>
                <w:t>548 </w:t>
              </w:r>
            </w:hyperlink>
            <w:r>
              <w:rPr>
                <w:rFonts w:ascii="Times New Roman" w:eastAsia="Times New Roman" w:hAnsi="Times New Roman" w:cs="Times New Roman"/>
                <w:i/>
                <w:iCs/>
                <w:color w:val="000000"/>
                <w:sz w:val="24"/>
                <w:szCs w:val="24"/>
              </w:rPr>
              <w:t>de 1999, </w:t>
            </w:r>
            <w:hyperlink r:id="rId25" w:anchor="782">
              <w:r>
                <w:rPr>
                  <w:rFonts w:ascii="Times New Roman" w:eastAsia="Times New Roman" w:hAnsi="Times New Roman" w:cs="Times New Roman"/>
                  <w:i/>
                  <w:iCs/>
                  <w:color w:val="000000"/>
                  <w:sz w:val="24"/>
                  <w:szCs w:val="24"/>
                  <w:u w:val="single"/>
                </w:rPr>
                <w:t>782 </w:t>
              </w:r>
            </w:hyperlink>
            <w:r>
              <w:rPr>
                <w:rFonts w:ascii="Times New Roman" w:eastAsia="Times New Roman" w:hAnsi="Times New Roman" w:cs="Times New Roman"/>
                <w:i/>
                <w:iCs/>
                <w:color w:val="000000"/>
                <w:sz w:val="24"/>
                <w:szCs w:val="24"/>
              </w:rPr>
              <w:t>de 2002, </w:t>
            </w:r>
            <w:hyperlink r:id="rId26" w:anchor="1106">
              <w:r>
                <w:rPr>
                  <w:rFonts w:ascii="Times New Roman" w:eastAsia="Times New Roman" w:hAnsi="Times New Roman" w:cs="Times New Roman"/>
                  <w:i/>
                  <w:iCs/>
                  <w:color w:val="000000"/>
                  <w:sz w:val="24"/>
                  <w:szCs w:val="24"/>
                  <w:u w:val="single"/>
                </w:rPr>
                <w:t>1106 </w:t>
              </w:r>
            </w:hyperlink>
            <w:r>
              <w:rPr>
                <w:rFonts w:ascii="Times New Roman" w:eastAsia="Times New Roman" w:hAnsi="Times New Roman" w:cs="Times New Roman"/>
                <w:i/>
                <w:iCs/>
                <w:color w:val="000000"/>
                <w:sz w:val="24"/>
                <w:szCs w:val="24"/>
              </w:rPr>
              <w:t>de 2006, </w:t>
            </w:r>
            <w:hyperlink r:id="rId27" w:anchor="1421">
              <w:r>
                <w:rPr>
                  <w:rFonts w:ascii="Times New Roman" w:eastAsia="Times New Roman" w:hAnsi="Times New Roman" w:cs="Times New Roman"/>
                  <w:i/>
                  <w:iCs/>
                  <w:color w:val="000000"/>
                  <w:sz w:val="24"/>
                  <w:szCs w:val="24"/>
                  <w:u w:val="single"/>
                </w:rPr>
                <w:t>1421 </w:t>
              </w:r>
            </w:hyperlink>
            <w:r>
              <w:rPr>
                <w:rFonts w:ascii="Times New Roman" w:eastAsia="Times New Roman" w:hAnsi="Times New Roman" w:cs="Times New Roman"/>
                <w:i/>
                <w:iCs/>
                <w:color w:val="000000"/>
                <w:sz w:val="24"/>
                <w:szCs w:val="24"/>
              </w:rPr>
              <w:t xml:space="preserve">de </w:t>
            </w:r>
            <w:r>
              <w:rPr>
                <w:rFonts w:ascii="Times New Roman" w:eastAsia="Times New Roman" w:hAnsi="Times New Roman" w:cs="Times New Roman"/>
                <w:i/>
                <w:iCs/>
                <w:color w:val="000000"/>
                <w:sz w:val="24"/>
                <w:szCs w:val="24"/>
              </w:rPr>
              <w:lastRenderedPageBreak/>
              <w:t>2010, </w:t>
            </w:r>
            <w:hyperlink r:id="rId28" w:anchor="1738">
              <w:r>
                <w:rPr>
                  <w:rFonts w:ascii="Times New Roman" w:eastAsia="Times New Roman" w:hAnsi="Times New Roman" w:cs="Times New Roman"/>
                  <w:i/>
                  <w:iCs/>
                  <w:color w:val="000000"/>
                  <w:sz w:val="24"/>
                  <w:szCs w:val="24"/>
                  <w:u w:val="single"/>
                </w:rPr>
                <w:t>1738 </w:t>
              </w:r>
            </w:hyperlink>
            <w:r>
              <w:rPr>
                <w:rFonts w:ascii="Times New Roman" w:eastAsia="Times New Roman" w:hAnsi="Times New Roman" w:cs="Times New Roman"/>
                <w:i/>
                <w:iCs/>
                <w:color w:val="000000"/>
                <w:sz w:val="24"/>
                <w:szCs w:val="24"/>
              </w:rPr>
              <w:t>de 2014 y </w:t>
            </w:r>
            <w:hyperlink r:id="rId29" w:anchor="1941">
              <w:r>
                <w:rPr>
                  <w:rFonts w:ascii="Times New Roman" w:eastAsia="Times New Roman" w:hAnsi="Times New Roman" w:cs="Times New Roman"/>
                  <w:i/>
                  <w:iCs/>
                  <w:color w:val="000000"/>
                  <w:sz w:val="24"/>
                  <w:szCs w:val="24"/>
                  <w:u w:val="single"/>
                </w:rPr>
                <w:t>1941 </w:t>
              </w:r>
            </w:hyperlink>
            <w:r>
              <w:rPr>
                <w:rFonts w:ascii="Times New Roman" w:eastAsia="Times New Roman" w:hAnsi="Times New Roman" w:cs="Times New Roman"/>
                <w:i/>
                <w:iCs/>
                <w:color w:val="000000"/>
                <w:sz w:val="24"/>
                <w:szCs w:val="24"/>
              </w:rPr>
              <w:t>de 2018, se define la política de paz de estado, se crea el servicio social para la paz, y se dictan otras disposiciones"</w:t>
            </w:r>
          </w:p>
          <w:p w14:paraId="49F0C45A" w14:textId="77777777" w:rsidR="007C242F" w:rsidRDefault="007C242F">
            <w:pPr>
              <w:jc w:val="both"/>
              <w:rPr>
                <w:rFonts w:ascii="Times New Roman" w:eastAsia="Times New Roman" w:hAnsi="Times New Roman" w:cs="Times New Roman"/>
                <w:b/>
                <w:bCs/>
                <w:sz w:val="24"/>
                <w:szCs w:val="24"/>
              </w:rPr>
            </w:pPr>
          </w:p>
        </w:tc>
        <w:tc>
          <w:tcPr>
            <w:tcW w:w="2943" w:type="dxa"/>
          </w:tcPr>
          <w:p w14:paraId="34A983CB" w14:textId="77777777" w:rsidR="007C242F" w:rsidRDefault="00000000">
            <w:pPr>
              <w:widowControl/>
              <w:pBdr>
                <w:top w:val="nil"/>
                <w:left w:val="nil"/>
                <w:bottom w:val="nil"/>
                <w:right w:val="nil"/>
                <w:between w:val="nil"/>
              </w:pBd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xml:space="preserve">Sin modificaciones </w:t>
            </w:r>
          </w:p>
        </w:tc>
      </w:tr>
      <w:tr w:rsidR="007C242F" w14:paraId="4F960690" w14:textId="77777777">
        <w:tc>
          <w:tcPr>
            <w:tcW w:w="2942" w:type="dxa"/>
          </w:tcPr>
          <w:p w14:paraId="1EAF3D48" w14:textId="77777777" w:rsidR="007C242F" w:rsidRDefault="00000000">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Artículo 2. Vigencia. </w:t>
            </w:r>
            <w:r>
              <w:rPr>
                <w:rFonts w:ascii="Times New Roman" w:eastAsia="Times New Roman" w:hAnsi="Times New Roman" w:cs="Times New Roman"/>
                <w:color w:val="000000"/>
                <w:sz w:val="24"/>
                <w:szCs w:val="24"/>
              </w:rPr>
              <w:t xml:space="preserve">La presente ley rige a partir de su promulgación y deroga todas las normas que le sean contrarias. </w:t>
            </w:r>
          </w:p>
          <w:p w14:paraId="43CEC607" w14:textId="77777777" w:rsidR="007C242F" w:rsidRDefault="007C242F">
            <w:pPr>
              <w:jc w:val="center"/>
              <w:rPr>
                <w:rFonts w:ascii="Times New Roman" w:eastAsia="Times New Roman" w:hAnsi="Times New Roman" w:cs="Times New Roman"/>
                <w:b/>
                <w:bCs/>
                <w:sz w:val="24"/>
                <w:szCs w:val="24"/>
              </w:rPr>
            </w:pPr>
          </w:p>
        </w:tc>
        <w:tc>
          <w:tcPr>
            <w:tcW w:w="2943" w:type="dxa"/>
          </w:tcPr>
          <w:p w14:paraId="6E8FD055" w14:textId="77777777" w:rsidR="007C242F" w:rsidRDefault="00000000">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Artículo 2. Vigencia. </w:t>
            </w:r>
            <w:r>
              <w:rPr>
                <w:rFonts w:ascii="Times New Roman" w:eastAsia="Times New Roman" w:hAnsi="Times New Roman" w:cs="Times New Roman"/>
                <w:color w:val="000000"/>
                <w:sz w:val="24"/>
                <w:szCs w:val="24"/>
              </w:rPr>
              <w:t xml:space="preserve">La presente ley rige a partir de su promulgación y deroga todas las normas que le sean contrarias. </w:t>
            </w:r>
          </w:p>
          <w:p w14:paraId="1E384C42" w14:textId="77777777" w:rsidR="007C242F" w:rsidRDefault="007C242F">
            <w:pPr>
              <w:jc w:val="both"/>
              <w:rPr>
                <w:rFonts w:ascii="Times New Roman" w:eastAsia="Times New Roman" w:hAnsi="Times New Roman" w:cs="Times New Roman"/>
                <w:b/>
                <w:bCs/>
                <w:sz w:val="24"/>
                <w:szCs w:val="24"/>
              </w:rPr>
            </w:pPr>
          </w:p>
        </w:tc>
        <w:tc>
          <w:tcPr>
            <w:tcW w:w="2943" w:type="dxa"/>
          </w:tcPr>
          <w:p w14:paraId="70D251B8" w14:textId="77777777" w:rsidR="007C242F"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Sin modificaciones </w:t>
            </w:r>
          </w:p>
        </w:tc>
      </w:tr>
    </w:tbl>
    <w:p w14:paraId="4986B2C8" w14:textId="77777777" w:rsidR="007C242F" w:rsidRDefault="007C242F">
      <w:pPr>
        <w:jc w:val="both"/>
        <w:rPr>
          <w:rFonts w:ascii="Times New Roman" w:eastAsia="Times New Roman" w:hAnsi="Times New Roman" w:cs="Times New Roman"/>
          <w:b/>
          <w:bCs/>
          <w:sz w:val="24"/>
          <w:szCs w:val="24"/>
        </w:rPr>
      </w:pPr>
    </w:p>
    <w:p w14:paraId="4F856EC8" w14:textId="77777777" w:rsidR="007C242F" w:rsidRDefault="007C242F">
      <w:pPr>
        <w:jc w:val="both"/>
        <w:rPr>
          <w:rFonts w:ascii="Times New Roman" w:eastAsia="Times New Roman" w:hAnsi="Times New Roman" w:cs="Times New Roman"/>
          <w:b/>
          <w:bCs/>
          <w:sz w:val="24"/>
          <w:szCs w:val="24"/>
        </w:rPr>
      </w:pPr>
    </w:p>
    <w:p w14:paraId="4CF7DD7A" w14:textId="77777777" w:rsidR="007C242F" w:rsidRDefault="007C242F">
      <w:pPr>
        <w:jc w:val="both"/>
        <w:rPr>
          <w:rFonts w:ascii="Times New Roman" w:eastAsia="Times New Roman" w:hAnsi="Times New Roman" w:cs="Times New Roman"/>
          <w:b/>
          <w:bCs/>
          <w:sz w:val="24"/>
          <w:szCs w:val="24"/>
        </w:rPr>
      </w:pPr>
    </w:p>
    <w:p w14:paraId="5BF85D99" w14:textId="77777777" w:rsidR="007C242F" w:rsidRDefault="007C242F">
      <w:pPr>
        <w:jc w:val="both"/>
        <w:rPr>
          <w:rFonts w:ascii="Times New Roman" w:eastAsia="Times New Roman" w:hAnsi="Times New Roman" w:cs="Times New Roman"/>
          <w:b/>
          <w:bCs/>
          <w:sz w:val="24"/>
          <w:szCs w:val="24"/>
        </w:rPr>
      </w:pPr>
    </w:p>
    <w:p w14:paraId="622B8CF9" w14:textId="77777777" w:rsidR="007C242F" w:rsidRDefault="007C242F">
      <w:pPr>
        <w:jc w:val="both"/>
        <w:rPr>
          <w:rFonts w:ascii="Times New Roman" w:eastAsia="Times New Roman" w:hAnsi="Times New Roman" w:cs="Times New Roman"/>
          <w:b/>
          <w:bCs/>
          <w:sz w:val="24"/>
          <w:szCs w:val="24"/>
        </w:rPr>
      </w:pPr>
    </w:p>
    <w:p w14:paraId="3BCC16DB" w14:textId="77777777" w:rsidR="007C242F" w:rsidRDefault="007C242F">
      <w:pPr>
        <w:jc w:val="both"/>
        <w:rPr>
          <w:rFonts w:ascii="Times New Roman" w:eastAsia="Times New Roman" w:hAnsi="Times New Roman" w:cs="Times New Roman"/>
          <w:b/>
          <w:bCs/>
          <w:sz w:val="24"/>
          <w:szCs w:val="24"/>
        </w:rPr>
      </w:pPr>
    </w:p>
    <w:p w14:paraId="1F95A6B4" w14:textId="77777777" w:rsidR="007C242F" w:rsidRDefault="007C242F">
      <w:pPr>
        <w:jc w:val="both"/>
        <w:rPr>
          <w:rFonts w:ascii="Times New Roman" w:eastAsia="Times New Roman" w:hAnsi="Times New Roman" w:cs="Times New Roman"/>
          <w:b/>
          <w:bCs/>
          <w:sz w:val="24"/>
          <w:szCs w:val="24"/>
        </w:rPr>
      </w:pPr>
    </w:p>
    <w:p w14:paraId="4B290462" w14:textId="77777777" w:rsidR="007C242F" w:rsidRDefault="00000000">
      <w:pPr>
        <w:rPr>
          <w:rFonts w:ascii="Times New Roman" w:eastAsia="Times New Roman" w:hAnsi="Times New Roman" w:cs="Times New Roman"/>
          <w:b/>
          <w:bCs/>
          <w:sz w:val="24"/>
          <w:szCs w:val="24"/>
        </w:rPr>
      </w:pPr>
      <w:r>
        <w:br w:type="page"/>
      </w:r>
    </w:p>
    <w:p w14:paraId="7F99F7E4" w14:textId="77777777" w:rsidR="007C242F" w:rsidRDefault="007C242F">
      <w:pPr>
        <w:jc w:val="both"/>
        <w:rPr>
          <w:rFonts w:ascii="Times New Roman" w:eastAsia="Times New Roman" w:hAnsi="Times New Roman" w:cs="Times New Roman"/>
          <w:b/>
          <w:bCs/>
          <w:sz w:val="24"/>
          <w:szCs w:val="24"/>
        </w:rPr>
      </w:pPr>
    </w:p>
    <w:p w14:paraId="50C7F34B" w14:textId="77777777" w:rsidR="007C242F" w:rsidRDefault="007C242F">
      <w:pPr>
        <w:jc w:val="center"/>
        <w:rPr>
          <w:rFonts w:ascii="Times New Roman" w:eastAsia="Times New Roman" w:hAnsi="Times New Roman" w:cs="Times New Roman"/>
          <w:b/>
          <w:bCs/>
          <w:sz w:val="24"/>
          <w:szCs w:val="24"/>
        </w:rPr>
      </w:pPr>
    </w:p>
    <w:p w14:paraId="21CD5BB1" w14:textId="77777777" w:rsidR="007C242F" w:rsidRDefault="00000000">
      <w:pPr>
        <w:numPr>
          <w:ilvl w:val="0"/>
          <w:numId w:val="7"/>
        </w:numPr>
        <w:pBdr>
          <w:top w:val="nil"/>
          <w:left w:val="nil"/>
          <w:bottom w:val="nil"/>
          <w:right w:val="nil"/>
          <w:between w:val="nil"/>
        </w:pBd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PROPOSICIÓN</w:t>
      </w:r>
    </w:p>
    <w:p w14:paraId="5E4347CD" w14:textId="77777777" w:rsidR="007C242F" w:rsidRDefault="007C242F">
      <w:pPr>
        <w:pBdr>
          <w:top w:val="nil"/>
          <w:left w:val="nil"/>
          <w:bottom w:val="nil"/>
          <w:right w:val="nil"/>
          <w:between w:val="nil"/>
        </w:pBdr>
        <w:jc w:val="both"/>
        <w:rPr>
          <w:rFonts w:ascii="Times New Roman" w:eastAsia="Times New Roman" w:hAnsi="Times New Roman" w:cs="Times New Roman"/>
          <w:color w:val="000000"/>
          <w:sz w:val="24"/>
          <w:szCs w:val="24"/>
        </w:rPr>
      </w:pPr>
    </w:p>
    <w:p w14:paraId="56266DA5" w14:textId="77777777" w:rsidR="007C242F" w:rsidRDefault="007C242F">
      <w:pPr>
        <w:rPr>
          <w:rFonts w:ascii="Times New Roman" w:eastAsia="Times New Roman" w:hAnsi="Times New Roman" w:cs="Times New Roman"/>
          <w:sz w:val="24"/>
          <w:szCs w:val="24"/>
        </w:rPr>
      </w:pPr>
    </w:p>
    <w:p w14:paraId="1B493B8B" w14:textId="77777777" w:rsidR="007C242F" w:rsidRDefault="00000000">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En virtud de lo expuesto, se presenta </w:t>
      </w:r>
      <w:r>
        <w:rPr>
          <w:rFonts w:ascii="Times New Roman" w:eastAsia="Times New Roman" w:hAnsi="Times New Roman" w:cs="Times New Roman"/>
          <w:b/>
          <w:bCs/>
          <w:sz w:val="24"/>
          <w:szCs w:val="24"/>
        </w:rPr>
        <w:t>PONENCIA POSITIVA, sin modificaciones</w:t>
      </w:r>
      <w:r>
        <w:rPr>
          <w:rFonts w:ascii="Times New Roman" w:eastAsia="Times New Roman" w:hAnsi="Times New Roman" w:cs="Times New Roman"/>
          <w:sz w:val="24"/>
          <w:szCs w:val="24"/>
        </w:rPr>
        <w:t xml:space="preserve"> y se solicita de la manera más respetuosa a la Comisión Primera Constitucional Permanente de la Cámara de Representantes del Congreso de la República, </w:t>
      </w:r>
      <w:r>
        <w:rPr>
          <w:rFonts w:ascii="Times New Roman" w:eastAsia="Times New Roman" w:hAnsi="Times New Roman" w:cs="Times New Roman"/>
          <w:b/>
          <w:bCs/>
          <w:sz w:val="24"/>
          <w:szCs w:val="24"/>
        </w:rPr>
        <w:t>dar primer debate al PROYECTO DE LEY 277 DE 2025 CÁMARA “POR MEDIO DEL CUAL SE DEROGA LA LEY 2272 DE 2022 (LEY DE PAZ TOTAL)” conforme al texto propuesto.</w:t>
      </w:r>
    </w:p>
    <w:p w14:paraId="637E0CD9" w14:textId="77777777" w:rsidR="007C242F" w:rsidRDefault="007C242F">
      <w:pPr>
        <w:jc w:val="both"/>
        <w:rPr>
          <w:rFonts w:ascii="Times New Roman" w:eastAsia="Times New Roman" w:hAnsi="Times New Roman" w:cs="Times New Roman"/>
          <w:sz w:val="24"/>
          <w:szCs w:val="24"/>
        </w:rPr>
      </w:pPr>
    </w:p>
    <w:p w14:paraId="75BFDA5D" w14:textId="77777777" w:rsidR="007C242F" w:rsidRDefault="007C242F">
      <w:pPr>
        <w:jc w:val="both"/>
        <w:rPr>
          <w:rFonts w:ascii="Times New Roman" w:eastAsia="Times New Roman" w:hAnsi="Times New Roman" w:cs="Times New Roman"/>
          <w:sz w:val="24"/>
          <w:szCs w:val="24"/>
        </w:rPr>
      </w:pPr>
    </w:p>
    <w:p w14:paraId="5C291373" w14:textId="77777777" w:rsidR="007C242F" w:rsidRDefault="007C242F">
      <w:pPr>
        <w:jc w:val="both"/>
        <w:rPr>
          <w:rFonts w:ascii="Times New Roman" w:eastAsia="Times New Roman" w:hAnsi="Times New Roman" w:cs="Times New Roman"/>
          <w:sz w:val="24"/>
          <w:szCs w:val="24"/>
        </w:rPr>
      </w:pPr>
    </w:p>
    <w:p w14:paraId="2EDC11BF" w14:textId="77777777" w:rsidR="007C242F" w:rsidRDefault="007C242F">
      <w:pPr>
        <w:jc w:val="both"/>
        <w:rPr>
          <w:rFonts w:ascii="Times New Roman" w:eastAsia="Times New Roman" w:hAnsi="Times New Roman" w:cs="Times New Roman"/>
          <w:sz w:val="24"/>
          <w:szCs w:val="24"/>
        </w:rPr>
      </w:pPr>
    </w:p>
    <w:p w14:paraId="4BA1A69A" w14:textId="77777777" w:rsidR="007C242F" w:rsidRDefault="007C242F">
      <w:pPr>
        <w:rPr>
          <w:rFonts w:ascii="Times New Roman" w:eastAsia="Times New Roman" w:hAnsi="Times New Roman" w:cs="Times New Roman"/>
          <w:b/>
          <w:bCs/>
        </w:rPr>
      </w:pPr>
    </w:p>
    <w:p w14:paraId="13813019" w14:textId="77777777" w:rsidR="007C242F" w:rsidRDefault="007C242F">
      <w:pPr>
        <w:rPr>
          <w:rFonts w:ascii="Times New Roman" w:eastAsia="Times New Roman" w:hAnsi="Times New Roman" w:cs="Times New Roman"/>
          <w:b/>
          <w:bCs/>
          <w:sz w:val="21"/>
          <w:szCs w:val="21"/>
        </w:rPr>
      </w:pPr>
    </w:p>
    <w:p w14:paraId="5E1EF3DD" w14:textId="77777777" w:rsidR="007C242F" w:rsidRDefault="00000000">
      <w:pPr>
        <w:pBdr>
          <w:top w:val="nil"/>
          <w:left w:val="nil"/>
          <w:bottom w:val="nil"/>
          <w:right w:val="nil"/>
          <w:between w:val="nil"/>
        </w:pBdr>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z w:val="21"/>
          <w:szCs w:val="21"/>
        </w:rPr>
        <w:t xml:space="preserve">MIGUEL ABRAHAM POLO </w:t>
      </w:r>
      <w:proofErr w:type="spellStart"/>
      <w:r>
        <w:rPr>
          <w:rFonts w:ascii="Times New Roman" w:eastAsia="Times New Roman" w:hAnsi="Times New Roman" w:cs="Times New Roman"/>
          <w:b/>
          <w:bCs/>
          <w:color w:val="000000"/>
          <w:sz w:val="21"/>
          <w:szCs w:val="21"/>
        </w:rPr>
        <w:t>POLO</w:t>
      </w:r>
      <w:proofErr w:type="spellEnd"/>
      <w:r>
        <w:rPr>
          <w:rFonts w:ascii="Times New Roman" w:eastAsia="Times New Roman" w:hAnsi="Times New Roman" w:cs="Times New Roman"/>
          <w:b/>
          <w:bCs/>
          <w:color w:val="000000"/>
          <w:sz w:val="21"/>
          <w:szCs w:val="21"/>
        </w:rPr>
        <w:t xml:space="preserve">   </w:t>
      </w:r>
      <w:r>
        <w:rPr>
          <w:rFonts w:ascii="Times New Roman" w:eastAsia="Times New Roman" w:hAnsi="Times New Roman" w:cs="Times New Roman"/>
          <w:b/>
          <w:bCs/>
          <w:color w:val="000000"/>
          <w:sz w:val="21"/>
          <w:szCs w:val="21"/>
        </w:rPr>
        <w:tab/>
      </w:r>
      <w:r>
        <w:rPr>
          <w:rFonts w:ascii="Times New Roman" w:eastAsia="Times New Roman" w:hAnsi="Times New Roman" w:cs="Times New Roman"/>
          <w:b/>
          <w:bCs/>
          <w:color w:val="000000"/>
          <w:sz w:val="21"/>
          <w:szCs w:val="21"/>
        </w:rPr>
        <w:tab/>
      </w:r>
      <w:r>
        <w:rPr>
          <w:rFonts w:ascii="Times New Roman" w:eastAsia="Times New Roman" w:hAnsi="Times New Roman" w:cs="Times New Roman"/>
          <w:b/>
          <w:bCs/>
          <w:color w:val="000000"/>
          <w:sz w:val="21"/>
          <w:szCs w:val="21"/>
        </w:rPr>
        <w:tab/>
      </w:r>
      <w:r>
        <w:rPr>
          <w:rFonts w:ascii="Times New Roman" w:eastAsia="Times New Roman" w:hAnsi="Times New Roman" w:cs="Times New Roman"/>
          <w:b/>
          <w:bCs/>
          <w:color w:val="000000"/>
          <w:sz w:val="21"/>
          <w:szCs w:val="21"/>
        </w:rPr>
        <w:tab/>
        <w:t xml:space="preserve"> DELCY ESPERANZA ISAZA BUENAVENTURA,</w:t>
      </w:r>
    </w:p>
    <w:p w14:paraId="647E5BBF" w14:textId="77777777" w:rsidR="007C242F" w:rsidRDefault="00000000">
      <w:pP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 xml:space="preserve">REPRESENTANTE A LA CÁMARA </w:t>
      </w:r>
      <w:r>
        <w:rPr>
          <w:rFonts w:ascii="Times New Roman" w:eastAsia="Times New Roman" w:hAnsi="Times New Roman" w:cs="Times New Roman"/>
          <w:b/>
          <w:bCs/>
          <w:sz w:val="21"/>
          <w:szCs w:val="21"/>
        </w:rPr>
        <w:tab/>
      </w:r>
      <w:r>
        <w:rPr>
          <w:rFonts w:ascii="Times New Roman" w:eastAsia="Times New Roman" w:hAnsi="Times New Roman" w:cs="Times New Roman"/>
          <w:b/>
          <w:bCs/>
          <w:sz w:val="21"/>
          <w:szCs w:val="21"/>
        </w:rPr>
        <w:tab/>
      </w:r>
      <w:r>
        <w:rPr>
          <w:rFonts w:ascii="Times New Roman" w:eastAsia="Times New Roman" w:hAnsi="Times New Roman" w:cs="Times New Roman"/>
          <w:b/>
          <w:bCs/>
          <w:sz w:val="21"/>
          <w:szCs w:val="21"/>
        </w:rPr>
        <w:tab/>
      </w:r>
      <w:r>
        <w:rPr>
          <w:rFonts w:ascii="Times New Roman" w:eastAsia="Times New Roman" w:hAnsi="Times New Roman" w:cs="Times New Roman"/>
          <w:b/>
          <w:bCs/>
          <w:sz w:val="21"/>
          <w:szCs w:val="21"/>
        </w:rPr>
        <w:tab/>
        <w:t>REPRESENTANTE A LA CÁMARA</w:t>
      </w:r>
    </w:p>
    <w:p w14:paraId="5E928EE5" w14:textId="77777777" w:rsidR="007C242F" w:rsidRDefault="007C242F">
      <w:pPr>
        <w:rPr>
          <w:rFonts w:ascii="Times New Roman" w:eastAsia="Times New Roman" w:hAnsi="Times New Roman" w:cs="Times New Roman"/>
          <w:b/>
          <w:bCs/>
          <w:sz w:val="21"/>
          <w:szCs w:val="21"/>
        </w:rPr>
      </w:pPr>
    </w:p>
    <w:p w14:paraId="3780BF3C"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1"/>
          <w:szCs w:val="21"/>
        </w:rPr>
      </w:pPr>
    </w:p>
    <w:p w14:paraId="613524AE"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1"/>
          <w:szCs w:val="21"/>
        </w:rPr>
      </w:pPr>
    </w:p>
    <w:p w14:paraId="4ECD16C7"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1"/>
          <w:szCs w:val="21"/>
        </w:rPr>
      </w:pPr>
    </w:p>
    <w:p w14:paraId="2CEFBBE4"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1"/>
          <w:szCs w:val="21"/>
        </w:rPr>
      </w:pPr>
    </w:p>
    <w:p w14:paraId="0407ED61"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1"/>
          <w:szCs w:val="21"/>
        </w:rPr>
      </w:pPr>
    </w:p>
    <w:p w14:paraId="3F2A43A8" w14:textId="77777777" w:rsidR="007C242F" w:rsidRDefault="00000000">
      <w:pPr>
        <w:pBdr>
          <w:top w:val="nil"/>
          <w:left w:val="nil"/>
          <w:bottom w:val="nil"/>
          <w:right w:val="nil"/>
          <w:between w:val="nil"/>
        </w:pBdr>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z w:val="21"/>
          <w:szCs w:val="21"/>
        </w:rPr>
        <w:t xml:space="preserve">DUVALIER SÁNCHEZ ARANGO                               </w:t>
      </w:r>
      <w:r>
        <w:rPr>
          <w:rFonts w:ascii="Times New Roman" w:eastAsia="Times New Roman" w:hAnsi="Times New Roman" w:cs="Times New Roman"/>
          <w:b/>
          <w:bCs/>
          <w:color w:val="000000"/>
          <w:sz w:val="21"/>
          <w:szCs w:val="21"/>
        </w:rPr>
        <w:tab/>
      </w:r>
      <w:r>
        <w:rPr>
          <w:rFonts w:ascii="Times New Roman" w:eastAsia="Times New Roman" w:hAnsi="Times New Roman" w:cs="Times New Roman"/>
          <w:b/>
          <w:bCs/>
          <w:color w:val="000000"/>
          <w:sz w:val="21"/>
          <w:szCs w:val="21"/>
        </w:rPr>
        <w:tab/>
        <w:t xml:space="preserve"> JAMES HERMENEGILDO MOSQUERA TORRES,</w:t>
      </w:r>
    </w:p>
    <w:p w14:paraId="53725E52" w14:textId="77777777" w:rsidR="007C242F" w:rsidRDefault="00000000">
      <w:pP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 xml:space="preserve">REPRESENTANTE A LA CÁMARA </w:t>
      </w:r>
      <w:r>
        <w:rPr>
          <w:rFonts w:ascii="Times New Roman" w:eastAsia="Times New Roman" w:hAnsi="Times New Roman" w:cs="Times New Roman"/>
          <w:b/>
          <w:bCs/>
          <w:sz w:val="21"/>
          <w:szCs w:val="21"/>
        </w:rPr>
        <w:tab/>
      </w:r>
      <w:r>
        <w:rPr>
          <w:rFonts w:ascii="Times New Roman" w:eastAsia="Times New Roman" w:hAnsi="Times New Roman" w:cs="Times New Roman"/>
          <w:b/>
          <w:bCs/>
          <w:sz w:val="21"/>
          <w:szCs w:val="21"/>
        </w:rPr>
        <w:tab/>
      </w:r>
      <w:r>
        <w:rPr>
          <w:rFonts w:ascii="Times New Roman" w:eastAsia="Times New Roman" w:hAnsi="Times New Roman" w:cs="Times New Roman"/>
          <w:b/>
          <w:bCs/>
          <w:sz w:val="21"/>
          <w:szCs w:val="21"/>
        </w:rPr>
        <w:tab/>
      </w:r>
      <w:r>
        <w:rPr>
          <w:rFonts w:ascii="Times New Roman" w:eastAsia="Times New Roman" w:hAnsi="Times New Roman" w:cs="Times New Roman"/>
          <w:b/>
          <w:bCs/>
          <w:sz w:val="21"/>
          <w:szCs w:val="21"/>
        </w:rPr>
        <w:tab/>
        <w:t>REPRESENTANTE A LA CÁMARA</w:t>
      </w:r>
    </w:p>
    <w:p w14:paraId="659944E8" w14:textId="77777777" w:rsidR="007C242F" w:rsidRDefault="007C242F">
      <w:pPr>
        <w:rPr>
          <w:rFonts w:ascii="Times New Roman" w:eastAsia="Times New Roman" w:hAnsi="Times New Roman" w:cs="Times New Roman"/>
          <w:b/>
          <w:bCs/>
          <w:sz w:val="21"/>
          <w:szCs w:val="21"/>
        </w:rPr>
      </w:pPr>
    </w:p>
    <w:p w14:paraId="43F55F4F" w14:textId="77777777" w:rsidR="007C242F" w:rsidRDefault="007C242F">
      <w:pPr>
        <w:rPr>
          <w:rFonts w:ascii="Times New Roman" w:eastAsia="Times New Roman" w:hAnsi="Times New Roman" w:cs="Times New Roman"/>
          <w:b/>
          <w:bCs/>
          <w:sz w:val="21"/>
          <w:szCs w:val="21"/>
        </w:rPr>
      </w:pPr>
    </w:p>
    <w:p w14:paraId="37562A2C" w14:textId="77777777" w:rsidR="007C242F" w:rsidRDefault="007C242F">
      <w:pPr>
        <w:rPr>
          <w:rFonts w:ascii="Times New Roman" w:eastAsia="Times New Roman" w:hAnsi="Times New Roman" w:cs="Times New Roman"/>
          <w:b/>
          <w:bCs/>
          <w:sz w:val="21"/>
          <w:szCs w:val="21"/>
        </w:rPr>
      </w:pPr>
    </w:p>
    <w:p w14:paraId="7F9CB6F8" w14:textId="77777777" w:rsidR="007C242F" w:rsidRDefault="007C242F">
      <w:pPr>
        <w:rPr>
          <w:rFonts w:ascii="Times New Roman" w:eastAsia="Times New Roman" w:hAnsi="Times New Roman" w:cs="Times New Roman"/>
          <w:b/>
          <w:bCs/>
          <w:sz w:val="21"/>
          <w:szCs w:val="21"/>
        </w:rPr>
      </w:pPr>
    </w:p>
    <w:p w14:paraId="3A2431E5" w14:textId="77777777" w:rsidR="007C242F" w:rsidRDefault="007C242F">
      <w:pPr>
        <w:rPr>
          <w:rFonts w:ascii="Times New Roman" w:eastAsia="Times New Roman" w:hAnsi="Times New Roman" w:cs="Times New Roman"/>
          <w:b/>
          <w:bCs/>
          <w:sz w:val="21"/>
          <w:szCs w:val="21"/>
        </w:rPr>
      </w:pPr>
    </w:p>
    <w:p w14:paraId="199AE3F4"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1"/>
          <w:szCs w:val="21"/>
        </w:rPr>
      </w:pPr>
    </w:p>
    <w:p w14:paraId="6627BF3C" w14:textId="77777777" w:rsidR="007C242F" w:rsidRDefault="00000000">
      <w:pPr>
        <w:pBdr>
          <w:top w:val="nil"/>
          <w:left w:val="nil"/>
          <w:bottom w:val="nil"/>
          <w:right w:val="nil"/>
          <w:between w:val="nil"/>
        </w:pBdr>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z w:val="21"/>
          <w:szCs w:val="21"/>
        </w:rPr>
        <w:t xml:space="preserve">JORGE ELIECER TAMAYO MARULANDA, </w:t>
      </w:r>
      <w:r>
        <w:rPr>
          <w:rFonts w:ascii="Times New Roman" w:eastAsia="Times New Roman" w:hAnsi="Times New Roman" w:cs="Times New Roman"/>
          <w:b/>
          <w:bCs/>
          <w:color w:val="000000"/>
          <w:sz w:val="21"/>
          <w:szCs w:val="21"/>
        </w:rPr>
        <w:tab/>
      </w:r>
      <w:r>
        <w:rPr>
          <w:rFonts w:ascii="Times New Roman" w:eastAsia="Times New Roman" w:hAnsi="Times New Roman" w:cs="Times New Roman"/>
          <w:b/>
          <w:bCs/>
          <w:color w:val="000000"/>
          <w:sz w:val="21"/>
          <w:szCs w:val="21"/>
        </w:rPr>
        <w:tab/>
      </w:r>
      <w:r>
        <w:rPr>
          <w:rFonts w:ascii="Times New Roman" w:eastAsia="Times New Roman" w:hAnsi="Times New Roman" w:cs="Times New Roman"/>
          <w:b/>
          <w:bCs/>
          <w:color w:val="000000"/>
          <w:sz w:val="21"/>
          <w:szCs w:val="21"/>
        </w:rPr>
        <w:tab/>
        <w:t>KARYME ADRANA COTES MARTÍNEZ,</w:t>
      </w:r>
    </w:p>
    <w:p w14:paraId="1DE05876" w14:textId="77777777" w:rsidR="007C242F" w:rsidRDefault="00000000">
      <w:pP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 xml:space="preserve">REPRESENTANTE A LA CÁMARA </w:t>
      </w:r>
      <w:r>
        <w:rPr>
          <w:rFonts w:ascii="Times New Roman" w:eastAsia="Times New Roman" w:hAnsi="Times New Roman" w:cs="Times New Roman"/>
          <w:b/>
          <w:bCs/>
          <w:sz w:val="21"/>
          <w:szCs w:val="21"/>
        </w:rPr>
        <w:tab/>
      </w:r>
      <w:r>
        <w:rPr>
          <w:rFonts w:ascii="Times New Roman" w:eastAsia="Times New Roman" w:hAnsi="Times New Roman" w:cs="Times New Roman"/>
          <w:b/>
          <w:bCs/>
          <w:sz w:val="21"/>
          <w:szCs w:val="21"/>
        </w:rPr>
        <w:tab/>
      </w:r>
      <w:r>
        <w:rPr>
          <w:rFonts w:ascii="Times New Roman" w:eastAsia="Times New Roman" w:hAnsi="Times New Roman" w:cs="Times New Roman"/>
          <w:b/>
          <w:bCs/>
          <w:sz w:val="21"/>
          <w:szCs w:val="21"/>
        </w:rPr>
        <w:tab/>
      </w:r>
      <w:r>
        <w:rPr>
          <w:rFonts w:ascii="Times New Roman" w:eastAsia="Times New Roman" w:hAnsi="Times New Roman" w:cs="Times New Roman"/>
          <w:b/>
          <w:bCs/>
          <w:sz w:val="21"/>
          <w:szCs w:val="21"/>
        </w:rPr>
        <w:tab/>
        <w:t>REPRESENTANTE A LA CÁMARA</w:t>
      </w:r>
    </w:p>
    <w:p w14:paraId="42AE5D6A"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1"/>
          <w:szCs w:val="21"/>
        </w:rPr>
      </w:pPr>
    </w:p>
    <w:p w14:paraId="36428E57"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1"/>
          <w:szCs w:val="21"/>
        </w:rPr>
      </w:pPr>
    </w:p>
    <w:p w14:paraId="325B697C"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1"/>
          <w:szCs w:val="21"/>
        </w:rPr>
      </w:pPr>
    </w:p>
    <w:p w14:paraId="77EA97A1"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1"/>
          <w:szCs w:val="21"/>
        </w:rPr>
      </w:pPr>
    </w:p>
    <w:p w14:paraId="7DC7F6AB"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1"/>
          <w:szCs w:val="21"/>
        </w:rPr>
      </w:pPr>
    </w:p>
    <w:p w14:paraId="7B4EEFA2"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1"/>
          <w:szCs w:val="21"/>
        </w:rPr>
      </w:pPr>
    </w:p>
    <w:p w14:paraId="1E4C2140" w14:textId="77777777" w:rsidR="007C242F" w:rsidRDefault="00000000">
      <w:pPr>
        <w:pBdr>
          <w:top w:val="nil"/>
          <w:left w:val="nil"/>
          <w:bottom w:val="nil"/>
          <w:right w:val="nil"/>
          <w:between w:val="nil"/>
        </w:pBdr>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z w:val="21"/>
          <w:szCs w:val="21"/>
        </w:rPr>
        <w:t xml:space="preserve">LUIS ALBERTO ALBÁN URBANO </w:t>
      </w:r>
      <w:r>
        <w:rPr>
          <w:rFonts w:ascii="Times New Roman" w:eastAsia="Times New Roman" w:hAnsi="Times New Roman" w:cs="Times New Roman"/>
          <w:b/>
          <w:bCs/>
          <w:color w:val="000000"/>
          <w:sz w:val="21"/>
          <w:szCs w:val="21"/>
        </w:rPr>
        <w:tab/>
      </w:r>
      <w:r>
        <w:rPr>
          <w:rFonts w:ascii="Times New Roman" w:eastAsia="Times New Roman" w:hAnsi="Times New Roman" w:cs="Times New Roman"/>
          <w:b/>
          <w:bCs/>
          <w:color w:val="000000"/>
          <w:sz w:val="21"/>
          <w:szCs w:val="21"/>
        </w:rPr>
        <w:tab/>
      </w:r>
      <w:r>
        <w:rPr>
          <w:rFonts w:ascii="Times New Roman" w:eastAsia="Times New Roman" w:hAnsi="Times New Roman" w:cs="Times New Roman"/>
          <w:b/>
          <w:bCs/>
          <w:color w:val="000000"/>
          <w:sz w:val="21"/>
          <w:szCs w:val="21"/>
        </w:rPr>
        <w:tab/>
      </w:r>
      <w:r>
        <w:rPr>
          <w:rFonts w:ascii="Times New Roman" w:eastAsia="Times New Roman" w:hAnsi="Times New Roman" w:cs="Times New Roman"/>
          <w:b/>
          <w:bCs/>
          <w:color w:val="000000"/>
          <w:sz w:val="21"/>
          <w:szCs w:val="21"/>
        </w:rPr>
        <w:tab/>
        <w:t>LUZ AYDA PASTRANA LOAIZA,</w:t>
      </w:r>
    </w:p>
    <w:p w14:paraId="69A4506A" w14:textId="77777777" w:rsidR="007C242F" w:rsidRDefault="00000000">
      <w:pP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 xml:space="preserve">REPRESENTANTE A LA CÁMARA </w:t>
      </w:r>
      <w:r>
        <w:rPr>
          <w:rFonts w:ascii="Times New Roman" w:eastAsia="Times New Roman" w:hAnsi="Times New Roman" w:cs="Times New Roman"/>
          <w:b/>
          <w:bCs/>
          <w:sz w:val="21"/>
          <w:szCs w:val="21"/>
        </w:rPr>
        <w:tab/>
      </w:r>
      <w:r>
        <w:rPr>
          <w:rFonts w:ascii="Times New Roman" w:eastAsia="Times New Roman" w:hAnsi="Times New Roman" w:cs="Times New Roman"/>
          <w:b/>
          <w:bCs/>
          <w:sz w:val="21"/>
          <w:szCs w:val="21"/>
        </w:rPr>
        <w:tab/>
      </w:r>
      <w:r>
        <w:rPr>
          <w:rFonts w:ascii="Times New Roman" w:eastAsia="Times New Roman" w:hAnsi="Times New Roman" w:cs="Times New Roman"/>
          <w:b/>
          <w:bCs/>
          <w:sz w:val="21"/>
          <w:szCs w:val="21"/>
        </w:rPr>
        <w:tab/>
      </w:r>
      <w:r>
        <w:rPr>
          <w:rFonts w:ascii="Times New Roman" w:eastAsia="Times New Roman" w:hAnsi="Times New Roman" w:cs="Times New Roman"/>
          <w:b/>
          <w:bCs/>
          <w:sz w:val="21"/>
          <w:szCs w:val="21"/>
        </w:rPr>
        <w:tab/>
        <w:t xml:space="preserve"> REPRESENTANTE A LA CÁMARA</w:t>
      </w:r>
    </w:p>
    <w:p w14:paraId="5FADED3D"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4"/>
          <w:szCs w:val="24"/>
        </w:rPr>
      </w:pPr>
    </w:p>
    <w:p w14:paraId="2E732B3B"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4"/>
          <w:szCs w:val="24"/>
        </w:rPr>
      </w:pPr>
    </w:p>
    <w:p w14:paraId="134E49C2"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4"/>
          <w:szCs w:val="24"/>
        </w:rPr>
      </w:pPr>
    </w:p>
    <w:p w14:paraId="3D704A5A"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4"/>
          <w:szCs w:val="24"/>
        </w:rPr>
      </w:pPr>
    </w:p>
    <w:p w14:paraId="17E1455A"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4"/>
          <w:szCs w:val="24"/>
        </w:rPr>
      </w:pPr>
    </w:p>
    <w:p w14:paraId="382E3B54"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4"/>
          <w:szCs w:val="24"/>
        </w:rPr>
      </w:pPr>
    </w:p>
    <w:p w14:paraId="60A6D0BE" w14:textId="77777777" w:rsidR="007C242F" w:rsidRDefault="00000000">
      <w:pPr>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MARELEN CASTILLO TORRES. </w:t>
      </w:r>
    </w:p>
    <w:p w14:paraId="7AA2F0F2" w14:textId="77777777" w:rsidR="007C242F" w:rsidRDefault="00000000">
      <w:pPr>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REPRESENTANTE A LA CÁMARA </w:t>
      </w:r>
    </w:p>
    <w:p w14:paraId="580271A5" w14:textId="77777777" w:rsidR="007C242F" w:rsidRDefault="007C242F">
      <w:pPr>
        <w:rPr>
          <w:rFonts w:ascii="Times New Roman" w:eastAsia="Times New Roman" w:hAnsi="Times New Roman" w:cs="Times New Roman"/>
          <w:b/>
          <w:bCs/>
          <w:sz w:val="24"/>
          <w:szCs w:val="24"/>
        </w:rPr>
      </w:pPr>
    </w:p>
    <w:p w14:paraId="70CE98D6" w14:textId="77777777" w:rsidR="007C242F" w:rsidRDefault="007C242F">
      <w:pPr>
        <w:jc w:val="center"/>
        <w:rPr>
          <w:rFonts w:ascii="Times New Roman" w:eastAsia="Times New Roman" w:hAnsi="Times New Roman" w:cs="Times New Roman"/>
          <w:b/>
          <w:bCs/>
          <w:sz w:val="24"/>
          <w:szCs w:val="24"/>
        </w:rPr>
      </w:pPr>
    </w:p>
    <w:p w14:paraId="40CA3809" w14:textId="77777777" w:rsidR="007C242F" w:rsidRDefault="007C242F">
      <w:pPr>
        <w:jc w:val="center"/>
        <w:rPr>
          <w:rFonts w:ascii="Times New Roman" w:eastAsia="Times New Roman" w:hAnsi="Times New Roman" w:cs="Times New Roman"/>
          <w:b/>
          <w:bCs/>
          <w:sz w:val="24"/>
          <w:szCs w:val="24"/>
        </w:rPr>
      </w:pPr>
    </w:p>
    <w:p w14:paraId="28D4997F" w14:textId="77777777" w:rsidR="007C242F" w:rsidRDefault="007C242F">
      <w:pPr>
        <w:jc w:val="center"/>
        <w:rPr>
          <w:rFonts w:ascii="Times New Roman" w:eastAsia="Times New Roman" w:hAnsi="Times New Roman" w:cs="Times New Roman"/>
          <w:b/>
          <w:bCs/>
          <w:sz w:val="24"/>
          <w:szCs w:val="24"/>
        </w:rPr>
      </w:pPr>
    </w:p>
    <w:p w14:paraId="7F116A02" w14:textId="77777777" w:rsidR="007C242F" w:rsidRDefault="007C242F">
      <w:pPr>
        <w:jc w:val="center"/>
        <w:rPr>
          <w:rFonts w:ascii="Times New Roman" w:eastAsia="Times New Roman" w:hAnsi="Times New Roman" w:cs="Times New Roman"/>
          <w:b/>
          <w:bCs/>
          <w:sz w:val="24"/>
          <w:szCs w:val="24"/>
        </w:rPr>
      </w:pPr>
    </w:p>
    <w:p w14:paraId="5A1CDCDD" w14:textId="77777777" w:rsidR="007C242F"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TEXTO PROPUESTO PARA PRIMER DEBATE EN LA COMISIÓN PRIMERA DE LA CÁMARA DE REPRESENTANTES.</w:t>
      </w:r>
    </w:p>
    <w:p w14:paraId="2051FA28" w14:textId="77777777" w:rsidR="007C242F" w:rsidRDefault="007C242F">
      <w:pPr>
        <w:pBdr>
          <w:top w:val="nil"/>
          <w:left w:val="nil"/>
          <w:bottom w:val="nil"/>
          <w:right w:val="nil"/>
          <w:between w:val="nil"/>
        </w:pBdr>
        <w:jc w:val="center"/>
        <w:rPr>
          <w:rFonts w:ascii="Times New Roman" w:eastAsia="Times New Roman" w:hAnsi="Times New Roman" w:cs="Times New Roman"/>
          <w:b/>
          <w:bCs/>
          <w:color w:val="000000"/>
          <w:sz w:val="24"/>
          <w:szCs w:val="24"/>
        </w:rPr>
      </w:pPr>
    </w:p>
    <w:p w14:paraId="03F68B47" w14:textId="77777777" w:rsidR="007C242F"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rPr>
        <w:t>PROYECTO DE LEY 277 DE 2025 CÁMARA “POR MEDIO DEL CUAL SE DEROGA LA LEY 2272 DE 2022 (LEY DE PAZ TOTAL)”</w:t>
      </w:r>
    </w:p>
    <w:p w14:paraId="2449E5DB" w14:textId="77777777" w:rsidR="007C242F" w:rsidRDefault="007C242F">
      <w:pPr>
        <w:jc w:val="center"/>
        <w:rPr>
          <w:rFonts w:ascii="Times New Roman" w:eastAsia="Times New Roman" w:hAnsi="Times New Roman" w:cs="Times New Roman"/>
          <w:b/>
          <w:bCs/>
          <w:sz w:val="24"/>
          <w:szCs w:val="24"/>
        </w:rPr>
      </w:pPr>
    </w:p>
    <w:p w14:paraId="4203CBD7" w14:textId="77777777" w:rsidR="007C242F" w:rsidRDefault="007C242F">
      <w:pPr>
        <w:pBdr>
          <w:top w:val="nil"/>
          <w:left w:val="nil"/>
          <w:bottom w:val="nil"/>
          <w:right w:val="nil"/>
          <w:between w:val="nil"/>
        </w:pBdr>
        <w:jc w:val="center"/>
        <w:rPr>
          <w:rFonts w:ascii="Times New Roman" w:eastAsia="Times New Roman" w:hAnsi="Times New Roman" w:cs="Times New Roman"/>
          <w:b/>
          <w:bCs/>
          <w:color w:val="000000"/>
          <w:sz w:val="24"/>
          <w:szCs w:val="24"/>
        </w:rPr>
      </w:pPr>
    </w:p>
    <w:p w14:paraId="26AFC34F" w14:textId="77777777" w:rsidR="007C242F" w:rsidRDefault="00000000">
      <w:pPr>
        <w:pBdr>
          <w:top w:val="nil"/>
          <w:left w:val="nil"/>
          <w:bottom w:val="nil"/>
          <w:right w:val="nil"/>
          <w:between w:val="nil"/>
        </w:pBd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EL CONGRESO DE COLOMBIA </w:t>
      </w:r>
    </w:p>
    <w:p w14:paraId="3FE47D20" w14:textId="77777777" w:rsidR="007C242F" w:rsidRDefault="007C242F">
      <w:pPr>
        <w:pBdr>
          <w:top w:val="nil"/>
          <w:left w:val="nil"/>
          <w:bottom w:val="nil"/>
          <w:right w:val="nil"/>
          <w:between w:val="nil"/>
        </w:pBdr>
        <w:jc w:val="center"/>
        <w:rPr>
          <w:rFonts w:ascii="Times New Roman" w:eastAsia="Times New Roman" w:hAnsi="Times New Roman" w:cs="Times New Roman"/>
          <w:b/>
          <w:bCs/>
          <w:color w:val="000000"/>
          <w:sz w:val="24"/>
          <w:szCs w:val="24"/>
        </w:rPr>
      </w:pPr>
    </w:p>
    <w:p w14:paraId="3BA0FCC8" w14:textId="77777777" w:rsidR="007C242F" w:rsidRDefault="007C242F">
      <w:pPr>
        <w:pBdr>
          <w:top w:val="nil"/>
          <w:left w:val="nil"/>
          <w:bottom w:val="nil"/>
          <w:right w:val="nil"/>
          <w:between w:val="nil"/>
        </w:pBdr>
        <w:jc w:val="center"/>
        <w:rPr>
          <w:rFonts w:ascii="Times New Roman" w:eastAsia="Times New Roman" w:hAnsi="Times New Roman" w:cs="Times New Roman"/>
          <w:b/>
          <w:bCs/>
          <w:color w:val="000000"/>
          <w:sz w:val="24"/>
          <w:szCs w:val="24"/>
        </w:rPr>
      </w:pPr>
    </w:p>
    <w:p w14:paraId="2A0E5B6D" w14:textId="77777777" w:rsidR="007C242F" w:rsidRDefault="00000000">
      <w:pPr>
        <w:pBdr>
          <w:top w:val="nil"/>
          <w:left w:val="nil"/>
          <w:bottom w:val="nil"/>
          <w:right w:val="nil"/>
          <w:between w:val="nil"/>
        </w:pBd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DECRETA: </w:t>
      </w:r>
    </w:p>
    <w:p w14:paraId="03D6251D" w14:textId="77777777" w:rsidR="007C242F" w:rsidRDefault="007C242F">
      <w:pPr>
        <w:pBdr>
          <w:top w:val="nil"/>
          <w:left w:val="nil"/>
          <w:bottom w:val="nil"/>
          <w:right w:val="nil"/>
          <w:between w:val="nil"/>
        </w:pBdr>
        <w:jc w:val="both"/>
        <w:rPr>
          <w:rFonts w:ascii="Times New Roman" w:eastAsia="Times New Roman" w:hAnsi="Times New Roman" w:cs="Times New Roman"/>
          <w:b/>
          <w:bCs/>
          <w:color w:val="000000"/>
          <w:sz w:val="24"/>
          <w:szCs w:val="24"/>
        </w:rPr>
      </w:pPr>
    </w:p>
    <w:p w14:paraId="495A8C12" w14:textId="77777777" w:rsidR="007C242F" w:rsidRDefault="007C242F">
      <w:pPr>
        <w:pBdr>
          <w:top w:val="nil"/>
          <w:left w:val="nil"/>
          <w:bottom w:val="nil"/>
          <w:right w:val="nil"/>
          <w:between w:val="nil"/>
        </w:pBdr>
        <w:jc w:val="both"/>
        <w:rPr>
          <w:rFonts w:ascii="Times New Roman" w:eastAsia="Times New Roman" w:hAnsi="Times New Roman" w:cs="Times New Roman"/>
          <w:color w:val="000000"/>
          <w:sz w:val="24"/>
          <w:szCs w:val="24"/>
        </w:rPr>
      </w:pPr>
    </w:p>
    <w:p w14:paraId="31BC73C5" w14:textId="77777777" w:rsidR="007C242F" w:rsidRDefault="00000000">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Artículo 1. </w:t>
      </w:r>
      <w:r>
        <w:rPr>
          <w:rFonts w:ascii="Times New Roman" w:eastAsia="Times New Roman" w:hAnsi="Times New Roman" w:cs="Times New Roman"/>
          <w:color w:val="000000"/>
          <w:sz w:val="24"/>
          <w:szCs w:val="24"/>
        </w:rPr>
        <w:t xml:space="preserve">Derogatoria. Derogase en su integridad la Ley 2272 del 2022 </w:t>
      </w:r>
      <w:r>
        <w:rPr>
          <w:rFonts w:ascii="Times New Roman" w:eastAsia="Times New Roman" w:hAnsi="Times New Roman" w:cs="Times New Roman"/>
          <w:i/>
          <w:iCs/>
          <w:color w:val="000000"/>
          <w:sz w:val="24"/>
          <w:szCs w:val="24"/>
        </w:rPr>
        <w:t>"Por medio de la cual se modifica, adiciona y prorroga la ley </w:t>
      </w:r>
      <w:hyperlink r:id="rId30" w:anchor="418">
        <w:r>
          <w:rPr>
            <w:rFonts w:ascii="Times New Roman" w:eastAsia="Times New Roman" w:hAnsi="Times New Roman" w:cs="Times New Roman"/>
            <w:i/>
            <w:iCs/>
            <w:color w:val="000000"/>
            <w:sz w:val="24"/>
            <w:szCs w:val="24"/>
            <w:u w:val="single"/>
          </w:rPr>
          <w:t>418 </w:t>
        </w:r>
      </w:hyperlink>
      <w:r>
        <w:rPr>
          <w:rFonts w:ascii="Times New Roman" w:eastAsia="Times New Roman" w:hAnsi="Times New Roman" w:cs="Times New Roman"/>
          <w:i/>
          <w:iCs/>
          <w:color w:val="000000"/>
          <w:sz w:val="24"/>
          <w:szCs w:val="24"/>
        </w:rPr>
        <w:t>de 1997, prorrogada, modificada y adicionada por las leyes </w:t>
      </w:r>
      <w:hyperlink r:id="rId31" w:anchor="548">
        <w:r>
          <w:rPr>
            <w:rFonts w:ascii="Times New Roman" w:eastAsia="Times New Roman" w:hAnsi="Times New Roman" w:cs="Times New Roman"/>
            <w:i/>
            <w:iCs/>
            <w:color w:val="000000"/>
            <w:sz w:val="24"/>
            <w:szCs w:val="24"/>
            <w:u w:val="single"/>
          </w:rPr>
          <w:t>548 </w:t>
        </w:r>
      </w:hyperlink>
      <w:r>
        <w:rPr>
          <w:rFonts w:ascii="Times New Roman" w:eastAsia="Times New Roman" w:hAnsi="Times New Roman" w:cs="Times New Roman"/>
          <w:i/>
          <w:iCs/>
          <w:color w:val="000000"/>
          <w:sz w:val="24"/>
          <w:szCs w:val="24"/>
        </w:rPr>
        <w:t>de 1999, </w:t>
      </w:r>
      <w:hyperlink r:id="rId32" w:anchor="782">
        <w:r>
          <w:rPr>
            <w:rFonts w:ascii="Times New Roman" w:eastAsia="Times New Roman" w:hAnsi="Times New Roman" w:cs="Times New Roman"/>
            <w:i/>
            <w:iCs/>
            <w:color w:val="000000"/>
            <w:sz w:val="24"/>
            <w:szCs w:val="24"/>
            <w:u w:val="single"/>
          </w:rPr>
          <w:t>782 </w:t>
        </w:r>
      </w:hyperlink>
      <w:r>
        <w:rPr>
          <w:rFonts w:ascii="Times New Roman" w:eastAsia="Times New Roman" w:hAnsi="Times New Roman" w:cs="Times New Roman"/>
          <w:i/>
          <w:iCs/>
          <w:color w:val="000000"/>
          <w:sz w:val="24"/>
          <w:szCs w:val="24"/>
        </w:rPr>
        <w:t>de 2002, </w:t>
      </w:r>
      <w:hyperlink r:id="rId33" w:anchor="1106">
        <w:r>
          <w:rPr>
            <w:rFonts w:ascii="Times New Roman" w:eastAsia="Times New Roman" w:hAnsi="Times New Roman" w:cs="Times New Roman"/>
            <w:i/>
            <w:iCs/>
            <w:color w:val="000000"/>
            <w:sz w:val="24"/>
            <w:szCs w:val="24"/>
            <w:u w:val="single"/>
          </w:rPr>
          <w:t>1106 </w:t>
        </w:r>
      </w:hyperlink>
      <w:r>
        <w:rPr>
          <w:rFonts w:ascii="Times New Roman" w:eastAsia="Times New Roman" w:hAnsi="Times New Roman" w:cs="Times New Roman"/>
          <w:i/>
          <w:iCs/>
          <w:color w:val="000000"/>
          <w:sz w:val="24"/>
          <w:szCs w:val="24"/>
        </w:rPr>
        <w:t>de 2006, </w:t>
      </w:r>
      <w:hyperlink r:id="rId34" w:anchor="1421">
        <w:r>
          <w:rPr>
            <w:rFonts w:ascii="Times New Roman" w:eastAsia="Times New Roman" w:hAnsi="Times New Roman" w:cs="Times New Roman"/>
            <w:i/>
            <w:iCs/>
            <w:color w:val="000000"/>
            <w:sz w:val="24"/>
            <w:szCs w:val="24"/>
            <w:u w:val="single"/>
          </w:rPr>
          <w:t>1421 </w:t>
        </w:r>
      </w:hyperlink>
      <w:r>
        <w:rPr>
          <w:rFonts w:ascii="Times New Roman" w:eastAsia="Times New Roman" w:hAnsi="Times New Roman" w:cs="Times New Roman"/>
          <w:i/>
          <w:iCs/>
          <w:color w:val="000000"/>
          <w:sz w:val="24"/>
          <w:szCs w:val="24"/>
        </w:rPr>
        <w:t>de 2010, </w:t>
      </w:r>
      <w:hyperlink r:id="rId35" w:anchor="1738">
        <w:r>
          <w:rPr>
            <w:rFonts w:ascii="Times New Roman" w:eastAsia="Times New Roman" w:hAnsi="Times New Roman" w:cs="Times New Roman"/>
            <w:i/>
            <w:iCs/>
            <w:color w:val="000000"/>
            <w:sz w:val="24"/>
            <w:szCs w:val="24"/>
            <w:u w:val="single"/>
          </w:rPr>
          <w:t>1738 </w:t>
        </w:r>
      </w:hyperlink>
      <w:r>
        <w:rPr>
          <w:rFonts w:ascii="Times New Roman" w:eastAsia="Times New Roman" w:hAnsi="Times New Roman" w:cs="Times New Roman"/>
          <w:i/>
          <w:iCs/>
          <w:color w:val="000000"/>
          <w:sz w:val="24"/>
          <w:szCs w:val="24"/>
        </w:rPr>
        <w:t>de 2014 y </w:t>
      </w:r>
      <w:hyperlink r:id="rId36" w:anchor="1941">
        <w:r>
          <w:rPr>
            <w:rFonts w:ascii="Times New Roman" w:eastAsia="Times New Roman" w:hAnsi="Times New Roman" w:cs="Times New Roman"/>
            <w:i/>
            <w:iCs/>
            <w:color w:val="000000"/>
            <w:sz w:val="24"/>
            <w:szCs w:val="24"/>
            <w:u w:val="single"/>
          </w:rPr>
          <w:t>1941 </w:t>
        </w:r>
      </w:hyperlink>
      <w:r>
        <w:rPr>
          <w:rFonts w:ascii="Times New Roman" w:eastAsia="Times New Roman" w:hAnsi="Times New Roman" w:cs="Times New Roman"/>
          <w:i/>
          <w:iCs/>
          <w:color w:val="000000"/>
          <w:sz w:val="24"/>
          <w:szCs w:val="24"/>
        </w:rPr>
        <w:t>de 2018, se define la política de paz de estado, se crea el servicio social para la paz, y se dictan otras disposiciones"</w:t>
      </w:r>
    </w:p>
    <w:p w14:paraId="25B20F41" w14:textId="77777777" w:rsidR="007C242F" w:rsidRDefault="007C242F">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3AFFFD6A" w14:textId="77777777" w:rsidR="007C242F" w:rsidRDefault="00000000">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Artículo 2. Vigencia. </w:t>
      </w:r>
      <w:r>
        <w:rPr>
          <w:rFonts w:ascii="Times New Roman" w:eastAsia="Times New Roman" w:hAnsi="Times New Roman" w:cs="Times New Roman"/>
          <w:color w:val="000000"/>
          <w:sz w:val="24"/>
          <w:szCs w:val="24"/>
        </w:rPr>
        <w:t xml:space="preserve">La presente ley rige a partir de su promulgación y deroga todas las normas que le sean contrarias. </w:t>
      </w:r>
    </w:p>
    <w:p w14:paraId="09A9AC52" w14:textId="77777777" w:rsidR="007C242F" w:rsidRDefault="007C242F">
      <w:pPr>
        <w:jc w:val="both"/>
        <w:rPr>
          <w:rFonts w:ascii="Times New Roman" w:eastAsia="Times New Roman" w:hAnsi="Times New Roman" w:cs="Times New Roman"/>
          <w:sz w:val="24"/>
          <w:szCs w:val="24"/>
        </w:rPr>
      </w:pPr>
    </w:p>
    <w:p w14:paraId="4D446CFA" w14:textId="77777777" w:rsidR="007C242F" w:rsidRDefault="007C242F">
      <w:pPr>
        <w:rPr>
          <w:rFonts w:ascii="Times New Roman" w:eastAsia="Times New Roman" w:hAnsi="Times New Roman" w:cs="Times New Roman"/>
          <w:b/>
          <w:bCs/>
        </w:rPr>
      </w:pPr>
    </w:p>
    <w:p w14:paraId="55158C95" w14:textId="77777777" w:rsidR="007C242F" w:rsidRDefault="007C242F">
      <w:pPr>
        <w:rPr>
          <w:rFonts w:ascii="Times New Roman" w:eastAsia="Times New Roman" w:hAnsi="Times New Roman" w:cs="Times New Roman"/>
          <w:b/>
          <w:bCs/>
        </w:rPr>
      </w:pPr>
    </w:p>
    <w:p w14:paraId="36BF2132" w14:textId="77777777" w:rsidR="007C242F" w:rsidRDefault="007C242F">
      <w:pPr>
        <w:rPr>
          <w:rFonts w:ascii="Times New Roman" w:eastAsia="Times New Roman" w:hAnsi="Times New Roman" w:cs="Times New Roman"/>
          <w:b/>
          <w:bCs/>
        </w:rPr>
      </w:pPr>
    </w:p>
    <w:p w14:paraId="5D6958AC" w14:textId="77777777" w:rsidR="007C242F" w:rsidRDefault="007C242F">
      <w:pPr>
        <w:rPr>
          <w:rFonts w:ascii="Times New Roman" w:eastAsia="Times New Roman" w:hAnsi="Times New Roman" w:cs="Times New Roman"/>
          <w:b/>
          <w:bCs/>
        </w:rPr>
      </w:pPr>
    </w:p>
    <w:p w14:paraId="2D7BB2B3" w14:textId="77777777" w:rsidR="007C242F" w:rsidRDefault="007C242F">
      <w:pPr>
        <w:rPr>
          <w:rFonts w:ascii="Times New Roman" w:eastAsia="Times New Roman" w:hAnsi="Times New Roman" w:cs="Times New Roman"/>
          <w:b/>
          <w:bCs/>
        </w:rPr>
      </w:pPr>
    </w:p>
    <w:p w14:paraId="7D834C4C" w14:textId="77777777" w:rsidR="007C242F" w:rsidRDefault="007C242F">
      <w:pPr>
        <w:rPr>
          <w:rFonts w:ascii="Times New Roman" w:eastAsia="Times New Roman" w:hAnsi="Times New Roman" w:cs="Times New Roman"/>
          <w:b/>
          <w:bCs/>
        </w:rPr>
      </w:pPr>
    </w:p>
    <w:p w14:paraId="3113068E" w14:textId="77777777" w:rsidR="007C242F" w:rsidRDefault="007C242F">
      <w:pPr>
        <w:rPr>
          <w:rFonts w:ascii="Times New Roman" w:eastAsia="Times New Roman" w:hAnsi="Times New Roman" w:cs="Times New Roman"/>
          <w:b/>
          <w:bCs/>
          <w:sz w:val="21"/>
          <w:szCs w:val="21"/>
        </w:rPr>
      </w:pPr>
    </w:p>
    <w:p w14:paraId="41EF54AC" w14:textId="77777777" w:rsidR="007C242F" w:rsidRDefault="00000000">
      <w:pPr>
        <w:pBdr>
          <w:top w:val="nil"/>
          <w:left w:val="nil"/>
          <w:bottom w:val="nil"/>
          <w:right w:val="nil"/>
          <w:between w:val="nil"/>
        </w:pBdr>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z w:val="21"/>
          <w:szCs w:val="21"/>
        </w:rPr>
        <w:t xml:space="preserve">MIGUEL ABRAHAM POLO </w:t>
      </w:r>
      <w:proofErr w:type="spellStart"/>
      <w:r>
        <w:rPr>
          <w:rFonts w:ascii="Times New Roman" w:eastAsia="Times New Roman" w:hAnsi="Times New Roman" w:cs="Times New Roman"/>
          <w:b/>
          <w:bCs/>
          <w:color w:val="000000"/>
          <w:sz w:val="21"/>
          <w:szCs w:val="21"/>
        </w:rPr>
        <w:t>POLO</w:t>
      </w:r>
      <w:proofErr w:type="spellEnd"/>
      <w:r>
        <w:rPr>
          <w:rFonts w:ascii="Times New Roman" w:eastAsia="Times New Roman" w:hAnsi="Times New Roman" w:cs="Times New Roman"/>
          <w:b/>
          <w:bCs/>
          <w:color w:val="000000"/>
          <w:sz w:val="21"/>
          <w:szCs w:val="21"/>
        </w:rPr>
        <w:t xml:space="preserve">   </w:t>
      </w:r>
      <w:r>
        <w:rPr>
          <w:rFonts w:ascii="Times New Roman" w:eastAsia="Times New Roman" w:hAnsi="Times New Roman" w:cs="Times New Roman"/>
          <w:b/>
          <w:bCs/>
          <w:color w:val="000000"/>
          <w:sz w:val="21"/>
          <w:szCs w:val="21"/>
        </w:rPr>
        <w:tab/>
      </w:r>
      <w:r>
        <w:rPr>
          <w:rFonts w:ascii="Times New Roman" w:eastAsia="Times New Roman" w:hAnsi="Times New Roman" w:cs="Times New Roman"/>
          <w:b/>
          <w:bCs/>
          <w:color w:val="000000"/>
          <w:sz w:val="21"/>
          <w:szCs w:val="21"/>
        </w:rPr>
        <w:tab/>
      </w:r>
      <w:r>
        <w:rPr>
          <w:rFonts w:ascii="Times New Roman" w:eastAsia="Times New Roman" w:hAnsi="Times New Roman" w:cs="Times New Roman"/>
          <w:b/>
          <w:bCs/>
          <w:color w:val="000000"/>
          <w:sz w:val="21"/>
          <w:szCs w:val="21"/>
        </w:rPr>
        <w:tab/>
      </w:r>
      <w:r>
        <w:rPr>
          <w:rFonts w:ascii="Times New Roman" w:eastAsia="Times New Roman" w:hAnsi="Times New Roman" w:cs="Times New Roman"/>
          <w:b/>
          <w:bCs/>
          <w:color w:val="000000"/>
          <w:sz w:val="21"/>
          <w:szCs w:val="21"/>
        </w:rPr>
        <w:tab/>
        <w:t xml:space="preserve"> DELCY ESPERANZA ISAZA BUENAVENTURA,</w:t>
      </w:r>
    </w:p>
    <w:p w14:paraId="15901138" w14:textId="77777777" w:rsidR="007C242F" w:rsidRDefault="00000000">
      <w:pP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 xml:space="preserve">REPRESENTANTE A LA CÁMARA </w:t>
      </w:r>
      <w:r>
        <w:rPr>
          <w:rFonts w:ascii="Times New Roman" w:eastAsia="Times New Roman" w:hAnsi="Times New Roman" w:cs="Times New Roman"/>
          <w:b/>
          <w:bCs/>
          <w:sz w:val="21"/>
          <w:szCs w:val="21"/>
        </w:rPr>
        <w:tab/>
      </w:r>
      <w:r>
        <w:rPr>
          <w:rFonts w:ascii="Times New Roman" w:eastAsia="Times New Roman" w:hAnsi="Times New Roman" w:cs="Times New Roman"/>
          <w:b/>
          <w:bCs/>
          <w:sz w:val="21"/>
          <w:szCs w:val="21"/>
        </w:rPr>
        <w:tab/>
      </w:r>
      <w:r>
        <w:rPr>
          <w:rFonts w:ascii="Times New Roman" w:eastAsia="Times New Roman" w:hAnsi="Times New Roman" w:cs="Times New Roman"/>
          <w:b/>
          <w:bCs/>
          <w:sz w:val="21"/>
          <w:szCs w:val="21"/>
        </w:rPr>
        <w:tab/>
      </w:r>
      <w:r>
        <w:rPr>
          <w:rFonts w:ascii="Times New Roman" w:eastAsia="Times New Roman" w:hAnsi="Times New Roman" w:cs="Times New Roman"/>
          <w:b/>
          <w:bCs/>
          <w:sz w:val="21"/>
          <w:szCs w:val="21"/>
        </w:rPr>
        <w:tab/>
        <w:t>REPRESENTANTE A LA CÁMARA</w:t>
      </w:r>
    </w:p>
    <w:p w14:paraId="52F156CD" w14:textId="77777777" w:rsidR="007C242F" w:rsidRDefault="007C242F">
      <w:pPr>
        <w:rPr>
          <w:rFonts w:ascii="Times New Roman" w:eastAsia="Times New Roman" w:hAnsi="Times New Roman" w:cs="Times New Roman"/>
          <w:b/>
          <w:bCs/>
          <w:sz w:val="21"/>
          <w:szCs w:val="21"/>
        </w:rPr>
      </w:pPr>
    </w:p>
    <w:p w14:paraId="0F9BDEED"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1"/>
          <w:szCs w:val="21"/>
        </w:rPr>
      </w:pPr>
    </w:p>
    <w:p w14:paraId="69C3E583"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1"/>
          <w:szCs w:val="21"/>
        </w:rPr>
      </w:pPr>
    </w:p>
    <w:p w14:paraId="1B48D45E"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1"/>
          <w:szCs w:val="21"/>
        </w:rPr>
      </w:pPr>
    </w:p>
    <w:p w14:paraId="5407E4B4"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1"/>
          <w:szCs w:val="21"/>
        </w:rPr>
      </w:pPr>
    </w:p>
    <w:p w14:paraId="4DDD9CF7"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1"/>
          <w:szCs w:val="21"/>
        </w:rPr>
      </w:pPr>
    </w:p>
    <w:p w14:paraId="49DB85D3" w14:textId="77777777" w:rsidR="007C242F" w:rsidRDefault="00000000">
      <w:pPr>
        <w:pBdr>
          <w:top w:val="nil"/>
          <w:left w:val="nil"/>
          <w:bottom w:val="nil"/>
          <w:right w:val="nil"/>
          <w:between w:val="nil"/>
        </w:pBdr>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z w:val="21"/>
          <w:szCs w:val="21"/>
        </w:rPr>
        <w:t xml:space="preserve">DUVALIER SÁNCHEZ ARANGO                               </w:t>
      </w:r>
      <w:r>
        <w:rPr>
          <w:rFonts w:ascii="Times New Roman" w:eastAsia="Times New Roman" w:hAnsi="Times New Roman" w:cs="Times New Roman"/>
          <w:b/>
          <w:bCs/>
          <w:color w:val="000000"/>
          <w:sz w:val="21"/>
          <w:szCs w:val="21"/>
        </w:rPr>
        <w:tab/>
      </w:r>
      <w:r>
        <w:rPr>
          <w:rFonts w:ascii="Times New Roman" w:eastAsia="Times New Roman" w:hAnsi="Times New Roman" w:cs="Times New Roman"/>
          <w:b/>
          <w:bCs/>
          <w:color w:val="000000"/>
          <w:sz w:val="21"/>
          <w:szCs w:val="21"/>
        </w:rPr>
        <w:tab/>
        <w:t xml:space="preserve"> JAMES HERMENEGILDO MOSQUERA TORRES,</w:t>
      </w:r>
    </w:p>
    <w:p w14:paraId="05A9BE2E" w14:textId="77777777" w:rsidR="007C242F" w:rsidRDefault="00000000">
      <w:pP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 xml:space="preserve">REPRESENTANTE A LA CÁMARA </w:t>
      </w:r>
      <w:r>
        <w:rPr>
          <w:rFonts w:ascii="Times New Roman" w:eastAsia="Times New Roman" w:hAnsi="Times New Roman" w:cs="Times New Roman"/>
          <w:b/>
          <w:bCs/>
          <w:sz w:val="21"/>
          <w:szCs w:val="21"/>
        </w:rPr>
        <w:tab/>
      </w:r>
      <w:r>
        <w:rPr>
          <w:rFonts w:ascii="Times New Roman" w:eastAsia="Times New Roman" w:hAnsi="Times New Roman" w:cs="Times New Roman"/>
          <w:b/>
          <w:bCs/>
          <w:sz w:val="21"/>
          <w:szCs w:val="21"/>
        </w:rPr>
        <w:tab/>
      </w:r>
      <w:r>
        <w:rPr>
          <w:rFonts w:ascii="Times New Roman" w:eastAsia="Times New Roman" w:hAnsi="Times New Roman" w:cs="Times New Roman"/>
          <w:b/>
          <w:bCs/>
          <w:sz w:val="21"/>
          <w:szCs w:val="21"/>
        </w:rPr>
        <w:tab/>
      </w:r>
      <w:r>
        <w:rPr>
          <w:rFonts w:ascii="Times New Roman" w:eastAsia="Times New Roman" w:hAnsi="Times New Roman" w:cs="Times New Roman"/>
          <w:b/>
          <w:bCs/>
          <w:sz w:val="21"/>
          <w:szCs w:val="21"/>
        </w:rPr>
        <w:tab/>
        <w:t>REPRESENTANTE A LA CÁMARA</w:t>
      </w:r>
    </w:p>
    <w:p w14:paraId="5BF1ABF9" w14:textId="77777777" w:rsidR="007C242F" w:rsidRDefault="007C242F">
      <w:pPr>
        <w:rPr>
          <w:rFonts w:ascii="Times New Roman" w:eastAsia="Times New Roman" w:hAnsi="Times New Roman" w:cs="Times New Roman"/>
          <w:b/>
          <w:bCs/>
          <w:sz w:val="21"/>
          <w:szCs w:val="21"/>
        </w:rPr>
      </w:pPr>
    </w:p>
    <w:p w14:paraId="615F5150" w14:textId="77777777" w:rsidR="007C242F" w:rsidRDefault="007C242F">
      <w:pPr>
        <w:rPr>
          <w:rFonts w:ascii="Times New Roman" w:eastAsia="Times New Roman" w:hAnsi="Times New Roman" w:cs="Times New Roman"/>
          <w:b/>
          <w:bCs/>
          <w:sz w:val="21"/>
          <w:szCs w:val="21"/>
        </w:rPr>
      </w:pPr>
    </w:p>
    <w:p w14:paraId="20BF4C72" w14:textId="77777777" w:rsidR="007C242F" w:rsidRDefault="007C242F">
      <w:pPr>
        <w:rPr>
          <w:rFonts w:ascii="Times New Roman" w:eastAsia="Times New Roman" w:hAnsi="Times New Roman" w:cs="Times New Roman"/>
          <w:b/>
          <w:bCs/>
          <w:sz w:val="21"/>
          <w:szCs w:val="21"/>
        </w:rPr>
      </w:pPr>
    </w:p>
    <w:p w14:paraId="65E477D8" w14:textId="77777777" w:rsidR="007C242F" w:rsidRDefault="007C242F">
      <w:pPr>
        <w:rPr>
          <w:rFonts w:ascii="Times New Roman" w:eastAsia="Times New Roman" w:hAnsi="Times New Roman" w:cs="Times New Roman"/>
          <w:b/>
          <w:bCs/>
          <w:sz w:val="21"/>
          <w:szCs w:val="21"/>
        </w:rPr>
      </w:pPr>
    </w:p>
    <w:p w14:paraId="08D68FC9" w14:textId="77777777" w:rsidR="007C242F" w:rsidRDefault="007C242F">
      <w:pPr>
        <w:rPr>
          <w:rFonts w:ascii="Times New Roman" w:eastAsia="Times New Roman" w:hAnsi="Times New Roman" w:cs="Times New Roman"/>
          <w:b/>
          <w:bCs/>
          <w:sz w:val="21"/>
          <w:szCs w:val="21"/>
        </w:rPr>
      </w:pPr>
    </w:p>
    <w:p w14:paraId="2A56BE3B"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1"/>
          <w:szCs w:val="21"/>
        </w:rPr>
      </w:pPr>
    </w:p>
    <w:p w14:paraId="5CCC975A" w14:textId="77777777" w:rsidR="007C242F" w:rsidRDefault="00000000">
      <w:pPr>
        <w:pBdr>
          <w:top w:val="nil"/>
          <w:left w:val="nil"/>
          <w:bottom w:val="nil"/>
          <w:right w:val="nil"/>
          <w:between w:val="nil"/>
        </w:pBdr>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z w:val="21"/>
          <w:szCs w:val="21"/>
        </w:rPr>
        <w:lastRenderedPageBreak/>
        <w:t xml:space="preserve">JORGE ELIECER TAMAYO MARULANDA, </w:t>
      </w:r>
      <w:r>
        <w:rPr>
          <w:rFonts w:ascii="Times New Roman" w:eastAsia="Times New Roman" w:hAnsi="Times New Roman" w:cs="Times New Roman"/>
          <w:b/>
          <w:bCs/>
          <w:color w:val="000000"/>
          <w:sz w:val="21"/>
          <w:szCs w:val="21"/>
        </w:rPr>
        <w:tab/>
      </w:r>
      <w:r>
        <w:rPr>
          <w:rFonts w:ascii="Times New Roman" w:eastAsia="Times New Roman" w:hAnsi="Times New Roman" w:cs="Times New Roman"/>
          <w:b/>
          <w:bCs/>
          <w:color w:val="000000"/>
          <w:sz w:val="21"/>
          <w:szCs w:val="21"/>
        </w:rPr>
        <w:tab/>
      </w:r>
      <w:r>
        <w:rPr>
          <w:rFonts w:ascii="Times New Roman" w:eastAsia="Times New Roman" w:hAnsi="Times New Roman" w:cs="Times New Roman"/>
          <w:b/>
          <w:bCs/>
          <w:color w:val="000000"/>
          <w:sz w:val="21"/>
          <w:szCs w:val="21"/>
        </w:rPr>
        <w:tab/>
        <w:t>KARYME ADRANA COTES MARTÍNEZ,</w:t>
      </w:r>
    </w:p>
    <w:p w14:paraId="2FD74132" w14:textId="77777777" w:rsidR="007C242F" w:rsidRDefault="00000000">
      <w:pP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 xml:space="preserve">REPRESENTANTE A LA CÁMARA </w:t>
      </w:r>
      <w:r>
        <w:rPr>
          <w:rFonts w:ascii="Times New Roman" w:eastAsia="Times New Roman" w:hAnsi="Times New Roman" w:cs="Times New Roman"/>
          <w:b/>
          <w:bCs/>
          <w:sz w:val="21"/>
          <w:szCs w:val="21"/>
        </w:rPr>
        <w:tab/>
      </w:r>
      <w:r>
        <w:rPr>
          <w:rFonts w:ascii="Times New Roman" w:eastAsia="Times New Roman" w:hAnsi="Times New Roman" w:cs="Times New Roman"/>
          <w:b/>
          <w:bCs/>
          <w:sz w:val="21"/>
          <w:szCs w:val="21"/>
        </w:rPr>
        <w:tab/>
      </w:r>
      <w:r>
        <w:rPr>
          <w:rFonts w:ascii="Times New Roman" w:eastAsia="Times New Roman" w:hAnsi="Times New Roman" w:cs="Times New Roman"/>
          <w:b/>
          <w:bCs/>
          <w:sz w:val="21"/>
          <w:szCs w:val="21"/>
        </w:rPr>
        <w:tab/>
      </w:r>
      <w:r>
        <w:rPr>
          <w:rFonts w:ascii="Times New Roman" w:eastAsia="Times New Roman" w:hAnsi="Times New Roman" w:cs="Times New Roman"/>
          <w:b/>
          <w:bCs/>
          <w:sz w:val="21"/>
          <w:szCs w:val="21"/>
        </w:rPr>
        <w:tab/>
        <w:t>REPRESENTANTE A LA CÁMARA</w:t>
      </w:r>
    </w:p>
    <w:p w14:paraId="6FECEB69"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1"/>
          <w:szCs w:val="21"/>
        </w:rPr>
      </w:pPr>
    </w:p>
    <w:p w14:paraId="6F100996"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1"/>
          <w:szCs w:val="21"/>
        </w:rPr>
      </w:pPr>
    </w:p>
    <w:p w14:paraId="554CB5A7"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1"/>
          <w:szCs w:val="21"/>
        </w:rPr>
      </w:pPr>
    </w:p>
    <w:p w14:paraId="7AE1B2BD"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1"/>
          <w:szCs w:val="21"/>
        </w:rPr>
      </w:pPr>
    </w:p>
    <w:p w14:paraId="3F92EC27"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1"/>
          <w:szCs w:val="21"/>
        </w:rPr>
      </w:pPr>
    </w:p>
    <w:p w14:paraId="027A78CD"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1"/>
          <w:szCs w:val="21"/>
        </w:rPr>
      </w:pPr>
    </w:p>
    <w:p w14:paraId="2F7901C7" w14:textId="77777777" w:rsidR="007C242F" w:rsidRDefault="00000000">
      <w:pPr>
        <w:pBdr>
          <w:top w:val="nil"/>
          <w:left w:val="nil"/>
          <w:bottom w:val="nil"/>
          <w:right w:val="nil"/>
          <w:between w:val="nil"/>
        </w:pBdr>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z w:val="21"/>
          <w:szCs w:val="21"/>
        </w:rPr>
        <w:t xml:space="preserve">LUIS ALBERTO ALBÁN URBANO </w:t>
      </w:r>
      <w:r>
        <w:rPr>
          <w:rFonts w:ascii="Times New Roman" w:eastAsia="Times New Roman" w:hAnsi="Times New Roman" w:cs="Times New Roman"/>
          <w:b/>
          <w:bCs/>
          <w:color w:val="000000"/>
          <w:sz w:val="21"/>
          <w:szCs w:val="21"/>
        </w:rPr>
        <w:tab/>
      </w:r>
      <w:r>
        <w:rPr>
          <w:rFonts w:ascii="Times New Roman" w:eastAsia="Times New Roman" w:hAnsi="Times New Roman" w:cs="Times New Roman"/>
          <w:b/>
          <w:bCs/>
          <w:color w:val="000000"/>
          <w:sz w:val="21"/>
          <w:szCs w:val="21"/>
        </w:rPr>
        <w:tab/>
      </w:r>
      <w:r>
        <w:rPr>
          <w:rFonts w:ascii="Times New Roman" w:eastAsia="Times New Roman" w:hAnsi="Times New Roman" w:cs="Times New Roman"/>
          <w:b/>
          <w:bCs/>
          <w:color w:val="000000"/>
          <w:sz w:val="21"/>
          <w:szCs w:val="21"/>
        </w:rPr>
        <w:tab/>
      </w:r>
      <w:r>
        <w:rPr>
          <w:rFonts w:ascii="Times New Roman" w:eastAsia="Times New Roman" w:hAnsi="Times New Roman" w:cs="Times New Roman"/>
          <w:b/>
          <w:bCs/>
          <w:color w:val="000000"/>
          <w:sz w:val="21"/>
          <w:szCs w:val="21"/>
        </w:rPr>
        <w:tab/>
        <w:t>LUZ AYDA PASTRANA LOAIZA,</w:t>
      </w:r>
    </w:p>
    <w:p w14:paraId="5045F6B4" w14:textId="77777777" w:rsidR="007C242F" w:rsidRDefault="00000000">
      <w:pP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 xml:space="preserve">REPRESENTANTE A LA CÁMARA </w:t>
      </w:r>
      <w:r>
        <w:rPr>
          <w:rFonts w:ascii="Times New Roman" w:eastAsia="Times New Roman" w:hAnsi="Times New Roman" w:cs="Times New Roman"/>
          <w:b/>
          <w:bCs/>
          <w:sz w:val="21"/>
          <w:szCs w:val="21"/>
        </w:rPr>
        <w:tab/>
      </w:r>
      <w:r>
        <w:rPr>
          <w:rFonts w:ascii="Times New Roman" w:eastAsia="Times New Roman" w:hAnsi="Times New Roman" w:cs="Times New Roman"/>
          <w:b/>
          <w:bCs/>
          <w:sz w:val="21"/>
          <w:szCs w:val="21"/>
        </w:rPr>
        <w:tab/>
      </w:r>
      <w:r>
        <w:rPr>
          <w:rFonts w:ascii="Times New Roman" w:eastAsia="Times New Roman" w:hAnsi="Times New Roman" w:cs="Times New Roman"/>
          <w:b/>
          <w:bCs/>
          <w:sz w:val="21"/>
          <w:szCs w:val="21"/>
        </w:rPr>
        <w:tab/>
      </w:r>
      <w:r>
        <w:rPr>
          <w:rFonts w:ascii="Times New Roman" w:eastAsia="Times New Roman" w:hAnsi="Times New Roman" w:cs="Times New Roman"/>
          <w:b/>
          <w:bCs/>
          <w:sz w:val="21"/>
          <w:szCs w:val="21"/>
        </w:rPr>
        <w:tab/>
        <w:t xml:space="preserve"> REPRESENTANTE A LA CÁMARA</w:t>
      </w:r>
    </w:p>
    <w:p w14:paraId="271625D8"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4"/>
          <w:szCs w:val="24"/>
        </w:rPr>
      </w:pPr>
    </w:p>
    <w:p w14:paraId="17B689C4"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4"/>
          <w:szCs w:val="24"/>
        </w:rPr>
      </w:pPr>
    </w:p>
    <w:p w14:paraId="50CFE3D1"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4"/>
          <w:szCs w:val="24"/>
        </w:rPr>
      </w:pPr>
    </w:p>
    <w:p w14:paraId="5263AAEE"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4"/>
          <w:szCs w:val="24"/>
        </w:rPr>
      </w:pPr>
    </w:p>
    <w:p w14:paraId="54A15CC7"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4"/>
          <w:szCs w:val="24"/>
        </w:rPr>
      </w:pPr>
    </w:p>
    <w:p w14:paraId="4D7122D9" w14:textId="77777777" w:rsidR="007C242F" w:rsidRDefault="007C242F">
      <w:pPr>
        <w:pBdr>
          <w:top w:val="nil"/>
          <w:left w:val="nil"/>
          <w:bottom w:val="nil"/>
          <w:right w:val="nil"/>
          <w:between w:val="nil"/>
        </w:pBdr>
        <w:rPr>
          <w:rFonts w:ascii="Times New Roman" w:eastAsia="Times New Roman" w:hAnsi="Times New Roman" w:cs="Times New Roman"/>
          <w:b/>
          <w:bCs/>
          <w:color w:val="000000"/>
          <w:sz w:val="24"/>
          <w:szCs w:val="24"/>
        </w:rPr>
      </w:pPr>
    </w:p>
    <w:p w14:paraId="0852AF89" w14:textId="77777777" w:rsidR="007C242F" w:rsidRDefault="00000000">
      <w:pPr>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MARELEN CASTILLO TORRES. </w:t>
      </w:r>
    </w:p>
    <w:p w14:paraId="6724BFEF" w14:textId="77777777" w:rsidR="007C242F" w:rsidRDefault="00000000">
      <w:pPr>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REPRESENTANTE A LA CÁMARA </w:t>
      </w:r>
    </w:p>
    <w:p w14:paraId="07E41143" w14:textId="77777777" w:rsidR="007C242F" w:rsidRDefault="007C242F">
      <w:pPr>
        <w:rPr>
          <w:rFonts w:ascii="Times New Roman" w:eastAsia="Times New Roman" w:hAnsi="Times New Roman" w:cs="Times New Roman"/>
          <w:b/>
          <w:bCs/>
          <w:sz w:val="24"/>
          <w:szCs w:val="24"/>
        </w:rPr>
      </w:pPr>
    </w:p>
    <w:p w14:paraId="5376FE39" w14:textId="77777777" w:rsidR="007C242F" w:rsidRDefault="007C242F">
      <w:pPr>
        <w:widowControl/>
        <w:pBdr>
          <w:top w:val="nil"/>
          <w:left w:val="nil"/>
          <w:bottom w:val="nil"/>
          <w:right w:val="nil"/>
          <w:between w:val="nil"/>
        </w:pBdr>
        <w:jc w:val="both"/>
        <w:rPr>
          <w:rFonts w:ascii="Times New Roman" w:eastAsia="Times New Roman" w:hAnsi="Times New Roman" w:cs="Times New Roman"/>
          <w:b/>
          <w:bCs/>
          <w:color w:val="000000"/>
          <w:sz w:val="24"/>
          <w:szCs w:val="24"/>
        </w:rPr>
      </w:pPr>
    </w:p>
    <w:sectPr w:rsidR="007C242F">
      <w:headerReference w:type="default" r:id="rId37"/>
      <w:pgSz w:w="12240" w:h="15840"/>
      <w:pgMar w:top="720" w:right="748"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FB5EE" w14:textId="77777777" w:rsidR="00D85172" w:rsidRDefault="00D85172">
      <w:r>
        <w:separator/>
      </w:r>
    </w:p>
  </w:endnote>
  <w:endnote w:type="continuationSeparator" w:id="0">
    <w:p w14:paraId="680F52B8" w14:textId="77777777" w:rsidR="00D85172" w:rsidRDefault="00D85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71AA55C-6BF1-304E-97A6-5A1781F690B8}"/>
  </w:font>
  <w:font w:name="Courier New">
    <w:panose1 w:val="02070309020205020404"/>
    <w:charset w:val="00"/>
    <w:family w:val="modern"/>
    <w:pitch w:val="fixed"/>
    <w:sig w:usb0="E0002EFF" w:usb1="C0007843" w:usb2="00000009" w:usb3="00000000" w:csb0="000001FF" w:csb1="00000000"/>
    <w:embedRegular r:id="rId2" w:fontKey="{38D929A7-8753-EB4E-927A-D55665DCCF3D}"/>
  </w:font>
  <w:font w:name="Times New Roman">
    <w:panose1 w:val="02020603050405020304"/>
    <w:charset w:val="00"/>
    <w:family w:val="roman"/>
    <w:pitch w:val="variable"/>
    <w:sig w:usb0="E0002EFF" w:usb1="C000785B" w:usb2="00000009" w:usb3="00000000" w:csb0="000001FF" w:csb1="00000000"/>
    <w:embedRegular r:id="rId3" w:fontKey="{C9FD3CCE-8AD1-954C-9ADC-9C38F5DA46B5}"/>
    <w:embedBold r:id="rId4" w:fontKey="{69A784F7-C023-9845-8411-4A4327159054}"/>
    <w:embedItalic r:id="rId5" w:fontKey="{884F48BE-7404-9344-9BF2-9A56052C868C}"/>
    <w:embedBoldItalic r:id="rId6" w:fontKey="{776C7206-9326-3041-977E-9D1262797CE5}"/>
  </w:font>
  <w:font w:name="Arial">
    <w:panose1 w:val="020B0604020202020204"/>
    <w:charset w:val="00"/>
    <w:family w:val="swiss"/>
    <w:pitch w:val="variable"/>
    <w:sig w:usb0="E0002EFF" w:usb1="C000785B" w:usb2="00000009" w:usb3="00000000" w:csb0="000001FF" w:csb1="00000000"/>
    <w:embedRegular r:id="rId7" w:fontKey="{57A2F19C-6244-AB44-A93B-BB596C3DA956}"/>
    <w:embedBold r:id="rId8" w:fontKey="{3448E047-3454-9E44-A821-4DE0F268FFA4}"/>
  </w:font>
  <w:font w:name="Georgia">
    <w:panose1 w:val="02040502050405020303"/>
    <w:charset w:val="00"/>
    <w:family w:val="roman"/>
    <w:pitch w:val="variable"/>
    <w:sig w:usb0="00000287" w:usb1="00000000" w:usb2="00000000" w:usb3="00000000" w:csb0="0000009F" w:csb1="00000000"/>
    <w:embedItalic r:id="rId9" w:fontKey="{AC6376BF-F72A-1C4B-975F-3E122DD05103}"/>
  </w:font>
  <w:font w:name="Calibri">
    <w:panose1 w:val="020F0502020204030204"/>
    <w:charset w:val="00"/>
    <w:family w:val="swiss"/>
    <w:pitch w:val="variable"/>
    <w:sig w:usb0="E4002EFF" w:usb1="C200247B" w:usb2="00000009" w:usb3="00000000" w:csb0="000001FF" w:csb1="00000000"/>
    <w:embedRegular r:id="rId10" w:fontKey="{DA6620E2-ED2D-2E45-8521-F7256626BD74}"/>
  </w:font>
  <w:font w:name="Cambria">
    <w:panose1 w:val="02040503050406030204"/>
    <w:charset w:val="00"/>
    <w:family w:val="roman"/>
    <w:pitch w:val="variable"/>
    <w:sig w:usb0="E00002FF" w:usb1="400004FF" w:usb2="00000000" w:usb3="00000000" w:csb0="0000019F" w:csb1="00000000"/>
    <w:embedRegular r:id="rId11" w:fontKey="{19FD1D49-7371-C14C-8E88-435CAB75B75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4F522D" w14:textId="77777777" w:rsidR="00D85172" w:rsidRDefault="00D85172">
      <w:r>
        <w:separator/>
      </w:r>
    </w:p>
  </w:footnote>
  <w:footnote w:type="continuationSeparator" w:id="0">
    <w:p w14:paraId="6F8AFD7F" w14:textId="77777777" w:rsidR="00D85172" w:rsidRDefault="00D85172">
      <w:r>
        <w:continuationSeparator/>
      </w:r>
    </w:p>
  </w:footnote>
  <w:footnote w:id="1">
    <w:p w14:paraId="66A72801" w14:textId="77777777" w:rsidR="007C242F"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https://www.eltiempo.com/datos/primer-trimestre-del-2025-el-mas-mortal-para-la-fuerza-publica-en-los-ultimos-siete-anos-3450724</w:t>
      </w:r>
    </w:p>
  </w:footnote>
  <w:footnote w:id="2">
    <w:p w14:paraId="35B6916B" w14:textId="77777777" w:rsidR="007C242F"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1">
        <w:r>
          <w:rPr>
            <w:color w:val="000000"/>
            <w:sz w:val="20"/>
            <w:szCs w:val="20"/>
            <w:u w:val="single"/>
          </w:rPr>
          <w:t>https://www.defensoria.gov.co/-/la-expansión-y-consolidación-de-los-grupos-armados-ilegales-son-la-principal-amenaza-para-el-país</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6F8E" w14:textId="77777777" w:rsidR="007C242F" w:rsidRDefault="00000000">
    <w:pPr>
      <w:pBdr>
        <w:top w:val="nil"/>
        <w:left w:val="nil"/>
        <w:bottom w:val="nil"/>
        <w:right w:val="nil"/>
        <w:between w:val="nil"/>
      </w:pBdr>
      <w:tabs>
        <w:tab w:val="center" w:pos="4419"/>
        <w:tab w:val="right" w:pos="8838"/>
      </w:tabs>
      <w:jc w:val="center"/>
      <w:rPr>
        <w:color w:val="000000"/>
      </w:rPr>
    </w:pPr>
    <w:r>
      <w:rPr>
        <w:rFonts w:ascii="Times New Roman" w:eastAsia="Times New Roman" w:hAnsi="Times New Roman" w:cs="Times New Roman"/>
        <w:noProof/>
        <w:color w:val="000000"/>
        <w:sz w:val="20"/>
        <w:szCs w:val="20"/>
      </w:rPr>
      <w:drawing>
        <wp:inline distT="0" distB="0" distL="0" distR="0" wp14:anchorId="7F035CFE" wp14:editId="3F1368C5">
          <wp:extent cx="5612130" cy="894282"/>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12130" cy="89428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C9289F"/>
    <w:multiLevelType w:val="multilevel"/>
    <w:tmpl w:val="37EE227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B000B06"/>
    <w:multiLevelType w:val="multilevel"/>
    <w:tmpl w:val="2FC63BC4"/>
    <w:lvl w:ilvl="0">
      <w:start w:val="1"/>
      <w:numFmt w:val="bullet"/>
      <w:lvlText w:val="●"/>
      <w:lvlJc w:val="left"/>
      <w:pPr>
        <w:ind w:left="1353" w:hanging="359"/>
      </w:pPr>
      <w:rPr>
        <w:rFonts w:ascii="Noto Sans Symbols" w:eastAsia="Noto Sans Symbols" w:hAnsi="Noto Sans Symbols" w:cs="Noto Sans Symbols"/>
      </w:rPr>
    </w:lvl>
    <w:lvl w:ilvl="1">
      <w:start w:val="1"/>
      <w:numFmt w:val="bullet"/>
      <w:lvlText w:val="o"/>
      <w:lvlJc w:val="left"/>
      <w:pPr>
        <w:ind w:left="2073" w:hanging="360"/>
      </w:pPr>
      <w:rPr>
        <w:rFonts w:ascii="Courier New" w:eastAsia="Courier New" w:hAnsi="Courier New" w:cs="Courier New"/>
      </w:rPr>
    </w:lvl>
    <w:lvl w:ilvl="2">
      <w:start w:val="1"/>
      <w:numFmt w:val="bullet"/>
      <w:lvlText w:val="▪"/>
      <w:lvlJc w:val="left"/>
      <w:pPr>
        <w:ind w:left="2793" w:hanging="360"/>
      </w:pPr>
      <w:rPr>
        <w:rFonts w:ascii="Noto Sans Symbols" w:eastAsia="Noto Sans Symbols" w:hAnsi="Noto Sans Symbols" w:cs="Noto Sans Symbols"/>
      </w:rPr>
    </w:lvl>
    <w:lvl w:ilvl="3">
      <w:start w:val="1"/>
      <w:numFmt w:val="bullet"/>
      <w:lvlText w:val="●"/>
      <w:lvlJc w:val="left"/>
      <w:pPr>
        <w:ind w:left="3513" w:hanging="360"/>
      </w:pPr>
      <w:rPr>
        <w:rFonts w:ascii="Noto Sans Symbols" w:eastAsia="Noto Sans Symbols" w:hAnsi="Noto Sans Symbols" w:cs="Noto Sans Symbols"/>
      </w:rPr>
    </w:lvl>
    <w:lvl w:ilvl="4">
      <w:start w:val="1"/>
      <w:numFmt w:val="bullet"/>
      <w:lvlText w:val="o"/>
      <w:lvlJc w:val="left"/>
      <w:pPr>
        <w:ind w:left="4233" w:hanging="360"/>
      </w:pPr>
      <w:rPr>
        <w:rFonts w:ascii="Courier New" w:eastAsia="Courier New" w:hAnsi="Courier New" w:cs="Courier New"/>
      </w:rPr>
    </w:lvl>
    <w:lvl w:ilvl="5">
      <w:start w:val="1"/>
      <w:numFmt w:val="bullet"/>
      <w:lvlText w:val="▪"/>
      <w:lvlJc w:val="left"/>
      <w:pPr>
        <w:ind w:left="4953" w:hanging="360"/>
      </w:pPr>
      <w:rPr>
        <w:rFonts w:ascii="Noto Sans Symbols" w:eastAsia="Noto Sans Symbols" w:hAnsi="Noto Sans Symbols" w:cs="Noto Sans Symbols"/>
      </w:rPr>
    </w:lvl>
    <w:lvl w:ilvl="6">
      <w:start w:val="1"/>
      <w:numFmt w:val="bullet"/>
      <w:lvlText w:val="●"/>
      <w:lvlJc w:val="left"/>
      <w:pPr>
        <w:ind w:left="5673" w:hanging="360"/>
      </w:pPr>
      <w:rPr>
        <w:rFonts w:ascii="Noto Sans Symbols" w:eastAsia="Noto Sans Symbols" w:hAnsi="Noto Sans Symbols" w:cs="Noto Sans Symbols"/>
      </w:rPr>
    </w:lvl>
    <w:lvl w:ilvl="7">
      <w:start w:val="1"/>
      <w:numFmt w:val="bullet"/>
      <w:lvlText w:val="o"/>
      <w:lvlJc w:val="left"/>
      <w:pPr>
        <w:ind w:left="6393" w:hanging="360"/>
      </w:pPr>
      <w:rPr>
        <w:rFonts w:ascii="Courier New" w:eastAsia="Courier New" w:hAnsi="Courier New" w:cs="Courier New"/>
      </w:rPr>
    </w:lvl>
    <w:lvl w:ilvl="8">
      <w:start w:val="1"/>
      <w:numFmt w:val="bullet"/>
      <w:lvlText w:val="▪"/>
      <w:lvlJc w:val="left"/>
      <w:pPr>
        <w:ind w:left="7113" w:hanging="360"/>
      </w:pPr>
      <w:rPr>
        <w:rFonts w:ascii="Noto Sans Symbols" w:eastAsia="Noto Sans Symbols" w:hAnsi="Noto Sans Symbols" w:cs="Noto Sans Symbols"/>
      </w:rPr>
    </w:lvl>
  </w:abstractNum>
  <w:abstractNum w:abstractNumId="2" w15:restartNumberingAfterBreak="0">
    <w:nsid w:val="2CE91A61"/>
    <w:multiLevelType w:val="multilevel"/>
    <w:tmpl w:val="70BA26B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45E3A0C"/>
    <w:multiLevelType w:val="multilevel"/>
    <w:tmpl w:val="21CA8B14"/>
    <w:lvl w:ilvl="0">
      <w:start w:val="1"/>
      <w:numFmt w:val="decimal"/>
      <w:lvlText w:val="%1."/>
      <w:lvlJc w:val="left"/>
      <w:pPr>
        <w:ind w:left="360" w:hanging="360"/>
      </w:pPr>
      <w:rPr>
        <w:b/>
        <w:bCs/>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4" w15:restartNumberingAfterBreak="0">
    <w:nsid w:val="3B9E61E3"/>
    <w:multiLevelType w:val="multilevel"/>
    <w:tmpl w:val="008A20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5C82F64"/>
    <w:multiLevelType w:val="multilevel"/>
    <w:tmpl w:val="954883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B484365"/>
    <w:multiLevelType w:val="multilevel"/>
    <w:tmpl w:val="666A675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96192218">
    <w:abstractNumId w:val="0"/>
  </w:num>
  <w:num w:numId="2" w16cid:durableId="501048279">
    <w:abstractNumId w:val="1"/>
  </w:num>
  <w:num w:numId="3" w16cid:durableId="803894130">
    <w:abstractNumId w:val="5"/>
  </w:num>
  <w:num w:numId="4" w16cid:durableId="1855223750">
    <w:abstractNumId w:val="4"/>
  </w:num>
  <w:num w:numId="5" w16cid:durableId="113863483">
    <w:abstractNumId w:val="6"/>
  </w:num>
  <w:num w:numId="6" w16cid:durableId="1155292144">
    <w:abstractNumId w:val="2"/>
  </w:num>
  <w:num w:numId="7" w16cid:durableId="12532736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42F"/>
    <w:rsid w:val="007C242F"/>
    <w:rsid w:val="007F44D4"/>
    <w:rsid w:val="00D85172"/>
    <w:rsid w:val="00F07FC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D0D8E"/>
  <w15:docId w15:val="{C49CF771-8801-E04F-B42C-42E854B81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CO" w:eastAsia="es-MX"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unhideWhenUsed/>
    <w:qFormat/>
    <w:pPr>
      <w:widowControl/>
      <w:outlineLvl w:val="2"/>
    </w:pPr>
    <w:rPr>
      <w:rFonts w:ascii="Times New Roman" w:eastAsia="Times New Roman" w:hAnsi="Times New Roman" w:cs="Times New Roman"/>
      <w:b/>
      <w:bCs/>
      <w:sz w:val="27"/>
      <w:szCs w:val="27"/>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ind w:left="3567" w:right="3561"/>
      <w:jc w:val="center"/>
    </w:pPr>
    <w:rPr>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93CDDC"/>
        </w:tcBorders>
      </w:tcPr>
    </w:tblStylePr>
    <w:tblStylePr w:type="lastRow">
      <w:rPr>
        <w:b/>
        <w:bCs/>
      </w:rPr>
      <w:tblPr/>
      <w:tcPr>
        <w:tcBorders>
          <w:top w:val="single" w:sz="4" w:space="0" w:color="93CDDC"/>
        </w:tcBorders>
      </w:tcPr>
    </w:tblStylePr>
    <w:tblStylePr w:type="firstCol">
      <w:rPr>
        <w:b/>
        <w:bCs/>
      </w:rPr>
    </w:tblStylePr>
    <w:tblStylePr w:type="lastCol">
      <w:rPr>
        <w:b/>
        <w:bCs/>
      </w:rPr>
    </w:tblStylePr>
  </w:style>
  <w:style w:type="table" w:customStyle="1" w:styleId="a0">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funcionpublica.gov.co/eva/gestornormativo/norma.php?i=60261" TargetMode="External"/><Relationship Id="rId18" Type="http://schemas.openxmlformats.org/officeDocument/2006/relationships/hyperlink" Target="https://www.funcionpublica.gov.co/eva/gestornormativo/norma.php?i=6677" TargetMode="External"/><Relationship Id="rId26" Type="http://schemas.openxmlformats.org/officeDocument/2006/relationships/hyperlink" Target="https://www.funcionpublica.gov.co/eva/gestornormativo/norma.php?i=22629" TargetMode="External"/><Relationship Id="rId39" Type="http://schemas.openxmlformats.org/officeDocument/2006/relationships/theme" Target="theme/theme1.xml"/><Relationship Id="rId21" Type="http://schemas.openxmlformats.org/officeDocument/2006/relationships/hyperlink" Target="https://www.funcionpublica.gov.co/eva/gestornormativo/norma.php?i=60261" TargetMode="External"/><Relationship Id="rId34" Type="http://schemas.openxmlformats.org/officeDocument/2006/relationships/hyperlink" Target="https://www.funcionpublica.gov.co/eva/gestornormativo/norma.php?i=41004" TargetMode="External"/><Relationship Id="rId7" Type="http://schemas.openxmlformats.org/officeDocument/2006/relationships/endnotes" Target="endnotes.xml"/><Relationship Id="rId12" Type="http://schemas.openxmlformats.org/officeDocument/2006/relationships/hyperlink" Target="https://www.funcionpublica.gov.co/eva/gestornormativo/norma.php?i=41004" TargetMode="External"/><Relationship Id="rId17" Type="http://schemas.openxmlformats.org/officeDocument/2006/relationships/hyperlink" Target="https://www.funcionpublica.gov.co/eva/gestornormativo/norma.php?i=6676" TargetMode="External"/><Relationship Id="rId25" Type="http://schemas.openxmlformats.org/officeDocument/2006/relationships/hyperlink" Target="https://www.funcionpublica.gov.co/eva/gestornormativo/norma.php?i=6677" TargetMode="External"/><Relationship Id="rId33" Type="http://schemas.openxmlformats.org/officeDocument/2006/relationships/hyperlink" Target="https://www.funcionpublica.gov.co/eva/gestornormativo/norma.php?i=22629"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uncionpublica.gov.co/eva/gestornormativo/norma.php?i=6372" TargetMode="External"/><Relationship Id="rId20" Type="http://schemas.openxmlformats.org/officeDocument/2006/relationships/hyperlink" Target="https://www.funcionpublica.gov.co/eva/gestornormativo/norma.php?i=41004" TargetMode="External"/><Relationship Id="rId29" Type="http://schemas.openxmlformats.org/officeDocument/2006/relationships/hyperlink" Target="https://www.funcionpublica.gov.co/eva/gestornormativo/norma.php?i=898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uncionpublica.gov.co/eva/gestornormativo/norma.php?i=22629" TargetMode="External"/><Relationship Id="rId24" Type="http://schemas.openxmlformats.org/officeDocument/2006/relationships/hyperlink" Target="https://www.funcionpublica.gov.co/eva/gestornormativo/norma.php?i=6676" TargetMode="External"/><Relationship Id="rId32" Type="http://schemas.openxmlformats.org/officeDocument/2006/relationships/hyperlink" Target="https://www.funcionpublica.gov.co/eva/gestornormativo/norma.php?i=6677" TargetMode="External"/><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www.funcionpublica.gov.co/eva/gestornormativo/norma.php?i=6372" TargetMode="External"/><Relationship Id="rId28" Type="http://schemas.openxmlformats.org/officeDocument/2006/relationships/hyperlink" Target="https://www.funcionpublica.gov.co/eva/gestornormativo/norma.php?i=60261" TargetMode="External"/><Relationship Id="rId36" Type="http://schemas.openxmlformats.org/officeDocument/2006/relationships/hyperlink" Target="https://www.funcionpublica.gov.co/eva/gestornormativo/norma.php?i=89840" TargetMode="External"/><Relationship Id="rId10" Type="http://schemas.openxmlformats.org/officeDocument/2006/relationships/hyperlink" Target="https://www.funcionpublica.gov.co/eva/gestornormativo/norma.php?i=6677" TargetMode="External"/><Relationship Id="rId19" Type="http://schemas.openxmlformats.org/officeDocument/2006/relationships/hyperlink" Target="https://www.funcionpublica.gov.co/eva/gestornormativo/norma.php?i=22629" TargetMode="External"/><Relationship Id="rId31" Type="http://schemas.openxmlformats.org/officeDocument/2006/relationships/hyperlink" Target="https://www.funcionpublica.gov.co/eva/gestornormativo/norma.php?i=6676" TargetMode="External"/><Relationship Id="rId4" Type="http://schemas.openxmlformats.org/officeDocument/2006/relationships/settings" Target="settings.xml"/><Relationship Id="rId9" Type="http://schemas.openxmlformats.org/officeDocument/2006/relationships/hyperlink" Target="https://www.funcionpublica.gov.co/eva/gestornormativo/norma.php?i=6676" TargetMode="External"/><Relationship Id="rId14" Type="http://schemas.openxmlformats.org/officeDocument/2006/relationships/hyperlink" Target="https://www.funcionpublica.gov.co/eva/gestornormativo/norma.php?i=89840" TargetMode="External"/><Relationship Id="rId22" Type="http://schemas.openxmlformats.org/officeDocument/2006/relationships/hyperlink" Target="https://www.funcionpublica.gov.co/eva/gestornormativo/norma.php?i=89840" TargetMode="External"/><Relationship Id="rId27" Type="http://schemas.openxmlformats.org/officeDocument/2006/relationships/hyperlink" Target="https://www.funcionpublica.gov.co/eva/gestornormativo/norma.php?i=41004" TargetMode="External"/><Relationship Id="rId30" Type="http://schemas.openxmlformats.org/officeDocument/2006/relationships/hyperlink" Target="https://www.funcionpublica.gov.co/eva/gestornormativo/norma.php?i=6372" TargetMode="External"/><Relationship Id="rId35" Type="http://schemas.openxmlformats.org/officeDocument/2006/relationships/hyperlink" Target="https://www.funcionpublica.gov.co/eva/gestornormativo/norma.php?i=60261" TargetMode="External"/><Relationship Id="rId8" Type="http://schemas.openxmlformats.org/officeDocument/2006/relationships/hyperlink" Target="https://www.funcionpublica.gov.co/eva/gestornormativo/norma.php?i=6372"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defensoria.gov.co/-/la-expansi%C3%B3n-y-consolidaci%C3%B3n-de-los-grupos-armados-ilegales-son-la-principal-amenaza-para-el-pa%C3%A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iTnd4FIQ0pbtGHDCqkG50PWlEA==">CgMxLjA4AHIhMTVyM2RyVkZmWFFvWUFDNnE2LUlQaTVhYW5ONzJ3RUpr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10326</Words>
  <Characters>53904</Characters>
  <Application>Microsoft Office Word</Application>
  <DocSecurity>0</DocSecurity>
  <Lines>1585</Lines>
  <Paragraphs>482</Paragraphs>
  <ScaleCrop>false</ScaleCrop>
  <Company/>
  <LinksUpToDate>false</LinksUpToDate>
  <CharactersWithSpaces>63748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 Jose Cabarcas Cardenas</cp:lastModifiedBy>
  <cp:revision>2</cp:revision>
  <dcterms:created xsi:type="dcterms:W3CDTF">2026-05-19T16:05:00Z</dcterms:created>
  <dcterms:modified xsi:type="dcterms:W3CDTF">2026-05-19T16:06:00Z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2024-02-20T00:00:00Z</vt:lpwstr>
  </property>
  <property fmtid="{D5CDD505-2E9C-101B-9397-08002B2CF9AE}" pid="3" name="LastSaved">
    <vt:lpwstr>2024-03-15T00:00:00Z</vt:lpwstr>
  </property>
</Properties>
</file>