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5664D" w14:textId="06FB71D5" w:rsidR="001F6316" w:rsidRPr="00D2561F" w:rsidRDefault="00B14FA6" w:rsidP="00DE7A48">
      <w:pPr>
        <w:shd w:val="clear" w:color="auto" w:fill="FFFFFF"/>
        <w:spacing w:line="276" w:lineRule="auto"/>
        <w:rPr>
          <w:rFonts w:ascii="Century Gothic" w:hAnsi="Century Gothic"/>
          <w:color w:val="000000" w:themeColor="text1"/>
          <w:sz w:val="20"/>
          <w:szCs w:val="20"/>
        </w:rPr>
      </w:pPr>
      <w:bookmarkStart w:id="0" w:name="_GoBack"/>
      <w:bookmarkEnd w:id="0"/>
      <w:r w:rsidRPr="00D2561F">
        <w:rPr>
          <w:rFonts w:ascii="Century Gothic" w:hAnsi="Century Gothic"/>
          <w:color w:val="000000" w:themeColor="text1"/>
          <w:sz w:val="20"/>
          <w:szCs w:val="20"/>
        </w:rPr>
        <w:t xml:space="preserve">Bogotá D.C., </w:t>
      </w:r>
      <w:r w:rsidR="00DE7A48" w:rsidRPr="00D2561F">
        <w:rPr>
          <w:rFonts w:ascii="Century Gothic" w:hAnsi="Century Gothic"/>
          <w:color w:val="000000" w:themeColor="text1"/>
          <w:sz w:val="20"/>
          <w:szCs w:val="20"/>
        </w:rPr>
        <w:t>3 de junio</w:t>
      </w:r>
      <w:r w:rsidRPr="00D2561F">
        <w:rPr>
          <w:rFonts w:ascii="Century Gothic" w:hAnsi="Century Gothic"/>
          <w:color w:val="000000" w:themeColor="text1"/>
          <w:sz w:val="20"/>
          <w:szCs w:val="20"/>
        </w:rPr>
        <w:t xml:space="preserve"> de 2026</w:t>
      </w:r>
    </w:p>
    <w:p w14:paraId="7F25664E" w14:textId="77777777" w:rsidR="001F6316" w:rsidRPr="00D2561F" w:rsidRDefault="001F6316" w:rsidP="00DE7A48">
      <w:pPr>
        <w:shd w:val="clear" w:color="auto" w:fill="FFFFFF"/>
        <w:spacing w:line="276" w:lineRule="auto"/>
        <w:jc w:val="both"/>
        <w:rPr>
          <w:rFonts w:ascii="Century Gothic" w:hAnsi="Century Gothic"/>
          <w:color w:val="000000" w:themeColor="text1"/>
          <w:sz w:val="20"/>
          <w:szCs w:val="20"/>
        </w:rPr>
      </w:pPr>
    </w:p>
    <w:p w14:paraId="7F25664F" w14:textId="77777777" w:rsidR="001F6316" w:rsidRPr="00D2561F" w:rsidRDefault="001F6316" w:rsidP="00DE7A48">
      <w:pPr>
        <w:shd w:val="clear" w:color="auto" w:fill="FFFFFF"/>
        <w:spacing w:line="276" w:lineRule="auto"/>
        <w:jc w:val="both"/>
        <w:rPr>
          <w:rFonts w:ascii="Century Gothic" w:hAnsi="Century Gothic"/>
          <w:color w:val="000000" w:themeColor="text1"/>
          <w:sz w:val="20"/>
          <w:szCs w:val="20"/>
        </w:rPr>
      </w:pPr>
    </w:p>
    <w:p w14:paraId="7F256650" w14:textId="77777777" w:rsidR="001F6316" w:rsidRPr="00D2561F" w:rsidRDefault="00B14FA6" w:rsidP="00DE7A48">
      <w:pPr>
        <w:shd w:val="clear" w:color="auto" w:fill="FFFFFF"/>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Honorable Representante</w:t>
      </w:r>
    </w:p>
    <w:p w14:paraId="7F256651" w14:textId="77777777" w:rsidR="001F6316" w:rsidRPr="00D2561F" w:rsidRDefault="00B14FA6" w:rsidP="00DE7A48">
      <w:pPr>
        <w:shd w:val="clear" w:color="auto" w:fill="FFFFFF"/>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GABRIEL BECERRA YÁÑEZ</w:t>
      </w:r>
    </w:p>
    <w:p w14:paraId="7F256652" w14:textId="77777777" w:rsidR="001F6316" w:rsidRPr="00D2561F" w:rsidRDefault="00B14FA6" w:rsidP="00DE7A48">
      <w:pPr>
        <w:shd w:val="clear" w:color="auto" w:fill="FFFFFF"/>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Presidente</w:t>
      </w:r>
      <w:r w:rsidRPr="00D2561F">
        <w:rPr>
          <w:rFonts w:ascii="Century Gothic" w:hAnsi="Century Gothic"/>
          <w:b/>
          <w:bCs/>
          <w:color w:val="000000" w:themeColor="text1"/>
          <w:sz w:val="20"/>
          <w:szCs w:val="20"/>
        </w:rPr>
        <w:br/>
      </w:r>
      <w:r w:rsidRPr="00D2561F">
        <w:rPr>
          <w:rFonts w:ascii="Century Gothic" w:hAnsi="Century Gothic"/>
          <w:color w:val="000000" w:themeColor="text1"/>
          <w:sz w:val="20"/>
          <w:szCs w:val="20"/>
        </w:rPr>
        <w:t xml:space="preserve">Comisión Primera Constitucional Permanente </w:t>
      </w:r>
    </w:p>
    <w:p w14:paraId="7F256653" w14:textId="77777777" w:rsidR="001F6316" w:rsidRPr="00D2561F" w:rsidRDefault="00B14FA6" w:rsidP="00DE7A48">
      <w:pPr>
        <w:shd w:val="clear" w:color="auto" w:fill="FFFFFF"/>
        <w:spacing w:line="276" w:lineRule="auto"/>
        <w:jc w:val="both"/>
        <w:rPr>
          <w:rFonts w:ascii="Century Gothic" w:hAnsi="Century Gothic"/>
          <w:b/>
          <w:bCs/>
          <w:color w:val="000000" w:themeColor="text1"/>
          <w:sz w:val="20"/>
          <w:szCs w:val="20"/>
        </w:rPr>
      </w:pPr>
      <w:r w:rsidRPr="00D2561F">
        <w:rPr>
          <w:rFonts w:ascii="Century Gothic" w:hAnsi="Century Gothic"/>
          <w:color w:val="000000" w:themeColor="text1"/>
          <w:sz w:val="20"/>
          <w:szCs w:val="20"/>
        </w:rPr>
        <w:t>Cámara de Representantes</w:t>
      </w:r>
    </w:p>
    <w:p w14:paraId="7F256654" w14:textId="77777777" w:rsidR="001F6316" w:rsidRPr="00D2561F" w:rsidRDefault="00B14FA6" w:rsidP="00DE7A48">
      <w:pPr>
        <w:shd w:val="clear" w:color="auto" w:fill="FFFFFF"/>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Ciudad</w:t>
      </w:r>
    </w:p>
    <w:p w14:paraId="7F256655" w14:textId="77777777" w:rsidR="001F6316" w:rsidRPr="00D2561F" w:rsidRDefault="001F6316" w:rsidP="00DE7A48">
      <w:pPr>
        <w:shd w:val="clear" w:color="auto" w:fill="FFFFFF"/>
        <w:spacing w:line="276" w:lineRule="auto"/>
        <w:jc w:val="both"/>
        <w:rPr>
          <w:rFonts w:ascii="Century Gothic" w:hAnsi="Century Gothic"/>
          <w:color w:val="000000" w:themeColor="text1"/>
          <w:sz w:val="20"/>
          <w:szCs w:val="20"/>
        </w:rPr>
      </w:pPr>
    </w:p>
    <w:p w14:paraId="7F256656" w14:textId="77777777" w:rsidR="001F6316" w:rsidRPr="00D2561F" w:rsidRDefault="001F6316" w:rsidP="00DE7A48">
      <w:pPr>
        <w:shd w:val="clear" w:color="auto" w:fill="FFFFFF"/>
        <w:spacing w:line="276" w:lineRule="auto"/>
        <w:jc w:val="both"/>
        <w:rPr>
          <w:rFonts w:ascii="Century Gothic" w:hAnsi="Century Gothic"/>
          <w:color w:val="000000" w:themeColor="text1"/>
          <w:sz w:val="20"/>
          <w:szCs w:val="20"/>
        </w:rPr>
      </w:pPr>
    </w:p>
    <w:p w14:paraId="7F256657" w14:textId="746D506F" w:rsidR="001F6316" w:rsidRPr="00D2561F" w:rsidRDefault="00B14FA6" w:rsidP="00DE7A48">
      <w:pPr>
        <w:spacing w:line="276" w:lineRule="auto"/>
        <w:ind w:left="1416" w:right="193"/>
        <w:jc w:val="both"/>
        <w:rPr>
          <w:rFonts w:ascii="Century Gothic" w:hAnsi="Century Gothic"/>
          <w:i/>
          <w:iCs/>
          <w:color w:val="000000" w:themeColor="text1"/>
          <w:sz w:val="20"/>
          <w:szCs w:val="20"/>
        </w:rPr>
      </w:pPr>
      <w:r w:rsidRPr="00D2561F">
        <w:rPr>
          <w:rFonts w:ascii="Century Gothic" w:hAnsi="Century Gothic"/>
          <w:b/>
          <w:bCs/>
          <w:color w:val="000000" w:themeColor="text1"/>
          <w:sz w:val="20"/>
          <w:szCs w:val="20"/>
        </w:rPr>
        <w:t xml:space="preserve">Asunto: </w:t>
      </w:r>
      <w:r w:rsidRPr="00D2561F">
        <w:rPr>
          <w:rFonts w:ascii="Century Gothic" w:hAnsi="Century Gothic"/>
          <w:color w:val="000000" w:themeColor="text1"/>
          <w:sz w:val="20"/>
          <w:szCs w:val="20"/>
        </w:rPr>
        <w:t>Informe de ponencia</w:t>
      </w:r>
      <w:r w:rsidR="008A4132" w:rsidRPr="00D2561F">
        <w:rPr>
          <w:rFonts w:ascii="Century Gothic" w:hAnsi="Century Gothic"/>
          <w:color w:val="000000" w:themeColor="text1"/>
          <w:sz w:val="20"/>
          <w:szCs w:val="20"/>
        </w:rPr>
        <w:t xml:space="preserve"> positiva </w:t>
      </w:r>
      <w:r w:rsidRPr="00D2561F">
        <w:rPr>
          <w:rFonts w:ascii="Century Gothic" w:hAnsi="Century Gothic"/>
          <w:color w:val="000000" w:themeColor="text1"/>
          <w:sz w:val="20"/>
          <w:szCs w:val="20"/>
        </w:rPr>
        <w:t>para segundo debate</w:t>
      </w:r>
      <w:r w:rsidR="008A4132" w:rsidRPr="00D2561F">
        <w:rPr>
          <w:rFonts w:ascii="Century Gothic" w:hAnsi="Century Gothic"/>
          <w:color w:val="000000" w:themeColor="text1"/>
          <w:sz w:val="20"/>
          <w:szCs w:val="20"/>
        </w:rPr>
        <w:t xml:space="preserve"> Cámara de Representante </w:t>
      </w:r>
      <w:r w:rsidRPr="00D2561F">
        <w:rPr>
          <w:rFonts w:ascii="Century Gothic" w:hAnsi="Century Gothic"/>
          <w:color w:val="000000" w:themeColor="text1"/>
          <w:sz w:val="20"/>
          <w:szCs w:val="20"/>
        </w:rPr>
        <w:t xml:space="preserve">al Proyecto de Ley Estatutaria No. 497 de 2025 Cámara - No. 069 de 2025 Senado </w:t>
      </w:r>
      <w:r w:rsidRPr="00D2561F">
        <w:rPr>
          <w:rFonts w:ascii="Century Gothic" w:hAnsi="Century Gothic"/>
          <w:i/>
          <w:iCs/>
          <w:color w:val="000000" w:themeColor="text1"/>
          <w:sz w:val="20"/>
          <w:szCs w:val="20"/>
        </w:rPr>
        <w:t>“Por medio de la cual se crea el proceso único especial</w:t>
      </w:r>
      <w:r w:rsidR="008F6226" w:rsidRPr="00D2561F">
        <w:rPr>
          <w:rFonts w:ascii="Century Gothic" w:hAnsi="Century Gothic"/>
          <w:i/>
          <w:iCs/>
          <w:color w:val="000000" w:themeColor="text1"/>
          <w:sz w:val="20"/>
          <w:szCs w:val="20"/>
        </w:rPr>
        <w:t xml:space="preserve"> de</w:t>
      </w:r>
      <w:r w:rsidRPr="00D2561F">
        <w:rPr>
          <w:rFonts w:ascii="Century Gothic" w:hAnsi="Century Gothic"/>
          <w:i/>
          <w:iCs/>
          <w:color w:val="000000" w:themeColor="text1"/>
          <w:sz w:val="20"/>
          <w:szCs w:val="20"/>
        </w:rPr>
        <w:t xml:space="preserve"> </w:t>
      </w:r>
      <w:r w:rsidR="008F6226" w:rsidRPr="00D2561F">
        <w:rPr>
          <w:rFonts w:ascii="Century Gothic" w:hAnsi="Century Gothic"/>
          <w:i/>
          <w:iCs/>
          <w:color w:val="000000" w:themeColor="text1"/>
          <w:sz w:val="20"/>
          <w:szCs w:val="20"/>
        </w:rPr>
        <w:t>A</w:t>
      </w:r>
      <w:r w:rsidRPr="00D2561F">
        <w:rPr>
          <w:rFonts w:ascii="Century Gothic" w:hAnsi="Century Gothic"/>
          <w:i/>
          <w:iCs/>
          <w:color w:val="000000" w:themeColor="text1"/>
          <w:sz w:val="20"/>
          <w:szCs w:val="20"/>
        </w:rPr>
        <w:t xml:space="preserve">mparo </w:t>
      </w:r>
      <w:r w:rsidR="008F6226" w:rsidRPr="00D2561F">
        <w:rPr>
          <w:rFonts w:ascii="Century Gothic" w:hAnsi="Century Gothic"/>
          <w:i/>
          <w:iCs/>
          <w:color w:val="000000" w:themeColor="text1"/>
          <w:sz w:val="20"/>
          <w:szCs w:val="20"/>
        </w:rPr>
        <w:t>A</w:t>
      </w:r>
      <w:r w:rsidRPr="00D2561F">
        <w:rPr>
          <w:rFonts w:ascii="Century Gothic" w:hAnsi="Century Gothic"/>
          <w:i/>
          <w:iCs/>
          <w:color w:val="000000" w:themeColor="text1"/>
          <w:sz w:val="20"/>
          <w:szCs w:val="20"/>
        </w:rPr>
        <w:t xml:space="preserve">limentario y se dictan otras disposiciones”. </w:t>
      </w:r>
    </w:p>
    <w:p w14:paraId="7F256658" w14:textId="77777777" w:rsidR="001F6316" w:rsidRPr="00D2561F" w:rsidRDefault="001F6316" w:rsidP="00DE7A48">
      <w:pPr>
        <w:shd w:val="clear" w:color="auto" w:fill="FFFFFF"/>
        <w:spacing w:line="276" w:lineRule="auto"/>
        <w:jc w:val="both"/>
        <w:rPr>
          <w:rFonts w:ascii="Century Gothic" w:hAnsi="Century Gothic"/>
          <w:color w:val="000000" w:themeColor="text1"/>
          <w:sz w:val="20"/>
          <w:szCs w:val="20"/>
        </w:rPr>
      </w:pPr>
    </w:p>
    <w:p w14:paraId="7F256659" w14:textId="77777777" w:rsidR="001F6316" w:rsidRPr="00D2561F" w:rsidRDefault="001F6316" w:rsidP="00DE7A48">
      <w:pPr>
        <w:shd w:val="clear" w:color="auto" w:fill="FFFFFF"/>
        <w:spacing w:line="276" w:lineRule="auto"/>
        <w:jc w:val="both"/>
        <w:rPr>
          <w:rFonts w:ascii="Century Gothic" w:hAnsi="Century Gothic"/>
          <w:color w:val="000000" w:themeColor="text1"/>
          <w:sz w:val="20"/>
          <w:szCs w:val="20"/>
        </w:rPr>
      </w:pPr>
    </w:p>
    <w:p w14:paraId="7F25665A" w14:textId="77777777" w:rsidR="001F6316" w:rsidRPr="00D2561F" w:rsidRDefault="00B14FA6" w:rsidP="00DE7A48">
      <w:pPr>
        <w:shd w:val="clear" w:color="auto" w:fill="FFFFFF"/>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Respetado señor Presidente;</w:t>
      </w:r>
    </w:p>
    <w:p w14:paraId="7F25665B" w14:textId="77777777" w:rsidR="001F6316" w:rsidRPr="00D2561F" w:rsidRDefault="001F6316" w:rsidP="00DE7A48">
      <w:pPr>
        <w:shd w:val="clear" w:color="auto" w:fill="FFFFFF"/>
        <w:spacing w:line="276" w:lineRule="auto"/>
        <w:jc w:val="both"/>
        <w:rPr>
          <w:rFonts w:ascii="Century Gothic" w:hAnsi="Century Gothic"/>
          <w:color w:val="000000" w:themeColor="text1"/>
          <w:sz w:val="20"/>
          <w:szCs w:val="20"/>
        </w:rPr>
      </w:pPr>
    </w:p>
    <w:p w14:paraId="7F25665D" w14:textId="77777777" w:rsidR="001F6316" w:rsidRPr="00D2561F" w:rsidRDefault="001F6316" w:rsidP="00DE7A48">
      <w:pPr>
        <w:shd w:val="clear" w:color="auto" w:fill="FFFFFF"/>
        <w:spacing w:line="276" w:lineRule="auto"/>
        <w:jc w:val="both"/>
        <w:rPr>
          <w:rFonts w:ascii="Century Gothic" w:hAnsi="Century Gothic"/>
          <w:color w:val="000000" w:themeColor="text1"/>
          <w:sz w:val="20"/>
          <w:szCs w:val="20"/>
        </w:rPr>
      </w:pPr>
    </w:p>
    <w:p w14:paraId="7F25665E" w14:textId="05F1F80F" w:rsidR="001F6316" w:rsidRPr="00D2561F" w:rsidRDefault="00B14FA6" w:rsidP="00DE7A48">
      <w:pPr>
        <w:spacing w:line="276" w:lineRule="auto"/>
        <w:ind w:right="19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En cumplimiento de la designación efectuada por la Mesa Directiva de la Comisión Primera Constitucional de la Cámara de Representantes y de acuerdo con lo establecido en el Artículo 156 de la Ley 5 de 1992, </w:t>
      </w:r>
      <w:r w:rsidR="007648E4" w:rsidRPr="00D2561F">
        <w:rPr>
          <w:rFonts w:ascii="Century Gothic" w:hAnsi="Century Gothic"/>
          <w:color w:val="000000" w:themeColor="text1"/>
          <w:sz w:val="20"/>
          <w:szCs w:val="20"/>
        </w:rPr>
        <w:t>nos permitimos</w:t>
      </w:r>
      <w:r w:rsidRPr="00D2561F">
        <w:rPr>
          <w:rFonts w:ascii="Century Gothic" w:hAnsi="Century Gothic"/>
          <w:color w:val="000000" w:themeColor="text1"/>
          <w:sz w:val="20"/>
          <w:szCs w:val="20"/>
        </w:rPr>
        <w:t xml:space="preserve"> rendir informe de</w:t>
      </w:r>
      <w:r w:rsidRPr="00D2561F">
        <w:rPr>
          <w:rFonts w:ascii="Century Gothic" w:hAnsi="Century Gothic"/>
          <w:b/>
          <w:bCs/>
          <w:color w:val="000000" w:themeColor="text1"/>
          <w:sz w:val="20"/>
          <w:szCs w:val="20"/>
        </w:rPr>
        <w:t xml:space="preserve"> ponencia </w:t>
      </w:r>
      <w:r w:rsidR="008A4132" w:rsidRPr="00D2561F">
        <w:rPr>
          <w:rFonts w:ascii="Century Gothic" w:hAnsi="Century Gothic"/>
          <w:b/>
          <w:bCs/>
          <w:color w:val="000000" w:themeColor="text1"/>
          <w:sz w:val="20"/>
          <w:szCs w:val="20"/>
        </w:rPr>
        <w:t xml:space="preserve">positiva </w:t>
      </w:r>
      <w:r w:rsidRPr="00D2561F">
        <w:rPr>
          <w:rFonts w:ascii="Century Gothic" w:hAnsi="Century Gothic"/>
          <w:b/>
          <w:bCs/>
          <w:color w:val="000000" w:themeColor="text1"/>
          <w:sz w:val="20"/>
          <w:szCs w:val="20"/>
        </w:rPr>
        <w:t>para segundo debate</w:t>
      </w:r>
      <w:r w:rsidR="007648E4" w:rsidRPr="00D2561F">
        <w:rPr>
          <w:rFonts w:ascii="Century Gothic" w:hAnsi="Century Gothic"/>
          <w:b/>
          <w:bCs/>
          <w:color w:val="000000" w:themeColor="text1"/>
          <w:sz w:val="20"/>
          <w:szCs w:val="20"/>
        </w:rPr>
        <w:t xml:space="preserve"> </w:t>
      </w:r>
      <w:r w:rsidR="00EA0770" w:rsidRPr="00D2561F">
        <w:rPr>
          <w:rFonts w:ascii="Century Gothic" w:hAnsi="Century Gothic"/>
          <w:b/>
          <w:bCs/>
          <w:color w:val="000000" w:themeColor="text1"/>
          <w:sz w:val="20"/>
          <w:szCs w:val="20"/>
        </w:rPr>
        <w:t>Cámara de Representantes</w:t>
      </w:r>
      <w:r w:rsidRPr="00D2561F">
        <w:rPr>
          <w:rFonts w:ascii="Century Gothic" w:hAnsi="Century Gothic"/>
          <w:b/>
          <w:bCs/>
          <w:color w:val="000000" w:themeColor="text1"/>
          <w:sz w:val="20"/>
          <w:szCs w:val="20"/>
        </w:rPr>
        <w:t xml:space="preserve"> al </w:t>
      </w:r>
      <w:r w:rsidR="008F6226" w:rsidRPr="00D2561F">
        <w:rPr>
          <w:rFonts w:ascii="Century Gothic" w:hAnsi="Century Gothic"/>
          <w:b/>
          <w:bCs/>
          <w:color w:val="000000" w:themeColor="text1"/>
          <w:sz w:val="20"/>
          <w:szCs w:val="20"/>
        </w:rPr>
        <w:t>Proyecto de Ley Estatutaria No. 497 de 2025 Cámara - No. 069 de 2025 Senado</w:t>
      </w:r>
      <w:r w:rsidR="008F6226" w:rsidRPr="00D2561F">
        <w:rPr>
          <w:rFonts w:ascii="Century Gothic" w:hAnsi="Century Gothic"/>
          <w:color w:val="000000" w:themeColor="text1"/>
          <w:sz w:val="20"/>
          <w:szCs w:val="20"/>
        </w:rPr>
        <w:t xml:space="preserve"> </w:t>
      </w:r>
      <w:r w:rsidR="008F6226" w:rsidRPr="00D2561F">
        <w:rPr>
          <w:rFonts w:ascii="Century Gothic" w:hAnsi="Century Gothic"/>
          <w:i/>
          <w:iCs/>
          <w:color w:val="000000" w:themeColor="text1"/>
          <w:sz w:val="20"/>
          <w:szCs w:val="20"/>
        </w:rPr>
        <w:t xml:space="preserve">“Por medio de la cual se crea el proceso único especial de Amparo Alimentario y se dictan otras disposiciones”, </w:t>
      </w:r>
      <w:r w:rsidRPr="00D2561F">
        <w:rPr>
          <w:rFonts w:ascii="Century Gothic" w:hAnsi="Century Gothic"/>
          <w:color w:val="000000" w:themeColor="text1"/>
          <w:sz w:val="20"/>
          <w:szCs w:val="20"/>
        </w:rPr>
        <w:t>en los siguientes términos:</w:t>
      </w:r>
    </w:p>
    <w:p w14:paraId="7F25665F"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60"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61" w14:textId="77777777" w:rsidR="001F6316" w:rsidRPr="00D2561F" w:rsidRDefault="00B14FA6" w:rsidP="00DE7A48">
      <w:pPr>
        <w:numPr>
          <w:ilvl w:val="0"/>
          <w:numId w:val="1"/>
        </w:num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TRÁMITE DE LA INICIATIVA</w:t>
      </w:r>
    </w:p>
    <w:p w14:paraId="7F256662"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63"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El Proyecto de Ley Estatutaria bajo estudio fue radicado el 29 de julio de 2025, ante la Secretaría General del Senado de la República. Es de autoría de los </w:t>
      </w:r>
      <w:r w:rsidRPr="00D2561F">
        <w:rPr>
          <w:rFonts w:ascii="Century Gothic" w:hAnsi="Century Gothic"/>
          <w:color w:val="000000" w:themeColor="text1"/>
          <w:sz w:val="20"/>
          <w:szCs w:val="20"/>
        </w:rPr>
        <w:br/>
        <w:t>H.S. Angelica Lozano Correa, Ana María Castañeda Gómez, Andrea Padilla Villarraga, Liliana Bitar Castilla, Norma Hurtado Sánchez, Aída Avella Esquivel, Maria Fernanda Cabal Molina, Beatriz Lorena Ríos Cuellar, Claudia Pérez Giraldo; H.R. Flora Perdomo Andrade, Leonor Palencia Vega, Alexandra Vásquez Ochoa, Luz Ayda Pastrana Loaiza, Marelen Castillo Torres, Carolina Giraldo Botero, Carmen Felisa Ramirez Boscan, Martha Alfonso Jurado, Delcy Isaza Buenaventura, Jezmi Barraza Arraut, Olga Lucía Velasquez Nieto, Jennifer Pedraza Sandoval, Wilder Iberson Escobar Ortiz. El proyecto original fue publicado en la Gaceta 1417 de 2025.</w:t>
      </w:r>
    </w:p>
    <w:p w14:paraId="7F256664"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65"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Mediante Acta MD-05 del 15 de agosto de 2025, la Mesa Directiva de la Comisión Primera del Senado de la República designó como ponente única del Proyecto de Ley en mención a la H.S. Paloma Valencia Laserna. </w:t>
      </w:r>
    </w:p>
    <w:p w14:paraId="7F256666"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67" w14:textId="77777777" w:rsidR="001F6316" w:rsidRPr="00D2561F" w:rsidRDefault="00B14FA6" w:rsidP="00DE7A48">
      <w:pPr>
        <w:spacing w:line="276" w:lineRule="auto"/>
        <w:jc w:val="both"/>
        <w:rPr>
          <w:rFonts w:ascii="Century Gothic" w:hAnsi="Century Gothic"/>
          <w:color w:val="000000" w:themeColor="text1"/>
          <w:sz w:val="20"/>
          <w:szCs w:val="20"/>
        </w:rPr>
      </w:pPr>
      <w:bookmarkStart w:id="1" w:name="bookmark=id.po56126hnnz8" w:colFirst="0" w:colLast="0"/>
      <w:bookmarkStart w:id="2" w:name="bookmark=id.hc080gwizabk" w:colFirst="0" w:colLast="0"/>
      <w:bookmarkEnd w:id="1"/>
      <w:bookmarkEnd w:id="2"/>
      <w:r w:rsidRPr="00D2561F">
        <w:rPr>
          <w:rFonts w:ascii="Century Gothic" w:hAnsi="Century Gothic"/>
          <w:color w:val="000000" w:themeColor="text1"/>
          <w:sz w:val="20"/>
          <w:szCs w:val="20"/>
        </w:rPr>
        <w:t xml:space="preserve">El 21 de octubre de 2025 se dio primer debate al proyecto de ley bajo estudio en la Comisión Primera del Senado. Los Honorables Senadores Julio Elías Chagui, Carlos Alejandro Chacón y Jota Pe Hernández presentaron impedimento para participar en la discusión, votación y aprobación de este proyecto, por considerar que tenían un posible conflicto de interés, los cuales fueron votados de manera independiente y negados por la Comisión. </w:t>
      </w:r>
    </w:p>
    <w:p w14:paraId="7F256668"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69"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Posteriormente, se aprobó la proposición con que termina la ponencia con un total de 13 votos por el Si y 0 por el No. Durante el debate se presentaron las siguientes proposiciones: </w:t>
      </w:r>
    </w:p>
    <w:p w14:paraId="7F25666A"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6B" w14:textId="77777777" w:rsidR="001F6316" w:rsidRPr="00D2561F" w:rsidRDefault="00B14FA6" w:rsidP="00DE7A48">
      <w:pPr>
        <w:numPr>
          <w:ilvl w:val="0"/>
          <w:numId w:val="23"/>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Una (1) proposición al artículo 6 del senador Jota Pe Hernández, que adiciona que los formatos de demanda y contestación deberán ser elaborados dentro de los 3 meses siguientes a la promulgación de la ley, la cual fue avalada. </w:t>
      </w:r>
    </w:p>
    <w:p w14:paraId="7F25666C" w14:textId="77777777" w:rsidR="001F6316" w:rsidRPr="00D2561F" w:rsidRDefault="00B14FA6" w:rsidP="00DE7A48">
      <w:pPr>
        <w:numPr>
          <w:ilvl w:val="0"/>
          <w:numId w:val="23"/>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lastRenderedPageBreak/>
        <w:t xml:space="preserve">Una (1) proposición al artículo 14 de la senadora Clara López, que adiciona la Administradora de los Recursos del Sistema General de Seguridad Social en Salud ADRES al listado de entidades cuyas bases de datos podrán ser consultadas para probar la capacidad económica del deudor, la cual fue avalada. </w:t>
      </w:r>
    </w:p>
    <w:p w14:paraId="7F25666D" w14:textId="77777777" w:rsidR="001F6316" w:rsidRPr="00D2561F" w:rsidRDefault="00B14FA6" w:rsidP="00DE7A48">
      <w:pPr>
        <w:numPr>
          <w:ilvl w:val="0"/>
          <w:numId w:val="23"/>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Una (1) proposición al artículo 15 de la senadora Paloma Valencia, que suprime la Superintendencia de Industria y Comercio de las entidades que dispondrán la información a través de la plataforma de consulta, la cual fue avalada. </w:t>
      </w:r>
    </w:p>
    <w:p w14:paraId="7F25666E" w14:textId="77777777" w:rsidR="001F6316" w:rsidRPr="00D2561F" w:rsidRDefault="00B14FA6" w:rsidP="00DE7A48">
      <w:pPr>
        <w:numPr>
          <w:ilvl w:val="0"/>
          <w:numId w:val="23"/>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Una (1) proposición al artículo nuevo de la senadora Aida Quilcue, para considerar los impactos culturales en las decisiones judiciales en los casos de menores indígenas, la cual fue avalada. </w:t>
      </w:r>
    </w:p>
    <w:p w14:paraId="7F25666F" w14:textId="77777777" w:rsidR="001F6316" w:rsidRPr="00D2561F" w:rsidRDefault="00B14FA6" w:rsidP="00DE7A48">
      <w:pPr>
        <w:numPr>
          <w:ilvl w:val="0"/>
          <w:numId w:val="23"/>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Dos (2) proposiciones a los artículos 2 y 13 del senador Julián Gallo, relativas a acreditar prueba sumaria y exceptuar los casos de víctimas de violencia basadas en género, respectivamente, las cuales quedaron como constancia toda vez que no se encontraba en el recinto. </w:t>
      </w:r>
    </w:p>
    <w:p w14:paraId="7F256670" w14:textId="77777777" w:rsidR="001F6316" w:rsidRPr="00D2561F" w:rsidRDefault="00B14FA6" w:rsidP="00DE7A48">
      <w:pPr>
        <w:numPr>
          <w:ilvl w:val="0"/>
          <w:numId w:val="23"/>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Cuatro (4) proposiciones del senador Carlos Fernando Motoa, orientadas a: i) adicionar sujetos de especial protección constitucional (artículo 1); ii) suprimir el numeral i (artículo 2); iii) suprimir la fijación de alimentos y la mención a la ley estatutaria de administración de justicia (artículo 6), iv) suprime un aparte del parágrafo 2 y la totalidad del parágrafo 3 (artículo 7). Estas proposiciones quedaron como constancia toda vez que el senador no se encontraba en el recinto. </w:t>
      </w:r>
    </w:p>
    <w:p w14:paraId="7F256671"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72"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Así las cosas, se sometió a consideración el bloque del articulado con las proposiciones avaladas a los artículos 6, 14 y 15, el artículo nuevo, además del título y la pregunta, los cuales fueron aprobados en su totalidad con 13 votos por el Si y 0 por el No. El desarrollo de esta sesión quedó consignado en el Acta 12 del 21 de octubre de 2025.</w:t>
      </w:r>
    </w:p>
    <w:p w14:paraId="7F256673"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674"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La Mesa Directiva de la Comisión Primera designó como ponente única para segundo debate en la Plenaria del Senado de la República a la H.S. Paloma Valencia Laserna. </w:t>
      </w:r>
    </w:p>
    <w:p w14:paraId="7F256675"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676"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El pasado 20 de noviembre de 2025 el Proyecto de Ley fue aprobado de forma unánime en segundo debate por la Plenaria del Senado. </w:t>
      </w:r>
    </w:p>
    <w:p w14:paraId="7F256677"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678" w14:textId="77777777" w:rsidR="001F6316" w:rsidRPr="00D2561F" w:rsidRDefault="00B14FA6" w:rsidP="00DE7A48">
      <w:pPr>
        <w:spacing w:line="276" w:lineRule="auto"/>
        <w:rPr>
          <w:rFonts w:ascii="Century Gothic" w:hAnsi="Century Gothic"/>
          <w:color w:val="000000" w:themeColor="text1"/>
          <w:sz w:val="20"/>
          <w:szCs w:val="20"/>
        </w:rPr>
      </w:pPr>
      <w:r w:rsidRPr="00D2561F">
        <w:rPr>
          <w:rFonts w:ascii="Century Gothic" w:hAnsi="Century Gothic"/>
          <w:color w:val="000000" w:themeColor="text1"/>
          <w:sz w:val="20"/>
          <w:szCs w:val="20"/>
        </w:rPr>
        <w:t>La Mesa Directiva de la Comisión Primera designó como ponente única para primer debate a la H.R Delcy Esperanza Isaza Buenaventura.</w:t>
      </w:r>
    </w:p>
    <w:p w14:paraId="7F256679" w14:textId="77777777" w:rsidR="001F6316" w:rsidRPr="00D2561F" w:rsidRDefault="001F6316" w:rsidP="00DE7A48">
      <w:pPr>
        <w:spacing w:line="276" w:lineRule="auto"/>
        <w:rPr>
          <w:rFonts w:ascii="Century Gothic" w:hAnsi="Century Gothic"/>
          <w:color w:val="000000" w:themeColor="text1"/>
          <w:sz w:val="20"/>
          <w:szCs w:val="20"/>
        </w:rPr>
      </w:pPr>
    </w:p>
    <w:p w14:paraId="7F25667A" w14:textId="77777777" w:rsidR="001F6316" w:rsidRPr="00D2561F" w:rsidRDefault="00B14FA6" w:rsidP="00DE7A48">
      <w:pPr>
        <w:spacing w:line="276" w:lineRule="auto"/>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El Proyecto de Ley fue aprobado por unanimidad en la Comisión Primera de la Camara de Representantes el 19 de mayo de 2026 y pasa a segundo debate en el pleno de la corporación. </w:t>
      </w:r>
    </w:p>
    <w:p w14:paraId="7F25667B"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7C" w14:textId="77777777" w:rsidR="001F6316" w:rsidRPr="00D2561F" w:rsidRDefault="00B14FA6" w:rsidP="00DE7A48">
      <w:pPr>
        <w:numPr>
          <w:ilvl w:val="0"/>
          <w:numId w:val="1"/>
        </w:num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OBJETO </w:t>
      </w:r>
      <w:r w:rsidRPr="00D2561F">
        <w:rPr>
          <w:rFonts w:ascii="Century Gothic" w:hAnsi="Century Gothic"/>
          <w:color w:val="000000" w:themeColor="text1"/>
          <w:sz w:val="20"/>
          <w:szCs w:val="20"/>
          <w:highlight w:val="white"/>
        </w:rPr>
        <w:t xml:space="preserve"> </w:t>
      </w:r>
    </w:p>
    <w:p w14:paraId="7F25667D"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7E"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El presente proyecto de ley tiene por objeto crear y regular un proceso especial de fijación y/o ejecución de alimentos para garantizar el amparo inmediato de los derechos fundamentales de los titulares del derecho de alimentos y acreedores alimentarios que sean sujetos de especial protección constitucional.</w:t>
      </w:r>
    </w:p>
    <w:p w14:paraId="7F25667F"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80"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También se ajustan algunas de las normas procesales sobre los procesos relativos a la fijación y ejecución de cuota alimentaria, creando medidas afirmativas en materia probatoria, brindando mayores facultades al juez como director de dichos procesos, equilibrando la carga que en la mayoría de casos reposa en cabeza de madres solteras, para asegurar una tutela judicial efectiva</w:t>
      </w:r>
    </w:p>
    <w:p w14:paraId="7F256681" w14:textId="77777777" w:rsidR="001F6316" w:rsidRPr="00D2561F" w:rsidRDefault="001F6316" w:rsidP="00DE7A48">
      <w:pPr>
        <w:spacing w:line="276" w:lineRule="auto"/>
        <w:jc w:val="both"/>
        <w:rPr>
          <w:rFonts w:ascii="Century Gothic" w:hAnsi="Century Gothic"/>
          <w:color w:val="000000" w:themeColor="text1"/>
          <w:sz w:val="20"/>
          <w:szCs w:val="20"/>
          <w:highlight w:val="white"/>
        </w:rPr>
      </w:pPr>
    </w:p>
    <w:p w14:paraId="7F256682" w14:textId="77777777" w:rsidR="001F6316" w:rsidRPr="00D2561F" w:rsidRDefault="00B14FA6" w:rsidP="00DE7A48">
      <w:pPr>
        <w:spacing w:before="240" w:after="240"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III. CONTENIDO DEL PROYECTO DE LEY</w:t>
      </w:r>
    </w:p>
    <w:p w14:paraId="7F256683"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El texto sometido a consideración de la Plenaria de la Cámara de Representantes del Proyecto de Ley Estatutaria No. 497 de 2025 Cámara – No. 069 de 2025 Senado “Por medio de la cual se crea el proceso único especial de amparo alimentario y se dictan otras disposiciones”, consta de veintisiete (27) artículos distribuidos en cuatro capítulos, así:</w:t>
      </w:r>
    </w:p>
    <w:p w14:paraId="7F256684" w14:textId="77777777" w:rsidR="001F6316" w:rsidRPr="00D2561F" w:rsidRDefault="00B14FA6" w:rsidP="00DE7A48">
      <w:pPr>
        <w:spacing w:before="240" w:after="240"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lastRenderedPageBreak/>
        <w:t>Capítulo I. Disposiciones Generales.</w:t>
      </w:r>
    </w:p>
    <w:p w14:paraId="7F256685"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1º. </w:t>
      </w:r>
      <w:r w:rsidRPr="00D2561F">
        <w:rPr>
          <w:rFonts w:ascii="Century Gothic" w:hAnsi="Century Gothic"/>
          <w:color w:val="000000" w:themeColor="text1"/>
          <w:sz w:val="20"/>
          <w:szCs w:val="20"/>
          <w:highlight w:val="white"/>
        </w:rPr>
        <w:t>Es un artículo de objeto, que establece que la ley crea y regula el proceso único especial de amparo alimentario, de naturaleza estatutaria y carácter mixto, compuesto por una fase declarativa para fijar la cuota alimentaria cuando no exista título ejecutivo y una fase ejecutiva para cobrar obligaciones ya reconocidas. Señala que el proceso procede frente a hipótesis de incumplimiento grave y reiterado de la obligación alimentaria, con el fin de garantizar la protección inmediata de los derechos fundamentales de los titulares del derecho de alimentos. Además, ajusta normas procesales relacionadas con la fijación y ejecución de alimentos. El parágrafo aclara que este nuevo mecanismo no deroga los procesos ordinarios existentes, sino que constituye una vía adicional y más expedita.</w:t>
      </w:r>
    </w:p>
    <w:p w14:paraId="7F256686"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2º. </w:t>
      </w:r>
      <w:r w:rsidRPr="00D2561F">
        <w:rPr>
          <w:rFonts w:ascii="Century Gothic" w:hAnsi="Century Gothic"/>
          <w:color w:val="000000" w:themeColor="text1"/>
          <w:sz w:val="20"/>
          <w:szCs w:val="20"/>
          <w:highlight w:val="white"/>
        </w:rPr>
        <w:t>Es un artículo de definiciones, que desarrolla los conceptos fundamentales para la aplicación de la ley, incluyendo alimentos, obligación alimentaria, titular del derecho de alimentos, persona obligada a dar alimentos y deudor alimentario. Precisa que los alimentos comprenden todo lo necesario para una vida digna y el desarrollo integral del beneficiario. Asimismo, define el incumplimiento grave y reiterado, incluyendo hipótesis como la sustracción total o parcial de la obligación alimentaria, el aumento excepcional de necesidades del alimentario y la mora en tres cuotas sucesivas o seis cuotas en cualquier tiempo. Adicionalmente, incorpora la definición de capacidad económica del alimentante, estableciendo una presunción legal de devengar al menos un salario mínimo cuando exista prueba sumaria de capacidad económica, salvo prueba en contrario. En esencia, el artículo fija el marco conceptual que habilita la procedencia del amparo alimentario.</w:t>
      </w:r>
    </w:p>
    <w:p w14:paraId="7F256687"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3º. </w:t>
      </w:r>
      <w:r w:rsidRPr="00D2561F">
        <w:rPr>
          <w:rFonts w:ascii="Century Gothic" w:hAnsi="Century Gothic"/>
          <w:color w:val="000000" w:themeColor="text1"/>
          <w:sz w:val="20"/>
          <w:szCs w:val="20"/>
          <w:highlight w:val="white"/>
        </w:rPr>
        <w:t>Es un artículo de principios, que establece el marco orientador de la ley con fundamento en la Constitución Política y normas sobre infancia, mujeres víctimas de violencia, adultos mayores y personas con discapacidad. Incorpora principios como pro persona, pro víctima, corresponsabilidad, justicia restaurativa, celeridad, imparcialidad, no discriminación y dignidad humana. Ordena que la interpretación de la ley se realice bajo los estándares más altos de protección para sujetos de especial protección constitucional. El parágrafo dispone que, en casos de violencia económica o violencia en el contexto familiar, el juez deberá adoptar medidas inmediatas para prevenir la revictimización derivada del incumplimiento alimentario.</w:t>
      </w:r>
    </w:p>
    <w:p w14:paraId="7F256688"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4º. </w:t>
      </w:r>
      <w:r w:rsidRPr="00D2561F">
        <w:rPr>
          <w:rFonts w:ascii="Century Gothic" w:hAnsi="Century Gothic"/>
          <w:color w:val="000000" w:themeColor="text1"/>
          <w:sz w:val="20"/>
          <w:szCs w:val="20"/>
          <w:highlight w:val="white"/>
        </w:rPr>
        <w:t>Es un artículo de enfoques, que incorpora de manera transversal criterios de igualdad de oportunidades, derechos humanos, participación social, enfoque de género, etnicidad, diversidad cultural y desarrollo a lo largo del curso de vida. Estos enfoques orientan el diseño, implementación y evaluación de las actuaciones derivadas de la ley. En esencia, busca asegurar una aplicación integral, diferencial e incluyente del amparo alimentario.</w:t>
      </w:r>
    </w:p>
    <w:p w14:paraId="7F256689"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5º. </w:t>
      </w:r>
      <w:r w:rsidRPr="00D2561F">
        <w:rPr>
          <w:rFonts w:ascii="Century Gothic" w:hAnsi="Century Gothic"/>
          <w:color w:val="000000" w:themeColor="text1"/>
          <w:sz w:val="20"/>
          <w:szCs w:val="20"/>
          <w:highlight w:val="white"/>
        </w:rPr>
        <w:t>Es un artículo de ámbito de aplicación, que establece que la ley se aplicará en todo el territorio nacional cuando exista incumplimiento grave y reiterado de la obligación alimentaria. En esencia, delimita el alcance territorial y material del nuevo proceso especial.</w:t>
      </w:r>
    </w:p>
    <w:p w14:paraId="7F25668A" w14:textId="77777777" w:rsidR="001F6316" w:rsidRPr="00D2561F" w:rsidRDefault="00B14FA6" w:rsidP="00DE7A48">
      <w:pPr>
        <w:spacing w:before="240" w:after="240"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Capítulo II. Amparo Alimentario.</w:t>
      </w:r>
    </w:p>
    <w:p w14:paraId="7F25668B"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6º. </w:t>
      </w:r>
      <w:r w:rsidRPr="00D2561F">
        <w:rPr>
          <w:rFonts w:ascii="Century Gothic" w:hAnsi="Century Gothic"/>
          <w:color w:val="000000" w:themeColor="text1"/>
          <w:sz w:val="20"/>
          <w:szCs w:val="20"/>
          <w:highlight w:val="white"/>
        </w:rPr>
        <w:t>Es un artículo definitorio y de competencia, que establece que el amparo alimentario es un proceso especial de fijación y/o ejecución de alimentos frente a incumplimientos graves y reiterados. Señala que su conocimiento corresponde a la jurisdicción ordinaria en la especialidad civil-familia y fija la competencia en cabeza del juez del domicilio o residencia del titular del derecho de alimentos. En ausencia de juez especializado, la competencia recaerá en el juez promiscuo municipal.</w:t>
      </w:r>
    </w:p>
    <w:p w14:paraId="7F25668C"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7º. </w:t>
      </w:r>
      <w:r w:rsidRPr="00D2561F">
        <w:rPr>
          <w:rFonts w:ascii="Century Gothic" w:hAnsi="Century Gothic"/>
          <w:color w:val="000000" w:themeColor="text1"/>
          <w:sz w:val="20"/>
          <w:szCs w:val="20"/>
          <w:highlight w:val="white"/>
        </w:rPr>
        <w:t xml:space="preserve">Es un artículo de régimen procesal y remisión normativa, que dispone que el amparo alimentario se tramitará bajo reglas similares a las de la acción de tutela en aspectos como admisión, pruebas, sentencia, impugnación y desacato. Establece términos breves y reglas de celeridad procesal, incluyendo la posibilidad de aplicar la carga dinámica de la prueba. Asimismo, señala que el desacato se regirá por las normas del </w:t>
      </w:r>
      <w:r w:rsidRPr="00D2561F">
        <w:rPr>
          <w:rFonts w:ascii="Century Gothic" w:hAnsi="Century Gothic"/>
          <w:color w:val="000000" w:themeColor="text1"/>
          <w:sz w:val="20"/>
          <w:szCs w:val="20"/>
          <w:highlight w:val="white"/>
        </w:rPr>
        <w:lastRenderedPageBreak/>
        <w:t>Decreto Ley 2591 de 1991 y que las providencias harán tránsito a cosa juzgada. El parágrafo primero aclara que el juez tendrá poderes propios de juez constitucional para garantizar efectivamente los derechos comprometidos y excluye la aplicación de las reglas de subsidiariedad y procedibilidad de la tutela. El parágrafo segundo establece que las decisiones no serán remitidas a revisión de la Corte Constitucional. Finalmente, el parágrafo tercero autoriza al juez a reformular órdenes y vincular terceros con relaciones contractuales con el deudor para asegurar la efectividad de la sentencia, incluyendo mecanismos de libranza.</w:t>
      </w:r>
    </w:p>
    <w:p w14:paraId="7F25668D"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8º. </w:t>
      </w:r>
      <w:r w:rsidRPr="00D2561F">
        <w:rPr>
          <w:rFonts w:ascii="Century Gothic" w:hAnsi="Century Gothic"/>
          <w:color w:val="000000" w:themeColor="text1"/>
          <w:sz w:val="20"/>
          <w:szCs w:val="20"/>
          <w:highlight w:val="white"/>
        </w:rPr>
        <w:t>Es un artículo de procedencia, que establece que el amparo alimentario puede ser promovido directamente por el titular del derecho de alimentos o su representante legal frente a incumplimientos graves y reiterados. Exige aportar prueba del vínculo que origina la obligación alimentaria y, cuando exista, el respectivo título ejecutivo. Además, precisa que no se requiere abogado para presentar la solicitud.</w:t>
      </w:r>
    </w:p>
    <w:p w14:paraId="7F25668E"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9º. </w:t>
      </w:r>
      <w:r w:rsidRPr="00D2561F">
        <w:rPr>
          <w:rFonts w:ascii="Century Gothic" w:hAnsi="Century Gothic"/>
          <w:color w:val="000000" w:themeColor="text1"/>
          <w:sz w:val="20"/>
          <w:szCs w:val="20"/>
          <w:highlight w:val="white"/>
        </w:rPr>
        <w:t>Es un artículo de reparto, que ordena al Consejo Superior de la Judicatura expedir, dentro de los seis meses siguientes a la entrada en vigencia de la ley, las reglas de reparto del amparo alimentario. Asimismo, establece que, para efectos de carga laboral, cada amparo alimentario contará como una acción de tutela.</w:t>
      </w:r>
    </w:p>
    <w:p w14:paraId="7F25668F"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10º. </w:t>
      </w:r>
      <w:r w:rsidRPr="00D2561F">
        <w:rPr>
          <w:rFonts w:ascii="Century Gothic" w:hAnsi="Century Gothic"/>
          <w:color w:val="000000" w:themeColor="text1"/>
          <w:sz w:val="20"/>
          <w:szCs w:val="20"/>
          <w:highlight w:val="white"/>
        </w:rPr>
        <w:t>Es un artículo sobre medidas provisionales, que faculta al juez para decretar desde la presentación del amparo medidas urgentes como embargos y otras cautelas necesarias para proteger el derecho a alimentos y evitar que la decisión judicial resulte ilusoria. Cuando exista obligación clara, expresa y exigible, el juez podrá librar mandamiento de pago de inmediato. El artículo también autoriza al juez a levantar o modificar las medidas cautelares mediante decisión motivada. El parágrafo habilita el uso complementario de las herramientas previstas en el Código de Infancia y Adolescencia y en la Ley REDAM para asegurar el cumplimiento efectivo de las obligaciones alimentarias.</w:t>
      </w:r>
    </w:p>
    <w:p w14:paraId="7F256690"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11º. </w:t>
      </w:r>
      <w:r w:rsidRPr="00D2561F">
        <w:rPr>
          <w:rFonts w:ascii="Century Gothic" w:hAnsi="Century Gothic"/>
          <w:color w:val="000000" w:themeColor="text1"/>
          <w:sz w:val="20"/>
          <w:szCs w:val="20"/>
          <w:highlight w:val="white"/>
        </w:rPr>
        <w:t>Es un artículo de naturaleza ejecutiva, que regula el trámite del amparo cuando existe título ejecutivo. Ordena al juez librar mandamiento de pago y limita las excepciones del demandado a pago, exigibilidad de la obligación, validez del título y fuerza mayor o caso fortuito. Establece que el juez debe explicar dichas excepciones en lenguaje claro para garantizar el derecho de contradicción. Si no hay oposición, el mandamiento queda en firme y el pago deberá efectuarse en máximo cinco días hábiles. Además, el juez podrá adoptar medidas orientadas a garantizar el cumplimiento sucesivo y futuro de la obligación alimentaria. El parágrafo aclara que la fuerza mayor no extingue la obligación, pero permite ajustes provisionales para proteger simultáneamente el mínimo vital del alimentario y los derechos del obligado.</w:t>
      </w:r>
    </w:p>
    <w:p w14:paraId="7F256691"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Artículo 12º.</w:t>
      </w:r>
      <w:r w:rsidRPr="00D2561F">
        <w:rPr>
          <w:rFonts w:ascii="Century Gothic" w:hAnsi="Century Gothic"/>
          <w:color w:val="000000" w:themeColor="text1"/>
          <w:sz w:val="20"/>
          <w:szCs w:val="20"/>
          <w:highlight w:val="white"/>
        </w:rPr>
        <w:t xml:space="preserve"> Es un artículo sobre el contenido de la sentencia, que establece que las decisiones que fijen o ejecuten alimentos deberán contener órdenes claras, expresas y exigibles para asegurar el cumplimiento permanente de la obligación conforme a la capacidad económica del alimentante. Autoriza impartir órdenes tanto al deudor como a terceros vinculados contractualmente con éste. El parágrafo primero obliga al juez a advertir en lenguaje claro las consecuencias penales del incumplimiento injustificado o de maniobras elusivas. El parágrafo segundo señala que, cuando el proceso sea exclusivamente ejecutivo, la sentencia deberá resolver las excepciones propuestas. Finalmente, el parágrafo tercero exige motivación integral de las providencias y garantiza la doble instancia mediante recurso de apelación en efecto devolutivo.</w:t>
      </w:r>
    </w:p>
    <w:p w14:paraId="7F256692"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13º. </w:t>
      </w:r>
      <w:r w:rsidRPr="00D2561F">
        <w:rPr>
          <w:rFonts w:ascii="Century Gothic" w:hAnsi="Century Gothic"/>
          <w:color w:val="000000" w:themeColor="text1"/>
          <w:sz w:val="20"/>
          <w:szCs w:val="20"/>
          <w:highlight w:val="white"/>
        </w:rPr>
        <w:t>Es un artículo sobre incremento, disminución o exoneración de la cuota alimentaria, que regula las solicitudes de modificación de cuotas fijadas mediante amparo alimentario. Establece que estas serán conocidas por el mismo juez que tramitó el amparo y se decidirán en única instancia bajo las reglas del artículo 390 del Código General del Proceso.</w:t>
      </w:r>
    </w:p>
    <w:p w14:paraId="7F256693" w14:textId="77777777" w:rsidR="001F6316" w:rsidRPr="00D2561F" w:rsidRDefault="00B14FA6" w:rsidP="00DE7A48">
      <w:pPr>
        <w:spacing w:before="240" w:after="240"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Capítulo III. Capacidad Económica del Demandado por Alimentos.</w:t>
      </w:r>
    </w:p>
    <w:p w14:paraId="7F256694"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14º. </w:t>
      </w:r>
      <w:r w:rsidRPr="00D2561F">
        <w:rPr>
          <w:rFonts w:ascii="Century Gothic" w:hAnsi="Century Gothic"/>
          <w:color w:val="000000" w:themeColor="text1"/>
          <w:sz w:val="20"/>
          <w:szCs w:val="20"/>
          <w:highlight w:val="white"/>
        </w:rPr>
        <w:t>Es un artículo de deber de cooperación probatoria, que obliga a entidades públicas y privadas a suministrar información necesaria para determinar la capacidad económica del deudor en procesos de alimentos y amparo alimentario. Incluye entidades como la DIAN, UIAF, entidades financieras, PILA, UGPP, ADRES, cámaras de comercio, Migración Colombia y fondos de pensiones, entre otras. Establece que, cuando la información no esté disponible en línea o en la plataforma creada por la ley, el juez podrá requerir directamente. Los parágrafos garantizan la protección de datos personales, la reserva legal y el uso exclusivo de la información para fines judiciales relacionados con alimentos.</w:t>
      </w:r>
    </w:p>
    <w:p w14:paraId="7F256695"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15º. </w:t>
      </w:r>
      <w:r w:rsidRPr="00D2561F">
        <w:rPr>
          <w:rFonts w:ascii="Century Gothic" w:hAnsi="Century Gothic"/>
          <w:color w:val="000000" w:themeColor="text1"/>
          <w:sz w:val="20"/>
          <w:szCs w:val="20"/>
          <w:highlight w:val="white"/>
        </w:rPr>
        <w:t>Es un artículo que crea la Plataforma de Consulta sobre la Capacidad del Deudor Alimentario (PCDA), a cargo del Consejo Superior de la Judicatura, la cual deberá implementarse en un plazo de doce meses. La plataforma permitirá a los jueces acceder en tiempo real a información económica y patrimonial del deudor mediante interoperabilidad con múltiples entidades públicas y privadas. Establece que la consulta realizada por el juez equivaldrá a orden judicial para acceder a bases de datos. Asimismo, aclara que la plataforma constituye una herramienta auxiliar y no limita la libertad probatoria ni la valoración judicial. Los parágrafos regulan el régimen transitorio mientras entra en funcionamiento la plataforma y ordenan al Gobierno Nacional garantizar los recursos necesarios para su implementación.</w:t>
      </w:r>
    </w:p>
    <w:p w14:paraId="7F256696"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16º. </w:t>
      </w:r>
      <w:r w:rsidRPr="00D2561F">
        <w:rPr>
          <w:rFonts w:ascii="Century Gothic" w:hAnsi="Century Gothic"/>
          <w:color w:val="000000" w:themeColor="text1"/>
          <w:sz w:val="20"/>
          <w:szCs w:val="20"/>
          <w:highlight w:val="white"/>
        </w:rPr>
        <w:t>Es un artículo sobre obligación de los empleadores y contratantes, que impone a personas naturales y jurídicas el deber de suministrar información sobre la capacidad económica del deudor alimentario dentro de un plazo máximo de tres días hábiles. El artículo exige aportar documentos y certificaciones suficientes para tasar la capacidad de pago. Los parágrafos facultan al Consejo Superior de la Judicatura para actualizar las entidades consultables y autorizan al juez a imponer medidas correccionales en caso de incumplimiento.</w:t>
      </w:r>
    </w:p>
    <w:p w14:paraId="7F256697"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17º. </w:t>
      </w:r>
      <w:r w:rsidRPr="00D2561F">
        <w:rPr>
          <w:rFonts w:ascii="Century Gothic" w:hAnsi="Century Gothic"/>
          <w:color w:val="000000" w:themeColor="text1"/>
          <w:sz w:val="20"/>
          <w:szCs w:val="20"/>
          <w:highlight w:val="white"/>
        </w:rPr>
        <w:t>Es un artículo de apoyo de policía judicial, que dispone que los órganos de policía judicial permanente colaborarán con los jueces en la obtención de información necesaria para determinar y probar la capacidad económica del deudor alimentario. En esencia, fortalece las herramientas probatorias y de investigación judicial en materia de alimentos.</w:t>
      </w:r>
    </w:p>
    <w:p w14:paraId="7F256698"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18º. </w:t>
      </w:r>
      <w:r w:rsidRPr="00D2561F">
        <w:rPr>
          <w:rFonts w:ascii="Century Gothic" w:hAnsi="Century Gothic"/>
          <w:color w:val="000000" w:themeColor="text1"/>
          <w:sz w:val="20"/>
          <w:szCs w:val="20"/>
          <w:highlight w:val="white"/>
        </w:rPr>
        <w:t>Es un artículo modificatorio, que reforma el artículo 129 del Código de Infancia y Adolescencia para fortalecer la fijación provisional de alimentos. Ordena que el juez establezca cuota provisional desde el inicio del proceso cuando exista prueba del vínculo alimentario y faculta la consulta de información económica en distintas entidades. Además, mantiene la presunción de devengar al menos un salario mínimo y amplía los criterios para valorar la solvencia económica del alimentante.</w:t>
      </w:r>
    </w:p>
    <w:p w14:paraId="7F256699"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19º. </w:t>
      </w:r>
      <w:r w:rsidRPr="00D2561F">
        <w:rPr>
          <w:rFonts w:ascii="Century Gothic" w:hAnsi="Century Gothic"/>
          <w:color w:val="000000" w:themeColor="text1"/>
          <w:sz w:val="20"/>
          <w:szCs w:val="20"/>
          <w:highlight w:val="white"/>
        </w:rPr>
        <w:t>Es un artículo modificatorio, que reforma el artículo 419 del Código Civil sobre tasación de alimentos. Dispone que el juez deberá considerar no solo la capacidad económica del alimentante, sino también sus circunstancias domésticas y la valoración económica del trabajo de cuidado para la supervivencia del alimentario. En esencia, incorpora una perspectiva más amplia y equitativa para fijar cuotas alimentarias.</w:t>
      </w:r>
    </w:p>
    <w:p w14:paraId="7F25669A"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20º. </w:t>
      </w:r>
      <w:r w:rsidRPr="00D2561F">
        <w:rPr>
          <w:rFonts w:ascii="Century Gothic" w:hAnsi="Century Gothic"/>
          <w:color w:val="000000" w:themeColor="text1"/>
          <w:sz w:val="20"/>
          <w:szCs w:val="20"/>
          <w:highlight w:val="white"/>
        </w:rPr>
        <w:t>Es un artículo de extensión normativa, que amplía la aplicación de las medidas previstas en los artículos 129 y 130 del Código de Infancia y Adolescencia a otros titulares del derecho de alimentos distintos de niños, niñas y adolescentes. En esencia, universaliza herramientas reforzadas de protección alimentaria.</w:t>
      </w:r>
    </w:p>
    <w:p w14:paraId="05DC70C0" w14:textId="77777777" w:rsidR="002C0686" w:rsidRPr="00D2561F" w:rsidRDefault="002C0686" w:rsidP="00DE7A48">
      <w:pPr>
        <w:spacing w:before="240" w:after="240" w:line="276" w:lineRule="auto"/>
        <w:jc w:val="both"/>
        <w:rPr>
          <w:rFonts w:ascii="Century Gothic" w:hAnsi="Century Gothic"/>
          <w:color w:val="000000" w:themeColor="text1"/>
          <w:sz w:val="20"/>
          <w:szCs w:val="20"/>
          <w:highlight w:val="white"/>
        </w:rPr>
      </w:pPr>
    </w:p>
    <w:p w14:paraId="7F25669B" w14:textId="77777777" w:rsidR="001F6316" w:rsidRPr="00D2561F" w:rsidRDefault="00B14FA6" w:rsidP="00DE7A48">
      <w:pPr>
        <w:spacing w:before="240" w:after="240"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Capítulo IV. Disposiciones Finales.</w:t>
      </w:r>
    </w:p>
    <w:p w14:paraId="7F25669C"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21º. </w:t>
      </w:r>
      <w:r w:rsidRPr="00D2561F">
        <w:rPr>
          <w:rFonts w:ascii="Century Gothic" w:hAnsi="Century Gothic"/>
          <w:color w:val="000000" w:themeColor="text1"/>
          <w:sz w:val="20"/>
          <w:szCs w:val="20"/>
          <w:highlight w:val="white"/>
        </w:rPr>
        <w:t>Es un artículo de desarrollo normativo, que crea el mecanismo de pagos por libranza para obligaciones alimentarias reconocidas mediante conciliación o sentencia judicial. Establece el descuento automático del salario o ingresos del deudor y su transferencia a una cuenta especial del beneficiario. Regula la obligación del empleador, el manejo de controversias judiciales y ordena al Gobierno Nacional reglamentar el mecanismo dentro de los seis meses siguientes a la entrada en vigencia de la ley. En esencia, busca asegurar pagos oportunos y automáticos de las cuotas alimentarias.</w:t>
      </w:r>
    </w:p>
    <w:p w14:paraId="7F25669D"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22º. </w:t>
      </w:r>
      <w:r w:rsidRPr="00D2561F">
        <w:rPr>
          <w:rFonts w:ascii="Century Gothic" w:hAnsi="Century Gothic"/>
          <w:color w:val="000000" w:themeColor="text1"/>
          <w:sz w:val="20"/>
          <w:szCs w:val="20"/>
          <w:highlight w:val="white"/>
        </w:rPr>
        <w:t>Es un artículo de difusión y capacitación, que encarga a la Escuela Judicial Rodrigo Lara Bonilla diseñar o actualizar módulos de formación sobre el amparo alimentario y las nuevas disposiciones relativas a la capacidad económica del deudor alimentario. En esencia, busca garantizar la correcta implementación judicial de la ley.</w:t>
      </w:r>
    </w:p>
    <w:p w14:paraId="7F25669E"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23º. </w:t>
      </w:r>
      <w:r w:rsidRPr="00D2561F">
        <w:rPr>
          <w:rFonts w:ascii="Century Gothic" w:hAnsi="Century Gothic"/>
          <w:color w:val="000000" w:themeColor="text1"/>
          <w:sz w:val="20"/>
          <w:szCs w:val="20"/>
          <w:highlight w:val="white"/>
        </w:rPr>
        <w:t>Es un artículo de transición, que permite que los procesos declarativos o ejecutivos de alimentos en curso puedan transformarse en procesos de amparo alimentario dentro del mismo expediente cuando se configuren sus supuestos de procedencia. Establece que los términos empezarán a correr desde el auto que inicia el amparo y que la sentencia pondrá fin al proceso anterior. En esencia, facilita la migración de procesos vigentes hacia el nuevo mecanismo expedito.</w:t>
      </w:r>
    </w:p>
    <w:p w14:paraId="7F25669F"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24º. </w:t>
      </w:r>
      <w:r w:rsidRPr="00D2561F">
        <w:rPr>
          <w:rFonts w:ascii="Century Gothic" w:hAnsi="Century Gothic"/>
          <w:color w:val="000000" w:themeColor="text1"/>
          <w:sz w:val="20"/>
          <w:szCs w:val="20"/>
          <w:highlight w:val="white"/>
        </w:rPr>
        <w:t>Es un artículo de inicio oficioso y reconducción procesal, que faculta al juez para iniciar de oficio el amparo alimentario cuando, aun habiéndose presentado un proceso declarativo o ejecutivo, se advierta que se cumplen sus requisitos de procedencia. Asimismo, permite reconducir el trámite hacia un proceso ordinario cuando el amparo resulta improcedente. El parágrafo prevé medidas de asistencia judicial como amparo de pobreza, defensor de oficio, Defensoría del Pueblo o consultorios jurídicos para quienes acuden sin abogado.</w:t>
      </w:r>
    </w:p>
    <w:p w14:paraId="7F2566A0"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Artículo 25º.</w:t>
      </w:r>
      <w:r w:rsidRPr="00D2561F">
        <w:rPr>
          <w:rFonts w:ascii="Century Gothic" w:hAnsi="Century Gothic"/>
          <w:color w:val="000000" w:themeColor="text1"/>
          <w:sz w:val="20"/>
          <w:szCs w:val="20"/>
          <w:highlight w:val="white"/>
        </w:rPr>
        <w:t xml:space="preserve"> Es un artículo modificatorio, que adiciona el artículo 40A al Decreto Ley 2591 de 1991 para regular la tutela contra providencias proferidas en procesos de amparo alimentario. Establece que estas acciones se regirán, por analogía, por las reglas aplicables a las tutelas contra sentencias de tutela. En esencia, define el mecanismo constitucional de control frente a estas providencias judiciales.</w:t>
      </w:r>
    </w:p>
    <w:p w14:paraId="7F2566A1"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Artículo 26º. E</w:t>
      </w:r>
      <w:r w:rsidRPr="00D2561F">
        <w:rPr>
          <w:rFonts w:ascii="Century Gothic" w:hAnsi="Century Gothic"/>
          <w:color w:val="000000" w:themeColor="text1"/>
          <w:sz w:val="20"/>
          <w:szCs w:val="20"/>
          <w:highlight w:val="white"/>
        </w:rPr>
        <w:t>s un artículo de adiciones y modificaciones, que consolida las reformas normativas introducidas por la ley. Señala expresamente que se adiciona el artículo 40A al Decreto Ley 2591 de 1991 y se modifican el artículo 419 del Código Civil y el inciso primero del artículo 129 de la Ley 1098 de 2006.</w:t>
      </w:r>
    </w:p>
    <w:p w14:paraId="7F2566A2" w14:textId="77777777" w:rsidR="001F6316" w:rsidRPr="00D2561F" w:rsidRDefault="00B14FA6" w:rsidP="00DE7A48">
      <w:pPr>
        <w:spacing w:before="240" w:after="240" w:line="276" w:lineRule="auto"/>
        <w:jc w:val="both"/>
        <w:rPr>
          <w:rFonts w:ascii="Century Gothic" w:hAnsi="Century Gothic"/>
          <w:color w:val="000000" w:themeColor="text1"/>
          <w:sz w:val="20"/>
          <w:szCs w:val="20"/>
          <w:highlight w:val="white"/>
        </w:rPr>
      </w:pPr>
      <w:r w:rsidRPr="00D2561F">
        <w:rPr>
          <w:rFonts w:ascii="Century Gothic" w:hAnsi="Century Gothic"/>
          <w:b/>
          <w:bCs/>
          <w:color w:val="000000" w:themeColor="text1"/>
          <w:sz w:val="20"/>
          <w:szCs w:val="20"/>
          <w:highlight w:val="white"/>
        </w:rPr>
        <w:t xml:space="preserve">Artículo 27º. </w:t>
      </w:r>
      <w:r w:rsidRPr="00D2561F">
        <w:rPr>
          <w:rFonts w:ascii="Century Gothic" w:hAnsi="Century Gothic"/>
          <w:color w:val="000000" w:themeColor="text1"/>
          <w:sz w:val="20"/>
          <w:szCs w:val="20"/>
          <w:highlight w:val="white"/>
        </w:rPr>
        <w:t>Es un artículo de vigencia, que establece que la ley comenzará a regir seis meses después de su publicación. En esencia, fija un periodo de transición institucional y administrativa para la implementación del nuevo proceso de amparo alimentario.</w:t>
      </w:r>
    </w:p>
    <w:p w14:paraId="7F2566A3"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p>
    <w:p w14:paraId="7F2566A4"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rPr>
        <w:t xml:space="preserve"> IV. </w:t>
      </w:r>
      <w:r w:rsidRPr="00D2561F">
        <w:rPr>
          <w:rFonts w:ascii="Century Gothic" w:hAnsi="Century Gothic"/>
          <w:b/>
          <w:bCs/>
          <w:color w:val="000000" w:themeColor="text1"/>
          <w:sz w:val="20"/>
          <w:szCs w:val="20"/>
          <w:highlight w:val="white"/>
        </w:rPr>
        <w:t xml:space="preserve">PRESENTACIÓN DEL PROYECTO DE LEY ESTATUTARIA </w:t>
      </w:r>
    </w:p>
    <w:p w14:paraId="7F2566A5"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p>
    <w:p w14:paraId="7F2566A6"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 xml:space="preserve">De acuerdo a lo destacado en la exposición de motivos, </w:t>
      </w:r>
      <w:r w:rsidRPr="00D2561F">
        <w:rPr>
          <w:rFonts w:ascii="Century Gothic" w:hAnsi="Century Gothic"/>
          <w:color w:val="000000" w:themeColor="text1"/>
          <w:sz w:val="20"/>
          <w:szCs w:val="20"/>
        </w:rPr>
        <w:t>la deficiencia en la asistencia alimentaria es un problema que impacta de manera transversal en la sociedad colombiana e impide a su vez el acceso o materialización de otros servicios que son considerados como derechos fundamentales a aquellos titulares del derecho de alimentos, sobre todo cuando se trata de sujetos de especial protección constitucional ante esto. Por ello, con el objetivo de garantizar lo consignado en los artículos 2, 13, 42, 43, 44, 45 y 46 de la Constitución Política de Colombia, se articuló el presente proyecto de Ley en consideración a la materialización de la cuota alimentaria.</w:t>
      </w:r>
    </w:p>
    <w:p w14:paraId="7F2566A7"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A8"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Se identificaron dos problemas que afectan diferencialmente a las personas titulares del derecho de alimentos. Por un lado, existen tres procesos distintos a los cuales deben recurrir los titulares para garantizar su derecho: (i) proceso verbal de fijación de cuota alimentaria, (ii) proceso ejecutivo de alimentos y (iii) denuncia por inasistencia alimentaria. Ahora bien, el conjunto de estos trámites y diligencias configuran una carga desbordada para el titular del derecho. Dicha carga resulta más gravosa cuando quien pretende la garantía de este derecho, se encuentra en una situación de vulnerabilidad, como en la mayoría de los casos, adquiriendo la calidad de sujeto de especial protección constitucional tal como niños, niñas y adolescentes, mujeres, adultos mayores, personas en situación de discapacidad, víctimas del conflicto armado, personas desplazadas y personas en extrema pobreza. Es por esto, que la presente iniciativa busca la creación de un trámite expedito, efectivo, que otorgue de manera inmediata protección a la dignidad humana y curso de vida del alimentado.</w:t>
      </w:r>
    </w:p>
    <w:p w14:paraId="7F2566A9"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AA"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 xml:space="preserve">Por otro lado, se encontró que en materia procesal se obvia la realidad propia de muchos de los demandantes en materia de alimentos. A  pesar de que la carga de la prueba recae en el demandante de acuerdo al artículo 397 del Código General del Proceso, muchas veces este no posee las herramientas jurídicas necesarias para determinar los bienes, patrimonio y renta que posee el demandado. Esto contribuye a la dificultad de tasar efectivamente la capacidad económica con base en la cual se define la cuota alimenticia, entorpeciendo etapas posteriores del proceso para rastrear las fuentes de ingresos de cara a la posterior ejecución o cobro de la cuota alimentaria. La iniciativa, conforme a la igualdad material, principio de solidaridad familiar y naturaleza del Código General del Proceso, tiene como objetivo fortalecer el papel de los jueces y darles agencia sobre la carga de la prueba. Esto para que se busque que quien debe probar sea quien esté en la mayor capacidad para hacerlo, al entender que los acreedores de los procesos de alimentos se ven obligados a asumir la carga de la prueba sin poseer las herramientas para obtener la información, al no ser de acceso público o ser cobijada por limitantes como reserva bancaria. </w:t>
      </w:r>
    </w:p>
    <w:p w14:paraId="7F2566AB"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AC"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 xml:space="preserve">Por todo lo anterior, es imperativo realizar los ajustes necesarios en el ordenamiento jurídico nacional. Esto para otorgar protección inmediata y efectiva a los sujetos de especial protección que pretenden demandar su derecho de alimentos, así como disponer mayores facultades para el juez respecto al acceso a la información sobre deudores alimentarios. Con ello, se busca brindar medidas afirmativas que garanticen la integridad, dignidad y curso de vida de los sujetos de especial protección entre los cuales se encuentran niños, niñas, adolescentes, mujeres, adultos mayores, personas en situación de discapacidad, entre otros. Por medio de este tipo de medidas, se puede disuadir la violencia económica que se configura como una de las violencias basadas en género más difíciles de probar e identificar. </w:t>
      </w:r>
    </w:p>
    <w:p w14:paraId="7F2566AE"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p>
    <w:p w14:paraId="7F2566AF"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 xml:space="preserve">V. JUSTIFICACIÓN </w:t>
      </w:r>
    </w:p>
    <w:p w14:paraId="7F2566B0"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p>
    <w:p w14:paraId="7F2566B1"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 xml:space="preserve">En aras de contextualizar la importancia de este proyecto,  nos permitimos retomar a continuación algunos elementos fundamentales desarrollados en la exposición de motivos del proyecto original. </w:t>
      </w:r>
    </w:p>
    <w:p w14:paraId="7F2566B2"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p>
    <w:p w14:paraId="7F2566B3" w14:textId="77777777" w:rsidR="001F6316" w:rsidRPr="00D2561F" w:rsidRDefault="00B14FA6" w:rsidP="00DE7A48">
      <w:pPr>
        <w:numPr>
          <w:ilvl w:val="3"/>
          <w:numId w:val="1"/>
        </w:num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La obligación alimentaria en Colombia</w:t>
      </w:r>
    </w:p>
    <w:p w14:paraId="7F2566B4"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B5"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Tal como se indica en la exposición de motivos, la Constitución Política de 1991 dispuso lo siguiente:</w:t>
      </w:r>
    </w:p>
    <w:p w14:paraId="7F2566B6" w14:textId="77777777" w:rsidR="001F6316" w:rsidRPr="00D2561F" w:rsidRDefault="001F6316" w:rsidP="00DE7A48">
      <w:pPr>
        <w:pBdr>
          <w:top w:val="nil"/>
          <w:left w:val="nil"/>
          <w:bottom w:val="nil"/>
          <w:right w:val="nil"/>
          <w:between w:val="nil"/>
        </w:pBdr>
        <w:spacing w:line="276" w:lineRule="auto"/>
        <w:ind w:left="142"/>
        <w:jc w:val="both"/>
        <w:rPr>
          <w:rFonts w:ascii="Century Gothic" w:hAnsi="Century Gothic"/>
          <w:color w:val="000000" w:themeColor="text1"/>
          <w:sz w:val="20"/>
          <w:szCs w:val="20"/>
          <w:highlight w:val="white"/>
        </w:rPr>
      </w:pPr>
    </w:p>
    <w:p w14:paraId="7F2566B7" w14:textId="77777777" w:rsidR="001F6316" w:rsidRPr="00D2561F" w:rsidRDefault="00B14FA6" w:rsidP="00DE7A48">
      <w:pPr>
        <w:pBdr>
          <w:top w:val="nil"/>
          <w:left w:val="nil"/>
          <w:bottom w:val="nil"/>
          <w:right w:val="nil"/>
          <w:between w:val="nil"/>
        </w:pBdr>
        <w:spacing w:line="276" w:lineRule="auto"/>
        <w:ind w:left="502"/>
        <w:jc w:val="both"/>
        <w:rPr>
          <w:rFonts w:ascii="Century Gothic" w:hAnsi="Century Gothic"/>
          <w:i/>
          <w:iCs/>
          <w:color w:val="000000" w:themeColor="text1"/>
          <w:sz w:val="20"/>
          <w:szCs w:val="20"/>
        </w:rPr>
      </w:pPr>
      <w:r w:rsidRPr="00D2561F">
        <w:rPr>
          <w:rFonts w:ascii="Century Gothic" w:hAnsi="Century Gothic"/>
          <w:i/>
          <w:iCs/>
          <w:color w:val="000000" w:themeColor="text1"/>
          <w:sz w:val="20"/>
          <w:szCs w:val="20"/>
          <w:highlight w:val="white"/>
        </w:rPr>
        <w:t>“</w:t>
      </w:r>
      <w:r w:rsidRPr="00D2561F">
        <w:rPr>
          <w:rFonts w:ascii="Century Gothic" w:hAnsi="Century Gothic"/>
          <w:i/>
          <w:iCs/>
          <w:color w:val="000000" w:themeColor="text1"/>
          <w:sz w:val="20"/>
          <w:szCs w:val="20"/>
        </w:rPr>
        <w:t>La familia es el núcleo fundamental de la sociedad. (...) Las relaciones familiares se basan en la igualdad de derechos y deberes de la pareja y en el respeto recíproco entre todos sus integrantes. Cualquier forma de violencia en la familia se considera destructiva de su armonía y unidad, y será sancionada conforme a la ley. (...)”.</w:t>
      </w:r>
    </w:p>
    <w:p w14:paraId="7F2566B8"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6B9"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Dicho concepto ha evolucionado de acuerdo a los cambios sociales y la estructura ha variado transformándose principalmente en familias unipersonales caracterizadas por la ausencia del padre o la madre, comúnmente el primero, como resultado de inestabilidad conyugal o conflictos de pareja que concluyen con separaciones y divorcios. Muchos de estos casos presentan también situaciones de violencia de género y violencia intrafamiliar, una problemática que afecta desproporcionadamente a las mujeres y a los menores de edad. De igual forma, si bien el divorcio o la disolución de la unión marital de hecho debería representar un alivio, suele estar acompañado de una institución jurídica altamente revictimizante: los alimentos. </w:t>
      </w:r>
    </w:p>
    <w:p w14:paraId="7F2566BA"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BB"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En Colombia el derecho de alimentos ha sido desarrollado en diferentes instrumentos, dentro de los cuales se encuentra el Código Civil</w:t>
      </w:r>
      <w:r w:rsidRPr="00D2561F">
        <w:rPr>
          <w:rFonts w:ascii="Century Gothic" w:hAnsi="Century Gothic"/>
          <w:color w:val="000000" w:themeColor="text1"/>
          <w:sz w:val="20"/>
          <w:szCs w:val="20"/>
          <w:highlight w:val="white"/>
          <w:vertAlign w:val="superscript"/>
        </w:rPr>
        <w:footnoteReference w:id="1"/>
      </w:r>
      <w:r w:rsidRPr="00D2561F">
        <w:rPr>
          <w:rFonts w:ascii="Century Gothic" w:hAnsi="Century Gothic"/>
          <w:color w:val="000000" w:themeColor="text1"/>
          <w:sz w:val="20"/>
          <w:szCs w:val="20"/>
          <w:highlight w:val="white"/>
        </w:rPr>
        <w:t>, Código de la Infancia y la Adolescencia</w:t>
      </w:r>
      <w:r w:rsidRPr="00D2561F">
        <w:rPr>
          <w:rFonts w:ascii="Century Gothic" w:hAnsi="Century Gothic"/>
          <w:color w:val="000000" w:themeColor="text1"/>
          <w:sz w:val="20"/>
          <w:szCs w:val="20"/>
          <w:highlight w:val="white"/>
          <w:vertAlign w:val="superscript"/>
        </w:rPr>
        <w:footnoteReference w:id="2"/>
      </w:r>
      <w:r w:rsidRPr="00D2561F">
        <w:rPr>
          <w:rFonts w:ascii="Century Gothic" w:hAnsi="Century Gothic"/>
          <w:color w:val="000000" w:themeColor="text1"/>
          <w:sz w:val="20"/>
          <w:szCs w:val="20"/>
          <w:highlight w:val="white"/>
        </w:rPr>
        <w:t xml:space="preserve"> y jurisprudencia constitucional. Se deriva del vínculo familiar y es una obligación fundamentada en el principio de la solidaridad bajo la premisa de que el alimentario no está en capacidad de asegurar su propia subsistencia</w:t>
      </w:r>
      <w:r w:rsidRPr="00D2561F">
        <w:rPr>
          <w:rFonts w:ascii="Century Gothic" w:hAnsi="Century Gothic"/>
          <w:color w:val="000000" w:themeColor="text1"/>
          <w:sz w:val="20"/>
          <w:szCs w:val="20"/>
          <w:highlight w:val="white"/>
          <w:vertAlign w:val="superscript"/>
        </w:rPr>
        <w:footnoteReference w:id="3"/>
      </w:r>
      <w:r w:rsidRPr="00D2561F">
        <w:rPr>
          <w:rFonts w:ascii="Century Gothic" w:hAnsi="Century Gothic"/>
          <w:color w:val="000000" w:themeColor="text1"/>
          <w:sz w:val="20"/>
          <w:szCs w:val="20"/>
          <w:highlight w:val="white"/>
        </w:rPr>
        <w:t xml:space="preserve">. </w:t>
      </w:r>
    </w:p>
    <w:p w14:paraId="7F2566BC"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BD"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De acuerdo al artículo 411 del Código Civil, pueden ser titulares de alimentos cónyuges o compañeros permanentes</w:t>
      </w:r>
      <w:r w:rsidRPr="00D2561F">
        <w:rPr>
          <w:rFonts w:ascii="Century Gothic" w:hAnsi="Century Gothic"/>
          <w:color w:val="000000" w:themeColor="text1"/>
          <w:sz w:val="20"/>
          <w:szCs w:val="20"/>
          <w:highlight w:val="white"/>
          <w:vertAlign w:val="superscript"/>
        </w:rPr>
        <w:footnoteReference w:id="4"/>
      </w:r>
      <w:r w:rsidRPr="00D2561F">
        <w:rPr>
          <w:rFonts w:ascii="Century Gothic" w:hAnsi="Century Gothic"/>
          <w:color w:val="000000" w:themeColor="text1"/>
          <w:sz w:val="20"/>
          <w:szCs w:val="20"/>
          <w:highlight w:val="white"/>
        </w:rPr>
        <w:t xml:space="preserve">, descendientes, ascendientes, hermanos, entre otros. Particularmente, en el caso de niños, niñas y adolescentes frente a sus progenitores, se entiende que el derecho de alimentos está compuesto por todo lo que es indispensable para su sustento, habitación, vestido, asistencia médica, recreación, formación integral, educación o instrucción y, en general, todo lo necesario para su desarrollo hasta que cumpla la mayoría de edad o hasta los 25 años, en caso de que se encuentre estudiando. Ahora bien, de mantenerse las condiciones que originaron esta obligación, es decir imposibilidad de subsistir de manera autónoma, la asistencia deberá ser de por vida. </w:t>
      </w:r>
    </w:p>
    <w:p w14:paraId="7F2566BE"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BF"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La obligación alimentaria es recíproca y se retribuye por descendientes a los ascendientes, sobre todo cuando se convierten en adultos mayores</w:t>
      </w:r>
      <w:r w:rsidRPr="00D2561F">
        <w:rPr>
          <w:rFonts w:ascii="Century Gothic" w:hAnsi="Century Gothic"/>
          <w:color w:val="000000" w:themeColor="text1"/>
          <w:sz w:val="20"/>
          <w:szCs w:val="20"/>
          <w:highlight w:val="white"/>
          <w:vertAlign w:val="superscript"/>
        </w:rPr>
        <w:footnoteReference w:id="5"/>
      </w:r>
      <w:r w:rsidRPr="00D2561F">
        <w:rPr>
          <w:rFonts w:ascii="Century Gothic" w:hAnsi="Century Gothic"/>
          <w:color w:val="000000" w:themeColor="text1"/>
          <w:sz w:val="20"/>
          <w:szCs w:val="20"/>
          <w:highlight w:val="white"/>
        </w:rPr>
        <w:t xml:space="preserve">. Esto aun cuando cuenten con pensión de vejez, ya que puede ser insuficiente para cubrir todas sus necesidades.  En el caso de alimentos entre cónyuges y compañeros permanentes también existe derecho de alimentos fundado en el principio de solidaridad y reciprocidad, los deberes de socorro y ayuda mutua. Tiene como objeto otorgar lo necesario para garantizar la subsistencia del otro cuando no se encuentre en posibilidad de suministrarse por sí mismo, incluso cuando exista una separación, divorcio o disolución, cuando subsisten las causas que le dieron origen a la obligación alimentaria. </w:t>
      </w:r>
    </w:p>
    <w:p w14:paraId="7F2566C0"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C1"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Para contextualizar el estado actual respecto a alimentos, en el marco de la redacción del proyecto, se solicitó a la Unidad de Desarrollo y Análisis Estadístico de la Rama Judicial información sobre los procesos ejecutivos y declarativos de alimentos que se han adelantado en el territorio nacional desde el año 2018 a marzo de 2024, desagregando por fecha de radicación, etapas procesales y género de las partes procesales. No obstante, en la respuesta recibida manifestaron lo siguiente:</w:t>
      </w:r>
    </w:p>
    <w:p w14:paraId="7F2566C2"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C3" w14:textId="77777777" w:rsidR="001F6316" w:rsidRPr="00D2561F" w:rsidRDefault="00B14FA6" w:rsidP="00DE7A48">
      <w:pPr>
        <w:pBdr>
          <w:top w:val="nil"/>
          <w:left w:val="nil"/>
          <w:bottom w:val="nil"/>
          <w:right w:val="nil"/>
          <w:between w:val="nil"/>
        </w:pBdr>
        <w:spacing w:line="276" w:lineRule="auto"/>
        <w:ind w:left="720"/>
        <w:jc w:val="both"/>
        <w:rPr>
          <w:rFonts w:ascii="Century Gothic" w:hAnsi="Century Gothic"/>
          <w:i/>
          <w:iCs/>
          <w:color w:val="000000" w:themeColor="text1"/>
          <w:sz w:val="20"/>
          <w:szCs w:val="20"/>
        </w:rPr>
      </w:pPr>
      <w:r w:rsidRPr="00D2561F">
        <w:rPr>
          <w:rFonts w:ascii="Century Gothic" w:hAnsi="Century Gothic"/>
          <w:i/>
          <w:iCs/>
          <w:color w:val="000000" w:themeColor="text1"/>
          <w:sz w:val="20"/>
          <w:szCs w:val="20"/>
        </w:rPr>
        <w:t xml:space="preserve">“(…) el Sistema de Información Estadística de la Rama Judicial – SIERJU acopia la información sobre el movimiento consolidado de procesos de los despachos del país por tipo de proceso, sin que ello permita desagregar de manera detallada los datos que identifiquen los casos concretos de su petición, toda vez que el sistema recauda la estadística de gestión de procesos sin incluir información de procesos ejecutivos de alimentos, así como las fechas de radicación, género de las partes involucradas ni las etapas procesales y dada la particularidad de la consulta no se dispone en la estructura de las bases de datos”. </w:t>
      </w:r>
    </w:p>
    <w:p w14:paraId="7F2566C4"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7B7B267" w14:textId="77777777" w:rsidR="00824F1C" w:rsidRPr="00D2561F" w:rsidRDefault="00B14FA6" w:rsidP="00824F1C">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Con lo anterior, se demuestra la ausencia de datos con perspectiva de género que permitan un análisis real sobre el acceso a la justicia de este grupo poblacional. A pesar de ello, se debe hacer referencia a las siguientes cifras enviadas por la UDAE de la Rama Judicial para entender el volumen actual de procesos de fijación y ejecutivos de la especialidad de familia y los de inasistencia alimentaria en materia penal.</w:t>
      </w:r>
    </w:p>
    <w:p w14:paraId="7F2566C7" w14:textId="0A9336A4" w:rsidR="001F6316" w:rsidRPr="00D2561F" w:rsidRDefault="00B3704B" w:rsidP="00824F1C">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noProof/>
          <w:color w:val="000000" w:themeColor="text1"/>
          <w:sz w:val="20"/>
          <w:szCs w:val="20"/>
        </w:rPr>
        <w:drawing>
          <wp:anchor distT="0" distB="0" distL="114300" distR="114300" simplePos="0" relativeHeight="251659264" behindDoc="0" locked="0" layoutInCell="1" allowOverlap="1" wp14:anchorId="7F256B30" wp14:editId="38FBECA1">
            <wp:simplePos x="0" y="0"/>
            <wp:positionH relativeFrom="margin">
              <wp:align>left</wp:align>
            </wp:positionH>
            <wp:positionV relativeFrom="paragraph">
              <wp:posOffset>211</wp:posOffset>
            </wp:positionV>
            <wp:extent cx="5563658" cy="1547284"/>
            <wp:effectExtent l="0" t="0" r="0" b="0"/>
            <wp:wrapTopAndBottom/>
            <wp:docPr id="1" name="image4.png" descr="A white and blue tab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white and blue table with black text&#10;&#10;Description automatically generated"/>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5563658" cy="1547284"/>
                    </a:xfrm>
                    <a:prstGeom prst="rect">
                      <a:avLst/>
                    </a:prstGeom>
                    <a:ln/>
                  </pic:spPr>
                </pic:pic>
              </a:graphicData>
            </a:graphic>
          </wp:anchor>
        </w:drawing>
      </w:r>
    </w:p>
    <w:p w14:paraId="7F2566C8" w14:textId="46D8E9EE" w:rsidR="001F6316" w:rsidRPr="00D2561F" w:rsidRDefault="00B14FA6" w:rsidP="00DE7A48">
      <w:pPr>
        <w:spacing w:line="276" w:lineRule="auto"/>
        <w:jc w:val="center"/>
        <w:rPr>
          <w:rFonts w:ascii="Century Gothic" w:hAnsi="Century Gothic"/>
          <w:i/>
          <w:iCs/>
          <w:color w:val="000000" w:themeColor="text1"/>
          <w:sz w:val="20"/>
          <w:szCs w:val="20"/>
        </w:rPr>
      </w:pPr>
      <w:r w:rsidRPr="00D2561F">
        <w:rPr>
          <w:rFonts w:ascii="Century Gothic" w:hAnsi="Century Gothic"/>
          <w:b/>
          <w:bCs/>
          <w:i/>
          <w:iCs/>
          <w:color w:val="000000" w:themeColor="text1"/>
          <w:sz w:val="20"/>
          <w:szCs w:val="20"/>
        </w:rPr>
        <w:t>Fuente:</w:t>
      </w:r>
      <w:r w:rsidRPr="00D2561F">
        <w:rPr>
          <w:rFonts w:ascii="Century Gothic" w:hAnsi="Century Gothic"/>
          <w:i/>
          <w:iCs/>
          <w:color w:val="000000" w:themeColor="text1"/>
          <w:sz w:val="20"/>
          <w:szCs w:val="20"/>
        </w:rPr>
        <w:t xml:space="preserve"> Tabla incorporada en la exposición de motivos del Proyecto de Ley Estatutaria No. 069 de 2025 Senado a partir de la información del Sistema de Información Estadístico de la Rama Judicial - SIERJU</w:t>
      </w:r>
      <w:r w:rsidRPr="00D2561F">
        <w:rPr>
          <w:rFonts w:ascii="Century Gothic" w:hAnsi="Century Gothic"/>
          <w:i/>
          <w:iCs/>
          <w:color w:val="000000" w:themeColor="text1"/>
          <w:sz w:val="20"/>
          <w:szCs w:val="20"/>
          <w:vertAlign w:val="superscript"/>
        </w:rPr>
        <w:footnoteReference w:id="6"/>
      </w:r>
      <w:r w:rsidRPr="00D2561F">
        <w:rPr>
          <w:rFonts w:ascii="Century Gothic" w:hAnsi="Century Gothic"/>
          <w:i/>
          <w:iCs/>
          <w:color w:val="000000" w:themeColor="text1"/>
          <w:sz w:val="20"/>
          <w:szCs w:val="20"/>
        </w:rPr>
        <w:t xml:space="preserve">. </w:t>
      </w:r>
    </w:p>
    <w:p w14:paraId="7F2566C9" w14:textId="7900B301" w:rsidR="001F6316" w:rsidRPr="00D2561F" w:rsidRDefault="001F6316" w:rsidP="00DE7A48">
      <w:pPr>
        <w:pBdr>
          <w:top w:val="nil"/>
          <w:left w:val="nil"/>
          <w:bottom w:val="nil"/>
          <w:right w:val="nil"/>
          <w:between w:val="nil"/>
        </w:pBdr>
        <w:spacing w:line="276" w:lineRule="auto"/>
        <w:jc w:val="both"/>
        <w:rPr>
          <w:rFonts w:ascii="Century Gothic" w:hAnsi="Century Gothic"/>
          <w:i/>
          <w:iCs/>
          <w:color w:val="000000" w:themeColor="text1"/>
          <w:sz w:val="20"/>
          <w:szCs w:val="20"/>
        </w:rPr>
      </w:pPr>
    </w:p>
    <w:p w14:paraId="7F2566CA" w14:textId="4A42391A"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Igualmente, se solicitó información de manera anonimizada al Ministerio de Tecnologías de la Información y las Comunicaciones, encargado de implementar, administrar y mantener actualizado el REDAM en los términos del Decreto 1310 de 2022, para comprender el impacto que ha generado el Registro de Deudores Alimentarios Morosos REDAM. En la respuesta al derecho de petición elevado, el Ministerio señaló que el REDAM fue creado por el artículo 1</w:t>
      </w:r>
      <w:r w:rsidRPr="00D2561F">
        <w:rPr>
          <w:rFonts w:ascii="Century Gothic" w:hAnsi="Century Gothic"/>
          <w:color w:val="000000" w:themeColor="text1"/>
          <w:sz w:val="20"/>
          <w:szCs w:val="20"/>
          <w:highlight w:val="white"/>
          <w:vertAlign w:val="superscript"/>
        </w:rPr>
        <w:t>º</w:t>
      </w:r>
      <w:r w:rsidRPr="00D2561F">
        <w:rPr>
          <w:rFonts w:ascii="Century Gothic" w:hAnsi="Century Gothic"/>
          <w:color w:val="000000" w:themeColor="text1"/>
          <w:sz w:val="20"/>
          <w:szCs w:val="20"/>
          <w:highlight w:val="white"/>
        </w:rPr>
        <w:t xml:space="preserve"> de la Ley Estatutaria 2097 de 2021, como mecanismo de control al incumplimiento de las obligaciones alimentarias</w:t>
      </w:r>
      <w:r w:rsidRPr="00D2561F">
        <w:rPr>
          <w:rFonts w:ascii="Century Gothic" w:hAnsi="Century Gothic"/>
          <w:color w:val="000000" w:themeColor="text1"/>
          <w:sz w:val="20"/>
          <w:szCs w:val="20"/>
          <w:highlight w:val="white"/>
          <w:vertAlign w:val="superscript"/>
        </w:rPr>
        <w:footnoteReference w:id="7"/>
      </w:r>
      <w:r w:rsidRPr="00D2561F">
        <w:rPr>
          <w:rFonts w:ascii="Century Gothic" w:hAnsi="Century Gothic"/>
          <w:color w:val="000000" w:themeColor="text1"/>
          <w:sz w:val="20"/>
          <w:szCs w:val="20"/>
          <w:highlight w:val="white"/>
        </w:rPr>
        <w:t>. Con ello, es un banco de datos electrónico de carácter público y gratuito que contiene y administra la información y datos personales del deudor alimentario moroso susceptible de registro</w:t>
      </w:r>
      <w:r w:rsidRPr="00D2561F">
        <w:rPr>
          <w:rFonts w:ascii="Century Gothic" w:hAnsi="Century Gothic"/>
          <w:color w:val="000000" w:themeColor="text1"/>
          <w:sz w:val="20"/>
          <w:szCs w:val="20"/>
          <w:highlight w:val="white"/>
          <w:vertAlign w:val="superscript"/>
        </w:rPr>
        <w:footnoteReference w:id="8"/>
      </w:r>
      <w:r w:rsidRPr="00D2561F">
        <w:rPr>
          <w:rFonts w:ascii="Century Gothic" w:hAnsi="Century Gothic"/>
          <w:color w:val="000000" w:themeColor="text1"/>
          <w:sz w:val="20"/>
          <w:szCs w:val="20"/>
          <w:highlight w:val="white"/>
        </w:rPr>
        <w:t xml:space="preserve">. </w:t>
      </w:r>
    </w:p>
    <w:p w14:paraId="7F2566CB"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CC"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El Ministerio señala que el REDAM está en operación desde el 26 de enero de 2023</w:t>
      </w:r>
      <w:r w:rsidRPr="00D2561F">
        <w:rPr>
          <w:rFonts w:ascii="Century Gothic" w:hAnsi="Century Gothic"/>
          <w:color w:val="000000" w:themeColor="text1"/>
          <w:sz w:val="20"/>
          <w:szCs w:val="20"/>
          <w:highlight w:val="white"/>
          <w:vertAlign w:val="superscript"/>
        </w:rPr>
        <w:footnoteReference w:id="9"/>
      </w:r>
      <w:r w:rsidRPr="00D2561F">
        <w:rPr>
          <w:rFonts w:ascii="Century Gothic" w:hAnsi="Century Gothic"/>
          <w:color w:val="000000" w:themeColor="text1"/>
          <w:sz w:val="20"/>
          <w:szCs w:val="20"/>
          <w:highlight w:val="white"/>
        </w:rPr>
        <w:t>. También indica que las Fuentes de la Información (Juzgados con competencia, Comisarías de Familia, Defensores de Familia del ICBF) se encuentran habilitadas plenamente para adelantar el trámite dispuesto por la Ley Estatutaria 2097 de 2021 para la Inscripción de Deudores Alimentarios Morosos en el REDAM y, agotado dicho trámite, cargar la información en el Formato Único de Registro de la herramienta o solución tecnológica dispuesta</w:t>
      </w:r>
      <w:r w:rsidRPr="00D2561F">
        <w:rPr>
          <w:rFonts w:ascii="Century Gothic" w:hAnsi="Century Gothic"/>
          <w:color w:val="000000" w:themeColor="text1"/>
          <w:sz w:val="20"/>
          <w:szCs w:val="20"/>
          <w:highlight w:val="white"/>
          <w:vertAlign w:val="superscript"/>
        </w:rPr>
        <w:footnoteReference w:id="10"/>
      </w:r>
      <w:r w:rsidRPr="00D2561F">
        <w:rPr>
          <w:rFonts w:ascii="Century Gothic" w:hAnsi="Century Gothic"/>
          <w:color w:val="000000" w:themeColor="text1"/>
          <w:sz w:val="20"/>
          <w:szCs w:val="20"/>
          <w:highlight w:val="white"/>
        </w:rPr>
        <w:t>.</w:t>
      </w:r>
    </w:p>
    <w:p w14:paraId="7F2566CD"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CE"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De igual forma, explica que el MinTIC ha venido brindando acompañamiento y soporte a las Fuentes de Información (Juzgados con competencia, Comisarías de Familia, Defensores de Familia del ICBF) y a la ciudadanía</w:t>
      </w:r>
      <w:r w:rsidRPr="00D2561F">
        <w:rPr>
          <w:rFonts w:ascii="Century Gothic" w:hAnsi="Century Gothic"/>
          <w:color w:val="000000" w:themeColor="text1"/>
          <w:sz w:val="20"/>
          <w:szCs w:val="20"/>
          <w:highlight w:val="white"/>
          <w:vertAlign w:val="superscript"/>
        </w:rPr>
        <w:footnoteReference w:id="11"/>
      </w:r>
      <w:r w:rsidRPr="00D2561F">
        <w:rPr>
          <w:rFonts w:ascii="Century Gothic" w:hAnsi="Century Gothic"/>
          <w:color w:val="000000" w:themeColor="text1"/>
          <w:sz w:val="20"/>
          <w:szCs w:val="20"/>
          <w:highlight w:val="white"/>
        </w:rPr>
        <w:t>. Para ello han realizado capacitaciones y talleres en relación con la normativa aplicable al REDAM, su funcionamiento y la aplicación de la estrategia de gestión del cambio, uso y apropiación</w:t>
      </w:r>
      <w:r w:rsidRPr="00D2561F">
        <w:rPr>
          <w:rFonts w:ascii="Century Gothic" w:hAnsi="Century Gothic"/>
          <w:color w:val="000000" w:themeColor="text1"/>
          <w:sz w:val="20"/>
          <w:szCs w:val="20"/>
          <w:highlight w:val="white"/>
          <w:vertAlign w:val="superscript"/>
        </w:rPr>
        <w:footnoteReference w:id="12"/>
      </w:r>
      <w:r w:rsidRPr="00D2561F">
        <w:rPr>
          <w:rFonts w:ascii="Century Gothic" w:hAnsi="Century Gothic"/>
          <w:color w:val="000000" w:themeColor="text1"/>
          <w:sz w:val="20"/>
          <w:szCs w:val="20"/>
          <w:highlight w:val="white"/>
        </w:rPr>
        <w:t>.  Lo anterior sin suspender la operación del REDAM</w:t>
      </w:r>
      <w:r w:rsidRPr="00D2561F">
        <w:rPr>
          <w:rFonts w:ascii="Century Gothic" w:hAnsi="Century Gothic"/>
          <w:color w:val="000000" w:themeColor="text1"/>
          <w:sz w:val="20"/>
          <w:szCs w:val="20"/>
          <w:highlight w:val="white"/>
          <w:vertAlign w:val="superscript"/>
        </w:rPr>
        <w:footnoteReference w:id="13"/>
      </w:r>
      <w:r w:rsidRPr="00D2561F">
        <w:rPr>
          <w:rFonts w:ascii="Century Gothic" w:hAnsi="Century Gothic"/>
          <w:color w:val="000000" w:themeColor="text1"/>
          <w:sz w:val="20"/>
          <w:szCs w:val="20"/>
          <w:highlight w:val="white"/>
        </w:rPr>
        <w:t>.</w:t>
      </w:r>
    </w:p>
    <w:p w14:paraId="7F2566CF"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D0"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Por otro lado, respecto a la totalidad histórica de deudores alimentarios, tras verificar la base de datos de consulta del Sistema de Registro de Deudores Alimentarios Morosos – REDAM, el Ministerio remitió las siguientes cifras:</w:t>
      </w:r>
    </w:p>
    <w:p w14:paraId="7F2566D1"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tbl>
      <w:tblPr>
        <w:tblStyle w:val="a"/>
        <w:tblW w:w="98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0"/>
        <w:gridCol w:w="1496"/>
        <w:gridCol w:w="1176"/>
        <w:gridCol w:w="1350"/>
        <w:gridCol w:w="1550"/>
        <w:gridCol w:w="1216"/>
        <w:gridCol w:w="1470"/>
      </w:tblGrid>
      <w:tr w:rsidR="001F6316" w:rsidRPr="00D2561F" w14:paraId="7F2566D9" w14:textId="77777777">
        <w:tc>
          <w:tcPr>
            <w:tcW w:w="1550" w:type="dxa"/>
            <w:shd w:val="clear" w:color="auto" w:fill="D9E2F3"/>
          </w:tcPr>
          <w:p w14:paraId="7F2566D2" w14:textId="77777777" w:rsidR="001F6316" w:rsidRPr="00D2561F" w:rsidRDefault="00B14FA6" w:rsidP="00DE7A48">
            <w:pP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Histórico de Deudores Alimentarios Morosos registrados</w:t>
            </w:r>
          </w:p>
        </w:tc>
        <w:tc>
          <w:tcPr>
            <w:tcW w:w="1496" w:type="dxa"/>
            <w:shd w:val="clear" w:color="auto" w:fill="D9E2F3"/>
          </w:tcPr>
          <w:p w14:paraId="7F2566D3" w14:textId="77777777" w:rsidR="001F6316" w:rsidRPr="00D2561F" w:rsidRDefault="00B14FA6" w:rsidP="00DE7A48">
            <w:pP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Deudores alimentarios morosos activos en el REDAM</w:t>
            </w:r>
          </w:p>
        </w:tc>
        <w:tc>
          <w:tcPr>
            <w:tcW w:w="1176" w:type="dxa"/>
            <w:shd w:val="clear" w:color="auto" w:fill="D9E2F3"/>
          </w:tcPr>
          <w:p w14:paraId="7F2566D4" w14:textId="77777777" w:rsidR="001F6316" w:rsidRPr="00D2561F" w:rsidRDefault="00B14FA6" w:rsidP="00DE7A48">
            <w:pP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Registros en trámite en el REDAM</w:t>
            </w:r>
          </w:p>
        </w:tc>
        <w:tc>
          <w:tcPr>
            <w:tcW w:w="1350" w:type="dxa"/>
            <w:shd w:val="clear" w:color="auto" w:fill="D9E2F3"/>
          </w:tcPr>
          <w:p w14:paraId="7F2566D5" w14:textId="77777777" w:rsidR="001F6316" w:rsidRPr="00D2561F" w:rsidRDefault="00B14FA6" w:rsidP="00DE7A48">
            <w:pP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Promedio de la cantidad de veces que el deudor ha sido objeto de inscripción en el REDAM</w:t>
            </w:r>
          </w:p>
        </w:tc>
        <w:tc>
          <w:tcPr>
            <w:tcW w:w="1550" w:type="dxa"/>
            <w:shd w:val="clear" w:color="auto" w:fill="D9E2F3"/>
          </w:tcPr>
          <w:p w14:paraId="7F2566D6" w14:textId="77777777" w:rsidR="001F6316" w:rsidRPr="00D2561F" w:rsidRDefault="00B14FA6" w:rsidP="00DE7A48">
            <w:pP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Promedio de tiempo de permanencia del deudor en REDAM</w:t>
            </w:r>
          </w:p>
        </w:tc>
        <w:tc>
          <w:tcPr>
            <w:tcW w:w="1216" w:type="dxa"/>
            <w:shd w:val="clear" w:color="auto" w:fill="D9E2F3"/>
          </w:tcPr>
          <w:p w14:paraId="7F2566D7" w14:textId="77777777" w:rsidR="001F6316" w:rsidRPr="00D2561F" w:rsidRDefault="00B14FA6" w:rsidP="00DE7A48">
            <w:pP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Promedio de cuotas parciales en mora</w:t>
            </w:r>
          </w:p>
        </w:tc>
        <w:tc>
          <w:tcPr>
            <w:tcW w:w="1470" w:type="dxa"/>
            <w:shd w:val="clear" w:color="auto" w:fill="D9E2F3"/>
          </w:tcPr>
          <w:p w14:paraId="7F2566D8" w14:textId="77777777" w:rsidR="001F6316" w:rsidRPr="00D2561F" w:rsidRDefault="00B14FA6" w:rsidP="00DE7A48">
            <w:pP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Promedio del monto de obligaciones pendientes</w:t>
            </w:r>
          </w:p>
        </w:tc>
      </w:tr>
      <w:tr w:rsidR="001F6316" w:rsidRPr="00D2561F" w14:paraId="7F2566E3" w14:textId="77777777">
        <w:tc>
          <w:tcPr>
            <w:tcW w:w="1550" w:type="dxa"/>
          </w:tcPr>
          <w:p w14:paraId="7F2566DA" w14:textId="77777777" w:rsidR="001F6316" w:rsidRPr="00D2561F" w:rsidRDefault="00B14FA6" w:rsidP="00DE7A48">
            <w:pPr>
              <w:spacing w:line="276" w:lineRule="auto"/>
              <w:jc w:val="center"/>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3.527 hombres</w:t>
            </w:r>
          </w:p>
        </w:tc>
        <w:tc>
          <w:tcPr>
            <w:tcW w:w="1496" w:type="dxa"/>
          </w:tcPr>
          <w:p w14:paraId="7F2566DB" w14:textId="77777777" w:rsidR="001F6316" w:rsidRPr="00D2561F" w:rsidRDefault="00B14FA6" w:rsidP="00DE7A48">
            <w:pPr>
              <w:spacing w:line="276" w:lineRule="auto"/>
              <w:jc w:val="center"/>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3348 hombres</w:t>
            </w:r>
          </w:p>
        </w:tc>
        <w:tc>
          <w:tcPr>
            <w:tcW w:w="1176" w:type="dxa"/>
          </w:tcPr>
          <w:p w14:paraId="7F2566DC" w14:textId="77777777" w:rsidR="001F6316" w:rsidRPr="00D2561F" w:rsidRDefault="00B14FA6" w:rsidP="00DE7A48">
            <w:pPr>
              <w:spacing w:line="276" w:lineRule="auto"/>
              <w:jc w:val="center"/>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0 hombres</w:t>
            </w:r>
          </w:p>
        </w:tc>
        <w:tc>
          <w:tcPr>
            <w:tcW w:w="1350" w:type="dxa"/>
          </w:tcPr>
          <w:p w14:paraId="7F2566DD" w14:textId="77777777" w:rsidR="001F6316" w:rsidRPr="00D2561F" w:rsidRDefault="00B14FA6" w:rsidP="00EF0559">
            <w:pPr>
              <w:spacing w:line="276" w:lineRule="auto"/>
              <w:jc w:val="center"/>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1</w:t>
            </w:r>
          </w:p>
        </w:tc>
        <w:tc>
          <w:tcPr>
            <w:tcW w:w="1550" w:type="dxa"/>
            <w:vMerge w:val="restart"/>
          </w:tcPr>
          <w:p w14:paraId="7F2566DE" w14:textId="77777777" w:rsidR="001F6316" w:rsidRPr="00D2561F" w:rsidRDefault="00B14FA6" w:rsidP="00DE7A48">
            <w:pPr>
              <w:spacing w:line="276" w:lineRule="auto"/>
              <w:jc w:val="center"/>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152 días</w:t>
            </w:r>
          </w:p>
          <w:p w14:paraId="7F2566DF" w14:textId="77777777" w:rsidR="001F6316" w:rsidRPr="00D2561F" w:rsidRDefault="00B14FA6" w:rsidP="00DE7A48">
            <w:pPr>
              <w:spacing w:line="276" w:lineRule="auto"/>
              <w:jc w:val="center"/>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(5,1 meses)</w:t>
            </w:r>
          </w:p>
        </w:tc>
        <w:tc>
          <w:tcPr>
            <w:tcW w:w="1216" w:type="dxa"/>
            <w:vMerge w:val="restart"/>
          </w:tcPr>
          <w:p w14:paraId="7F2566E0" w14:textId="77777777" w:rsidR="001F6316" w:rsidRPr="00D2561F" w:rsidRDefault="00B14FA6" w:rsidP="00DE7A48">
            <w:pPr>
              <w:spacing w:line="276" w:lineRule="auto"/>
              <w:jc w:val="center"/>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38 cuotas vencidas</w:t>
            </w:r>
          </w:p>
        </w:tc>
        <w:tc>
          <w:tcPr>
            <w:tcW w:w="1470" w:type="dxa"/>
            <w:vMerge w:val="restart"/>
          </w:tcPr>
          <w:p w14:paraId="7F2566E1" w14:textId="77777777" w:rsidR="001F6316" w:rsidRPr="00D2561F" w:rsidRDefault="001F6316" w:rsidP="00DE7A48">
            <w:pPr>
              <w:spacing w:line="276" w:lineRule="auto"/>
              <w:jc w:val="center"/>
              <w:rPr>
                <w:rFonts w:ascii="Century Gothic" w:hAnsi="Century Gothic"/>
                <w:color w:val="000000" w:themeColor="text1"/>
                <w:sz w:val="20"/>
                <w:szCs w:val="20"/>
                <w:highlight w:val="white"/>
              </w:rPr>
            </w:pPr>
          </w:p>
          <w:p w14:paraId="7F2566E2" w14:textId="77777777" w:rsidR="001F6316" w:rsidRPr="00D2561F" w:rsidRDefault="00B14FA6" w:rsidP="00DE7A48">
            <w:pPr>
              <w:spacing w:line="276" w:lineRule="auto"/>
              <w:jc w:val="center"/>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$ 22.815.225</w:t>
            </w:r>
          </w:p>
        </w:tc>
      </w:tr>
      <w:tr w:rsidR="001F6316" w:rsidRPr="00D2561F" w14:paraId="7F2566EB" w14:textId="77777777">
        <w:tc>
          <w:tcPr>
            <w:tcW w:w="1550" w:type="dxa"/>
          </w:tcPr>
          <w:p w14:paraId="7F2566E4" w14:textId="77777777" w:rsidR="001F6316" w:rsidRPr="00D2561F" w:rsidRDefault="00B14FA6" w:rsidP="00DE7A48">
            <w:pP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289 mujeres</w:t>
            </w:r>
          </w:p>
        </w:tc>
        <w:tc>
          <w:tcPr>
            <w:tcW w:w="1496" w:type="dxa"/>
          </w:tcPr>
          <w:p w14:paraId="7F2566E5" w14:textId="77777777" w:rsidR="001F6316" w:rsidRPr="00D2561F" w:rsidRDefault="00B14FA6" w:rsidP="00DE7A48">
            <w:pP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279 mujeres</w:t>
            </w:r>
          </w:p>
        </w:tc>
        <w:tc>
          <w:tcPr>
            <w:tcW w:w="1176" w:type="dxa"/>
          </w:tcPr>
          <w:p w14:paraId="7F2566E6" w14:textId="77777777" w:rsidR="001F6316" w:rsidRPr="00D2561F" w:rsidRDefault="00B14FA6" w:rsidP="00DE7A48">
            <w:pP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0 mujeres</w:t>
            </w:r>
          </w:p>
        </w:tc>
        <w:tc>
          <w:tcPr>
            <w:tcW w:w="1350" w:type="dxa"/>
          </w:tcPr>
          <w:p w14:paraId="7F2566E7" w14:textId="6654C124" w:rsidR="001F6316" w:rsidRPr="00D2561F" w:rsidRDefault="00B14FA6" w:rsidP="00EF0559">
            <w:pPr>
              <w:spacing w:line="276" w:lineRule="auto"/>
              <w:jc w:val="center"/>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1</w:t>
            </w:r>
          </w:p>
        </w:tc>
        <w:tc>
          <w:tcPr>
            <w:tcW w:w="1550" w:type="dxa"/>
            <w:vMerge/>
          </w:tcPr>
          <w:p w14:paraId="7F2566E8" w14:textId="77777777" w:rsidR="001F6316" w:rsidRPr="00D2561F" w:rsidRDefault="001F6316" w:rsidP="00DE7A48">
            <w:pPr>
              <w:widowControl w:val="0"/>
              <w:pBdr>
                <w:top w:val="nil"/>
                <w:left w:val="nil"/>
                <w:bottom w:val="nil"/>
                <w:right w:val="nil"/>
                <w:between w:val="nil"/>
              </w:pBdr>
              <w:spacing w:line="276" w:lineRule="auto"/>
              <w:rPr>
                <w:rFonts w:ascii="Century Gothic" w:hAnsi="Century Gothic"/>
                <w:color w:val="000000" w:themeColor="text1"/>
                <w:sz w:val="20"/>
                <w:szCs w:val="20"/>
                <w:highlight w:val="white"/>
              </w:rPr>
            </w:pPr>
          </w:p>
        </w:tc>
        <w:tc>
          <w:tcPr>
            <w:tcW w:w="1216" w:type="dxa"/>
            <w:vMerge/>
          </w:tcPr>
          <w:p w14:paraId="7F2566E9" w14:textId="77777777" w:rsidR="001F6316" w:rsidRPr="00D2561F" w:rsidRDefault="001F6316" w:rsidP="00DE7A48">
            <w:pPr>
              <w:widowControl w:val="0"/>
              <w:pBdr>
                <w:top w:val="nil"/>
                <w:left w:val="nil"/>
                <w:bottom w:val="nil"/>
                <w:right w:val="nil"/>
                <w:between w:val="nil"/>
              </w:pBdr>
              <w:spacing w:line="276" w:lineRule="auto"/>
              <w:rPr>
                <w:rFonts w:ascii="Century Gothic" w:hAnsi="Century Gothic"/>
                <w:color w:val="000000" w:themeColor="text1"/>
                <w:sz w:val="20"/>
                <w:szCs w:val="20"/>
                <w:highlight w:val="white"/>
              </w:rPr>
            </w:pPr>
          </w:p>
        </w:tc>
        <w:tc>
          <w:tcPr>
            <w:tcW w:w="1470" w:type="dxa"/>
            <w:vMerge/>
          </w:tcPr>
          <w:p w14:paraId="7F2566EA" w14:textId="77777777" w:rsidR="001F6316" w:rsidRPr="00D2561F" w:rsidRDefault="001F6316" w:rsidP="00DE7A48">
            <w:pPr>
              <w:widowControl w:val="0"/>
              <w:pBdr>
                <w:top w:val="nil"/>
                <w:left w:val="nil"/>
                <w:bottom w:val="nil"/>
                <w:right w:val="nil"/>
                <w:between w:val="nil"/>
              </w:pBdr>
              <w:spacing w:line="276" w:lineRule="auto"/>
              <w:rPr>
                <w:rFonts w:ascii="Century Gothic" w:hAnsi="Century Gothic"/>
                <w:color w:val="000000" w:themeColor="text1"/>
                <w:sz w:val="20"/>
                <w:szCs w:val="20"/>
                <w:highlight w:val="white"/>
              </w:rPr>
            </w:pPr>
          </w:p>
        </w:tc>
      </w:tr>
    </w:tbl>
    <w:p w14:paraId="7F2566EC" w14:textId="77777777" w:rsidR="001F6316" w:rsidRPr="00D2561F" w:rsidRDefault="00B14FA6" w:rsidP="00DE7A48">
      <w:pPr>
        <w:pBdr>
          <w:top w:val="nil"/>
          <w:left w:val="nil"/>
          <w:bottom w:val="nil"/>
          <w:right w:val="nil"/>
          <w:between w:val="nil"/>
        </w:pBdr>
        <w:spacing w:line="276" w:lineRule="auto"/>
        <w:jc w:val="center"/>
        <w:rPr>
          <w:rFonts w:ascii="Century Gothic" w:hAnsi="Century Gothic"/>
          <w:i/>
          <w:iCs/>
          <w:color w:val="000000" w:themeColor="text1"/>
          <w:sz w:val="20"/>
          <w:szCs w:val="20"/>
          <w:highlight w:val="white"/>
        </w:rPr>
      </w:pPr>
      <w:r w:rsidRPr="00D2561F">
        <w:rPr>
          <w:rFonts w:ascii="Century Gothic" w:hAnsi="Century Gothic"/>
          <w:b/>
          <w:bCs/>
          <w:i/>
          <w:iCs/>
          <w:color w:val="000000" w:themeColor="text1"/>
          <w:sz w:val="20"/>
          <w:szCs w:val="20"/>
          <w:highlight w:val="white"/>
        </w:rPr>
        <w:t>Fuente:</w:t>
      </w:r>
      <w:r w:rsidRPr="00D2561F">
        <w:rPr>
          <w:rFonts w:ascii="Century Gothic" w:hAnsi="Century Gothic"/>
          <w:i/>
          <w:iCs/>
          <w:color w:val="000000" w:themeColor="text1"/>
          <w:sz w:val="20"/>
          <w:szCs w:val="20"/>
          <w:highlight w:val="white"/>
        </w:rPr>
        <w:t xml:space="preserve"> Tabla allegada por el Ministerio de Tecnologías de la Información y las Comunicaciones</w:t>
      </w:r>
      <w:r w:rsidRPr="00D2561F">
        <w:rPr>
          <w:rFonts w:ascii="Century Gothic" w:hAnsi="Century Gothic"/>
          <w:i/>
          <w:iCs/>
          <w:color w:val="000000" w:themeColor="text1"/>
          <w:sz w:val="20"/>
          <w:szCs w:val="20"/>
          <w:highlight w:val="white"/>
          <w:vertAlign w:val="superscript"/>
        </w:rPr>
        <w:footnoteReference w:id="14"/>
      </w:r>
      <w:r w:rsidRPr="00D2561F">
        <w:rPr>
          <w:rFonts w:ascii="Century Gothic" w:hAnsi="Century Gothic"/>
          <w:i/>
          <w:iCs/>
          <w:color w:val="000000" w:themeColor="text1"/>
          <w:sz w:val="20"/>
          <w:szCs w:val="20"/>
          <w:highlight w:val="white"/>
        </w:rPr>
        <w:t>.</w:t>
      </w:r>
    </w:p>
    <w:p w14:paraId="7F2566ED"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EE"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EF" w14:textId="77777777" w:rsidR="001F6316" w:rsidRPr="00D2561F" w:rsidRDefault="00B14FA6" w:rsidP="00DE7A48">
      <w:pPr>
        <w:numPr>
          <w:ilvl w:val="3"/>
          <w:numId w:val="1"/>
        </w:numPr>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Las principales afectadas por la inasistencia alimentaria</w:t>
      </w:r>
    </w:p>
    <w:p w14:paraId="7F2566F0"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6F1" w14:textId="3F987F38"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De acuerdo a lo indicado en la exposición de motivos, el tema de alimentos ha sido de gran relevancia cuando se analiza al sistema de base patriarcal que tiene por base la institución de la familia. La desigualdad tiene su origen en los roles asignados en ésta célula de la sociedad desde la división sexual del trabajo, a partir del cuál los varones ejercen una dominación estructural de la esfera privada a la pública: monopolizan o dominan posiciones de poder político y liderazgo, controlan más recursos que las mujeres, tienen autoridad directa sobre las mujeres del hogar y hacen uso de la violencia para ejercer control e intimidación bajo la premisa de que las mujeres y los hijos son </w:t>
      </w:r>
      <w:r w:rsidRPr="00D2561F">
        <w:rPr>
          <w:rFonts w:ascii="Century Gothic" w:hAnsi="Century Gothic"/>
          <w:i/>
          <w:iCs/>
          <w:color w:val="000000" w:themeColor="text1"/>
          <w:sz w:val="20"/>
          <w:szCs w:val="20"/>
        </w:rPr>
        <w:t>su</w:t>
      </w:r>
      <w:r w:rsidRPr="00D2561F">
        <w:rPr>
          <w:rFonts w:ascii="Century Gothic" w:hAnsi="Century Gothic"/>
          <w:color w:val="000000" w:themeColor="text1"/>
          <w:sz w:val="20"/>
          <w:szCs w:val="20"/>
        </w:rPr>
        <w:t xml:space="preserve"> propiedad. La materialización del derecho de alimentos no es ajena a los roles, estereotipos de género y desigualdad social. Desde la búsqueda de la fijación de una cuota alimentaria, hasta la pretensión de realizar su cobro efectivo</w:t>
      </w:r>
      <w:r w:rsidR="00A266DB" w:rsidRPr="00D2561F">
        <w:rPr>
          <w:rFonts w:ascii="Century Gothic" w:hAnsi="Century Gothic"/>
          <w:color w:val="000000" w:themeColor="text1"/>
          <w:sz w:val="20"/>
          <w:szCs w:val="20"/>
        </w:rPr>
        <w:t>,</w:t>
      </w:r>
      <w:r w:rsidRPr="00D2561F">
        <w:rPr>
          <w:rFonts w:ascii="Century Gothic" w:hAnsi="Century Gothic"/>
          <w:color w:val="000000" w:themeColor="text1"/>
          <w:sz w:val="20"/>
          <w:szCs w:val="20"/>
        </w:rPr>
        <w:t xml:space="preserve"> </w:t>
      </w:r>
      <w:r w:rsidR="00A266DB" w:rsidRPr="00D2561F">
        <w:rPr>
          <w:rFonts w:ascii="Century Gothic" w:hAnsi="Century Gothic"/>
          <w:color w:val="000000" w:themeColor="text1"/>
          <w:sz w:val="20"/>
          <w:szCs w:val="20"/>
        </w:rPr>
        <w:t>las brechas de género evidencian</w:t>
      </w:r>
      <w:r w:rsidRPr="00D2561F">
        <w:rPr>
          <w:rFonts w:ascii="Century Gothic" w:hAnsi="Century Gothic"/>
          <w:color w:val="000000" w:themeColor="text1"/>
          <w:sz w:val="20"/>
          <w:szCs w:val="20"/>
        </w:rPr>
        <w:t xml:space="preserve"> que quienes más acuden a este tipo de procesos son madres solteras que buscan la protección de los derechos de sus hijos menores de edad. </w:t>
      </w:r>
    </w:p>
    <w:p w14:paraId="7F2566F2"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F3"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 pesar del rechazo colectivo respecto a la violencia contra la mujer, en el actual desarrollo jurídico se ignora de forma constante la realidad del comportamiento social. Con ello, se limita a algo meramente formal al mantener las circunstancias específicas que perpetúan condiciones de vulnerabilidad, como la relación de poder evidente en los procesos de fijación y ejecución de la cuota alimentaria en favor de menores de edad, otra forma de violencia económica en contra de las mujeres que resulta en una alta feminización de la pobreza. En Colombia, al igual que en todo el mundo, las mujeres han logrado avances importantes en la lucha para ser consideradas como personas con iguales derechos que los hombres, de hecho es el quinto de los Objetivos de Desarrollo Sostenible (ODS). Sin embargo, el Secretario General de las Naciones Unidas António Guterres ha manifestado que existe un desfase en cuanto a la consecución de la Agenda 2030 concretamente en éste objetivo según proyecciones del Índice Global de Género del Fondo Económico Mundial al existir un alto riesgo de no alcanzar hasta dentro de 300 años</w:t>
      </w:r>
      <w:r w:rsidRPr="00D2561F">
        <w:rPr>
          <w:rFonts w:ascii="Century Gothic" w:hAnsi="Century Gothic"/>
          <w:color w:val="000000" w:themeColor="text1"/>
          <w:sz w:val="20"/>
          <w:szCs w:val="20"/>
          <w:vertAlign w:val="superscript"/>
        </w:rPr>
        <w:footnoteReference w:id="15"/>
      </w:r>
      <w:r w:rsidRPr="00D2561F">
        <w:rPr>
          <w:rFonts w:ascii="Century Gothic" w:hAnsi="Century Gothic"/>
          <w:color w:val="000000" w:themeColor="text1"/>
          <w:sz w:val="20"/>
          <w:szCs w:val="20"/>
        </w:rPr>
        <w:t xml:space="preserve"> un cierre de la brecha de género.</w:t>
      </w:r>
    </w:p>
    <w:p w14:paraId="7F2566F4"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F5" w14:textId="13AD7EDE"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En la mayoría de los casos quien inicia el proceso para fijar la cuota de alimentos de un menor de edad es quien ejerce el cuidado y custodia. En una investigación realizada al interior de los consultorios jurídicos de la Universidad de los Andes, se encontró </w:t>
      </w:r>
      <w:r w:rsidR="00A266DB" w:rsidRPr="00D2561F">
        <w:rPr>
          <w:rFonts w:ascii="Century Gothic" w:hAnsi="Century Gothic"/>
          <w:color w:val="000000" w:themeColor="text1"/>
          <w:sz w:val="20"/>
          <w:szCs w:val="20"/>
        </w:rPr>
        <w:t>que,</w:t>
      </w:r>
      <w:r w:rsidRPr="00D2561F">
        <w:rPr>
          <w:rFonts w:ascii="Century Gothic" w:hAnsi="Century Gothic"/>
          <w:color w:val="000000" w:themeColor="text1"/>
          <w:sz w:val="20"/>
          <w:szCs w:val="20"/>
        </w:rPr>
        <w:t xml:space="preserve"> para septiembre de 2016, de 1165 casos de alimentos atendidos, 1022 fueron interpuestos por mujeres buscando la protección de sus hijos menores de edad y 26 iniciados por hijos que al cumplir la mayoría de edad reactivaron o iniciaron </w:t>
      </w:r>
      <w:r w:rsidR="00A266DB" w:rsidRPr="00D2561F">
        <w:rPr>
          <w:rFonts w:ascii="Century Gothic" w:hAnsi="Century Gothic"/>
          <w:color w:val="000000" w:themeColor="text1"/>
          <w:sz w:val="20"/>
          <w:szCs w:val="20"/>
        </w:rPr>
        <w:t>estos</w:t>
      </w:r>
      <w:r w:rsidRPr="00D2561F">
        <w:rPr>
          <w:rFonts w:ascii="Century Gothic" w:hAnsi="Century Gothic"/>
          <w:color w:val="000000" w:themeColor="text1"/>
          <w:sz w:val="20"/>
          <w:szCs w:val="20"/>
        </w:rPr>
        <w:t xml:space="preserve"> procesos. Mientras que de los 117 casos presentados por hombres, 45 solicitaban la disminución de cuota, 18 ofrecimiento de alimentos, 11 de fijación, 16 de exoneración de cuota y 27 ejecutivos. En un análisis de 155 casos de alimentos (ejecutivos y declarativos), entre los años 2011 y 2016, se encontró que las cuotas fijadas en 88 de ellos corresponden a un valor menor a $150.000 pesos mensuales para uno o más hijos</w:t>
      </w:r>
      <w:r w:rsidRPr="00D2561F">
        <w:rPr>
          <w:rFonts w:ascii="Century Gothic" w:hAnsi="Century Gothic"/>
          <w:color w:val="000000" w:themeColor="text1"/>
          <w:sz w:val="20"/>
          <w:szCs w:val="20"/>
          <w:vertAlign w:val="superscript"/>
        </w:rPr>
        <w:footnoteReference w:id="16"/>
      </w:r>
      <w:r w:rsidRPr="00D2561F">
        <w:rPr>
          <w:rFonts w:ascii="Century Gothic" w:hAnsi="Century Gothic"/>
          <w:color w:val="000000" w:themeColor="text1"/>
          <w:sz w:val="20"/>
          <w:szCs w:val="20"/>
        </w:rPr>
        <w:t>. Aún así, quienes pagan las cuotas alimentarias tienden a vigilar minuciosamente cómo las madres gastan el dinero, no sólo el que corresponde al cuidado de sus hijos, sino los propios gastos de la mujer y amenazan con quitar su apoyo económico. Este apoyo, en muchos casos no cubre ni el 30% de los gastos reales para el correcto desarrollo del niño, niña o adolescente.</w:t>
      </w:r>
    </w:p>
    <w:p w14:paraId="7F2566F6" w14:textId="77777777" w:rsidR="001F6316" w:rsidRPr="00D2561F" w:rsidRDefault="00B14FA6" w:rsidP="00DE7A48">
      <w:pPr>
        <w:spacing w:line="276" w:lineRule="auto"/>
        <w:jc w:val="center"/>
        <w:rPr>
          <w:rFonts w:ascii="Century Gothic" w:hAnsi="Century Gothic"/>
          <w:color w:val="000000" w:themeColor="text1"/>
          <w:sz w:val="20"/>
          <w:szCs w:val="20"/>
        </w:rPr>
      </w:pPr>
      <w:r w:rsidRPr="00D2561F">
        <w:rPr>
          <w:rFonts w:ascii="Century Gothic" w:hAnsi="Century Gothic"/>
          <w:noProof/>
          <w:color w:val="000000" w:themeColor="text1"/>
          <w:sz w:val="20"/>
          <w:szCs w:val="20"/>
        </w:rPr>
        <w:drawing>
          <wp:inline distT="114300" distB="114300" distL="114300" distR="114300" wp14:anchorId="7F256B32" wp14:editId="7F256B33">
            <wp:extent cx="3435188" cy="2189090"/>
            <wp:effectExtent l="0" t="0" r="0" b="0"/>
            <wp:docPr id="3" name="image1.png" descr="A graph of a number of peop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aph of a number of people&#10;&#10;Description automatically generated"/>
                    <pic:cNvPicPr preferRelativeResize="0"/>
                  </pic:nvPicPr>
                  <pic:blipFill>
                    <a:blip r:embed="rId10"/>
                    <a:srcRect/>
                    <a:stretch>
                      <a:fillRect/>
                    </a:stretch>
                  </pic:blipFill>
                  <pic:spPr>
                    <a:xfrm>
                      <a:off x="0" y="0"/>
                      <a:ext cx="3435188" cy="2189090"/>
                    </a:xfrm>
                    <a:prstGeom prst="rect">
                      <a:avLst/>
                    </a:prstGeom>
                    <a:ln/>
                  </pic:spPr>
                </pic:pic>
              </a:graphicData>
            </a:graphic>
          </wp:inline>
        </w:drawing>
      </w:r>
    </w:p>
    <w:p w14:paraId="7F2566F7" w14:textId="77777777" w:rsidR="001F6316" w:rsidRPr="00D2561F" w:rsidRDefault="00B14FA6" w:rsidP="00DE7A48">
      <w:pPr>
        <w:spacing w:line="276" w:lineRule="auto"/>
        <w:jc w:val="center"/>
        <w:rPr>
          <w:rFonts w:ascii="Century Gothic" w:hAnsi="Century Gothic"/>
          <w:i/>
          <w:iCs/>
          <w:color w:val="000000" w:themeColor="text1"/>
          <w:sz w:val="20"/>
          <w:szCs w:val="20"/>
        </w:rPr>
      </w:pPr>
      <w:r w:rsidRPr="00D2561F">
        <w:rPr>
          <w:rFonts w:ascii="Century Gothic" w:hAnsi="Century Gothic"/>
          <w:b/>
          <w:bCs/>
          <w:i/>
          <w:iCs/>
          <w:color w:val="000000" w:themeColor="text1"/>
          <w:sz w:val="20"/>
          <w:szCs w:val="20"/>
        </w:rPr>
        <w:t>Fuente</w:t>
      </w:r>
      <w:r w:rsidRPr="00D2561F">
        <w:rPr>
          <w:rFonts w:ascii="Century Gothic" w:hAnsi="Century Gothic"/>
          <w:i/>
          <w:iCs/>
          <w:color w:val="000000" w:themeColor="text1"/>
          <w:sz w:val="20"/>
          <w:szCs w:val="20"/>
        </w:rPr>
        <w:t>: Gráfica incluida en la exposición de motivos del Proyecto de Ley Estatutaria No. 069 de 2025 Senado (La batalla por los alimentos: El papel del derecho civil en la construcción del género y la desigualdad, por Jaramillo, I. y Anzola, S</w:t>
      </w:r>
      <w:r w:rsidRPr="00D2561F">
        <w:rPr>
          <w:rFonts w:ascii="Century Gothic" w:hAnsi="Century Gothic"/>
          <w:color w:val="000000" w:themeColor="text1"/>
          <w:sz w:val="20"/>
          <w:szCs w:val="20"/>
        </w:rPr>
        <w:t>.</w:t>
      </w:r>
      <w:r w:rsidRPr="00D2561F">
        <w:rPr>
          <w:rFonts w:ascii="Century Gothic" w:hAnsi="Century Gothic"/>
          <w:i/>
          <w:iCs/>
          <w:color w:val="000000" w:themeColor="text1"/>
          <w:sz w:val="20"/>
          <w:szCs w:val="20"/>
        </w:rPr>
        <w:t>, 2019, Ediciones Uniandes).</w:t>
      </w:r>
    </w:p>
    <w:p w14:paraId="7F2566F8"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F9"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La violencia económica se reconoce como una modalidad de violencia en contra de la mujer. Es una de las violencias más difíciles de probar jurídicamente, ya que muchas de las conductas de este tipo se han fundido cultural y socialmente, y no causan rechazo al existir en teoría una “igualdad de condiciones” según ordenamiento normativo. De acuerdo al artículo 3º de la Ley 1257 de 2008, la violencia contra la mujer es </w:t>
      </w:r>
      <w:r w:rsidRPr="00D2561F">
        <w:rPr>
          <w:rFonts w:ascii="Century Gothic" w:hAnsi="Century Gothic"/>
          <w:i/>
          <w:iCs/>
          <w:color w:val="000000" w:themeColor="text1"/>
          <w:sz w:val="20"/>
          <w:szCs w:val="20"/>
        </w:rPr>
        <w:t xml:space="preserve">“cualquier acción u omisión, que le cause muerte, daño o sufrimiento físico, sexual, psicológico, económico o patrimonial por su condición de mujer, así como las amenazas de tales actos, la coacción o la privación arbitraria de la libertad, bien sea que se presente en el ámbito público o en el privado”. </w:t>
      </w:r>
      <w:r w:rsidRPr="00D2561F">
        <w:rPr>
          <w:rFonts w:ascii="Century Gothic" w:hAnsi="Century Gothic"/>
          <w:color w:val="000000" w:themeColor="text1"/>
          <w:sz w:val="20"/>
          <w:szCs w:val="20"/>
        </w:rPr>
        <w:t xml:space="preserve">La inasistencia alimentaria o la actitud que toma el deudor alimentario, es un recordatorio constante de su necesidad económica y de la posición dominante que mantiene su ex pareja aún después de su separación. </w:t>
      </w:r>
    </w:p>
    <w:p w14:paraId="7F2566FA"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6FB" w14:textId="77777777" w:rsidR="001F6316" w:rsidRPr="00D2561F" w:rsidRDefault="00B14FA6" w:rsidP="00DE7A48">
      <w:pP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rPr>
        <w:t xml:space="preserve">Las consecuencias de la violencia económica no sólo afectan a la mujer, ya que los efectos se extienden a los hijos menores de edad. En el artículo 2 de la Ley 1232 de 2008 se define como jefatura femenina de hogar a aquella que es ejercida por una mujer cabeza de familia </w:t>
      </w:r>
      <w:r w:rsidRPr="00D2561F">
        <w:rPr>
          <w:rFonts w:ascii="Century Gothic" w:hAnsi="Century Gothic"/>
          <w:i/>
          <w:iCs/>
          <w:color w:val="000000" w:themeColor="text1"/>
          <w:sz w:val="20"/>
          <w:szCs w:val="20"/>
        </w:rPr>
        <w:t>“</w:t>
      </w:r>
      <w:r w:rsidRPr="00D2561F">
        <w:rPr>
          <w:rFonts w:ascii="Century Gothic" w:hAnsi="Century Gothic"/>
          <w:i/>
          <w:iCs/>
          <w:color w:val="000000" w:themeColor="text1"/>
          <w:sz w:val="20"/>
          <w:szCs w:val="20"/>
          <w:highlight w:val="white"/>
        </w:rPr>
        <w:t>quien, siendo soltera o casada, ejerce la jefatura femenina de hogar y tiene bajo su cargo, afectiva, económica o socialmente, en forma permanente, hijos menores propios u otras personas incapaces o incapacitadas para trabajar, ya sea por ausencia permanente o incapacidad física, sensorial, síquica o moral del cónyuge o compañero permanente o deficiencia sustancial de ayuda de los demás miembros del núcleo familiar”</w:t>
      </w:r>
      <w:r w:rsidRPr="00D2561F">
        <w:rPr>
          <w:rFonts w:ascii="Century Gothic" w:hAnsi="Century Gothic"/>
          <w:color w:val="000000" w:themeColor="text1"/>
          <w:sz w:val="20"/>
          <w:szCs w:val="20"/>
          <w:highlight w:val="white"/>
        </w:rPr>
        <w:t xml:space="preserve">. </w:t>
      </w:r>
    </w:p>
    <w:p w14:paraId="7F2566FC" w14:textId="77777777" w:rsidR="001F6316" w:rsidRPr="00D2561F" w:rsidRDefault="00B14FA6" w:rsidP="00DE7A48">
      <w:pP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Según los resultados de la Encuesta Nacional de Calidad de Vida</w:t>
      </w:r>
      <w:r w:rsidRPr="00D2561F">
        <w:rPr>
          <w:rFonts w:ascii="Century Gothic" w:hAnsi="Century Gothic"/>
          <w:color w:val="000000" w:themeColor="text1"/>
          <w:sz w:val="20"/>
          <w:szCs w:val="20"/>
          <w:highlight w:val="white"/>
          <w:vertAlign w:val="superscript"/>
        </w:rPr>
        <w:footnoteReference w:id="17"/>
      </w:r>
      <w:r w:rsidRPr="00D2561F">
        <w:rPr>
          <w:rFonts w:ascii="Century Gothic" w:hAnsi="Century Gothic"/>
          <w:color w:val="000000" w:themeColor="text1"/>
          <w:sz w:val="20"/>
          <w:szCs w:val="20"/>
          <w:highlight w:val="white"/>
        </w:rPr>
        <w:t>, en el 2022 a nivel nacional el 41,4% de los hogares con jefatura femenina se encontraban en situación de pobreza en comparación al 33,1% con jefatura masculina en las mismas condiciones. Por otro lado, el 14,1% de las personas que pertenece a un hogar con jefatura femenina se encuentra en pobreza multidimensional, una brecha de 2pp superior a aquellos hogares con jefatura masculina. De igual forma, en 2020 el trabajo doméstico y de cuidado no remunerado representó el 28% del PIB colombiano</w:t>
      </w:r>
      <w:r w:rsidRPr="00D2561F">
        <w:rPr>
          <w:rFonts w:ascii="Century Gothic" w:hAnsi="Century Gothic"/>
          <w:color w:val="000000" w:themeColor="text1"/>
          <w:sz w:val="20"/>
          <w:szCs w:val="20"/>
          <w:highlight w:val="white"/>
          <w:vertAlign w:val="superscript"/>
        </w:rPr>
        <w:footnoteReference w:id="18"/>
      </w:r>
      <w:r w:rsidRPr="00D2561F">
        <w:rPr>
          <w:rFonts w:ascii="Century Gothic" w:hAnsi="Century Gothic"/>
          <w:color w:val="000000" w:themeColor="text1"/>
          <w:sz w:val="20"/>
          <w:szCs w:val="20"/>
          <w:highlight w:val="white"/>
        </w:rPr>
        <w:t xml:space="preserve"> (entre 200 y 230 billones de pesos) y se ha impuesto desproporcionadamente a las mujeres, quienes dedican un promedio de 7 horas y 14 minutos diarios a estas actividades. Mientras tanto, los hombres dedican 3 horas y 6 minutos a las mismas actividades. </w:t>
      </w:r>
    </w:p>
    <w:p w14:paraId="7F2566FD" w14:textId="77777777" w:rsidR="001F6316" w:rsidRPr="00D2561F" w:rsidRDefault="001F6316" w:rsidP="00DE7A48">
      <w:pPr>
        <w:spacing w:line="276" w:lineRule="auto"/>
        <w:jc w:val="both"/>
        <w:rPr>
          <w:rFonts w:ascii="Century Gothic" w:hAnsi="Century Gothic"/>
          <w:color w:val="000000" w:themeColor="text1"/>
          <w:sz w:val="20"/>
          <w:szCs w:val="20"/>
          <w:highlight w:val="white"/>
        </w:rPr>
      </w:pPr>
    </w:p>
    <w:p w14:paraId="7F2566FE" w14:textId="74710F81" w:rsidR="001F6316" w:rsidRPr="00D2561F" w:rsidRDefault="00A266DB" w:rsidP="00DE7A48">
      <w:pPr>
        <w:spacing w:line="276" w:lineRule="auto"/>
        <w:jc w:val="both"/>
        <w:rPr>
          <w:rFonts w:ascii="Century Gothic" w:hAnsi="Century Gothic"/>
          <w:color w:val="000000" w:themeColor="text1"/>
          <w:sz w:val="20"/>
          <w:szCs w:val="20"/>
          <w:highlight w:val="white"/>
        </w:rPr>
      </w:pPr>
      <w:r w:rsidRPr="00D2561F">
        <w:rPr>
          <w:rFonts w:ascii="Century Gothic" w:hAnsi="Century Gothic"/>
          <w:noProof/>
          <w:color w:val="000000" w:themeColor="text1"/>
          <w:sz w:val="20"/>
          <w:szCs w:val="20"/>
          <w:highlight w:val="white"/>
        </w:rPr>
        <w:drawing>
          <wp:anchor distT="0" distB="0" distL="114300" distR="114300" simplePos="0" relativeHeight="251658240" behindDoc="1" locked="0" layoutInCell="1" allowOverlap="1" wp14:anchorId="7F256B34" wp14:editId="1794DC11">
            <wp:simplePos x="0" y="0"/>
            <wp:positionH relativeFrom="margin">
              <wp:posOffset>100965</wp:posOffset>
            </wp:positionH>
            <wp:positionV relativeFrom="paragraph">
              <wp:posOffset>1648460</wp:posOffset>
            </wp:positionV>
            <wp:extent cx="5143500" cy="1592580"/>
            <wp:effectExtent l="0" t="0" r="0" b="7620"/>
            <wp:wrapTopAndBottom/>
            <wp:docPr id="2" name="image2.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graph&#10;&#10;Description automatically generated"/>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5143500" cy="1592580"/>
                    </a:xfrm>
                    <a:prstGeom prst="rect">
                      <a:avLst/>
                    </a:prstGeom>
                    <a:ln/>
                  </pic:spPr>
                </pic:pic>
              </a:graphicData>
            </a:graphic>
            <wp14:sizeRelH relativeFrom="margin">
              <wp14:pctWidth>0</wp14:pctWidth>
            </wp14:sizeRelH>
            <wp14:sizeRelV relativeFrom="margin">
              <wp14:pctHeight>0</wp14:pctHeight>
            </wp14:sizeRelV>
          </wp:anchor>
        </w:drawing>
      </w:r>
      <w:r w:rsidR="00B14FA6" w:rsidRPr="00D2561F">
        <w:rPr>
          <w:rFonts w:ascii="Century Gothic" w:hAnsi="Century Gothic"/>
          <w:color w:val="000000" w:themeColor="text1"/>
          <w:sz w:val="20"/>
          <w:szCs w:val="20"/>
          <w:highlight w:val="white"/>
        </w:rPr>
        <w:t>Los cuidados hacen parte de los derechos humanos de quienes requieren ser atendidos, los principales receptores son niñas y niños pequeños o en edad escolar, para su desarrollo físico, intelectual y emocional, seguido de las personas adultas mayores y personas en situación de discapacidad. El hecho de que el 76,2% del trabajo del cuidado sea ejercido por mujeres, influye además al contar con menor tiempo que pueda ser destinado a actividades que generan ganancias económicas, mientras los hombres dedican en promedio 3 horas más a estas labores</w:t>
      </w:r>
      <w:r w:rsidR="00B14FA6" w:rsidRPr="00D2561F">
        <w:rPr>
          <w:rFonts w:ascii="Century Gothic" w:hAnsi="Century Gothic"/>
          <w:color w:val="000000" w:themeColor="text1"/>
          <w:sz w:val="20"/>
          <w:szCs w:val="20"/>
          <w:highlight w:val="white"/>
          <w:vertAlign w:val="superscript"/>
        </w:rPr>
        <w:footnoteReference w:id="19"/>
      </w:r>
      <w:r w:rsidR="00B14FA6" w:rsidRPr="00D2561F">
        <w:rPr>
          <w:rFonts w:ascii="Century Gothic" w:hAnsi="Century Gothic"/>
          <w:color w:val="000000" w:themeColor="text1"/>
          <w:sz w:val="20"/>
          <w:szCs w:val="20"/>
          <w:highlight w:val="white"/>
        </w:rPr>
        <w:t>.</w:t>
      </w:r>
    </w:p>
    <w:p w14:paraId="7F256700" w14:textId="7631ED7F" w:rsidR="001F6316" w:rsidRPr="00D2561F" w:rsidRDefault="001F6316" w:rsidP="00DE7A48">
      <w:pPr>
        <w:spacing w:line="276" w:lineRule="auto"/>
        <w:jc w:val="center"/>
        <w:rPr>
          <w:rFonts w:ascii="Century Gothic" w:hAnsi="Century Gothic"/>
          <w:color w:val="000000" w:themeColor="text1"/>
          <w:sz w:val="20"/>
          <w:szCs w:val="20"/>
          <w:highlight w:val="white"/>
        </w:rPr>
      </w:pPr>
    </w:p>
    <w:p w14:paraId="7F256701" w14:textId="77777777" w:rsidR="001F6316" w:rsidRPr="00D2561F" w:rsidRDefault="00B14FA6" w:rsidP="00DE7A48">
      <w:pPr>
        <w:spacing w:line="276" w:lineRule="auto"/>
        <w:jc w:val="center"/>
        <w:rPr>
          <w:rFonts w:ascii="Century Gothic" w:hAnsi="Century Gothic"/>
          <w:b/>
          <w:bCs/>
          <w:color w:val="000000" w:themeColor="text1"/>
          <w:sz w:val="20"/>
          <w:szCs w:val="20"/>
          <w:highlight w:val="white"/>
        </w:rPr>
      </w:pPr>
      <w:r w:rsidRPr="00D2561F">
        <w:rPr>
          <w:rFonts w:ascii="Century Gothic" w:hAnsi="Century Gothic"/>
          <w:b/>
          <w:bCs/>
          <w:i/>
          <w:iCs/>
          <w:color w:val="000000" w:themeColor="text1"/>
          <w:sz w:val="20"/>
          <w:szCs w:val="20"/>
          <w:highlight w:val="white"/>
        </w:rPr>
        <w:t>Fuente:</w:t>
      </w:r>
      <w:r w:rsidRPr="00D2561F">
        <w:rPr>
          <w:rFonts w:ascii="Century Gothic" w:hAnsi="Century Gothic"/>
          <w:i/>
          <w:iCs/>
          <w:color w:val="000000" w:themeColor="text1"/>
          <w:sz w:val="20"/>
          <w:szCs w:val="20"/>
          <w:highlight w:val="white"/>
        </w:rPr>
        <w:t xml:space="preserve"> Gráfica incluida en la exposición de motivos del Proyecto de Ley Estatutaria No. 069 de 2025 Senado (Elaborado por DANE y ONU Mujeres. Tiempo de cuidados: las cifras de la desigualdad. 2020).</w:t>
      </w:r>
    </w:p>
    <w:p w14:paraId="7F256703" w14:textId="77777777" w:rsidR="001F6316" w:rsidRPr="00D2561F" w:rsidRDefault="00B14FA6" w:rsidP="00DE7A48">
      <w:pP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En un reciente informe realizado por Asobancaria</w:t>
      </w:r>
      <w:r w:rsidRPr="00D2561F">
        <w:rPr>
          <w:rFonts w:ascii="Century Gothic" w:hAnsi="Century Gothic"/>
          <w:color w:val="000000" w:themeColor="text1"/>
          <w:sz w:val="20"/>
          <w:szCs w:val="20"/>
          <w:highlight w:val="white"/>
          <w:vertAlign w:val="superscript"/>
        </w:rPr>
        <w:footnoteReference w:id="20"/>
      </w:r>
      <w:r w:rsidRPr="00D2561F">
        <w:rPr>
          <w:rFonts w:ascii="Century Gothic" w:hAnsi="Century Gothic"/>
          <w:color w:val="000000" w:themeColor="text1"/>
          <w:sz w:val="20"/>
          <w:szCs w:val="20"/>
          <w:highlight w:val="white"/>
        </w:rPr>
        <w:t xml:space="preserve">, se encontró que las jefaturas de hogar femeninas van en aumento. Mientras que en 1997 el 25,8% de los hogares en el país contaban con una mujer como jefa de hogar, para el año 2022 la cifra alcanzó un 44,2%, representando un incremento del 71,3%. Es cierto que, en algunos casos, obedece al rol de liderazgo que está finalmente ocupando la mujer en lo público. Pero en aquellos casos donde la jefa de hogar es una madre soltera obedece a escenarios de completo abandono paterno, los cuales representan un 64,2%. Esto anula el poder de decisión de todos los miembros de los hogares con jefatura femenina y limita la garantía a sus derechos fundamentales. </w:t>
      </w:r>
    </w:p>
    <w:p w14:paraId="7F256704" w14:textId="77777777" w:rsidR="001F6316" w:rsidRPr="00D2561F" w:rsidRDefault="001F6316" w:rsidP="00DE7A48">
      <w:pPr>
        <w:spacing w:line="276" w:lineRule="auto"/>
        <w:jc w:val="both"/>
        <w:rPr>
          <w:rFonts w:ascii="Century Gothic" w:hAnsi="Century Gothic"/>
          <w:color w:val="000000" w:themeColor="text1"/>
          <w:sz w:val="20"/>
          <w:szCs w:val="20"/>
          <w:highlight w:val="white"/>
        </w:rPr>
      </w:pPr>
    </w:p>
    <w:p w14:paraId="7F256705" w14:textId="77777777" w:rsidR="001F6316" w:rsidRPr="00D2561F" w:rsidRDefault="00B14FA6" w:rsidP="00DE7A48">
      <w:pPr>
        <w:spacing w:line="276" w:lineRule="auto"/>
        <w:jc w:val="center"/>
        <w:rPr>
          <w:rFonts w:ascii="Century Gothic" w:hAnsi="Century Gothic"/>
          <w:color w:val="000000" w:themeColor="text1"/>
          <w:sz w:val="20"/>
          <w:szCs w:val="20"/>
          <w:highlight w:val="white"/>
        </w:rPr>
      </w:pPr>
      <w:r w:rsidRPr="00D2561F">
        <w:rPr>
          <w:rFonts w:ascii="Century Gothic" w:hAnsi="Century Gothic"/>
          <w:noProof/>
          <w:color w:val="000000" w:themeColor="text1"/>
          <w:sz w:val="20"/>
          <w:szCs w:val="20"/>
          <w:highlight w:val="white"/>
        </w:rPr>
        <w:drawing>
          <wp:inline distT="114300" distB="114300" distL="114300" distR="114300" wp14:anchorId="7F256B36" wp14:editId="592B62B3">
            <wp:extent cx="3758806" cy="2286000"/>
            <wp:effectExtent l="0" t="0" r="0" b="0"/>
            <wp:docPr id="4" name="image3.png" descr="A graph with numbers and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graph with numbers and lines&#10;&#10;Description automatically generated"/>
                    <pic:cNvPicPr preferRelativeResize="0"/>
                  </pic:nvPicPr>
                  <pic:blipFill>
                    <a:blip r:embed="rId12"/>
                    <a:srcRect b="13856"/>
                    <a:stretch>
                      <a:fillRect/>
                    </a:stretch>
                  </pic:blipFill>
                  <pic:spPr>
                    <a:xfrm>
                      <a:off x="0" y="0"/>
                      <a:ext cx="3780923" cy="2299451"/>
                    </a:xfrm>
                    <a:prstGeom prst="rect">
                      <a:avLst/>
                    </a:prstGeom>
                    <a:ln/>
                  </pic:spPr>
                </pic:pic>
              </a:graphicData>
            </a:graphic>
          </wp:inline>
        </w:drawing>
      </w:r>
    </w:p>
    <w:p w14:paraId="7F256706" w14:textId="77777777" w:rsidR="001F6316" w:rsidRPr="00D2561F" w:rsidRDefault="00B14FA6" w:rsidP="00DE7A48">
      <w:pPr>
        <w:spacing w:line="276" w:lineRule="auto"/>
        <w:jc w:val="center"/>
        <w:rPr>
          <w:rFonts w:ascii="Century Gothic" w:hAnsi="Century Gothic"/>
          <w:i/>
          <w:iCs/>
          <w:color w:val="000000" w:themeColor="text1"/>
          <w:sz w:val="20"/>
          <w:szCs w:val="20"/>
          <w:highlight w:val="white"/>
        </w:rPr>
      </w:pPr>
      <w:r w:rsidRPr="00D2561F">
        <w:rPr>
          <w:rFonts w:ascii="Century Gothic" w:hAnsi="Century Gothic"/>
          <w:b/>
          <w:bCs/>
          <w:i/>
          <w:iCs/>
          <w:color w:val="000000" w:themeColor="text1"/>
          <w:sz w:val="20"/>
          <w:szCs w:val="20"/>
          <w:highlight w:val="white"/>
        </w:rPr>
        <w:t>Fuente:</w:t>
      </w:r>
      <w:r w:rsidRPr="00D2561F">
        <w:rPr>
          <w:rFonts w:ascii="Century Gothic" w:hAnsi="Century Gothic"/>
          <w:i/>
          <w:iCs/>
          <w:color w:val="000000" w:themeColor="text1"/>
          <w:sz w:val="20"/>
          <w:szCs w:val="20"/>
          <w:highlight w:val="white"/>
        </w:rPr>
        <w:t xml:space="preserve"> Gráfica incluida en la exposición de motivos del Proyecto de Ley Estatutaria No. 069 de 2025 Senado (Elaborado por por Asobancaria. </w:t>
      </w:r>
      <w:r w:rsidRPr="00D2561F">
        <w:rPr>
          <w:rFonts w:ascii="Century Gothic" w:hAnsi="Century Gothic"/>
          <w:i/>
          <w:iCs/>
          <w:color w:val="000000" w:themeColor="text1"/>
          <w:sz w:val="20"/>
          <w:szCs w:val="20"/>
        </w:rPr>
        <w:t>Jefatura femenina en Colombia: un análisis de la tipología de hogar en el contexto de la inclusión financiera</w:t>
      </w:r>
      <w:r w:rsidRPr="00D2561F">
        <w:rPr>
          <w:rFonts w:ascii="Century Gothic" w:hAnsi="Century Gothic"/>
          <w:i/>
          <w:iCs/>
          <w:color w:val="000000" w:themeColor="text1"/>
          <w:sz w:val="20"/>
          <w:szCs w:val="20"/>
          <w:highlight w:val="white"/>
        </w:rPr>
        <w:t>. 2023).</w:t>
      </w:r>
    </w:p>
    <w:p w14:paraId="7F256707"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708"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highlight w:val="white"/>
        </w:rPr>
        <w:t>Por lo anterior, es necesario implementar medidas que ofrezcan una protección especial a éste tipo de hogares. Como se evidencia en el artículo realizado por el Departamento Administrativo Nacional de Estadística</w:t>
      </w:r>
      <w:r w:rsidRPr="00D2561F">
        <w:rPr>
          <w:rFonts w:ascii="Century Gothic" w:hAnsi="Century Gothic"/>
          <w:color w:val="000000" w:themeColor="text1"/>
          <w:sz w:val="20"/>
          <w:szCs w:val="20"/>
          <w:highlight w:val="white"/>
          <w:vertAlign w:val="superscript"/>
        </w:rPr>
        <w:footnoteReference w:id="21"/>
      </w:r>
      <w:r w:rsidRPr="00D2561F">
        <w:rPr>
          <w:rFonts w:ascii="Century Gothic" w:hAnsi="Century Gothic"/>
          <w:color w:val="000000" w:themeColor="text1"/>
          <w:sz w:val="20"/>
          <w:szCs w:val="20"/>
          <w:highlight w:val="white"/>
        </w:rPr>
        <w:t>, a pesar de que las condiciones como la precariedad en las condiciones laborales desfavorecen más aún a las mujeres, ellas demuestran una mayor capacidad para gestionar la oferta institucional y social de protección. Esto al superar el porcentaje de la afiliación al régimen de seguridad social frente a los hombres, medidas que además benefician a las personas a su cargo. Es decir, impulsan círculos de prosperidad social y mejor calidad de vida, sumado al cuidado de menores de edad, de personas en situación de discapacidad y de adultos mayores a su cargo. Como sociedad no podemos seguir imponiendo a las madres el sacrificio de su propio bienestar en pro del cuidado de otros, al normalizar el incumplimiento de las obligaciones por parte de los padres. Por ello es necesaria la creación de un proceso de alimentos que garantice romper con toda una tradición de abandono paterno.</w:t>
      </w:r>
    </w:p>
    <w:p w14:paraId="7F256709"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p>
    <w:p w14:paraId="7F25670A" w14:textId="77777777" w:rsidR="001F6316" w:rsidRPr="00D2561F" w:rsidRDefault="00B14FA6" w:rsidP="00DE7A48">
      <w:pPr>
        <w:numPr>
          <w:ilvl w:val="3"/>
          <w:numId w:val="1"/>
        </w:num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El difícil camino para reclamar alimentos</w:t>
      </w:r>
    </w:p>
    <w:p w14:paraId="7F25670B"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p>
    <w:p w14:paraId="7F25670C"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 xml:space="preserve">Tal y como se evidencia en la exposición de motivos, existe un problema de eficiencia y eficacia ante los múltiples procesos a los que deben acudir los titulares del derecho de alimentos en Colombia. Estos, a pesar de cumplir con todos los trámites burocráticos exigidos, no logran satisfacer la verdadera necesidad por lo cual se ven obligados a activar el aparato judicial. </w:t>
      </w:r>
    </w:p>
    <w:p w14:paraId="7F25670D"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0E"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La fijación de la cuota alimentaria, regulada por el Código General del Proceso, corresponde a un proceso declarativo verbal sumario el cual debe iniciarse con un trámite de conciliación por vía administrativa como requisito de procedibilidad. Con mutuo acuerdo las partes pueden acudir a dicha conciliación ante Comisario de Familia, Defensor de Familia, Notaría, Centros de Conciliación, Defensoría del Pueblo o Personería Municipal. En caso de que la parte citada no concurra o no se llegue a un acuerdo conciliatorio los Defensores de Familia o Comisarios de Familia pueden fijar una cuota de alimentos provisional. No obstante, no es necesario este requisito cuando hubiere violencia intrafamiliar, ya que la víctima no estará obligada a asistir a la audiencia de conciliación y podrá manifestarlo así al juez competente, si opta por acudir directamente a la jurisdicción</w:t>
      </w:r>
      <w:r w:rsidRPr="00D2561F">
        <w:rPr>
          <w:rFonts w:ascii="Century Gothic" w:hAnsi="Century Gothic"/>
          <w:color w:val="000000" w:themeColor="text1"/>
          <w:sz w:val="20"/>
          <w:szCs w:val="20"/>
          <w:highlight w:val="white"/>
          <w:vertAlign w:val="superscript"/>
        </w:rPr>
        <w:footnoteReference w:id="22"/>
      </w:r>
      <w:r w:rsidRPr="00D2561F">
        <w:rPr>
          <w:rFonts w:ascii="Century Gothic" w:hAnsi="Century Gothic"/>
          <w:color w:val="000000" w:themeColor="text1"/>
          <w:sz w:val="20"/>
          <w:szCs w:val="20"/>
          <w:highlight w:val="white"/>
        </w:rPr>
        <w:t>.</w:t>
      </w:r>
    </w:p>
    <w:p w14:paraId="7F25670F"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10"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Cumplido el requisito anterior, se puede recurrir a la vía judicial ante la jurisdicción ordinaria, concretamente ante un juez de familia y, en caso de no contar con uno en el territorio, ante un juez civil o promiscuo municipal. Actualmente, existen tres procesos coercitivos a los cuales los interesados acuden con la esperanza de hacer cumplir la obligación alimentaria: (i) proceso declarativo verbal sumario de fijación de alimentos, (ii) proceso ejecutivo de alimentos y (iii) proceso penal por inasistencia alimentaria, en caso de que el incumplimiento subsista</w:t>
      </w:r>
      <w:r w:rsidRPr="00D2561F">
        <w:rPr>
          <w:rFonts w:ascii="Century Gothic" w:hAnsi="Century Gothic"/>
          <w:color w:val="000000" w:themeColor="text1"/>
          <w:sz w:val="20"/>
          <w:szCs w:val="20"/>
          <w:highlight w:val="white"/>
          <w:vertAlign w:val="superscript"/>
        </w:rPr>
        <w:footnoteReference w:id="23"/>
      </w:r>
      <w:r w:rsidRPr="00D2561F">
        <w:rPr>
          <w:rFonts w:ascii="Century Gothic" w:hAnsi="Century Gothic"/>
          <w:color w:val="000000" w:themeColor="text1"/>
          <w:sz w:val="20"/>
          <w:szCs w:val="20"/>
          <w:highlight w:val="white"/>
        </w:rPr>
        <w:t xml:space="preserve">. </w:t>
      </w:r>
    </w:p>
    <w:p w14:paraId="7F256711"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12"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Por lo anterior, acudir a tantos procesos se convierte en un hecho altamente revictimizante, entendiendo que muchos casos han atravesado situaciones de violencia intrafamiliar. En otros, una de las partes intenta convencer a la otra de la necesidad de llegar a algún acuerdo de forma privada. En algunos casos ya han activado el aparato judicial para aclarar dudas, muchas veces infundadas, sobre la paternidad del menor. Así, a pesar de todo el desgaste y humillación que conlleva cada uno de estos escenarios, al encontrarse en incapacidad de sortear todos los gastos necesarios para asegurar una vida digna para los menores a cargo o para sí misma, la persona acude a la rama judicial. Con esto, primero debe esperar una sentencia de fijación de cuota alimentaria por más de un año. Después, debe esperar una sentencia del proceso ejecutivo que tarda más de dos años, y es resuelta con aprobación del crédito</w:t>
      </w:r>
      <w:r w:rsidRPr="00D2561F">
        <w:rPr>
          <w:rFonts w:ascii="Century Gothic" w:hAnsi="Century Gothic"/>
          <w:color w:val="000000" w:themeColor="text1"/>
          <w:sz w:val="20"/>
          <w:szCs w:val="20"/>
          <w:highlight w:val="white"/>
          <w:vertAlign w:val="superscript"/>
        </w:rPr>
        <w:footnoteReference w:id="24"/>
      </w:r>
      <w:r w:rsidRPr="00D2561F">
        <w:rPr>
          <w:rFonts w:ascii="Century Gothic" w:hAnsi="Century Gothic"/>
          <w:color w:val="000000" w:themeColor="text1"/>
          <w:sz w:val="20"/>
          <w:szCs w:val="20"/>
          <w:highlight w:val="white"/>
        </w:rPr>
        <w:t>.</w:t>
      </w:r>
    </w:p>
    <w:p w14:paraId="7F256713"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14"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En el Estudio de Tiempos Procesales publicado por el Consejo Superior de la Judicatura, se realizó un promedio de los términos de las Especialidades Civil y Familia en procesos verbales sumarios en diferentes regiones (Andina, Bogotá, Norte, Oriente y Pacífica), incluyendo los procesos ejecutivos que versan sobre cuota alimentaria al tratarse de procesos de única instancia</w:t>
      </w:r>
      <w:r w:rsidRPr="00D2561F">
        <w:rPr>
          <w:rFonts w:ascii="Century Gothic" w:hAnsi="Century Gothic"/>
          <w:color w:val="000000" w:themeColor="text1"/>
          <w:sz w:val="20"/>
          <w:szCs w:val="20"/>
          <w:highlight w:val="white"/>
          <w:vertAlign w:val="superscript"/>
        </w:rPr>
        <w:footnoteReference w:id="25"/>
      </w:r>
      <w:r w:rsidRPr="00D2561F">
        <w:rPr>
          <w:rFonts w:ascii="Century Gothic" w:hAnsi="Century Gothic"/>
          <w:color w:val="000000" w:themeColor="text1"/>
          <w:sz w:val="20"/>
          <w:szCs w:val="20"/>
          <w:highlight w:val="white"/>
        </w:rPr>
        <w:t>. Con ello, concluyó que tienen una duración promedio de 249,2 días corrientes o 150 días hábiles de la Rama Judicial y, en el caso de los procesos ejecutivos, la duración promedio es de 484,0 días corrientes o 291 días hábiles de la Rama Judicial</w:t>
      </w:r>
      <w:r w:rsidRPr="00D2561F">
        <w:rPr>
          <w:rFonts w:ascii="Century Gothic" w:hAnsi="Century Gothic"/>
          <w:color w:val="000000" w:themeColor="text1"/>
          <w:sz w:val="20"/>
          <w:szCs w:val="20"/>
          <w:highlight w:val="white"/>
          <w:vertAlign w:val="superscript"/>
        </w:rPr>
        <w:footnoteReference w:id="26"/>
      </w:r>
      <w:r w:rsidRPr="00D2561F">
        <w:rPr>
          <w:rFonts w:ascii="Century Gothic" w:hAnsi="Century Gothic"/>
          <w:color w:val="000000" w:themeColor="text1"/>
          <w:sz w:val="20"/>
          <w:szCs w:val="20"/>
          <w:highlight w:val="white"/>
        </w:rPr>
        <w:t>. En el mismo estudio se destacan casos como el siguiente:</w:t>
      </w:r>
    </w:p>
    <w:p w14:paraId="7F256715"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16" w14:textId="77777777" w:rsidR="001F6316" w:rsidRPr="00D2561F" w:rsidRDefault="00B14FA6" w:rsidP="00DE7A48">
      <w:pPr>
        <w:pBdr>
          <w:top w:val="nil"/>
          <w:left w:val="nil"/>
          <w:bottom w:val="nil"/>
          <w:right w:val="nil"/>
          <w:between w:val="nil"/>
        </w:pBdr>
        <w:spacing w:line="276" w:lineRule="auto"/>
        <w:ind w:left="720"/>
        <w:jc w:val="both"/>
        <w:rPr>
          <w:rFonts w:ascii="Century Gothic" w:hAnsi="Century Gothic"/>
          <w:i/>
          <w:iCs/>
          <w:color w:val="000000" w:themeColor="text1"/>
          <w:sz w:val="20"/>
          <w:szCs w:val="20"/>
        </w:rPr>
      </w:pPr>
      <w:r w:rsidRPr="00D2561F">
        <w:rPr>
          <w:rFonts w:ascii="Century Gothic" w:hAnsi="Century Gothic"/>
          <w:i/>
          <w:iCs/>
          <w:color w:val="000000" w:themeColor="text1"/>
          <w:sz w:val="20"/>
          <w:szCs w:val="20"/>
        </w:rPr>
        <w:t xml:space="preserve">“En este trámite judicial de incremento de la cuota alimentaria con la presentación de la demanda se solicitó la imposición de medida cautelar, que en efecto fue concedida y aun cuando la demanda en un primer momento se inadmite, el proceso de admisión no superó los 17 días corrientes. Sin embargo, la notificación de la demanda, si bien se libró de manera oportuna, no se tradujo en la participación del demandado en el proceso sino hasta 4 años después con la aparición del defensor de familia en el proceso. </w:t>
      </w:r>
    </w:p>
    <w:p w14:paraId="7F256717"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i/>
          <w:iCs/>
          <w:color w:val="000000" w:themeColor="text1"/>
          <w:sz w:val="20"/>
          <w:szCs w:val="20"/>
        </w:rPr>
      </w:pPr>
    </w:p>
    <w:p w14:paraId="7F256718" w14:textId="77777777" w:rsidR="001F6316" w:rsidRPr="00D2561F" w:rsidRDefault="00B14FA6" w:rsidP="00DE7A48">
      <w:pPr>
        <w:pBdr>
          <w:top w:val="nil"/>
          <w:left w:val="nil"/>
          <w:bottom w:val="nil"/>
          <w:right w:val="nil"/>
          <w:between w:val="nil"/>
        </w:pBdr>
        <w:spacing w:line="276" w:lineRule="auto"/>
        <w:ind w:left="720"/>
        <w:jc w:val="both"/>
        <w:rPr>
          <w:rFonts w:ascii="Century Gothic" w:hAnsi="Century Gothic"/>
          <w:i/>
          <w:iCs/>
          <w:color w:val="000000" w:themeColor="text1"/>
          <w:sz w:val="20"/>
          <w:szCs w:val="20"/>
        </w:rPr>
      </w:pPr>
      <w:r w:rsidRPr="00D2561F">
        <w:rPr>
          <w:rFonts w:ascii="Century Gothic" w:hAnsi="Century Gothic"/>
          <w:i/>
          <w:iCs/>
          <w:color w:val="000000" w:themeColor="text1"/>
          <w:sz w:val="20"/>
          <w:szCs w:val="20"/>
        </w:rPr>
        <w:t>Es probable que frente a la falta de argumentos para la discusión jurídica de la defensa y la existencia de un gravamen que garantiza el pago de la pensión alimentaria y su incremento, el proceso se haya abandonado por las partes sin que el despacho haya previsto lo necesario para su finalización.”</w:t>
      </w:r>
    </w:p>
    <w:p w14:paraId="7F256719" w14:textId="77777777" w:rsidR="001F6316" w:rsidRPr="00D2561F" w:rsidRDefault="001F6316" w:rsidP="00DE7A48">
      <w:pPr>
        <w:pBdr>
          <w:top w:val="nil"/>
          <w:left w:val="nil"/>
          <w:bottom w:val="nil"/>
          <w:right w:val="nil"/>
          <w:between w:val="nil"/>
        </w:pBdr>
        <w:spacing w:line="276" w:lineRule="auto"/>
        <w:ind w:left="720"/>
        <w:jc w:val="both"/>
        <w:rPr>
          <w:rFonts w:ascii="Century Gothic" w:hAnsi="Century Gothic"/>
          <w:color w:val="000000" w:themeColor="text1"/>
          <w:sz w:val="20"/>
          <w:szCs w:val="20"/>
        </w:rPr>
      </w:pPr>
    </w:p>
    <w:p w14:paraId="7F25671A"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El Consejo también resalta que, aunque en la mayoría de los casos se cumplen los términos en la fase de admisión, en la notificación de la demanda se ocupa un mayor margen de tiempo</w:t>
      </w:r>
      <w:r w:rsidRPr="00D2561F">
        <w:rPr>
          <w:rFonts w:ascii="Century Gothic" w:hAnsi="Century Gothic"/>
          <w:color w:val="000000" w:themeColor="text1"/>
          <w:sz w:val="20"/>
          <w:szCs w:val="20"/>
          <w:highlight w:val="white"/>
          <w:vertAlign w:val="superscript"/>
        </w:rPr>
        <w:footnoteReference w:id="27"/>
      </w:r>
      <w:r w:rsidRPr="00D2561F">
        <w:rPr>
          <w:rFonts w:ascii="Century Gothic" w:hAnsi="Century Gothic"/>
          <w:color w:val="000000" w:themeColor="text1"/>
          <w:sz w:val="20"/>
          <w:szCs w:val="20"/>
          <w:highlight w:val="white"/>
        </w:rPr>
        <w:t>. Esto repercute en la efectividad de los derechos en litigio y afecta diferenciadamente a aquellos sujetos de especial protección constitucional, quienes son los que más acuden a esta jurisdicción. De hecho, de 95 procesos analizados tan sólo 24 eran civiles, los demás versaban sobre pensiones alimentarias.</w:t>
      </w:r>
    </w:p>
    <w:p w14:paraId="7F25671C"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Por último, en el análisis de procesos escriturales, cuya investigación se encuentra a cargo de la Fiscalía General de la Nación, en promedio cursan la fase de instrucción en el marco de 215 días hábiles, la etapa de juicio en 221 días hábiles, la etapa de decisión en 58 días hábiles en primera instancia y 65 días hábiles los que llegaron a segunda instancia</w:t>
      </w:r>
      <w:r w:rsidRPr="00D2561F">
        <w:rPr>
          <w:rFonts w:ascii="Century Gothic" w:hAnsi="Century Gothic"/>
          <w:color w:val="000000" w:themeColor="text1"/>
          <w:sz w:val="20"/>
          <w:szCs w:val="20"/>
          <w:highlight w:val="white"/>
          <w:vertAlign w:val="superscript"/>
        </w:rPr>
        <w:footnoteReference w:id="28"/>
      </w:r>
      <w:r w:rsidRPr="00D2561F">
        <w:rPr>
          <w:rFonts w:ascii="Century Gothic" w:hAnsi="Century Gothic"/>
          <w:color w:val="000000" w:themeColor="text1"/>
          <w:sz w:val="20"/>
          <w:szCs w:val="20"/>
          <w:highlight w:val="white"/>
        </w:rPr>
        <w:t xml:space="preserve">. Mientras se surten los trámites y las etapas se agotan, los titulares del derecho de alimentos, generalmente niños, niñas, adolescentes, personas adultas mayores y personas en situación de discapacidad, deben sortear sus necesidades, sobrecarga generalmente suplida por la madre cabeza de hogar. Y, se señala que en la mayoría de los casos son los hombres quienes deciden evadir esta obligación, pues de acuerdo con cifras de la Fiscalía a enero de 2021, el 92.3% de las denuncias de inasistencia alimentaria fueron interpuestas contra hombres. </w:t>
      </w:r>
    </w:p>
    <w:p w14:paraId="7F25671D"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p>
    <w:p w14:paraId="7F25671E" w14:textId="77777777" w:rsidR="001F6316" w:rsidRPr="00D2561F" w:rsidRDefault="00B14FA6" w:rsidP="00DE7A48">
      <w:pPr>
        <w:numPr>
          <w:ilvl w:val="3"/>
          <w:numId w:val="1"/>
        </w:num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La capacidad económica del deudor alimentario</w:t>
      </w:r>
    </w:p>
    <w:p w14:paraId="7F25671F" w14:textId="77777777" w:rsidR="001F6316" w:rsidRPr="00D2561F" w:rsidRDefault="001F6316" w:rsidP="00DE7A48">
      <w:pPr>
        <w:pBdr>
          <w:top w:val="nil"/>
          <w:left w:val="nil"/>
          <w:bottom w:val="nil"/>
          <w:right w:val="nil"/>
          <w:between w:val="nil"/>
        </w:pBdr>
        <w:spacing w:line="276" w:lineRule="auto"/>
        <w:ind w:left="502"/>
        <w:jc w:val="both"/>
        <w:rPr>
          <w:rFonts w:ascii="Century Gothic" w:hAnsi="Century Gothic"/>
          <w:b/>
          <w:bCs/>
          <w:color w:val="000000" w:themeColor="text1"/>
          <w:sz w:val="20"/>
          <w:szCs w:val="20"/>
          <w:highlight w:val="white"/>
        </w:rPr>
      </w:pPr>
    </w:p>
    <w:p w14:paraId="7F256720"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Según destaca la exposición de motivos, generalmente son las mujeres quienes asumen en su totalidad la responsabilidad económica del menor o la menor de edad, aún sin contar con condiciones laborales o habitacionales dignas. La premisa jurídica de: </w:t>
      </w:r>
      <w:r w:rsidRPr="00D2561F">
        <w:rPr>
          <w:rFonts w:ascii="Century Gothic" w:hAnsi="Century Gothic"/>
          <w:i/>
          <w:iCs/>
          <w:color w:val="000000" w:themeColor="text1"/>
          <w:sz w:val="20"/>
          <w:szCs w:val="20"/>
        </w:rPr>
        <w:t>“nadie está obligado a lo imposible”</w:t>
      </w:r>
      <w:r w:rsidRPr="00D2561F">
        <w:rPr>
          <w:rFonts w:ascii="Century Gothic" w:hAnsi="Century Gothic"/>
          <w:color w:val="000000" w:themeColor="text1"/>
          <w:sz w:val="20"/>
          <w:szCs w:val="20"/>
        </w:rPr>
        <w:t>, sólo cobija a quien comete el delito de inasistencia alimentaria, pues son las mujeres quienes desproporcionadamente deben garantizar alimentos y condiciones dignas, por encima de cualquier incumplimiento económico del otro obligado. El monto de la cuota alimentaria en muchos casos no alcanza a cubrir los gastos mínimos para satisfacer las necesidades básicas del titular. Para ello es necesario ampliar la visión de lo que se considera como una cuota justa o una cuota digna, desmontando imaginarios machistas que perjuran que con el monto que corresponde a la cuota alimentaria mensual se mantiene el o la menor y hasta sobra para el disfrute de la madre.</w:t>
      </w:r>
    </w:p>
    <w:p w14:paraId="7F256721"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22"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En los artículos 24 y 130 del Código de la Infancia y la Adolescencia se indica que para su fijación se debe tener en cuenta </w:t>
      </w:r>
      <w:r w:rsidRPr="00D2561F">
        <w:rPr>
          <w:rFonts w:ascii="Century Gothic" w:hAnsi="Century Gothic"/>
          <w:i/>
          <w:iCs/>
          <w:color w:val="000000" w:themeColor="text1"/>
          <w:sz w:val="20"/>
          <w:szCs w:val="20"/>
        </w:rPr>
        <w:t>“la capacidad económica del alimentante”</w:t>
      </w:r>
      <w:r w:rsidRPr="00D2561F">
        <w:rPr>
          <w:rFonts w:ascii="Century Gothic" w:hAnsi="Century Gothic"/>
          <w:color w:val="000000" w:themeColor="text1"/>
          <w:sz w:val="20"/>
          <w:szCs w:val="20"/>
        </w:rPr>
        <w:t xml:space="preserve"> y </w:t>
      </w:r>
      <w:r w:rsidRPr="00D2561F">
        <w:rPr>
          <w:rFonts w:ascii="Century Gothic" w:hAnsi="Century Gothic"/>
          <w:i/>
          <w:iCs/>
          <w:color w:val="000000" w:themeColor="text1"/>
          <w:sz w:val="20"/>
          <w:szCs w:val="20"/>
        </w:rPr>
        <w:t>“hasta”</w:t>
      </w:r>
      <w:r w:rsidRPr="00D2561F">
        <w:rPr>
          <w:rFonts w:ascii="Century Gothic" w:hAnsi="Century Gothic"/>
          <w:color w:val="000000" w:themeColor="text1"/>
          <w:sz w:val="20"/>
          <w:szCs w:val="20"/>
        </w:rPr>
        <w:t xml:space="preserve"> el 50% del salario mensual del demandado, y hasta el mismo porcentaje de sus prestaciones sociales luego de las deducciones de ley. Estas disposiciones promueven el ocultamiento de bienes y tranquilamente los padres permanecen ausentes, amparados por estrategias como ocultamiento de bienes o diferentes maniobras que, al aparentar </w:t>
      </w:r>
      <w:r w:rsidRPr="00D2561F">
        <w:rPr>
          <w:rFonts w:ascii="Century Gothic" w:hAnsi="Century Gothic"/>
          <w:i/>
          <w:iCs/>
          <w:color w:val="000000" w:themeColor="text1"/>
          <w:sz w:val="20"/>
          <w:szCs w:val="20"/>
        </w:rPr>
        <w:t>“legalidad”,</w:t>
      </w:r>
      <w:r w:rsidRPr="00D2561F">
        <w:rPr>
          <w:rFonts w:ascii="Century Gothic" w:hAnsi="Century Gothic"/>
          <w:color w:val="000000" w:themeColor="text1"/>
          <w:sz w:val="20"/>
          <w:szCs w:val="20"/>
        </w:rPr>
        <w:t xml:space="preserve"> permiten la injusticia. La ley favorece a quién se ausenta, sin tener en cuenta la sobrecarga que reposa en la persona que se encarga de la custodia. A pesar de que el mismo artículo 24 dispone que la cuota alimentaria debe garantizar el suministro al niño, niña y adolescente de todo lo indispensable para su sustento, habitación, vestido, asistencia médica, recreación, educación y para su desarrollo integral, se resalta que el deudor sólo se encarga de pagar a medias con quién ejerza la custodia de lo absolutamente “necesario”, protegiendo aun cuando tenga recursos para pagar una cuota alimentaria mayor al que se impone. Además, según el Concepto No. 27 de 2020 del ICBF  </w:t>
      </w:r>
      <w:r w:rsidRPr="00D2561F">
        <w:rPr>
          <w:rFonts w:ascii="Century Gothic" w:hAnsi="Century Gothic"/>
          <w:i/>
          <w:iCs/>
          <w:color w:val="000000" w:themeColor="text1"/>
          <w:sz w:val="20"/>
          <w:szCs w:val="20"/>
        </w:rPr>
        <w:t>“no se le puede exigir al alimentante una cuota cuyo valor exceda las necesidades reales que presenta el menor de edad”,</w:t>
      </w:r>
      <w:r w:rsidRPr="00D2561F">
        <w:rPr>
          <w:rFonts w:ascii="Century Gothic" w:hAnsi="Century Gothic"/>
          <w:color w:val="000000" w:themeColor="text1"/>
          <w:sz w:val="20"/>
          <w:szCs w:val="20"/>
        </w:rPr>
        <w:t xml:space="preserve"> lo cual es claramente una limitante a favor del capital del deudor y perpetúa la violencia simbólica dónde quiénes ejercen la custodia, habitualmente las mujeres, deben convencer sobre verdadera solvencia del demandado y que cada uno de los gastos en los que incurren durante la crianza son realmente necesarios para sus hijos. </w:t>
      </w:r>
    </w:p>
    <w:p w14:paraId="7F256723"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24"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La tasación de la cuota alimentaria en muchos casos queda en las manos de la información que es capaz de recolectar el demandante en el proceso de alimentos. Por ello se plantea que el juez desde la fase de admisión solicite y requiera a distintas entidades, tanto públicas como privadas, para contar con la información que le permita establecer la capacidad económica del demandado que permita fijar una cuota alimentaria digna. Esto respondiendo a la realidad de la mayoría de personas en Colombia, quienes perciben recursos “informalmente”, y a la necesidad de fijar una cuota que permita que realmente se cumpla el principio de solidaridad entre los miembros del núcleo familiar. </w:t>
      </w:r>
    </w:p>
    <w:p w14:paraId="7F256725"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26"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rPr>
        <w:t>A raíz de esto, se decidió incluir de forma explícita dentro del Código General del Proceso a las siguientes entidades y dependencias, ya que se consideran como garantes de que se logre el objetivo del mismo. En primer lugar, se incluyeron a las entidades financieras, por lo que permiten evidenciar cualquier servicio financiero del demandado, y a la Dirección de Impuesto y Aduanas Nacionales DIAN, para obtener un registro del patrimonio en caso de que el demandado declare renta. En los casos en que esto no ocurra, o en los que el juez requiera más elementos probatorios, se otorga la facultad de recurrir al Registro Único Nacional de Tránsito RUNT para que certifique bienes automotrices, a la superintendencia de notariado y registro en materia de los bienes inmuebles, a la Plantilla Integral de Liquidación Social PILA con fines de verificación en ingreso sobre el cual se hacen las cotizaciones a seguridad social (IBC) y obtener información sobre el tipo de vinculación e ingreso a la seguridad social. De igual forma, se contempla dejar la potestad sobre otras entidades que el juez llegue a considerar conducentes. Esto para que el juez oficie a las entidades conexas cuyas funciones tengan relación a la hora de determinar la capacidad económica.</w:t>
      </w:r>
    </w:p>
    <w:p w14:paraId="7F256727"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p>
    <w:p w14:paraId="7F256728"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p>
    <w:p w14:paraId="7F256729"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VI. MARCO JURÍDICO</w:t>
      </w:r>
    </w:p>
    <w:p w14:paraId="7F25672A"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2B" w14:textId="77777777" w:rsidR="001F6316" w:rsidRPr="00D2561F" w:rsidRDefault="00B14FA6" w:rsidP="00DE7A48">
      <w:pPr>
        <w:numPr>
          <w:ilvl w:val="3"/>
          <w:numId w:val="1"/>
        </w:num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Instrumentos Internacionales</w:t>
      </w:r>
    </w:p>
    <w:p w14:paraId="7F25672C" w14:textId="77777777" w:rsidR="001F6316" w:rsidRPr="00D2561F" w:rsidRDefault="001F6316" w:rsidP="00DE7A48">
      <w:pPr>
        <w:pBdr>
          <w:top w:val="nil"/>
          <w:left w:val="nil"/>
          <w:bottom w:val="nil"/>
          <w:right w:val="nil"/>
          <w:between w:val="nil"/>
        </w:pBdr>
        <w:spacing w:line="276" w:lineRule="auto"/>
        <w:ind w:left="502"/>
        <w:jc w:val="both"/>
        <w:rPr>
          <w:rFonts w:ascii="Century Gothic" w:hAnsi="Century Gothic"/>
          <w:color w:val="000000" w:themeColor="text1"/>
          <w:sz w:val="20"/>
          <w:szCs w:val="20"/>
          <w:highlight w:val="white"/>
        </w:rPr>
      </w:pPr>
    </w:p>
    <w:p w14:paraId="7F25672D"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Tal y como lo contempla la exposición de motivos, la presente iniciativa se encuentra en el marco de los siguientes instrumentos internacionales:</w:t>
      </w:r>
    </w:p>
    <w:p w14:paraId="7F25672E"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2F" w14:textId="77777777" w:rsidR="001F6316" w:rsidRPr="00D2561F" w:rsidRDefault="00B14FA6" w:rsidP="00DE7A48">
      <w:pPr>
        <w:numPr>
          <w:ilvl w:val="4"/>
          <w:numId w:val="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Declaración Universal de Derechos Humanos Adoptada y proclamada por la Asamblea General en su resolución 217 A (III), de 10 de diciembre de 1948.</w:t>
      </w:r>
    </w:p>
    <w:p w14:paraId="7F256730" w14:textId="77777777" w:rsidR="001F6316" w:rsidRPr="00D2561F" w:rsidRDefault="00B14FA6" w:rsidP="00DE7A48">
      <w:pPr>
        <w:numPr>
          <w:ilvl w:val="4"/>
          <w:numId w:val="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Convención sobre la eliminación de todas las formas de discriminación contra la mujer – CEDAW. Ratificado por Colombia mediante la Ley 51 de 1981.</w:t>
      </w:r>
    </w:p>
    <w:p w14:paraId="7F256731" w14:textId="77777777" w:rsidR="001F6316" w:rsidRPr="00D2561F" w:rsidRDefault="00B14FA6" w:rsidP="00DE7A48">
      <w:pPr>
        <w:numPr>
          <w:ilvl w:val="4"/>
          <w:numId w:val="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Convención sobre los Derechos del Niño. Ratificado mediante la Ley 12 de 1991.</w:t>
      </w:r>
    </w:p>
    <w:p w14:paraId="7F256732" w14:textId="77777777" w:rsidR="001F6316" w:rsidRPr="00D2561F" w:rsidRDefault="00B14FA6" w:rsidP="00DE7A48">
      <w:pPr>
        <w:numPr>
          <w:ilvl w:val="4"/>
          <w:numId w:val="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Convención Interamericana para prevenir, sancionar y erradicar la violencia contra la mujer – BELEM DO PARÁ. Ratificado por Colombia mediante la Ley 248 de 1995.</w:t>
      </w:r>
    </w:p>
    <w:p w14:paraId="7F256733" w14:textId="77777777" w:rsidR="001F6316" w:rsidRPr="00D2561F" w:rsidRDefault="00B14FA6" w:rsidP="00DE7A48">
      <w:pPr>
        <w:numPr>
          <w:ilvl w:val="4"/>
          <w:numId w:val="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Convención sobre los Derechos de las personas con Discapacidad. Aprobado por Colombia mediante la Ley 1346 de 2009.</w:t>
      </w:r>
    </w:p>
    <w:p w14:paraId="7F256734" w14:textId="77777777" w:rsidR="001F6316" w:rsidRPr="00D2561F" w:rsidRDefault="00B14FA6" w:rsidP="00DE7A48">
      <w:pPr>
        <w:numPr>
          <w:ilvl w:val="4"/>
          <w:numId w:val="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Convención Interamericana sobre la protección de los derechos humanos de las personas mayores. Ratificado por Colombia mediante la Ley 2055 de 2020.</w:t>
      </w:r>
    </w:p>
    <w:p w14:paraId="7F256735" w14:textId="77777777" w:rsidR="001F6316" w:rsidRPr="00D2561F" w:rsidRDefault="00B14FA6" w:rsidP="00DE7A48">
      <w:pPr>
        <w:numPr>
          <w:ilvl w:val="4"/>
          <w:numId w:val="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Declaración sobre la eliminación de la violencia contra la mujer, aprobada por la Asamblea General de las Naciones Unidas el 20 de diciembre de 1993.</w:t>
      </w:r>
    </w:p>
    <w:p w14:paraId="7F256736" w14:textId="77777777" w:rsidR="001F6316" w:rsidRPr="00D2561F" w:rsidRDefault="00B14FA6" w:rsidP="00DE7A48">
      <w:pPr>
        <w:numPr>
          <w:ilvl w:val="4"/>
          <w:numId w:val="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Declaración y Plataforma de Acción de Beijing.</w:t>
      </w:r>
    </w:p>
    <w:p w14:paraId="7F256737" w14:textId="77777777" w:rsidR="001F6316" w:rsidRPr="00D2561F" w:rsidRDefault="001F6316" w:rsidP="00DE7A48">
      <w:pPr>
        <w:pBdr>
          <w:top w:val="nil"/>
          <w:left w:val="nil"/>
          <w:bottom w:val="nil"/>
          <w:right w:val="nil"/>
          <w:between w:val="nil"/>
        </w:pBdr>
        <w:spacing w:line="276" w:lineRule="auto"/>
        <w:ind w:left="502"/>
        <w:jc w:val="both"/>
        <w:rPr>
          <w:rFonts w:ascii="Century Gothic" w:hAnsi="Century Gothic"/>
          <w:b/>
          <w:bCs/>
          <w:color w:val="000000" w:themeColor="text1"/>
          <w:sz w:val="20"/>
          <w:szCs w:val="20"/>
          <w:highlight w:val="white"/>
        </w:rPr>
      </w:pPr>
    </w:p>
    <w:p w14:paraId="35496695" w14:textId="77777777" w:rsidR="00A266DB" w:rsidRPr="00D2561F" w:rsidRDefault="00A266DB" w:rsidP="00DE7A48">
      <w:pPr>
        <w:pBdr>
          <w:top w:val="nil"/>
          <w:left w:val="nil"/>
          <w:bottom w:val="nil"/>
          <w:right w:val="nil"/>
          <w:between w:val="nil"/>
        </w:pBdr>
        <w:spacing w:line="276" w:lineRule="auto"/>
        <w:ind w:left="502"/>
        <w:jc w:val="both"/>
        <w:rPr>
          <w:rFonts w:ascii="Century Gothic" w:hAnsi="Century Gothic"/>
          <w:b/>
          <w:bCs/>
          <w:color w:val="000000" w:themeColor="text1"/>
          <w:sz w:val="20"/>
          <w:szCs w:val="20"/>
          <w:highlight w:val="white"/>
        </w:rPr>
      </w:pPr>
    </w:p>
    <w:p w14:paraId="7F256738" w14:textId="77777777" w:rsidR="001F6316" w:rsidRPr="00D2561F" w:rsidRDefault="00B14FA6" w:rsidP="00DE7A48">
      <w:pPr>
        <w:numPr>
          <w:ilvl w:val="3"/>
          <w:numId w:val="1"/>
        </w:num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Disposiciones Constitucionales</w:t>
      </w:r>
    </w:p>
    <w:p w14:paraId="7F256739"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3A"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De igual forma, en la exposición se recalcan las disposiciones constitucionales que cobijan la temática abordada por el proyecto de ley:</w:t>
      </w:r>
    </w:p>
    <w:p w14:paraId="7F25673B"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3C" w14:textId="77777777" w:rsidR="001F6316" w:rsidRPr="00D2561F" w:rsidRDefault="00B14FA6" w:rsidP="00DE7A48">
      <w:pPr>
        <w:numPr>
          <w:ilvl w:val="0"/>
          <w:numId w:val="20"/>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Artículo 1: Dignidad humana. </w:t>
      </w:r>
    </w:p>
    <w:p w14:paraId="7F25673D" w14:textId="77777777" w:rsidR="001F6316" w:rsidRPr="00D2561F" w:rsidRDefault="00B14FA6" w:rsidP="00DE7A48">
      <w:pPr>
        <w:numPr>
          <w:ilvl w:val="0"/>
          <w:numId w:val="20"/>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Artículo 2: “Son fines esenciales del Estado: Servir a la comunidad, promover la prosperidad general y garantizar la efectividad de los principios, derechos y deberes consagrados en la Constitución Nacional”.</w:t>
      </w:r>
    </w:p>
    <w:p w14:paraId="7F25673E" w14:textId="77777777" w:rsidR="001F6316" w:rsidRPr="00D2561F" w:rsidRDefault="00B14FA6" w:rsidP="00DE7A48">
      <w:pPr>
        <w:numPr>
          <w:ilvl w:val="0"/>
          <w:numId w:val="20"/>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Artículo 5: “El Estado reconoce, sin discriminación alguna, la primacía de los derechos inalienables de la persona y ampara a la familia como institución básica de la sociedad”.</w:t>
      </w:r>
    </w:p>
    <w:p w14:paraId="7F25673F" w14:textId="77777777" w:rsidR="001F6316" w:rsidRPr="00D2561F" w:rsidRDefault="00B14FA6" w:rsidP="00DE7A48">
      <w:pPr>
        <w:numPr>
          <w:ilvl w:val="0"/>
          <w:numId w:val="20"/>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Artículo 13: “El Estado promoverá las condiciones para que la igualdad sea real y efectiva y adoptará medidas en favor de grupos discriminados o marginados”.</w:t>
      </w:r>
    </w:p>
    <w:p w14:paraId="7F256740" w14:textId="77777777" w:rsidR="001F6316" w:rsidRPr="00D2561F" w:rsidRDefault="00B14FA6" w:rsidP="00DE7A48">
      <w:pPr>
        <w:numPr>
          <w:ilvl w:val="0"/>
          <w:numId w:val="20"/>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Artículo 42: “El Estado y la sociedad garantizan la protección integral de la familia. Las relaciones familiares se basan en la igualdad de derechos y deberes de la pareja y en el respeto recíproco entre todos sus integrantes. Cualquier forma de violencia en la familia se considera destructiva de su armonía y unidad, y será sancionada conforme a la ley”.</w:t>
      </w:r>
    </w:p>
    <w:p w14:paraId="7F256741" w14:textId="77777777" w:rsidR="001F6316" w:rsidRPr="00D2561F" w:rsidRDefault="00B14FA6" w:rsidP="00DE7A48">
      <w:pPr>
        <w:numPr>
          <w:ilvl w:val="0"/>
          <w:numId w:val="20"/>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Artículo 43: “La mujer y el hombre tienen iguales derechos y oportunidades. La mujer no podrá ser sometida a ninguna clase de discriminación. El Estado apoyará de manera especial a la mujer cabeza de familia”.</w:t>
      </w:r>
    </w:p>
    <w:p w14:paraId="7F256742" w14:textId="77777777" w:rsidR="001F6316" w:rsidRPr="00D2561F" w:rsidRDefault="00B14FA6" w:rsidP="00DE7A48">
      <w:pPr>
        <w:numPr>
          <w:ilvl w:val="0"/>
          <w:numId w:val="20"/>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Artículo 44: “La familia, la sociedad y el Estado tienen la obligación de asistir y proteger al niño para garantizar su desarrollo armónico e integral y el ejercicio pleno de sus derechos. Los derechos de los niños prevalecen sobre los derechos de los demás”.</w:t>
      </w:r>
    </w:p>
    <w:p w14:paraId="7F256743" w14:textId="77777777" w:rsidR="001F6316" w:rsidRPr="00D2561F" w:rsidRDefault="00B14FA6" w:rsidP="00DE7A48">
      <w:pPr>
        <w:numPr>
          <w:ilvl w:val="0"/>
          <w:numId w:val="20"/>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Artículo 45: “El adolescente tiene derecho a la protección y a la formación integral”.</w:t>
      </w:r>
    </w:p>
    <w:p w14:paraId="7F256744" w14:textId="77777777" w:rsidR="001F6316" w:rsidRPr="00D2561F" w:rsidRDefault="00B14FA6" w:rsidP="00DE7A48">
      <w:pPr>
        <w:numPr>
          <w:ilvl w:val="0"/>
          <w:numId w:val="20"/>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Artículo 46: “El Estado, la sociedad y la familia concurrirán para la protección y la asistencia de las personas de la tercera edad y promoverán su integración a la vida activa y comunitaria”.</w:t>
      </w:r>
    </w:p>
    <w:p w14:paraId="7F256745"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46" w14:textId="77777777" w:rsidR="001F6316" w:rsidRPr="00D2561F" w:rsidRDefault="00B14FA6" w:rsidP="00DE7A48">
      <w:pPr>
        <w:numPr>
          <w:ilvl w:val="3"/>
          <w:numId w:val="1"/>
        </w:num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Régimen Legal</w:t>
      </w:r>
    </w:p>
    <w:p w14:paraId="7F256748"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Asimismo, se indica que el marco legal es el siguiente:</w:t>
      </w:r>
    </w:p>
    <w:p w14:paraId="7F256749"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4A" w14:textId="77777777" w:rsidR="001F6316" w:rsidRPr="00D2561F" w:rsidRDefault="00B14FA6" w:rsidP="00DE7A48">
      <w:pPr>
        <w:numPr>
          <w:ilvl w:val="0"/>
          <w:numId w:val="2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Ley 84 de 1873. Código Civil.</w:t>
      </w:r>
    </w:p>
    <w:p w14:paraId="7F25674B" w14:textId="77777777" w:rsidR="001F6316" w:rsidRPr="00D2561F" w:rsidRDefault="00B14FA6" w:rsidP="00DE7A48">
      <w:pPr>
        <w:numPr>
          <w:ilvl w:val="0"/>
          <w:numId w:val="2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Ley 75 de 1968. Por la cual se dictan normas sobre filiación y se crea el Instituto Colombiano de Bienestar Familiar.</w:t>
      </w:r>
    </w:p>
    <w:p w14:paraId="7F25674C" w14:textId="77777777" w:rsidR="001F6316" w:rsidRPr="00D2561F" w:rsidRDefault="00B14FA6" w:rsidP="00DE7A48">
      <w:pPr>
        <w:numPr>
          <w:ilvl w:val="0"/>
          <w:numId w:val="2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Ley 1098 de 2006. Código de Infancia y Adolescencia </w:t>
      </w:r>
    </w:p>
    <w:p w14:paraId="7F25674D" w14:textId="77777777" w:rsidR="001F6316" w:rsidRPr="00D2561F" w:rsidRDefault="00B14FA6" w:rsidP="00DE7A48">
      <w:pPr>
        <w:numPr>
          <w:ilvl w:val="0"/>
          <w:numId w:val="2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Ley 1251 de 2008. Por la cual se dictan normas tendientes a procurar la protección, promoción y defensa de los derechos de los adultos mayores.</w:t>
      </w:r>
    </w:p>
    <w:p w14:paraId="7F25674E" w14:textId="77777777" w:rsidR="001F6316" w:rsidRPr="00D2561F" w:rsidRDefault="00B14FA6" w:rsidP="00DE7A48">
      <w:pPr>
        <w:numPr>
          <w:ilvl w:val="0"/>
          <w:numId w:val="2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Ley 1257 de 2008. Por la cual se dictan normas de sensibilización, prevención y sanción de formas de violencia y discriminación contra las mujeres, se reforman los Códigos Penal, de Procedimiento Penal, la Ley 294 de 1996 y se dictan otras disposiciones.</w:t>
      </w:r>
    </w:p>
    <w:p w14:paraId="7F25674F" w14:textId="77777777" w:rsidR="001F6316" w:rsidRPr="00D2561F" w:rsidRDefault="00B14FA6" w:rsidP="00DE7A48">
      <w:pPr>
        <w:numPr>
          <w:ilvl w:val="0"/>
          <w:numId w:val="2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Ley 1564 de 2012. Por medio de la cual se expide el Código General del Proceso y se dictan otras disposiciones.</w:t>
      </w:r>
    </w:p>
    <w:p w14:paraId="7F256750" w14:textId="77777777" w:rsidR="001F6316" w:rsidRPr="00D2561F" w:rsidRDefault="00B14FA6" w:rsidP="00DE7A48">
      <w:pPr>
        <w:numPr>
          <w:ilvl w:val="0"/>
          <w:numId w:val="2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Ley 1850 de 2017. Por medio de la cual se establecen medidas de protección al adulto mayor en Colombia, se modifican las Leyes 1251 de 2008, 1315 de 2009, 599 de 2000 y 1276 de 2009, se penaliza el maltrato intrafamiliar por abandono y se dictan otras disposiciones.</w:t>
      </w:r>
    </w:p>
    <w:p w14:paraId="7F256751" w14:textId="77777777" w:rsidR="001F6316" w:rsidRPr="00D2561F" w:rsidRDefault="00B14FA6" w:rsidP="00DE7A48">
      <w:pPr>
        <w:numPr>
          <w:ilvl w:val="0"/>
          <w:numId w:val="2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Ley 2126 de 2021. Por la cual se regula la creación, conformación y funcionamiento de las Comisarías de Familia, se establece el órgano rector y se dictan otras disposiciones.</w:t>
      </w:r>
    </w:p>
    <w:p w14:paraId="7F256752" w14:textId="77777777" w:rsidR="001F6316" w:rsidRPr="00D2561F" w:rsidRDefault="00B14FA6" w:rsidP="00DE7A48">
      <w:pPr>
        <w:numPr>
          <w:ilvl w:val="0"/>
          <w:numId w:val="21"/>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Ley 2097 de 2021. Por medio de la cual se crea el Registro de Deudores Alimentarios Morosos (Redam) y se dictan otras disposiciones.</w:t>
      </w:r>
    </w:p>
    <w:p w14:paraId="7F256754" w14:textId="77777777" w:rsidR="001F6316" w:rsidRPr="00D2561F" w:rsidRDefault="00B14FA6" w:rsidP="00DE7A48">
      <w:pPr>
        <w:numPr>
          <w:ilvl w:val="3"/>
          <w:numId w:val="1"/>
        </w:num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Iniciativas legislativas anteriores</w:t>
      </w:r>
    </w:p>
    <w:p w14:paraId="7F256755"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p w14:paraId="7F256756"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En la exposición de motivos se resalta que en el Congreso se han presentado previamente iniciativas relacionadas con asuntos de alimentos. A saber, señalan los siguientes proyectos de ley:</w:t>
      </w:r>
    </w:p>
    <w:p w14:paraId="7F256757"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highlight w:val="white"/>
        </w:rPr>
      </w:pP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4"/>
        <w:gridCol w:w="2531"/>
        <w:gridCol w:w="3578"/>
        <w:gridCol w:w="2376"/>
      </w:tblGrid>
      <w:tr w:rsidR="001F6316" w:rsidRPr="00D2561F" w14:paraId="7F25675C" w14:textId="77777777">
        <w:tc>
          <w:tcPr>
            <w:tcW w:w="544" w:type="dxa"/>
            <w:shd w:val="clear" w:color="auto" w:fill="C9DAF8"/>
            <w:tcMar>
              <w:top w:w="100" w:type="dxa"/>
              <w:left w:w="100" w:type="dxa"/>
              <w:bottom w:w="100" w:type="dxa"/>
              <w:right w:w="100" w:type="dxa"/>
            </w:tcMar>
          </w:tcPr>
          <w:p w14:paraId="7F256758" w14:textId="4F3F99C2" w:rsidR="001F6316" w:rsidRPr="00D2561F" w:rsidRDefault="00A266DB" w:rsidP="00DE7A48">
            <w:pPr>
              <w:widowControl w:val="0"/>
              <w:pBdr>
                <w:top w:val="nil"/>
                <w:left w:val="nil"/>
                <w:bottom w:val="nil"/>
                <w:right w:val="nil"/>
                <w:between w:val="nil"/>
              </w:pBd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No.</w:t>
            </w:r>
          </w:p>
        </w:tc>
        <w:tc>
          <w:tcPr>
            <w:tcW w:w="2531" w:type="dxa"/>
            <w:shd w:val="clear" w:color="auto" w:fill="C9DAF8"/>
            <w:tcMar>
              <w:top w:w="100" w:type="dxa"/>
              <w:left w:w="100" w:type="dxa"/>
              <w:bottom w:w="100" w:type="dxa"/>
              <w:right w:w="100" w:type="dxa"/>
            </w:tcMar>
          </w:tcPr>
          <w:p w14:paraId="7F256759" w14:textId="77777777" w:rsidR="001F6316" w:rsidRPr="00D2561F" w:rsidRDefault="00B14FA6" w:rsidP="00DE7A48">
            <w:pPr>
              <w:widowControl w:val="0"/>
              <w:pBdr>
                <w:top w:val="nil"/>
                <w:left w:val="nil"/>
                <w:bottom w:val="nil"/>
                <w:right w:val="nil"/>
                <w:between w:val="nil"/>
              </w:pBd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TÍTULO</w:t>
            </w:r>
          </w:p>
        </w:tc>
        <w:tc>
          <w:tcPr>
            <w:tcW w:w="3578" w:type="dxa"/>
            <w:shd w:val="clear" w:color="auto" w:fill="C9DAF8"/>
            <w:tcMar>
              <w:top w:w="100" w:type="dxa"/>
              <w:left w:w="100" w:type="dxa"/>
              <w:bottom w:w="100" w:type="dxa"/>
              <w:right w:w="100" w:type="dxa"/>
            </w:tcMar>
          </w:tcPr>
          <w:p w14:paraId="7F25675A" w14:textId="77777777" w:rsidR="001F6316" w:rsidRPr="00D2561F" w:rsidRDefault="00B14FA6" w:rsidP="00DE7A48">
            <w:pPr>
              <w:widowControl w:val="0"/>
              <w:pBdr>
                <w:top w:val="nil"/>
                <w:left w:val="nil"/>
                <w:bottom w:val="nil"/>
                <w:right w:val="nil"/>
                <w:between w:val="nil"/>
              </w:pBd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OBJETO</w:t>
            </w:r>
          </w:p>
        </w:tc>
        <w:tc>
          <w:tcPr>
            <w:tcW w:w="2376" w:type="dxa"/>
            <w:shd w:val="clear" w:color="auto" w:fill="C9DAF8"/>
            <w:tcMar>
              <w:top w:w="100" w:type="dxa"/>
              <w:left w:w="100" w:type="dxa"/>
              <w:bottom w:w="100" w:type="dxa"/>
              <w:right w:w="100" w:type="dxa"/>
            </w:tcMar>
          </w:tcPr>
          <w:p w14:paraId="7F25675B" w14:textId="77777777" w:rsidR="001F6316" w:rsidRPr="00D2561F" w:rsidRDefault="00B14FA6" w:rsidP="00DE7A48">
            <w:pPr>
              <w:widowControl w:val="0"/>
              <w:pBdr>
                <w:top w:val="nil"/>
                <w:left w:val="nil"/>
                <w:bottom w:val="nil"/>
                <w:right w:val="nil"/>
                <w:between w:val="nil"/>
              </w:pBd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OBSERVACIONES</w:t>
            </w:r>
          </w:p>
        </w:tc>
      </w:tr>
      <w:tr w:rsidR="001F6316" w:rsidRPr="00D2561F" w14:paraId="7F256763" w14:textId="77777777">
        <w:tc>
          <w:tcPr>
            <w:tcW w:w="544" w:type="dxa"/>
            <w:tcMar>
              <w:top w:w="100" w:type="dxa"/>
              <w:left w:w="100" w:type="dxa"/>
              <w:bottom w:w="100" w:type="dxa"/>
              <w:right w:w="100" w:type="dxa"/>
            </w:tcMar>
          </w:tcPr>
          <w:p w14:paraId="7F25675D" w14:textId="77777777" w:rsidR="001F6316" w:rsidRPr="00D2561F" w:rsidRDefault="00B14FA6" w:rsidP="00DE7A48">
            <w:pPr>
              <w:widowControl w:val="0"/>
              <w:pBdr>
                <w:top w:val="nil"/>
                <w:left w:val="nil"/>
                <w:bottom w:val="nil"/>
                <w:right w:val="nil"/>
                <w:between w:val="nil"/>
              </w:pBd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1</w:t>
            </w:r>
          </w:p>
        </w:tc>
        <w:tc>
          <w:tcPr>
            <w:tcW w:w="2531" w:type="dxa"/>
            <w:tcMar>
              <w:top w:w="100" w:type="dxa"/>
              <w:left w:w="100" w:type="dxa"/>
              <w:bottom w:w="100" w:type="dxa"/>
              <w:right w:w="100" w:type="dxa"/>
            </w:tcMar>
          </w:tcPr>
          <w:p w14:paraId="7F25675E"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Proyecto de Ley No. 97 de 2017 Senado. Por el cual se establecen valores mínimos a la fijación de la cuota alimentaria.</w:t>
            </w:r>
          </w:p>
        </w:tc>
        <w:tc>
          <w:tcPr>
            <w:tcW w:w="3578" w:type="dxa"/>
            <w:tcMar>
              <w:top w:w="100" w:type="dxa"/>
              <w:left w:w="100" w:type="dxa"/>
              <w:bottom w:w="100" w:type="dxa"/>
              <w:right w:w="100" w:type="dxa"/>
            </w:tcMar>
          </w:tcPr>
          <w:p w14:paraId="7F25675F"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highlight w:val="white"/>
              </w:rPr>
              <w:t>La presente ley tiene por objeto establecer un valor mínimo en la fijación de las cuotas alimentarias a favor de los menores, teniendo en cuenta la presunción del salario mínimo contenida en el artículo 129 de la Ley 1098 de 2006.</w:t>
            </w:r>
          </w:p>
        </w:tc>
        <w:tc>
          <w:tcPr>
            <w:tcW w:w="2376" w:type="dxa"/>
            <w:tcMar>
              <w:top w:w="100" w:type="dxa"/>
              <w:left w:w="100" w:type="dxa"/>
              <w:bottom w:w="100" w:type="dxa"/>
              <w:right w:w="100" w:type="dxa"/>
            </w:tcMar>
          </w:tcPr>
          <w:p w14:paraId="7F256760"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Autora: HS. Rosmery Martínez Rosales.</w:t>
            </w:r>
          </w:p>
          <w:p w14:paraId="7F256761" w14:textId="77777777" w:rsidR="001F6316" w:rsidRPr="00D2561F" w:rsidRDefault="001F631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p>
          <w:p w14:paraId="7F256762" w14:textId="77777777" w:rsidR="001F6316" w:rsidRPr="00D2561F" w:rsidRDefault="00B14FA6" w:rsidP="00DE7A48">
            <w:pPr>
              <w:widowControl w:val="0"/>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Archivado conforme al Art. 162 de la Constitución. </w:t>
            </w:r>
          </w:p>
        </w:tc>
      </w:tr>
      <w:tr w:rsidR="001F6316" w:rsidRPr="00D2561F" w14:paraId="7F25676A" w14:textId="77777777">
        <w:tc>
          <w:tcPr>
            <w:tcW w:w="544" w:type="dxa"/>
            <w:tcMar>
              <w:top w:w="100" w:type="dxa"/>
              <w:left w:w="100" w:type="dxa"/>
              <w:bottom w:w="100" w:type="dxa"/>
              <w:right w:w="100" w:type="dxa"/>
            </w:tcMar>
          </w:tcPr>
          <w:p w14:paraId="7F256764" w14:textId="77777777" w:rsidR="001F6316" w:rsidRPr="00D2561F" w:rsidRDefault="00B14FA6" w:rsidP="00DE7A48">
            <w:pPr>
              <w:widowControl w:val="0"/>
              <w:pBdr>
                <w:top w:val="nil"/>
                <w:left w:val="nil"/>
                <w:bottom w:val="nil"/>
                <w:right w:val="nil"/>
                <w:between w:val="nil"/>
              </w:pBd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2</w:t>
            </w:r>
          </w:p>
        </w:tc>
        <w:tc>
          <w:tcPr>
            <w:tcW w:w="2531" w:type="dxa"/>
            <w:tcMar>
              <w:top w:w="100" w:type="dxa"/>
              <w:left w:w="100" w:type="dxa"/>
              <w:bottom w:w="100" w:type="dxa"/>
              <w:right w:w="100" w:type="dxa"/>
            </w:tcMar>
          </w:tcPr>
          <w:p w14:paraId="7F256765"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Proyecto de Ley 213 de 2018 Senado - 091 de 2028 Cámara. Por medio de la cual se crea el registro de deudores alimentarios morosos -redam- y se dictan otras disposiciones. </w:t>
            </w:r>
          </w:p>
        </w:tc>
        <w:tc>
          <w:tcPr>
            <w:tcW w:w="3578" w:type="dxa"/>
            <w:tcMar>
              <w:top w:w="100" w:type="dxa"/>
              <w:left w:w="100" w:type="dxa"/>
              <w:bottom w:w="100" w:type="dxa"/>
              <w:right w:w="100" w:type="dxa"/>
            </w:tcMar>
          </w:tcPr>
          <w:p w14:paraId="7F256766"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 presente ley tiene por objeto establecer medidas para garantizar el cumplimiento de las obligaciones alimentarias y crear el Registro de Deudores Alimentarios Morosos (REDAM), como mecanismo de control al incumplimiento de las obligaciones alimentarias.</w:t>
            </w:r>
          </w:p>
        </w:tc>
        <w:tc>
          <w:tcPr>
            <w:tcW w:w="2376" w:type="dxa"/>
            <w:tcMar>
              <w:top w:w="100" w:type="dxa"/>
              <w:left w:w="100" w:type="dxa"/>
              <w:bottom w:w="100" w:type="dxa"/>
              <w:right w:w="100" w:type="dxa"/>
            </w:tcMar>
          </w:tcPr>
          <w:p w14:paraId="7F256767"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Autores: HS. Maritza Martínez Aristizábal y HR. David Ernesto Pulido Novoa.</w:t>
            </w:r>
          </w:p>
          <w:p w14:paraId="7F256768" w14:textId="77777777" w:rsidR="001F6316" w:rsidRPr="00D2561F" w:rsidRDefault="001F631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p>
          <w:p w14:paraId="7F256769"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Ley 2097 de 2021.</w:t>
            </w:r>
          </w:p>
        </w:tc>
      </w:tr>
      <w:tr w:rsidR="001F6316" w:rsidRPr="00D2561F" w14:paraId="7F256771" w14:textId="77777777">
        <w:tc>
          <w:tcPr>
            <w:tcW w:w="544" w:type="dxa"/>
            <w:tcMar>
              <w:top w:w="100" w:type="dxa"/>
              <w:left w:w="100" w:type="dxa"/>
              <w:bottom w:w="100" w:type="dxa"/>
              <w:right w:w="100" w:type="dxa"/>
            </w:tcMar>
          </w:tcPr>
          <w:p w14:paraId="7F25676B" w14:textId="77777777" w:rsidR="001F6316" w:rsidRPr="00D2561F" w:rsidRDefault="00B14FA6" w:rsidP="00DE7A48">
            <w:pPr>
              <w:widowControl w:val="0"/>
              <w:pBdr>
                <w:top w:val="nil"/>
                <w:left w:val="nil"/>
                <w:bottom w:val="nil"/>
                <w:right w:val="nil"/>
                <w:between w:val="nil"/>
              </w:pBd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3</w:t>
            </w:r>
          </w:p>
        </w:tc>
        <w:tc>
          <w:tcPr>
            <w:tcW w:w="2531" w:type="dxa"/>
            <w:tcMar>
              <w:top w:w="100" w:type="dxa"/>
              <w:left w:w="100" w:type="dxa"/>
              <w:bottom w:w="100" w:type="dxa"/>
              <w:right w:w="100" w:type="dxa"/>
            </w:tcMar>
          </w:tcPr>
          <w:p w14:paraId="7F25676C"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Proyecto de Ley No. 373 de 2022 Senado. Por medio de la cual se establecen criterios para fijar la cuota alimentaria en favor de los menores de edad y se dictan otras disposiciones.</w:t>
            </w:r>
          </w:p>
        </w:tc>
        <w:tc>
          <w:tcPr>
            <w:tcW w:w="3578" w:type="dxa"/>
            <w:tcMar>
              <w:top w:w="100" w:type="dxa"/>
              <w:left w:w="100" w:type="dxa"/>
              <w:bottom w:w="100" w:type="dxa"/>
              <w:right w:w="100" w:type="dxa"/>
            </w:tcMar>
          </w:tcPr>
          <w:p w14:paraId="7F25676D"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Las disposiciones previstas en esta ley buscan establecer criterios y topes mínimos para la fijación de la cuota alimentaria en favor de los menores de edad, en busca de mayor bienestar para los niños, niñas, adolescentes y jóvenes hasta los 25 años que estén estudiando.</w:t>
            </w:r>
          </w:p>
        </w:tc>
        <w:tc>
          <w:tcPr>
            <w:tcW w:w="2376" w:type="dxa"/>
            <w:tcMar>
              <w:top w:w="100" w:type="dxa"/>
              <w:left w:w="100" w:type="dxa"/>
              <w:bottom w:w="100" w:type="dxa"/>
              <w:right w:w="100" w:type="dxa"/>
            </w:tcMar>
          </w:tcPr>
          <w:p w14:paraId="7F25676E"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Autores: HS. Milla Patricia Romero Soto, María del Rosario Guerra de la Espriella, Honorio Miguel Henrique Pinero, Juan Carlos Garcia Gómez, Esperanza Andrade; HR. José Jaime Uscátegui y otras firmas.</w:t>
            </w:r>
          </w:p>
          <w:p w14:paraId="7F25676F" w14:textId="77777777" w:rsidR="001F6316" w:rsidRPr="00D2561F" w:rsidRDefault="001F631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p>
          <w:p w14:paraId="7F256770"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Archivado conforme al Art. 162 de la Constitución. </w:t>
            </w:r>
          </w:p>
        </w:tc>
      </w:tr>
      <w:tr w:rsidR="001F6316" w:rsidRPr="00D2561F" w14:paraId="7F256778" w14:textId="77777777">
        <w:tc>
          <w:tcPr>
            <w:tcW w:w="544" w:type="dxa"/>
            <w:tcMar>
              <w:top w:w="100" w:type="dxa"/>
              <w:left w:w="100" w:type="dxa"/>
              <w:bottom w:w="100" w:type="dxa"/>
              <w:right w:w="100" w:type="dxa"/>
            </w:tcMar>
          </w:tcPr>
          <w:p w14:paraId="7F256772" w14:textId="77777777" w:rsidR="001F6316" w:rsidRPr="00D2561F" w:rsidRDefault="00B14FA6" w:rsidP="00DE7A48">
            <w:pPr>
              <w:widowControl w:val="0"/>
              <w:pBdr>
                <w:top w:val="nil"/>
                <w:left w:val="nil"/>
                <w:bottom w:val="nil"/>
                <w:right w:val="nil"/>
                <w:between w:val="nil"/>
              </w:pBd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4</w:t>
            </w:r>
          </w:p>
        </w:tc>
        <w:tc>
          <w:tcPr>
            <w:tcW w:w="2531" w:type="dxa"/>
            <w:tcMar>
              <w:top w:w="100" w:type="dxa"/>
              <w:left w:w="100" w:type="dxa"/>
              <w:bottom w:w="100" w:type="dxa"/>
              <w:right w:w="100" w:type="dxa"/>
            </w:tcMar>
          </w:tcPr>
          <w:p w14:paraId="7F256773"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Proyecto de Ley No. 199 de 2023 Senado. Por medio de la cual se modifican los artículos 397 y 447 de la Ley 1564 de 2012 y se reglamenta la entrega anticipada de títulos en el proceso ejecutivo por alimentos debidos a un niño, niña y adolescente (Ley Sarita)</w:t>
            </w:r>
          </w:p>
        </w:tc>
        <w:tc>
          <w:tcPr>
            <w:tcW w:w="3578" w:type="dxa"/>
            <w:tcMar>
              <w:top w:w="100" w:type="dxa"/>
              <w:left w:w="100" w:type="dxa"/>
              <w:bottom w:w="100" w:type="dxa"/>
              <w:right w:w="100" w:type="dxa"/>
            </w:tcMar>
          </w:tcPr>
          <w:p w14:paraId="7F256774"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Considerando el interés superior de los niños, niñas y adolescentes, al presente Ley tiene por objeto modificar el segundo parágrafo del artículo 397 y el artículo 447 del Código General del Proceso, con el fin de garantizar un acceso oportuno a los recursos económicos que son objeto de embargo dentro de los procesos ejecutivos de alimentos donde el alimentado es un niño, niña o adolescente.</w:t>
            </w:r>
          </w:p>
        </w:tc>
        <w:tc>
          <w:tcPr>
            <w:tcW w:w="2376" w:type="dxa"/>
            <w:tcMar>
              <w:top w:w="100" w:type="dxa"/>
              <w:left w:w="100" w:type="dxa"/>
              <w:bottom w:w="100" w:type="dxa"/>
              <w:right w:w="100" w:type="dxa"/>
            </w:tcMar>
          </w:tcPr>
          <w:p w14:paraId="7F256775"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Autores: HS. Liliana Bitar Castilla, Diela Liliana Benavides Solarte, Efrain Cepeda Sarabia, Nadia Blel Scaff, Oscar Barreto Quiroga, Karina Espinosa Oliver; HR. Héctor Mauricio Cuellar Rincón, Andres Felipe Jiménez Vargas, Armando Zabaraín D’Arce, Wadith Manzur Imbett.</w:t>
            </w:r>
          </w:p>
          <w:p w14:paraId="7F256776" w14:textId="77777777" w:rsidR="001F6316" w:rsidRPr="00D2561F" w:rsidRDefault="001F631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p>
          <w:p w14:paraId="7F256777"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Pendiente Sanción Presidencial</w:t>
            </w:r>
          </w:p>
        </w:tc>
      </w:tr>
      <w:tr w:rsidR="001F6316" w:rsidRPr="00D2561F" w14:paraId="7F256781" w14:textId="77777777">
        <w:tc>
          <w:tcPr>
            <w:tcW w:w="544" w:type="dxa"/>
            <w:tcMar>
              <w:top w:w="100" w:type="dxa"/>
              <w:left w:w="100" w:type="dxa"/>
              <w:bottom w:w="100" w:type="dxa"/>
              <w:right w:w="100" w:type="dxa"/>
            </w:tcMar>
          </w:tcPr>
          <w:p w14:paraId="7F256779" w14:textId="77777777" w:rsidR="001F6316" w:rsidRPr="00D2561F" w:rsidRDefault="00B14FA6" w:rsidP="00DE7A48">
            <w:pPr>
              <w:widowControl w:val="0"/>
              <w:pBdr>
                <w:top w:val="nil"/>
                <w:left w:val="nil"/>
                <w:bottom w:val="nil"/>
                <w:right w:val="nil"/>
                <w:between w:val="nil"/>
              </w:pBd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5</w:t>
            </w:r>
          </w:p>
        </w:tc>
        <w:tc>
          <w:tcPr>
            <w:tcW w:w="2531" w:type="dxa"/>
            <w:tcMar>
              <w:top w:w="100" w:type="dxa"/>
              <w:left w:w="100" w:type="dxa"/>
              <w:bottom w:w="100" w:type="dxa"/>
              <w:right w:w="100" w:type="dxa"/>
            </w:tcMar>
          </w:tcPr>
          <w:p w14:paraId="7F25677A"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Proyecto de Ley Estatutaria No. 271 de 2024 Senado. Por medio de la cual se crea el proceso único especial de fijación y/o ejecución de alimentos y se dictan otras disposiciones.</w:t>
            </w:r>
          </w:p>
        </w:tc>
        <w:tc>
          <w:tcPr>
            <w:tcW w:w="3578" w:type="dxa"/>
            <w:tcMar>
              <w:top w:w="100" w:type="dxa"/>
              <w:left w:w="100" w:type="dxa"/>
              <w:bottom w:w="100" w:type="dxa"/>
              <w:right w:w="100" w:type="dxa"/>
            </w:tcMar>
          </w:tcPr>
          <w:p w14:paraId="7F25677B"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El propósito de la presente iniciativa es crear y regular un proceso especial de fijación y/o ejecución de alimentos para garantizar el amparo inmediato de los derechos fundamentales de los titulares del derecho de alimentos y acreedores alimentarios que sean sujetos de especial protección constitucional.</w:t>
            </w:r>
          </w:p>
          <w:p w14:paraId="7F25677C" w14:textId="77777777" w:rsidR="001F6316" w:rsidRPr="00D2561F" w:rsidRDefault="001F631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p>
          <w:p w14:paraId="7F25677D"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En adición a lo anterior, el proyecto ajustan algunas normas procesales respecto a procesos de fijación y ejecución de cuota alimentaria. Con ello, crea medidas afirmativas en materia probatoria, brindando mayores facultades al juez como director de dichos procesos, equilibrando la carga probatoria, la cual reposa en la mayoría de los casos en cabeza de madres solteras, para asegurar una tutela judicial efectiva.</w:t>
            </w:r>
          </w:p>
        </w:tc>
        <w:tc>
          <w:tcPr>
            <w:tcW w:w="2376" w:type="dxa"/>
            <w:tcMar>
              <w:top w:w="100" w:type="dxa"/>
              <w:left w:w="100" w:type="dxa"/>
              <w:bottom w:w="100" w:type="dxa"/>
              <w:right w:w="100" w:type="dxa"/>
            </w:tcMar>
          </w:tcPr>
          <w:p w14:paraId="7F25677E"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H.S. Angélica Lozano Correa, H.S. Paloma Valencia Laserna, H.S. Berenice Bedoya Pérez, H.S. Andrea Padilla Villarraga, H.S. Yenny Rozo Zambrano, H.S. Sonia Bernal, H.S. María José Pizarro Rodríguez, H.S. Laura Esther Fortich Sánchez, H.S. Claudia Pérez Giraldo, H.S. Ana Carolina Espitia Jerez, H.S. Soledad Tamayo Tamayo, H.S. Nadia Blel Scaff, H.S. Jael Quiroga Carrillo, H.S. Liliana Benavides Solarte, H.S. Norma Hurtado Sánchez, H.R. Olga Lucía Velásquez Nieto, H.R. Carolina Giraldo Botero, H.R. Leider Alexandra Vásquez Ochoa, H.R. Martha Alfonso, H.R. Katherine Miranda Peña, H.R. Catherine Juvinao Clavijo, H.R. Carolina Arbeláez Girald y H.R. Jennifer Pedraza Sandoval.</w:t>
            </w:r>
          </w:p>
          <w:p w14:paraId="7F25677F" w14:textId="77777777" w:rsidR="001F6316" w:rsidRPr="00D2561F" w:rsidRDefault="001F631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p>
          <w:p w14:paraId="7F256780" w14:textId="77777777" w:rsidR="001F6316" w:rsidRPr="00D2561F" w:rsidRDefault="00B14FA6" w:rsidP="00DE7A48">
            <w:pPr>
              <w:widowControl w:val="0"/>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Archivado conforme al Art. 162 de la Constitución.</w:t>
            </w:r>
          </w:p>
        </w:tc>
      </w:tr>
    </w:tbl>
    <w:p w14:paraId="7F256782" w14:textId="77777777" w:rsidR="001F6316" w:rsidRPr="00D2561F" w:rsidRDefault="00B14FA6" w:rsidP="00DE7A48">
      <w:pPr>
        <w:pBdr>
          <w:top w:val="nil"/>
          <w:left w:val="nil"/>
          <w:bottom w:val="nil"/>
          <w:right w:val="nil"/>
          <w:between w:val="nil"/>
        </w:pBdr>
        <w:spacing w:line="276" w:lineRule="auto"/>
        <w:jc w:val="center"/>
        <w:rPr>
          <w:rFonts w:ascii="Century Gothic" w:hAnsi="Century Gothic"/>
          <w:i/>
          <w:iCs/>
          <w:color w:val="000000" w:themeColor="text1"/>
          <w:sz w:val="20"/>
          <w:szCs w:val="20"/>
          <w:highlight w:val="white"/>
        </w:rPr>
      </w:pPr>
      <w:r w:rsidRPr="00D2561F">
        <w:rPr>
          <w:rFonts w:ascii="Century Gothic" w:hAnsi="Century Gothic"/>
          <w:b/>
          <w:bCs/>
          <w:i/>
          <w:iCs/>
          <w:color w:val="000000" w:themeColor="text1"/>
          <w:sz w:val="20"/>
          <w:szCs w:val="20"/>
          <w:highlight w:val="white"/>
        </w:rPr>
        <w:t>Fuente</w:t>
      </w:r>
      <w:r w:rsidRPr="00D2561F">
        <w:rPr>
          <w:rFonts w:ascii="Century Gothic" w:hAnsi="Century Gothic"/>
          <w:i/>
          <w:iCs/>
          <w:color w:val="000000" w:themeColor="text1"/>
          <w:sz w:val="20"/>
          <w:szCs w:val="20"/>
          <w:highlight w:val="white"/>
        </w:rPr>
        <w:t xml:space="preserve">: </w:t>
      </w:r>
      <w:r w:rsidRPr="00D2561F">
        <w:rPr>
          <w:rFonts w:ascii="Century Gothic" w:hAnsi="Century Gothic"/>
          <w:i/>
          <w:iCs/>
          <w:color w:val="000000" w:themeColor="text1"/>
          <w:sz w:val="18"/>
          <w:szCs w:val="18"/>
          <w:highlight w:val="white"/>
        </w:rPr>
        <w:t>Tabla incorporada en la exposición de motivos del Proyecto de Ley Estatutaria No. 069 de 2025.</w:t>
      </w:r>
    </w:p>
    <w:p w14:paraId="7F256783" w14:textId="77777777" w:rsidR="001F6316" w:rsidRPr="00D2561F" w:rsidRDefault="001F6316" w:rsidP="00DE7A48">
      <w:pPr>
        <w:pBdr>
          <w:top w:val="nil"/>
          <w:left w:val="nil"/>
          <w:bottom w:val="nil"/>
          <w:right w:val="nil"/>
          <w:between w:val="nil"/>
        </w:pBdr>
        <w:spacing w:line="276" w:lineRule="auto"/>
        <w:ind w:left="1080"/>
        <w:jc w:val="both"/>
        <w:rPr>
          <w:rFonts w:ascii="Century Gothic" w:hAnsi="Century Gothic"/>
          <w:b/>
          <w:bCs/>
          <w:color w:val="000000" w:themeColor="text1"/>
          <w:sz w:val="20"/>
          <w:szCs w:val="20"/>
        </w:rPr>
      </w:pPr>
    </w:p>
    <w:p w14:paraId="7F256785"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VII. DERECHO INTERNACIONAL COMPARADO</w:t>
      </w:r>
    </w:p>
    <w:p w14:paraId="7F256786"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b/>
          <w:bCs/>
          <w:color w:val="000000" w:themeColor="text1"/>
          <w:sz w:val="20"/>
          <w:szCs w:val="20"/>
        </w:rPr>
      </w:pPr>
    </w:p>
    <w:p w14:paraId="7F256787" w14:textId="5A844EF8" w:rsidR="001F6316" w:rsidRPr="00D2561F" w:rsidRDefault="00B14FA6" w:rsidP="000A17CD">
      <w:pPr>
        <w:pStyle w:val="Prrafodelista"/>
        <w:numPr>
          <w:ilvl w:val="6"/>
          <w:numId w:val="1"/>
        </w:numPr>
        <w:pBdr>
          <w:top w:val="nil"/>
          <w:left w:val="nil"/>
          <w:bottom w:val="nil"/>
          <w:right w:val="nil"/>
          <w:between w:val="nil"/>
        </w:pBdr>
        <w:spacing w:line="276" w:lineRule="auto"/>
        <w:ind w:left="284" w:firstLine="0"/>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Chile</w:t>
      </w:r>
    </w:p>
    <w:p w14:paraId="7F256789"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Como se indica en la exposición, el 31 de agosto de 2022 se aprobó en Chile la Ley Nº 21.484 o Ley de Responsabilidad Parental y Pago Efectivo  (el 20 de mayo de 2024 cumplió su primer año de entrada en vigencia). Su propósito es facilitar la búsqueda de patrimonio a través de diferentes órganos del Estado para que se paguen las deudas en favor de niños, niñas y adolescentes, modificando la ley Nº 14.908 de 1962 sobre Abandono de Familia y Pago de Pensiones Alimenticias. A partir de ésta normativa se crearon dos procedimientos especiales en cabeza de los Tribunales de Familia para garantizar el pago de las obligaciones alimenticias: (i) procedimiento especial de pago y (ii) procedimiento extraordinario de pago, estableciendo un mecanismo de pago permanente de las deudas de pensiones de alimentos.</w:t>
      </w:r>
    </w:p>
    <w:p w14:paraId="7F25678A"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8B"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En el procedimiento especial de pago, el Tribunal de Familia inicia una investigación sobre el patrimonio de una persona deudora de alimentos para confirmar si cuenta o no con recursos para el cumplimiento de su obligación de apoyar económicamente a sus hijos a través de indagatorias y consultas necesarias, solicitando información a la Comisión para el Mercado Financiero (CMF), el Servicio de Impuestos Internos (SII) y otros servicios del Estado que estime pertinente. Esto para que investigue cuentas bancarias y otros instrumentos de inversión o financieros y ahorros previsionales de tipo voluntario que se encuentren en cabeza del deudor alimentario. Los fondos encontrados en las cuentas de ahorro voluntario, capitalización individual de cotizaciones voluntarias, ahorro previsional voluntario colectivo y de capitalización individual de depósitos convenidos pueden ser sujetos de la medida cautelar de retención para hacer el pago efectivo de lo adeudado por presión de alimentos, sin existir restricción para su uso, ya que puede ser decretado el pago por la totalidad de la deuda. </w:t>
      </w:r>
    </w:p>
    <w:p w14:paraId="7F25678C"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8D"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Las instituciones bancarias y/o financieras deben informar en un plazo de diez (10) días hábiles los saldos, movimientos y toda información que se considere necesaria. Y, posteriormente, el Tribunal de Familia cuenta con un plazo de tres (3) días hábiles para dictar la resolución de orden de pago. Por último, las instituciones bancarias y/o financieras tienen un plazo de quince (15) días para realizar el pago al acreedor alimentario.</w:t>
      </w:r>
    </w:p>
    <w:p w14:paraId="7F25678E"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8F"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En segundo lugar, el procedimiento extraordinario de pago aplica en aquellos casos dónde la persona deudora registra más de tres pensiones adeudadas continuas o discontinuas y no tiene fondos en cuentas bancarias, instrumentos financieros o de inversión, ahorros de tipo voluntario o, aún contando con ellos, no son suficientes para pagar su deuda. Los Tribunales de Familia piden información a las AFP sobre el saldo de la Cuenta de Capitalización Individual de Cotizaciones Obligatorias (CCICO) y de la Cuenta de Capitalización Individual de Afiliado Voluntario (CCIAV). En este caso se contemplan restricciones para el uso de los recursos de las cuentas previsionales: (i) si el deudor alimentario se encuentra a quince (15) años o menos de cumplir la edad legal para pensionarse por vejez, el cargo no puede exceder el 50% del saldo, (ii) si el deudor alimentario se encuentra a más de quince (15) y menos de treinta (30) años cumplir la edad legal para pensionarse por vejez, el cargo no puede exceder el 80% del saldo; (iii) si el deudor alimentario se encuentra a más de treinta (30) años de cumplir la edad legal para pensionarse por vejez, el cargo no puede exceder el 90% del saldo y (iv) si el deudor se encuentra recibiendo pensión por vejez o invalidez, no podrá cobrarse la pensión alimentaria con cargo a esas cuentas previsionales. </w:t>
      </w:r>
    </w:p>
    <w:p w14:paraId="7F256790"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91"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Asimismo, el Tribunal de Familia puede ordenar como medida cautelar la retención de los fondos previsionales o prohibir que la persona deudora traspase su saldo, en el caso de la cuenta de capitalización individual de cotizaciones obligatorias y de la cuenta de capitalización individual de afiliado voluntario. Posteriormente deberá emitir la sentencia en (3) tres días hábiles desde la fecha en que se allega la solicitud de investigación o consulta a las cuentas de ahorro previsional. En caso de tratarse de una resolución de pago, las AFP deberán realizar el pago en cinco (5) días hábiles mediante una transferencia de fondos a la cuenta corriente bancaria que indique la resolución de pago emitida por el tribunal.</w:t>
      </w:r>
    </w:p>
    <w:p w14:paraId="7F256792"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93" w14:textId="40278D9F" w:rsidR="001F6316" w:rsidRPr="00D2561F" w:rsidRDefault="00B14FA6" w:rsidP="000A17CD">
      <w:pPr>
        <w:pStyle w:val="Prrafodelista"/>
        <w:numPr>
          <w:ilvl w:val="6"/>
          <w:numId w:val="1"/>
        </w:numPr>
        <w:pBdr>
          <w:top w:val="nil"/>
          <w:left w:val="nil"/>
          <w:bottom w:val="nil"/>
          <w:right w:val="nil"/>
          <w:between w:val="nil"/>
        </w:pBdr>
        <w:spacing w:line="276" w:lineRule="auto"/>
        <w:ind w:left="284" w:firstLine="0"/>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Perú</w:t>
      </w:r>
    </w:p>
    <w:p w14:paraId="7F256795"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De acuerdo a la exposición, en abril de 2024 se aprobó la Ley Nº 32006 , la cual modifica el artículo 564 Código Procesal Civil que regula el levantamiento del secreto bancario y reserva tributaria, para permitir el acceso de oficio a la información en línea sobre la capacidad económica del demandado para acelerar los procesos. A través de una resolución que ordena el acceso de oficio a la información sobre la situación laboral y capacidad económica del demandado, el juez es el encargado de acceder en línea y en tiempo real a la información del demandado:</w:t>
      </w:r>
    </w:p>
    <w:p w14:paraId="7F256796"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97" w14:textId="77777777" w:rsidR="001F6316" w:rsidRPr="00D2561F" w:rsidRDefault="00B14FA6" w:rsidP="00DE7A48">
      <w:pPr>
        <w:numPr>
          <w:ilvl w:val="0"/>
          <w:numId w:val="2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Sobre el centro de trabajo, su remuneración, gratificaciones, vacaciones y cualquier suma libre de disponibilidad que provenga de su relación laboral a los sistemas de información automatizados por el Ministerio de Trabajo y Promoción del Empleo.</w:t>
      </w:r>
    </w:p>
    <w:p w14:paraId="7F256798" w14:textId="77777777" w:rsidR="001F6316" w:rsidRPr="00D2561F" w:rsidRDefault="00B14FA6" w:rsidP="00DE7A48">
      <w:pPr>
        <w:numPr>
          <w:ilvl w:val="0"/>
          <w:numId w:val="2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Sobre rentas que percibe por su actividad comercial o profesión independiente o declaraciones juradas de renta anual realizadas por dichas actividades, podrá acceder a los sistemas de información automatizados por la Superintendencia Nacional de Aduanas y de Administración Tributaria.</w:t>
      </w:r>
    </w:p>
    <w:p w14:paraId="7F256799" w14:textId="77777777" w:rsidR="001F6316" w:rsidRPr="00D2561F" w:rsidRDefault="00B14FA6" w:rsidP="00DE7A48">
      <w:pPr>
        <w:numPr>
          <w:ilvl w:val="0"/>
          <w:numId w:val="2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Bancaria y financiera del demandado al sistema automatizado de la Superintendencia de Banca, Seguros y Administradoras Privadas de Fondos de Pensiones.</w:t>
      </w:r>
    </w:p>
    <w:p w14:paraId="7F25679A" w14:textId="77777777" w:rsidR="001F6316" w:rsidRPr="00D2561F" w:rsidRDefault="00B14FA6" w:rsidP="00DE7A48">
      <w:pPr>
        <w:numPr>
          <w:ilvl w:val="0"/>
          <w:numId w:val="2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Sobre los bienes muebles e inmuebles activos e inactivos del demandado a través de la Superintendencia Nacional de los Registros Públicos.</w:t>
      </w:r>
    </w:p>
    <w:p w14:paraId="7F25679B" w14:textId="77777777" w:rsidR="001F6316" w:rsidRPr="00D2561F" w:rsidRDefault="00B14FA6" w:rsidP="00DE7A48">
      <w:pPr>
        <w:numPr>
          <w:ilvl w:val="0"/>
          <w:numId w:val="2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Sobre el número total de hijos menores de edad a través del Registro Nacional de Identificación y Estado Civil.</w:t>
      </w:r>
    </w:p>
    <w:p w14:paraId="7F25679C" w14:textId="77777777" w:rsidR="001F6316" w:rsidRPr="00D2561F" w:rsidRDefault="001F6316"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9D"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 norma entrará en vigor el 6 de junio, terminó en el cuál la Superintendencia de Banca y Seguros, la Superintendencia Nacional de Aduanas y de Administración Tributaria, así como otras entidades públicas como el Ministerio de Trabajo, Registro Nacional de Identificación y Estado Civil, Superintendencia Nacional de los Registros Públicos, establecerán la plataforma que permita a los jueces el acceso a esta información sobre la capacidad económica del demandado.</w:t>
      </w:r>
    </w:p>
    <w:p w14:paraId="2150F329" w14:textId="77777777" w:rsidR="000A17CD" w:rsidRPr="00D2561F" w:rsidRDefault="000A17CD" w:rsidP="00DE7A48">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A0"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VIII. PLIEGO DE MODIFICACIONES</w:t>
      </w:r>
    </w:p>
    <w:p w14:paraId="7F2567A1"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7A2" w14:textId="6B0F1C2D"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Se propone el presente pliego de modificaciones al articulado del </w:t>
      </w:r>
      <w:r w:rsidR="008F6226" w:rsidRPr="00D2561F">
        <w:rPr>
          <w:rFonts w:ascii="Century Gothic" w:hAnsi="Century Gothic"/>
          <w:color w:val="000000" w:themeColor="text1"/>
          <w:sz w:val="20"/>
          <w:szCs w:val="20"/>
        </w:rPr>
        <w:t xml:space="preserve">Proyecto de Ley Estatutaria No. 497 de 2025 Cámara - No. 069 de 2025 Senado </w:t>
      </w:r>
      <w:r w:rsidR="008F6226" w:rsidRPr="00D2561F">
        <w:rPr>
          <w:rFonts w:ascii="Century Gothic" w:hAnsi="Century Gothic"/>
          <w:i/>
          <w:iCs/>
          <w:color w:val="000000" w:themeColor="text1"/>
          <w:sz w:val="20"/>
          <w:szCs w:val="20"/>
        </w:rPr>
        <w:t>“Por medio de la cual se crea el proceso único especial de Amparo Alimentario y se dictan otras disposiciones”</w:t>
      </w:r>
      <w:r w:rsidRPr="00D2561F">
        <w:rPr>
          <w:rFonts w:ascii="Century Gothic" w:hAnsi="Century Gothic"/>
          <w:color w:val="000000" w:themeColor="text1"/>
          <w:sz w:val="20"/>
          <w:szCs w:val="20"/>
        </w:rPr>
        <w:t xml:space="preserve">, con el propósito de ajustar, precisar y fortalecer su contenido normativo, garantizando coherencia jurídica, claridad en su aplicación y mayor eficacia en la protección de los derechos de los titulares del derecho de alimentos. Las modificaciones propuestas se realizan sin alterar la estructura esencial del proyecto aprobado en primer debate, orientadas a optimizar su implementación y alcance, así: </w:t>
      </w:r>
    </w:p>
    <w:p w14:paraId="7F2567A3" w14:textId="77777777" w:rsidR="001F6316" w:rsidRPr="00D2561F" w:rsidRDefault="001F6316" w:rsidP="00DE7A48">
      <w:pPr>
        <w:spacing w:line="276" w:lineRule="auto"/>
        <w:jc w:val="both"/>
        <w:rPr>
          <w:rFonts w:ascii="Century Gothic" w:hAnsi="Century Gothic"/>
          <w:color w:val="000000" w:themeColor="text1"/>
          <w:sz w:val="20"/>
          <w:szCs w:val="20"/>
        </w:rPr>
      </w:pPr>
    </w:p>
    <w:tbl>
      <w:tblPr>
        <w:tblStyle w:val="a1"/>
        <w:tblW w:w="10348" w:type="dxa"/>
        <w:tblInd w:w="-577" w:type="dxa"/>
        <w:tblLayout w:type="fixed"/>
        <w:tblLook w:val="0400" w:firstRow="0" w:lastRow="0" w:firstColumn="0" w:lastColumn="0" w:noHBand="0" w:noVBand="1"/>
      </w:tblPr>
      <w:tblGrid>
        <w:gridCol w:w="4111"/>
        <w:gridCol w:w="3969"/>
        <w:gridCol w:w="2268"/>
      </w:tblGrid>
      <w:tr w:rsidR="001F6316" w:rsidRPr="00D2561F" w14:paraId="7F2567A7" w14:textId="77777777" w:rsidTr="000B5DE1">
        <w:trPr>
          <w:trHeight w:val="476"/>
        </w:trPr>
        <w:tc>
          <w:tcPr>
            <w:tcW w:w="4111" w:type="dxa"/>
            <w:tcBorders>
              <w:top w:val="single" w:sz="8" w:space="0" w:color="000000"/>
              <w:left w:val="single" w:sz="8" w:space="0" w:color="000000"/>
              <w:bottom w:val="single" w:sz="8" w:space="0" w:color="000000"/>
              <w:right w:val="single" w:sz="8" w:space="0" w:color="000000"/>
            </w:tcBorders>
            <w:shd w:val="clear" w:color="auto" w:fill="0B5394"/>
            <w:tcMar>
              <w:top w:w="100" w:type="dxa"/>
              <w:left w:w="100" w:type="dxa"/>
              <w:bottom w:w="100" w:type="dxa"/>
              <w:right w:w="100" w:type="dxa"/>
            </w:tcMar>
          </w:tcPr>
          <w:p w14:paraId="7F2567A4" w14:textId="77777777" w:rsidR="001F6316" w:rsidRPr="00D2561F" w:rsidRDefault="00B14FA6" w:rsidP="00DE7A48">
            <w:pPr>
              <w:spacing w:line="276" w:lineRule="auto"/>
              <w:jc w:val="center"/>
              <w:rPr>
                <w:rFonts w:ascii="Century Gothic" w:hAnsi="Century Gothic"/>
                <w:color w:val="000000" w:themeColor="text1"/>
                <w:sz w:val="20"/>
                <w:szCs w:val="20"/>
              </w:rPr>
            </w:pPr>
            <w:r w:rsidRPr="00D2561F">
              <w:rPr>
                <w:rFonts w:ascii="Century Gothic" w:hAnsi="Century Gothic"/>
                <w:b/>
                <w:bCs/>
                <w:color w:val="000000" w:themeColor="text1"/>
                <w:sz w:val="20"/>
                <w:szCs w:val="20"/>
              </w:rPr>
              <w:t>TEXTO APROBADO EN LA COMISIÓN PRIMERA DE CÁMARA</w:t>
            </w:r>
          </w:p>
        </w:tc>
        <w:tc>
          <w:tcPr>
            <w:tcW w:w="3969" w:type="dxa"/>
            <w:tcBorders>
              <w:top w:val="single" w:sz="8" w:space="0" w:color="000000"/>
              <w:left w:val="single" w:sz="8" w:space="0" w:color="000000"/>
              <w:bottom w:val="single" w:sz="8" w:space="0" w:color="000000"/>
              <w:right w:val="single" w:sz="8" w:space="0" w:color="000000"/>
            </w:tcBorders>
            <w:shd w:val="clear" w:color="auto" w:fill="0B5394"/>
            <w:tcMar>
              <w:top w:w="100" w:type="dxa"/>
              <w:left w:w="100" w:type="dxa"/>
              <w:bottom w:w="100" w:type="dxa"/>
              <w:right w:w="100" w:type="dxa"/>
            </w:tcMar>
          </w:tcPr>
          <w:p w14:paraId="7F2567A5" w14:textId="77777777" w:rsidR="001F6316" w:rsidRPr="00D2561F" w:rsidRDefault="00B14FA6" w:rsidP="00DE7A48">
            <w:pPr>
              <w:spacing w:line="276" w:lineRule="auto"/>
              <w:jc w:val="center"/>
              <w:rPr>
                <w:rFonts w:ascii="Century Gothic" w:hAnsi="Century Gothic"/>
                <w:color w:val="000000" w:themeColor="text1"/>
                <w:sz w:val="20"/>
                <w:szCs w:val="20"/>
              </w:rPr>
            </w:pPr>
            <w:r w:rsidRPr="00D2561F">
              <w:rPr>
                <w:rFonts w:ascii="Century Gothic" w:hAnsi="Century Gothic"/>
                <w:b/>
                <w:bCs/>
                <w:color w:val="000000" w:themeColor="text1"/>
                <w:sz w:val="20"/>
                <w:szCs w:val="20"/>
              </w:rPr>
              <w:t>TEXTO PROPUESTO PARA SEGUNDO DEBATE CÁMARA</w:t>
            </w:r>
          </w:p>
        </w:tc>
        <w:tc>
          <w:tcPr>
            <w:tcW w:w="2268" w:type="dxa"/>
            <w:tcBorders>
              <w:top w:val="single" w:sz="8" w:space="0" w:color="000000"/>
              <w:left w:val="single" w:sz="8" w:space="0" w:color="000000"/>
              <w:bottom w:val="single" w:sz="8" w:space="0" w:color="000000"/>
              <w:right w:val="single" w:sz="8" w:space="0" w:color="000000"/>
            </w:tcBorders>
            <w:shd w:val="clear" w:color="auto" w:fill="0B5394"/>
            <w:tcMar>
              <w:top w:w="100" w:type="dxa"/>
              <w:left w:w="100" w:type="dxa"/>
              <w:bottom w:w="100" w:type="dxa"/>
              <w:right w:w="100" w:type="dxa"/>
            </w:tcMar>
          </w:tcPr>
          <w:p w14:paraId="7F2567A6" w14:textId="77777777" w:rsidR="001F6316" w:rsidRPr="00D2561F" w:rsidRDefault="00B14FA6" w:rsidP="00DE7A48">
            <w:pPr>
              <w:spacing w:line="276" w:lineRule="auto"/>
              <w:jc w:val="center"/>
              <w:rPr>
                <w:rFonts w:ascii="Century Gothic" w:hAnsi="Century Gothic"/>
                <w:color w:val="000000" w:themeColor="text1"/>
                <w:sz w:val="20"/>
                <w:szCs w:val="20"/>
              </w:rPr>
            </w:pPr>
            <w:r w:rsidRPr="00D2561F">
              <w:rPr>
                <w:rFonts w:ascii="Century Gothic" w:hAnsi="Century Gothic"/>
                <w:b/>
                <w:bCs/>
                <w:color w:val="000000" w:themeColor="text1"/>
                <w:sz w:val="20"/>
                <w:szCs w:val="20"/>
              </w:rPr>
              <w:t>COMENTARIOS</w:t>
            </w:r>
          </w:p>
        </w:tc>
      </w:tr>
      <w:tr w:rsidR="001F6316" w:rsidRPr="00D2561F" w14:paraId="7F2567B1"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7A8" w14:textId="77777777" w:rsidR="001F6316" w:rsidRPr="00D2561F" w:rsidRDefault="001F6316" w:rsidP="00DE7A48">
            <w:pPr>
              <w:spacing w:line="276" w:lineRule="auto"/>
              <w:rPr>
                <w:rFonts w:ascii="Century Gothic" w:hAnsi="Century Gothic"/>
                <w:b/>
                <w:bCs/>
                <w:color w:val="000000" w:themeColor="text1"/>
                <w:sz w:val="20"/>
                <w:szCs w:val="20"/>
              </w:rPr>
            </w:pPr>
          </w:p>
          <w:p w14:paraId="7F2567A9" w14:textId="77777777" w:rsidR="001F6316" w:rsidRPr="00D2561F" w:rsidRDefault="00B14FA6" w:rsidP="00DE7A48">
            <w:pP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PROYECTO DE LEY ESTATUTARIA NO. 497 DE 2025 CÁMARA – 069 DE 2025 SENADO “POR MEDIO DE LA CUAL SE CREA EL PROCESO ÚNICO ESPECIAL DE AMPARO ALIMENTARIO Y SE DICTAN OTRAS DISPOSICIONES”.</w:t>
            </w:r>
          </w:p>
          <w:p w14:paraId="7F2567AA" w14:textId="77777777" w:rsidR="001F6316" w:rsidRPr="00D2561F" w:rsidRDefault="001F6316" w:rsidP="00DE7A48">
            <w:pPr>
              <w:spacing w:line="276" w:lineRule="auto"/>
              <w:jc w:val="center"/>
              <w:rPr>
                <w:rFonts w:ascii="Century Gothic" w:hAnsi="Century Gothic"/>
                <w:color w:val="000000" w:themeColor="text1"/>
                <w:sz w:val="20"/>
                <w:szCs w:val="20"/>
              </w:rPr>
            </w:pP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7AB" w14:textId="77777777" w:rsidR="001F6316" w:rsidRPr="00D2561F" w:rsidRDefault="001F6316" w:rsidP="00DE7A48">
            <w:pPr>
              <w:spacing w:line="276" w:lineRule="auto"/>
              <w:jc w:val="center"/>
              <w:rPr>
                <w:rFonts w:ascii="Century Gothic" w:hAnsi="Century Gothic"/>
                <w:color w:val="000000" w:themeColor="text1"/>
                <w:sz w:val="20"/>
                <w:szCs w:val="20"/>
              </w:rPr>
            </w:pPr>
          </w:p>
          <w:p w14:paraId="7F2567AC" w14:textId="77777777" w:rsidR="001F6316" w:rsidRPr="00D2561F" w:rsidRDefault="00B14FA6" w:rsidP="00DE7A48">
            <w:pPr>
              <w:spacing w:line="276" w:lineRule="auto"/>
              <w:jc w:val="center"/>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PROYECTO DE LEY ESTATUTARIA NO. 497 DE 2025 CÁMARA – 069 DE 2025 SENADO “POR MEDIO DE LA CUAL SE CREA EL PROCESO ÚNICO ESPECIAL DE AMPARO ALIMENTARIO Y SE DICTAN OTRAS DISPOSICIONES”.</w:t>
            </w:r>
          </w:p>
          <w:p w14:paraId="7F2567AD" w14:textId="77777777" w:rsidR="001F6316" w:rsidRPr="00D2561F" w:rsidRDefault="001F6316" w:rsidP="00DE7A48">
            <w:pPr>
              <w:spacing w:line="276" w:lineRule="auto"/>
              <w:ind w:right="-36"/>
              <w:jc w:val="center"/>
              <w:rPr>
                <w:rFonts w:ascii="Century Gothic" w:hAnsi="Century Gothic"/>
                <w:color w:val="000000" w:themeColor="text1"/>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7AE"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7AF"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7B0"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  </w:t>
            </w:r>
          </w:p>
        </w:tc>
      </w:tr>
      <w:tr w:rsidR="001F6316" w:rsidRPr="00D2561F" w14:paraId="7F2567CD"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7B2"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1º. OBJETO DE LA LEY. </w:t>
            </w:r>
            <w:r w:rsidRPr="00D2561F">
              <w:rPr>
                <w:rFonts w:ascii="Century Gothic" w:hAnsi="Century Gothic"/>
                <w:color w:val="000000" w:themeColor="text1"/>
                <w:sz w:val="20"/>
                <w:szCs w:val="20"/>
              </w:rPr>
              <w:t>La presente ley tiene por objeto el amparo inmediato de los derechos fundamentales de los titulares del derecho de alimentos, en caso de incumplimiento grave y reiterado por parte de la persona obligada a dar alimentos o del deudor alimentario, a través de la creación y regulación de un proceso único especial de fijación y/o ejecución de alimentos, denominado amparo alimentario. Además, se ajustan algunas de las normas procesales sobre los procesos relativos a la fijación y ejecución de la cuota alimentaria.</w:t>
            </w:r>
          </w:p>
          <w:p w14:paraId="2121A4FB" w14:textId="77777777" w:rsidR="00DC73E7" w:rsidRPr="00D2561F" w:rsidRDefault="00DC73E7" w:rsidP="00DE7A48">
            <w:pPr>
              <w:spacing w:line="276" w:lineRule="auto"/>
              <w:jc w:val="both"/>
              <w:rPr>
                <w:rFonts w:ascii="Century Gothic" w:hAnsi="Century Gothic"/>
                <w:color w:val="000000" w:themeColor="text1"/>
                <w:sz w:val="20"/>
                <w:szCs w:val="20"/>
              </w:rPr>
            </w:pPr>
          </w:p>
          <w:p w14:paraId="2A8010EC" w14:textId="77777777" w:rsidR="00DC73E7" w:rsidRPr="00D2561F" w:rsidRDefault="00DC73E7" w:rsidP="00DE7A48">
            <w:pPr>
              <w:spacing w:line="276" w:lineRule="auto"/>
              <w:jc w:val="both"/>
              <w:rPr>
                <w:rFonts w:ascii="Century Gothic" w:hAnsi="Century Gothic"/>
                <w:color w:val="000000" w:themeColor="text1"/>
                <w:sz w:val="20"/>
                <w:szCs w:val="20"/>
              </w:rPr>
            </w:pPr>
          </w:p>
          <w:p w14:paraId="79B277AC" w14:textId="77777777" w:rsidR="00DC73E7" w:rsidRPr="00D2561F" w:rsidRDefault="00DC73E7" w:rsidP="00DE7A48">
            <w:pPr>
              <w:spacing w:line="276" w:lineRule="auto"/>
              <w:jc w:val="both"/>
              <w:rPr>
                <w:rFonts w:ascii="Century Gothic" w:hAnsi="Century Gothic"/>
                <w:color w:val="000000" w:themeColor="text1"/>
                <w:sz w:val="20"/>
                <w:szCs w:val="20"/>
              </w:rPr>
            </w:pPr>
          </w:p>
          <w:p w14:paraId="50BE38B7" w14:textId="77777777" w:rsidR="00DC73E7" w:rsidRPr="00D2561F" w:rsidRDefault="00DC73E7" w:rsidP="00DE7A48">
            <w:pPr>
              <w:spacing w:line="276" w:lineRule="auto"/>
              <w:jc w:val="both"/>
              <w:rPr>
                <w:rFonts w:ascii="Century Gothic" w:hAnsi="Century Gothic"/>
                <w:color w:val="000000" w:themeColor="text1"/>
                <w:sz w:val="20"/>
                <w:szCs w:val="20"/>
              </w:rPr>
            </w:pPr>
          </w:p>
          <w:p w14:paraId="13657836" w14:textId="77777777" w:rsidR="00DC73E7" w:rsidRPr="00D2561F" w:rsidRDefault="00DC73E7" w:rsidP="00DE7A48">
            <w:pPr>
              <w:spacing w:line="276" w:lineRule="auto"/>
              <w:jc w:val="both"/>
              <w:rPr>
                <w:rFonts w:ascii="Century Gothic" w:hAnsi="Century Gothic"/>
                <w:color w:val="000000" w:themeColor="text1"/>
                <w:sz w:val="20"/>
                <w:szCs w:val="20"/>
              </w:rPr>
            </w:pPr>
          </w:p>
          <w:p w14:paraId="44079820" w14:textId="77777777" w:rsidR="001F3053" w:rsidRPr="00D2561F" w:rsidRDefault="001F3053" w:rsidP="00DE7A48">
            <w:pPr>
              <w:spacing w:line="276" w:lineRule="auto"/>
              <w:jc w:val="both"/>
              <w:rPr>
                <w:rFonts w:ascii="Century Gothic" w:hAnsi="Century Gothic"/>
                <w:color w:val="000000" w:themeColor="text1"/>
                <w:sz w:val="20"/>
                <w:szCs w:val="20"/>
              </w:rPr>
            </w:pPr>
          </w:p>
          <w:p w14:paraId="7E5EB6F0" w14:textId="77777777" w:rsidR="001F3053" w:rsidRPr="00D2561F" w:rsidRDefault="001F3053" w:rsidP="00DE7A48">
            <w:pPr>
              <w:spacing w:line="276" w:lineRule="auto"/>
              <w:jc w:val="both"/>
              <w:rPr>
                <w:rFonts w:ascii="Century Gothic" w:hAnsi="Century Gothic"/>
                <w:color w:val="000000" w:themeColor="text1"/>
                <w:sz w:val="20"/>
                <w:szCs w:val="20"/>
              </w:rPr>
            </w:pPr>
          </w:p>
          <w:p w14:paraId="3F96B49D" w14:textId="77777777" w:rsidR="001F3053" w:rsidRPr="00D2561F" w:rsidRDefault="001F3053" w:rsidP="00DE7A48">
            <w:pPr>
              <w:spacing w:line="276" w:lineRule="auto"/>
              <w:jc w:val="both"/>
              <w:rPr>
                <w:rFonts w:ascii="Century Gothic" w:hAnsi="Century Gothic"/>
                <w:color w:val="000000" w:themeColor="text1"/>
                <w:sz w:val="20"/>
                <w:szCs w:val="20"/>
              </w:rPr>
            </w:pPr>
          </w:p>
          <w:p w14:paraId="635DC17E" w14:textId="77777777" w:rsidR="00CB1811" w:rsidRPr="00D2561F" w:rsidRDefault="00CB1811" w:rsidP="00DE7A48">
            <w:pPr>
              <w:spacing w:line="276" w:lineRule="auto"/>
              <w:jc w:val="both"/>
              <w:rPr>
                <w:rFonts w:ascii="Century Gothic" w:hAnsi="Century Gothic"/>
                <w:color w:val="000000" w:themeColor="text1"/>
                <w:sz w:val="20"/>
                <w:szCs w:val="20"/>
              </w:rPr>
            </w:pPr>
          </w:p>
          <w:p w14:paraId="688F194C" w14:textId="77777777" w:rsidR="00CB1811" w:rsidRPr="00D2561F" w:rsidRDefault="00CB1811" w:rsidP="00DE7A48">
            <w:pPr>
              <w:spacing w:line="276" w:lineRule="auto"/>
              <w:jc w:val="both"/>
              <w:rPr>
                <w:rFonts w:ascii="Century Gothic" w:hAnsi="Century Gothic"/>
                <w:color w:val="000000" w:themeColor="text1"/>
                <w:sz w:val="20"/>
                <w:szCs w:val="20"/>
              </w:rPr>
            </w:pPr>
          </w:p>
          <w:p w14:paraId="59837B0E" w14:textId="77777777" w:rsidR="001F3053" w:rsidRPr="00D2561F" w:rsidRDefault="001F3053" w:rsidP="00DE7A48">
            <w:pPr>
              <w:spacing w:line="276" w:lineRule="auto"/>
              <w:jc w:val="both"/>
              <w:rPr>
                <w:rFonts w:ascii="Century Gothic" w:hAnsi="Century Gothic"/>
                <w:color w:val="000000" w:themeColor="text1"/>
                <w:sz w:val="20"/>
                <w:szCs w:val="20"/>
              </w:rPr>
            </w:pPr>
          </w:p>
          <w:p w14:paraId="48695DB0" w14:textId="77777777" w:rsidR="001F3053" w:rsidRPr="00D2561F" w:rsidRDefault="001F3053" w:rsidP="00DE7A48">
            <w:pPr>
              <w:spacing w:line="276" w:lineRule="auto"/>
              <w:jc w:val="both"/>
              <w:rPr>
                <w:rFonts w:ascii="Century Gothic" w:hAnsi="Century Gothic"/>
                <w:color w:val="000000" w:themeColor="text1"/>
                <w:sz w:val="20"/>
                <w:szCs w:val="20"/>
              </w:rPr>
            </w:pPr>
          </w:p>
          <w:p w14:paraId="7F2567B3" w14:textId="57D6A2B9"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w:t>
            </w:r>
            <w:r w:rsidRPr="00D2561F">
              <w:rPr>
                <w:rFonts w:ascii="Century Gothic" w:hAnsi="Century Gothic"/>
                <w:color w:val="000000" w:themeColor="text1"/>
                <w:sz w:val="20"/>
                <w:szCs w:val="20"/>
              </w:rPr>
              <w:t>Para todos los efectos, este proceso único especial no derogará los procesos ordinarios, declarativos ni ejecutivos, así como los demás que versen sobre obligaciones alimentarias.</w:t>
            </w:r>
          </w:p>
          <w:p w14:paraId="7F2567B4" w14:textId="77777777" w:rsidR="001F6316" w:rsidRPr="00D2561F" w:rsidRDefault="001F6316" w:rsidP="00DE7A48">
            <w:pPr>
              <w:spacing w:line="276" w:lineRule="auto"/>
              <w:jc w:val="center"/>
              <w:rPr>
                <w:rFonts w:ascii="Century Gothic" w:hAnsi="Century Gothic"/>
                <w:b/>
                <w:bCs/>
                <w:color w:val="000000" w:themeColor="text1"/>
                <w:sz w:val="20"/>
                <w:szCs w:val="20"/>
              </w:rPr>
            </w:pP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2D481" w14:textId="5834A04F" w:rsidR="00DD29A8" w:rsidRPr="00D2561F" w:rsidRDefault="00B14FA6" w:rsidP="00DE7A48">
            <w:pPr>
              <w:pBdr>
                <w:top w:val="nil"/>
                <w:left w:val="nil"/>
                <w:bottom w:val="nil"/>
                <w:right w:val="nil"/>
                <w:between w:val="nil"/>
              </w:pBdr>
              <w:spacing w:line="276" w:lineRule="auto"/>
              <w:jc w:val="both"/>
              <w:rPr>
                <w:rFonts w:ascii="Century Gothic" w:hAnsi="Century Gothic"/>
                <w:b/>
                <w:bCs/>
                <w:color w:val="000000" w:themeColor="text1"/>
                <w:sz w:val="20"/>
                <w:szCs w:val="20"/>
                <w:u w:val="single"/>
              </w:rPr>
            </w:pPr>
            <w:r w:rsidRPr="00D2561F">
              <w:rPr>
                <w:rFonts w:ascii="Century Gothic" w:hAnsi="Century Gothic"/>
                <w:b/>
                <w:bCs/>
                <w:color w:val="000000" w:themeColor="text1"/>
                <w:sz w:val="20"/>
                <w:szCs w:val="20"/>
              </w:rPr>
              <w:t xml:space="preserve">ARTÍCULO 1º. OBJETO DE LA LEY. </w:t>
            </w:r>
            <w:r w:rsidRPr="00D2561F">
              <w:rPr>
                <w:rFonts w:ascii="Century Gothic" w:hAnsi="Century Gothic"/>
                <w:b/>
                <w:bCs/>
                <w:color w:val="000000" w:themeColor="text1"/>
                <w:sz w:val="20"/>
                <w:szCs w:val="20"/>
                <w:u w:val="single"/>
              </w:rPr>
              <w:t xml:space="preserve">La presente ley tiene por objeto crear y regular el </w:t>
            </w:r>
            <w:r w:rsidR="00C51F60" w:rsidRPr="00D2561F">
              <w:rPr>
                <w:rFonts w:ascii="Century Gothic" w:hAnsi="Century Gothic"/>
                <w:b/>
                <w:bCs/>
                <w:color w:val="000000" w:themeColor="text1"/>
                <w:sz w:val="20"/>
                <w:szCs w:val="20"/>
                <w:u w:val="single"/>
              </w:rPr>
              <w:t>P</w:t>
            </w:r>
            <w:r w:rsidRPr="00D2561F">
              <w:rPr>
                <w:rFonts w:ascii="Century Gothic" w:hAnsi="Century Gothic"/>
                <w:b/>
                <w:bCs/>
                <w:color w:val="000000" w:themeColor="text1"/>
                <w:sz w:val="20"/>
                <w:szCs w:val="20"/>
                <w:u w:val="single"/>
              </w:rPr>
              <w:t xml:space="preserve">roceso </w:t>
            </w:r>
            <w:r w:rsidR="00D8582F" w:rsidRPr="00D2561F">
              <w:rPr>
                <w:rFonts w:ascii="Century Gothic" w:hAnsi="Century Gothic"/>
                <w:b/>
                <w:bCs/>
                <w:color w:val="000000" w:themeColor="text1"/>
                <w:sz w:val="20"/>
                <w:szCs w:val="20"/>
                <w:u w:val="single"/>
              </w:rPr>
              <w:t>Ú</w:t>
            </w:r>
            <w:r w:rsidRPr="00D2561F">
              <w:rPr>
                <w:rFonts w:ascii="Century Gothic" w:hAnsi="Century Gothic"/>
                <w:b/>
                <w:bCs/>
                <w:color w:val="000000" w:themeColor="text1"/>
                <w:sz w:val="20"/>
                <w:szCs w:val="20"/>
                <w:u w:val="single"/>
              </w:rPr>
              <w:t xml:space="preserve">nico </w:t>
            </w:r>
            <w:r w:rsidR="00D8582F" w:rsidRPr="00D2561F">
              <w:rPr>
                <w:rFonts w:ascii="Century Gothic" w:hAnsi="Century Gothic"/>
                <w:b/>
                <w:bCs/>
                <w:color w:val="000000" w:themeColor="text1"/>
                <w:sz w:val="20"/>
                <w:szCs w:val="20"/>
                <w:u w:val="single"/>
              </w:rPr>
              <w:t>E</w:t>
            </w:r>
            <w:r w:rsidRPr="00D2561F">
              <w:rPr>
                <w:rFonts w:ascii="Century Gothic" w:hAnsi="Century Gothic"/>
                <w:b/>
                <w:bCs/>
                <w:color w:val="000000" w:themeColor="text1"/>
                <w:sz w:val="20"/>
                <w:szCs w:val="20"/>
                <w:u w:val="single"/>
              </w:rPr>
              <w:t xml:space="preserve">special de </w:t>
            </w:r>
            <w:r w:rsidR="00D8582F" w:rsidRPr="00D2561F">
              <w:rPr>
                <w:rFonts w:ascii="Century Gothic" w:hAnsi="Century Gothic"/>
                <w:b/>
                <w:bCs/>
                <w:color w:val="000000" w:themeColor="text1"/>
                <w:sz w:val="20"/>
                <w:szCs w:val="20"/>
                <w:u w:val="single"/>
              </w:rPr>
              <w:t>A</w:t>
            </w:r>
            <w:r w:rsidRPr="00D2561F">
              <w:rPr>
                <w:rFonts w:ascii="Century Gothic" w:hAnsi="Century Gothic"/>
                <w:b/>
                <w:bCs/>
                <w:color w:val="000000" w:themeColor="text1"/>
                <w:sz w:val="20"/>
                <w:szCs w:val="20"/>
                <w:u w:val="single"/>
              </w:rPr>
              <w:t xml:space="preserve">mparo </w:t>
            </w:r>
            <w:r w:rsidR="00D8582F" w:rsidRPr="00D2561F">
              <w:rPr>
                <w:rFonts w:ascii="Century Gothic" w:hAnsi="Century Gothic"/>
                <w:b/>
                <w:bCs/>
                <w:color w:val="000000" w:themeColor="text1"/>
                <w:sz w:val="20"/>
                <w:szCs w:val="20"/>
                <w:u w:val="single"/>
              </w:rPr>
              <w:t>A</w:t>
            </w:r>
            <w:r w:rsidR="00555E8C" w:rsidRPr="00D2561F">
              <w:rPr>
                <w:rFonts w:ascii="Century Gothic" w:hAnsi="Century Gothic"/>
                <w:b/>
                <w:bCs/>
                <w:color w:val="000000" w:themeColor="text1"/>
                <w:sz w:val="20"/>
                <w:szCs w:val="20"/>
                <w:u w:val="single"/>
              </w:rPr>
              <w:t>limentario, que</w:t>
            </w:r>
            <w:r w:rsidR="007F1FA5" w:rsidRPr="00D2561F">
              <w:rPr>
                <w:rFonts w:ascii="Century Gothic" w:hAnsi="Century Gothic"/>
                <w:b/>
                <w:bCs/>
                <w:color w:val="000000" w:themeColor="text1"/>
                <w:sz w:val="20"/>
                <w:szCs w:val="20"/>
                <w:u w:val="single"/>
              </w:rPr>
              <w:t xml:space="preserve"> puede</w:t>
            </w:r>
            <w:r w:rsidRPr="00D2561F">
              <w:rPr>
                <w:rFonts w:ascii="Century Gothic" w:hAnsi="Century Gothic"/>
                <w:b/>
                <w:bCs/>
                <w:color w:val="000000" w:themeColor="text1"/>
                <w:sz w:val="20"/>
                <w:szCs w:val="20"/>
                <w:u w:val="single"/>
              </w:rPr>
              <w:t xml:space="preserve"> comprende</w:t>
            </w:r>
            <w:r w:rsidR="007F1FA5" w:rsidRPr="00D2561F">
              <w:rPr>
                <w:rFonts w:ascii="Century Gothic" w:hAnsi="Century Gothic"/>
                <w:b/>
                <w:bCs/>
                <w:color w:val="000000" w:themeColor="text1"/>
                <w:sz w:val="20"/>
                <w:szCs w:val="20"/>
                <w:u w:val="single"/>
              </w:rPr>
              <w:t>r</w:t>
            </w:r>
            <w:r w:rsidRPr="00D2561F">
              <w:rPr>
                <w:rFonts w:ascii="Century Gothic" w:hAnsi="Century Gothic"/>
                <w:b/>
                <w:bCs/>
                <w:color w:val="000000" w:themeColor="text1"/>
                <w:sz w:val="20"/>
                <w:szCs w:val="20"/>
                <w:u w:val="single"/>
              </w:rPr>
              <w:t xml:space="preserve"> una fase declarativa destinada a la fijación de la cuota alimentaria cuando no exista título que preste mérito ejecutivo, y/o una fase ejecutiva </w:t>
            </w:r>
            <w:r w:rsidR="00721065" w:rsidRPr="00D2561F">
              <w:rPr>
                <w:rFonts w:ascii="Century Gothic" w:hAnsi="Century Gothic"/>
                <w:b/>
                <w:bCs/>
                <w:color w:val="000000" w:themeColor="text1"/>
                <w:sz w:val="20"/>
                <w:szCs w:val="20"/>
                <w:u w:val="single"/>
              </w:rPr>
              <w:t>orientada a</w:t>
            </w:r>
            <w:r w:rsidR="008A05AF" w:rsidRPr="00D2561F">
              <w:rPr>
                <w:rFonts w:ascii="Century Gothic" w:hAnsi="Century Gothic"/>
                <w:b/>
                <w:bCs/>
                <w:color w:val="000000" w:themeColor="text1"/>
                <w:sz w:val="20"/>
                <w:szCs w:val="20"/>
                <w:u w:val="single"/>
              </w:rPr>
              <w:t>l cumplimiento y</w:t>
            </w:r>
            <w:r w:rsidR="00721065" w:rsidRPr="00D2561F">
              <w:rPr>
                <w:rFonts w:ascii="Century Gothic" w:hAnsi="Century Gothic"/>
                <w:b/>
                <w:bCs/>
                <w:color w:val="000000" w:themeColor="text1"/>
                <w:sz w:val="20"/>
                <w:szCs w:val="20"/>
                <w:u w:val="single"/>
              </w:rPr>
              <w:t xml:space="preserve"> la ejecución de las obligaciones alimentarias exigibles cuando exista título que preste mérito ejecutivo.</w:t>
            </w:r>
          </w:p>
          <w:p w14:paraId="2EF43A62" w14:textId="77777777" w:rsidR="00DD29A8" w:rsidRPr="00D2561F" w:rsidRDefault="00DD29A8" w:rsidP="00DE7A48">
            <w:pPr>
              <w:pBdr>
                <w:top w:val="nil"/>
                <w:left w:val="nil"/>
                <w:bottom w:val="nil"/>
                <w:right w:val="nil"/>
                <w:between w:val="nil"/>
              </w:pBdr>
              <w:spacing w:line="276" w:lineRule="auto"/>
              <w:jc w:val="both"/>
              <w:rPr>
                <w:rFonts w:ascii="Century Gothic" w:hAnsi="Century Gothic"/>
                <w:b/>
                <w:bCs/>
                <w:color w:val="000000" w:themeColor="text1"/>
                <w:sz w:val="20"/>
                <w:szCs w:val="20"/>
                <w:u w:val="single"/>
              </w:rPr>
            </w:pPr>
          </w:p>
          <w:p w14:paraId="6BE7D346" w14:textId="77777777" w:rsidR="00DD29A8" w:rsidRPr="00D2561F" w:rsidRDefault="00DD29A8" w:rsidP="00DE7A48">
            <w:pPr>
              <w:pBdr>
                <w:top w:val="nil"/>
                <w:left w:val="nil"/>
                <w:bottom w:val="nil"/>
                <w:right w:val="nil"/>
                <w:between w:val="nil"/>
              </w:pBdr>
              <w:spacing w:line="276" w:lineRule="auto"/>
              <w:jc w:val="both"/>
              <w:rPr>
                <w:rFonts w:ascii="Century Gothic" w:hAnsi="Century Gothic"/>
                <w:b/>
                <w:bCs/>
                <w:color w:val="000000" w:themeColor="text1"/>
                <w:sz w:val="20"/>
                <w:szCs w:val="20"/>
                <w:u w:val="single"/>
              </w:rPr>
            </w:pPr>
            <w:r w:rsidRPr="00D2561F">
              <w:rPr>
                <w:rFonts w:ascii="Century Gothic" w:hAnsi="Century Gothic"/>
                <w:b/>
                <w:bCs/>
                <w:color w:val="000000" w:themeColor="text1"/>
                <w:sz w:val="20"/>
                <w:szCs w:val="20"/>
                <w:u w:val="single"/>
              </w:rPr>
              <w:t>El Proceso Único Especial de Amparo Alimentario procederá en los eventos de incumplimiento grave o reiterado de la obligación alimentaria previstos en esta ley, con el fin de asegurar la protección inmediata y efectiva de los derechos fundamentales de los titulares del derecho de alimentos.</w:t>
            </w:r>
          </w:p>
          <w:p w14:paraId="3A3E2116" w14:textId="77777777" w:rsidR="00DD29A8" w:rsidRPr="00D2561F" w:rsidRDefault="00DD29A8" w:rsidP="00DE7A48">
            <w:pPr>
              <w:pBdr>
                <w:top w:val="nil"/>
                <w:left w:val="nil"/>
                <w:bottom w:val="nil"/>
                <w:right w:val="nil"/>
                <w:between w:val="nil"/>
              </w:pBdr>
              <w:spacing w:line="276" w:lineRule="auto"/>
              <w:jc w:val="both"/>
              <w:rPr>
                <w:rFonts w:ascii="Century Gothic" w:hAnsi="Century Gothic"/>
                <w:b/>
                <w:bCs/>
                <w:color w:val="000000" w:themeColor="text1"/>
                <w:sz w:val="20"/>
                <w:szCs w:val="20"/>
                <w:u w:val="single"/>
              </w:rPr>
            </w:pPr>
          </w:p>
          <w:p w14:paraId="7C6E9C33" w14:textId="00BDFF1B" w:rsidR="00C331AC" w:rsidRPr="00D2561F" w:rsidRDefault="00C331AC" w:rsidP="00C331AC">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Asimismo, la presente ley establece disposiciones especiales y ajustes a las normas procesales aplicables a la fijación, cumplimiento y ejecución de las obligaciones alimentarias.</w:t>
            </w:r>
          </w:p>
          <w:p w14:paraId="43CBE932" w14:textId="77777777" w:rsidR="00C331AC" w:rsidRPr="00D2561F" w:rsidRDefault="00C331AC" w:rsidP="00C331AC">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7B6" w14:textId="202C0DFF" w:rsidR="001F6316" w:rsidRPr="00D2561F" w:rsidRDefault="00C331AC" w:rsidP="00DE7A48">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w:t>
            </w:r>
            <w:r w:rsidRPr="00D2561F">
              <w:rPr>
                <w:rFonts w:ascii="Century Gothic" w:hAnsi="Century Gothic"/>
                <w:color w:val="000000" w:themeColor="text1"/>
                <w:sz w:val="20"/>
                <w:szCs w:val="20"/>
              </w:rPr>
              <w:t xml:space="preserve"> La creación del Proceso Único Especial de Amparo Alimentario no deroga ni sustituye los procesos declarativos, ejecutivos o cualquier otro mecanismo judicial previsto en el ordenamiento jurídico para la reclamación, fijación, modificación o ejecución de obligaciones alimentarias, los cuales continuarán rigiéndose por las disposiciones que les sean aplicables.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7CC" w14:textId="69817C15" w:rsidR="001F6316" w:rsidRPr="00D2561F" w:rsidRDefault="00B14FA6" w:rsidP="001F3053">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De conformidad con las discusiones adelantadas en la Comisión I de la Cámara, especialmente por el representante Pedro José </w:t>
            </w:r>
            <w:r w:rsidR="00087FAF" w:rsidRPr="00D2561F">
              <w:rPr>
                <w:rFonts w:ascii="Century Gothic" w:hAnsi="Century Gothic"/>
                <w:color w:val="000000" w:themeColor="text1"/>
                <w:sz w:val="20"/>
                <w:szCs w:val="20"/>
              </w:rPr>
              <w:t>Suarez, se</w:t>
            </w:r>
            <w:r w:rsidRPr="00D2561F">
              <w:rPr>
                <w:rFonts w:ascii="Century Gothic" w:hAnsi="Century Gothic"/>
                <w:color w:val="000000" w:themeColor="text1"/>
                <w:sz w:val="20"/>
                <w:szCs w:val="20"/>
              </w:rPr>
              <w:t xml:space="preserve"> modificó la redacción del artículo con el fin de precisar la naturaleza jurídica del amparo alimentario como un proceso único especial de naturaleza estatutaria, así como las dos facetas que este puede comprender: declarativa y ejecutiva.</w:t>
            </w:r>
          </w:p>
        </w:tc>
      </w:tr>
      <w:tr w:rsidR="001F6316" w:rsidRPr="00D2561F" w14:paraId="7F256896"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23AA23" w14:textId="77777777" w:rsidR="006B60A3" w:rsidRPr="00D2561F" w:rsidRDefault="006B60A3" w:rsidP="006B60A3">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2º. DEFINICIONES. </w:t>
            </w:r>
            <w:r w:rsidRPr="00D2561F">
              <w:rPr>
                <w:rFonts w:ascii="Century Gothic" w:hAnsi="Century Gothic"/>
                <w:color w:val="000000" w:themeColor="text1"/>
                <w:sz w:val="20"/>
                <w:szCs w:val="20"/>
              </w:rPr>
              <w:t>Para efectos de la presente ley, se establecen las siguientes definiciones:</w:t>
            </w:r>
          </w:p>
          <w:p w14:paraId="3722DA10" w14:textId="77777777" w:rsidR="006B60A3" w:rsidRPr="00D2561F" w:rsidRDefault="006B60A3" w:rsidP="006B60A3">
            <w:pPr>
              <w:pBdr>
                <w:top w:val="nil"/>
                <w:left w:val="nil"/>
                <w:bottom w:val="nil"/>
                <w:right w:val="nil"/>
                <w:between w:val="nil"/>
              </w:pBdr>
              <w:spacing w:line="276" w:lineRule="auto"/>
              <w:jc w:val="both"/>
              <w:rPr>
                <w:rFonts w:ascii="Century Gothic" w:hAnsi="Century Gothic"/>
                <w:b/>
                <w:bCs/>
                <w:color w:val="000000" w:themeColor="text1"/>
                <w:sz w:val="20"/>
                <w:szCs w:val="20"/>
              </w:rPr>
            </w:pPr>
          </w:p>
          <w:p w14:paraId="6242CEDD" w14:textId="77777777" w:rsidR="006B60A3" w:rsidRPr="00D2561F" w:rsidRDefault="006B60A3" w:rsidP="006B60A3">
            <w:pPr>
              <w:numPr>
                <w:ilvl w:val="0"/>
                <w:numId w:val="29"/>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Alimentos: </w:t>
            </w:r>
            <w:r w:rsidRPr="00D2561F">
              <w:rPr>
                <w:rFonts w:ascii="Century Gothic" w:hAnsi="Century Gothic"/>
                <w:color w:val="000000" w:themeColor="text1"/>
                <w:sz w:val="20"/>
                <w:szCs w:val="20"/>
              </w:rPr>
              <w:t>Además de lo dispuesto en el artículo 24 de la Ley 1098 de 2006 Código de Infancia y Adolescencia o la que haga sus veces</w:t>
            </w:r>
            <w:r w:rsidRPr="00D2561F">
              <w:rPr>
                <w:rFonts w:ascii="Century Gothic" w:hAnsi="Century Gothic"/>
                <w:color w:val="000000" w:themeColor="text1"/>
                <w:sz w:val="20"/>
                <w:szCs w:val="20"/>
                <w:u w:val="single"/>
              </w:rPr>
              <w:t>,</w:t>
            </w:r>
            <w:r w:rsidRPr="00D2561F">
              <w:rPr>
                <w:rFonts w:ascii="Century Gothic" w:hAnsi="Century Gothic"/>
                <w:color w:val="000000" w:themeColor="text1"/>
                <w:sz w:val="20"/>
                <w:szCs w:val="20"/>
              </w:rPr>
              <w:t xml:space="preserve"> así como en  los artículos 411 a 427 de la Ley 84 de 1873 Código Civil Colombiano o la norma que haga sus veces, se entiende por alimentos todo lo indispensable para el sustento, habitación, vestido, asistencia médica, recreación, educación y, en general, todo lo necesario para la vida en condiciones dignas y/o el desarrollo integral de los titulares del derecho de alimentos.</w:t>
            </w:r>
          </w:p>
          <w:p w14:paraId="5C7E9AAD" w14:textId="77777777" w:rsidR="006B60A3" w:rsidRPr="00D2561F" w:rsidRDefault="006B60A3" w:rsidP="006B60A3">
            <w:pPr>
              <w:pBdr>
                <w:top w:val="nil"/>
                <w:left w:val="nil"/>
                <w:bottom w:val="nil"/>
                <w:right w:val="nil"/>
                <w:between w:val="nil"/>
              </w:pBdr>
              <w:spacing w:line="276" w:lineRule="auto"/>
              <w:jc w:val="both"/>
              <w:rPr>
                <w:rFonts w:ascii="Century Gothic" w:hAnsi="Century Gothic"/>
                <w:b/>
                <w:bCs/>
                <w:color w:val="000000" w:themeColor="text1"/>
                <w:sz w:val="20"/>
                <w:szCs w:val="20"/>
              </w:rPr>
            </w:pPr>
          </w:p>
          <w:p w14:paraId="3806DF6F" w14:textId="77777777" w:rsidR="006B60A3" w:rsidRPr="00D2561F" w:rsidRDefault="006B60A3" w:rsidP="006B60A3">
            <w:pPr>
              <w:numPr>
                <w:ilvl w:val="0"/>
                <w:numId w:val="30"/>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Obligación alimentaria: </w:t>
            </w:r>
            <w:r w:rsidRPr="00D2561F">
              <w:rPr>
                <w:rFonts w:ascii="Century Gothic" w:hAnsi="Century Gothic"/>
                <w:color w:val="000000" w:themeColor="text1"/>
                <w:sz w:val="20"/>
                <w:szCs w:val="20"/>
              </w:rPr>
              <w:t>Es aquella que se origina en un vínculo natural, legal o jurídico, y se fundamenta en los principios de solidaridad y reciprocidad, con la premisa de que el acreedor de alimentos no está en la capacidad de asegurarse su propia subsistencia y perdura mientras se conserven las condiciones que la originaron.</w:t>
            </w:r>
          </w:p>
          <w:p w14:paraId="4356CEA6" w14:textId="74428401" w:rsidR="003261C8" w:rsidRPr="00D2561F" w:rsidRDefault="006B60A3" w:rsidP="003261C8">
            <w:pPr>
              <w:numPr>
                <w:ilvl w:val="0"/>
                <w:numId w:val="31"/>
              </w:numPr>
              <w:pBdr>
                <w:top w:val="nil"/>
                <w:left w:val="nil"/>
                <w:bottom w:val="nil"/>
                <w:right w:val="nil"/>
                <w:between w:val="nil"/>
              </w:pBdr>
              <w:tabs>
                <w:tab w:val="clear" w:pos="720"/>
                <w:tab w:val="num" w:pos="326"/>
              </w:tabs>
              <w:spacing w:line="276" w:lineRule="auto"/>
              <w:ind w:left="326" w:hanging="142"/>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Titular del derecho de alimentos: </w:t>
            </w:r>
            <w:r w:rsidRPr="00D2561F">
              <w:rPr>
                <w:rFonts w:ascii="Century Gothic" w:hAnsi="Century Gothic"/>
                <w:color w:val="000000" w:themeColor="text1"/>
                <w:sz w:val="20"/>
                <w:szCs w:val="20"/>
              </w:rPr>
              <w:t>Son titulares del derecho de alimentos aquellas personas que en virtud de lo normado en el Artículo 411 del Código Civil o la jurisprudencia aplicable, tengan el derecho como acreedoras de una obligación alimentaria.</w:t>
            </w:r>
            <w:r w:rsidR="003261C8" w:rsidRPr="00D2561F">
              <w:rPr>
                <w:rFonts w:ascii="Century Gothic" w:hAnsi="Century Gothic"/>
                <w:color w:val="000000" w:themeColor="text1"/>
                <w:sz w:val="20"/>
                <w:szCs w:val="20"/>
              </w:rPr>
              <w:br/>
            </w:r>
          </w:p>
          <w:p w14:paraId="69F3CD0F" w14:textId="665E1BA1" w:rsidR="006B60A3" w:rsidRPr="00D2561F" w:rsidRDefault="006B60A3" w:rsidP="003261C8">
            <w:pPr>
              <w:numPr>
                <w:ilvl w:val="0"/>
                <w:numId w:val="31"/>
              </w:numPr>
              <w:pBdr>
                <w:top w:val="nil"/>
                <w:left w:val="nil"/>
                <w:bottom w:val="nil"/>
                <w:right w:val="nil"/>
                <w:between w:val="nil"/>
              </w:pBdr>
              <w:tabs>
                <w:tab w:val="clear" w:pos="720"/>
                <w:tab w:val="num" w:pos="326"/>
              </w:tabs>
              <w:spacing w:line="276" w:lineRule="auto"/>
              <w:ind w:left="326" w:hanging="142"/>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Persona obligada a dar alimentos: </w:t>
            </w:r>
            <w:r w:rsidRPr="00D2561F">
              <w:rPr>
                <w:rFonts w:ascii="Century Gothic" w:hAnsi="Century Gothic"/>
                <w:color w:val="000000" w:themeColor="text1"/>
                <w:sz w:val="20"/>
                <w:szCs w:val="20"/>
              </w:rPr>
              <w:t>Personas que deben cumplir con una obligación alimentaria reconocida en virtud de lo normado en el Artículo 411 del Código Civil o la jurisprudencia aplicable.</w:t>
            </w:r>
          </w:p>
          <w:p w14:paraId="490EA804" w14:textId="25B085A3" w:rsidR="006B60A3" w:rsidRPr="00D2561F" w:rsidRDefault="006B60A3" w:rsidP="006B60A3">
            <w:pPr>
              <w:pBdr>
                <w:top w:val="nil"/>
                <w:left w:val="nil"/>
                <w:bottom w:val="nil"/>
                <w:right w:val="nil"/>
                <w:between w:val="nil"/>
              </w:pBdr>
              <w:tabs>
                <w:tab w:val="num" w:pos="326"/>
              </w:tabs>
              <w:spacing w:line="276" w:lineRule="auto"/>
              <w:ind w:left="326" w:hanging="142"/>
              <w:jc w:val="both"/>
              <w:rPr>
                <w:rFonts w:ascii="Century Gothic" w:hAnsi="Century Gothic"/>
                <w:b/>
                <w:bCs/>
                <w:color w:val="000000" w:themeColor="text1"/>
                <w:sz w:val="20"/>
                <w:szCs w:val="20"/>
              </w:rPr>
            </w:pPr>
          </w:p>
          <w:p w14:paraId="25DB948D" w14:textId="73DE9A58" w:rsidR="003261C8" w:rsidRPr="00D2561F" w:rsidRDefault="006B60A3" w:rsidP="003261C8">
            <w:pPr>
              <w:numPr>
                <w:ilvl w:val="0"/>
                <w:numId w:val="33"/>
              </w:numPr>
              <w:pBdr>
                <w:top w:val="nil"/>
                <w:left w:val="nil"/>
                <w:bottom w:val="nil"/>
                <w:right w:val="nil"/>
                <w:between w:val="nil"/>
              </w:pBdr>
              <w:tabs>
                <w:tab w:val="clear" w:pos="720"/>
                <w:tab w:val="num" w:pos="326"/>
              </w:tabs>
              <w:spacing w:line="276" w:lineRule="auto"/>
              <w:ind w:left="326" w:hanging="142"/>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Deudor alimentario: </w:t>
            </w:r>
            <w:r w:rsidRPr="00D2561F">
              <w:rPr>
                <w:rFonts w:ascii="Century Gothic" w:hAnsi="Century Gothic"/>
                <w:color w:val="000000" w:themeColor="text1"/>
                <w:sz w:val="20"/>
                <w:szCs w:val="20"/>
              </w:rPr>
              <w:t>Personas que se encuentran en mora de cumplir con una obligación alimentaria en virtud de lo normado en el Artículo 411 del Código Civil o la jurisprudencia aplicable. </w:t>
            </w:r>
            <w:r w:rsidR="003261C8" w:rsidRPr="00D2561F">
              <w:rPr>
                <w:rFonts w:ascii="Century Gothic" w:hAnsi="Century Gothic"/>
                <w:color w:val="000000" w:themeColor="text1"/>
                <w:sz w:val="20"/>
                <w:szCs w:val="20"/>
              </w:rPr>
              <w:br/>
            </w:r>
          </w:p>
          <w:p w14:paraId="6D30C1D8" w14:textId="72684994" w:rsidR="006B60A3" w:rsidRPr="00D2561F" w:rsidRDefault="006B60A3" w:rsidP="003261C8">
            <w:pPr>
              <w:numPr>
                <w:ilvl w:val="0"/>
                <w:numId w:val="33"/>
              </w:numPr>
              <w:pBdr>
                <w:top w:val="nil"/>
                <w:left w:val="nil"/>
                <w:bottom w:val="nil"/>
                <w:right w:val="nil"/>
                <w:between w:val="nil"/>
              </w:pBdr>
              <w:tabs>
                <w:tab w:val="clear" w:pos="720"/>
                <w:tab w:val="num" w:pos="326"/>
              </w:tabs>
              <w:spacing w:line="276" w:lineRule="auto"/>
              <w:ind w:left="326" w:hanging="142"/>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Incumplimiento grave y reiterado de la obligación alimentaria: </w:t>
            </w:r>
            <w:r w:rsidRPr="00D2561F">
              <w:rPr>
                <w:rFonts w:ascii="Century Gothic" w:hAnsi="Century Gothic"/>
                <w:color w:val="000000" w:themeColor="text1"/>
                <w:sz w:val="20"/>
                <w:szCs w:val="20"/>
              </w:rPr>
              <w:t>Existe un incumplimiento grave y reiterado cuando, a pesar de contar con capacidad económica: </w:t>
            </w:r>
          </w:p>
          <w:p w14:paraId="02897C46" w14:textId="77777777" w:rsidR="006B60A3" w:rsidRPr="00D2561F" w:rsidRDefault="006B60A3" w:rsidP="006B60A3">
            <w:pPr>
              <w:pBdr>
                <w:top w:val="nil"/>
                <w:left w:val="nil"/>
                <w:bottom w:val="nil"/>
                <w:right w:val="nil"/>
                <w:between w:val="nil"/>
              </w:pBd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r>
          </w:p>
          <w:p w14:paraId="6F714632" w14:textId="77777777" w:rsidR="006B60A3" w:rsidRPr="00D2561F" w:rsidRDefault="006B60A3" w:rsidP="003261C8">
            <w:pPr>
              <w:numPr>
                <w:ilvl w:val="0"/>
                <w:numId w:val="35"/>
              </w:numPr>
              <w:pBdr>
                <w:top w:val="nil"/>
                <w:left w:val="nil"/>
                <w:bottom w:val="nil"/>
                <w:right w:val="nil"/>
                <w:between w:val="nil"/>
              </w:pBdr>
              <w:tabs>
                <w:tab w:val="clear" w:pos="720"/>
                <w:tab w:val="num" w:pos="610"/>
              </w:tabs>
              <w:spacing w:line="276" w:lineRule="auto"/>
              <w:ind w:left="468" w:right="183" w:hanging="142"/>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haberse fijado una cuota alimentaria y existiendo un vínculo jurídico con el acreedor de alimentos, se demuestre mediante prueba sumaria que los mecanismos ordinarios no son idóneos o eficaces para proteger su derecho fundamental, sustrayéndose la persona obligada a dar alimentos o el deudor de alimentos de forma total o parcial de la obligación alimentaria.</w:t>
            </w:r>
          </w:p>
          <w:p w14:paraId="679ED1EB" w14:textId="00E1F5A9" w:rsidR="006B60A3" w:rsidRPr="00D2561F" w:rsidRDefault="006B60A3" w:rsidP="003261C8">
            <w:pPr>
              <w:pBdr>
                <w:top w:val="nil"/>
                <w:left w:val="nil"/>
                <w:bottom w:val="nil"/>
                <w:right w:val="nil"/>
                <w:between w:val="nil"/>
              </w:pBdr>
              <w:tabs>
                <w:tab w:val="num" w:pos="610"/>
              </w:tabs>
              <w:spacing w:line="276" w:lineRule="auto"/>
              <w:ind w:left="468" w:right="183" w:hanging="142"/>
              <w:jc w:val="both"/>
              <w:rPr>
                <w:rFonts w:ascii="Century Gothic" w:hAnsi="Century Gothic"/>
                <w:color w:val="000000" w:themeColor="text1"/>
                <w:sz w:val="20"/>
                <w:szCs w:val="20"/>
              </w:rPr>
            </w:pPr>
          </w:p>
          <w:p w14:paraId="52E8088D" w14:textId="77777777" w:rsidR="006B60A3" w:rsidRPr="00D2561F" w:rsidRDefault="006B60A3" w:rsidP="003261C8">
            <w:pPr>
              <w:numPr>
                <w:ilvl w:val="0"/>
                <w:numId w:val="36"/>
              </w:numPr>
              <w:pBdr>
                <w:top w:val="nil"/>
                <w:left w:val="nil"/>
                <w:bottom w:val="nil"/>
                <w:right w:val="nil"/>
                <w:between w:val="nil"/>
              </w:pBdr>
              <w:tabs>
                <w:tab w:val="num" w:pos="610"/>
              </w:tabs>
              <w:spacing w:line="276" w:lineRule="auto"/>
              <w:ind w:left="468" w:right="183" w:hanging="142"/>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Cuando existiendo o no título ejecutivo las necesidades del titular del derecho de alimentos hayan aumentado por enfermedad grave, huérfana o por circunstancias que comprometen su salud o excepcionales que deriven en una incapacidad parcial o total u otras circunstancias debidamente probadas al juez.</w:t>
            </w:r>
          </w:p>
          <w:p w14:paraId="2A9CDD72" w14:textId="779A0E89" w:rsidR="006B60A3" w:rsidRPr="00D2561F" w:rsidRDefault="006B60A3" w:rsidP="003261C8">
            <w:pPr>
              <w:pBdr>
                <w:top w:val="nil"/>
                <w:left w:val="nil"/>
                <w:bottom w:val="nil"/>
                <w:right w:val="nil"/>
                <w:between w:val="nil"/>
              </w:pBdr>
              <w:tabs>
                <w:tab w:val="num" w:pos="610"/>
              </w:tabs>
              <w:spacing w:line="276" w:lineRule="auto"/>
              <w:ind w:left="468" w:right="183" w:hanging="142"/>
              <w:jc w:val="both"/>
              <w:rPr>
                <w:rFonts w:ascii="Century Gothic" w:hAnsi="Century Gothic"/>
                <w:color w:val="000000" w:themeColor="text1"/>
                <w:sz w:val="20"/>
                <w:szCs w:val="20"/>
              </w:rPr>
            </w:pPr>
          </w:p>
          <w:p w14:paraId="5EE8182F" w14:textId="77777777" w:rsidR="006B60A3" w:rsidRPr="00D2561F" w:rsidRDefault="006B60A3" w:rsidP="003261C8">
            <w:pPr>
              <w:numPr>
                <w:ilvl w:val="0"/>
                <w:numId w:val="37"/>
              </w:numPr>
              <w:pBdr>
                <w:top w:val="nil"/>
                <w:left w:val="nil"/>
                <w:bottom w:val="nil"/>
                <w:right w:val="nil"/>
                <w:between w:val="nil"/>
              </w:pBdr>
              <w:tabs>
                <w:tab w:val="num" w:pos="610"/>
              </w:tabs>
              <w:spacing w:line="276" w:lineRule="auto"/>
              <w:ind w:left="468" w:right="183" w:hanging="142"/>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Existiendo un título ejecutivo que contenga la obligación alimentaria, la persona obligada a dar alimentos se constituye en mora de tres (3) o más cuotas alimentarias, sean o no sucesivas. </w:t>
            </w:r>
          </w:p>
          <w:p w14:paraId="7F2567F5" w14:textId="77777777" w:rsidR="001F6316" w:rsidRPr="00D2561F" w:rsidRDefault="001F6316" w:rsidP="00F15D6D">
            <w:pPr>
              <w:pBdr>
                <w:top w:val="nil"/>
                <w:left w:val="nil"/>
                <w:bottom w:val="nil"/>
                <w:right w:val="nil"/>
                <w:between w:val="nil"/>
              </w:pBdr>
              <w:spacing w:line="276" w:lineRule="auto"/>
              <w:jc w:val="both"/>
              <w:rPr>
                <w:rFonts w:ascii="Century Gothic" w:hAnsi="Century Gothic"/>
                <w:b/>
                <w:bCs/>
                <w:color w:val="000000" w:themeColor="text1"/>
                <w:sz w:val="20"/>
                <w:szCs w:val="20"/>
              </w:rPr>
            </w:pP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7F6" w14:textId="77777777" w:rsidR="001F6316" w:rsidRPr="00D2561F" w:rsidRDefault="00B14FA6" w:rsidP="00DE7A48">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2º. DEFINICIONES. </w:t>
            </w:r>
            <w:r w:rsidRPr="00D2561F">
              <w:rPr>
                <w:rFonts w:ascii="Century Gothic" w:hAnsi="Century Gothic"/>
                <w:color w:val="000000" w:themeColor="text1"/>
                <w:sz w:val="20"/>
                <w:szCs w:val="20"/>
              </w:rPr>
              <w:t>Para efectos de la presente ley, se establecen las siguientes definiciones:</w:t>
            </w:r>
          </w:p>
          <w:p w14:paraId="5440DDD4" w14:textId="0000D40A" w:rsidR="000B5DE1" w:rsidRPr="00D2561F" w:rsidRDefault="00B14FA6" w:rsidP="000B5DE1">
            <w:pPr>
              <w:numPr>
                <w:ilvl w:val="4"/>
                <w:numId w:val="27"/>
              </w:numPr>
              <w:pBdr>
                <w:top w:val="nil"/>
                <w:left w:val="nil"/>
                <w:bottom w:val="nil"/>
                <w:right w:val="nil"/>
                <w:between w:val="nil"/>
              </w:pBdr>
              <w:spacing w:line="276" w:lineRule="auto"/>
              <w:ind w:left="40" w:firstLine="0"/>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Alimentos:</w:t>
            </w:r>
            <w:r w:rsidRPr="00D2561F">
              <w:rPr>
                <w:rFonts w:ascii="Century Gothic" w:hAnsi="Century Gothic"/>
                <w:color w:val="000000" w:themeColor="text1"/>
                <w:sz w:val="20"/>
                <w:szCs w:val="20"/>
              </w:rPr>
              <w:t xml:space="preserve"> Además de lo dispuesto en el artículo 24 de la Ley 1098 de 2006 Código de Infancia y Adolescencia o la que haga sus veces</w:t>
            </w:r>
            <w:r w:rsidRPr="00D2561F">
              <w:rPr>
                <w:rFonts w:ascii="Century Gothic" w:hAnsi="Century Gothic"/>
                <w:b/>
                <w:bCs/>
                <w:color w:val="000000" w:themeColor="text1"/>
                <w:sz w:val="20"/>
                <w:szCs w:val="20"/>
                <w:u w:val="single"/>
              </w:rPr>
              <w:t>,</w:t>
            </w:r>
            <w:r w:rsidRPr="00D2561F">
              <w:rPr>
                <w:rFonts w:ascii="Century Gothic" w:hAnsi="Century Gothic"/>
                <w:color w:val="000000" w:themeColor="text1"/>
                <w:sz w:val="20"/>
                <w:szCs w:val="20"/>
              </w:rPr>
              <w:t xml:space="preserve"> así como en  los artículos 411 a 427 de la Ley 84 de 1873 Código Civil Colombiano o la norma que haga sus veces, se entiende por alimentos todo lo indispensable para el sustento, habitación, vestido, asistencia médica, recreación, educación y, en general, todo lo necesario para la vida en condiciones dignas y/o el desarrollo integral de los titulares del derecho de alimentos.</w:t>
            </w:r>
            <w:r w:rsidR="006B60A3" w:rsidRPr="00D2561F">
              <w:rPr>
                <w:rFonts w:ascii="Century Gothic" w:hAnsi="Century Gothic"/>
                <w:color w:val="000000" w:themeColor="text1"/>
                <w:sz w:val="20"/>
                <w:szCs w:val="20"/>
              </w:rPr>
              <w:br/>
            </w:r>
          </w:p>
          <w:p w14:paraId="50E55ABC" w14:textId="09D6C25E" w:rsidR="000B5DE1" w:rsidRPr="00D2561F" w:rsidRDefault="00B14FA6" w:rsidP="000B5DE1">
            <w:pPr>
              <w:numPr>
                <w:ilvl w:val="4"/>
                <w:numId w:val="27"/>
              </w:numPr>
              <w:pBdr>
                <w:top w:val="nil"/>
                <w:left w:val="nil"/>
                <w:bottom w:val="nil"/>
                <w:right w:val="nil"/>
                <w:between w:val="nil"/>
              </w:pBdr>
              <w:spacing w:line="276" w:lineRule="auto"/>
              <w:ind w:left="40" w:firstLine="0"/>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Obligación alimentaria:</w:t>
            </w:r>
            <w:r w:rsidRPr="00D2561F">
              <w:rPr>
                <w:rFonts w:ascii="Century Gothic" w:hAnsi="Century Gothic"/>
                <w:color w:val="000000" w:themeColor="text1"/>
                <w:sz w:val="20"/>
                <w:szCs w:val="20"/>
              </w:rPr>
              <w:t xml:space="preserve"> Es aquella que se origina en un vínculo natural, legal o jurídico, y se fundamenta en los principios de solidaridad y reciprocidad, con la premisa de que el acreedor de alimentos no está en la capacidad de asegurarse su propia subsistencia y perdura mientras se conserven las condiciones que la originaron.</w:t>
            </w:r>
            <w:r w:rsidR="000B5DE1" w:rsidRPr="00D2561F">
              <w:rPr>
                <w:rFonts w:ascii="Century Gothic" w:hAnsi="Century Gothic"/>
                <w:color w:val="000000" w:themeColor="text1"/>
                <w:sz w:val="20"/>
                <w:szCs w:val="20"/>
              </w:rPr>
              <w:br/>
            </w:r>
          </w:p>
          <w:p w14:paraId="3A96C704" w14:textId="455DB41A" w:rsidR="000B5DE1" w:rsidRPr="00D2561F" w:rsidRDefault="00B14FA6" w:rsidP="000B5DE1">
            <w:pPr>
              <w:numPr>
                <w:ilvl w:val="4"/>
                <w:numId w:val="27"/>
              </w:numPr>
              <w:pBdr>
                <w:top w:val="nil"/>
                <w:left w:val="nil"/>
                <w:bottom w:val="nil"/>
                <w:right w:val="nil"/>
                <w:between w:val="nil"/>
              </w:pBdr>
              <w:spacing w:line="276" w:lineRule="auto"/>
              <w:ind w:left="40" w:firstLine="0"/>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Titular del derecho de alimentos:</w:t>
            </w:r>
            <w:r w:rsidRPr="00D2561F">
              <w:rPr>
                <w:rFonts w:ascii="Century Gothic" w:hAnsi="Century Gothic"/>
                <w:color w:val="000000" w:themeColor="text1"/>
                <w:sz w:val="20"/>
                <w:szCs w:val="20"/>
              </w:rPr>
              <w:t xml:space="preserve"> Son titulares del derecho de alimentos aquellas personas que en virtud de lo normado en el Artículo 411 del Código Civil o la jurisprudencia aplicable, tengan el derecho como acreedoras de una obligación alimentaria.</w:t>
            </w:r>
            <w:r w:rsidR="000B5DE1" w:rsidRPr="00D2561F">
              <w:rPr>
                <w:rFonts w:ascii="Century Gothic" w:hAnsi="Century Gothic"/>
                <w:color w:val="000000" w:themeColor="text1"/>
                <w:sz w:val="20"/>
                <w:szCs w:val="20"/>
              </w:rPr>
              <w:br/>
            </w:r>
          </w:p>
          <w:p w14:paraId="540283E0" w14:textId="7F8A1DA2" w:rsidR="000B5DE1" w:rsidRPr="00D2561F" w:rsidRDefault="00B14FA6" w:rsidP="000B5DE1">
            <w:pPr>
              <w:numPr>
                <w:ilvl w:val="4"/>
                <w:numId w:val="27"/>
              </w:numPr>
              <w:pBdr>
                <w:top w:val="nil"/>
                <w:left w:val="nil"/>
                <w:bottom w:val="nil"/>
                <w:right w:val="nil"/>
                <w:between w:val="nil"/>
              </w:pBdr>
              <w:spacing w:line="276" w:lineRule="auto"/>
              <w:ind w:left="40" w:firstLine="0"/>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Persona obligada a dar alimentos: </w:t>
            </w:r>
            <w:r w:rsidRPr="00D2561F">
              <w:rPr>
                <w:rFonts w:ascii="Century Gothic" w:hAnsi="Century Gothic"/>
                <w:color w:val="000000" w:themeColor="text1"/>
                <w:sz w:val="20"/>
                <w:szCs w:val="20"/>
              </w:rPr>
              <w:t>Personas que deben cumplir con una obligación alimentaria reconocida en virtud de lo</w:t>
            </w:r>
            <w:r w:rsidRPr="00D2561F">
              <w:rPr>
                <w:rFonts w:ascii="Century Gothic" w:hAnsi="Century Gothic"/>
                <w:b/>
                <w:bCs/>
                <w:color w:val="000000" w:themeColor="text1"/>
                <w:sz w:val="20"/>
                <w:szCs w:val="20"/>
              </w:rPr>
              <w:t xml:space="preserve"> </w:t>
            </w:r>
            <w:r w:rsidRPr="00D2561F">
              <w:rPr>
                <w:rFonts w:ascii="Century Gothic" w:hAnsi="Century Gothic"/>
                <w:color w:val="000000" w:themeColor="text1"/>
                <w:sz w:val="20"/>
                <w:szCs w:val="20"/>
              </w:rPr>
              <w:t>normado en el Artículo 411 del Código Civil o la jurisprudencia aplicable.</w:t>
            </w:r>
            <w:r w:rsidR="000B5DE1" w:rsidRPr="00D2561F">
              <w:rPr>
                <w:rFonts w:ascii="Century Gothic" w:hAnsi="Century Gothic"/>
                <w:color w:val="000000" w:themeColor="text1"/>
                <w:sz w:val="20"/>
                <w:szCs w:val="20"/>
              </w:rPr>
              <w:br/>
            </w:r>
          </w:p>
          <w:p w14:paraId="00199837" w14:textId="70F124A9" w:rsidR="00F15D6D" w:rsidRPr="00D2561F" w:rsidRDefault="00B14FA6" w:rsidP="00F15D6D">
            <w:pPr>
              <w:numPr>
                <w:ilvl w:val="4"/>
                <w:numId w:val="27"/>
              </w:numPr>
              <w:pBdr>
                <w:top w:val="nil"/>
                <w:left w:val="nil"/>
                <w:bottom w:val="nil"/>
                <w:right w:val="nil"/>
                <w:between w:val="nil"/>
              </w:pBdr>
              <w:spacing w:line="276" w:lineRule="auto"/>
              <w:ind w:left="40" w:firstLine="0"/>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Deudor alimentario</w:t>
            </w:r>
            <w:r w:rsidRPr="00D2561F">
              <w:rPr>
                <w:rFonts w:ascii="Century Gothic" w:hAnsi="Century Gothic"/>
                <w:color w:val="000000" w:themeColor="text1"/>
                <w:sz w:val="20"/>
                <w:szCs w:val="20"/>
              </w:rPr>
              <w:t>: Personas que se encuentran en mora de cumplir con una obligación alimentaria en virtud de lo normado en el Artículo 411 del Código Civil o la jurisprudencia aplicable. </w:t>
            </w:r>
            <w:r w:rsidR="00F15D6D" w:rsidRPr="00D2561F">
              <w:rPr>
                <w:rFonts w:ascii="Century Gothic" w:hAnsi="Century Gothic"/>
                <w:color w:val="000000" w:themeColor="text1"/>
                <w:sz w:val="20"/>
                <w:szCs w:val="20"/>
              </w:rPr>
              <w:br/>
            </w:r>
          </w:p>
          <w:p w14:paraId="7F256806" w14:textId="3DD419DB" w:rsidR="001F6316" w:rsidRPr="00D2561F" w:rsidRDefault="00B14FA6" w:rsidP="00F15D6D">
            <w:pPr>
              <w:numPr>
                <w:ilvl w:val="4"/>
                <w:numId w:val="27"/>
              </w:numPr>
              <w:pBdr>
                <w:top w:val="nil"/>
                <w:left w:val="nil"/>
                <w:bottom w:val="nil"/>
                <w:right w:val="nil"/>
                <w:between w:val="nil"/>
              </w:pBdr>
              <w:spacing w:line="276" w:lineRule="auto"/>
              <w:ind w:left="40" w:firstLine="0"/>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Incumplimiento grave y reiterado de la obligación alimentaria: </w:t>
            </w:r>
            <w:r w:rsidRPr="00D2561F">
              <w:rPr>
                <w:rFonts w:ascii="Century Gothic" w:hAnsi="Century Gothic"/>
                <w:color w:val="000000" w:themeColor="text1"/>
                <w:sz w:val="20"/>
                <w:szCs w:val="20"/>
              </w:rPr>
              <w:t xml:space="preserve">Existe un incumplimiento grave y reiterado cuando, a pesar de contar con capacidad económica, </w:t>
            </w:r>
            <w:r w:rsidRPr="00D2561F">
              <w:rPr>
                <w:rFonts w:ascii="Century Gothic" w:hAnsi="Century Gothic"/>
                <w:b/>
                <w:bCs/>
                <w:color w:val="000000" w:themeColor="text1"/>
                <w:sz w:val="20"/>
                <w:szCs w:val="20"/>
                <w:u w:val="single"/>
              </w:rPr>
              <w:t>se configure alguna de las siguientes hipótesis:</w:t>
            </w:r>
            <w:r w:rsidR="003261C8" w:rsidRPr="00D2561F">
              <w:rPr>
                <w:rFonts w:ascii="Century Gothic" w:hAnsi="Century Gothic"/>
                <w:b/>
                <w:bCs/>
                <w:color w:val="000000" w:themeColor="text1"/>
                <w:sz w:val="20"/>
                <w:szCs w:val="20"/>
                <w:u w:val="single"/>
              </w:rPr>
              <w:br/>
            </w:r>
          </w:p>
          <w:p w14:paraId="0306557C" w14:textId="77777777" w:rsidR="00080B69" w:rsidRPr="00D2561F" w:rsidRDefault="00B14FA6" w:rsidP="00080B69">
            <w:pPr>
              <w:pBdr>
                <w:top w:val="nil"/>
                <w:left w:val="nil"/>
                <w:bottom w:val="nil"/>
                <w:right w:val="nil"/>
                <w:between w:val="nil"/>
              </w:pBdr>
              <w:spacing w:line="276" w:lineRule="auto"/>
              <w:ind w:left="185" w:right="167"/>
              <w:jc w:val="both"/>
              <w:rPr>
                <w:rFonts w:ascii="Century Gothic" w:hAnsi="Century Gothic"/>
                <w:b/>
                <w:bCs/>
                <w:color w:val="000000" w:themeColor="text1"/>
                <w:sz w:val="20"/>
                <w:szCs w:val="20"/>
                <w:u w:val="single"/>
              </w:rPr>
            </w:pPr>
            <w:r w:rsidRPr="00D2561F">
              <w:rPr>
                <w:rFonts w:ascii="Century Gothic" w:hAnsi="Century Gothic"/>
                <w:color w:val="000000" w:themeColor="text1"/>
                <w:sz w:val="20"/>
                <w:szCs w:val="20"/>
              </w:rPr>
              <w:t xml:space="preserve">1. </w:t>
            </w:r>
            <w:r w:rsidRPr="00D2561F">
              <w:rPr>
                <w:rFonts w:ascii="Century Gothic" w:hAnsi="Century Gothic"/>
                <w:b/>
                <w:bCs/>
                <w:color w:val="000000" w:themeColor="text1"/>
                <w:sz w:val="20"/>
                <w:szCs w:val="20"/>
                <w:u w:val="single"/>
              </w:rPr>
              <w:t>Cuando</w:t>
            </w:r>
            <w:r w:rsidRPr="00D2561F">
              <w:rPr>
                <w:rFonts w:ascii="Century Gothic" w:hAnsi="Century Gothic"/>
                <w:color w:val="000000" w:themeColor="text1"/>
                <w:sz w:val="20"/>
                <w:szCs w:val="20"/>
              </w:rPr>
              <w:t xml:space="preserve"> sin haberse fijado </w:t>
            </w:r>
            <w:r w:rsidRPr="00D2561F">
              <w:rPr>
                <w:rFonts w:ascii="Century Gothic" w:hAnsi="Century Gothic"/>
                <w:strike/>
                <w:color w:val="000000" w:themeColor="text1"/>
                <w:sz w:val="20"/>
                <w:szCs w:val="20"/>
              </w:rPr>
              <w:t>una</w:t>
            </w:r>
            <w:r w:rsidRPr="00D2561F">
              <w:rPr>
                <w:rFonts w:ascii="Century Gothic" w:hAnsi="Century Gothic"/>
                <w:color w:val="000000" w:themeColor="text1"/>
                <w:sz w:val="20"/>
                <w:szCs w:val="20"/>
              </w:rPr>
              <w:t xml:space="preserve"> cuota alimentaria y existiendo un vínculo jurídico </w:t>
            </w:r>
            <w:r w:rsidRPr="00D2561F">
              <w:rPr>
                <w:rFonts w:ascii="Century Gothic" w:hAnsi="Century Gothic"/>
                <w:b/>
                <w:bCs/>
                <w:color w:val="000000" w:themeColor="text1"/>
                <w:sz w:val="20"/>
                <w:szCs w:val="20"/>
                <w:u w:val="single"/>
              </w:rPr>
              <w:t>que origina la obligación alimentaria, la persona obligada a dar alimentos o el deudor alimentario se sustraiga de forma total o parcial de dicha obligación, y el demandante demuestre mediante prueba siquiera sumaria que los mecanismos procesales ordinarios no son idóneos o eficaces para proteger el derecho del titular.</w:t>
            </w:r>
          </w:p>
          <w:p w14:paraId="3FB5B150" w14:textId="77777777" w:rsidR="00080B69" w:rsidRPr="00D2561F" w:rsidRDefault="00080B69" w:rsidP="00080B69">
            <w:pPr>
              <w:pBdr>
                <w:top w:val="nil"/>
                <w:left w:val="nil"/>
                <w:bottom w:val="nil"/>
                <w:right w:val="nil"/>
                <w:between w:val="nil"/>
              </w:pBdr>
              <w:spacing w:line="276" w:lineRule="auto"/>
              <w:ind w:left="185" w:right="167"/>
              <w:jc w:val="both"/>
              <w:rPr>
                <w:rFonts w:ascii="Century Gothic" w:hAnsi="Century Gothic"/>
                <w:color w:val="000000" w:themeColor="text1"/>
                <w:sz w:val="20"/>
                <w:szCs w:val="20"/>
                <w:highlight w:val="white"/>
              </w:rPr>
            </w:pPr>
          </w:p>
          <w:p w14:paraId="7F25680B" w14:textId="3C4CFC20" w:rsidR="001F6316" w:rsidRPr="00D2561F" w:rsidRDefault="00B14FA6" w:rsidP="000B5DE1">
            <w:pPr>
              <w:pStyle w:val="Prrafodelista"/>
              <w:numPr>
                <w:ilvl w:val="3"/>
                <w:numId w:val="27"/>
              </w:numPr>
              <w:pBdr>
                <w:top w:val="nil"/>
                <w:left w:val="nil"/>
                <w:bottom w:val="nil"/>
                <w:right w:val="nil"/>
                <w:between w:val="nil"/>
              </w:pBdr>
              <w:spacing w:line="276" w:lineRule="auto"/>
              <w:ind w:left="185" w:right="167" w:firstLine="0"/>
              <w:jc w:val="both"/>
              <w:rPr>
                <w:rFonts w:ascii="Century Gothic" w:hAnsi="Century Gothic"/>
                <w:b/>
                <w:bCs/>
                <w:color w:val="000000" w:themeColor="text1"/>
                <w:sz w:val="20"/>
                <w:szCs w:val="20"/>
                <w:u w:val="single"/>
              </w:rPr>
            </w:pPr>
            <w:r w:rsidRPr="00D2561F">
              <w:rPr>
                <w:rFonts w:ascii="Century Gothic" w:hAnsi="Century Gothic"/>
                <w:color w:val="000000" w:themeColor="text1"/>
                <w:sz w:val="20"/>
                <w:szCs w:val="20"/>
                <w:highlight w:val="white"/>
              </w:rPr>
              <w:t xml:space="preserve">Cuando existiendo o no título ejecutivo, las necesidades del titular del derecho de alimentos hayan aumentado por enfermedad grave </w:t>
            </w:r>
            <w:r w:rsidRPr="00D2561F">
              <w:rPr>
                <w:rFonts w:ascii="Century Gothic" w:hAnsi="Century Gothic"/>
                <w:b/>
                <w:bCs/>
                <w:color w:val="000000" w:themeColor="text1"/>
                <w:sz w:val="20"/>
                <w:szCs w:val="20"/>
                <w:highlight w:val="white"/>
                <w:u w:val="single"/>
              </w:rPr>
              <w:t>o</w:t>
            </w:r>
            <w:r w:rsidRPr="00D2561F">
              <w:rPr>
                <w:rFonts w:ascii="Century Gothic" w:hAnsi="Century Gothic"/>
                <w:color w:val="000000" w:themeColor="text1"/>
                <w:sz w:val="20"/>
                <w:szCs w:val="20"/>
                <w:highlight w:val="white"/>
              </w:rPr>
              <w:t xml:space="preserve"> huérfana</w:t>
            </w:r>
            <w:r w:rsidRPr="00D2561F">
              <w:rPr>
                <w:rFonts w:ascii="Century Gothic" w:hAnsi="Century Gothic"/>
                <w:b/>
                <w:bCs/>
                <w:color w:val="000000" w:themeColor="text1"/>
                <w:sz w:val="20"/>
                <w:szCs w:val="20"/>
                <w:highlight w:val="white"/>
                <w:u w:val="single"/>
              </w:rPr>
              <w:t>,</w:t>
            </w:r>
            <w:r w:rsidRPr="00D2561F">
              <w:rPr>
                <w:rFonts w:ascii="Century Gothic" w:hAnsi="Century Gothic"/>
                <w:color w:val="000000" w:themeColor="text1"/>
                <w:sz w:val="20"/>
                <w:szCs w:val="20"/>
                <w:highlight w:val="white"/>
              </w:rPr>
              <w:t xml:space="preserve"> por circunstancias que comprometan </w:t>
            </w:r>
            <w:r w:rsidRPr="00D2561F">
              <w:rPr>
                <w:rFonts w:ascii="Century Gothic" w:hAnsi="Century Gothic"/>
                <w:b/>
                <w:bCs/>
                <w:color w:val="000000" w:themeColor="text1"/>
                <w:sz w:val="20"/>
                <w:szCs w:val="20"/>
                <w:highlight w:val="white"/>
                <w:u w:val="single"/>
              </w:rPr>
              <w:t>gravemente</w:t>
            </w:r>
            <w:r w:rsidRPr="00D2561F">
              <w:rPr>
                <w:rFonts w:ascii="Century Gothic" w:hAnsi="Century Gothic"/>
                <w:color w:val="000000" w:themeColor="text1"/>
                <w:sz w:val="20"/>
                <w:szCs w:val="20"/>
                <w:highlight w:val="white"/>
              </w:rPr>
              <w:t xml:space="preserve"> su salud</w:t>
            </w:r>
            <w:r w:rsidRPr="00D2561F">
              <w:rPr>
                <w:rFonts w:ascii="Century Gothic" w:hAnsi="Century Gothic"/>
                <w:b/>
                <w:bCs/>
                <w:color w:val="000000" w:themeColor="text1"/>
                <w:sz w:val="20"/>
                <w:szCs w:val="20"/>
                <w:highlight w:val="white"/>
                <w:u w:val="single"/>
              </w:rPr>
              <w:t>,</w:t>
            </w:r>
            <w:r w:rsidRPr="00D2561F">
              <w:rPr>
                <w:rFonts w:ascii="Century Gothic" w:hAnsi="Century Gothic"/>
                <w:color w:val="000000" w:themeColor="text1"/>
                <w:sz w:val="20"/>
                <w:szCs w:val="20"/>
                <w:highlight w:val="white"/>
              </w:rPr>
              <w:t xml:space="preserve"> o </w:t>
            </w:r>
            <w:r w:rsidRPr="00D2561F">
              <w:rPr>
                <w:rFonts w:ascii="Century Gothic" w:hAnsi="Century Gothic"/>
                <w:b/>
                <w:bCs/>
                <w:color w:val="000000" w:themeColor="text1"/>
                <w:sz w:val="20"/>
                <w:szCs w:val="20"/>
                <w:highlight w:val="white"/>
                <w:u w:val="single"/>
              </w:rPr>
              <w:t>por otras circunstancias</w:t>
            </w:r>
            <w:r w:rsidRPr="00D2561F">
              <w:rPr>
                <w:rFonts w:ascii="Century Gothic" w:hAnsi="Century Gothic"/>
                <w:color w:val="000000" w:themeColor="text1"/>
                <w:sz w:val="20"/>
                <w:szCs w:val="20"/>
                <w:highlight w:val="white"/>
              </w:rPr>
              <w:t xml:space="preserve"> excepcionales que deriven en una incapacidad parcial o total</w:t>
            </w:r>
            <w:r w:rsidR="000C41FD" w:rsidRPr="00D2561F">
              <w:rPr>
                <w:rFonts w:ascii="Century Gothic" w:hAnsi="Century Gothic"/>
                <w:color w:val="000000" w:themeColor="text1"/>
                <w:sz w:val="20"/>
                <w:szCs w:val="20"/>
                <w:highlight w:val="white"/>
              </w:rPr>
              <w:t xml:space="preserve"> </w:t>
            </w:r>
            <w:r w:rsidRPr="00D2561F">
              <w:rPr>
                <w:rFonts w:ascii="Century Gothic" w:hAnsi="Century Gothic"/>
                <w:color w:val="000000" w:themeColor="text1"/>
                <w:sz w:val="20"/>
                <w:szCs w:val="20"/>
                <w:highlight w:val="white"/>
              </w:rPr>
              <w:t xml:space="preserve">debidamente probadas </w:t>
            </w:r>
            <w:r w:rsidRPr="00D2561F">
              <w:rPr>
                <w:rFonts w:ascii="Century Gothic" w:hAnsi="Century Gothic"/>
                <w:b/>
                <w:bCs/>
                <w:color w:val="000000" w:themeColor="text1"/>
                <w:sz w:val="20"/>
                <w:szCs w:val="20"/>
                <w:highlight w:val="white"/>
                <w:u w:val="single"/>
              </w:rPr>
              <w:t>ante</w:t>
            </w:r>
            <w:r w:rsidRPr="00D2561F">
              <w:rPr>
                <w:rFonts w:ascii="Century Gothic" w:hAnsi="Century Gothic"/>
                <w:color w:val="000000" w:themeColor="text1"/>
                <w:sz w:val="20"/>
                <w:szCs w:val="20"/>
                <w:highlight w:val="white"/>
              </w:rPr>
              <w:t xml:space="preserve"> </w:t>
            </w:r>
            <w:r w:rsidR="00146D4D" w:rsidRPr="00D2561F">
              <w:rPr>
                <w:rFonts w:ascii="Century Gothic" w:hAnsi="Century Gothic"/>
                <w:color w:val="000000" w:themeColor="text1"/>
                <w:sz w:val="20"/>
                <w:szCs w:val="20"/>
                <w:highlight w:val="white"/>
              </w:rPr>
              <w:t xml:space="preserve">el </w:t>
            </w:r>
            <w:r w:rsidRPr="00D2561F">
              <w:rPr>
                <w:rFonts w:ascii="Century Gothic" w:hAnsi="Century Gothic"/>
                <w:color w:val="000000" w:themeColor="text1"/>
                <w:sz w:val="20"/>
                <w:szCs w:val="20"/>
                <w:highlight w:val="white"/>
              </w:rPr>
              <w:t xml:space="preserve">juez, </w:t>
            </w:r>
            <w:r w:rsidRPr="00D2561F">
              <w:rPr>
                <w:rFonts w:ascii="Century Gothic" w:hAnsi="Century Gothic"/>
                <w:b/>
                <w:bCs/>
                <w:color w:val="000000" w:themeColor="text1"/>
                <w:sz w:val="20"/>
                <w:szCs w:val="20"/>
                <w:highlight w:val="white"/>
                <w:u w:val="single"/>
              </w:rPr>
              <w:t>que hagan insuficiente la cuota ya fijada o que justifique su fijación urgente.</w:t>
            </w:r>
          </w:p>
          <w:p w14:paraId="7F25680C" w14:textId="77777777" w:rsidR="001F6316" w:rsidRPr="00D2561F" w:rsidRDefault="001F6316" w:rsidP="00080B69">
            <w:pPr>
              <w:pBdr>
                <w:top w:val="nil"/>
                <w:left w:val="nil"/>
                <w:bottom w:val="nil"/>
                <w:right w:val="nil"/>
                <w:between w:val="nil"/>
              </w:pBdr>
              <w:spacing w:line="276" w:lineRule="auto"/>
              <w:ind w:left="185" w:right="167"/>
              <w:jc w:val="both"/>
              <w:rPr>
                <w:rFonts w:ascii="Century Gothic" w:hAnsi="Century Gothic"/>
                <w:b/>
                <w:bCs/>
                <w:color w:val="000000" w:themeColor="text1"/>
                <w:sz w:val="20"/>
                <w:szCs w:val="20"/>
                <w:highlight w:val="white"/>
                <w:u w:val="single"/>
              </w:rPr>
            </w:pPr>
          </w:p>
          <w:p w14:paraId="7F25680D" w14:textId="6F49464C" w:rsidR="001F6316" w:rsidRPr="00D2561F" w:rsidRDefault="000C41FD" w:rsidP="000B5DE1">
            <w:pPr>
              <w:numPr>
                <w:ilvl w:val="3"/>
                <w:numId w:val="27"/>
              </w:numPr>
              <w:pBdr>
                <w:top w:val="nil"/>
                <w:left w:val="nil"/>
                <w:bottom w:val="nil"/>
                <w:right w:val="nil"/>
                <w:between w:val="nil"/>
              </w:pBdr>
              <w:spacing w:line="276" w:lineRule="auto"/>
              <w:ind w:left="185" w:right="167" w:firstLine="0"/>
              <w:jc w:val="both"/>
              <w:rPr>
                <w:rFonts w:ascii="Century Gothic" w:hAnsi="Century Gothic"/>
                <w:b/>
                <w:bCs/>
                <w:color w:val="000000" w:themeColor="text1"/>
                <w:sz w:val="20"/>
                <w:szCs w:val="20"/>
                <w:highlight w:val="white"/>
                <w:u w:val="single"/>
              </w:rPr>
            </w:pPr>
            <w:r w:rsidRPr="00D2561F">
              <w:rPr>
                <w:rFonts w:ascii="Century Gothic" w:hAnsi="Century Gothic"/>
                <w:b/>
                <w:bCs/>
                <w:color w:val="000000" w:themeColor="text1"/>
                <w:sz w:val="20"/>
                <w:szCs w:val="20"/>
                <w:u w:val="single"/>
              </w:rPr>
              <w:t>Cuando</w:t>
            </w:r>
            <w:r w:rsidRPr="00D2561F">
              <w:rPr>
                <w:rFonts w:ascii="Century Gothic" w:hAnsi="Century Gothic"/>
                <w:color w:val="000000" w:themeColor="text1"/>
                <w:sz w:val="20"/>
                <w:szCs w:val="20"/>
              </w:rPr>
              <w:t xml:space="preserve"> e</w:t>
            </w:r>
            <w:r w:rsidR="00B14FA6" w:rsidRPr="00D2561F">
              <w:rPr>
                <w:rFonts w:ascii="Century Gothic" w:hAnsi="Century Gothic"/>
                <w:color w:val="000000" w:themeColor="text1"/>
                <w:sz w:val="20"/>
                <w:szCs w:val="20"/>
              </w:rPr>
              <w:t>xistiendo un título ejecutivo que contenga la obligación alimentaria, la persona obligada a dar alimentos se constituy</w:t>
            </w:r>
            <w:r w:rsidR="00080B69" w:rsidRPr="00D2561F">
              <w:rPr>
                <w:rFonts w:ascii="Century Gothic" w:hAnsi="Century Gothic"/>
                <w:color w:val="000000" w:themeColor="text1"/>
                <w:sz w:val="20"/>
                <w:szCs w:val="20"/>
              </w:rPr>
              <w:t>a</w:t>
            </w:r>
            <w:r w:rsidR="00B14FA6" w:rsidRPr="00D2561F">
              <w:rPr>
                <w:rFonts w:ascii="Century Gothic" w:hAnsi="Century Gothic"/>
                <w:color w:val="000000" w:themeColor="text1"/>
                <w:sz w:val="20"/>
                <w:szCs w:val="20"/>
              </w:rPr>
              <w:t xml:space="preserve"> en mora cuando adeude tres (3) o más cuotas alimentarias </w:t>
            </w:r>
            <w:r w:rsidR="00B14FA6" w:rsidRPr="00D2561F">
              <w:rPr>
                <w:rFonts w:ascii="Century Gothic" w:hAnsi="Century Gothic"/>
                <w:b/>
                <w:bCs/>
                <w:color w:val="000000" w:themeColor="text1"/>
                <w:sz w:val="20"/>
                <w:szCs w:val="20"/>
                <w:u w:val="single"/>
              </w:rPr>
              <w:t>sucesivas, o seis (6) o más cuotas alimentarias en cualquier tiempo.</w:t>
            </w:r>
          </w:p>
          <w:p w14:paraId="7F256817" w14:textId="43DB1198" w:rsidR="001F6316" w:rsidRPr="00D2561F" w:rsidRDefault="00F15D6D" w:rsidP="00F15D6D">
            <w:pPr>
              <w:pBdr>
                <w:top w:val="nil"/>
                <w:left w:val="nil"/>
                <w:bottom w:val="nil"/>
                <w:right w:val="nil"/>
                <w:between w:val="nil"/>
              </w:pBdr>
              <w:spacing w:line="276" w:lineRule="auto"/>
              <w:ind w:left="43"/>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u w:val="single"/>
              </w:rPr>
              <w:br/>
            </w:r>
            <w:r w:rsidR="00B14FA6" w:rsidRPr="00D2561F">
              <w:rPr>
                <w:rFonts w:ascii="Century Gothic" w:hAnsi="Century Gothic"/>
                <w:b/>
                <w:bCs/>
                <w:color w:val="000000" w:themeColor="text1"/>
                <w:sz w:val="20"/>
                <w:szCs w:val="20"/>
                <w:u w:val="single"/>
              </w:rPr>
              <w:t xml:space="preserve">g. Capacidad económica </w:t>
            </w:r>
            <w:r w:rsidR="00C63712" w:rsidRPr="00D2561F">
              <w:rPr>
                <w:rFonts w:ascii="Century Gothic" w:hAnsi="Century Gothic"/>
                <w:b/>
                <w:bCs/>
                <w:color w:val="000000" w:themeColor="text1"/>
                <w:sz w:val="20"/>
                <w:szCs w:val="20"/>
                <w:u w:val="single"/>
              </w:rPr>
              <w:t>d</w:t>
            </w:r>
            <w:r w:rsidR="006E7B97" w:rsidRPr="00D2561F">
              <w:rPr>
                <w:rFonts w:ascii="Century Gothic" w:hAnsi="Century Gothic"/>
                <w:b/>
                <w:bCs/>
                <w:color w:val="000000" w:themeColor="text1"/>
                <w:sz w:val="20"/>
                <w:szCs w:val="20"/>
                <w:u w:val="single"/>
              </w:rPr>
              <w:t>e la Persona obligada a dar alimentos</w:t>
            </w:r>
            <w:r w:rsidR="00B14FA6" w:rsidRPr="00D2561F">
              <w:rPr>
                <w:rFonts w:ascii="Century Gothic" w:hAnsi="Century Gothic"/>
                <w:b/>
                <w:bCs/>
                <w:color w:val="000000" w:themeColor="text1"/>
                <w:sz w:val="20"/>
                <w:szCs w:val="20"/>
                <w:u w:val="single"/>
              </w:rPr>
              <w:t>: Es la aptitud real, actual o potencial de la persona obligada a dar alimentos o del deudor alimentario para cumplir, total o parcialmente, la obligación de alimentos, a partir de sus ingresos, rentas, patrimonio, actividad laboral, capacidad productiva o demás recursos económicos, sin afectar su subsistencia digna.</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18"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19"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1A"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1B"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1C"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1D"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1E"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1F"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0"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1"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2"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3"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4"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5"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6"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7"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8"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9"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A"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B"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C"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D"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E"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2F"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0"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1"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2"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3"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4"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5"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6"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7"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8"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9"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A"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B"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C"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D"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E"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3F"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0"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1"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2"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3"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4"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5"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6"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7"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8"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9"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A"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B"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4C"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5E" w14:textId="7A6C35D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Se aclara la redacción de las 3 hipótesis de incumplimiento grave y reiterado con el objetivo de hacer evidente y acotadas las hipótesis en los que procede el</w:t>
            </w:r>
            <w:r w:rsidR="00434FCD" w:rsidRPr="00D2561F">
              <w:rPr>
                <w:rFonts w:ascii="Century Gothic" w:hAnsi="Century Gothic"/>
                <w:color w:val="000000" w:themeColor="text1"/>
                <w:sz w:val="20"/>
                <w:szCs w:val="20"/>
              </w:rPr>
              <w:t xml:space="preserve"> Proceso </w:t>
            </w:r>
            <w:r w:rsidR="00080B69" w:rsidRPr="00D2561F">
              <w:rPr>
                <w:rFonts w:ascii="Century Gothic" w:hAnsi="Century Gothic"/>
                <w:color w:val="000000" w:themeColor="text1"/>
                <w:sz w:val="20"/>
                <w:szCs w:val="20"/>
              </w:rPr>
              <w:t>Único</w:t>
            </w:r>
            <w:r w:rsidR="00434FCD" w:rsidRPr="00D2561F">
              <w:rPr>
                <w:rFonts w:ascii="Century Gothic" w:hAnsi="Century Gothic"/>
                <w:color w:val="000000" w:themeColor="text1"/>
                <w:sz w:val="20"/>
                <w:szCs w:val="20"/>
              </w:rPr>
              <w:t xml:space="preserve"> de A</w:t>
            </w:r>
            <w:r w:rsidRPr="00D2561F">
              <w:rPr>
                <w:rFonts w:ascii="Century Gothic" w:hAnsi="Century Gothic"/>
                <w:color w:val="000000" w:themeColor="text1"/>
                <w:sz w:val="20"/>
                <w:szCs w:val="20"/>
              </w:rPr>
              <w:t xml:space="preserve">mparo </w:t>
            </w:r>
            <w:r w:rsidR="00434FCD" w:rsidRPr="00D2561F">
              <w:rPr>
                <w:rFonts w:ascii="Century Gothic" w:hAnsi="Century Gothic"/>
                <w:color w:val="000000" w:themeColor="text1"/>
                <w:sz w:val="20"/>
                <w:szCs w:val="20"/>
              </w:rPr>
              <w:t>A</w:t>
            </w:r>
            <w:r w:rsidRPr="00D2561F">
              <w:rPr>
                <w:rFonts w:ascii="Century Gothic" w:hAnsi="Century Gothic"/>
                <w:color w:val="000000" w:themeColor="text1"/>
                <w:sz w:val="20"/>
                <w:szCs w:val="20"/>
              </w:rPr>
              <w:t xml:space="preserve">limentario que crea la presente ley. </w:t>
            </w:r>
          </w:p>
          <w:p w14:paraId="7F25685F"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60"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61"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62"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876" w14:textId="77777777" w:rsidR="001F6316" w:rsidRPr="00D2561F" w:rsidRDefault="001F6316" w:rsidP="00DE7A48">
            <w:pPr>
              <w:spacing w:line="276" w:lineRule="auto"/>
              <w:jc w:val="both"/>
              <w:rPr>
                <w:rFonts w:ascii="Century Gothic" w:hAnsi="Century Gothic"/>
                <w:color w:val="000000" w:themeColor="text1"/>
                <w:sz w:val="20"/>
                <w:szCs w:val="20"/>
              </w:rPr>
            </w:pPr>
          </w:p>
          <w:p w14:paraId="78C45ADB" w14:textId="77777777" w:rsidR="00080B69" w:rsidRPr="00D2561F" w:rsidRDefault="00080B69" w:rsidP="00DE7A48">
            <w:pPr>
              <w:spacing w:line="276" w:lineRule="auto"/>
              <w:jc w:val="both"/>
              <w:rPr>
                <w:rFonts w:ascii="Century Gothic" w:hAnsi="Century Gothic"/>
                <w:color w:val="000000" w:themeColor="text1"/>
                <w:sz w:val="20"/>
                <w:szCs w:val="20"/>
              </w:rPr>
            </w:pPr>
          </w:p>
          <w:p w14:paraId="32A8ED3F" w14:textId="77777777" w:rsidR="00080B69" w:rsidRPr="00D2561F" w:rsidRDefault="00080B69" w:rsidP="00DE7A48">
            <w:pPr>
              <w:spacing w:line="276" w:lineRule="auto"/>
              <w:jc w:val="both"/>
              <w:rPr>
                <w:rFonts w:ascii="Century Gothic" w:hAnsi="Century Gothic"/>
                <w:color w:val="000000" w:themeColor="text1"/>
                <w:sz w:val="20"/>
                <w:szCs w:val="20"/>
              </w:rPr>
            </w:pPr>
          </w:p>
          <w:p w14:paraId="30A5B07D" w14:textId="77777777" w:rsidR="00080B69" w:rsidRPr="00D2561F" w:rsidRDefault="00080B69" w:rsidP="00DE7A48">
            <w:pPr>
              <w:spacing w:line="276" w:lineRule="auto"/>
              <w:jc w:val="both"/>
              <w:rPr>
                <w:rFonts w:ascii="Century Gothic" w:hAnsi="Century Gothic"/>
                <w:color w:val="000000" w:themeColor="text1"/>
                <w:sz w:val="20"/>
                <w:szCs w:val="20"/>
              </w:rPr>
            </w:pPr>
          </w:p>
          <w:p w14:paraId="50FF6A89" w14:textId="77777777" w:rsidR="00080B69" w:rsidRPr="00D2561F" w:rsidRDefault="00080B69" w:rsidP="00DE7A48">
            <w:pPr>
              <w:spacing w:line="276" w:lineRule="auto"/>
              <w:jc w:val="both"/>
              <w:rPr>
                <w:rFonts w:ascii="Century Gothic" w:hAnsi="Century Gothic"/>
                <w:color w:val="000000" w:themeColor="text1"/>
                <w:sz w:val="20"/>
                <w:szCs w:val="20"/>
              </w:rPr>
            </w:pPr>
          </w:p>
          <w:p w14:paraId="7F256878" w14:textId="62E520DC"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Con el propósito que el</w:t>
            </w:r>
            <w:r w:rsidR="000C41FD" w:rsidRPr="00D2561F">
              <w:rPr>
                <w:rFonts w:ascii="Century Gothic" w:hAnsi="Century Gothic"/>
                <w:color w:val="000000" w:themeColor="text1"/>
                <w:sz w:val="20"/>
                <w:szCs w:val="20"/>
              </w:rPr>
              <w:t xml:space="preserve"> Proceso Único de</w:t>
            </w:r>
            <w:r w:rsidRPr="00D2561F">
              <w:rPr>
                <w:rFonts w:ascii="Century Gothic" w:hAnsi="Century Gothic"/>
                <w:color w:val="000000" w:themeColor="text1"/>
                <w:sz w:val="20"/>
                <w:szCs w:val="20"/>
              </w:rPr>
              <w:t xml:space="preserve"> </w:t>
            </w:r>
            <w:r w:rsidR="000C41FD" w:rsidRPr="00D2561F">
              <w:rPr>
                <w:rFonts w:ascii="Century Gothic" w:hAnsi="Century Gothic"/>
                <w:color w:val="000000" w:themeColor="text1"/>
                <w:sz w:val="20"/>
                <w:szCs w:val="20"/>
              </w:rPr>
              <w:t>A</w:t>
            </w:r>
            <w:r w:rsidRPr="00D2561F">
              <w:rPr>
                <w:rFonts w:ascii="Century Gothic" w:hAnsi="Century Gothic"/>
                <w:color w:val="000000" w:themeColor="text1"/>
                <w:sz w:val="20"/>
                <w:szCs w:val="20"/>
              </w:rPr>
              <w:t xml:space="preserve">mparo </w:t>
            </w:r>
            <w:r w:rsidR="000C41FD" w:rsidRPr="00D2561F">
              <w:rPr>
                <w:rFonts w:ascii="Century Gothic" w:hAnsi="Century Gothic"/>
                <w:color w:val="000000" w:themeColor="text1"/>
                <w:sz w:val="20"/>
                <w:szCs w:val="20"/>
              </w:rPr>
              <w:t>A</w:t>
            </w:r>
            <w:r w:rsidRPr="00D2561F">
              <w:rPr>
                <w:rFonts w:ascii="Century Gothic" w:hAnsi="Century Gothic"/>
                <w:color w:val="000000" w:themeColor="text1"/>
                <w:sz w:val="20"/>
                <w:szCs w:val="20"/>
              </w:rPr>
              <w:t xml:space="preserve">limentario proceda para incumplimientos graves y reiterados de la obligación alimentaria, se </w:t>
            </w:r>
            <w:r w:rsidR="000C41FD" w:rsidRPr="00D2561F">
              <w:rPr>
                <w:rFonts w:ascii="Century Gothic" w:hAnsi="Century Gothic"/>
                <w:color w:val="000000" w:themeColor="text1"/>
                <w:sz w:val="20"/>
                <w:szCs w:val="20"/>
              </w:rPr>
              <w:t>añade la</w:t>
            </w:r>
            <w:r w:rsidRPr="00D2561F">
              <w:rPr>
                <w:rFonts w:ascii="Century Gothic" w:hAnsi="Century Gothic"/>
                <w:color w:val="000000" w:themeColor="text1"/>
                <w:sz w:val="20"/>
                <w:szCs w:val="20"/>
              </w:rPr>
              <w:t xml:space="preserve"> distinción entre si el incumplimiento es consecutivo o no. </w:t>
            </w:r>
          </w:p>
          <w:p w14:paraId="7F256879" w14:textId="77777777" w:rsidR="001F6316" w:rsidRPr="00D2561F" w:rsidRDefault="001F6316" w:rsidP="00DE7A48">
            <w:pPr>
              <w:spacing w:line="276" w:lineRule="auto"/>
              <w:jc w:val="both"/>
              <w:rPr>
                <w:rFonts w:ascii="Century Gothic" w:hAnsi="Century Gothic"/>
                <w:color w:val="000000" w:themeColor="text1"/>
                <w:sz w:val="20"/>
                <w:szCs w:val="20"/>
              </w:rPr>
            </w:pPr>
          </w:p>
          <w:p w14:paraId="6A03B5A8" w14:textId="77777777" w:rsidR="003261C8" w:rsidRPr="00D2561F" w:rsidRDefault="003261C8" w:rsidP="00DE7A48">
            <w:pPr>
              <w:spacing w:line="276" w:lineRule="auto"/>
              <w:jc w:val="both"/>
              <w:rPr>
                <w:rFonts w:ascii="Century Gothic" w:hAnsi="Century Gothic"/>
                <w:color w:val="000000" w:themeColor="text1"/>
                <w:sz w:val="20"/>
                <w:szCs w:val="20"/>
              </w:rPr>
            </w:pPr>
          </w:p>
          <w:p w14:paraId="256619E7" w14:textId="77777777" w:rsidR="003261C8" w:rsidRPr="00D2561F" w:rsidRDefault="003261C8" w:rsidP="00DE7A48">
            <w:pPr>
              <w:spacing w:line="276" w:lineRule="auto"/>
              <w:jc w:val="both"/>
              <w:rPr>
                <w:rFonts w:ascii="Century Gothic" w:hAnsi="Century Gothic"/>
                <w:color w:val="000000" w:themeColor="text1"/>
                <w:sz w:val="20"/>
                <w:szCs w:val="20"/>
              </w:rPr>
            </w:pPr>
          </w:p>
          <w:p w14:paraId="6B7742BC" w14:textId="77777777" w:rsidR="003261C8" w:rsidRPr="00D2561F" w:rsidRDefault="003261C8" w:rsidP="00DE7A48">
            <w:pPr>
              <w:spacing w:line="276" w:lineRule="auto"/>
              <w:jc w:val="both"/>
              <w:rPr>
                <w:rFonts w:ascii="Century Gothic" w:hAnsi="Century Gothic"/>
                <w:color w:val="000000" w:themeColor="text1"/>
                <w:sz w:val="20"/>
                <w:szCs w:val="20"/>
              </w:rPr>
            </w:pPr>
          </w:p>
          <w:p w14:paraId="3B034769" w14:textId="77777777" w:rsidR="003261C8" w:rsidRPr="00D2561F" w:rsidRDefault="003261C8" w:rsidP="00DE7A48">
            <w:pPr>
              <w:spacing w:line="276" w:lineRule="auto"/>
              <w:jc w:val="both"/>
              <w:rPr>
                <w:rFonts w:ascii="Century Gothic" w:hAnsi="Century Gothic"/>
                <w:color w:val="000000" w:themeColor="text1"/>
                <w:sz w:val="20"/>
                <w:szCs w:val="20"/>
              </w:rPr>
            </w:pPr>
          </w:p>
          <w:p w14:paraId="6AADEC5E" w14:textId="77777777" w:rsidR="003261C8" w:rsidRPr="00D2561F" w:rsidRDefault="003261C8" w:rsidP="00DE7A48">
            <w:pPr>
              <w:spacing w:line="276" w:lineRule="auto"/>
              <w:jc w:val="both"/>
              <w:rPr>
                <w:rFonts w:ascii="Century Gothic" w:hAnsi="Century Gothic"/>
                <w:color w:val="000000" w:themeColor="text1"/>
                <w:sz w:val="20"/>
                <w:szCs w:val="20"/>
              </w:rPr>
            </w:pPr>
          </w:p>
          <w:p w14:paraId="327EEC3A" w14:textId="77777777" w:rsidR="003261C8" w:rsidRPr="00D2561F" w:rsidRDefault="003261C8" w:rsidP="00DE7A48">
            <w:pPr>
              <w:spacing w:line="276" w:lineRule="auto"/>
              <w:jc w:val="both"/>
              <w:rPr>
                <w:rFonts w:ascii="Century Gothic" w:hAnsi="Century Gothic"/>
                <w:color w:val="000000" w:themeColor="text1"/>
                <w:sz w:val="20"/>
                <w:szCs w:val="20"/>
              </w:rPr>
            </w:pPr>
          </w:p>
          <w:p w14:paraId="12C1060D" w14:textId="77777777" w:rsidR="003261C8" w:rsidRPr="00D2561F" w:rsidRDefault="003261C8" w:rsidP="00DE7A48">
            <w:pPr>
              <w:spacing w:line="276" w:lineRule="auto"/>
              <w:jc w:val="both"/>
              <w:rPr>
                <w:rFonts w:ascii="Century Gothic" w:hAnsi="Century Gothic"/>
                <w:color w:val="000000" w:themeColor="text1"/>
                <w:sz w:val="20"/>
                <w:szCs w:val="20"/>
              </w:rPr>
            </w:pPr>
          </w:p>
          <w:p w14:paraId="5392FCD7" w14:textId="77777777" w:rsidR="003261C8" w:rsidRPr="00D2561F" w:rsidRDefault="003261C8" w:rsidP="00DE7A48">
            <w:pPr>
              <w:spacing w:line="276" w:lineRule="auto"/>
              <w:jc w:val="both"/>
              <w:rPr>
                <w:rFonts w:ascii="Century Gothic" w:hAnsi="Century Gothic"/>
                <w:color w:val="000000" w:themeColor="text1"/>
                <w:sz w:val="20"/>
                <w:szCs w:val="20"/>
              </w:rPr>
            </w:pPr>
          </w:p>
          <w:p w14:paraId="550256A0" w14:textId="77777777" w:rsidR="003261C8" w:rsidRPr="00D2561F" w:rsidRDefault="003261C8" w:rsidP="00DE7A48">
            <w:pPr>
              <w:spacing w:line="276" w:lineRule="auto"/>
              <w:jc w:val="both"/>
              <w:rPr>
                <w:rFonts w:ascii="Century Gothic" w:hAnsi="Century Gothic"/>
                <w:color w:val="000000" w:themeColor="text1"/>
                <w:sz w:val="20"/>
                <w:szCs w:val="20"/>
              </w:rPr>
            </w:pPr>
          </w:p>
          <w:p w14:paraId="100A2FFC" w14:textId="77777777" w:rsidR="003261C8" w:rsidRPr="00D2561F" w:rsidRDefault="003261C8" w:rsidP="00DE7A48">
            <w:pPr>
              <w:spacing w:line="276" w:lineRule="auto"/>
              <w:jc w:val="both"/>
              <w:rPr>
                <w:rFonts w:ascii="Century Gothic" w:hAnsi="Century Gothic"/>
                <w:color w:val="000000" w:themeColor="text1"/>
                <w:sz w:val="20"/>
                <w:szCs w:val="20"/>
              </w:rPr>
            </w:pPr>
          </w:p>
          <w:p w14:paraId="2948A823" w14:textId="77777777" w:rsidR="003261C8" w:rsidRPr="00D2561F" w:rsidRDefault="003261C8" w:rsidP="00DE7A48">
            <w:pPr>
              <w:spacing w:line="276" w:lineRule="auto"/>
              <w:jc w:val="both"/>
              <w:rPr>
                <w:rFonts w:ascii="Century Gothic" w:hAnsi="Century Gothic"/>
                <w:color w:val="000000" w:themeColor="text1"/>
                <w:sz w:val="20"/>
                <w:szCs w:val="20"/>
              </w:rPr>
            </w:pPr>
          </w:p>
          <w:p w14:paraId="7F256895" w14:textId="7ABA751B" w:rsidR="001F6316" w:rsidRPr="00D2561F" w:rsidRDefault="00314401"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Proposición</w:t>
            </w:r>
            <w:r w:rsidR="00C63712" w:rsidRPr="00D2561F">
              <w:rPr>
                <w:rFonts w:ascii="Century Gothic" w:hAnsi="Century Gothic"/>
                <w:color w:val="000000" w:themeColor="text1"/>
                <w:sz w:val="20"/>
                <w:szCs w:val="20"/>
              </w:rPr>
              <w:t xml:space="preserve"> del R</w:t>
            </w:r>
            <w:r w:rsidR="00B14FA6" w:rsidRPr="00D2561F">
              <w:rPr>
                <w:rFonts w:ascii="Century Gothic" w:hAnsi="Century Gothic"/>
                <w:color w:val="000000" w:themeColor="text1"/>
                <w:sz w:val="20"/>
                <w:szCs w:val="20"/>
              </w:rPr>
              <w:t>epresentante Julio Cesar Triana se incluye definición de “capacidad económica del alimentante”.</w:t>
            </w:r>
          </w:p>
        </w:tc>
      </w:tr>
      <w:tr w:rsidR="00F15D6D" w:rsidRPr="00D2561F" w14:paraId="63099053"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7CDC4"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3º. PRINCIPIOS. </w:t>
            </w:r>
            <w:r w:rsidRPr="00D2561F">
              <w:rPr>
                <w:rFonts w:ascii="Century Gothic" w:hAnsi="Century Gothic"/>
                <w:color w:val="000000" w:themeColor="text1"/>
                <w:sz w:val="20"/>
                <w:szCs w:val="20"/>
              </w:rPr>
              <w:t>La presente ley está regida por los principios establecidos en la Constitución Política, la Ley 1257 de 2008, la Ley 1098 de 2006, la Ley 1251 de 2008 y la Ley 1618 de 2013, la Ley 1850 de 2017 y la Ley 2126 de 2021 así como por los siguientes principios: pro persona y pro víctima, corresponsabilidad, participación, justicia restaurativa, debido proceso, imparcialidad, celeridad, prevención, no discriminación, justicia, equidad, libertad y dignidad. </w:t>
            </w:r>
          </w:p>
          <w:p w14:paraId="220DAE73"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 interpretación se realizará adoptando los estándares más altos posibles que garanticen el goce efectivo de los derechos de los acreedores de alimentos que pertenezcan a un grupo de especial protección reconocido en el marco normativo y jurisprudencial vigente.</w:t>
            </w:r>
          </w:p>
          <w:p w14:paraId="46E38469" w14:textId="01EA27E1" w:rsidR="00F15D6D" w:rsidRPr="00D2561F" w:rsidRDefault="00F15D6D" w:rsidP="00F15D6D">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highlight w:val="white"/>
              </w:rPr>
              <w:t>Parágrafo.</w:t>
            </w:r>
            <w:r w:rsidRPr="00D2561F">
              <w:rPr>
                <w:rFonts w:ascii="Century Gothic" w:hAnsi="Century Gothic"/>
                <w:color w:val="000000" w:themeColor="text1"/>
                <w:sz w:val="20"/>
                <w:szCs w:val="20"/>
                <w:highlight w:val="white"/>
              </w:rPr>
              <w:t xml:space="preserve"> En los casos de violencia económica establecidos en la Ley 1257 de 2008 o las que la modifiquen y/o en los de violencia en el contexto familiar según la Ley 2126 de 2021 o la que la modifique, el juez adoptará las medidas idóneas e inmediatas cuando exista riesgo de revictimización por incumplimiento alimentario.</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2A503"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3º. PRINCIPIOS. </w:t>
            </w:r>
            <w:r w:rsidRPr="00D2561F">
              <w:rPr>
                <w:rFonts w:ascii="Century Gothic" w:hAnsi="Century Gothic"/>
                <w:color w:val="000000" w:themeColor="text1"/>
                <w:sz w:val="20"/>
                <w:szCs w:val="20"/>
              </w:rPr>
              <w:t>La presente ley está regida por los principios establecidos en la Constitución Política, la Ley 1257 de 2008, la Ley 1098 de 2006, la Ley 1251 de 2008 y la Ley 1618 de 2013, la Ley 1850 de 2017 y la Ley 2126 de 2021 así como por los siguientes principios: pro persona y pro víctima, corresponsabilidad, participación, justicia restaurativa, debido proceso, imparcialidad, celeridad, prevención, no discriminación, justicia, equidad, libertad y dignidad. </w:t>
            </w:r>
          </w:p>
          <w:p w14:paraId="77B103EE"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 interpretación se realizará adoptando los estándares más altos posibles que garanticen el goce efectivo de los derechos de los acreedores de alimentos que pertenezcan a un grupo de especial protección reconocido en el marco normativo y jurisprudencial vigente.</w:t>
            </w:r>
          </w:p>
          <w:p w14:paraId="215B86D7" w14:textId="5CF0C93B" w:rsidR="00F15D6D" w:rsidRPr="00D2561F" w:rsidRDefault="00F15D6D" w:rsidP="00F15D6D">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highlight w:val="white"/>
              </w:rPr>
              <w:t>Parágrafo.</w:t>
            </w:r>
            <w:r w:rsidRPr="00D2561F">
              <w:rPr>
                <w:rFonts w:ascii="Century Gothic" w:hAnsi="Century Gothic"/>
                <w:color w:val="000000" w:themeColor="text1"/>
                <w:sz w:val="20"/>
                <w:szCs w:val="20"/>
                <w:highlight w:val="white"/>
              </w:rPr>
              <w:t xml:space="preserve"> En los casos de violencia económica establecidos en la Ley 1257 de 2008 o las que la modifiquen y/o en los de violencia en el contexto familiar según la Ley 2126 de 2021 o la que la modifique, el juez adoptará las medidas idóneas e inmediatas cuando exista riesgo de revictimización por incumplimiento alimentario.</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9E2A3" w14:textId="64C71A7E"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modificación</w:t>
            </w:r>
          </w:p>
          <w:p w14:paraId="4F509FA6" w14:textId="313665F3" w:rsidR="00F15D6D" w:rsidRPr="00D2561F" w:rsidRDefault="00F15D6D" w:rsidP="00F15D6D">
            <w:pPr>
              <w:spacing w:line="276" w:lineRule="auto"/>
              <w:jc w:val="both"/>
              <w:rPr>
                <w:rFonts w:ascii="Century Gothic" w:hAnsi="Century Gothic"/>
                <w:color w:val="000000" w:themeColor="text1"/>
                <w:sz w:val="20"/>
                <w:szCs w:val="20"/>
              </w:rPr>
            </w:pPr>
          </w:p>
        </w:tc>
      </w:tr>
      <w:tr w:rsidR="00F15D6D" w:rsidRPr="00D2561F" w14:paraId="7F25689A"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97"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4º. ENFOQUES. </w:t>
            </w:r>
            <w:r w:rsidRPr="00D2561F">
              <w:rPr>
                <w:rFonts w:ascii="Century Gothic" w:hAnsi="Century Gothic"/>
                <w:color w:val="000000" w:themeColor="text1"/>
                <w:sz w:val="20"/>
                <w:szCs w:val="20"/>
              </w:rPr>
              <w:t>La presente ley incorpora de manera transversal los enfoques de igualdad de oportunidades, derechos humanos, participación social, de género, etnicidad, diversidad cultural y desarrollo a lo largo del curso de vida, como principios rectores para el diseño, ejecución y evaluación de las acciones derivadas de la presente ley.</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98"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4º. ENFOQUES. </w:t>
            </w:r>
            <w:r w:rsidRPr="00D2561F">
              <w:rPr>
                <w:rFonts w:ascii="Century Gothic" w:hAnsi="Century Gothic"/>
                <w:color w:val="000000" w:themeColor="text1"/>
                <w:sz w:val="20"/>
                <w:szCs w:val="20"/>
              </w:rPr>
              <w:t>La presente ley incorpora de manera transversal los enfoques de igualdad de oportunidades, derechos humanos, participación social, de género, etnicidad, diversidad cultural y desarrollo a lo largo del curso de vida, como principios rectores para el diseño, ejecución y evaluación de las acciones derivadas de la presente ley.</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99"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8A0"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9B" w14:textId="77777777" w:rsidR="00F15D6D" w:rsidRPr="00D2561F" w:rsidRDefault="00F15D6D" w:rsidP="00F15D6D">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ARTÍCULO 5º. ÁMBITO DE APLICACIÓN. </w:t>
            </w:r>
            <w:r w:rsidRPr="00D2561F">
              <w:rPr>
                <w:rFonts w:ascii="Century Gothic" w:hAnsi="Century Gothic"/>
                <w:color w:val="000000" w:themeColor="text1"/>
                <w:sz w:val="20"/>
                <w:szCs w:val="20"/>
              </w:rPr>
              <w:t>La presente ley se aplicará en todo el territorio nacional cuando la persona obligada a dar alimentos o el deudor alimentario incumpla de manera grave y reiterada la obligación alimentaria.</w:t>
            </w:r>
          </w:p>
          <w:p w14:paraId="7F25689C" w14:textId="77777777" w:rsidR="00F15D6D" w:rsidRPr="00D2561F" w:rsidRDefault="00F15D6D" w:rsidP="00F15D6D">
            <w:pPr>
              <w:spacing w:line="276" w:lineRule="auto"/>
              <w:jc w:val="center"/>
              <w:rPr>
                <w:rFonts w:ascii="Century Gothic" w:hAnsi="Century Gothic"/>
                <w:b/>
                <w:bCs/>
                <w:color w:val="000000" w:themeColor="text1"/>
                <w:sz w:val="20"/>
                <w:szCs w:val="20"/>
              </w:rPr>
            </w:pP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9D" w14:textId="77777777" w:rsidR="00F15D6D" w:rsidRPr="00D2561F" w:rsidRDefault="00F15D6D" w:rsidP="00F15D6D">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ARTÍCULO 5º. ÁMBITO DE APLICACIÓN. </w:t>
            </w:r>
            <w:r w:rsidRPr="00D2561F">
              <w:rPr>
                <w:rFonts w:ascii="Century Gothic" w:hAnsi="Century Gothic"/>
                <w:color w:val="000000" w:themeColor="text1"/>
                <w:sz w:val="20"/>
                <w:szCs w:val="20"/>
              </w:rPr>
              <w:t>La presente ley se aplicará en todo el territorio nacional cuando la persona obligada a dar alimentos o el deudor alimentario incumpla de manera grave y reiterada la obligación alimentaria.</w:t>
            </w:r>
          </w:p>
          <w:p w14:paraId="7F25689E" w14:textId="77777777" w:rsidR="00F15D6D" w:rsidRPr="00D2561F" w:rsidRDefault="00F15D6D" w:rsidP="00F15D6D">
            <w:pPr>
              <w:spacing w:line="276" w:lineRule="auto"/>
              <w:jc w:val="center"/>
              <w:rPr>
                <w:rFonts w:ascii="Century Gothic" w:hAnsi="Century Gothic"/>
                <w:color w:val="000000" w:themeColor="text1"/>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9F"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Sin modificaciones </w:t>
            </w:r>
          </w:p>
        </w:tc>
      </w:tr>
      <w:tr w:rsidR="00F15D6D" w:rsidRPr="00D2561F" w14:paraId="7F2568AA"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A1"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6º. AMPARO ALIMENTARIO. </w:t>
            </w:r>
            <w:r w:rsidRPr="00D2561F">
              <w:rPr>
                <w:rFonts w:ascii="Century Gothic" w:hAnsi="Century Gothic"/>
                <w:color w:val="000000" w:themeColor="text1"/>
                <w:sz w:val="20"/>
                <w:szCs w:val="20"/>
              </w:rPr>
              <w:t>Es el proceso especial de fijación y/o ejecución de alimentos que tiene por finalidad proteger los derechos de las personas titulares del derecho de alimentos cuando la Persona obligada a dar alimentos o el deudor alimentario incumpla la obligación alimentaria de forma grave y reiterada.</w:t>
            </w:r>
          </w:p>
          <w:p w14:paraId="7F2568A2"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El amparo alimentario de conformidad con lo establecido en la Ley 270 de 1996 o la que la modifique o sustituya, será de conocimiento de la jurisdicción ordinaria en la especialidad civil-familia. </w:t>
            </w:r>
          </w:p>
          <w:p w14:paraId="7F2568A4" w14:textId="04A06739" w:rsidR="00F15D6D" w:rsidRPr="00D2561F" w:rsidRDefault="00F15D6D" w:rsidP="003261C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En el amparo alimentario la competencia corresponde en forma privativa al juez civil o de familia, si no existieren en el lugar corresponde la competencia al Promiscuo Municipal del domicilio o residencia del titular de derecho de alimentos o el que haga sus veces</w:t>
            </w:r>
            <w:r w:rsidR="003261C8" w:rsidRPr="00D2561F">
              <w:rPr>
                <w:rFonts w:ascii="Century Gothic" w:hAnsi="Century Gothic"/>
                <w:color w:val="000000" w:themeColor="text1"/>
                <w:sz w:val="20"/>
                <w:szCs w:val="20"/>
              </w:rPr>
              <w:t>.</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A5"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6º. AMPARO ALIMENTARIO. </w:t>
            </w:r>
            <w:r w:rsidRPr="00D2561F">
              <w:rPr>
                <w:rFonts w:ascii="Century Gothic" w:hAnsi="Century Gothic"/>
                <w:color w:val="000000" w:themeColor="text1"/>
                <w:sz w:val="20"/>
                <w:szCs w:val="20"/>
              </w:rPr>
              <w:t>Es el proceso especial de fijación y/o ejecución de alimentos que tiene por finalidad proteger los derechos de las personas titulares del derecho de alimentos cuando la Persona obligada a dar alimentos o el deudor alimentario incumpla la obligación alimentaria de forma grave y reiterada.</w:t>
            </w:r>
          </w:p>
          <w:p w14:paraId="7F2568A6"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El amparo alimentario de conformidad con lo establecido en la Ley 270 de 1996 o la que la modifique o sustituya, será de conocimiento de la jurisdicción ordinaria en la especialidad civil-familia. </w:t>
            </w:r>
          </w:p>
          <w:p w14:paraId="7F2568A7"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En el amparo alimentario la competencia corresponde en forma privativa al juez civil o de familia, si no existieren en el lugar corresponde la competencia al Promiscuo Municipal del domicilio o residencia del titular de derecho de alimentos o el que haga sus veces.</w:t>
            </w:r>
          </w:p>
          <w:p w14:paraId="7F2568A8" w14:textId="77777777" w:rsidR="00F15D6D" w:rsidRPr="00D2561F" w:rsidRDefault="00F15D6D" w:rsidP="00F15D6D">
            <w:pPr>
              <w:spacing w:line="276" w:lineRule="auto"/>
              <w:jc w:val="center"/>
              <w:rPr>
                <w:rFonts w:ascii="Century Gothic" w:hAnsi="Century Gothic"/>
                <w:color w:val="000000" w:themeColor="text1"/>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A9"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8BE"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AB"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7º. REMISIÓN NORMATIVA. </w:t>
            </w:r>
            <w:r w:rsidRPr="00D2561F">
              <w:rPr>
                <w:rFonts w:ascii="Century Gothic" w:hAnsi="Century Gothic"/>
                <w:color w:val="000000" w:themeColor="text1"/>
                <w:sz w:val="20"/>
                <w:szCs w:val="20"/>
              </w:rPr>
              <w:t> Con excepción de las demás regulaciones de la presente ley el amparo alimentario se regirá en su trámite, términos, impugnación, desacato y régimen probatorio por las mismas normas que regulan la acción de tutela. </w:t>
            </w:r>
          </w:p>
          <w:p w14:paraId="7F2568AC"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strike/>
                <w:color w:val="000000" w:themeColor="text1"/>
                <w:sz w:val="20"/>
                <w:szCs w:val="20"/>
                <w:u w:val="single"/>
              </w:rPr>
              <w:br/>
            </w:r>
            <w:r w:rsidRPr="00D2561F">
              <w:rPr>
                <w:rFonts w:ascii="Century Gothic" w:hAnsi="Century Gothic"/>
                <w:b/>
                <w:bCs/>
                <w:color w:val="000000" w:themeColor="text1"/>
                <w:sz w:val="20"/>
                <w:szCs w:val="20"/>
              </w:rPr>
              <w:t>Parágrafo 1.</w:t>
            </w:r>
            <w:r w:rsidRPr="00D2561F">
              <w:rPr>
                <w:rFonts w:ascii="Century Gothic" w:hAnsi="Century Gothic"/>
                <w:color w:val="000000" w:themeColor="text1"/>
                <w:sz w:val="20"/>
                <w:szCs w:val="20"/>
              </w:rPr>
              <w:t xml:space="preserve"> No serán aplicables al proceso de amparo alimentario las normas procesales de tutela de materias distintas a las señaladas en el presente artículo. No serán aplicables las reglas de procedibilidad y subsidiariedad del artículo 6 del Decreto 2591 de 1991.</w:t>
            </w:r>
          </w:p>
          <w:p w14:paraId="7F2568AD"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 2.</w:t>
            </w:r>
            <w:r w:rsidRPr="00D2561F">
              <w:rPr>
                <w:rFonts w:ascii="Century Gothic" w:hAnsi="Century Gothic"/>
                <w:color w:val="000000" w:themeColor="text1"/>
                <w:sz w:val="20"/>
                <w:szCs w:val="20"/>
              </w:rPr>
              <w:t xml:space="preserve"> Si bien el proceso de amparo alimentario se rige para efectos procesales por las normas de la acción constitucional de tutela, este proceso de amparo alimentario no será enviado a la Corte Constitucional para su eventual revisión. </w:t>
            </w:r>
          </w:p>
          <w:p w14:paraId="7F2568AE"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 3.</w:t>
            </w:r>
            <w:r w:rsidRPr="00D2561F">
              <w:rPr>
                <w:rFonts w:ascii="Century Gothic" w:hAnsi="Century Gothic"/>
                <w:color w:val="000000" w:themeColor="text1"/>
                <w:sz w:val="20"/>
                <w:szCs w:val="20"/>
              </w:rPr>
              <w:t xml:space="preserve"> En el auto que resuelve el incidente de desacato el juez atendiendo a los principios de razonabilidad y proporcionalidad podrá reformular sus órdenes o acudir al método de libranza o similares agregando dichas órdenes a terceros con relaciones contractuales con la persona obligada a dar alimentos o el deudor con la finalidad de asegurar la efectividad de la sentencia.</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2E289" w14:textId="4FB4E9F5" w:rsidR="00F15D6D" w:rsidRPr="00D2561F" w:rsidRDefault="00F15D6D" w:rsidP="00F15D6D">
            <w:pPr>
              <w:pBdr>
                <w:top w:val="nil"/>
                <w:left w:val="nil"/>
                <w:bottom w:val="nil"/>
                <w:right w:val="nil"/>
                <w:between w:val="nil"/>
              </w:pBdr>
              <w:spacing w:line="276" w:lineRule="auto"/>
              <w:jc w:val="both"/>
              <w:rPr>
                <w:rFonts w:ascii="Century Gothic" w:hAnsi="Century Gothic"/>
                <w:b/>
                <w:bCs/>
                <w:color w:val="000000" w:themeColor="text1"/>
                <w:sz w:val="20"/>
                <w:szCs w:val="20"/>
                <w:u w:val="single"/>
              </w:rPr>
            </w:pPr>
            <w:r w:rsidRPr="00D2561F">
              <w:rPr>
                <w:rFonts w:ascii="Century Gothic" w:hAnsi="Century Gothic"/>
                <w:b/>
                <w:bCs/>
                <w:color w:val="000000" w:themeColor="text1"/>
                <w:sz w:val="20"/>
                <w:szCs w:val="20"/>
              </w:rPr>
              <w:t xml:space="preserve">ARTÍCULO 7º. </w:t>
            </w:r>
            <w:r w:rsidRPr="00D2561F">
              <w:rPr>
                <w:rFonts w:ascii="Century Gothic" w:hAnsi="Century Gothic"/>
                <w:b/>
                <w:bCs/>
                <w:color w:val="000000" w:themeColor="text1"/>
                <w:sz w:val="20"/>
                <w:szCs w:val="20"/>
                <w:u w:val="single"/>
              </w:rPr>
              <w:t>RÉGIMEN PROCESAL Y</w:t>
            </w:r>
            <w:r w:rsidRPr="00D2561F">
              <w:rPr>
                <w:rFonts w:ascii="Century Gothic" w:hAnsi="Century Gothic"/>
                <w:b/>
                <w:bCs/>
                <w:color w:val="000000" w:themeColor="text1"/>
                <w:sz w:val="20"/>
                <w:szCs w:val="20"/>
              </w:rPr>
              <w:t xml:space="preserve"> REMISIÓN NORMATIVA. </w:t>
            </w:r>
            <w:r w:rsidRPr="00D2561F">
              <w:rPr>
                <w:rFonts w:ascii="Century Gothic" w:hAnsi="Century Gothic"/>
                <w:color w:val="000000" w:themeColor="text1"/>
                <w:sz w:val="20"/>
                <w:szCs w:val="20"/>
              </w:rPr>
              <w:t> </w:t>
            </w:r>
            <w:r w:rsidRPr="00D2561F">
              <w:rPr>
                <w:rFonts w:ascii="Century Gothic" w:hAnsi="Century Gothic"/>
                <w:b/>
                <w:bCs/>
                <w:color w:val="000000" w:themeColor="text1"/>
                <w:sz w:val="20"/>
                <w:szCs w:val="20"/>
                <w:u w:val="single"/>
              </w:rPr>
              <w:t xml:space="preserve">El Proceso Único Especial de Amparo Alimentario se tramitará con arreglo a los principios de celeridad, prevalencia del derecho sustancial, oficiosidad, inmediación, concentración, economía procesal, contradicción, debido proceso y tutela judicial efectiva. Así como a las siguientes reglas: </w:t>
            </w:r>
          </w:p>
          <w:p w14:paraId="2ACBD4EE" w14:textId="77777777" w:rsidR="00F15D6D" w:rsidRPr="00D2561F" w:rsidRDefault="00F15D6D" w:rsidP="00F15D6D">
            <w:pPr>
              <w:pBdr>
                <w:top w:val="nil"/>
                <w:left w:val="nil"/>
                <w:bottom w:val="nil"/>
                <w:right w:val="nil"/>
                <w:between w:val="nil"/>
              </w:pBdr>
              <w:spacing w:line="276" w:lineRule="auto"/>
              <w:jc w:val="both"/>
              <w:rPr>
                <w:rFonts w:ascii="Century Gothic" w:hAnsi="Century Gothic"/>
                <w:b/>
                <w:bCs/>
                <w:color w:val="000000" w:themeColor="text1"/>
                <w:sz w:val="20"/>
                <w:szCs w:val="20"/>
                <w:u w:val="single"/>
              </w:rPr>
            </w:pPr>
          </w:p>
          <w:p w14:paraId="176895AE" w14:textId="08DE76C7" w:rsidR="00F15D6D" w:rsidRPr="00D2561F" w:rsidRDefault="00F15D6D" w:rsidP="006C29F7">
            <w:pPr>
              <w:numPr>
                <w:ilvl w:val="0"/>
                <w:numId w:val="3"/>
              </w:numPr>
              <w:pBdr>
                <w:top w:val="nil"/>
                <w:left w:val="nil"/>
                <w:bottom w:val="nil"/>
                <w:right w:val="nil"/>
                <w:between w:val="nil"/>
              </w:pBdr>
              <w:spacing w:line="276" w:lineRule="auto"/>
              <w:ind w:left="180" w:firstLine="0"/>
              <w:jc w:val="both"/>
              <w:rPr>
                <w:rFonts w:ascii="Century Gothic" w:hAnsi="Century Gothic"/>
                <w:b/>
                <w:bCs/>
                <w:color w:val="000000" w:themeColor="text1"/>
                <w:sz w:val="20"/>
                <w:szCs w:val="20"/>
                <w:u w:val="single"/>
              </w:rPr>
            </w:pPr>
            <w:r w:rsidRPr="00D2561F">
              <w:rPr>
                <w:rFonts w:ascii="Century Gothic" w:hAnsi="Century Gothic"/>
                <w:b/>
                <w:bCs/>
                <w:color w:val="000000" w:themeColor="text1"/>
                <w:sz w:val="20"/>
                <w:szCs w:val="20"/>
                <w:u w:val="single"/>
              </w:rPr>
              <w:t>Admisión y traslado. Presentada la demanda y verificado el cumplimiento de los requisitos legales, el juez la admitirá dentro de las cuarenta y ocho (48) horas siguientes y correrá traslado a la parte demandada por el término de cinco (5) días hábiles, para que ejerza su derecho de defensa, solicite pruebas y aporte las que pretenda hacer valer.</w:t>
            </w:r>
            <w:r w:rsidRPr="00D2561F">
              <w:rPr>
                <w:rFonts w:ascii="Century Gothic" w:hAnsi="Century Gothic"/>
                <w:b/>
                <w:bCs/>
                <w:color w:val="000000" w:themeColor="text1"/>
                <w:sz w:val="20"/>
                <w:szCs w:val="20"/>
                <w:u w:val="single"/>
              </w:rPr>
              <w:br/>
            </w:r>
          </w:p>
          <w:p w14:paraId="7F2568B1" w14:textId="5D0832CF" w:rsidR="00F15D6D" w:rsidRPr="00D2561F" w:rsidRDefault="00F15D6D" w:rsidP="006C29F7">
            <w:pPr>
              <w:numPr>
                <w:ilvl w:val="0"/>
                <w:numId w:val="3"/>
              </w:numPr>
              <w:pBdr>
                <w:top w:val="nil"/>
                <w:left w:val="nil"/>
                <w:bottom w:val="nil"/>
                <w:right w:val="nil"/>
                <w:between w:val="nil"/>
              </w:pBdr>
              <w:spacing w:line="276" w:lineRule="auto"/>
              <w:ind w:left="180" w:firstLine="0"/>
              <w:jc w:val="both"/>
              <w:rPr>
                <w:rFonts w:ascii="Century Gothic" w:hAnsi="Century Gothic"/>
                <w:b/>
                <w:bCs/>
                <w:color w:val="000000" w:themeColor="text1"/>
                <w:sz w:val="20"/>
                <w:szCs w:val="20"/>
                <w:u w:val="single"/>
              </w:rPr>
            </w:pPr>
            <w:r w:rsidRPr="00D2561F">
              <w:rPr>
                <w:rFonts w:ascii="Century Gothic" w:hAnsi="Century Gothic"/>
                <w:b/>
                <w:bCs/>
                <w:color w:val="000000" w:themeColor="text1"/>
                <w:sz w:val="20"/>
                <w:szCs w:val="20"/>
                <w:u w:val="single"/>
              </w:rPr>
              <w:t xml:space="preserve">Pruebas. Vencido el traslado, el juez decretará de oficio o a solicitud de parte, las pruebas conducentes, útiles y pertinentes. </w:t>
            </w:r>
            <w:r w:rsidRPr="00D2561F">
              <w:rPr>
                <w:rFonts w:ascii="Century Gothic" w:hAnsi="Century Gothic"/>
                <w:b/>
                <w:bCs/>
                <w:color w:val="000000" w:themeColor="text1"/>
                <w:sz w:val="20"/>
                <w:szCs w:val="20"/>
                <w:u w:val="single"/>
              </w:rPr>
              <w:br/>
              <w:t xml:space="preserve">De las pruebas practicadas, se correrá traslado por escrito a las partes por el término de tres (3) días hábiles para que se pronuncien. </w:t>
            </w:r>
            <w:r w:rsidRPr="00D2561F">
              <w:rPr>
                <w:rFonts w:ascii="Century Gothic" w:hAnsi="Century Gothic"/>
                <w:b/>
                <w:bCs/>
                <w:color w:val="000000" w:themeColor="text1"/>
                <w:sz w:val="20"/>
                <w:szCs w:val="20"/>
                <w:u w:val="single"/>
              </w:rPr>
              <w:br/>
              <w:t>El juez, en aplicación de los principios de celeridad y prevalencia del derecho sustancial, podrá prescindir de la práctica de pruebas manifiestamente inconducentes, impertinentes, superfluas o dilatorias. Si llegase al convencimiento respecto de la situación litigiosa, podrá proferir el fallo, sin necesidad de practicar las pruebas solicitadas.</w:t>
            </w:r>
          </w:p>
          <w:p w14:paraId="7F2568B2" w14:textId="4CA85C8E" w:rsidR="00F15D6D" w:rsidRPr="00D2561F" w:rsidRDefault="00F15D6D" w:rsidP="006C29F7">
            <w:pPr>
              <w:pBdr>
                <w:top w:val="nil"/>
                <w:left w:val="nil"/>
                <w:bottom w:val="nil"/>
                <w:right w:val="nil"/>
                <w:between w:val="nil"/>
              </w:pBdr>
              <w:spacing w:line="276" w:lineRule="auto"/>
              <w:ind w:left="180"/>
              <w:jc w:val="both"/>
              <w:rPr>
                <w:rFonts w:ascii="Century Gothic" w:hAnsi="Century Gothic"/>
                <w:b/>
                <w:bCs/>
                <w:color w:val="000000" w:themeColor="text1"/>
                <w:sz w:val="20"/>
                <w:szCs w:val="20"/>
                <w:u w:val="single"/>
              </w:rPr>
            </w:pPr>
            <w:r w:rsidRPr="00D2561F">
              <w:rPr>
                <w:rFonts w:ascii="Century Gothic" w:hAnsi="Century Gothic"/>
                <w:b/>
                <w:bCs/>
                <w:color w:val="000000" w:themeColor="text1"/>
                <w:sz w:val="20"/>
                <w:szCs w:val="20"/>
                <w:u w:val="single"/>
              </w:rPr>
              <w:t>La carga dinámica de la prueba se aplicará conforme al artículo 167 del Código General del Proceso.</w:t>
            </w:r>
          </w:p>
          <w:p w14:paraId="07B8C784" w14:textId="77777777" w:rsidR="00F15D6D" w:rsidRPr="00D2561F" w:rsidRDefault="00F15D6D" w:rsidP="006C29F7">
            <w:pPr>
              <w:pBdr>
                <w:top w:val="nil"/>
                <w:left w:val="nil"/>
                <w:bottom w:val="nil"/>
                <w:right w:val="nil"/>
                <w:between w:val="nil"/>
              </w:pBdr>
              <w:spacing w:line="276" w:lineRule="auto"/>
              <w:ind w:left="180"/>
              <w:jc w:val="both"/>
              <w:rPr>
                <w:rFonts w:ascii="Century Gothic" w:hAnsi="Century Gothic"/>
                <w:b/>
                <w:bCs/>
                <w:color w:val="000000" w:themeColor="text1"/>
                <w:sz w:val="20"/>
                <w:szCs w:val="20"/>
                <w:u w:val="single"/>
              </w:rPr>
            </w:pPr>
          </w:p>
          <w:p w14:paraId="59474D4B" w14:textId="066E58D7" w:rsidR="00F15D6D" w:rsidRPr="00D2561F" w:rsidRDefault="00F15D6D" w:rsidP="006C29F7">
            <w:pPr>
              <w:numPr>
                <w:ilvl w:val="0"/>
                <w:numId w:val="3"/>
              </w:numPr>
              <w:pBdr>
                <w:top w:val="nil"/>
                <w:left w:val="nil"/>
                <w:bottom w:val="nil"/>
                <w:right w:val="nil"/>
                <w:between w:val="nil"/>
              </w:pBdr>
              <w:spacing w:line="276" w:lineRule="auto"/>
              <w:ind w:left="180" w:firstLine="0"/>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u w:val="single"/>
              </w:rPr>
              <w:t>Sentencia.</w:t>
            </w:r>
            <w:r w:rsidRPr="00D2561F">
              <w:rPr>
                <w:rFonts w:ascii="Century Gothic" w:hAnsi="Century Gothic"/>
                <w:color w:val="000000" w:themeColor="text1"/>
                <w:sz w:val="20"/>
                <w:szCs w:val="20"/>
                <w:u w:val="single"/>
              </w:rPr>
              <w:t xml:space="preserve">  Vencido el término de traslado de las pruebas o practicadas las que hubieren sido decretadas, el juez proferirá</w:t>
            </w:r>
            <w:r w:rsidRPr="00D2561F">
              <w:rPr>
                <w:rFonts w:ascii="Century Gothic" w:hAnsi="Century Gothic"/>
                <w:b/>
                <w:bCs/>
                <w:color w:val="000000" w:themeColor="text1"/>
                <w:sz w:val="20"/>
                <w:szCs w:val="20"/>
                <w:u w:val="single"/>
              </w:rPr>
              <w:t xml:space="preserve"> sentencia dentro de los cinco (5) días hábiles</w:t>
            </w:r>
            <w:r w:rsidR="006C29F7" w:rsidRPr="00D2561F">
              <w:rPr>
                <w:rFonts w:ascii="Century Gothic" w:hAnsi="Century Gothic"/>
                <w:b/>
                <w:bCs/>
                <w:color w:val="000000" w:themeColor="text1"/>
                <w:sz w:val="20"/>
                <w:szCs w:val="20"/>
                <w:u w:val="single"/>
              </w:rPr>
              <w:t>. E</w:t>
            </w:r>
            <w:r w:rsidRPr="00D2561F">
              <w:rPr>
                <w:rFonts w:ascii="Century Gothic" w:hAnsi="Century Gothic"/>
                <w:b/>
                <w:bCs/>
                <w:color w:val="000000" w:themeColor="text1"/>
                <w:sz w:val="20"/>
                <w:szCs w:val="20"/>
                <w:u w:val="single"/>
              </w:rPr>
              <w:t>xcepcionalmente, mediante providencia motivada, podrá prorrogar este término hasta por cinco (5) días hábiles adicionales cuando la complejidad del asunto o de la actividad probatoria así lo exija.</w:t>
            </w:r>
          </w:p>
          <w:p w14:paraId="7F2568B4" w14:textId="4FC74451" w:rsidR="00F15D6D" w:rsidRPr="00D2561F" w:rsidRDefault="00F15D6D" w:rsidP="006C29F7">
            <w:pPr>
              <w:numPr>
                <w:ilvl w:val="0"/>
                <w:numId w:val="3"/>
              </w:numPr>
              <w:pBdr>
                <w:top w:val="nil"/>
                <w:left w:val="nil"/>
                <w:bottom w:val="nil"/>
                <w:right w:val="nil"/>
                <w:between w:val="nil"/>
              </w:pBdr>
              <w:spacing w:line="276" w:lineRule="auto"/>
              <w:ind w:left="180" w:firstLine="0"/>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u w:val="single"/>
              </w:rPr>
              <w:t>Impugnación.</w:t>
            </w:r>
            <w:r w:rsidRPr="00D2561F">
              <w:rPr>
                <w:rFonts w:ascii="Century Gothic" w:hAnsi="Century Gothic"/>
                <w:color w:val="000000" w:themeColor="text1"/>
                <w:sz w:val="20"/>
                <w:szCs w:val="20"/>
                <w:u w:val="single"/>
              </w:rPr>
              <w:t xml:space="preserve"> </w:t>
            </w:r>
            <w:r w:rsidRPr="00D2561F">
              <w:rPr>
                <w:rFonts w:ascii="Century Gothic" w:hAnsi="Century Gothic"/>
                <w:b/>
                <w:bCs/>
                <w:color w:val="000000" w:themeColor="text1"/>
                <w:sz w:val="20"/>
                <w:szCs w:val="20"/>
                <w:u w:val="single"/>
              </w:rPr>
              <w:t>La sentencia será susceptible de impugnación ante el superior funcional dentro de los tres (3) días  hábiles siguientes a su notificación. El superior funcional resolverá en diez (10) días hábiles siguientes a la recepción del expediente.</w:t>
            </w:r>
          </w:p>
          <w:p w14:paraId="7F2568B5" w14:textId="558FD987" w:rsidR="00F15D6D" w:rsidRPr="00D2561F" w:rsidRDefault="00F15D6D" w:rsidP="006C29F7">
            <w:pPr>
              <w:numPr>
                <w:ilvl w:val="0"/>
                <w:numId w:val="3"/>
              </w:numPr>
              <w:pBdr>
                <w:top w:val="nil"/>
                <w:left w:val="nil"/>
                <w:bottom w:val="nil"/>
                <w:right w:val="nil"/>
                <w:between w:val="nil"/>
              </w:pBdr>
              <w:spacing w:line="276" w:lineRule="auto"/>
              <w:ind w:left="180" w:firstLine="0"/>
              <w:jc w:val="both"/>
              <w:rPr>
                <w:rFonts w:ascii="Century Gothic" w:hAnsi="Century Gothic"/>
                <w:b/>
                <w:bCs/>
                <w:color w:val="000000" w:themeColor="text1"/>
                <w:sz w:val="20"/>
                <w:szCs w:val="20"/>
                <w:u w:val="single"/>
              </w:rPr>
            </w:pPr>
            <w:r w:rsidRPr="00D2561F">
              <w:rPr>
                <w:rFonts w:ascii="Century Gothic" w:hAnsi="Century Gothic"/>
                <w:b/>
                <w:bCs/>
                <w:color w:val="000000" w:themeColor="text1"/>
                <w:sz w:val="20"/>
                <w:szCs w:val="20"/>
                <w:u w:val="single"/>
              </w:rPr>
              <w:t>Desacato</w:t>
            </w:r>
            <w:r w:rsidRPr="00D2561F">
              <w:rPr>
                <w:rFonts w:ascii="Century Gothic" w:hAnsi="Century Gothic"/>
                <w:color w:val="000000" w:themeColor="text1"/>
                <w:sz w:val="20"/>
                <w:szCs w:val="20"/>
                <w:u w:val="single"/>
              </w:rPr>
              <w:t>.</w:t>
            </w:r>
            <w:r w:rsidRPr="00D2561F">
              <w:rPr>
                <w:rFonts w:ascii="Century Gothic" w:hAnsi="Century Gothic"/>
                <w:b/>
                <w:bCs/>
                <w:color w:val="000000" w:themeColor="text1"/>
                <w:sz w:val="20"/>
                <w:szCs w:val="20"/>
                <w:u w:val="single"/>
              </w:rPr>
              <w:t xml:space="preserve"> El incumplimiento de las órdenes impartidas en la  sentencia dará lugar al incidente de desacato, conforme los previsto en los artículos 52 y 53 del Decreto Ley 2591 de 1991.</w:t>
            </w:r>
          </w:p>
          <w:p w14:paraId="7F2568B6" w14:textId="2071BFA0" w:rsidR="00F15D6D" w:rsidRPr="00D2561F" w:rsidRDefault="00F15D6D" w:rsidP="006C29F7">
            <w:pPr>
              <w:numPr>
                <w:ilvl w:val="0"/>
                <w:numId w:val="3"/>
              </w:numPr>
              <w:pBdr>
                <w:top w:val="nil"/>
                <w:left w:val="nil"/>
                <w:bottom w:val="nil"/>
                <w:right w:val="nil"/>
                <w:between w:val="nil"/>
              </w:pBdr>
              <w:spacing w:line="276" w:lineRule="auto"/>
              <w:ind w:left="180" w:firstLine="0"/>
              <w:jc w:val="both"/>
              <w:rPr>
                <w:rFonts w:ascii="Century Gothic" w:hAnsi="Century Gothic"/>
                <w:b/>
                <w:bCs/>
                <w:color w:val="000000" w:themeColor="text1"/>
                <w:sz w:val="20"/>
                <w:szCs w:val="20"/>
                <w:u w:val="single"/>
              </w:rPr>
            </w:pPr>
            <w:r w:rsidRPr="00D2561F">
              <w:rPr>
                <w:rFonts w:ascii="Century Gothic" w:hAnsi="Century Gothic"/>
                <w:b/>
                <w:bCs/>
                <w:color w:val="000000" w:themeColor="text1"/>
                <w:sz w:val="20"/>
                <w:szCs w:val="20"/>
                <w:u w:val="single"/>
              </w:rPr>
              <w:t>Cosa juzgada. Las decisiones adoptadas dentro del Proceso Único Especial de Amparo Alimentario harán tránsito a cosa juzgada respecto de los hechos y circunstancias examinados en el proceso, sin perjuicio de su revisión, modificación o actualización cuando sobrevengan circunstancias nuevas que afecten la obligación alimentaria o las condiciones de las partes.</w:t>
            </w:r>
          </w:p>
          <w:p w14:paraId="2CD12CC9" w14:textId="77777777" w:rsidR="00F15D6D" w:rsidRPr="00D2561F" w:rsidRDefault="00F15D6D" w:rsidP="00F15D6D">
            <w:pPr>
              <w:pBdr>
                <w:top w:val="nil"/>
                <w:left w:val="nil"/>
                <w:bottom w:val="nil"/>
                <w:right w:val="nil"/>
                <w:between w:val="nil"/>
              </w:pBdr>
              <w:spacing w:line="276" w:lineRule="auto"/>
              <w:ind w:left="327"/>
              <w:jc w:val="both"/>
              <w:rPr>
                <w:rFonts w:ascii="Century Gothic" w:hAnsi="Century Gothic"/>
                <w:b/>
                <w:bCs/>
                <w:color w:val="000000" w:themeColor="text1"/>
                <w:sz w:val="20"/>
                <w:szCs w:val="20"/>
                <w:u w:val="single"/>
              </w:rPr>
            </w:pPr>
          </w:p>
          <w:p w14:paraId="7F2568B7" w14:textId="527D734B" w:rsidR="00F15D6D" w:rsidRPr="00D2561F" w:rsidRDefault="00F15D6D" w:rsidP="00F15D6D">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u w:val="single"/>
              </w:rPr>
              <w:t>Parágrafo 1.</w:t>
            </w:r>
            <w:r w:rsidRPr="00D2561F">
              <w:rPr>
                <w:rFonts w:ascii="Century Gothic" w:hAnsi="Century Gothic"/>
                <w:color w:val="000000" w:themeColor="text1"/>
                <w:sz w:val="20"/>
                <w:szCs w:val="20"/>
                <w:u w:val="single"/>
              </w:rPr>
              <w:t xml:space="preserve"> </w:t>
            </w:r>
            <w:r w:rsidRPr="00D2561F">
              <w:rPr>
                <w:rFonts w:ascii="Century Gothic" w:hAnsi="Century Gothic"/>
                <w:b/>
                <w:bCs/>
                <w:color w:val="000000" w:themeColor="text1"/>
                <w:sz w:val="20"/>
                <w:szCs w:val="20"/>
                <w:u w:val="single"/>
              </w:rPr>
              <w:t>En lo no previsto en el presente artículo, el amparo alimentario se regirá por las normas del Decreto Ley 2591 de 1991, en cuanto resulten compatibles con su naturaleza. No serán aplicables las reglas de procedibilidad y subsidiariedad del artículo 6 del mismo decreto.</w:t>
            </w:r>
            <w:r w:rsidR="000B6A23" w:rsidRPr="00D2561F">
              <w:rPr>
                <w:b/>
                <w:bCs/>
                <w:color w:val="000000" w:themeColor="text1"/>
                <w:u w:val="single"/>
              </w:rPr>
              <w:t xml:space="preserve"> </w:t>
            </w:r>
            <w:r w:rsidR="000B6A23" w:rsidRPr="00D2561F">
              <w:rPr>
                <w:rFonts w:ascii="Century Gothic" w:hAnsi="Century Gothic"/>
                <w:b/>
                <w:bCs/>
                <w:color w:val="000000" w:themeColor="text1"/>
                <w:sz w:val="20"/>
                <w:szCs w:val="20"/>
                <w:u w:val="single"/>
              </w:rPr>
              <w:t>Así mismo el juez tendrá los poderes propios de un juez constitucional para la protección y garantía efectiva de los derechos comprometidos</w:t>
            </w:r>
            <w:r w:rsidR="000B6A23" w:rsidRPr="00D2561F">
              <w:rPr>
                <w:rFonts w:ascii="Century Gothic" w:hAnsi="Century Gothic"/>
                <w:b/>
                <w:bCs/>
                <w:color w:val="000000" w:themeColor="text1"/>
                <w:sz w:val="20"/>
                <w:szCs w:val="20"/>
              </w:rPr>
              <w:t>.</w:t>
            </w:r>
            <w:r w:rsidRPr="00D2561F">
              <w:rPr>
                <w:rFonts w:ascii="Century Gothic" w:hAnsi="Century Gothic"/>
                <w:b/>
                <w:bCs/>
                <w:color w:val="000000" w:themeColor="text1"/>
                <w:sz w:val="20"/>
                <w:szCs w:val="20"/>
              </w:rPr>
              <w:br/>
            </w:r>
          </w:p>
          <w:p w14:paraId="1C5D4B85" w14:textId="67D2793A" w:rsidR="00F15D6D" w:rsidRPr="00D2561F" w:rsidRDefault="00F15D6D" w:rsidP="00F15D6D">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Parágrafo 2.</w:t>
            </w:r>
            <w:r w:rsidRPr="00D2561F">
              <w:rPr>
                <w:rFonts w:ascii="Century Gothic" w:hAnsi="Century Gothic"/>
                <w:color w:val="000000" w:themeColor="text1"/>
                <w:sz w:val="20"/>
                <w:szCs w:val="20"/>
              </w:rPr>
              <w:t xml:space="preserve"> </w:t>
            </w:r>
            <w:r w:rsidRPr="00D2561F">
              <w:rPr>
                <w:rFonts w:ascii="Century Gothic" w:hAnsi="Century Gothic"/>
                <w:b/>
                <w:bCs/>
                <w:color w:val="000000" w:themeColor="text1"/>
                <w:sz w:val="20"/>
                <w:szCs w:val="20"/>
              </w:rPr>
              <w:t>Las providencias proferidas dentro del Proceso Único Especial de Amparo Alimentario no estarán sujetas al trámite de selección ni a la eventual revisión por parte de la Corte Constitucional</w:t>
            </w:r>
          </w:p>
          <w:p w14:paraId="6856DFBE" w14:textId="77777777" w:rsidR="00F15D6D" w:rsidRPr="00D2561F" w:rsidRDefault="00F15D6D" w:rsidP="00F15D6D">
            <w:pPr>
              <w:spacing w:line="276" w:lineRule="auto"/>
              <w:jc w:val="both"/>
              <w:rPr>
                <w:rFonts w:ascii="Century Gothic" w:hAnsi="Century Gothic"/>
                <w:b/>
                <w:bCs/>
                <w:color w:val="000000" w:themeColor="text1"/>
                <w:sz w:val="20"/>
                <w:szCs w:val="20"/>
              </w:rPr>
            </w:pPr>
          </w:p>
          <w:p w14:paraId="2CFFE380" w14:textId="77777777" w:rsidR="00F15D6D" w:rsidRPr="00D2561F" w:rsidRDefault="00F15D6D" w:rsidP="00F15D6D">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Parágrafo 3. En el auto que resuelve el incidente de desacato el juez atendiendo a los principios de razonabilidad y proporcionalidad podrá modificar o complementar las órdenes necesarias para garantizar la efectividad material de la sentencia. </w:t>
            </w:r>
          </w:p>
          <w:p w14:paraId="4EFAB17D" w14:textId="77777777" w:rsidR="00F15D6D" w:rsidRPr="00D2561F" w:rsidRDefault="00F15D6D" w:rsidP="00F15D6D">
            <w:pPr>
              <w:spacing w:line="276" w:lineRule="auto"/>
              <w:jc w:val="both"/>
              <w:rPr>
                <w:rFonts w:ascii="Century Gothic" w:hAnsi="Century Gothic"/>
                <w:b/>
                <w:bCs/>
                <w:color w:val="000000" w:themeColor="text1"/>
                <w:sz w:val="20"/>
                <w:szCs w:val="20"/>
              </w:rPr>
            </w:pPr>
          </w:p>
          <w:p w14:paraId="4B71F9CD" w14:textId="77777777" w:rsidR="00F15D6D" w:rsidRPr="00D2561F" w:rsidRDefault="00F15D6D" w:rsidP="00F15D6D">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Con el fin de garantizar el cumplimiento efectivo y oportuno de las obligaciones alimentarias reconocidas en la sentencia, el juez podrá, en cualquier etapa de ejecución o durante el trámite del incidente de desacato, ordenar la aplicación de los mecanismos de pago por libranza, descuento directo, retención o giro previstos en la Ley 2242 de 2022 y en las normas que la reglamenten, modifiquen o sustituyan.</w:t>
            </w:r>
          </w:p>
          <w:p w14:paraId="5748DEDA" w14:textId="77777777" w:rsidR="00F15D6D" w:rsidRPr="00D2561F" w:rsidRDefault="00F15D6D" w:rsidP="00F15D6D">
            <w:pPr>
              <w:spacing w:line="276" w:lineRule="auto"/>
              <w:jc w:val="both"/>
              <w:rPr>
                <w:rFonts w:ascii="Century Gothic" w:hAnsi="Century Gothic"/>
                <w:b/>
                <w:bCs/>
                <w:color w:val="000000" w:themeColor="text1"/>
                <w:sz w:val="20"/>
                <w:szCs w:val="20"/>
              </w:rPr>
            </w:pPr>
          </w:p>
          <w:p w14:paraId="6E88F8FF" w14:textId="77777777" w:rsidR="00F15D6D" w:rsidRPr="00D2561F" w:rsidRDefault="00F15D6D" w:rsidP="00F15D6D">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Para tal efecto, el juez podrá impartir las órdenes necesarias a los empleadores, contratantes, entidades pagadoras o terceros obligados por la ley, quienes deberán dar cumplimiento a la medida en los términos establecidos en la citada normativa.</w:t>
            </w:r>
          </w:p>
          <w:p w14:paraId="7F2568B9" w14:textId="008EF364" w:rsidR="00F15D6D" w:rsidRPr="00D2561F" w:rsidRDefault="00F15D6D" w:rsidP="00F15D6D">
            <w:pPr>
              <w:spacing w:line="276" w:lineRule="auto"/>
              <w:jc w:val="both"/>
              <w:rPr>
                <w:rFonts w:ascii="Century Gothic" w:hAnsi="Century Gothic"/>
                <w:strike/>
                <w:color w:val="000000" w:themeColor="text1"/>
                <w:sz w:val="20"/>
                <w:szCs w:val="20"/>
              </w:rPr>
            </w:pPr>
            <w:r w:rsidRPr="00D2561F">
              <w:rPr>
                <w:rFonts w:ascii="Century Gothic" w:hAnsi="Century Gothic"/>
                <w:strike/>
                <w:color w:val="000000" w:themeColor="text1"/>
                <w:sz w:val="20"/>
                <w:szCs w:val="20"/>
              </w:rPr>
              <w:t>o acudir al método de libranza o similares agregando dichas órdenes a terceros con relaciones contractuales con la persona obligada a dar alimentos o el deudor con la finalidad de asegurar la efectividad de la sentencia.</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BA" w14:textId="77777777" w:rsidR="00F15D6D" w:rsidRPr="00D2561F" w:rsidRDefault="00F15D6D" w:rsidP="00F15D6D">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Por proposición de la representante Karime Cotes y del representante Julio César Triana se modificó el régimen procesal del amparo alimentario, otorgándole plazos ciertos, términos perentorios y un procedimiento propio, preferente y expedito para la garantía efectiva del derecho de alimentos.</w:t>
            </w:r>
          </w:p>
          <w:p w14:paraId="0B83ECA5" w14:textId="77777777" w:rsidR="006C29F7" w:rsidRPr="00D2561F" w:rsidRDefault="006C29F7"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0A7FD65D" w14:textId="77777777" w:rsidR="006C29F7" w:rsidRPr="00D2561F" w:rsidRDefault="00F15D6D" w:rsidP="00F15D6D">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La proposición buscó evitar que el mecanismo dependiera íntegramente de la remisión general a la acción de tutela, estableciendo reglas específicas sobre admisión, práctica probatoria, fallo, impugnación y desacato. </w:t>
            </w:r>
          </w:p>
          <w:p w14:paraId="3366E116" w14:textId="77777777" w:rsidR="006C29F7" w:rsidRPr="00D2561F" w:rsidRDefault="006C29F7"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7F2568BB" w14:textId="654F6F1F" w:rsidR="00F15D6D" w:rsidRPr="00D2561F" w:rsidRDefault="00F15D6D" w:rsidP="00F15D6D">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En ese sentido, la remisión al Decreto Ley 2591 de 1991 quedó limitada únicamente a llenar los vacíos normativos del procedimiento, en aquello que resulte compatible con la naturaleza del amparo alimentario.</w:t>
            </w:r>
          </w:p>
          <w:p w14:paraId="218F9153" w14:textId="77777777" w:rsidR="006C29F7" w:rsidRPr="00D2561F" w:rsidRDefault="006C29F7"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39BF2E4D" w14:textId="27991999" w:rsidR="006C29F7" w:rsidRPr="00D2561F" w:rsidRDefault="00F15D6D" w:rsidP="00F15D6D">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Adicionalmente, </w:t>
            </w:r>
          </w:p>
          <w:p w14:paraId="7F2568BC" w14:textId="5F49B80D" w:rsidR="00F15D6D" w:rsidRPr="00D2561F" w:rsidRDefault="006C29F7" w:rsidP="00F15D6D">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w:t>
            </w:r>
            <w:r w:rsidR="00F15D6D" w:rsidRPr="00D2561F">
              <w:rPr>
                <w:rFonts w:ascii="Century Gothic" w:hAnsi="Century Gothic"/>
                <w:color w:val="000000" w:themeColor="text1"/>
                <w:sz w:val="20"/>
                <w:szCs w:val="20"/>
              </w:rPr>
              <w:t>xcluyendo además las reglas de subsidiariedad y procedibilidad previstas en el artículo 6 del Decreto 2591 de 1991.</w:t>
            </w:r>
          </w:p>
          <w:p w14:paraId="4FBB2AC4" w14:textId="77777777" w:rsidR="00F15D6D" w:rsidRPr="00D2561F" w:rsidRDefault="00F15D6D"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0D910D8" w14:textId="77777777" w:rsidR="006C29F7" w:rsidRPr="00D2561F" w:rsidRDefault="006C29F7"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7032AB3"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65ED1B3"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664FCB56"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78EB9890"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614510D7"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7733FD24"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68873017"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0FB0CFBD"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5D90CDB8"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4BCE0664"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E306249"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15C14735"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43AD2DC4"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4E3D5F78"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8300144"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1614AE9A"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336D0901"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6FAAC020"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118A9648"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733BBFD1"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551E404"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49851E42"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36272F17"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5B7498BA"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51CA5C2A"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0D5C3AB6"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4125800A"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651578CB"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7F0D99F"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469E412F" w14:textId="77777777" w:rsidR="000B6A23" w:rsidRPr="00D2561F" w:rsidRDefault="000B6A23"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D7CB44D" w14:textId="77777777" w:rsidR="000B6A23" w:rsidRPr="00D2561F" w:rsidRDefault="000B6A23"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2DB2704" w14:textId="77777777" w:rsidR="000B6A23" w:rsidRPr="00D2561F" w:rsidRDefault="000B6A23"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E5A1268" w14:textId="77777777" w:rsidR="000B6A23" w:rsidRPr="00D2561F" w:rsidRDefault="000B6A23"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77527AB7"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57B3400F" w14:textId="77777777" w:rsidR="00E2546C"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Se aclara que las sentencias no serán</w:t>
            </w:r>
            <w:r w:rsidR="00E2546C" w:rsidRPr="00D2561F">
              <w:rPr>
                <w:rFonts w:ascii="Century Gothic" w:hAnsi="Century Gothic"/>
                <w:color w:val="000000" w:themeColor="text1"/>
                <w:sz w:val="20"/>
                <w:szCs w:val="20"/>
              </w:rPr>
              <w:t xml:space="preserve"> revisadas por la Corte Constitucional pues se requiere un proceso expedito. </w:t>
            </w:r>
          </w:p>
          <w:p w14:paraId="2354EEDF" w14:textId="77777777" w:rsidR="00E2546C" w:rsidRPr="00D2561F" w:rsidRDefault="00E2546C"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1BD0A21F" w14:textId="77777777" w:rsidR="006936BE" w:rsidRPr="00D2561F" w:rsidRDefault="006936BE"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42B82E42" w14:textId="77777777" w:rsidR="006936BE" w:rsidRPr="00D2561F" w:rsidRDefault="006936BE"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030E9395" w14:textId="77777777" w:rsidR="006936BE" w:rsidRPr="00D2561F" w:rsidRDefault="006936BE"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7F1C8AC6" w14:textId="77777777" w:rsidR="006936BE" w:rsidRPr="00D2561F" w:rsidRDefault="006936BE"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3C6A723" w14:textId="77777777" w:rsidR="006936BE" w:rsidRPr="00D2561F" w:rsidRDefault="006936BE"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78F0971C" w14:textId="77777777" w:rsidR="006936BE" w:rsidRPr="00D2561F" w:rsidRDefault="006936BE"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395362A1" w14:textId="77777777" w:rsidR="006936BE" w:rsidRPr="00D2561F" w:rsidRDefault="006936BE"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21936D6D" w14:textId="77777777" w:rsidR="006936BE" w:rsidRPr="00D2561F" w:rsidRDefault="006936BE"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p w14:paraId="4E983D21" w14:textId="7EE8F74A" w:rsidR="006936BE" w:rsidRPr="00D2561F" w:rsidRDefault="006936BE" w:rsidP="00F15D6D">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Se deja claro la aplicación de la Ley 2242 de 2022, pago por libranza. </w:t>
            </w:r>
          </w:p>
          <w:p w14:paraId="1327EBF2" w14:textId="2FD9B8EE" w:rsidR="001E77B4" w:rsidRPr="00D2561F" w:rsidRDefault="00E2546C" w:rsidP="00F15D6D">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 </w:t>
            </w:r>
          </w:p>
          <w:p w14:paraId="7F2568BD" w14:textId="77777777" w:rsidR="001E77B4" w:rsidRPr="00D2561F" w:rsidRDefault="001E77B4" w:rsidP="00F15D6D">
            <w:pPr>
              <w:pBdr>
                <w:top w:val="nil"/>
                <w:left w:val="nil"/>
                <w:bottom w:val="nil"/>
                <w:right w:val="nil"/>
                <w:between w:val="nil"/>
              </w:pBdr>
              <w:spacing w:line="276" w:lineRule="auto"/>
              <w:jc w:val="both"/>
              <w:rPr>
                <w:rFonts w:ascii="Century Gothic" w:hAnsi="Century Gothic"/>
                <w:color w:val="000000" w:themeColor="text1"/>
                <w:sz w:val="20"/>
                <w:szCs w:val="20"/>
              </w:rPr>
            </w:pPr>
          </w:p>
        </w:tc>
      </w:tr>
      <w:tr w:rsidR="00F15D6D" w:rsidRPr="00D2561F" w14:paraId="7F2568C4"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BF"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8º.  PROCEDENCIA.</w:t>
            </w:r>
            <w:r w:rsidRPr="00D2561F">
              <w:rPr>
                <w:rFonts w:ascii="Century Gothic" w:hAnsi="Century Gothic"/>
                <w:color w:val="000000" w:themeColor="text1"/>
                <w:sz w:val="20"/>
                <w:szCs w:val="20"/>
              </w:rPr>
              <w:t xml:space="preserve"> El amparo alimentario es procedente cuando el titular del derecho de alimentos demanda a causa del incumplimiento grave y reiterado de la obligación alimentaria, directamente o a través de su representante legal.</w:t>
            </w:r>
          </w:p>
          <w:p w14:paraId="7F2568C0"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w:t>
            </w:r>
            <w:r w:rsidRPr="00D2561F">
              <w:rPr>
                <w:rFonts w:ascii="Century Gothic" w:hAnsi="Century Gothic"/>
                <w:color w:val="000000" w:themeColor="text1"/>
                <w:sz w:val="20"/>
                <w:szCs w:val="20"/>
              </w:rPr>
              <w:t xml:space="preserve"> Se deberá anexar prueba del vínculo que origina la obligación alimentaria. Si existiere título ejecutivo, sea este acuerdo conciliatorio, sentencia u acuerdo privado</w:t>
            </w:r>
            <w:r w:rsidRPr="00D2561F">
              <w:rPr>
                <w:rFonts w:ascii="Century Gothic" w:hAnsi="Century Gothic"/>
                <w:color w:val="000000" w:themeColor="text1"/>
                <w:sz w:val="20"/>
                <w:szCs w:val="20"/>
                <w:highlight w:val="white"/>
              </w:rPr>
              <w:t xml:space="preserve">, </w:t>
            </w:r>
            <w:r w:rsidRPr="00D2561F">
              <w:rPr>
                <w:rFonts w:ascii="Century Gothic" w:hAnsi="Century Gothic"/>
                <w:color w:val="000000" w:themeColor="text1"/>
                <w:sz w:val="20"/>
                <w:szCs w:val="20"/>
              </w:rPr>
              <w:t>éste deberá aportarse. Para ninguno de los supuestos se exigirá apoderado judicial para la presentación del amparo.</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C1"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8º.  PROCEDENCIA.</w:t>
            </w:r>
            <w:r w:rsidRPr="00D2561F">
              <w:rPr>
                <w:rFonts w:ascii="Century Gothic" w:hAnsi="Century Gothic"/>
                <w:color w:val="000000" w:themeColor="text1"/>
                <w:sz w:val="20"/>
                <w:szCs w:val="20"/>
              </w:rPr>
              <w:t xml:space="preserve"> El amparo alimentario es procedente cuando el titular del derecho de alimentos demanda a causa del incumplimiento grave y reiterado de la obligación alimentaria, directamente o a través de su representante legal.</w:t>
            </w:r>
          </w:p>
          <w:p w14:paraId="7F2568C2"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w:t>
            </w:r>
            <w:r w:rsidRPr="00D2561F">
              <w:rPr>
                <w:rFonts w:ascii="Century Gothic" w:hAnsi="Century Gothic"/>
                <w:color w:val="000000" w:themeColor="text1"/>
                <w:sz w:val="20"/>
                <w:szCs w:val="20"/>
              </w:rPr>
              <w:t xml:space="preserve"> Se deberá anexar prueba del vínculo que origina la obligación alimentaria. Si existiere título ejecutivo, sea este acuerdo conciliatorio, sentencia u acuerdo privado</w:t>
            </w:r>
            <w:r w:rsidRPr="00D2561F">
              <w:rPr>
                <w:rFonts w:ascii="Century Gothic" w:hAnsi="Century Gothic"/>
                <w:color w:val="000000" w:themeColor="text1"/>
                <w:sz w:val="20"/>
                <w:szCs w:val="20"/>
                <w:highlight w:val="white"/>
              </w:rPr>
              <w:t xml:space="preserve">, </w:t>
            </w:r>
            <w:r w:rsidRPr="00D2561F">
              <w:rPr>
                <w:rFonts w:ascii="Century Gothic" w:hAnsi="Century Gothic"/>
                <w:color w:val="000000" w:themeColor="text1"/>
                <w:sz w:val="20"/>
                <w:szCs w:val="20"/>
              </w:rPr>
              <w:t>éste deberá aportarse. Para ninguno de los supuestos se exigirá apoderado judicial para la presentación del amparo.</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C3"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Sin modificaciones. </w:t>
            </w:r>
          </w:p>
        </w:tc>
      </w:tr>
      <w:tr w:rsidR="00F15D6D" w:rsidRPr="00D2561F" w14:paraId="7F2568CA"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C5"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9º. REPARTO DEL PROCESO ESPECIAL DE FIJACIÓN Y/O EJECUCIÓN DE ALIMENTOS. </w:t>
            </w:r>
            <w:r w:rsidRPr="00D2561F">
              <w:rPr>
                <w:rFonts w:ascii="Century Gothic" w:hAnsi="Century Gothic"/>
                <w:color w:val="000000" w:themeColor="text1"/>
                <w:sz w:val="20"/>
                <w:szCs w:val="20"/>
              </w:rPr>
              <w:t>El Consejo Superior de la Judicatura deberá expedir las reglas de reparto del proceso de amparo alimentario en los seis (06) meses siguientes a la entrada en vigencia de esta ley.</w:t>
            </w:r>
          </w:p>
          <w:p w14:paraId="7F2568C6"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Para efectos del reparto, una acción de amparo alimentario equivaldrá a una acción de tutela.</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C7" w14:textId="7B946B5B" w:rsidR="00F15D6D" w:rsidRPr="00D2561F" w:rsidRDefault="00F15D6D" w:rsidP="00F15D6D">
            <w:pPr>
              <w:pBdr>
                <w:top w:val="nil"/>
                <w:left w:val="nil"/>
                <w:bottom w:val="nil"/>
                <w:right w:val="nil"/>
                <w:between w:val="nil"/>
              </w:pBdr>
              <w:spacing w:after="160"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ARTÍCULO 9º. REPARTO DEL PROCESO ESPECIAL DE FIJACIÓN Y/O EJECUCIÓN DE ALIMENTOS. </w:t>
            </w:r>
            <w:r w:rsidRPr="00D2561F">
              <w:rPr>
                <w:rFonts w:ascii="Century Gothic" w:hAnsi="Century Gothic"/>
                <w:color w:val="000000" w:themeColor="text1"/>
                <w:sz w:val="20"/>
                <w:szCs w:val="20"/>
              </w:rPr>
              <w:t xml:space="preserve">El Consejo Superior de la Judicatura deberá expedir las reglas de reparto del Proceso Único de Amparo Alimentario dentro de los seis (06) meses siguientes a la entrada en vigencia de esta ley.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Para efectos exclusivos de la asignación de carga judicial y del sistema de reparto, el Proceso Único de Amparo Alimentario se contabilizará como una (1) acción de tutela, sin que ello implique asimilación de su naturaleza jurídica ni de su régimen procesal.</w:t>
            </w:r>
          </w:p>
          <w:p w14:paraId="7F2568C8" w14:textId="28DB8CEE" w:rsidR="00F15D6D" w:rsidRPr="00D2561F" w:rsidRDefault="00F15D6D" w:rsidP="00F15D6D">
            <w:pPr>
              <w:spacing w:line="276" w:lineRule="auto"/>
              <w:jc w:val="both"/>
              <w:rPr>
                <w:rFonts w:ascii="Century Gothic" w:hAnsi="Century Gothic"/>
                <w:strike/>
                <w:color w:val="000000" w:themeColor="text1"/>
                <w:sz w:val="20"/>
                <w:szCs w:val="20"/>
              </w:rPr>
            </w:pPr>
            <w:r w:rsidRPr="00D2561F">
              <w:rPr>
                <w:rFonts w:ascii="Century Gothic" w:hAnsi="Century Gothic"/>
                <w:strike/>
                <w:color w:val="000000" w:themeColor="text1"/>
                <w:sz w:val="20"/>
                <w:szCs w:val="20"/>
              </w:rPr>
              <w:t xml:space="preserve">Para efectos del reparto, una acción de amparo alimentario </w:t>
            </w:r>
            <w:r w:rsidRPr="00D2561F">
              <w:rPr>
                <w:rFonts w:ascii="Century Gothic" w:hAnsi="Century Gothic"/>
                <w:b/>
                <w:bCs/>
                <w:strike/>
                <w:color w:val="000000" w:themeColor="text1"/>
                <w:sz w:val="20"/>
                <w:szCs w:val="20"/>
                <w:u w:val="single"/>
              </w:rPr>
              <w:t>contará equivaldrá a la asignación de como</w:t>
            </w:r>
            <w:r w:rsidRPr="00D2561F">
              <w:rPr>
                <w:rFonts w:ascii="Century Gothic" w:hAnsi="Century Gothic"/>
                <w:strike/>
                <w:color w:val="000000" w:themeColor="text1"/>
                <w:sz w:val="20"/>
                <w:szCs w:val="20"/>
              </w:rPr>
              <w:t xml:space="preserve"> una acción de tutela.</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DA45D"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Se aclara que para los jueces civil familia el reparto de una acción de amparo alimentario contará como una acción de tutela. </w:t>
            </w:r>
            <w:r w:rsidR="006936BE" w:rsidRPr="00D2561F">
              <w:rPr>
                <w:rFonts w:ascii="Century Gothic" w:hAnsi="Century Gothic"/>
                <w:color w:val="000000" w:themeColor="text1"/>
                <w:sz w:val="20"/>
                <w:szCs w:val="20"/>
              </w:rPr>
              <w:br/>
            </w:r>
          </w:p>
          <w:p w14:paraId="7F2568C9" w14:textId="04DEE0A7" w:rsidR="006936BE" w:rsidRPr="00D2561F" w:rsidRDefault="006936BE"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Con el fin de no congestionar ni recargar a los jueces de familiar se realiza esta equivalencia en materia de repartos. Además se pretende que esta acción evite que la acción constitucional de Tutela, que es residual sea utilizada inadecuadamente, generando menos congestión en los juzgados. </w:t>
            </w:r>
          </w:p>
        </w:tc>
      </w:tr>
      <w:tr w:rsidR="00F15D6D" w:rsidRPr="00D2561F" w14:paraId="7F2568D6"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CB"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10º. MEDIDAS PROVISIONALES. </w:t>
            </w:r>
            <w:r w:rsidRPr="00D2561F">
              <w:rPr>
                <w:rFonts w:ascii="Century Gothic" w:hAnsi="Century Gothic"/>
                <w:color w:val="000000" w:themeColor="text1"/>
                <w:sz w:val="20"/>
                <w:szCs w:val="20"/>
              </w:rPr>
              <w:t>Desde la presentación del amparo alimentario, cuando el juez expresamente lo considere necesario y urgente para proteger el derecho a recibir alimentos y no hacer ilusorio el efecto de un eventual fallo, podrá ordenar el embargo y las medidas que considere necesarias de oficio o a petición de parte. </w:t>
            </w:r>
          </w:p>
          <w:p w14:paraId="7F2568CC"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Asimismo, en el evento en que únicamente se pretenda la ejecución de la obligación alimentaria clara, expresa y </w:t>
            </w:r>
            <w:r w:rsidRPr="00D2561F">
              <w:rPr>
                <w:rFonts w:ascii="Century Gothic" w:hAnsi="Century Gothic"/>
                <w:color w:val="000000" w:themeColor="text1"/>
                <w:sz w:val="20"/>
                <w:szCs w:val="20"/>
                <w:highlight w:val="white"/>
              </w:rPr>
              <w:t>actualmente</w:t>
            </w:r>
            <w:r w:rsidRPr="00D2561F">
              <w:rPr>
                <w:rFonts w:ascii="Century Gothic" w:hAnsi="Century Gothic"/>
                <w:color w:val="000000" w:themeColor="text1"/>
                <w:sz w:val="20"/>
                <w:szCs w:val="20"/>
              </w:rPr>
              <w:t xml:space="preserve"> exigible, el juez librará mandamiento de pago a favor del titular del derecho de alimentos.</w:t>
            </w:r>
          </w:p>
          <w:p w14:paraId="7F2568CD"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El juez podrá de oficio o a petición de parte por resolución debidamente fundada, hacer cesar en cualquier momento la autorización de ejecución o las otras medidas cautelares que hubieran dictado.</w:t>
            </w:r>
          </w:p>
          <w:p w14:paraId="7F2568CE" w14:textId="77777777" w:rsidR="00F15D6D" w:rsidRPr="00D2561F" w:rsidRDefault="00F15D6D" w:rsidP="00F15D6D">
            <w:pPr>
              <w:spacing w:line="276" w:lineRule="auto"/>
              <w:jc w:val="both"/>
              <w:rPr>
                <w:rFonts w:ascii="Century Gothic" w:hAnsi="Century Gothic"/>
                <w:b/>
                <w:bCs/>
                <w:color w:val="000000" w:themeColor="text1"/>
                <w:sz w:val="20"/>
                <w:szCs w:val="20"/>
              </w:rPr>
            </w:pPr>
          </w:p>
          <w:p w14:paraId="7F2568CF"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w:t>
            </w:r>
            <w:r w:rsidRPr="00D2561F">
              <w:rPr>
                <w:rFonts w:ascii="Century Gothic" w:hAnsi="Century Gothic"/>
                <w:color w:val="000000" w:themeColor="text1"/>
                <w:sz w:val="20"/>
                <w:szCs w:val="20"/>
              </w:rPr>
              <w:t xml:space="preserve"> Para efectos de este artículo, el juez podrá, además, hacer uso de las medidas especiales establecidas en el artículo 129 de la Ley 1098 de 2006 "Código de la Infancia y la Adolescencia", así como de las disposiciones previstas por la Ley 2097 de 2021, la cual crea el Registro de Deudores Alimentarios Morosos (REDAM), a fin de asegurar el cumplimiento de la obligación alimentaria y la efectividad de las medidas adoptadas.</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D0"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10º. MEDIDAS PROVISIONALES. </w:t>
            </w:r>
            <w:r w:rsidRPr="00D2561F">
              <w:rPr>
                <w:rFonts w:ascii="Century Gothic" w:hAnsi="Century Gothic"/>
                <w:color w:val="000000" w:themeColor="text1"/>
                <w:sz w:val="20"/>
                <w:szCs w:val="20"/>
              </w:rPr>
              <w:t>Desde la presentación del amparo alimentario, cuando el juez expresamente lo considere necesario y urgente para proteger el derecho a recibir alimentos y no hacer ilusorio el efecto de un eventual fallo, podrá ordenar el embargo y las medidas que considere necesarias de oficio o a petición de parte. </w:t>
            </w:r>
          </w:p>
          <w:p w14:paraId="7F2568D1"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Asimismo, en el evento en que únicamente se pretenda la ejecución de la obligación alimentaria clara, expresa y </w:t>
            </w:r>
            <w:r w:rsidRPr="00D2561F">
              <w:rPr>
                <w:rFonts w:ascii="Century Gothic" w:hAnsi="Century Gothic"/>
                <w:color w:val="000000" w:themeColor="text1"/>
                <w:sz w:val="20"/>
                <w:szCs w:val="20"/>
                <w:highlight w:val="white"/>
              </w:rPr>
              <w:t>actualmente</w:t>
            </w:r>
            <w:r w:rsidRPr="00D2561F">
              <w:rPr>
                <w:rFonts w:ascii="Century Gothic" w:hAnsi="Century Gothic"/>
                <w:color w:val="000000" w:themeColor="text1"/>
                <w:sz w:val="20"/>
                <w:szCs w:val="20"/>
              </w:rPr>
              <w:t xml:space="preserve"> exigible, el juez librará mandamiento de pago a favor del titular del derecho de alimentos.</w:t>
            </w:r>
          </w:p>
          <w:p w14:paraId="7F2568D2"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El juez podrá de oficio o a petición de parte por resolución debidamente fundada, hacer cesar en cualquier momento la autorización de ejecución o las otras medidas cautelares que hubieran dictado.</w:t>
            </w:r>
          </w:p>
          <w:p w14:paraId="7F2568D4"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w:t>
            </w:r>
            <w:r w:rsidRPr="00D2561F">
              <w:rPr>
                <w:rFonts w:ascii="Century Gothic" w:hAnsi="Century Gothic"/>
                <w:color w:val="000000" w:themeColor="text1"/>
                <w:sz w:val="20"/>
                <w:szCs w:val="20"/>
              </w:rPr>
              <w:t xml:space="preserve"> Para efectos de este artículo, el juez podrá, además, hacer uso de las medidas especiales establecidas en el artículo 129 de la Ley 1098 de 2006 "Código de la Infancia y la Adolescencia", así como de las disposiciones previstas por la Ley 2097 de 2021, la cual crea el Registro de Deudores Alimentarios Morosos (REDAM), a fin de asegurar el cumplimiento de la obligación alimentaria y la efectividad de las medidas adoptadas.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D5"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927"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D7"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11º. PROCESO DE AMPARO ALIMENTARIO DE NATURALEZA EJECUTIVA.</w:t>
            </w:r>
            <w:r w:rsidRPr="00D2561F">
              <w:rPr>
                <w:rFonts w:ascii="Century Gothic" w:hAnsi="Century Gothic"/>
                <w:color w:val="000000" w:themeColor="text1"/>
                <w:sz w:val="20"/>
                <w:szCs w:val="20"/>
              </w:rPr>
              <w:t xml:space="preserve"> Cuando en la demanda conste un documento que preste mérito ejecutivo el juez librará mandamiento de pago.</w:t>
            </w:r>
          </w:p>
          <w:p w14:paraId="7F2568D8"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El accionado podrá proponer únicamente las siguientes excepciones: </w:t>
            </w:r>
          </w:p>
          <w:p w14:paraId="7F2568D9" w14:textId="77777777" w:rsidR="00F15D6D" w:rsidRPr="00D2561F" w:rsidRDefault="00F15D6D" w:rsidP="00F15D6D">
            <w:pPr>
              <w:numPr>
                <w:ilvl w:val="0"/>
                <w:numId w:val="24"/>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 excepción de pago;</w:t>
            </w:r>
          </w:p>
          <w:p w14:paraId="7F2568DA" w14:textId="77777777" w:rsidR="00F15D6D" w:rsidRPr="00D2561F" w:rsidRDefault="00F15D6D" w:rsidP="00F15D6D">
            <w:pPr>
              <w:numPr>
                <w:ilvl w:val="0"/>
                <w:numId w:val="24"/>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Las excepciones sobre la exigibilidad actual de la obligación de acuerdo a la legislación civil; </w:t>
            </w:r>
          </w:p>
          <w:p w14:paraId="7F2568DB" w14:textId="77777777" w:rsidR="00F15D6D" w:rsidRPr="00D2561F" w:rsidRDefault="00F15D6D" w:rsidP="00F15D6D">
            <w:pPr>
              <w:numPr>
                <w:ilvl w:val="0"/>
                <w:numId w:val="24"/>
              </w:num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Discutir la existencia o validez del título ejecutivo. </w:t>
            </w:r>
          </w:p>
          <w:p w14:paraId="7F2568DC"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Lo cual será explicado por el juez en lenguaje claro en el auto que libre mandamiento de pago para la garantía del derecho de contradicción.</w:t>
            </w:r>
          </w:p>
          <w:p w14:paraId="7F2568DD"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Vencido el plazo para la presentación de las excepciones, si no hubiere oposición u excepciones de parte del accionado, el mandamiento de pago queda en firme y el pago de las sumas vencidas deberá efectuarse en un plazo no superior a cinco (5) días hábiles desde su firmeza, el juez comunicará esta circunstancia al accionado.</w:t>
            </w:r>
          </w:p>
          <w:p w14:paraId="7F2568DE"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 el accionado propone excepciones, el juez, en aras de garantizar el derecho de defensa y contradicción, dará traslado a la contraparte para que se pronuncie sobre aquellas. El juez resolverá las excepciones en la sentencia, garantizando la práctica de las pruebas solicitadas que sean conducentes y pertinentes para el esclarecimiento de la obligación.</w:t>
            </w:r>
          </w:p>
          <w:p w14:paraId="7F2568DF"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p>
          <w:p w14:paraId="7F2568E0"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Además de las sumas vencidas con respecto de la prestación periódica de la obligación de dar alimentos, se impartirán las órdenes que garanticen la ejecución sucesiva de la obligación alimentaria.</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E1"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11º. PROCESO DE AMPARO ALIMENTARIO DE NATURALEZA EJECUTIVA.</w:t>
            </w:r>
            <w:r w:rsidRPr="00D2561F">
              <w:rPr>
                <w:rFonts w:ascii="Century Gothic" w:hAnsi="Century Gothic"/>
                <w:color w:val="000000" w:themeColor="text1"/>
                <w:sz w:val="20"/>
                <w:szCs w:val="20"/>
              </w:rPr>
              <w:t xml:space="preserve"> Cuando en la demanda conste un documento que preste mérito ejecutivo el juez librará mandamiento de pago.</w:t>
            </w:r>
          </w:p>
          <w:p w14:paraId="7F2568E2"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El accionado podrá proponer únicamente las siguientes excepciones: </w:t>
            </w:r>
          </w:p>
          <w:p w14:paraId="7F2568E3" w14:textId="77777777" w:rsidR="00F15D6D" w:rsidRPr="00D2561F" w:rsidRDefault="00F15D6D" w:rsidP="00F15D6D">
            <w:pPr>
              <w:pBdr>
                <w:top w:val="nil"/>
                <w:left w:val="nil"/>
                <w:bottom w:val="nil"/>
                <w:right w:val="nil"/>
                <w:between w:val="nil"/>
              </w:pBdr>
              <w:spacing w:line="276" w:lineRule="auto"/>
              <w:ind w:left="185"/>
              <w:jc w:val="both"/>
              <w:rPr>
                <w:rFonts w:ascii="Century Gothic" w:hAnsi="Century Gothic"/>
                <w:color w:val="000000" w:themeColor="text1"/>
                <w:sz w:val="20"/>
                <w:szCs w:val="20"/>
              </w:rPr>
            </w:pPr>
            <w:r w:rsidRPr="00D2561F">
              <w:rPr>
                <w:rFonts w:ascii="Century Gothic" w:hAnsi="Century Gothic"/>
                <w:color w:val="000000" w:themeColor="text1"/>
                <w:sz w:val="20"/>
                <w:szCs w:val="20"/>
              </w:rPr>
              <w:t>1. La excepción de pago;</w:t>
            </w:r>
          </w:p>
          <w:p w14:paraId="7F2568E4" w14:textId="77777777" w:rsidR="00F15D6D" w:rsidRPr="00D2561F" w:rsidRDefault="00F15D6D" w:rsidP="00F15D6D">
            <w:pPr>
              <w:numPr>
                <w:ilvl w:val="0"/>
                <w:numId w:val="4"/>
              </w:numPr>
              <w:pBdr>
                <w:top w:val="nil"/>
                <w:left w:val="nil"/>
                <w:bottom w:val="nil"/>
                <w:right w:val="nil"/>
                <w:between w:val="nil"/>
              </w:pBdr>
              <w:spacing w:line="276" w:lineRule="auto"/>
              <w:ind w:left="185" w:firstLine="0"/>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Las excepciones sobre la exigibilidad actual de la obligación de acuerdo a la legislación civil; </w:t>
            </w:r>
          </w:p>
          <w:p w14:paraId="7F2568E6" w14:textId="36D722D7" w:rsidR="00F15D6D" w:rsidRPr="00D2561F" w:rsidRDefault="00F15D6D" w:rsidP="00F15D6D">
            <w:pPr>
              <w:numPr>
                <w:ilvl w:val="0"/>
                <w:numId w:val="4"/>
              </w:numPr>
              <w:pBdr>
                <w:top w:val="nil"/>
                <w:left w:val="nil"/>
                <w:bottom w:val="nil"/>
                <w:right w:val="nil"/>
                <w:between w:val="nil"/>
              </w:pBdr>
              <w:spacing w:after="160" w:line="276" w:lineRule="auto"/>
              <w:ind w:left="185" w:firstLine="0"/>
              <w:jc w:val="both"/>
              <w:rPr>
                <w:rFonts w:ascii="Century Gothic" w:hAnsi="Century Gothic"/>
                <w:b/>
                <w:bCs/>
                <w:color w:val="000000" w:themeColor="text1"/>
                <w:sz w:val="20"/>
                <w:szCs w:val="20"/>
                <w:u w:val="single"/>
              </w:rPr>
            </w:pPr>
            <w:r w:rsidRPr="00D2561F">
              <w:rPr>
                <w:rFonts w:ascii="Century Gothic" w:hAnsi="Century Gothic"/>
                <w:color w:val="000000" w:themeColor="text1"/>
                <w:sz w:val="20"/>
                <w:szCs w:val="20"/>
              </w:rPr>
              <w:t>Discutir la existencia o validez del título ejecutivo.</w:t>
            </w:r>
            <w:r w:rsidRPr="00D2561F">
              <w:rPr>
                <w:rFonts w:ascii="Century Gothic" w:hAnsi="Century Gothic"/>
                <w:color w:val="000000" w:themeColor="text1"/>
                <w:sz w:val="20"/>
                <w:szCs w:val="20"/>
              </w:rPr>
              <w:br/>
              <w:t xml:space="preserve">4. </w:t>
            </w:r>
            <w:r w:rsidRPr="00D2561F">
              <w:rPr>
                <w:rFonts w:ascii="Century Gothic" w:hAnsi="Century Gothic"/>
                <w:b/>
                <w:bCs/>
                <w:color w:val="000000" w:themeColor="text1"/>
                <w:sz w:val="20"/>
                <w:szCs w:val="20"/>
                <w:u w:val="single"/>
              </w:rPr>
              <w:t>Caso fortuito o fuerza mayor, debidamente acreditadas.  </w:t>
            </w:r>
          </w:p>
          <w:p w14:paraId="7F2568E7"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Lo cual será explicado por el juez en lenguaje claro en el auto que libre mandamiento de pago para la garantía del derecho de contradicción.</w:t>
            </w:r>
          </w:p>
          <w:p w14:paraId="7F2568E8"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Vencido el plazo para la presentación de las excepciones, si no hubiere oposición u excepciones de parte del accionado, el mandamiento de pago queda en firme y el pago de las sumas vencidas deberá efectuarse en un plazo no superior a cinco (5) días hábiles desde su firmeza, el juez comunicará esta circunstancia al accionado.</w:t>
            </w:r>
          </w:p>
          <w:p w14:paraId="7F2568E9" w14:textId="12D5E920"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Si el accionado propone excepciones, el juez, en aras de garantizar el derecho de defensa y contradicción, dará traslado a la contraparte para que se pronuncie sobre aquellas </w:t>
            </w:r>
            <w:r w:rsidRPr="00D2561F">
              <w:rPr>
                <w:rFonts w:ascii="Century Gothic" w:hAnsi="Century Gothic"/>
                <w:b/>
                <w:bCs/>
                <w:color w:val="000000" w:themeColor="text1"/>
                <w:sz w:val="20"/>
                <w:szCs w:val="20"/>
                <w:u w:val="single"/>
              </w:rPr>
              <w:t>en el término de tres (3) días hábiles</w:t>
            </w:r>
            <w:r w:rsidRPr="00D2561F">
              <w:rPr>
                <w:rFonts w:ascii="Century Gothic" w:hAnsi="Century Gothic"/>
                <w:color w:val="000000" w:themeColor="text1"/>
                <w:sz w:val="20"/>
                <w:szCs w:val="20"/>
              </w:rPr>
              <w:t>. El juez resolverá las excepciones en la sentencia, garantizando la práctica de las pruebas solicitadas que sean conducentes y pertinentes para el esclarecimiento de la obligación.</w:t>
            </w:r>
          </w:p>
          <w:p w14:paraId="7F2568EB" w14:textId="0261C0DA"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br/>
              <w:t>Además de las sumas vencidas con respecto de la prestación periódica de la obligación de dar alimentos, se impartirán las órdenes que garanticen la ejecución sucesiva de la obligación alimentaria.</w:t>
            </w:r>
          </w:p>
          <w:p w14:paraId="7F2568EC"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8ED" w14:textId="77777777" w:rsidR="00F15D6D" w:rsidRPr="00D2561F" w:rsidRDefault="00F15D6D" w:rsidP="00F15D6D">
            <w:pPr>
              <w:spacing w:line="276" w:lineRule="auto"/>
              <w:jc w:val="both"/>
              <w:rPr>
                <w:rFonts w:ascii="Century Gothic" w:hAnsi="Century Gothic"/>
                <w:b/>
                <w:bCs/>
                <w:color w:val="000000" w:themeColor="text1"/>
                <w:sz w:val="20"/>
                <w:szCs w:val="20"/>
                <w:u w:val="single"/>
              </w:rPr>
            </w:pPr>
            <w:r w:rsidRPr="00D2561F">
              <w:rPr>
                <w:rFonts w:ascii="Century Gothic" w:hAnsi="Century Gothic"/>
                <w:b/>
                <w:bCs/>
                <w:color w:val="000000" w:themeColor="text1"/>
                <w:sz w:val="20"/>
                <w:szCs w:val="20"/>
                <w:u w:val="single"/>
              </w:rPr>
              <w:t xml:space="preserve">Parágrafo. La excepción prevista en el numeral 4 no exime al obligado del cumplimiento integral de la obligación alimentaria, pero faculta la juez para modificar provisionalmente la cuota o establecer un plan de cumplimiento gradual, mientras subsista el caso fortuito o fuerza mayor, garantizando en todo caso el mínimo vital del titular del derecho de alimentos. La carga de la prueba del caso fortuito o fuerza mayor corresponde integralmente al obligado.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8EE"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8EF"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8F0"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8F1"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8F2"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8F3"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8F4"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8F5"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8F6"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8F7"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8F8"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0F"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10"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11"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12"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Con el objetivo de garantizar el debido proceso se establece un término de traslado de las excepciones.</w:t>
            </w:r>
          </w:p>
          <w:p w14:paraId="7F256913"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14"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15"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16"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1C"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1D"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26"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Tanto en la adición del numeral 4 como en el parágrafo se recoge el principio universal de “nadie está obligado a lo imposible”.</w:t>
            </w:r>
          </w:p>
        </w:tc>
      </w:tr>
      <w:tr w:rsidR="00F15D6D" w:rsidRPr="00D2561F" w14:paraId="7F256937"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28"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12º. CONTENIDO DE LA SENTENCIA</w:t>
            </w:r>
            <w:r w:rsidRPr="00D2561F">
              <w:rPr>
                <w:rFonts w:ascii="Century Gothic" w:hAnsi="Century Gothic"/>
                <w:color w:val="000000" w:themeColor="text1"/>
                <w:sz w:val="20"/>
                <w:szCs w:val="20"/>
              </w:rPr>
              <w:t>. Cuando el proceso declare y ejecute la obligación alimentaria además de lo señalado en el artículo 280 del Código General del Proceso Ley 1564 de 2012, cuando el juez encuentre procedente ordenar el pago de alimentos impartirá las órdenes que garanticen la ejecución sucesiva de la obligación alimentaria teniendo en cuenta los ingresos de la persona obligada a dar alimentos o del deudor alimentario.</w:t>
            </w:r>
          </w:p>
          <w:p w14:paraId="7F256929"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 sentencia deberá contener la obligación alimentaria de manera expresa, clara y exigible y las órdenes impartidas la persona obligada a dar alimentos o al deudor y/o a terceros con relaciones contractuales con la persona obligada a dar alimentos o el deudor, además aquellas que el juez estime necesarias para la ejecución efectiva de la obligación alimentaria.</w:t>
            </w:r>
          </w:p>
          <w:p w14:paraId="7F25692A"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 1</w:t>
            </w:r>
            <w:r w:rsidRPr="00D2561F">
              <w:rPr>
                <w:rFonts w:ascii="Century Gothic" w:hAnsi="Century Gothic"/>
                <w:color w:val="000000" w:themeColor="text1"/>
                <w:sz w:val="20"/>
                <w:szCs w:val="20"/>
              </w:rPr>
              <w:t>. Cuando la sentencia declare y ejecute la obligación alimentaria el juez deberá incluir un apartado en lenguaje claro acerca de las consecuencias penales del incumplimiento injustificado de la sentencia o de maniobras elusivas ilegales.</w:t>
            </w:r>
          </w:p>
          <w:p w14:paraId="7F25692B"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 2</w:t>
            </w:r>
            <w:r w:rsidRPr="00D2561F">
              <w:rPr>
                <w:rFonts w:ascii="Century Gothic" w:hAnsi="Century Gothic"/>
                <w:color w:val="000000" w:themeColor="text1"/>
                <w:sz w:val="20"/>
                <w:szCs w:val="20"/>
              </w:rPr>
              <w:t>. Cuando el proceso verse únicamente sobre la ejecución de la obligación alimentaria la sentencia deberá resolver las excepciones propuestas por el accionado.</w:t>
            </w:r>
          </w:p>
          <w:p w14:paraId="7F25692C"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2D"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 3</w:t>
            </w:r>
            <w:r w:rsidRPr="00D2561F">
              <w:rPr>
                <w:rFonts w:ascii="Century Gothic" w:hAnsi="Century Gothic"/>
                <w:color w:val="000000" w:themeColor="text1"/>
                <w:sz w:val="20"/>
                <w:szCs w:val="20"/>
              </w:rPr>
              <w:t>. Las providencias que decidan el amparo alimentario, ya sea fijando cuotas, negando pretensiones o resolviendo excepciones, deberán ser integralmente motivadas, exponiendo con claridad los fundamentos fácticos y jurídicos que llevaron a la decisión. Contra la sentencia procederá el recurso de apelación, el cual se tramitará en el efecto devolutivo ante el superior jerárquico, garantizando el derecho a la doble instancia.</w:t>
            </w:r>
          </w:p>
          <w:p w14:paraId="7F25692E" w14:textId="77777777" w:rsidR="00F15D6D" w:rsidRPr="00D2561F" w:rsidRDefault="00F15D6D" w:rsidP="00F15D6D">
            <w:pPr>
              <w:spacing w:line="276" w:lineRule="auto"/>
              <w:rPr>
                <w:rFonts w:ascii="Century Gothic" w:hAnsi="Century Gothic"/>
                <w:b/>
                <w:bCs/>
                <w:color w:val="000000" w:themeColor="text1"/>
                <w:sz w:val="20"/>
                <w:szCs w:val="20"/>
              </w:rPr>
            </w:pP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2F"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12º. CONTENIDO DE LA SENTENCIA</w:t>
            </w:r>
            <w:r w:rsidRPr="00D2561F">
              <w:rPr>
                <w:rFonts w:ascii="Century Gothic" w:hAnsi="Century Gothic"/>
                <w:color w:val="000000" w:themeColor="text1"/>
                <w:sz w:val="20"/>
                <w:szCs w:val="20"/>
              </w:rPr>
              <w:t>. Cuando el proceso declare y ejecute la obligación alimentaria además de lo señalado en el artículo 280 del Código General del Proceso Ley 1564 de 2012, cuando el juez encuentre procedente ordenar el pago de alimentos impartirá las órdenes que garanticen la ejecución sucesiva de la obligación alimentaria teniendo en cuenta los ingresos de la persona obligada a dar alimentos o del deudor alimentario.</w:t>
            </w:r>
          </w:p>
          <w:p w14:paraId="7F256930"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 sentencia deberá contener la obligación alimentaria de manera expresa, clara y exigible y las órdenes impartidas la persona obligada a dar alimentos o al deudor y/o a terceros con relaciones contractuales con la persona obligada a dar alimentos o el deudor, además aquellas que el juez estime necesarias para la ejecución efectiva de la obligación alimentaria.</w:t>
            </w:r>
          </w:p>
          <w:p w14:paraId="7F256931"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 1</w:t>
            </w:r>
            <w:r w:rsidRPr="00D2561F">
              <w:rPr>
                <w:rFonts w:ascii="Century Gothic" w:hAnsi="Century Gothic"/>
                <w:color w:val="000000" w:themeColor="text1"/>
                <w:sz w:val="20"/>
                <w:szCs w:val="20"/>
              </w:rPr>
              <w:t>. Cuando la sentencia declare y ejecute la obligación alimentaria el juez deberá incluir un apartado en lenguaje claro acerca de las consecuencias penales del incumplimiento injustificado de la sentencia o de maniobras elusivas ilegales.</w:t>
            </w:r>
          </w:p>
          <w:p w14:paraId="7F256932"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 2</w:t>
            </w:r>
            <w:r w:rsidRPr="00D2561F">
              <w:rPr>
                <w:rFonts w:ascii="Century Gothic" w:hAnsi="Century Gothic"/>
                <w:color w:val="000000" w:themeColor="text1"/>
                <w:sz w:val="20"/>
                <w:szCs w:val="20"/>
              </w:rPr>
              <w:t>. Cuando el proceso verse únicamente sobre la ejecución de la obligación alimentaria la sentencia deberá resolver las excepciones propuestas por el accionado.</w:t>
            </w:r>
          </w:p>
          <w:p w14:paraId="7F256933"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34"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 3</w:t>
            </w:r>
            <w:r w:rsidRPr="00D2561F">
              <w:rPr>
                <w:rFonts w:ascii="Century Gothic" w:hAnsi="Century Gothic"/>
                <w:color w:val="000000" w:themeColor="text1"/>
                <w:sz w:val="20"/>
                <w:szCs w:val="20"/>
              </w:rPr>
              <w:t>. Las providencias que decidan el amparo alimentario, ya sea fijando cuotas, negando pretensiones o resolviendo excepciones, deberán ser integralmente motivadas, exponiendo con claridad los fundamentos fácticos y jurídicos que llevaron a la decisión. Contra la sentencia procederá el recurso de apelación, el cual se tramitará en el efecto devolutivo ante el superior jerárquico, garantizando el derecho a la doble instancia.</w:t>
            </w:r>
          </w:p>
          <w:p w14:paraId="7F256935" w14:textId="77777777" w:rsidR="00F15D6D" w:rsidRPr="00D2561F" w:rsidRDefault="00F15D6D" w:rsidP="00F15D6D">
            <w:pPr>
              <w:spacing w:line="276" w:lineRule="auto"/>
              <w:jc w:val="center"/>
              <w:rPr>
                <w:rFonts w:ascii="Century Gothic" w:hAnsi="Century Gothic"/>
                <w:color w:val="000000" w:themeColor="text1"/>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36"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93D"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39" w14:textId="5C88DE62" w:rsidR="00F15D6D" w:rsidRPr="00D2561F" w:rsidRDefault="00F15D6D" w:rsidP="003870F1">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ARTÍCULO 13º. INCREMENTO, DISMINUCIÓN O EXONERACIÓN DE LA CUOTA ALIMENTARIA.</w:t>
            </w:r>
            <w:r w:rsidRPr="00D2561F">
              <w:rPr>
                <w:rFonts w:ascii="Century Gothic" w:hAnsi="Century Gothic"/>
                <w:color w:val="000000" w:themeColor="text1"/>
                <w:sz w:val="20"/>
                <w:szCs w:val="20"/>
              </w:rPr>
              <w:t xml:space="preserve"> Las solicitudes de incremento, disminución o exoneración de las cuotas alimentarias fijadas por medio del proceso de amparo alimentario se tramitarán ante el mismo juez que conoció del amparo o quien haga sus veces, el juez resolverá en única instancia con el mismo procedimiento fijado en el artículo 399 del Código General del Proceso.</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3B" w14:textId="77FDDCF1" w:rsidR="00F15D6D" w:rsidRPr="00D2561F" w:rsidRDefault="00F15D6D" w:rsidP="003870F1">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13º. INCREMENTO, DISMINUCIÓN O EXONERACIÓN DE LA CUOTA ALIMENTARIA.</w:t>
            </w:r>
            <w:r w:rsidRPr="00D2561F">
              <w:rPr>
                <w:rFonts w:ascii="Century Gothic" w:hAnsi="Century Gothic"/>
                <w:color w:val="000000" w:themeColor="text1"/>
                <w:sz w:val="20"/>
                <w:szCs w:val="20"/>
              </w:rPr>
              <w:t xml:space="preserve"> Las solicitudes de incremento, disminución o exoneración de las cuotas alimentarias fijadas por medio del proceso de amparo alimentario se tramitarán ante el mismo juez que conoció del amparo o quien haga sus veces, el juez resolverá en única instancia con el mismo procedimiento fijado en el artículo </w:t>
            </w:r>
            <w:r w:rsidRPr="00D2561F">
              <w:rPr>
                <w:rFonts w:ascii="Century Gothic" w:hAnsi="Century Gothic"/>
                <w:b/>
                <w:bCs/>
                <w:color w:val="000000" w:themeColor="text1"/>
                <w:sz w:val="20"/>
                <w:szCs w:val="20"/>
                <w:u w:val="single"/>
              </w:rPr>
              <w:t>390</w:t>
            </w:r>
            <w:r w:rsidRPr="00D2561F">
              <w:rPr>
                <w:rFonts w:ascii="Century Gothic" w:hAnsi="Century Gothic"/>
                <w:color w:val="000000" w:themeColor="text1"/>
                <w:sz w:val="20"/>
                <w:szCs w:val="20"/>
              </w:rPr>
              <w:t xml:space="preserve"> del Código General del Proceso.</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3C"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Se corrige que el procedimiento es el del artículo 390 del C.G.P. y no el artículo 399. </w:t>
            </w:r>
          </w:p>
        </w:tc>
      </w:tr>
      <w:tr w:rsidR="00F15D6D" w:rsidRPr="00D2561F" w14:paraId="7F256970"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3E"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14º. DEBER DE COOPERACIÓN PARA PRUEBA DE LA CAPACIDAD ECONÓMICA DE LA PERSONA OBLIGADA A DAR ALIMENTOS O DEL DEUDOR ALIMENTARIO. </w:t>
            </w:r>
            <w:r w:rsidRPr="00D2561F">
              <w:rPr>
                <w:rFonts w:ascii="Century Gothic" w:hAnsi="Century Gothic"/>
                <w:color w:val="000000" w:themeColor="text1"/>
                <w:sz w:val="20"/>
                <w:szCs w:val="20"/>
              </w:rPr>
              <w:t>Las entidades públicas y privadas están obligadas a cooperar con el juez en la entrega de la información que éste solicite para probar la capacidad económica en todos los procesos en los que se declare, disminuya, exonere, incremente o ejecute la cuota alimentaria y el amparo alimentario, entre ellas las siguientes:</w:t>
            </w:r>
          </w:p>
          <w:p w14:paraId="7F25693F" w14:textId="77777777" w:rsidR="00F15D6D" w:rsidRPr="00D2561F" w:rsidRDefault="00F15D6D" w:rsidP="00F15D6D">
            <w:pPr>
              <w:numPr>
                <w:ilvl w:val="0"/>
                <w:numId w:val="26"/>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 Dirección de Impuestos y Aduanas Nacionales DIAN. Superintendencia de Notariado y Registro o a quien haga sus veces.</w:t>
            </w:r>
          </w:p>
          <w:p w14:paraId="7F256940"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Unidad de Información y Análisis Financiero (UIAF).</w:t>
            </w:r>
          </w:p>
          <w:p w14:paraId="7F256941"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Las entidades administradoras de sistemas de pago.</w:t>
            </w:r>
          </w:p>
          <w:p w14:paraId="7F256942"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Administrador del Registro Único Nacional de Tránsito RUNT, o a quien haga sus veces.</w:t>
            </w:r>
          </w:p>
          <w:p w14:paraId="7F256943"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Entidades financieras, Sociedades Especializadas en Depósitos y Pagos Electrónicos y plataformas de banca digital o Fintech.</w:t>
            </w:r>
          </w:p>
          <w:p w14:paraId="7F256944"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Operadores de la Planilla Integrada de Liquidación de Aportes a Seguridad Social PILA.</w:t>
            </w:r>
          </w:p>
          <w:p w14:paraId="7F256945"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Unidad de Gestión Pensional y Parafiscales (UGPP).</w:t>
            </w:r>
          </w:p>
          <w:p w14:paraId="7F256946"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Administradora de los Recursos del Sistema General de Seguridad Social en Salud ADRES.</w:t>
            </w:r>
          </w:p>
          <w:p w14:paraId="7F256947"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Operadores de Juegos de Suerte y Azar.</w:t>
            </w:r>
          </w:p>
          <w:p w14:paraId="7F256948"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Operadores Postales de pago.</w:t>
            </w:r>
          </w:p>
          <w:p w14:paraId="7F256949"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Al empleador o al contratante del demandado si existiera.</w:t>
            </w:r>
          </w:p>
          <w:p w14:paraId="7F25694A"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 Superintendencia de Notariado y Registro.</w:t>
            </w:r>
          </w:p>
          <w:p w14:paraId="7F25694B"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Las Cámaras de Comercio del país (registros mercantiles y participaciones societarias).</w:t>
            </w:r>
          </w:p>
          <w:p w14:paraId="7F25694C"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Migración Colombia o la entidad que haga sus veces.</w:t>
            </w:r>
          </w:p>
          <w:p w14:paraId="7F25694D"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Colpensiones y administradoras de fondos de pensiones obligatorias y voluntarias.</w:t>
            </w:r>
          </w:p>
          <w:p w14:paraId="7F25694E"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 Ministerio del Trabajo o la entidad que haga sus veces.</w:t>
            </w:r>
          </w:p>
          <w:p w14:paraId="7F25694F"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Registro Único Empresarial y Social (RUES).</w:t>
            </w:r>
          </w:p>
          <w:p w14:paraId="7F256950" w14:textId="77777777" w:rsidR="00F15D6D" w:rsidRPr="00D2561F" w:rsidRDefault="00F15D6D" w:rsidP="00F15D6D">
            <w:pPr>
              <w:numPr>
                <w:ilvl w:val="0"/>
                <w:numId w:val="26"/>
              </w:numPr>
              <w:pBdr>
                <w:top w:val="nil"/>
                <w:left w:val="nil"/>
                <w:bottom w:val="nil"/>
                <w:right w:val="nil"/>
                <w:between w:val="nil"/>
              </w:pBdr>
              <w:spacing w:line="276" w:lineRule="auto"/>
              <w:ind w:left="567" w:hanging="28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Demás entidades que considere conducentes.</w:t>
            </w:r>
          </w:p>
          <w:p w14:paraId="7F256951"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highlight w:val="yellow"/>
              </w:rPr>
              <w:br/>
            </w:r>
            <w:r w:rsidRPr="00D2561F">
              <w:rPr>
                <w:rFonts w:ascii="Century Gothic" w:hAnsi="Century Gothic"/>
                <w:color w:val="000000" w:themeColor="text1"/>
                <w:sz w:val="20"/>
                <w:szCs w:val="20"/>
              </w:rPr>
              <w:t>En aquellos casos donde la información no esté disponible en línea o a través de la Plataforma de Consulta sobre la Capacidad del Deudor Alimentario (PCCDA), el juez oficiará</w:t>
            </w:r>
            <w:r w:rsidRPr="00D2561F">
              <w:rPr>
                <w:rFonts w:ascii="Century Gothic" w:hAnsi="Century Gothic"/>
                <w:b/>
                <w:bCs/>
                <w:color w:val="000000" w:themeColor="text1"/>
                <w:sz w:val="20"/>
                <w:szCs w:val="20"/>
              </w:rPr>
              <w:t xml:space="preserve"> </w:t>
            </w:r>
            <w:r w:rsidRPr="00D2561F">
              <w:rPr>
                <w:rFonts w:ascii="Century Gothic" w:hAnsi="Century Gothic"/>
                <w:color w:val="000000" w:themeColor="text1"/>
                <w:sz w:val="20"/>
                <w:szCs w:val="20"/>
              </w:rPr>
              <w:t>y/o ordenará en el auto admisorio la consulta de la información del demandado en las bases de datos de las entidades mencionadas.</w:t>
            </w:r>
          </w:p>
          <w:p w14:paraId="7F256952"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p>
          <w:p w14:paraId="1DC0E565"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p>
          <w:p w14:paraId="36D1EA49"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p>
          <w:p w14:paraId="7F256953"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1.  </w:t>
            </w:r>
            <w:r w:rsidRPr="00D2561F">
              <w:rPr>
                <w:rFonts w:ascii="Century Gothic" w:hAnsi="Century Gothic"/>
                <w:color w:val="000000" w:themeColor="text1"/>
                <w:sz w:val="20"/>
                <w:szCs w:val="20"/>
              </w:rPr>
              <w:t>El acceso a información financiera y tributaria se sujetará a orden judicial, guardando la reserva legal vigente, sin acceso a datos sensibles no pertinentes.</w:t>
            </w:r>
          </w:p>
          <w:p w14:paraId="7F256954"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2. </w:t>
            </w:r>
            <w:r w:rsidRPr="00D2561F">
              <w:rPr>
                <w:rFonts w:ascii="Century Gothic" w:hAnsi="Century Gothic"/>
                <w:color w:val="000000" w:themeColor="text1"/>
                <w:sz w:val="20"/>
                <w:szCs w:val="20"/>
              </w:rPr>
              <w:t xml:space="preserve">El acceso a información financiera, tributaria y personal se hará bajo la estricta observancia de los principios de reserva legal, necesidad y proporcionalidad. La información recolectada será de uso exclusivo del despacho judicial para la tasación de la cuota alimentaria y su tratamiento se regirá por la Ley de Protección de Datos Personales Ley 1581 de 2012 o aquella que la modifiquen, adicione o sustituya. </w:t>
            </w:r>
          </w:p>
          <w:p w14:paraId="7F256955"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El uso indebido de dicha información por parte de funcionarios judiciales o terceros dará lugar a las sanciones disciplinarias, penales y fiscales correspondientes.</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56"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14º. DEBER DE COOPERACIÓN PARA PRUEBA DE LA CAPACIDAD ECONÓMICA DE LA PERSONA OBLIGADA A DAR ALIMENTOS O DEL DEUDOR ALIMENTARIO. </w:t>
            </w:r>
            <w:r w:rsidRPr="00D2561F">
              <w:rPr>
                <w:rFonts w:ascii="Century Gothic" w:hAnsi="Century Gothic"/>
                <w:color w:val="000000" w:themeColor="text1"/>
                <w:sz w:val="20"/>
                <w:szCs w:val="20"/>
              </w:rPr>
              <w:t>Las entidades públicas y privadas están obligadas a cooperar con el juez en la entrega de la información que éste solicite para probar la capacidad económica en todos los procesos en los que se declare, disminuya, exonere, incremente o ejecute la cuota alimentaria y el amparo alimentario, entre ellas las siguientes:</w:t>
            </w:r>
          </w:p>
          <w:p w14:paraId="7F256957" w14:textId="77777777" w:rsidR="00F15D6D" w:rsidRPr="00D2561F" w:rsidRDefault="00F15D6D" w:rsidP="00F15D6D">
            <w:p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1. La Dirección de Impuestos y Aduanas Nacionales DIAN. Superintendencia de Notariado y Registro o a quien haga sus veces.</w:t>
            </w:r>
          </w:p>
          <w:p w14:paraId="7F256958"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Unidad de Información y Análisis Financiero (UIAF).</w:t>
            </w:r>
          </w:p>
          <w:p w14:paraId="7F256959"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Las entidades administradoras de sistemas de pago.</w:t>
            </w:r>
          </w:p>
          <w:p w14:paraId="7F25695A"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Administrador del Registro Único Nacional de Tránsito RUNT, o a quien haga sus veces.</w:t>
            </w:r>
          </w:p>
          <w:p w14:paraId="7F25695B"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Entidades financieras, Sociedades Especializadas en Depósitos y Pagos Electrónicos y plataformas de banca digital o Fintech.</w:t>
            </w:r>
          </w:p>
          <w:p w14:paraId="7F25695C"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Operadores de la Planilla Integrada de Liquidación de Aportes a Seguridad Social PILA.</w:t>
            </w:r>
          </w:p>
          <w:p w14:paraId="7F25695D"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Unidad de Gestión Pensional y Parafiscales (UGPP).</w:t>
            </w:r>
          </w:p>
          <w:p w14:paraId="7F25695E"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Administradora de los Recursos del Sistema General de Seguridad Social en Salud ADRES.</w:t>
            </w:r>
          </w:p>
          <w:p w14:paraId="7F25695F"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Operadores de Juegos de Suerte y Azar.</w:t>
            </w:r>
          </w:p>
          <w:p w14:paraId="7F256960"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Operadores Postales de pago.</w:t>
            </w:r>
          </w:p>
          <w:p w14:paraId="7F256961"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Al empleador o al contratante del demandado si existiera.</w:t>
            </w:r>
          </w:p>
          <w:p w14:paraId="7F256962"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 Superintendencia de Notariado y Registro.</w:t>
            </w:r>
          </w:p>
          <w:p w14:paraId="7F256963"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Las Cámaras de Comercio del país (registros mercantiles y participaciones societarias).</w:t>
            </w:r>
          </w:p>
          <w:p w14:paraId="7F256964"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Migración Colombia o la entidad que haga sus veces.</w:t>
            </w:r>
          </w:p>
          <w:p w14:paraId="7F256965"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Colpensiones y administradoras de fondos de pensiones obligatorias y voluntarias.</w:t>
            </w:r>
          </w:p>
          <w:p w14:paraId="7F256966"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Ministerio del Trabajo o la entidad que haga sus veces.</w:t>
            </w:r>
          </w:p>
          <w:p w14:paraId="7F256967"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Registro Único Empresarial y Social (RUES).</w:t>
            </w:r>
          </w:p>
          <w:p w14:paraId="7F256968" w14:textId="77777777" w:rsidR="00F15D6D" w:rsidRPr="00D2561F" w:rsidRDefault="00F15D6D" w:rsidP="00F15D6D">
            <w:pPr>
              <w:numPr>
                <w:ilvl w:val="0"/>
                <w:numId w:val="2"/>
              </w:numPr>
              <w:pBdr>
                <w:top w:val="nil"/>
                <w:left w:val="nil"/>
                <w:bottom w:val="nil"/>
                <w:right w:val="nil"/>
                <w:between w:val="nil"/>
              </w:pBd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Demás entidades que considere conducentes.</w:t>
            </w:r>
          </w:p>
          <w:p w14:paraId="1356ADBB" w14:textId="77777777" w:rsidR="00F15D6D" w:rsidRPr="00D2561F" w:rsidRDefault="00F15D6D" w:rsidP="00F15D6D">
            <w:pPr>
              <w:pBdr>
                <w:top w:val="nil"/>
                <w:left w:val="nil"/>
                <w:bottom w:val="nil"/>
                <w:right w:val="nil"/>
                <w:between w:val="nil"/>
              </w:pBdr>
              <w:spacing w:line="276" w:lineRule="auto"/>
              <w:ind w:left="360"/>
              <w:jc w:val="both"/>
              <w:rPr>
                <w:rFonts w:ascii="Century Gothic" w:hAnsi="Century Gothic"/>
                <w:color w:val="000000" w:themeColor="text1"/>
                <w:sz w:val="20"/>
                <w:szCs w:val="20"/>
              </w:rPr>
            </w:pPr>
          </w:p>
          <w:p w14:paraId="7F25696A"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En aquellos casos donde la información no esté disponible en línea o a través de la Plataforma de Consulta sobre la Capacidad del Deudor Alimentario (PCCDA), el juez oficiará</w:t>
            </w:r>
            <w:r w:rsidRPr="00D2561F">
              <w:rPr>
                <w:rFonts w:ascii="Century Gothic" w:hAnsi="Century Gothic"/>
                <w:b/>
                <w:bCs/>
                <w:color w:val="000000" w:themeColor="text1"/>
                <w:sz w:val="20"/>
                <w:szCs w:val="20"/>
              </w:rPr>
              <w:t xml:space="preserve"> </w:t>
            </w:r>
            <w:r w:rsidRPr="00D2561F">
              <w:rPr>
                <w:rFonts w:ascii="Century Gothic" w:hAnsi="Century Gothic"/>
                <w:color w:val="000000" w:themeColor="text1"/>
                <w:sz w:val="20"/>
                <w:szCs w:val="20"/>
              </w:rPr>
              <w:t>y/o ordenará en el auto admisorio la consulta de la información del demandado en las bases de datos de las entidades mencionadas.</w:t>
            </w:r>
          </w:p>
          <w:p w14:paraId="7F25696C"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1.  </w:t>
            </w:r>
            <w:r w:rsidRPr="00D2561F">
              <w:rPr>
                <w:rFonts w:ascii="Century Gothic" w:hAnsi="Century Gothic"/>
                <w:color w:val="000000" w:themeColor="text1"/>
                <w:sz w:val="20"/>
                <w:szCs w:val="20"/>
              </w:rPr>
              <w:t>El acceso a información financiera y tributaria se sujetará a orden judicial, guardando la reserva legal vigente, sin acceso a datos sensibles no pertinentes.</w:t>
            </w:r>
          </w:p>
          <w:p w14:paraId="7F25696D"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2. </w:t>
            </w:r>
            <w:r w:rsidRPr="00D2561F">
              <w:rPr>
                <w:rFonts w:ascii="Century Gothic" w:hAnsi="Century Gothic"/>
                <w:color w:val="000000" w:themeColor="text1"/>
                <w:sz w:val="20"/>
                <w:szCs w:val="20"/>
              </w:rPr>
              <w:t xml:space="preserve">El acceso a información financiera, tributaria y personal se hará bajo la estricta observancia de los principios de reserva legal, necesidad y proporcionalidad. La información recolectada será de uso exclusivo del despacho judicial para la tasación de la cuota alimentaria y su tratamiento se regirá por la Ley de Protección de Datos Personales Ley 1581 de 2012 o aquella que la modifiquen, adicione o sustituya. </w:t>
            </w:r>
          </w:p>
          <w:p w14:paraId="7F25696E"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El uso indebido de dicha información por parte de funcionarios judiciales o terceros dará lugar a las sanciones disciplinarias, penales y fiscales correspondientes.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6F" w14:textId="57CB6752"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r w:rsidR="003870F1" w:rsidRPr="00D2561F">
              <w:rPr>
                <w:rFonts w:ascii="Century Gothic" w:hAnsi="Century Gothic"/>
                <w:color w:val="000000" w:themeColor="text1"/>
                <w:sz w:val="20"/>
                <w:szCs w:val="20"/>
              </w:rPr>
              <w:t>.</w:t>
            </w:r>
          </w:p>
        </w:tc>
      </w:tr>
      <w:tr w:rsidR="00F15D6D" w:rsidRPr="00D2561F" w14:paraId="7F2569DF"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71"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15º. PLATAFORMA DE CONSULTA SOBRE LA CAPACIDAD DEL DEUDOR ALIMENTARIO (PCCDA). </w:t>
            </w:r>
            <w:r w:rsidRPr="00D2561F">
              <w:rPr>
                <w:rFonts w:ascii="Century Gothic" w:hAnsi="Century Gothic"/>
                <w:color w:val="000000" w:themeColor="text1"/>
                <w:sz w:val="20"/>
                <w:szCs w:val="20"/>
              </w:rPr>
              <w:t>El Consejo Superior de la Judicatura en el término de doce (12) meses contados a partir de la entrada en vigencia de esta ley, habilitará una plataforma que permita a todos los jueces de la jurisdicción ordinaria acceder en tiempo real a la información necesaria para establecer la capacidad económica  de la persona obligada a dar alimentos o del deudor alimentario en todos los procesos acerca de obligaciones de alimentos, así como las medidas de seguridad para la protección del acceso a la información autorizada y el registro de las consultas realizadas y su relación al número de radicado del proceso correspondiente.</w:t>
            </w:r>
          </w:p>
          <w:p w14:paraId="7F256972"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Esta plataforma será interoperable y alimentada por la información de los sujetos mencionados en los literales del artículo 14 a excepción de los empleadores y contratantes de la presente ley, así mismo por la base de datos de la Registraduría Nacional del Servicio Civil.</w:t>
            </w:r>
          </w:p>
          <w:p w14:paraId="7F256973"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Para todos los efectos se entenderá que el acceso y consulta del juez o su despacho equivale a una orden judicial para el acceso a bases de datos sin que se requiera un acto procesal adicional o separado.</w:t>
            </w:r>
          </w:p>
          <w:p w14:paraId="7F256974"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El uso de la </w:t>
            </w:r>
            <w:r w:rsidRPr="00D2561F">
              <w:rPr>
                <w:rFonts w:ascii="Century Gothic" w:hAnsi="Century Gothic"/>
                <w:color w:val="000000" w:themeColor="text1"/>
                <w:sz w:val="20"/>
                <w:szCs w:val="20"/>
                <w:highlight w:val="white"/>
              </w:rPr>
              <w:t>Plataforma de Consulta Sobre la Capacidad del Deudor Alimentario (</w:t>
            </w:r>
            <w:r w:rsidRPr="00D2561F">
              <w:rPr>
                <w:rFonts w:ascii="Century Gothic" w:hAnsi="Century Gothic"/>
                <w:color w:val="000000" w:themeColor="text1"/>
                <w:sz w:val="20"/>
                <w:szCs w:val="20"/>
              </w:rPr>
              <w:t>PCCDA) es un instrumento auxiliar para determinar la capacidad económica de la persona obligada a dar alimentos o del deudor alimentario, no debe entenderse en perjuicio de la libertad probatoria y del rol del juez a la hora de establecer en el proceso la capacidad económica de la persona obligada a dar alimentos o del deudor.</w:t>
            </w:r>
          </w:p>
          <w:p w14:paraId="7F256975"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Los órganos de control y entidades que ejercen inspección, vigilancia y control deberán dentro de sus respectivas competencias asegurar que sus sujetos de control cumplan con el reporte en tiempo real de la información a la </w:t>
            </w:r>
            <w:r w:rsidRPr="00D2561F">
              <w:rPr>
                <w:rFonts w:ascii="Century Gothic" w:hAnsi="Century Gothic"/>
                <w:color w:val="000000" w:themeColor="text1"/>
                <w:sz w:val="20"/>
                <w:szCs w:val="20"/>
                <w:highlight w:val="white"/>
              </w:rPr>
              <w:t>Plataforma de Consulta Sobre la Capacidad del Deudor Alimentario (</w:t>
            </w:r>
            <w:r w:rsidRPr="00D2561F">
              <w:rPr>
                <w:rFonts w:ascii="Century Gothic" w:hAnsi="Century Gothic"/>
                <w:color w:val="000000" w:themeColor="text1"/>
                <w:sz w:val="20"/>
                <w:szCs w:val="20"/>
              </w:rPr>
              <w:t>PCCDA). </w:t>
            </w:r>
          </w:p>
          <w:p w14:paraId="7F256976" w14:textId="77777777" w:rsidR="00F15D6D" w:rsidRPr="00D2561F" w:rsidRDefault="00F15D6D" w:rsidP="00F15D6D">
            <w:pPr>
              <w:spacing w:line="276" w:lineRule="auto"/>
              <w:rPr>
                <w:rFonts w:ascii="Century Gothic" w:hAnsi="Century Gothic"/>
                <w:color w:val="000000" w:themeColor="text1"/>
                <w:sz w:val="20"/>
                <w:szCs w:val="20"/>
              </w:rPr>
            </w:pPr>
          </w:p>
          <w:p w14:paraId="7F256977"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 1:</w:t>
            </w:r>
            <w:r w:rsidRPr="00D2561F">
              <w:rPr>
                <w:rFonts w:ascii="Century Gothic" w:hAnsi="Century Gothic"/>
                <w:color w:val="000000" w:themeColor="text1"/>
                <w:sz w:val="20"/>
                <w:szCs w:val="20"/>
              </w:rPr>
              <w:t xml:space="preserve"> Entre la entrada en vigencia de la presente ley y la entrada en funcionamiento de la </w:t>
            </w:r>
            <w:r w:rsidRPr="00D2561F">
              <w:rPr>
                <w:rFonts w:ascii="Century Gothic" w:hAnsi="Century Gothic"/>
                <w:color w:val="000000" w:themeColor="text1"/>
                <w:sz w:val="20"/>
                <w:szCs w:val="20"/>
                <w:highlight w:val="white"/>
              </w:rPr>
              <w:t>Plataforma de Consulta Sobre la Capacidad del Deudor Alimentario (</w:t>
            </w:r>
            <w:r w:rsidRPr="00D2561F">
              <w:rPr>
                <w:rFonts w:ascii="Century Gothic" w:hAnsi="Century Gothic"/>
                <w:color w:val="000000" w:themeColor="text1"/>
                <w:sz w:val="20"/>
                <w:szCs w:val="20"/>
              </w:rPr>
              <w:t>PCCDA) los jueces oficiarán a los sujetos del artículo 14 los cuales deberán dar respuesta completa y de fondo en un plazo no mayor a tres (03) días hábiles.</w:t>
            </w:r>
          </w:p>
          <w:p w14:paraId="7F25697E" w14:textId="35D27C93" w:rsidR="00F15D6D" w:rsidRPr="00D2561F" w:rsidRDefault="00F15D6D" w:rsidP="003870F1">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Parágrafo 2: </w:t>
            </w:r>
            <w:r w:rsidRPr="00D2561F">
              <w:rPr>
                <w:rFonts w:ascii="Century Gothic" w:hAnsi="Century Gothic"/>
                <w:color w:val="000000" w:themeColor="text1"/>
                <w:sz w:val="20"/>
                <w:szCs w:val="20"/>
                <w:highlight w:val="white"/>
              </w:rPr>
              <w:t>El Gobierno Nacional garantizará los recursos necesarios para la creación de la plataforma de Consulta sobre la capacidad del deudor alimentario, respetando el Marco Fiscal de mediano Plazo.</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7F"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15º. PLATAFORMA DE CONSULTA SOBRE LA CAPACIDAD DEL DEUDOR ALIMENTARIO (PCCDA). </w:t>
            </w:r>
            <w:r w:rsidRPr="00D2561F">
              <w:rPr>
                <w:rFonts w:ascii="Century Gothic" w:hAnsi="Century Gothic"/>
                <w:color w:val="000000" w:themeColor="text1"/>
                <w:sz w:val="20"/>
                <w:szCs w:val="20"/>
              </w:rPr>
              <w:t>El Consejo Superior de la Judicatura en el término de doce (12) meses contados a partir de la entrada en vigencia de esta ley, habilitará una plataforma que permita a todos los jueces de la jurisdicción ordinaria acceder en tiempo real a la información necesaria para establecer la capacidad económica  de la persona obligada a dar alimentos o del deudor alimentario en todos los procesos acerca de obligaciones de alimentos, así como las medidas de seguridad para la protección del acceso a la información autorizada y el registro de las consultas realizadas y su relación al número de radicado del proceso correspondiente.</w:t>
            </w:r>
          </w:p>
          <w:p w14:paraId="7F256980"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Esta plataforma será interoperable y alimentada por la información de los sujetos mencionados en los literales del artículo 14 a excepción de los empleadores y contratantes de la presente ley, así mismo por la base de datos de la Registraduría Nacional del Servicio Civil.</w:t>
            </w:r>
          </w:p>
          <w:p w14:paraId="7F256981"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Para todos los efectos se entenderá que el acceso y consulta del juez o su despacho equivale a una orden judicial para el acceso a bases de datos sin que se requiera un acto procesal adicional o separado.</w:t>
            </w:r>
          </w:p>
          <w:p w14:paraId="7F256982"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El uso de la </w:t>
            </w:r>
            <w:r w:rsidRPr="00D2561F">
              <w:rPr>
                <w:rFonts w:ascii="Century Gothic" w:hAnsi="Century Gothic"/>
                <w:color w:val="000000" w:themeColor="text1"/>
                <w:sz w:val="20"/>
                <w:szCs w:val="20"/>
                <w:highlight w:val="white"/>
              </w:rPr>
              <w:t>Plataforma de Consulta Sobre la Capacidad del Deudor Alimentario (</w:t>
            </w:r>
            <w:r w:rsidRPr="00D2561F">
              <w:rPr>
                <w:rFonts w:ascii="Century Gothic" w:hAnsi="Century Gothic"/>
                <w:color w:val="000000" w:themeColor="text1"/>
                <w:sz w:val="20"/>
                <w:szCs w:val="20"/>
              </w:rPr>
              <w:t>PCCDA) es un instrumento auxiliar para determinar la capacidad económica de la persona obligada a dar alimentos o del deudor alimentario, no debe entenderse en perjuicio de la libertad probatoria y del rol del juez a la hora de establecer en el proceso la capacidad económica de la persona obligada a dar alimentos o del deudor.</w:t>
            </w:r>
          </w:p>
          <w:p w14:paraId="7F256983"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Los órganos de control y entidades que ejercen inspección, vigilancia y control deberán dentro de sus respectivas competencias asegurar que sus sujetos de control cumplan con el reporte en tiempo real de la información a la </w:t>
            </w:r>
            <w:r w:rsidRPr="00D2561F">
              <w:rPr>
                <w:rFonts w:ascii="Century Gothic" w:hAnsi="Century Gothic"/>
                <w:color w:val="000000" w:themeColor="text1"/>
                <w:sz w:val="20"/>
                <w:szCs w:val="20"/>
                <w:highlight w:val="white"/>
              </w:rPr>
              <w:t>Plataforma de Consulta Sobre la Capacidad del Deudor Alimentario (</w:t>
            </w:r>
            <w:r w:rsidRPr="00D2561F">
              <w:rPr>
                <w:rFonts w:ascii="Century Gothic" w:hAnsi="Century Gothic"/>
                <w:color w:val="000000" w:themeColor="text1"/>
                <w:sz w:val="20"/>
                <w:szCs w:val="20"/>
              </w:rPr>
              <w:t>PCCDA). </w:t>
            </w:r>
          </w:p>
          <w:p w14:paraId="7F256984" w14:textId="77777777" w:rsidR="00F15D6D" w:rsidRPr="00D2561F" w:rsidRDefault="00F15D6D" w:rsidP="00F15D6D">
            <w:pPr>
              <w:spacing w:line="276" w:lineRule="auto"/>
              <w:rPr>
                <w:rFonts w:ascii="Century Gothic" w:hAnsi="Century Gothic"/>
                <w:color w:val="000000" w:themeColor="text1"/>
                <w:sz w:val="20"/>
                <w:szCs w:val="20"/>
              </w:rPr>
            </w:pPr>
          </w:p>
          <w:p w14:paraId="7F256985"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 1:</w:t>
            </w:r>
            <w:r w:rsidRPr="00D2561F">
              <w:rPr>
                <w:rFonts w:ascii="Century Gothic" w:hAnsi="Century Gothic"/>
                <w:color w:val="000000" w:themeColor="text1"/>
                <w:sz w:val="20"/>
                <w:szCs w:val="20"/>
              </w:rPr>
              <w:t xml:space="preserve"> Entre la entrada en vigencia de la presente ley y la entrada en funcionamiento de la </w:t>
            </w:r>
            <w:r w:rsidRPr="00D2561F">
              <w:rPr>
                <w:rFonts w:ascii="Century Gothic" w:hAnsi="Century Gothic"/>
                <w:color w:val="000000" w:themeColor="text1"/>
                <w:sz w:val="20"/>
                <w:szCs w:val="20"/>
                <w:highlight w:val="white"/>
              </w:rPr>
              <w:t>Plataforma de Consulta Sobre la Capacidad del Deudor Alimentario (</w:t>
            </w:r>
            <w:r w:rsidRPr="00D2561F">
              <w:rPr>
                <w:rFonts w:ascii="Century Gothic" w:hAnsi="Century Gothic"/>
                <w:color w:val="000000" w:themeColor="text1"/>
                <w:sz w:val="20"/>
                <w:szCs w:val="20"/>
              </w:rPr>
              <w:t>PCCDA) los jueces oficiarán a los sujetos del artículo 14 los cuales deberán dar respuesta completa y de fondo en un plazo no mayor a tres (03) días hábiles.</w:t>
            </w:r>
          </w:p>
          <w:p w14:paraId="7F25698C" w14:textId="633DBCD4" w:rsidR="00F15D6D" w:rsidRPr="00D2561F" w:rsidRDefault="00F15D6D" w:rsidP="003870F1">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2: </w:t>
            </w:r>
            <w:r w:rsidRPr="00D2561F">
              <w:rPr>
                <w:rFonts w:ascii="Century Gothic" w:hAnsi="Century Gothic"/>
                <w:color w:val="000000" w:themeColor="text1"/>
                <w:sz w:val="20"/>
                <w:szCs w:val="20"/>
                <w:highlight w:val="white"/>
              </w:rPr>
              <w:t>El Gobierno Nacional garantizará los recursos necesarios para la creación de la plataforma de Consulta sobre la capacidad del deudor alimentario, respetando el Marco Fiscal de mediano Plazo.</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8D"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Sin modificaciones </w:t>
            </w:r>
          </w:p>
          <w:p w14:paraId="7F25698E"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8F"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0"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1"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2"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3"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4"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5"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6"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7"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8"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9"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A"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B"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C"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D"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E"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9F"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A0"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A1"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A2"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A3"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A4"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DA"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DB" w14:textId="77777777" w:rsidR="00F15D6D" w:rsidRPr="00D2561F" w:rsidRDefault="00F15D6D" w:rsidP="00F15D6D">
            <w:pPr>
              <w:spacing w:line="276" w:lineRule="auto"/>
              <w:jc w:val="both"/>
              <w:rPr>
                <w:rFonts w:ascii="Century Gothic" w:hAnsi="Century Gothic"/>
                <w:color w:val="000000" w:themeColor="text1"/>
                <w:sz w:val="20"/>
                <w:szCs w:val="20"/>
              </w:rPr>
            </w:pPr>
          </w:p>
          <w:p w14:paraId="7F2569DE" w14:textId="63334A49" w:rsidR="00F15D6D" w:rsidRPr="00D2561F" w:rsidRDefault="00F15D6D" w:rsidP="00F15D6D">
            <w:pPr>
              <w:spacing w:line="276" w:lineRule="auto"/>
              <w:jc w:val="both"/>
              <w:rPr>
                <w:rFonts w:ascii="Century Gothic" w:hAnsi="Century Gothic"/>
                <w:color w:val="000000" w:themeColor="text1"/>
                <w:sz w:val="20"/>
                <w:szCs w:val="20"/>
              </w:rPr>
            </w:pPr>
          </w:p>
        </w:tc>
      </w:tr>
      <w:tr w:rsidR="00F15D6D" w:rsidRPr="00D2561F" w14:paraId="2AEC67EC"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A0B40"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16º. OBLIGACIÓN DE LOS EMPLEADORES DE APORTAR INFORMACIÓN EN LOS PROCESOS DE ALIMENTOS. </w:t>
            </w:r>
            <w:r w:rsidRPr="00D2561F">
              <w:rPr>
                <w:rFonts w:ascii="Century Gothic" w:hAnsi="Century Gothic"/>
                <w:color w:val="000000" w:themeColor="text1"/>
                <w:sz w:val="20"/>
                <w:szCs w:val="20"/>
              </w:rPr>
              <w:t>Las personas naturales y jurídicas, públicas, privadas o mixtas, que tengan cualquier tipo de relación contractual o laboral con deudores de obligaciones alimentarias, que sean requeridas para aportar información suficiente para establecer la capacidad económica del accionado en el marco de procesos de fijación de cuota alimentaria, procesos ejecutivos de alimentos y el amparo alimentario, deberán dar r</w:t>
            </w:r>
            <w:r w:rsidRPr="00D2561F">
              <w:rPr>
                <w:rFonts w:ascii="Century Gothic" w:hAnsi="Century Gothic"/>
                <w:color w:val="000000" w:themeColor="text1"/>
                <w:sz w:val="20"/>
                <w:szCs w:val="20"/>
                <w:highlight w:val="white"/>
              </w:rPr>
              <w:t>espuesta completa y de fondo en un plazo no mayor a tres (03) días hábiles, con fundamento en los datos que posean del accionado, certifiquen y aporten documentos que permitan tasar la capacidad  económica de la persona obligada a dar alimentos y/o el deudor del pago de la cuota alimentaria para la garantía de  las condiciones dignas del titular del derecho de alimentos.</w:t>
            </w:r>
          </w:p>
          <w:p w14:paraId="696E4B5F"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1. </w:t>
            </w:r>
            <w:r w:rsidRPr="00D2561F">
              <w:rPr>
                <w:rFonts w:ascii="Century Gothic" w:hAnsi="Century Gothic"/>
                <w:color w:val="000000" w:themeColor="text1"/>
                <w:sz w:val="20"/>
                <w:szCs w:val="20"/>
              </w:rPr>
              <w:t>El Consejo Superior de la Judicatura se encargará de actualizar anualmente la lista de entidades a las cuales las autoridades podrán oficiar y/o consultar para certificar y aportar los documentos que permitan tasar la capacidad económica o de pago del accionado, en procesos de alimentos. Esta lista tendrá carácter enunciativo y no será obstáculo para que el juez oficie a otras entidades a las cuales el juez considere pertinente.</w:t>
            </w:r>
          </w:p>
          <w:p w14:paraId="474E7366"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2. </w:t>
            </w:r>
            <w:r w:rsidRPr="00D2561F">
              <w:rPr>
                <w:rFonts w:ascii="Century Gothic" w:hAnsi="Century Gothic"/>
                <w:color w:val="000000" w:themeColor="text1"/>
                <w:sz w:val="20"/>
                <w:szCs w:val="20"/>
              </w:rPr>
              <w:t>En caso de no allegar la información solicitada en un proceso de alimentos, sea proceso ejecutivo de alimentos o proceso único especial de amparo alimentario, sin perjuicio de la acción disciplinaria a que haya lugar, el juez deberá hacer uso del poder correccional contemplado en el numeral 3 del artículo 44 de la Ley 1564 de 2012.</w:t>
            </w:r>
          </w:p>
          <w:p w14:paraId="69D1F340" w14:textId="77777777" w:rsidR="00F15D6D" w:rsidRPr="00D2561F" w:rsidRDefault="00F15D6D" w:rsidP="00F15D6D">
            <w:pPr>
              <w:spacing w:line="276" w:lineRule="auto"/>
              <w:jc w:val="both"/>
              <w:rPr>
                <w:rFonts w:ascii="Century Gothic" w:hAnsi="Century Gothic"/>
                <w:b/>
                <w:bCs/>
                <w:color w:val="000000" w:themeColor="text1"/>
                <w:sz w:val="20"/>
                <w:szCs w:val="20"/>
              </w:rPr>
            </w:pP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872C3" w14:textId="5F6398A3"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16º. OBLIGACIÓN DE LOS EMPLEADORES DE</w:t>
            </w:r>
            <w:r w:rsidR="003870F1" w:rsidRPr="00D2561F">
              <w:rPr>
                <w:rFonts w:ascii="Century Gothic" w:hAnsi="Century Gothic"/>
                <w:b/>
                <w:bCs/>
                <w:color w:val="000000" w:themeColor="text1"/>
                <w:sz w:val="20"/>
                <w:szCs w:val="20"/>
              </w:rPr>
              <w:t xml:space="preserve"> </w:t>
            </w:r>
            <w:r w:rsidRPr="00D2561F">
              <w:rPr>
                <w:rFonts w:ascii="Century Gothic" w:hAnsi="Century Gothic"/>
                <w:b/>
                <w:bCs/>
                <w:color w:val="000000" w:themeColor="text1"/>
                <w:sz w:val="20"/>
                <w:szCs w:val="20"/>
              </w:rPr>
              <w:t xml:space="preserve">APORTAR INFORMACIÓN EN LOS PROCESOS DE ALIMENTOS. </w:t>
            </w:r>
            <w:r w:rsidRPr="00D2561F">
              <w:rPr>
                <w:rFonts w:ascii="Century Gothic" w:hAnsi="Century Gothic"/>
                <w:color w:val="000000" w:themeColor="text1"/>
                <w:sz w:val="20"/>
                <w:szCs w:val="20"/>
              </w:rPr>
              <w:t>Las personas naturales y jurídicas, públicas, privadas o mixtas, que tengan cualquier tipo de relación contractual o laboral con deudores de obligaciones alimentarias, que sean requeridas para aportar información suficiente para establecer la capacidad económica del accionado en el marco de procesos de fijación de cuota alimentaria, procesos ejecutivos de alimentos y el amparo alimentario, deberán dar r</w:t>
            </w:r>
            <w:r w:rsidRPr="00D2561F">
              <w:rPr>
                <w:rFonts w:ascii="Century Gothic" w:hAnsi="Century Gothic"/>
                <w:color w:val="000000" w:themeColor="text1"/>
                <w:sz w:val="20"/>
                <w:szCs w:val="20"/>
                <w:highlight w:val="white"/>
              </w:rPr>
              <w:t>espuesta completa y de fondo en un plazo no mayor a tres (03) días hábiles, con fundamento en los datos que posean del accionado, certifiquen y aporten documentos que permitan tasar la capacidad  económica de la persona obligada a dar alimentos y/o el deudor del pago de la cuota alimentaria para la garantía de  las condiciones dignas del titular del derecho de alimentos.</w:t>
            </w:r>
          </w:p>
          <w:p w14:paraId="00176215"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1. </w:t>
            </w:r>
            <w:r w:rsidRPr="00D2561F">
              <w:rPr>
                <w:rFonts w:ascii="Century Gothic" w:hAnsi="Century Gothic"/>
                <w:color w:val="000000" w:themeColor="text1"/>
                <w:sz w:val="20"/>
                <w:szCs w:val="20"/>
              </w:rPr>
              <w:t>El Consejo Superior de la Judicatura se encargará de actualizar anualmente la lista de entidades a las cuales las autoridades podrán oficiar y/o consultar para certificar y aportar los documentos que permitan tasar la capacidad económica o de pago del accionado, en procesos de alimentos. Esta lista tendrá carácter enunciativo y no será obstáculo para que el juez oficie a otras entidades a las cuales el juez considere pertinente.</w:t>
            </w:r>
          </w:p>
          <w:p w14:paraId="1C1A7ECC"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2. </w:t>
            </w:r>
            <w:r w:rsidRPr="00D2561F">
              <w:rPr>
                <w:rFonts w:ascii="Century Gothic" w:hAnsi="Century Gothic"/>
                <w:color w:val="000000" w:themeColor="text1"/>
                <w:sz w:val="20"/>
                <w:szCs w:val="20"/>
              </w:rPr>
              <w:t>En caso de no allegar la información solicitada en un proceso de alimentos, sea proceso ejecutivo de alimentos o proceso único especial de amparo alimentario, sin perjuicio de la acción disciplinaria a que haya lugar, el juez deberá hacer uso del poder correccional contemplado en el numeral 3 del artículo 44 de la Ley 1564 de 2012.</w:t>
            </w:r>
          </w:p>
          <w:p w14:paraId="366DDD1B" w14:textId="77777777" w:rsidR="00F15D6D" w:rsidRPr="00D2561F" w:rsidRDefault="00F15D6D" w:rsidP="00F15D6D">
            <w:pPr>
              <w:spacing w:line="276" w:lineRule="auto"/>
              <w:jc w:val="both"/>
              <w:rPr>
                <w:rFonts w:ascii="Century Gothic" w:hAnsi="Century Gothic"/>
                <w:b/>
                <w:bCs/>
                <w:color w:val="000000" w:themeColor="text1"/>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81C24" w14:textId="4969013C"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Sin modificaciones </w:t>
            </w:r>
          </w:p>
        </w:tc>
      </w:tr>
      <w:tr w:rsidR="00F15D6D" w:rsidRPr="00D2561F" w14:paraId="7F2569E5"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E0"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17º. POLICÍA JUDICIAL. </w:t>
            </w:r>
            <w:r w:rsidRPr="00D2561F">
              <w:rPr>
                <w:rFonts w:ascii="Century Gothic" w:hAnsi="Century Gothic"/>
                <w:color w:val="000000" w:themeColor="text1"/>
                <w:sz w:val="20"/>
                <w:szCs w:val="20"/>
              </w:rPr>
              <w:t xml:space="preserve">Los  órganos de policía judicial permanente a los que se refiere el  artículo 201 de la Ley 906  de 2004  modificado por el artículo </w:t>
            </w:r>
            <w:hyperlink r:id="rId13" w:anchor="3">
              <w:r w:rsidRPr="00D2561F">
                <w:rPr>
                  <w:rFonts w:ascii="Century Gothic" w:hAnsi="Century Gothic"/>
                  <w:color w:val="000000" w:themeColor="text1"/>
                  <w:sz w:val="20"/>
                  <w:szCs w:val="20"/>
                </w:rPr>
                <w:t>3</w:t>
              </w:r>
            </w:hyperlink>
            <w:r w:rsidRPr="00D2561F">
              <w:rPr>
                <w:rFonts w:ascii="Century Gothic" w:hAnsi="Century Gothic"/>
                <w:color w:val="000000" w:themeColor="text1"/>
                <w:sz w:val="20"/>
                <w:szCs w:val="20"/>
              </w:rPr>
              <w:t xml:space="preserve"> de la Ley 2205 de 2022 o el que haga sus veces, colaborarán con los jueces en los procesos acerca de obligaciones de alimentos para la obtención de información dirigida a determinar y probar la capacidad económica de la  persona obligada a dar alimentos o del deudor alimentario.</w:t>
            </w:r>
          </w:p>
          <w:p w14:paraId="7F2569E1" w14:textId="77777777" w:rsidR="00F15D6D" w:rsidRPr="00D2561F" w:rsidRDefault="00F15D6D" w:rsidP="00F15D6D">
            <w:pPr>
              <w:spacing w:line="276" w:lineRule="auto"/>
              <w:rPr>
                <w:rFonts w:ascii="Century Gothic" w:hAnsi="Century Gothic"/>
                <w:b/>
                <w:bCs/>
                <w:color w:val="000000" w:themeColor="text1"/>
                <w:sz w:val="20"/>
                <w:szCs w:val="20"/>
              </w:rPr>
            </w:pP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E2"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17º. POLICÍA JUDICIAL. </w:t>
            </w:r>
            <w:r w:rsidRPr="00D2561F">
              <w:rPr>
                <w:rFonts w:ascii="Century Gothic" w:hAnsi="Century Gothic"/>
                <w:color w:val="000000" w:themeColor="text1"/>
                <w:sz w:val="20"/>
                <w:szCs w:val="20"/>
              </w:rPr>
              <w:t xml:space="preserve">Los  órganos de policía judicial permanente a los que se refiere el  artículo 201 de la Ley 906  de 2004  modificado por el artículo </w:t>
            </w:r>
            <w:hyperlink r:id="rId14" w:anchor="3">
              <w:r w:rsidRPr="00D2561F">
                <w:rPr>
                  <w:rFonts w:ascii="Century Gothic" w:hAnsi="Century Gothic"/>
                  <w:color w:val="000000" w:themeColor="text1"/>
                  <w:sz w:val="20"/>
                  <w:szCs w:val="20"/>
                </w:rPr>
                <w:t>3</w:t>
              </w:r>
            </w:hyperlink>
            <w:r w:rsidRPr="00D2561F">
              <w:rPr>
                <w:rFonts w:ascii="Century Gothic" w:hAnsi="Century Gothic"/>
                <w:color w:val="000000" w:themeColor="text1"/>
                <w:sz w:val="20"/>
                <w:szCs w:val="20"/>
              </w:rPr>
              <w:t xml:space="preserve"> de la Ley 2205 de 2022 o el que haga sus veces, colaborarán con los jueces en los procesos acerca de obligaciones de alimentos para la obtención de información dirigida a determinar y probar la capacidad económica de la  persona obligada a dar alimentos o del deudor alimentario.</w:t>
            </w:r>
          </w:p>
          <w:p w14:paraId="7F2569E3" w14:textId="77777777" w:rsidR="00F15D6D" w:rsidRPr="00D2561F" w:rsidRDefault="00F15D6D" w:rsidP="00F15D6D">
            <w:pPr>
              <w:spacing w:line="276" w:lineRule="auto"/>
              <w:jc w:val="center"/>
              <w:rPr>
                <w:rFonts w:ascii="Century Gothic" w:hAnsi="Century Gothic"/>
                <w:color w:val="000000" w:themeColor="text1"/>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E4"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9ED"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E6"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18º. </w:t>
            </w:r>
            <w:r w:rsidRPr="00D2561F">
              <w:rPr>
                <w:rFonts w:ascii="Century Gothic" w:hAnsi="Century Gothic"/>
                <w:color w:val="000000" w:themeColor="text1"/>
                <w:sz w:val="20"/>
                <w:szCs w:val="20"/>
              </w:rPr>
              <w:t>Modifíquese el inciso 1 del artículo 129 de la Ley 1098 de 2006, el cual quedará así:</w:t>
            </w:r>
          </w:p>
          <w:p w14:paraId="7F2569E8" w14:textId="69EFD987" w:rsidR="00F15D6D" w:rsidRPr="00D2561F" w:rsidRDefault="00F15D6D" w:rsidP="00F15D6D">
            <w:pPr>
              <w:spacing w:line="276" w:lineRule="auto"/>
              <w:ind w:left="284" w:right="333"/>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“ARTÍCULO 129. ALIMENTOS.</w:t>
            </w:r>
            <w:r w:rsidRPr="00D2561F">
              <w:rPr>
                <w:rFonts w:ascii="Century Gothic" w:hAnsi="Century Gothic"/>
                <w:color w:val="000000" w:themeColor="text1"/>
                <w:sz w:val="20"/>
                <w:szCs w:val="20"/>
              </w:rPr>
              <w:t xml:space="preserve"> En el auto que corre traslado de la demanda o del informe del Defensor de Familia, el juez fijará cuota provisional de alimentos, siempre que haya prueba del vínculo que origina la obligación alimentaria, y oficiará y/o dispondrá</w:t>
            </w:r>
            <w:r w:rsidRPr="00D2561F">
              <w:rPr>
                <w:rFonts w:ascii="Century Gothic" w:hAnsi="Century Gothic"/>
                <w:b/>
                <w:bCs/>
                <w:color w:val="000000" w:themeColor="text1"/>
                <w:sz w:val="20"/>
                <w:szCs w:val="20"/>
              </w:rPr>
              <w:t xml:space="preserve"> </w:t>
            </w:r>
            <w:r w:rsidRPr="00D2561F">
              <w:rPr>
                <w:rFonts w:ascii="Century Gothic" w:hAnsi="Century Gothic"/>
                <w:color w:val="000000" w:themeColor="text1"/>
                <w:sz w:val="20"/>
                <w:szCs w:val="20"/>
              </w:rPr>
              <w:t>la consulta a diferentes entidades e instituciones que prueben la capacidad económica</w:t>
            </w:r>
            <w:r w:rsidRPr="00D2561F">
              <w:rPr>
                <w:rFonts w:ascii="Century Gothic" w:hAnsi="Century Gothic"/>
                <w:b/>
                <w:bCs/>
                <w:color w:val="000000" w:themeColor="text1"/>
                <w:sz w:val="20"/>
                <w:szCs w:val="20"/>
              </w:rPr>
              <w:t xml:space="preserve"> </w:t>
            </w:r>
            <w:r w:rsidRPr="00D2561F">
              <w:rPr>
                <w:rFonts w:ascii="Century Gothic" w:hAnsi="Century Gothic"/>
                <w:color w:val="000000" w:themeColor="text1"/>
                <w:sz w:val="20"/>
                <w:szCs w:val="20"/>
              </w:rPr>
              <w:t>de la persona obligada a dar alimentos o del deudor alimentario. El juez será encargado de establecer la solvencia económica del alimentante tomando en cuenta los documentos y certificados aportados por las entidades e instituciones requeridas para aportar prueba de la capacidad económica del deudor alimentario, pruebas que aporte o solicite la parte demandante, su patrimonio, posición social, costumbres y en general todos los antecedentes y circunstancias que sirvan para evaluar su capacidad económica. En todo caso se presumirá que devenga al menos el salario mínimo legal.”</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E9"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18º. </w:t>
            </w:r>
            <w:r w:rsidRPr="00D2561F">
              <w:rPr>
                <w:rFonts w:ascii="Century Gothic" w:hAnsi="Century Gothic"/>
                <w:color w:val="000000" w:themeColor="text1"/>
                <w:sz w:val="20"/>
                <w:szCs w:val="20"/>
              </w:rPr>
              <w:t>Modifíquese el inciso 1 del artículo 129 de la Ley 1098 de 2006, el cual quedará así:</w:t>
            </w:r>
          </w:p>
          <w:p w14:paraId="7F2569EB" w14:textId="55D093AE" w:rsidR="00F15D6D" w:rsidRPr="00D2561F" w:rsidRDefault="00F15D6D" w:rsidP="00F15D6D">
            <w:pPr>
              <w:spacing w:line="276" w:lineRule="auto"/>
              <w:ind w:left="284" w:right="333"/>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129. ALIMENTOS.</w:t>
            </w:r>
            <w:r w:rsidRPr="00D2561F">
              <w:rPr>
                <w:rFonts w:ascii="Century Gothic" w:hAnsi="Century Gothic"/>
                <w:color w:val="000000" w:themeColor="text1"/>
                <w:sz w:val="20"/>
                <w:szCs w:val="20"/>
              </w:rPr>
              <w:t xml:space="preserve"> En el auto que corre traslado de la demanda o del informe del Defensor de Familia, el juez fijará cuota provisional de alimentos, siempre que haya prueba del vínculo que origina la obligación alimentaria, y oficiará y/o dispondrá</w:t>
            </w:r>
            <w:r w:rsidRPr="00D2561F">
              <w:rPr>
                <w:rFonts w:ascii="Century Gothic" w:hAnsi="Century Gothic"/>
                <w:b/>
                <w:bCs/>
                <w:color w:val="000000" w:themeColor="text1"/>
                <w:sz w:val="20"/>
                <w:szCs w:val="20"/>
              </w:rPr>
              <w:t xml:space="preserve"> </w:t>
            </w:r>
            <w:r w:rsidRPr="00D2561F">
              <w:rPr>
                <w:rFonts w:ascii="Century Gothic" w:hAnsi="Century Gothic"/>
                <w:color w:val="000000" w:themeColor="text1"/>
                <w:sz w:val="20"/>
                <w:szCs w:val="20"/>
              </w:rPr>
              <w:t>la consulta a diferentes entidades e instituciones que prueben la capacidad económica</w:t>
            </w:r>
            <w:r w:rsidRPr="00D2561F">
              <w:rPr>
                <w:rFonts w:ascii="Century Gothic" w:hAnsi="Century Gothic"/>
                <w:b/>
                <w:bCs/>
                <w:color w:val="000000" w:themeColor="text1"/>
                <w:sz w:val="20"/>
                <w:szCs w:val="20"/>
              </w:rPr>
              <w:t xml:space="preserve"> </w:t>
            </w:r>
            <w:r w:rsidRPr="00D2561F">
              <w:rPr>
                <w:rFonts w:ascii="Century Gothic" w:hAnsi="Century Gothic"/>
                <w:color w:val="000000" w:themeColor="text1"/>
                <w:sz w:val="20"/>
                <w:szCs w:val="20"/>
              </w:rPr>
              <w:t>de la persona obligada a dar alimentos o del deudor alimentario. El juez será encargado de establecer la solvencia económica del alimentante tomando en cuenta los documentos y certificados aportados por las entidades e instituciones requeridas para aportar prueba de la capacidad económica del deudor alimentario, pruebas que aporte o solicite la parte demandante, su patrimonio, posición social, costumbres y en general todos los antecedentes y circunstancias que sirvan para evaluar su capacidad económica. En todo caso se presumirá que devenga al menos el salario mínimo legal.”</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EC"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9F5"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EE"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19º TASACIÓN DE ALIMENTOS. </w:t>
            </w:r>
            <w:r w:rsidRPr="00D2561F">
              <w:rPr>
                <w:rFonts w:ascii="Century Gothic" w:hAnsi="Century Gothic"/>
                <w:color w:val="000000" w:themeColor="text1"/>
                <w:sz w:val="20"/>
                <w:szCs w:val="20"/>
              </w:rPr>
              <w:t>Modifíquese el artículo 419 del Código Civil, el cuál quedará así:</w:t>
            </w:r>
          </w:p>
          <w:p w14:paraId="7F2569EF"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419. TASACIÓN DE ALIMENTOS.</w:t>
            </w:r>
            <w:r w:rsidRPr="00D2561F">
              <w:rPr>
                <w:rFonts w:ascii="Century Gothic" w:hAnsi="Century Gothic"/>
                <w:color w:val="000000" w:themeColor="text1"/>
                <w:sz w:val="20"/>
                <w:szCs w:val="20"/>
              </w:rPr>
              <w:t xml:space="preserve"> En la tasación de los alimentos se deberán tomar siempre en consideración las facultades de la persona obligada a dar alimentos o del deudor y sus circunstancias domésticas. Igualmente, se deberá considerar la distribución y tasación económica del trabajo de cuidado para la sobrevivencia del alimentario.”</w:t>
            </w:r>
          </w:p>
          <w:p w14:paraId="7F2569F0" w14:textId="77777777" w:rsidR="00F15D6D" w:rsidRPr="00D2561F" w:rsidRDefault="00F15D6D" w:rsidP="00F15D6D">
            <w:pPr>
              <w:spacing w:line="276" w:lineRule="auto"/>
              <w:rPr>
                <w:rFonts w:ascii="Century Gothic" w:hAnsi="Century Gothic"/>
                <w:b/>
                <w:bCs/>
                <w:color w:val="000000" w:themeColor="text1"/>
                <w:sz w:val="20"/>
                <w:szCs w:val="20"/>
              </w:rPr>
            </w:pP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F1"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19º TASACIÓN DE ALIMENTOS. </w:t>
            </w:r>
            <w:r w:rsidRPr="00D2561F">
              <w:rPr>
                <w:rFonts w:ascii="Century Gothic" w:hAnsi="Century Gothic"/>
                <w:color w:val="000000" w:themeColor="text1"/>
                <w:sz w:val="20"/>
                <w:szCs w:val="20"/>
              </w:rPr>
              <w:t>Modifíquese el artículo 419 del Código Civil, el cuál quedará así:</w:t>
            </w:r>
          </w:p>
          <w:p w14:paraId="7F2569F2"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419. TASACIÓN DE ALIMENTOS.</w:t>
            </w:r>
            <w:r w:rsidRPr="00D2561F">
              <w:rPr>
                <w:rFonts w:ascii="Century Gothic" w:hAnsi="Century Gothic"/>
                <w:color w:val="000000" w:themeColor="text1"/>
                <w:sz w:val="20"/>
                <w:szCs w:val="20"/>
              </w:rPr>
              <w:t xml:space="preserve"> En la tasación de los alimentos se deberán tomar siempre en consideración las facultades de la persona obligada a dar alimentos o del deudor y sus circunstancias domésticas. Igualmente, se deberá considerar la distribución y tasación económica del trabajo de cuidado para la sobrevivencia del alimentario.”</w:t>
            </w:r>
          </w:p>
          <w:p w14:paraId="7F2569F3" w14:textId="77777777" w:rsidR="00F15D6D" w:rsidRPr="00D2561F" w:rsidRDefault="00F15D6D" w:rsidP="00F15D6D">
            <w:pPr>
              <w:spacing w:line="276" w:lineRule="auto"/>
              <w:jc w:val="center"/>
              <w:rPr>
                <w:rFonts w:ascii="Century Gothic" w:hAnsi="Century Gothic"/>
                <w:color w:val="000000" w:themeColor="text1"/>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F4"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9F9"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F6"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20º</w:t>
            </w:r>
            <w:r w:rsidRPr="00D2561F">
              <w:rPr>
                <w:rFonts w:ascii="Century Gothic" w:hAnsi="Century Gothic"/>
                <w:color w:val="000000" w:themeColor="text1"/>
                <w:sz w:val="20"/>
                <w:szCs w:val="20"/>
              </w:rPr>
              <w:t xml:space="preserve">. </w:t>
            </w:r>
            <w:r w:rsidRPr="00D2561F">
              <w:rPr>
                <w:rFonts w:ascii="Century Gothic" w:hAnsi="Century Gothic"/>
                <w:b/>
                <w:bCs/>
                <w:color w:val="000000" w:themeColor="text1"/>
                <w:sz w:val="20"/>
                <w:szCs w:val="20"/>
              </w:rPr>
              <w:t>EXTENSIÓN DEL ALCANCE NORMAS DE INFANCIA Y ADOLESCENCIA.</w:t>
            </w:r>
            <w:r w:rsidRPr="00D2561F">
              <w:rPr>
                <w:rFonts w:ascii="Century Gothic" w:hAnsi="Century Gothic"/>
                <w:color w:val="000000" w:themeColor="text1"/>
                <w:sz w:val="20"/>
                <w:szCs w:val="20"/>
              </w:rPr>
              <w:t xml:space="preserve"> Las medidas dispuestas en el artículo 129 y 130 del Código de Infancia y Adolescencia, Ley 1098 de 2006, o la norma que lo modifique o sustituya serán aplicables a los demás procesos de alimentos en los que los titulares del derecho de alimento sean diferentes a niños, niñas y adolescentes.</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F7"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ARTÍCULO 20º</w:t>
            </w:r>
            <w:r w:rsidRPr="00D2561F">
              <w:rPr>
                <w:rFonts w:ascii="Century Gothic" w:hAnsi="Century Gothic"/>
                <w:color w:val="000000" w:themeColor="text1"/>
                <w:sz w:val="20"/>
                <w:szCs w:val="20"/>
              </w:rPr>
              <w:t xml:space="preserve">. </w:t>
            </w:r>
            <w:r w:rsidRPr="00D2561F">
              <w:rPr>
                <w:rFonts w:ascii="Century Gothic" w:hAnsi="Century Gothic"/>
                <w:b/>
                <w:bCs/>
                <w:color w:val="000000" w:themeColor="text1"/>
                <w:sz w:val="20"/>
                <w:szCs w:val="20"/>
              </w:rPr>
              <w:t>EXTENSIÓN DEL ALCANCE NORMAS DE INFANCIA Y ADOLESCENCIA.</w:t>
            </w:r>
            <w:r w:rsidRPr="00D2561F">
              <w:rPr>
                <w:rFonts w:ascii="Century Gothic" w:hAnsi="Century Gothic"/>
                <w:color w:val="000000" w:themeColor="text1"/>
                <w:sz w:val="20"/>
                <w:szCs w:val="20"/>
              </w:rPr>
              <w:t xml:space="preserve"> Las medidas dispuestas en el artículo 129 y 130 del Código de Infancia y Adolescencia, Ley 1098 de 2006, o la norma que lo modifique o sustituya serán aplicables a los demás procesos de alimentos en los que los titulares del derecho de alimento sean diferentes a niños, niñas y adolescentes.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F8"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A03"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FA"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21º. MECANISMO DE PAGOS POR LIBRANZA. </w:t>
            </w:r>
            <w:r w:rsidRPr="00D2561F">
              <w:rPr>
                <w:rFonts w:ascii="Century Gothic" w:hAnsi="Century Gothic"/>
                <w:color w:val="000000" w:themeColor="text1"/>
                <w:sz w:val="20"/>
                <w:szCs w:val="20"/>
              </w:rPr>
              <w:t>De conformidad con lo establecido en el artículo 6 de la Ley 2242 de 2022 "Estado Contigo", créase el mecanismo de pagos por libranza cuando exista cuota de alimentos por conciliación o sentencia judicial. Este mecanismo permitirá el descuento directo del salario o ingresos periódicos del obligado y su transferencia a una cuenta de disposición exclusiva del beneficiario, a través de medios automáticos de pago.</w:t>
            </w:r>
          </w:p>
          <w:p w14:paraId="7F2569FB"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 xml:space="preserve">Parágrafo 1. </w:t>
            </w:r>
            <w:r w:rsidRPr="00D2561F">
              <w:rPr>
                <w:rFonts w:ascii="Century Gothic" w:hAnsi="Century Gothic"/>
                <w:color w:val="000000" w:themeColor="text1"/>
                <w:sz w:val="20"/>
                <w:szCs w:val="20"/>
              </w:rPr>
              <w:t>El empleador o la entidad pagadora deberá realizar el descuento automático de la cuota alimentaria establecida en la conciliación o sentencia, una vez reciba copia de dicha decisión. La consignación se efectuará mediante la Planilla Integrada de Liquidación de Aportes (PILA) a una cuenta especial a nombre del beneficiario, con acceso exclusivo para quien ejerza la patria potestad o representación legal del beneficiario, si fuere el caso.</w:t>
            </w:r>
          </w:p>
          <w:p w14:paraId="7F2569FC"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2. </w:t>
            </w:r>
            <w:r w:rsidRPr="00D2561F">
              <w:rPr>
                <w:rFonts w:ascii="Century Gothic" w:hAnsi="Century Gothic"/>
                <w:color w:val="000000" w:themeColor="text1"/>
                <w:sz w:val="20"/>
                <w:szCs w:val="20"/>
              </w:rPr>
              <w:t>En caso de controversia judicial sobre la conciliación o sentencia de alimentos, los pagos descontados al obligado se consignarán en la cuenta especial del beneficiario, quedando sujetos a las órdenes judiciales que resuelvan la disputa.</w:t>
            </w:r>
          </w:p>
          <w:p w14:paraId="7F2569FD" w14:textId="77777777" w:rsidR="00F15D6D" w:rsidRPr="00D2561F" w:rsidRDefault="00F15D6D" w:rsidP="00F15D6D">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Parágrafo 3. </w:t>
            </w:r>
            <w:r w:rsidRPr="00D2561F">
              <w:rPr>
                <w:rFonts w:ascii="Century Gothic" w:hAnsi="Century Gothic"/>
                <w:color w:val="000000" w:themeColor="text1"/>
                <w:sz w:val="20"/>
                <w:szCs w:val="20"/>
              </w:rPr>
              <w:t>El Gobierno Nacional, en cabeza del Ministerio de Justicia y del Derecho, en coordinación con la Consejería Presidencial para la Equidad de la Mujer o la entidad que haga sus veces, reglamentará el mecanismo de pagos por libranza, en cumplimiento de la Ley 2242 de 2022 “Estado Contigo”, en plazo no mayor a seis (6) meses, a partir de la entrada en vigencia de la presente Ley.</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9FE"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21º. MECANISMO DE PAGOS POR LIBRANZA. </w:t>
            </w:r>
            <w:r w:rsidRPr="00D2561F">
              <w:rPr>
                <w:rFonts w:ascii="Century Gothic" w:hAnsi="Century Gothic"/>
                <w:color w:val="000000" w:themeColor="text1"/>
                <w:sz w:val="20"/>
                <w:szCs w:val="20"/>
              </w:rPr>
              <w:t>De conformidad con lo establecido en el artículo 6 de la Ley 2242 de 2022 "Estado Contigo", créase el mecanismo de pagos por libranza cuando exista cuota de alimentos por conciliación o sentencia judicial. Este mecanismo permitirá el descuento directo del salario o ingresos periódicos del obligado y su transferencia a una cuenta de disposición exclusiva del beneficiario, a través de medios automáticos de pago.</w:t>
            </w:r>
          </w:p>
          <w:p w14:paraId="7F2569FF"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 xml:space="preserve">Parágrafo 1. </w:t>
            </w:r>
            <w:r w:rsidRPr="00D2561F">
              <w:rPr>
                <w:rFonts w:ascii="Century Gothic" w:hAnsi="Century Gothic"/>
                <w:color w:val="000000" w:themeColor="text1"/>
                <w:sz w:val="20"/>
                <w:szCs w:val="20"/>
              </w:rPr>
              <w:t>El empleador o la entidad pagadora deberá realizar el descuento automático de la cuota alimentaria establecida en la conciliación o sentencia, una vez reciba copia de dicha decisión. La consignación se efectuará mediante la Planilla Integrada de Liquidación de Aportes (PILA) a una cuenta especial a nombre del beneficiario, con acceso exclusivo para quien ejerza la patria potestad o representación legal del beneficiario, si fuere el caso.</w:t>
            </w:r>
          </w:p>
          <w:p w14:paraId="7F256A00"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2. </w:t>
            </w:r>
            <w:r w:rsidRPr="00D2561F">
              <w:rPr>
                <w:rFonts w:ascii="Century Gothic" w:hAnsi="Century Gothic"/>
                <w:color w:val="000000" w:themeColor="text1"/>
                <w:sz w:val="20"/>
                <w:szCs w:val="20"/>
              </w:rPr>
              <w:t>En caso de controversia judicial sobre la conciliación o sentencia de alimentos, los pagos descontados al obligado se consignarán en la cuenta especial del beneficiario, quedando sujetos a las órdenes judiciales que resuelvan la disputa.</w:t>
            </w:r>
          </w:p>
          <w:p w14:paraId="7F256A01"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Parágrafo 3. </w:t>
            </w:r>
            <w:r w:rsidRPr="00D2561F">
              <w:rPr>
                <w:rFonts w:ascii="Century Gothic" w:hAnsi="Century Gothic"/>
                <w:color w:val="000000" w:themeColor="text1"/>
                <w:sz w:val="20"/>
                <w:szCs w:val="20"/>
              </w:rPr>
              <w:t>El Gobierno Nacional, en cabeza del Ministerio de Justicia y del Derecho, en coordinación con la Consejería Presidencial para la Equidad de la Mujer o la entidad que haga sus veces, reglamentará el mecanismo de pagos por libranza, en cumplimiento de la Ley 2242 de 2022 “Estado Contigo”, en plazo no mayor a seis (6) meses, a partir de la entrada en vigencia de la presente Ley.</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02"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A07"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04"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22º. DIFUSIÓN Y CAPACITACIÓN. </w:t>
            </w:r>
            <w:r w:rsidRPr="00D2561F">
              <w:rPr>
                <w:rFonts w:ascii="Century Gothic" w:hAnsi="Century Gothic"/>
                <w:color w:val="000000" w:themeColor="text1"/>
                <w:sz w:val="20"/>
                <w:szCs w:val="20"/>
              </w:rPr>
              <w:t>La Escuela Judicial Rodrigo Lara Bonilla impartirá un módulo y/o actualizará los existentes, sobre el concepto y aplicación de la presente ley, en relación al amparo de alimentos y la nueva disposición procesal sobre la capacidad económica de la persona obligada a dar alimentos y/o del deudor alimentario.</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05"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22º. DIFUSIÓN Y CAPACITACIÓN. </w:t>
            </w:r>
            <w:r w:rsidRPr="00D2561F">
              <w:rPr>
                <w:rFonts w:ascii="Century Gothic" w:hAnsi="Century Gothic"/>
                <w:color w:val="000000" w:themeColor="text1"/>
                <w:sz w:val="20"/>
                <w:szCs w:val="20"/>
              </w:rPr>
              <w:t>La Escuela Judicial Rodrigo Lara Bonilla impartirá un módulo y/o actualizará los existentes, sobre el concepto y aplicación de la presente ley, en relación al amparo de alimentos y la nueva disposición procesal sobre la capacidad económica de la persona obligada a dar alimentos y/o del deudor alimentario.</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06"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A0D"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08"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23º. PROCESOS EN CURSO. </w:t>
            </w:r>
            <w:r w:rsidRPr="00D2561F">
              <w:rPr>
                <w:rFonts w:ascii="Century Gothic" w:hAnsi="Century Gothic"/>
                <w:color w:val="000000" w:themeColor="text1"/>
                <w:sz w:val="20"/>
                <w:szCs w:val="20"/>
              </w:rPr>
              <w:t>Los procesos declarativos o ejecutivos sobre alimentos que se encuentren en curso al momento de la entrada en vigencia de la presente ley, podrán ventilarse ante el mismo juez y en el mismo expediente mediante el proceso de amparo alimentario por decisión del juez, a solicitud de parte o de oficio, cuando se adviertan los supuestos de hecho del amparo alimentario.</w:t>
            </w:r>
          </w:p>
          <w:p w14:paraId="7F256A09"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Los términos del proceso de amparo alimentario contarán a partir de la fecha de la notificación del auto que da inicio el proceso de amparo alimentario. La sentencia del proceso de amparo alimentario dará por terminado el proceso declarativo o ejecutivo en curso.</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0A"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23º. PROCESOS EN CURSO. </w:t>
            </w:r>
            <w:r w:rsidRPr="00D2561F">
              <w:rPr>
                <w:rFonts w:ascii="Century Gothic" w:hAnsi="Century Gothic"/>
                <w:color w:val="000000" w:themeColor="text1"/>
                <w:sz w:val="20"/>
                <w:szCs w:val="20"/>
              </w:rPr>
              <w:t>Los procesos declarativos o ejecutivos sobre alimentos que se encuentren en curso al momento de la entrada en vigencia de la presente ley, podrán ventilarse ante el mismo juez y en el mismo expediente mediante el proceso de amparo alimentario por decisión del juez, a solicitud de parte o de oficio, cuando se adviertan los supuestos de hecho del amparo alimentario.</w:t>
            </w:r>
          </w:p>
          <w:p w14:paraId="7F256A0B"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Los términos del proceso de amparo alimentario contarán a partir de la fecha de la notificación del auto que da inicio el proceso de amparo alimentario. La sentencia del proceso de amparo alimentario dará por terminado el proceso declarativo o ejecutivo en curso.</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0C"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A15"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0E"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24º. INICIO DE OFICIO DEL PROCESO. </w:t>
            </w:r>
            <w:r w:rsidRPr="00D2561F">
              <w:rPr>
                <w:rFonts w:ascii="Century Gothic" w:hAnsi="Century Gothic"/>
                <w:color w:val="000000" w:themeColor="text1"/>
                <w:sz w:val="20"/>
                <w:szCs w:val="20"/>
              </w:rPr>
              <w:t>Cuando el peticionario acuda al proceso declarativo de alimentos o al proceso ejecutivo de alimentos, pero sea manifiesto en la demanda que se cumplen los supuestos de hecho de procedibilidad del amparo alimentario, el juez podrá iniciar el proceso de amparo de oficio en lugar del proceso declarativo o ejecutivo, en ese caso los términos del proceso de amparo alimentario contarán a partir de la fecha de la notificación del auto que da inicio el proceso de amparo alimentario. </w:t>
            </w:r>
          </w:p>
          <w:p w14:paraId="7F256A0F"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Del mismo modo cuando en cualquier etapa del proceso de amparo cuando el juez encuentre que no se cumplen los supuestos de hecho de procedibilidad del amparo alimentario podrá iniciar de oficio y por medio de auto el respectivo proceso declarativo de alimentos o del proceso ejecutivo de alimentos.</w:t>
            </w:r>
          </w:p>
          <w:p w14:paraId="7F256A10"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w:t>
            </w:r>
            <w:r w:rsidRPr="00D2561F">
              <w:rPr>
                <w:rFonts w:ascii="Century Gothic" w:hAnsi="Century Gothic"/>
                <w:color w:val="000000" w:themeColor="text1"/>
                <w:sz w:val="20"/>
                <w:szCs w:val="20"/>
              </w:rPr>
              <w:t xml:space="preserve"> En el evento señalado en el inciso segundo o cuando el accionante acuda sin abogado al proceso declarativo de alimentos o del proceso ejecutivo de alimentos, el juez podrá asignar amparo de pobreza, abogado de oficio o asistencia a través de defensor de familia, la Defensoría del Pueblo u consultorio jurídico.</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11"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24º. INICIO DE OFICIO DEL PROCESO. </w:t>
            </w:r>
            <w:r w:rsidRPr="00D2561F">
              <w:rPr>
                <w:rFonts w:ascii="Century Gothic" w:hAnsi="Century Gothic"/>
                <w:color w:val="000000" w:themeColor="text1"/>
                <w:sz w:val="20"/>
                <w:szCs w:val="20"/>
              </w:rPr>
              <w:t>Cuando el peticionario acuda al proceso declarativo de alimentos o al proceso ejecutivo de alimentos, pero sea manifiesto en la demanda que se cumplen los supuestos de hecho de procedibilidad del amparo alimentario, el juez podrá iniciar el proceso de amparo de oficio en lugar del proceso declarativo o ejecutivo, en ese caso los términos del proceso de amparo alimentario contarán a partir de la fecha de la notificación del auto que da inicio el proceso de amparo alimentario. </w:t>
            </w:r>
          </w:p>
          <w:p w14:paraId="7F256A12"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Del mismo modo cuando en cualquier etapa del proceso de amparo cuando el juez encuentre que no se cumplen los supuestos de hecho de procedibilidad del amparo alimentario podrá iniciar de oficio y por medio de auto el respectivo proceso declarativo de alimentos o del proceso ejecutivo de alimentos.</w:t>
            </w:r>
          </w:p>
          <w:p w14:paraId="7F256A13"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Parágrafo.</w:t>
            </w:r>
            <w:r w:rsidRPr="00D2561F">
              <w:rPr>
                <w:rFonts w:ascii="Century Gothic" w:hAnsi="Century Gothic"/>
                <w:color w:val="000000" w:themeColor="text1"/>
                <w:sz w:val="20"/>
                <w:szCs w:val="20"/>
              </w:rPr>
              <w:t xml:space="preserve"> En el evento señalado en el inciso segundo o cuando el accionante acuda sin abogado al proceso declarativo de alimentos o del proceso ejecutivo de alimentos, el juez podrá asignar amparo de pobreza, abogado de oficio o asistencia a través de defensor de familia, la Defensoría del Pueblo u consultorio jurídico.</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14"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Sin modificaciones. </w:t>
            </w:r>
          </w:p>
        </w:tc>
      </w:tr>
      <w:tr w:rsidR="00F15D6D" w:rsidRPr="00D2561F" w14:paraId="7F256A1B"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16"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25º. TUTELA CONTRA PROVIDENCIAS DE AMPARO ALIMENTARIO. </w:t>
            </w:r>
            <w:r w:rsidRPr="00D2561F">
              <w:rPr>
                <w:rFonts w:ascii="Century Gothic" w:hAnsi="Century Gothic"/>
                <w:color w:val="000000" w:themeColor="text1"/>
                <w:sz w:val="20"/>
                <w:szCs w:val="20"/>
              </w:rPr>
              <w:t>Añádase el artículo 40A al Decreto Ley 2591 de 1991 el cual quedará así:</w:t>
            </w:r>
          </w:p>
          <w:p w14:paraId="7F256A17" w14:textId="77777777" w:rsidR="00F15D6D" w:rsidRPr="00D2561F" w:rsidRDefault="00F15D6D" w:rsidP="003870F1">
            <w:pPr>
              <w:pBdr>
                <w:top w:val="nil"/>
                <w:left w:val="nil"/>
                <w:bottom w:val="nil"/>
                <w:right w:val="nil"/>
                <w:between w:val="nil"/>
              </w:pBdr>
              <w:spacing w:after="160" w:line="276" w:lineRule="auto"/>
              <w:ind w:left="184" w:right="183"/>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40Aº. Tutela contra providencias de Amparo Alimentario. </w:t>
            </w:r>
            <w:r w:rsidRPr="00D2561F">
              <w:rPr>
                <w:rFonts w:ascii="Century Gothic" w:hAnsi="Century Gothic"/>
                <w:color w:val="000000" w:themeColor="text1"/>
                <w:sz w:val="20"/>
                <w:szCs w:val="20"/>
              </w:rPr>
              <w:t>La Acción de tutela contra providencias proferidas en los procesos de amparo alimentario se regirán por analogía por las mismas reglas y principios que rigen las acciones de tutela contra providencias proferidas en sentencias de tutela.”</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18" w14:textId="77777777" w:rsidR="00F15D6D" w:rsidRPr="00D2561F" w:rsidRDefault="00F15D6D" w:rsidP="00F15D6D">
            <w:pPr>
              <w:pBdr>
                <w:top w:val="nil"/>
                <w:left w:val="nil"/>
                <w:bottom w:val="nil"/>
                <w:right w:val="nil"/>
                <w:between w:val="nil"/>
              </w:pBdr>
              <w:spacing w:after="160"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25º. TUTELA CONTRA PROVIDENCIAS DE AMPARO ALIMENTARIO. </w:t>
            </w:r>
            <w:r w:rsidRPr="00D2561F">
              <w:rPr>
                <w:rFonts w:ascii="Century Gothic" w:hAnsi="Century Gothic"/>
                <w:color w:val="000000" w:themeColor="text1"/>
                <w:sz w:val="20"/>
                <w:szCs w:val="20"/>
              </w:rPr>
              <w:t>Añádase el artículo 40A al Decreto Ley 2591 de 1991 el cual quedará así:</w:t>
            </w:r>
          </w:p>
          <w:p w14:paraId="7F256A19"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40Aº. Tutela contra providencias de Amparo Alimentario. </w:t>
            </w:r>
            <w:r w:rsidRPr="00D2561F">
              <w:rPr>
                <w:rFonts w:ascii="Century Gothic" w:hAnsi="Century Gothic"/>
                <w:color w:val="000000" w:themeColor="text1"/>
                <w:sz w:val="20"/>
                <w:szCs w:val="20"/>
              </w:rPr>
              <w:t>La Acción de tutela contra providencias proferidas en los procesos de amparo alimentario se regirán por analogía por las mismas reglas y principios que rigen las acciones de tutela contra providencias proferidas en sentencias de tutela.”</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1A"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Sin modificaciones. </w:t>
            </w:r>
          </w:p>
        </w:tc>
      </w:tr>
      <w:tr w:rsidR="00F15D6D" w:rsidRPr="00D2561F" w14:paraId="7F256A1F"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1C"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26°. ADICIONES Y MODIFICACIONES. </w:t>
            </w:r>
            <w:r w:rsidRPr="00D2561F">
              <w:rPr>
                <w:rFonts w:ascii="Century Gothic" w:hAnsi="Century Gothic"/>
                <w:color w:val="000000" w:themeColor="text1"/>
                <w:sz w:val="20"/>
                <w:szCs w:val="20"/>
              </w:rPr>
              <w:t>La presente ley adiciona el artículo 40A al Decreto Ley 2591 de 1991, y modifica el artículo 419 del Código Civil colombiano, así como el inciso primero del artículo 129 de la Ley 1098 de 2006.</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1D"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26°. ADICIONES Y MODIFICACIONES. </w:t>
            </w:r>
            <w:r w:rsidRPr="00D2561F">
              <w:rPr>
                <w:rFonts w:ascii="Century Gothic" w:hAnsi="Century Gothic"/>
                <w:color w:val="000000" w:themeColor="text1"/>
                <w:sz w:val="20"/>
                <w:szCs w:val="20"/>
              </w:rPr>
              <w:t>La presente ley adiciona el artículo 40A al Decreto Ley 2591 de 1991, y modifica el artículo 419 del Código Civil colombiano, así como el inciso primero del artículo 129 de la Ley 1098 de 2006.</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1E"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Sin modificaciones.</w:t>
            </w:r>
          </w:p>
        </w:tc>
      </w:tr>
      <w:tr w:rsidR="00F15D6D" w:rsidRPr="00D2561F" w14:paraId="7F256A23" w14:textId="77777777" w:rsidTr="000B5DE1">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20" w14:textId="77777777" w:rsidR="00F15D6D" w:rsidRPr="00D2561F" w:rsidRDefault="00F15D6D" w:rsidP="00F15D6D">
            <w:pPr>
              <w:spacing w:line="276" w:lineRule="auto"/>
              <w:jc w:val="both"/>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 xml:space="preserve">ARTÍCULO 27º. VIGENCIA. </w:t>
            </w:r>
            <w:r w:rsidRPr="00D2561F">
              <w:rPr>
                <w:rFonts w:ascii="Century Gothic" w:hAnsi="Century Gothic"/>
                <w:color w:val="000000" w:themeColor="text1"/>
                <w:sz w:val="20"/>
                <w:szCs w:val="20"/>
              </w:rPr>
              <w:t>La presente ley rige cumplidos los seis (6) meses siguientes a su publicación.</w:t>
            </w:r>
          </w:p>
        </w:tc>
        <w:tc>
          <w:tcPr>
            <w:tcW w:w="3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21"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b/>
                <w:bCs/>
                <w:color w:val="000000" w:themeColor="text1"/>
                <w:sz w:val="20"/>
                <w:szCs w:val="20"/>
              </w:rPr>
              <w:t xml:space="preserve">ARTÍCULO 27º. VIGENCIA. </w:t>
            </w:r>
            <w:r w:rsidRPr="00D2561F">
              <w:rPr>
                <w:rFonts w:ascii="Century Gothic" w:hAnsi="Century Gothic"/>
                <w:color w:val="000000" w:themeColor="text1"/>
                <w:sz w:val="20"/>
                <w:szCs w:val="20"/>
              </w:rPr>
              <w:t>La presente ley rige cumplidos los seis (6) meses siguientes a su publicación.</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56A22" w14:textId="77777777" w:rsidR="00F15D6D" w:rsidRPr="00D2561F" w:rsidRDefault="00F15D6D" w:rsidP="00F15D6D">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Sin modificaciones. </w:t>
            </w:r>
          </w:p>
        </w:tc>
      </w:tr>
    </w:tbl>
    <w:p w14:paraId="7F256A24" w14:textId="77777777" w:rsidR="001F6316" w:rsidRPr="00D2561F" w:rsidRDefault="001F6316" w:rsidP="00DE7A48">
      <w:pPr>
        <w:spacing w:line="276" w:lineRule="auto"/>
        <w:jc w:val="both"/>
        <w:rPr>
          <w:rFonts w:ascii="Century Gothic" w:hAnsi="Century Gothic"/>
          <w:color w:val="000000" w:themeColor="text1"/>
          <w:sz w:val="20"/>
          <w:szCs w:val="20"/>
        </w:rPr>
      </w:pPr>
    </w:p>
    <w:p w14:paraId="0B3200EB" w14:textId="77777777" w:rsidR="008A4132" w:rsidRPr="00D2561F" w:rsidRDefault="008A4132" w:rsidP="00DE7A48">
      <w:pPr>
        <w:spacing w:line="276" w:lineRule="auto"/>
        <w:jc w:val="both"/>
        <w:rPr>
          <w:rFonts w:ascii="Century Gothic" w:hAnsi="Century Gothic"/>
          <w:color w:val="000000" w:themeColor="text1"/>
          <w:sz w:val="20"/>
          <w:szCs w:val="20"/>
        </w:rPr>
      </w:pPr>
    </w:p>
    <w:p w14:paraId="7F256A25"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IX. IMPACTO FISCAL</w:t>
      </w:r>
    </w:p>
    <w:p w14:paraId="7F256A26" w14:textId="77777777" w:rsidR="001F6316" w:rsidRPr="00D2561F" w:rsidRDefault="001F6316" w:rsidP="00DE7A48">
      <w:pPr>
        <w:spacing w:line="276" w:lineRule="auto"/>
        <w:jc w:val="both"/>
        <w:rPr>
          <w:rFonts w:ascii="Century Gothic" w:hAnsi="Century Gothic"/>
          <w:b/>
          <w:bCs/>
          <w:color w:val="000000" w:themeColor="text1"/>
          <w:sz w:val="20"/>
          <w:szCs w:val="20"/>
          <w:highlight w:val="green"/>
        </w:rPr>
      </w:pPr>
    </w:p>
    <w:p w14:paraId="7F256A27"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Como se indica en la exposición de motivos, en cumplimiento con el artículo 7 de la Ley 819 de 2003, esta sección presenta el posible impacto fiscal y la fuente de financiación del presente Proyecto de Ley.</w:t>
      </w:r>
    </w:p>
    <w:p w14:paraId="7F256A28"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A29"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La Ley 819 de 2003 </w:t>
      </w:r>
      <w:r w:rsidRPr="00D2561F">
        <w:rPr>
          <w:rFonts w:ascii="Century Gothic" w:hAnsi="Century Gothic"/>
          <w:i/>
          <w:iCs/>
          <w:color w:val="000000" w:themeColor="text1"/>
          <w:sz w:val="20"/>
          <w:szCs w:val="20"/>
        </w:rPr>
        <w:t>“Por la cual se dictan normas orgánicas en materia de presupuesto, responsabilidad y transparencia fiscal y se dictan otras disposiciones”,</w:t>
      </w:r>
      <w:r w:rsidRPr="00D2561F">
        <w:rPr>
          <w:rFonts w:ascii="Century Gothic" w:hAnsi="Century Gothic"/>
          <w:color w:val="000000" w:themeColor="text1"/>
          <w:sz w:val="20"/>
          <w:szCs w:val="20"/>
        </w:rPr>
        <w:t xml:space="preserve"> establece, en su artículo 7 que:</w:t>
      </w:r>
    </w:p>
    <w:p w14:paraId="7F256A2A"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A2B" w14:textId="77777777" w:rsidR="001F6316" w:rsidRPr="00D2561F" w:rsidRDefault="00B14FA6" w:rsidP="00DE7A48">
      <w:pPr>
        <w:spacing w:line="276" w:lineRule="auto"/>
        <w:ind w:left="720"/>
        <w:jc w:val="both"/>
        <w:rPr>
          <w:rFonts w:ascii="Century Gothic" w:hAnsi="Century Gothic"/>
          <w:i/>
          <w:iCs/>
          <w:color w:val="000000" w:themeColor="text1"/>
          <w:sz w:val="20"/>
          <w:szCs w:val="20"/>
        </w:rPr>
      </w:pPr>
      <w:r w:rsidRPr="00D2561F">
        <w:rPr>
          <w:rFonts w:ascii="Century Gothic" w:hAnsi="Century Gothic"/>
          <w:i/>
          <w:iCs/>
          <w:color w:val="000000" w:themeColor="text1"/>
          <w:sz w:val="20"/>
          <w:szCs w:val="20"/>
        </w:rPr>
        <w:t>“El impacto fiscal de cualquier proyecto de ley, ordenanza o acuerdo, que ordene gasto o que otorgue beneficios tributarios, deberá hacerse explícito y deberá ser compatible con el Marco Fiscal de Mediano Plazo.</w:t>
      </w:r>
    </w:p>
    <w:p w14:paraId="7F256A2C" w14:textId="77777777" w:rsidR="001F6316" w:rsidRPr="00D2561F" w:rsidRDefault="001F6316" w:rsidP="00DE7A48">
      <w:pPr>
        <w:spacing w:line="276" w:lineRule="auto"/>
        <w:ind w:left="720"/>
        <w:jc w:val="both"/>
        <w:rPr>
          <w:rFonts w:ascii="Century Gothic" w:hAnsi="Century Gothic"/>
          <w:i/>
          <w:iCs/>
          <w:color w:val="000000" w:themeColor="text1"/>
          <w:sz w:val="20"/>
          <w:szCs w:val="20"/>
        </w:rPr>
      </w:pPr>
    </w:p>
    <w:p w14:paraId="7F256A2D" w14:textId="77777777" w:rsidR="001F6316" w:rsidRPr="00D2561F" w:rsidRDefault="00B14FA6" w:rsidP="00DE7A48">
      <w:pPr>
        <w:spacing w:line="276" w:lineRule="auto"/>
        <w:ind w:left="720"/>
        <w:jc w:val="both"/>
        <w:rPr>
          <w:rFonts w:ascii="Century Gothic" w:hAnsi="Century Gothic"/>
          <w:i/>
          <w:iCs/>
          <w:color w:val="000000" w:themeColor="text1"/>
          <w:sz w:val="20"/>
          <w:szCs w:val="20"/>
        </w:rPr>
      </w:pPr>
      <w:r w:rsidRPr="00D2561F">
        <w:rPr>
          <w:rFonts w:ascii="Century Gothic" w:hAnsi="Century Gothic"/>
          <w:i/>
          <w:iCs/>
          <w:color w:val="000000" w:themeColor="text1"/>
          <w:sz w:val="20"/>
          <w:szCs w:val="20"/>
        </w:rPr>
        <w:t>Para estos propósitos, deberá incluirse expresamente en la exposición de motivos y en las ponencias de trámite respectivas los costos fiscales de la iniciativa y la fuente de ingreso adicional generada para el financiamiento de dicho costo”.</w:t>
      </w:r>
    </w:p>
    <w:p w14:paraId="7F256A2E"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A2F"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Por su naturaleza, los gastos que genere la presente iniciativa se entenderán incluidos en los presupuestos y en el Plan Operativo Anual de Inversión de las entidades competentes. Por tal motivo no habrá lugar a la modificación del marco fiscal de mediano plazo o la creación de una fuente adicional de financiación. En este orden de ideas se tiene que la iniciativa no acarrea la necesidad de presentar un análisis de impacto fiscal por parte del Ministerio de Hacienda y Crédito Público.</w:t>
      </w:r>
    </w:p>
    <w:p w14:paraId="7F256A31" w14:textId="77777777" w:rsidR="001F6316" w:rsidRPr="00D2561F" w:rsidRDefault="001F6316" w:rsidP="00DE7A48">
      <w:pPr>
        <w:spacing w:line="276" w:lineRule="auto"/>
        <w:jc w:val="both"/>
        <w:rPr>
          <w:rFonts w:ascii="Century Gothic" w:hAnsi="Century Gothic"/>
          <w:color w:val="000000" w:themeColor="text1"/>
          <w:sz w:val="20"/>
          <w:szCs w:val="20"/>
          <w:highlight w:val="green"/>
        </w:rPr>
      </w:pPr>
    </w:p>
    <w:p w14:paraId="7F256A32"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X. CONFLICTO DE INTERESES</w:t>
      </w:r>
    </w:p>
    <w:p w14:paraId="7F256A33" w14:textId="77777777" w:rsidR="001F6316" w:rsidRPr="00D2561F" w:rsidRDefault="001F6316" w:rsidP="00DE7A48">
      <w:pPr>
        <w:spacing w:line="276" w:lineRule="auto"/>
        <w:jc w:val="both"/>
        <w:rPr>
          <w:rFonts w:ascii="Century Gothic" w:hAnsi="Century Gothic"/>
          <w:color w:val="000000" w:themeColor="text1"/>
          <w:sz w:val="20"/>
          <w:szCs w:val="20"/>
          <w:highlight w:val="white"/>
        </w:rPr>
      </w:pPr>
    </w:p>
    <w:p w14:paraId="7F256A34" w14:textId="77777777" w:rsidR="001F6316" w:rsidRPr="00D2561F" w:rsidRDefault="00B14FA6" w:rsidP="00DE7A48">
      <w:pP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Dando alcance a lo establecido en el artículo 3 de la Ley 2003 de 2019, “</w:t>
      </w:r>
      <w:r w:rsidRPr="00D2561F">
        <w:rPr>
          <w:rFonts w:ascii="Century Gothic" w:hAnsi="Century Gothic"/>
          <w:i/>
          <w:iCs/>
          <w:color w:val="000000" w:themeColor="text1"/>
          <w:sz w:val="20"/>
          <w:szCs w:val="20"/>
          <w:highlight w:val="white"/>
        </w:rPr>
        <w:t>Por la cual se modifica parcialmente la Ley 5 de 1992</w:t>
      </w:r>
      <w:r w:rsidRPr="00D2561F">
        <w:rPr>
          <w:rFonts w:ascii="Century Gothic" w:hAnsi="Century Gothic"/>
          <w:color w:val="000000" w:themeColor="text1"/>
          <w:sz w:val="20"/>
          <w:szCs w:val="20"/>
          <w:highlight w:val="white"/>
        </w:rPr>
        <w:t>”, se hacen las siguientes consideraciones a fin de describir las circunstancias o eventos que podrían generar conflicto de interés en la discusión y votación de la presente iniciativa legislativa, de conformidad con el artículo 286 de la Ley 5 de 1992, modificado por el artículo 1 de la Ley 2003 de 2019, a cuyo tenor reza:</w:t>
      </w:r>
    </w:p>
    <w:p w14:paraId="7F256A35" w14:textId="77777777" w:rsidR="001F6316" w:rsidRPr="00D2561F" w:rsidRDefault="001F6316" w:rsidP="00DE7A48">
      <w:pPr>
        <w:spacing w:line="276" w:lineRule="auto"/>
        <w:jc w:val="both"/>
        <w:rPr>
          <w:rFonts w:ascii="Century Gothic" w:hAnsi="Century Gothic"/>
          <w:color w:val="000000" w:themeColor="text1"/>
          <w:sz w:val="20"/>
          <w:szCs w:val="20"/>
          <w:highlight w:val="white"/>
        </w:rPr>
      </w:pPr>
    </w:p>
    <w:p w14:paraId="7F256A36" w14:textId="77777777" w:rsidR="001F6316" w:rsidRPr="00D2561F" w:rsidRDefault="00B14FA6" w:rsidP="00DE7A48">
      <w:pPr>
        <w:pBdr>
          <w:top w:val="nil"/>
          <w:left w:val="nil"/>
          <w:bottom w:val="nil"/>
          <w:right w:val="nil"/>
          <w:between w:val="nil"/>
        </w:pBdr>
        <w:spacing w:line="276" w:lineRule="auto"/>
        <w:ind w:left="851" w:right="900"/>
        <w:jc w:val="both"/>
        <w:rPr>
          <w:rFonts w:ascii="Century Gothic" w:hAnsi="Century Gothic"/>
          <w:i/>
          <w:iCs/>
          <w:color w:val="000000" w:themeColor="text1"/>
          <w:sz w:val="18"/>
          <w:szCs w:val="18"/>
          <w:highlight w:val="white"/>
        </w:rPr>
      </w:pPr>
      <w:r w:rsidRPr="00D2561F">
        <w:rPr>
          <w:rFonts w:ascii="Century Gothic" w:hAnsi="Century Gothic"/>
          <w:i/>
          <w:iCs/>
          <w:color w:val="000000" w:themeColor="text1"/>
          <w:sz w:val="18"/>
          <w:szCs w:val="18"/>
          <w:highlight w:val="white"/>
        </w:rPr>
        <w:t>“</w:t>
      </w:r>
      <w:r w:rsidRPr="00D2561F">
        <w:rPr>
          <w:rFonts w:ascii="Century Gothic" w:hAnsi="Century Gothic"/>
          <w:b/>
          <w:bCs/>
          <w:i/>
          <w:iCs/>
          <w:color w:val="000000" w:themeColor="text1"/>
          <w:sz w:val="18"/>
          <w:szCs w:val="18"/>
          <w:highlight w:val="white"/>
        </w:rPr>
        <w:t>Artículo 286. Régimen de conflicto de interés de los congresistas.</w:t>
      </w:r>
      <w:r w:rsidRPr="00D2561F">
        <w:rPr>
          <w:rFonts w:ascii="Century Gothic" w:hAnsi="Century Gothic"/>
          <w:i/>
          <w:iCs/>
          <w:color w:val="000000" w:themeColor="text1"/>
          <w:sz w:val="18"/>
          <w:szCs w:val="18"/>
          <w:highlight w:val="white"/>
        </w:rPr>
        <w:t xml:space="preserve"> Todos los congresistas deberán declarar los conflictos de intereses que pudieran surgir en el ejercicio de sus funciones.</w:t>
      </w:r>
    </w:p>
    <w:p w14:paraId="7F256A37" w14:textId="77777777" w:rsidR="001F6316" w:rsidRPr="00D2561F" w:rsidRDefault="001F6316" w:rsidP="00DE7A48">
      <w:pPr>
        <w:pBdr>
          <w:top w:val="nil"/>
          <w:left w:val="nil"/>
          <w:bottom w:val="nil"/>
          <w:right w:val="nil"/>
          <w:between w:val="nil"/>
        </w:pBdr>
        <w:spacing w:line="276" w:lineRule="auto"/>
        <w:ind w:left="851" w:right="900"/>
        <w:jc w:val="both"/>
        <w:rPr>
          <w:rFonts w:ascii="Century Gothic" w:hAnsi="Century Gothic"/>
          <w:i/>
          <w:iCs/>
          <w:color w:val="000000" w:themeColor="text1"/>
          <w:sz w:val="18"/>
          <w:szCs w:val="18"/>
          <w:highlight w:val="white"/>
        </w:rPr>
      </w:pPr>
    </w:p>
    <w:p w14:paraId="7F256A38" w14:textId="77777777" w:rsidR="001F6316" w:rsidRPr="00D2561F" w:rsidRDefault="00B14FA6" w:rsidP="00DE7A48">
      <w:pPr>
        <w:pBdr>
          <w:top w:val="nil"/>
          <w:left w:val="nil"/>
          <w:bottom w:val="nil"/>
          <w:right w:val="nil"/>
          <w:between w:val="nil"/>
        </w:pBdr>
        <w:spacing w:line="276" w:lineRule="auto"/>
        <w:ind w:left="851" w:right="900"/>
        <w:jc w:val="both"/>
        <w:rPr>
          <w:rFonts w:ascii="Century Gothic" w:hAnsi="Century Gothic"/>
          <w:i/>
          <w:iCs/>
          <w:color w:val="000000" w:themeColor="text1"/>
          <w:sz w:val="18"/>
          <w:szCs w:val="18"/>
          <w:highlight w:val="white"/>
        </w:rPr>
      </w:pPr>
      <w:r w:rsidRPr="00D2561F">
        <w:rPr>
          <w:rFonts w:ascii="Century Gothic" w:hAnsi="Century Gothic"/>
          <w:i/>
          <w:iCs/>
          <w:color w:val="000000" w:themeColor="text1"/>
          <w:sz w:val="18"/>
          <w:szCs w:val="18"/>
          <w:highlight w:val="white"/>
        </w:rPr>
        <w:t>Se entiende como conflicto de interés una situación donde la discusión o votación de un proyecto de ley o acto legislativo o artículo, pueda resultar en un beneficio particular, actual y directo a favor del congresista. </w:t>
      </w:r>
    </w:p>
    <w:p w14:paraId="7F256A39" w14:textId="77777777" w:rsidR="001F6316" w:rsidRPr="00D2561F" w:rsidRDefault="001F6316" w:rsidP="00DE7A48">
      <w:pPr>
        <w:pBdr>
          <w:top w:val="nil"/>
          <w:left w:val="nil"/>
          <w:bottom w:val="nil"/>
          <w:right w:val="nil"/>
          <w:between w:val="nil"/>
        </w:pBdr>
        <w:spacing w:line="276" w:lineRule="auto"/>
        <w:ind w:left="851" w:right="900"/>
        <w:jc w:val="both"/>
        <w:rPr>
          <w:rFonts w:ascii="Century Gothic" w:hAnsi="Century Gothic"/>
          <w:i/>
          <w:iCs/>
          <w:color w:val="000000" w:themeColor="text1"/>
          <w:sz w:val="18"/>
          <w:szCs w:val="18"/>
          <w:highlight w:val="white"/>
        </w:rPr>
      </w:pPr>
    </w:p>
    <w:p w14:paraId="7F256A3A" w14:textId="77777777" w:rsidR="001F6316" w:rsidRPr="00D2561F" w:rsidRDefault="00B14FA6" w:rsidP="00DE7A48">
      <w:pPr>
        <w:numPr>
          <w:ilvl w:val="0"/>
          <w:numId w:val="12"/>
        </w:numPr>
        <w:pBdr>
          <w:top w:val="nil"/>
          <w:left w:val="nil"/>
          <w:bottom w:val="nil"/>
          <w:right w:val="nil"/>
          <w:between w:val="nil"/>
        </w:pBdr>
        <w:tabs>
          <w:tab w:val="left" w:pos="993"/>
        </w:tabs>
        <w:spacing w:line="276" w:lineRule="auto"/>
        <w:ind w:left="1134" w:right="900" w:hanging="283"/>
        <w:jc w:val="both"/>
        <w:rPr>
          <w:rFonts w:ascii="Century Gothic" w:hAnsi="Century Gothic"/>
          <w:i/>
          <w:iCs/>
          <w:color w:val="000000" w:themeColor="text1"/>
          <w:sz w:val="18"/>
          <w:szCs w:val="18"/>
          <w:highlight w:val="white"/>
        </w:rPr>
      </w:pPr>
      <w:r w:rsidRPr="00D2561F">
        <w:rPr>
          <w:rFonts w:ascii="Century Gothic" w:hAnsi="Century Gothic"/>
          <w:i/>
          <w:iCs/>
          <w:color w:val="000000" w:themeColor="text1"/>
          <w:sz w:val="18"/>
          <w:szCs w:val="18"/>
          <w:highlight w:val="white"/>
        </w:rPr>
        <w:t>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 </w:t>
      </w:r>
    </w:p>
    <w:p w14:paraId="7F256A3B" w14:textId="77777777" w:rsidR="001F6316" w:rsidRPr="00D2561F" w:rsidRDefault="001F6316" w:rsidP="00DE7A48">
      <w:pPr>
        <w:pBdr>
          <w:top w:val="nil"/>
          <w:left w:val="nil"/>
          <w:bottom w:val="nil"/>
          <w:right w:val="nil"/>
          <w:between w:val="nil"/>
        </w:pBdr>
        <w:tabs>
          <w:tab w:val="left" w:pos="993"/>
        </w:tabs>
        <w:spacing w:line="276" w:lineRule="auto"/>
        <w:ind w:left="1134" w:right="900"/>
        <w:jc w:val="both"/>
        <w:rPr>
          <w:rFonts w:ascii="Century Gothic" w:hAnsi="Century Gothic"/>
          <w:i/>
          <w:iCs/>
          <w:color w:val="000000" w:themeColor="text1"/>
          <w:sz w:val="18"/>
          <w:szCs w:val="18"/>
          <w:highlight w:val="white"/>
        </w:rPr>
      </w:pPr>
    </w:p>
    <w:p w14:paraId="7F256A3C" w14:textId="77777777" w:rsidR="001F6316" w:rsidRPr="00D2561F" w:rsidRDefault="00B14FA6" w:rsidP="00DE7A48">
      <w:pPr>
        <w:numPr>
          <w:ilvl w:val="0"/>
          <w:numId w:val="12"/>
        </w:numPr>
        <w:pBdr>
          <w:top w:val="nil"/>
          <w:left w:val="nil"/>
          <w:bottom w:val="nil"/>
          <w:right w:val="nil"/>
          <w:between w:val="nil"/>
        </w:pBdr>
        <w:tabs>
          <w:tab w:val="left" w:pos="993"/>
        </w:tabs>
        <w:spacing w:line="276" w:lineRule="auto"/>
        <w:ind w:left="1134" w:right="900" w:hanging="283"/>
        <w:jc w:val="both"/>
        <w:rPr>
          <w:rFonts w:ascii="Century Gothic" w:hAnsi="Century Gothic"/>
          <w:i/>
          <w:iCs/>
          <w:color w:val="000000" w:themeColor="text1"/>
          <w:sz w:val="18"/>
          <w:szCs w:val="18"/>
          <w:highlight w:val="white"/>
        </w:rPr>
      </w:pPr>
      <w:r w:rsidRPr="00D2561F">
        <w:rPr>
          <w:rFonts w:ascii="Century Gothic" w:hAnsi="Century Gothic"/>
          <w:i/>
          <w:iCs/>
          <w:color w:val="000000" w:themeColor="text1"/>
          <w:sz w:val="18"/>
          <w:szCs w:val="18"/>
          <w:highlight w:val="white"/>
        </w:rPr>
        <w:t>Beneficio actual: aquel que efectivamente se configura en las circunstancias presentes y existentes al momento en el que el congresista participa de la decisión. </w:t>
      </w:r>
    </w:p>
    <w:p w14:paraId="7F256A3D" w14:textId="77777777" w:rsidR="001F6316" w:rsidRPr="00D2561F" w:rsidRDefault="001F6316" w:rsidP="00DE7A48">
      <w:pPr>
        <w:pBdr>
          <w:top w:val="nil"/>
          <w:left w:val="nil"/>
          <w:bottom w:val="nil"/>
          <w:right w:val="nil"/>
          <w:between w:val="nil"/>
        </w:pBdr>
        <w:tabs>
          <w:tab w:val="left" w:pos="993"/>
        </w:tabs>
        <w:spacing w:line="276" w:lineRule="auto"/>
        <w:ind w:left="1134" w:right="900"/>
        <w:jc w:val="both"/>
        <w:rPr>
          <w:rFonts w:ascii="Century Gothic" w:hAnsi="Century Gothic"/>
          <w:i/>
          <w:iCs/>
          <w:color w:val="000000" w:themeColor="text1"/>
          <w:sz w:val="18"/>
          <w:szCs w:val="18"/>
          <w:highlight w:val="white"/>
        </w:rPr>
      </w:pPr>
    </w:p>
    <w:p w14:paraId="7F256A3E" w14:textId="77777777" w:rsidR="001F6316" w:rsidRPr="00D2561F" w:rsidRDefault="00B14FA6" w:rsidP="00DE7A48">
      <w:pPr>
        <w:numPr>
          <w:ilvl w:val="0"/>
          <w:numId w:val="12"/>
        </w:numPr>
        <w:pBdr>
          <w:top w:val="nil"/>
          <w:left w:val="nil"/>
          <w:bottom w:val="nil"/>
          <w:right w:val="nil"/>
          <w:between w:val="nil"/>
        </w:pBdr>
        <w:tabs>
          <w:tab w:val="left" w:pos="993"/>
        </w:tabs>
        <w:spacing w:line="276" w:lineRule="auto"/>
        <w:ind w:left="1134" w:right="900" w:hanging="283"/>
        <w:jc w:val="both"/>
        <w:rPr>
          <w:rFonts w:ascii="Century Gothic" w:hAnsi="Century Gothic"/>
          <w:i/>
          <w:iCs/>
          <w:color w:val="000000" w:themeColor="text1"/>
          <w:sz w:val="18"/>
          <w:szCs w:val="18"/>
          <w:highlight w:val="white"/>
        </w:rPr>
      </w:pPr>
      <w:r w:rsidRPr="00D2561F">
        <w:rPr>
          <w:rFonts w:ascii="Century Gothic" w:hAnsi="Century Gothic"/>
          <w:i/>
          <w:iCs/>
          <w:color w:val="000000" w:themeColor="text1"/>
          <w:sz w:val="18"/>
          <w:szCs w:val="18"/>
          <w:highlight w:val="white"/>
        </w:rPr>
        <w:t xml:space="preserve">Beneficio directo: aquel que se produzca de forma específica respecto del congresista, de su cónyuge, compañero o compañera permanente, o parientes dentro del segundo grado de consanguinidad, segundo de afinidad o primero civil. </w:t>
      </w:r>
      <w:r w:rsidRPr="00D2561F">
        <w:rPr>
          <w:rFonts w:ascii="Century Gothic" w:hAnsi="Century Gothic"/>
          <w:color w:val="000000" w:themeColor="text1"/>
          <w:sz w:val="18"/>
          <w:szCs w:val="18"/>
          <w:highlight w:val="white"/>
        </w:rPr>
        <w:t>(…)”</w:t>
      </w:r>
    </w:p>
    <w:p w14:paraId="7F256A3F" w14:textId="77777777" w:rsidR="001F6316" w:rsidRPr="00D2561F" w:rsidRDefault="001F6316" w:rsidP="00DE7A48">
      <w:pPr>
        <w:spacing w:line="276" w:lineRule="auto"/>
        <w:jc w:val="both"/>
        <w:rPr>
          <w:rFonts w:ascii="Century Gothic" w:hAnsi="Century Gothic"/>
          <w:color w:val="000000" w:themeColor="text1"/>
          <w:sz w:val="18"/>
          <w:szCs w:val="18"/>
          <w:highlight w:val="white"/>
        </w:rPr>
      </w:pPr>
    </w:p>
    <w:p w14:paraId="7F256A40" w14:textId="77777777" w:rsidR="001F6316" w:rsidRPr="00D2561F" w:rsidRDefault="00B14FA6" w:rsidP="00DE7A48">
      <w:pPr>
        <w:spacing w:line="276" w:lineRule="auto"/>
        <w:jc w:val="both"/>
        <w:rPr>
          <w:rFonts w:ascii="Century Gothic" w:hAnsi="Century Gothic"/>
          <w:color w:val="000000" w:themeColor="text1"/>
          <w:sz w:val="20"/>
          <w:szCs w:val="20"/>
          <w:highlight w:val="white"/>
        </w:rPr>
      </w:pPr>
      <w:r w:rsidRPr="00D2561F">
        <w:rPr>
          <w:rFonts w:ascii="Century Gothic" w:hAnsi="Century Gothic"/>
          <w:color w:val="000000" w:themeColor="text1"/>
          <w:sz w:val="20"/>
          <w:szCs w:val="20"/>
          <w:highlight w:val="white"/>
        </w:rPr>
        <w:t>Sobre este asunto la Sala Plena Contenciosa Administrativa del Honorable Consejo de Estado en su sentencia 02830 del 16 de julio de 2019, M.P. Carlos Enrique Moreno Rubio, señaló que:</w:t>
      </w:r>
    </w:p>
    <w:p w14:paraId="7F256A41" w14:textId="77777777" w:rsidR="001F6316" w:rsidRPr="00D2561F" w:rsidRDefault="001F6316" w:rsidP="00DE7A48">
      <w:pPr>
        <w:spacing w:line="276" w:lineRule="auto"/>
        <w:jc w:val="both"/>
        <w:rPr>
          <w:rFonts w:ascii="Century Gothic" w:hAnsi="Century Gothic"/>
          <w:color w:val="000000" w:themeColor="text1"/>
          <w:sz w:val="20"/>
          <w:szCs w:val="20"/>
          <w:highlight w:val="white"/>
        </w:rPr>
      </w:pPr>
    </w:p>
    <w:p w14:paraId="7F256A42" w14:textId="77777777" w:rsidR="001F6316" w:rsidRPr="00D2561F" w:rsidRDefault="00B14FA6" w:rsidP="00DE7A48">
      <w:pPr>
        <w:pBdr>
          <w:top w:val="nil"/>
          <w:left w:val="nil"/>
          <w:bottom w:val="nil"/>
          <w:right w:val="nil"/>
          <w:between w:val="nil"/>
        </w:pBdr>
        <w:spacing w:line="276" w:lineRule="auto"/>
        <w:ind w:left="851" w:right="900"/>
        <w:jc w:val="both"/>
        <w:rPr>
          <w:rFonts w:ascii="Century Gothic" w:hAnsi="Century Gothic"/>
          <w:i/>
          <w:iCs/>
          <w:color w:val="000000" w:themeColor="text1"/>
          <w:sz w:val="18"/>
          <w:szCs w:val="18"/>
          <w:highlight w:val="white"/>
        </w:rPr>
      </w:pPr>
      <w:r w:rsidRPr="00D2561F">
        <w:rPr>
          <w:rFonts w:ascii="Century Gothic" w:hAnsi="Century Gothic"/>
          <w:i/>
          <w:iCs/>
          <w:color w:val="000000" w:themeColor="text1"/>
          <w:sz w:val="18"/>
          <w:szCs w:val="18"/>
          <w:highlight w:val="white"/>
        </w:rPr>
        <w:t>“No cualquier interés configura la causal de desinvestidura en comento, pues se sabe que sólo lo será aquél del que se pueda predicar que es directo, esto es, que per se el alegado beneficio, provecho o utilidad encuentre su fuente en el asunto que fue conocido por el legislador; particular, que el mismo sea específico o personal, bien para el congresista o quienes se encuentren relacionados con él; y actual o inmediato, que concurra para el momento en que ocurrió la participación o votación del congresista, lo que excluye sucesos contingentes, futuros o imprevisibles. También se tiene noticia que el interés puede ser de cualquier naturaleza, esto es, económico o moral, sin distinción alguna”.</w:t>
      </w:r>
    </w:p>
    <w:p w14:paraId="7F256A43" w14:textId="77777777" w:rsidR="001F6316" w:rsidRPr="00D2561F" w:rsidRDefault="001F6316" w:rsidP="00DE7A48">
      <w:pPr>
        <w:spacing w:line="276" w:lineRule="auto"/>
        <w:jc w:val="both"/>
        <w:rPr>
          <w:rFonts w:ascii="Century Gothic" w:hAnsi="Century Gothic"/>
          <w:color w:val="000000" w:themeColor="text1"/>
          <w:sz w:val="20"/>
          <w:szCs w:val="20"/>
          <w:highlight w:val="white"/>
        </w:rPr>
      </w:pPr>
    </w:p>
    <w:p w14:paraId="7F256A44" w14:textId="77777777" w:rsidR="001F6316" w:rsidRPr="00D2561F" w:rsidRDefault="00B14FA6" w:rsidP="00DE7A48">
      <w:pPr>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highlight w:val="white"/>
        </w:rPr>
        <w:t>Por lo anterior, se estima que este Proyecto de Ley Estatutaria no genera conflictos de interés para su discusión y votación, toda vez que se trata de un proyecto de carácter general que no crea un beneficio o perjuicio particular, actual y directo. No obstante lo anterior, es menester precisar que la descripción de los posibles conflictos de interés que se puedan presentar frente al trámite o votación del presente Proyecto de Ley Estatutaria, conforme a lo dispuesto en el artículo 291 de la Ley 5 de 1992 modificado por la Ley 2003 de 2019, no exime al Congresista de identificar causales adicionales en las que pueda estar inmerso.</w:t>
      </w:r>
    </w:p>
    <w:p w14:paraId="74A6F51D" w14:textId="77777777" w:rsidR="005221B3" w:rsidRPr="00D2561F" w:rsidRDefault="005221B3" w:rsidP="00DE7A48">
      <w:pPr>
        <w:spacing w:line="276" w:lineRule="auto"/>
        <w:jc w:val="both"/>
        <w:rPr>
          <w:rFonts w:ascii="Century Gothic" w:hAnsi="Century Gothic"/>
          <w:color w:val="000000" w:themeColor="text1"/>
          <w:sz w:val="20"/>
          <w:szCs w:val="20"/>
        </w:rPr>
      </w:pPr>
    </w:p>
    <w:p w14:paraId="7F256A45" w14:textId="77777777" w:rsidR="001F6316" w:rsidRPr="00D2561F" w:rsidRDefault="001F6316" w:rsidP="00DE7A48">
      <w:pPr>
        <w:spacing w:line="276" w:lineRule="auto"/>
        <w:jc w:val="both"/>
        <w:rPr>
          <w:rFonts w:ascii="Century Gothic" w:hAnsi="Century Gothic"/>
          <w:color w:val="000000" w:themeColor="text1"/>
          <w:sz w:val="20"/>
          <w:szCs w:val="20"/>
        </w:rPr>
      </w:pPr>
    </w:p>
    <w:p w14:paraId="7F256A47" w14:textId="77777777" w:rsidR="001F6316" w:rsidRPr="00D2561F" w:rsidRDefault="00B14FA6" w:rsidP="00DE7A48">
      <w:pPr>
        <w:pBdr>
          <w:top w:val="nil"/>
          <w:left w:val="nil"/>
          <w:bottom w:val="nil"/>
          <w:right w:val="nil"/>
          <w:between w:val="nil"/>
        </w:pBdr>
        <w:spacing w:line="276" w:lineRule="auto"/>
        <w:jc w:val="both"/>
        <w:rPr>
          <w:rFonts w:ascii="Century Gothic" w:hAnsi="Century Gothic"/>
          <w:b/>
          <w:bCs/>
          <w:color w:val="000000" w:themeColor="text1"/>
          <w:sz w:val="20"/>
          <w:szCs w:val="20"/>
          <w:highlight w:val="white"/>
        </w:rPr>
      </w:pPr>
      <w:r w:rsidRPr="00D2561F">
        <w:rPr>
          <w:rFonts w:ascii="Century Gothic" w:hAnsi="Century Gothic"/>
          <w:b/>
          <w:bCs/>
          <w:color w:val="000000" w:themeColor="text1"/>
          <w:sz w:val="20"/>
          <w:szCs w:val="20"/>
          <w:highlight w:val="white"/>
        </w:rPr>
        <w:t>XI. PROPOSICIÓN</w:t>
      </w:r>
    </w:p>
    <w:p w14:paraId="7F256A48" w14:textId="77777777" w:rsidR="001F6316" w:rsidRPr="00D2561F" w:rsidRDefault="001F6316" w:rsidP="00DE7A48">
      <w:pPr>
        <w:spacing w:line="276" w:lineRule="auto"/>
        <w:jc w:val="both"/>
        <w:rPr>
          <w:rFonts w:ascii="Century Gothic" w:hAnsi="Century Gothic"/>
          <w:b/>
          <w:bCs/>
          <w:color w:val="000000" w:themeColor="text1"/>
          <w:sz w:val="20"/>
          <w:szCs w:val="20"/>
        </w:rPr>
      </w:pPr>
    </w:p>
    <w:p w14:paraId="7F256A49" w14:textId="08B3C291" w:rsidR="001F6316" w:rsidRPr="00D2561F" w:rsidRDefault="00B14FA6" w:rsidP="00DE7A48">
      <w:pPr>
        <w:spacing w:line="276" w:lineRule="auto"/>
        <w:ind w:right="193"/>
        <w:jc w:val="both"/>
        <w:rPr>
          <w:rFonts w:ascii="Century Gothic" w:hAnsi="Century Gothic"/>
          <w:i/>
          <w:iCs/>
          <w:color w:val="000000" w:themeColor="text1"/>
          <w:sz w:val="20"/>
          <w:szCs w:val="20"/>
        </w:rPr>
      </w:pPr>
      <w:r w:rsidRPr="00D2561F">
        <w:rPr>
          <w:rFonts w:ascii="Century Gothic" w:hAnsi="Century Gothic"/>
          <w:color w:val="000000" w:themeColor="text1"/>
          <w:sz w:val="20"/>
          <w:szCs w:val="20"/>
        </w:rPr>
        <w:t xml:space="preserve">En virtud de las anteriores consideraciones y en cumplimiento de los requisitos establecidos en la Ley 5ª de 1992, presentamos ponencia positiva y en consecuencia solicitamos a los miembros de la Honorable Plenaria de la Cámara de Representantes </w:t>
      </w:r>
      <w:r w:rsidRPr="00D2561F">
        <w:rPr>
          <w:rFonts w:ascii="Century Gothic" w:hAnsi="Century Gothic"/>
          <w:b/>
          <w:bCs/>
          <w:color w:val="000000" w:themeColor="text1"/>
          <w:sz w:val="20"/>
          <w:szCs w:val="20"/>
        </w:rPr>
        <w:t>dar segundo debate</w:t>
      </w:r>
      <w:r w:rsidRPr="00D2561F">
        <w:rPr>
          <w:rFonts w:ascii="Century Gothic" w:hAnsi="Century Gothic"/>
          <w:color w:val="000000" w:themeColor="text1"/>
          <w:sz w:val="20"/>
          <w:szCs w:val="20"/>
        </w:rPr>
        <w:t xml:space="preserve"> </w:t>
      </w:r>
      <w:r w:rsidR="008F6226" w:rsidRPr="00D2561F">
        <w:rPr>
          <w:rFonts w:ascii="Century Gothic" w:hAnsi="Century Gothic"/>
          <w:color w:val="000000" w:themeColor="text1"/>
          <w:sz w:val="20"/>
          <w:szCs w:val="20"/>
        </w:rPr>
        <w:t xml:space="preserve">Proyecto de Ley Estatutaria No. 497 de 2025 Cámara - No. 069 de 2025 Senado </w:t>
      </w:r>
      <w:r w:rsidR="008F6226" w:rsidRPr="00D2561F">
        <w:rPr>
          <w:rFonts w:ascii="Century Gothic" w:hAnsi="Century Gothic"/>
          <w:i/>
          <w:iCs/>
          <w:color w:val="000000" w:themeColor="text1"/>
          <w:sz w:val="20"/>
          <w:szCs w:val="20"/>
        </w:rPr>
        <w:t>“Por medio de la cual se crea el proceso único especial de Amparo Alimentario y se dictan otras disposiciones”</w:t>
      </w:r>
      <w:r w:rsidRPr="00D2561F">
        <w:rPr>
          <w:rFonts w:ascii="Century Gothic" w:hAnsi="Century Gothic"/>
          <w:i/>
          <w:iCs/>
          <w:color w:val="000000" w:themeColor="text1"/>
          <w:sz w:val="20"/>
          <w:szCs w:val="20"/>
        </w:rPr>
        <w:t xml:space="preserve">, </w:t>
      </w:r>
      <w:r w:rsidRPr="00D2561F">
        <w:rPr>
          <w:rFonts w:ascii="Century Gothic" w:hAnsi="Century Gothic"/>
          <w:color w:val="000000" w:themeColor="text1"/>
          <w:sz w:val="20"/>
          <w:szCs w:val="20"/>
        </w:rPr>
        <w:t>de conformidad con el texto propuesto</w:t>
      </w:r>
      <w:r w:rsidR="004A1D8F">
        <w:rPr>
          <w:rFonts w:ascii="Century Gothic" w:hAnsi="Century Gothic"/>
          <w:color w:val="000000" w:themeColor="text1"/>
          <w:sz w:val="20"/>
          <w:szCs w:val="20"/>
        </w:rPr>
        <w:t xml:space="preserve">. </w:t>
      </w:r>
    </w:p>
    <w:p w14:paraId="7F256A4A" w14:textId="77777777" w:rsidR="001F6316" w:rsidRPr="00D2561F" w:rsidRDefault="00B14FA6" w:rsidP="00DE7A48">
      <w:pPr>
        <w:spacing w:line="276" w:lineRule="auto"/>
        <w:ind w:right="193"/>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 </w:t>
      </w:r>
    </w:p>
    <w:p w14:paraId="7F256A4C" w14:textId="77777777" w:rsidR="001F6316" w:rsidRPr="00D2561F" w:rsidRDefault="00B14FA6" w:rsidP="00DE7A48">
      <w:pPr>
        <w:tabs>
          <w:tab w:val="left" w:pos="6045"/>
        </w:tabs>
        <w:spacing w:line="276" w:lineRule="auto"/>
        <w:jc w:val="both"/>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Cordialmente, </w:t>
      </w:r>
    </w:p>
    <w:p w14:paraId="7F256A4D" w14:textId="77777777" w:rsidR="001F6316" w:rsidRPr="00D2561F" w:rsidRDefault="001F6316" w:rsidP="00DE7A48">
      <w:pPr>
        <w:tabs>
          <w:tab w:val="left" w:pos="6045"/>
        </w:tabs>
        <w:spacing w:line="276" w:lineRule="auto"/>
        <w:jc w:val="both"/>
        <w:rPr>
          <w:rFonts w:ascii="Century Gothic" w:hAnsi="Century Gothic"/>
          <w:color w:val="000000" w:themeColor="text1"/>
          <w:sz w:val="20"/>
          <w:szCs w:val="20"/>
        </w:rPr>
      </w:pPr>
    </w:p>
    <w:tbl>
      <w:tblPr>
        <w:tblStyle w:val="Tablaconcuadrcula"/>
        <w:tblW w:w="93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53"/>
      </w:tblGrid>
      <w:tr w:rsidR="00DC235F" w:rsidRPr="00D2561F" w14:paraId="33ACFD29" w14:textId="77777777" w:rsidTr="00D2561F">
        <w:tc>
          <w:tcPr>
            <w:tcW w:w="4673" w:type="dxa"/>
          </w:tcPr>
          <w:p w14:paraId="148802AC" w14:textId="77777777" w:rsidR="008A4132" w:rsidRPr="00D2561F" w:rsidRDefault="008A4132" w:rsidP="0069702E">
            <w:pPr>
              <w:spacing w:line="276" w:lineRule="auto"/>
              <w:rPr>
                <w:rFonts w:ascii="Century Gothic" w:hAnsi="Century Gothic"/>
                <w:b/>
                <w:bCs/>
                <w:color w:val="000000" w:themeColor="text1"/>
                <w:sz w:val="20"/>
                <w:szCs w:val="20"/>
              </w:rPr>
            </w:pPr>
          </w:p>
          <w:p w14:paraId="7FCAF59A" w14:textId="77777777" w:rsidR="00421353" w:rsidRDefault="00421353" w:rsidP="0069702E">
            <w:pPr>
              <w:spacing w:line="276" w:lineRule="auto"/>
              <w:rPr>
                <w:rFonts w:ascii="Century Gothic" w:hAnsi="Century Gothic"/>
                <w:b/>
                <w:bCs/>
                <w:color w:val="000000" w:themeColor="text1"/>
                <w:sz w:val="20"/>
                <w:szCs w:val="20"/>
              </w:rPr>
            </w:pPr>
          </w:p>
          <w:p w14:paraId="0C67B645" w14:textId="77777777" w:rsidR="00D2561F" w:rsidRPr="00D2561F" w:rsidRDefault="00D2561F" w:rsidP="0069702E">
            <w:pPr>
              <w:spacing w:line="276" w:lineRule="auto"/>
              <w:rPr>
                <w:rFonts w:ascii="Century Gothic" w:hAnsi="Century Gothic"/>
                <w:b/>
                <w:bCs/>
                <w:color w:val="000000" w:themeColor="text1"/>
                <w:sz w:val="20"/>
                <w:szCs w:val="20"/>
              </w:rPr>
            </w:pPr>
          </w:p>
          <w:p w14:paraId="09877906" w14:textId="6782807C" w:rsidR="00DC235F" w:rsidRPr="00D2561F" w:rsidRDefault="00DC235F" w:rsidP="0069702E">
            <w:pPr>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DELCY ESPERANZA ISAZA BUENAVENTURA</w:t>
            </w:r>
          </w:p>
          <w:p w14:paraId="2D3A9540" w14:textId="28B0F3AD" w:rsidR="00DC235F" w:rsidRPr="00D2561F" w:rsidRDefault="003A63D0" w:rsidP="0069702E">
            <w:pPr>
              <w:pBdr>
                <w:top w:val="nil"/>
                <w:left w:val="nil"/>
                <w:bottom w:val="nil"/>
                <w:right w:val="nil"/>
                <w:between w:val="nil"/>
              </w:pBdr>
              <w:spacing w:line="276" w:lineRule="auto"/>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Representante a la Cámara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Ponente Coordinadora</w:t>
            </w:r>
          </w:p>
        </w:tc>
        <w:tc>
          <w:tcPr>
            <w:tcW w:w="4653" w:type="dxa"/>
          </w:tcPr>
          <w:p w14:paraId="32E6E73E" w14:textId="77777777" w:rsidR="008A4132" w:rsidRDefault="008A4132" w:rsidP="0069702E">
            <w:pPr>
              <w:tabs>
                <w:tab w:val="left" w:pos="6045"/>
              </w:tabs>
              <w:spacing w:line="276" w:lineRule="auto"/>
              <w:rPr>
                <w:rFonts w:ascii="Century Gothic" w:hAnsi="Century Gothic"/>
                <w:b/>
                <w:bCs/>
                <w:color w:val="000000" w:themeColor="text1"/>
                <w:sz w:val="20"/>
                <w:szCs w:val="20"/>
              </w:rPr>
            </w:pPr>
          </w:p>
          <w:p w14:paraId="78605BCD" w14:textId="77777777" w:rsidR="00D2561F" w:rsidRPr="00D2561F" w:rsidRDefault="00D2561F" w:rsidP="0069702E">
            <w:pPr>
              <w:tabs>
                <w:tab w:val="left" w:pos="6045"/>
              </w:tabs>
              <w:spacing w:line="276" w:lineRule="auto"/>
              <w:rPr>
                <w:rFonts w:ascii="Century Gothic" w:hAnsi="Century Gothic"/>
                <w:b/>
                <w:bCs/>
                <w:color w:val="000000" w:themeColor="text1"/>
                <w:sz w:val="20"/>
                <w:szCs w:val="20"/>
              </w:rPr>
            </w:pPr>
          </w:p>
          <w:p w14:paraId="500F0F59" w14:textId="77777777" w:rsidR="00421353" w:rsidRPr="00D2561F" w:rsidRDefault="00421353" w:rsidP="0069702E">
            <w:pPr>
              <w:tabs>
                <w:tab w:val="left" w:pos="6045"/>
              </w:tabs>
              <w:spacing w:line="276" w:lineRule="auto"/>
              <w:rPr>
                <w:rFonts w:ascii="Century Gothic" w:hAnsi="Century Gothic"/>
                <w:b/>
                <w:bCs/>
                <w:color w:val="000000" w:themeColor="text1"/>
                <w:sz w:val="20"/>
                <w:szCs w:val="20"/>
              </w:rPr>
            </w:pPr>
          </w:p>
          <w:p w14:paraId="3B7C8953" w14:textId="4D82B424" w:rsidR="00DC235F" w:rsidRPr="00D2561F" w:rsidRDefault="00DC235F" w:rsidP="0069702E">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JULIO CÉSAR TRIANA QUINTERO</w:t>
            </w:r>
            <w:r w:rsidRPr="00D2561F">
              <w:rPr>
                <w:rFonts w:ascii="Century Gothic" w:hAnsi="Century Gothic"/>
                <w:b/>
                <w:bCs/>
                <w:color w:val="000000" w:themeColor="text1"/>
                <w:sz w:val="20"/>
                <w:szCs w:val="20"/>
              </w:rPr>
              <w:br/>
            </w:r>
            <w:r w:rsidR="003A63D0" w:rsidRPr="00D2561F">
              <w:rPr>
                <w:rFonts w:ascii="Century Gothic" w:hAnsi="Century Gothic"/>
                <w:color w:val="000000" w:themeColor="text1"/>
                <w:sz w:val="20"/>
                <w:szCs w:val="20"/>
              </w:rPr>
              <w:t xml:space="preserve">Representante a la Cámara </w:t>
            </w:r>
            <w:r w:rsidR="003A63D0" w:rsidRPr="00D2561F">
              <w:rPr>
                <w:rFonts w:ascii="Century Gothic" w:hAnsi="Century Gothic"/>
                <w:color w:val="000000" w:themeColor="text1"/>
                <w:sz w:val="20"/>
                <w:szCs w:val="20"/>
              </w:rPr>
              <w:br/>
            </w:r>
            <w:r w:rsidR="003A63D0" w:rsidRPr="00D2561F">
              <w:rPr>
                <w:rFonts w:ascii="Century Gothic" w:hAnsi="Century Gothic"/>
                <w:b/>
                <w:bCs/>
                <w:color w:val="000000" w:themeColor="text1"/>
                <w:sz w:val="20"/>
                <w:szCs w:val="20"/>
              </w:rPr>
              <w:t>Ponente</w:t>
            </w:r>
          </w:p>
        </w:tc>
      </w:tr>
      <w:tr w:rsidR="00DC235F" w:rsidRPr="00D2561F" w14:paraId="2B272A6C" w14:textId="77777777" w:rsidTr="00D2561F">
        <w:tc>
          <w:tcPr>
            <w:tcW w:w="4673" w:type="dxa"/>
          </w:tcPr>
          <w:p w14:paraId="0E78D6BA" w14:textId="77777777" w:rsidR="00DC235F" w:rsidRPr="00D2561F" w:rsidRDefault="00DC235F" w:rsidP="0069702E">
            <w:pPr>
              <w:tabs>
                <w:tab w:val="left" w:pos="6045"/>
              </w:tabs>
              <w:spacing w:line="276" w:lineRule="auto"/>
              <w:rPr>
                <w:rFonts w:ascii="Century Gothic" w:hAnsi="Century Gothic"/>
                <w:b/>
                <w:bCs/>
                <w:color w:val="000000" w:themeColor="text1"/>
                <w:sz w:val="20"/>
                <w:szCs w:val="20"/>
              </w:rPr>
            </w:pPr>
          </w:p>
          <w:p w14:paraId="4CD26653" w14:textId="36CD8420" w:rsidR="00DC235F" w:rsidRPr="00D2561F" w:rsidRDefault="00DC235F" w:rsidP="0069702E">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JENNIFER DALLEY PEDRAZA</w:t>
            </w:r>
            <w:r w:rsidRPr="00D2561F">
              <w:rPr>
                <w:rFonts w:ascii="Century Gothic" w:hAnsi="Century Gothic"/>
                <w:b/>
                <w:bCs/>
                <w:color w:val="000000" w:themeColor="text1"/>
                <w:sz w:val="20"/>
                <w:szCs w:val="20"/>
              </w:rPr>
              <w:br/>
            </w:r>
            <w:r w:rsidR="003A63D0" w:rsidRPr="00D2561F">
              <w:rPr>
                <w:rFonts w:ascii="Century Gothic" w:hAnsi="Century Gothic"/>
                <w:color w:val="000000" w:themeColor="text1"/>
                <w:sz w:val="20"/>
                <w:szCs w:val="20"/>
              </w:rPr>
              <w:t xml:space="preserve">Representante a la Cámara </w:t>
            </w:r>
            <w:r w:rsidR="003A63D0" w:rsidRPr="00D2561F">
              <w:rPr>
                <w:rFonts w:ascii="Century Gothic" w:hAnsi="Century Gothic"/>
                <w:color w:val="000000" w:themeColor="text1"/>
                <w:sz w:val="20"/>
                <w:szCs w:val="20"/>
              </w:rPr>
              <w:br/>
            </w:r>
            <w:r w:rsidR="003A63D0" w:rsidRPr="00D2561F">
              <w:rPr>
                <w:rFonts w:ascii="Century Gothic" w:hAnsi="Century Gothic"/>
                <w:b/>
                <w:bCs/>
                <w:color w:val="000000" w:themeColor="text1"/>
                <w:sz w:val="20"/>
                <w:szCs w:val="20"/>
              </w:rPr>
              <w:t>Ponente</w:t>
            </w:r>
          </w:p>
        </w:tc>
        <w:tc>
          <w:tcPr>
            <w:tcW w:w="4653" w:type="dxa"/>
          </w:tcPr>
          <w:p w14:paraId="3EAC664E" w14:textId="77777777" w:rsidR="00DC235F" w:rsidRPr="00D2561F" w:rsidRDefault="00DC235F" w:rsidP="0069702E">
            <w:pPr>
              <w:tabs>
                <w:tab w:val="left" w:pos="6045"/>
              </w:tabs>
              <w:spacing w:line="276" w:lineRule="auto"/>
              <w:rPr>
                <w:rFonts w:ascii="Century Gothic" w:hAnsi="Century Gothic"/>
                <w:b/>
                <w:bCs/>
                <w:color w:val="000000" w:themeColor="text1"/>
                <w:sz w:val="20"/>
                <w:szCs w:val="20"/>
              </w:rPr>
            </w:pPr>
          </w:p>
          <w:p w14:paraId="76DD843E" w14:textId="31B7AB8D" w:rsidR="00DC235F" w:rsidRPr="00D2561F" w:rsidRDefault="00DC235F" w:rsidP="0069702E">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PIEDAD CORREAL RUBIANO</w:t>
            </w:r>
            <w:r w:rsidRPr="00D2561F">
              <w:rPr>
                <w:rFonts w:ascii="Century Gothic" w:hAnsi="Century Gothic"/>
                <w:b/>
                <w:bCs/>
                <w:color w:val="000000" w:themeColor="text1"/>
                <w:sz w:val="20"/>
                <w:szCs w:val="20"/>
              </w:rPr>
              <w:br/>
            </w:r>
            <w:r w:rsidR="003A63D0" w:rsidRPr="00D2561F">
              <w:rPr>
                <w:rFonts w:ascii="Century Gothic" w:hAnsi="Century Gothic"/>
                <w:color w:val="000000" w:themeColor="text1"/>
                <w:sz w:val="20"/>
                <w:szCs w:val="20"/>
              </w:rPr>
              <w:t xml:space="preserve">Representante a la Cámara </w:t>
            </w:r>
            <w:r w:rsidR="003A63D0" w:rsidRPr="00D2561F">
              <w:rPr>
                <w:rFonts w:ascii="Century Gothic" w:hAnsi="Century Gothic"/>
                <w:color w:val="000000" w:themeColor="text1"/>
                <w:sz w:val="20"/>
                <w:szCs w:val="20"/>
              </w:rPr>
              <w:br/>
            </w:r>
            <w:r w:rsidR="003A63D0" w:rsidRPr="00D2561F">
              <w:rPr>
                <w:rFonts w:ascii="Century Gothic" w:hAnsi="Century Gothic"/>
                <w:b/>
                <w:bCs/>
                <w:color w:val="000000" w:themeColor="text1"/>
                <w:sz w:val="20"/>
                <w:szCs w:val="20"/>
              </w:rPr>
              <w:t>Ponente</w:t>
            </w:r>
          </w:p>
        </w:tc>
      </w:tr>
      <w:tr w:rsidR="00DC235F" w:rsidRPr="00D2561F" w14:paraId="5AECCB8E" w14:textId="77777777" w:rsidTr="00D2561F">
        <w:tc>
          <w:tcPr>
            <w:tcW w:w="4673" w:type="dxa"/>
          </w:tcPr>
          <w:p w14:paraId="01A8321D" w14:textId="77777777" w:rsidR="00D2561F" w:rsidRDefault="00D2561F" w:rsidP="0069702E">
            <w:pPr>
              <w:tabs>
                <w:tab w:val="left" w:pos="6045"/>
              </w:tabs>
              <w:spacing w:line="276" w:lineRule="auto"/>
              <w:rPr>
                <w:rFonts w:ascii="Century Gothic" w:hAnsi="Century Gothic"/>
                <w:b/>
                <w:bCs/>
                <w:color w:val="000000" w:themeColor="text1"/>
                <w:sz w:val="20"/>
                <w:szCs w:val="20"/>
              </w:rPr>
            </w:pPr>
          </w:p>
          <w:p w14:paraId="10EA5D89" w14:textId="77777777" w:rsidR="00D2561F" w:rsidRDefault="00D2561F" w:rsidP="0069702E">
            <w:pPr>
              <w:tabs>
                <w:tab w:val="left" w:pos="6045"/>
              </w:tabs>
              <w:spacing w:line="276" w:lineRule="auto"/>
              <w:rPr>
                <w:rFonts w:ascii="Century Gothic" w:hAnsi="Century Gothic"/>
                <w:b/>
                <w:bCs/>
                <w:color w:val="000000" w:themeColor="text1"/>
                <w:sz w:val="20"/>
                <w:szCs w:val="20"/>
              </w:rPr>
            </w:pPr>
          </w:p>
          <w:p w14:paraId="4213AAD6" w14:textId="77777777" w:rsidR="00D2561F" w:rsidRDefault="00D2561F" w:rsidP="0069702E">
            <w:pPr>
              <w:tabs>
                <w:tab w:val="left" w:pos="6045"/>
              </w:tabs>
              <w:spacing w:line="276" w:lineRule="auto"/>
              <w:rPr>
                <w:rFonts w:ascii="Century Gothic" w:hAnsi="Century Gothic"/>
                <w:b/>
                <w:bCs/>
                <w:color w:val="000000" w:themeColor="text1"/>
                <w:sz w:val="20"/>
                <w:szCs w:val="20"/>
              </w:rPr>
            </w:pPr>
          </w:p>
          <w:p w14:paraId="53780940" w14:textId="77777777" w:rsidR="00D2561F" w:rsidRDefault="00D2561F" w:rsidP="0069702E">
            <w:pPr>
              <w:tabs>
                <w:tab w:val="left" w:pos="6045"/>
              </w:tabs>
              <w:spacing w:line="276" w:lineRule="auto"/>
              <w:rPr>
                <w:rFonts w:ascii="Century Gothic" w:hAnsi="Century Gothic"/>
                <w:b/>
                <w:bCs/>
                <w:color w:val="000000" w:themeColor="text1"/>
                <w:sz w:val="20"/>
                <w:szCs w:val="20"/>
              </w:rPr>
            </w:pPr>
          </w:p>
          <w:p w14:paraId="24ADE6DF" w14:textId="77777777" w:rsidR="00D2561F" w:rsidRDefault="00D2561F" w:rsidP="0069702E">
            <w:pPr>
              <w:tabs>
                <w:tab w:val="left" w:pos="6045"/>
              </w:tabs>
              <w:spacing w:line="276" w:lineRule="auto"/>
              <w:rPr>
                <w:rFonts w:ascii="Century Gothic" w:hAnsi="Century Gothic"/>
                <w:b/>
                <w:bCs/>
                <w:color w:val="000000" w:themeColor="text1"/>
                <w:sz w:val="20"/>
                <w:szCs w:val="20"/>
              </w:rPr>
            </w:pPr>
          </w:p>
          <w:p w14:paraId="6330068B" w14:textId="3F07AE13" w:rsidR="00DC235F" w:rsidRPr="00D2561F" w:rsidRDefault="00DC235F" w:rsidP="0069702E">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PEDRO JOSÉ SUÁREZ VACCA</w:t>
            </w:r>
            <w:r w:rsidRPr="00D2561F">
              <w:rPr>
                <w:rFonts w:ascii="Century Gothic" w:hAnsi="Century Gothic"/>
                <w:b/>
                <w:bCs/>
                <w:color w:val="000000" w:themeColor="text1"/>
                <w:sz w:val="20"/>
                <w:szCs w:val="20"/>
              </w:rPr>
              <w:br/>
            </w:r>
            <w:r w:rsidR="003A63D0" w:rsidRPr="00D2561F">
              <w:rPr>
                <w:rFonts w:ascii="Century Gothic" w:hAnsi="Century Gothic"/>
                <w:color w:val="000000" w:themeColor="text1"/>
                <w:sz w:val="20"/>
                <w:szCs w:val="20"/>
              </w:rPr>
              <w:t xml:space="preserve">Representante a la Cámara </w:t>
            </w:r>
            <w:r w:rsidR="003A63D0" w:rsidRPr="00D2561F">
              <w:rPr>
                <w:rFonts w:ascii="Century Gothic" w:hAnsi="Century Gothic"/>
                <w:color w:val="000000" w:themeColor="text1"/>
                <w:sz w:val="20"/>
                <w:szCs w:val="20"/>
              </w:rPr>
              <w:br/>
            </w:r>
            <w:r w:rsidR="003A63D0" w:rsidRPr="00D2561F">
              <w:rPr>
                <w:rFonts w:ascii="Century Gothic" w:hAnsi="Century Gothic"/>
                <w:b/>
                <w:bCs/>
                <w:color w:val="000000" w:themeColor="text1"/>
                <w:sz w:val="20"/>
                <w:szCs w:val="20"/>
              </w:rPr>
              <w:t>Ponente</w:t>
            </w:r>
          </w:p>
        </w:tc>
        <w:tc>
          <w:tcPr>
            <w:tcW w:w="4653" w:type="dxa"/>
          </w:tcPr>
          <w:p w14:paraId="4477DE49" w14:textId="77777777" w:rsidR="00DC235F" w:rsidRDefault="00DC235F" w:rsidP="0069702E">
            <w:pPr>
              <w:tabs>
                <w:tab w:val="left" w:pos="6045"/>
              </w:tabs>
              <w:spacing w:line="276" w:lineRule="auto"/>
              <w:rPr>
                <w:rFonts w:ascii="Century Gothic" w:hAnsi="Century Gothic"/>
                <w:b/>
                <w:bCs/>
                <w:color w:val="000000" w:themeColor="text1"/>
                <w:sz w:val="20"/>
                <w:szCs w:val="20"/>
              </w:rPr>
            </w:pPr>
          </w:p>
          <w:p w14:paraId="63ABD35B" w14:textId="77777777" w:rsidR="00D2561F" w:rsidRDefault="00D2561F" w:rsidP="0069702E">
            <w:pPr>
              <w:tabs>
                <w:tab w:val="left" w:pos="6045"/>
              </w:tabs>
              <w:spacing w:line="276" w:lineRule="auto"/>
              <w:rPr>
                <w:rFonts w:ascii="Century Gothic" w:hAnsi="Century Gothic"/>
                <w:b/>
                <w:bCs/>
                <w:color w:val="000000" w:themeColor="text1"/>
                <w:sz w:val="20"/>
                <w:szCs w:val="20"/>
              </w:rPr>
            </w:pPr>
          </w:p>
          <w:p w14:paraId="6D58CF8B" w14:textId="77777777" w:rsidR="00D2561F" w:rsidRPr="00D2561F" w:rsidRDefault="00D2561F" w:rsidP="0069702E">
            <w:pPr>
              <w:tabs>
                <w:tab w:val="left" w:pos="6045"/>
              </w:tabs>
              <w:spacing w:line="276" w:lineRule="auto"/>
              <w:rPr>
                <w:rFonts w:ascii="Century Gothic" w:hAnsi="Century Gothic"/>
                <w:b/>
                <w:bCs/>
                <w:color w:val="000000" w:themeColor="text1"/>
                <w:sz w:val="20"/>
                <w:szCs w:val="20"/>
              </w:rPr>
            </w:pPr>
          </w:p>
          <w:p w14:paraId="1E1638CA" w14:textId="77777777" w:rsidR="00D2561F" w:rsidRDefault="00D2561F" w:rsidP="0069702E">
            <w:pPr>
              <w:tabs>
                <w:tab w:val="left" w:pos="6045"/>
              </w:tabs>
              <w:spacing w:line="276" w:lineRule="auto"/>
              <w:rPr>
                <w:rFonts w:ascii="Century Gothic" w:hAnsi="Century Gothic"/>
                <w:b/>
                <w:bCs/>
                <w:color w:val="000000" w:themeColor="text1"/>
                <w:sz w:val="20"/>
                <w:szCs w:val="20"/>
              </w:rPr>
            </w:pPr>
          </w:p>
          <w:p w14:paraId="2BFEBB97" w14:textId="77777777" w:rsidR="00D2561F" w:rsidRDefault="00D2561F" w:rsidP="0069702E">
            <w:pPr>
              <w:tabs>
                <w:tab w:val="left" w:pos="6045"/>
              </w:tabs>
              <w:spacing w:line="276" w:lineRule="auto"/>
              <w:rPr>
                <w:rFonts w:ascii="Century Gothic" w:hAnsi="Century Gothic"/>
                <w:b/>
                <w:bCs/>
                <w:color w:val="000000" w:themeColor="text1"/>
                <w:sz w:val="20"/>
                <w:szCs w:val="20"/>
              </w:rPr>
            </w:pPr>
          </w:p>
          <w:p w14:paraId="45975D8D" w14:textId="558D623E" w:rsidR="00DC235F" w:rsidRPr="00D2561F" w:rsidRDefault="00DC235F" w:rsidP="0069702E">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JOSE JAIME USCÁTEGUI PASTRANA</w:t>
            </w:r>
            <w:r w:rsidRPr="00D2561F">
              <w:rPr>
                <w:rFonts w:ascii="Century Gothic" w:hAnsi="Century Gothic"/>
                <w:b/>
                <w:bCs/>
                <w:color w:val="000000" w:themeColor="text1"/>
                <w:sz w:val="20"/>
                <w:szCs w:val="20"/>
              </w:rPr>
              <w:br/>
            </w:r>
            <w:r w:rsidR="003A63D0" w:rsidRPr="00D2561F">
              <w:rPr>
                <w:rFonts w:ascii="Century Gothic" w:hAnsi="Century Gothic"/>
                <w:color w:val="000000" w:themeColor="text1"/>
                <w:sz w:val="20"/>
                <w:szCs w:val="20"/>
              </w:rPr>
              <w:t xml:space="preserve">Representante a la Cámara </w:t>
            </w:r>
            <w:r w:rsidR="003A63D0" w:rsidRPr="00D2561F">
              <w:rPr>
                <w:rFonts w:ascii="Century Gothic" w:hAnsi="Century Gothic"/>
                <w:color w:val="000000" w:themeColor="text1"/>
                <w:sz w:val="20"/>
                <w:szCs w:val="20"/>
              </w:rPr>
              <w:br/>
            </w:r>
            <w:r w:rsidR="003A63D0" w:rsidRPr="00D2561F">
              <w:rPr>
                <w:rFonts w:ascii="Century Gothic" w:hAnsi="Century Gothic"/>
                <w:b/>
                <w:bCs/>
                <w:color w:val="000000" w:themeColor="text1"/>
                <w:sz w:val="20"/>
                <w:szCs w:val="20"/>
              </w:rPr>
              <w:t>Ponente</w:t>
            </w:r>
          </w:p>
        </w:tc>
      </w:tr>
      <w:tr w:rsidR="00DC235F" w:rsidRPr="00D2561F" w14:paraId="055B5A77" w14:textId="77777777" w:rsidTr="00D2561F">
        <w:trPr>
          <w:trHeight w:val="1659"/>
        </w:trPr>
        <w:tc>
          <w:tcPr>
            <w:tcW w:w="4673" w:type="dxa"/>
          </w:tcPr>
          <w:p w14:paraId="4949DE8D" w14:textId="77777777" w:rsidR="00DC235F" w:rsidRPr="00D2561F" w:rsidRDefault="00DC235F" w:rsidP="0069702E">
            <w:pPr>
              <w:tabs>
                <w:tab w:val="left" w:pos="6045"/>
              </w:tabs>
              <w:spacing w:line="276" w:lineRule="auto"/>
              <w:rPr>
                <w:rFonts w:ascii="Century Gothic" w:hAnsi="Century Gothic"/>
                <w:b/>
                <w:bCs/>
                <w:color w:val="000000" w:themeColor="text1"/>
                <w:sz w:val="20"/>
                <w:szCs w:val="20"/>
              </w:rPr>
            </w:pPr>
          </w:p>
          <w:p w14:paraId="5B985EF0" w14:textId="77777777" w:rsidR="00D2561F" w:rsidRDefault="00D2561F" w:rsidP="0069702E">
            <w:pPr>
              <w:tabs>
                <w:tab w:val="left" w:pos="6045"/>
              </w:tabs>
              <w:spacing w:line="276" w:lineRule="auto"/>
              <w:rPr>
                <w:rFonts w:ascii="Century Gothic" w:hAnsi="Century Gothic"/>
                <w:b/>
                <w:bCs/>
                <w:color w:val="000000" w:themeColor="text1"/>
                <w:sz w:val="20"/>
                <w:szCs w:val="20"/>
              </w:rPr>
            </w:pPr>
          </w:p>
          <w:p w14:paraId="31EBAA81" w14:textId="666F6C3D" w:rsidR="00DC235F" w:rsidRPr="00D2561F" w:rsidRDefault="00DC235F" w:rsidP="0069702E">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JAMES HERMENEGILDO MOSQUERA TORRES</w:t>
            </w:r>
            <w:r w:rsidRPr="00D2561F">
              <w:rPr>
                <w:rFonts w:ascii="Century Gothic" w:hAnsi="Century Gothic"/>
                <w:b/>
                <w:bCs/>
                <w:color w:val="000000" w:themeColor="text1"/>
                <w:sz w:val="20"/>
                <w:szCs w:val="20"/>
              </w:rPr>
              <w:br/>
            </w:r>
            <w:r w:rsidR="003A63D0" w:rsidRPr="00D2561F">
              <w:rPr>
                <w:rFonts w:ascii="Century Gothic" w:hAnsi="Century Gothic"/>
                <w:color w:val="000000" w:themeColor="text1"/>
                <w:sz w:val="20"/>
                <w:szCs w:val="20"/>
              </w:rPr>
              <w:t xml:space="preserve">Representante a la Cámara </w:t>
            </w:r>
            <w:r w:rsidR="003A63D0" w:rsidRPr="00D2561F">
              <w:rPr>
                <w:rFonts w:ascii="Century Gothic" w:hAnsi="Century Gothic"/>
                <w:color w:val="000000" w:themeColor="text1"/>
                <w:sz w:val="20"/>
                <w:szCs w:val="20"/>
              </w:rPr>
              <w:br/>
            </w:r>
            <w:r w:rsidR="003A63D0" w:rsidRPr="00D2561F">
              <w:rPr>
                <w:rFonts w:ascii="Century Gothic" w:hAnsi="Century Gothic"/>
                <w:b/>
                <w:bCs/>
                <w:color w:val="000000" w:themeColor="text1"/>
                <w:sz w:val="20"/>
                <w:szCs w:val="20"/>
              </w:rPr>
              <w:t>Ponente</w:t>
            </w:r>
          </w:p>
        </w:tc>
        <w:tc>
          <w:tcPr>
            <w:tcW w:w="4653" w:type="dxa"/>
          </w:tcPr>
          <w:p w14:paraId="38F8E431" w14:textId="77777777" w:rsidR="00DC235F" w:rsidRDefault="00DC235F" w:rsidP="0069702E">
            <w:pPr>
              <w:tabs>
                <w:tab w:val="left" w:pos="6045"/>
              </w:tabs>
              <w:spacing w:line="276" w:lineRule="auto"/>
              <w:rPr>
                <w:rFonts w:ascii="Century Gothic" w:hAnsi="Century Gothic"/>
                <w:b/>
                <w:bCs/>
                <w:color w:val="000000" w:themeColor="text1"/>
                <w:sz w:val="20"/>
                <w:szCs w:val="20"/>
              </w:rPr>
            </w:pPr>
          </w:p>
          <w:p w14:paraId="46C602F8" w14:textId="77777777" w:rsidR="00D2561F" w:rsidRPr="00D2561F" w:rsidRDefault="00D2561F" w:rsidP="0069702E">
            <w:pPr>
              <w:tabs>
                <w:tab w:val="left" w:pos="6045"/>
              </w:tabs>
              <w:spacing w:line="276" w:lineRule="auto"/>
              <w:rPr>
                <w:rFonts w:ascii="Century Gothic" w:hAnsi="Century Gothic"/>
                <w:b/>
                <w:bCs/>
                <w:color w:val="000000" w:themeColor="text1"/>
                <w:sz w:val="20"/>
                <w:szCs w:val="20"/>
              </w:rPr>
            </w:pPr>
          </w:p>
          <w:p w14:paraId="3F56F0A9" w14:textId="1BF4E7ED" w:rsidR="00DC235F" w:rsidRPr="00D2561F" w:rsidRDefault="00DC235F" w:rsidP="0069702E">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JORGE ELIECER TAMAYO MARULANDA</w:t>
            </w:r>
            <w:r w:rsidRPr="00D2561F">
              <w:rPr>
                <w:rFonts w:ascii="Century Gothic" w:hAnsi="Century Gothic"/>
                <w:b/>
                <w:bCs/>
                <w:color w:val="000000" w:themeColor="text1"/>
                <w:sz w:val="20"/>
                <w:szCs w:val="20"/>
              </w:rPr>
              <w:br/>
            </w:r>
            <w:r w:rsidR="003A63D0" w:rsidRPr="00D2561F">
              <w:rPr>
                <w:rFonts w:ascii="Century Gothic" w:hAnsi="Century Gothic"/>
                <w:color w:val="000000" w:themeColor="text1"/>
                <w:sz w:val="20"/>
                <w:szCs w:val="20"/>
              </w:rPr>
              <w:t xml:space="preserve">Representante a la Cámara </w:t>
            </w:r>
            <w:r w:rsidR="003A63D0" w:rsidRPr="00D2561F">
              <w:rPr>
                <w:rFonts w:ascii="Century Gothic" w:hAnsi="Century Gothic"/>
                <w:color w:val="000000" w:themeColor="text1"/>
                <w:sz w:val="20"/>
                <w:szCs w:val="20"/>
              </w:rPr>
              <w:br/>
            </w:r>
            <w:r w:rsidR="003A63D0" w:rsidRPr="00D2561F">
              <w:rPr>
                <w:rFonts w:ascii="Century Gothic" w:hAnsi="Century Gothic"/>
                <w:b/>
                <w:bCs/>
                <w:color w:val="000000" w:themeColor="text1"/>
                <w:sz w:val="20"/>
                <w:szCs w:val="20"/>
              </w:rPr>
              <w:t>Ponente</w:t>
            </w:r>
          </w:p>
        </w:tc>
      </w:tr>
      <w:tr w:rsidR="00DC235F" w:rsidRPr="00D2561F" w14:paraId="0F69AA05" w14:textId="77777777" w:rsidTr="00D2561F">
        <w:tc>
          <w:tcPr>
            <w:tcW w:w="4673" w:type="dxa"/>
          </w:tcPr>
          <w:p w14:paraId="1CAA3D42" w14:textId="77777777" w:rsidR="00DC235F" w:rsidRDefault="00DC235F" w:rsidP="0069702E">
            <w:pPr>
              <w:tabs>
                <w:tab w:val="left" w:pos="6045"/>
              </w:tabs>
              <w:spacing w:line="276" w:lineRule="auto"/>
              <w:rPr>
                <w:rFonts w:ascii="Century Gothic" w:hAnsi="Century Gothic"/>
                <w:b/>
                <w:bCs/>
                <w:color w:val="000000" w:themeColor="text1"/>
                <w:sz w:val="20"/>
                <w:szCs w:val="20"/>
              </w:rPr>
            </w:pPr>
          </w:p>
          <w:p w14:paraId="2AB0699D" w14:textId="77777777" w:rsidR="00D2561F" w:rsidRPr="00D2561F" w:rsidRDefault="00D2561F" w:rsidP="0069702E">
            <w:pPr>
              <w:tabs>
                <w:tab w:val="left" w:pos="6045"/>
              </w:tabs>
              <w:spacing w:line="276" w:lineRule="auto"/>
              <w:rPr>
                <w:rFonts w:ascii="Century Gothic" w:hAnsi="Century Gothic"/>
                <w:b/>
                <w:bCs/>
                <w:color w:val="000000" w:themeColor="text1"/>
                <w:sz w:val="20"/>
                <w:szCs w:val="20"/>
              </w:rPr>
            </w:pPr>
          </w:p>
          <w:p w14:paraId="49FCBF07" w14:textId="349B6AE5" w:rsidR="00DC235F" w:rsidRPr="00D2561F" w:rsidRDefault="00DC235F" w:rsidP="0069702E">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MARELEN CASTILLO TORRES</w:t>
            </w:r>
            <w:r w:rsidRPr="00D2561F">
              <w:rPr>
                <w:rFonts w:ascii="Century Gothic" w:hAnsi="Century Gothic"/>
                <w:b/>
                <w:bCs/>
                <w:color w:val="000000" w:themeColor="text1"/>
                <w:sz w:val="20"/>
                <w:szCs w:val="20"/>
              </w:rPr>
              <w:br/>
            </w:r>
            <w:r w:rsidR="003A63D0" w:rsidRPr="00D2561F">
              <w:rPr>
                <w:rFonts w:ascii="Century Gothic" w:hAnsi="Century Gothic"/>
                <w:color w:val="000000" w:themeColor="text1"/>
                <w:sz w:val="20"/>
                <w:szCs w:val="20"/>
              </w:rPr>
              <w:t xml:space="preserve">Representante a la Cámara </w:t>
            </w:r>
            <w:r w:rsidR="003A63D0" w:rsidRPr="00D2561F">
              <w:rPr>
                <w:rFonts w:ascii="Century Gothic" w:hAnsi="Century Gothic"/>
                <w:color w:val="000000" w:themeColor="text1"/>
                <w:sz w:val="20"/>
                <w:szCs w:val="20"/>
              </w:rPr>
              <w:br/>
            </w:r>
            <w:r w:rsidR="003A63D0" w:rsidRPr="00D2561F">
              <w:rPr>
                <w:rFonts w:ascii="Century Gothic" w:hAnsi="Century Gothic"/>
                <w:b/>
                <w:bCs/>
                <w:color w:val="000000" w:themeColor="text1"/>
                <w:sz w:val="20"/>
                <w:szCs w:val="20"/>
              </w:rPr>
              <w:t>Ponente</w:t>
            </w:r>
          </w:p>
        </w:tc>
        <w:tc>
          <w:tcPr>
            <w:tcW w:w="4653" w:type="dxa"/>
          </w:tcPr>
          <w:p w14:paraId="00395646" w14:textId="77777777" w:rsidR="00DC235F" w:rsidRPr="00D2561F" w:rsidRDefault="00DC235F" w:rsidP="0069702E">
            <w:pPr>
              <w:tabs>
                <w:tab w:val="left" w:pos="6045"/>
              </w:tabs>
              <w:spacing w:line="276" w:lineRule="auto"/>
              <w:rPr>
                <w:rFonts w:ascii="Century Gothic" w:hAnsi="Century Gothic"/>
                <w:b/>
                <w:bCs/>
                <w:color w:val="000000" w:themeColor="text1"/>
                <w:sz w:val="20"/>
                <w:szCs w:val="20"/>
              </w:rPr>
            </w:pPr>
          </w:p>
          <w:p w14:paraId="75C6BE64" w14:textId="77777777" w:rsidR="00D2561F" w:rsidRDefault="00D2561F" w:rsidP="0069702E">
            <w:pPr>
              <w:tabs>
                <w:tab w:val="left" w:pos="6045"/>
              </w:tabs>
              <w:spacing w:line="276" w:lineRule="auto"/>
              <w:rPr>
                <w:rFonts w:ascii="Century Gothic" w:hAnsi="Century Gothic"/>
                <w:b/>
                <w:bCs/>
                <w:color w:val="000000" w:themeColor="text1"/>
                <w:sz w:val="20"/>
                <w:szCs w:val="20"/>
              </w:rPr>
            </w:pPr>
          </w:p>
          <w:p w14:paraId="32AF7008" w14:textId="4CD07FE1" w:rsidR="00DC235F" w:rsidRPr="00D2561F" w:rsidRDefault="00DC235F" w:rsidP="0069702E">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LUIS ALBERTO ALBÁN</w:t>
            </w:r>
            <w:r w:rsidRPr="00D2561F">
              <w:rPr>
                <w:rFonts w:ascii="Century Gothic" w:hAnsi="Century Gothic"/>
                <w:b/>
                <w:bCs/>
                <w:color w:val="000000" w:themeColor="text1"/>
                <w:sz w:val="20"/>
                <w:szCs w:val="20"/>
              </w:rPr>
              <w:br/>
            </w:r>
            <w:r w:rsidRPr="00D2561F">
              <w:rPr>
                <w:rFonts w:ascii="Century Gothic" w:hAnsi="Century Gothic"/>
                <w:color w:val="000000" w:themeColor="text1"/>
                <w:sz w:val="20"/>
                <w:szCs w:val="20"/>
              </w:rPr>
              <w:t xml:space="preserve">Representante a la Cámara </w:t>
            </w:r>
            <w:r w:rsidR="003A63D0" w:rsidRPr="00D2561F">
              <w:rPr>
                <w:rFonts w:ascii="Century Gothic" w:hAnsi="Century Gothic"/>
                <w:color w:val="000000" w:themeColor="text1"/>
                <w:sz w:val="20"/>
                <w:szCs w:val="20"/>
              </w:rPr>
              <w:br/>
            </w:r>
            <w:r w:rsidR="003A63D0" w:rsidRPr="00D2561F">
              <w:rPr>
                <w:rFonts w:ascii="Century Gothic" w:hAnsi="Century Gothic"/>
                <w:b/>
                <w:bCs/>
                <w:color w:val="000000" w:themeColor="text1"/>
                <w:sz w:val="20"/>
                <w:szCs w:val="20"/>
              </w:rPr>
              <w:t>Ponente</w:t>
            </w:r>
          </w:p>
        </w:tc>
      </w:tr>
    </w:tbl>
    <w:p w14:paraId="7F256A53" w14:textId="77777777" w:rsidR="001F6316" w:rsidRPr="00D2561F" w:rsidRDefault="001F6316" w:rsidP="00DE7A48">
      <w:pPr>
        <w:spacing w:line="276" w:lineRule="auto"/>
        <w:ind w:right="193"/>
        <w:jc w:val="both"/>
        <w:rPr>
          <w:rFonts w:ascii="Century Gothic" w:hAnsi="Century Gothic"/>
          <w:b/>
          <w:bCs/>
          <w:i/>
          <w:iCs/>
          <w:color w:val="000000" w:themeColor="text1"/>
          <w:sz w:val="20"/>
          <w:szCs w:val="20"/>
        </w:rPr>
      </w:pPr>
    </w:p>
    <w:p w14:paraId="7F256A54" w14:textId="77777777" w:rsidR="001F6316" w:rsidRPr="00D2561F" w:rsidRDefault="001F6316" w:rsidP="00DE7A48">
      <w:pPr>
        <w:spacing w:line="276" w:lineRule="auto"/>
        <w:ind w:right="193"/>
        <w:jc w:val="both"/>
        <w:rPr>
          <w:rFonts w:ascii="Century Gothic" w:hAnsi="Century Gothic"/>
          <w:b/>
          <w:bCs/>
          <w:i/>
          <w:iCs/>
          <w:color w:val="000000" w:themeColor="text1"/>
          <w:sz w:val="20"/>
          <w:szCs w:val="20"/>
        </w:rPr>
      </w:pPr>
    </w:p>
    <w:p w14:paraId="2A8358ED" w14:textId="77777777" w:rsidR="005221B3" w:rsidRPr="00D2561F" w:rsidRDefault="005221B3" w:rsidP="00DE7A48">
      <w:pPr>
        <w:spacing w:line="276" w:lineRule="auto"/>
        <w:ind w:right="193"/>
        <w:jc w:val="both"/>
        <w:rPr>
          <w:rFonts w:ascii="Century Gothic" w:hAnsi="Century Gothic"/>
          <w:b/>
          <w:bCs/>
          <w:i/>
          <w:iCs/>
          <w:color w:val="000000" w:themeColor="text1"/>
          <w:sz w:val="20"/>
          <w:szCs w:val="20"/>
        </w:rPr>
      </w:pPr>
    </w:p>
    <w:p w14:paraId="25DD4115" w14:textId="77777777" w:rsidR="005221B3" w:rsidRDefault="005221B3" w:rsidP="00DE7A48">
      <w:pPr>
        <w:spacing w:line="276" w:lineRule="auto"/>
        <w:ind w:right="193"/>
        <w:jc w:val="both"/>
        <w:rPr>
          <w:rFonts w:ascii="Century Gothic" w:hAnsi="Century Gothic"/>
          <w:b/>
          <w:bCs/>
          <w:i/>
          <w:iCs/>
          <w:color w:val="000000" w:themeColor="text1"/>
          <w:sz w:val="20"/>
          <w:szCs w:val="20"/>
        </w:rPr>
      </w:pPr>
    </w:p>
    <w:p w14:paraId="32EA0CBC"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446EF913"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32E96516"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780C0A0D"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3F357E51"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46A86867"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100C6472"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3D057F94"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608B8A0B"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60742CA0"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45C483CE"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0DFBECD0"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0723D733"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70629EE7"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7A3692D2"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3E166BD6"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48459869"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3BBFC083"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002F5705"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6EE36B62"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5A3B582B"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234DC3F1"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598FBDCF"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708838C9"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121BF4AF"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2909B3C8"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401AF74A"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04C8837D"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288F1611"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1D460BCD"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55ED9BCE"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02F3DFE1"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1F3B6B46"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2041BC57"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6475E115"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6FFA61A5" w14:textId="77777777" w:rsidR="00D2561F" w:rsidRDefault="00D2561F" w:rsidP="00DE7A48">
      <w:pPr>
        <w:spacing w:line="276" w:lineRule="auto"/>
        <w:ind w:right="193"/>
        <w:jc w:val="both"/>
        <w:rPr>
          <w:rFonts w:ascii="Century Gothic" w:hAnsi="Century Gothic"/>
          <w:b/>
          <w:bCs/>
          <w:i/>
          <w:iCs/>
          <w:color w:val="000000" w:themeColor="text1"/>
          <w:sz w:val="20"/>
          <w:szCs w:val="20"/>
        </w:rPr>
      </w:pPr>
    </w:p>
    <w:p w14:paraId="315DDE70" w14:textId="77777777" w:rsidR="00D2561F" w:rsidRPr="00D2561F" w:rsidRDefault="00D2561F" w:rsidP="00DE7A48">
      <w:pPr>
        <w:spacing w:line="276" w:lineRule="auto"/>
        <w:ind w:right="193"/>
        <w:jc w:val="both"/>
        <w:rPr>
          <w:rFonts w:ascii="Century Gothic" w:hAnsi="Century Gothic"/>
          <w:b/>
          <w:bCs/>
          <w:i/>
          <w:iCs/>
          <w:color w:val="000000" w:themeColor="text1"/>
          <w:sz w:val="20"/>
          <w:szCs w:val="20"/>
        </w:rPr>
      </w:pPr>
    </w:p>
    <w:p w14:paraId="61ABA2B4" w14:textId="77777777" w:rsidR="005221B3" w:rsidRPr="00D2561F" w:rsidRDefault="005221B3" w:rsidP="00DE7A48">
      <w:pPr>
        <w:spacing w:line="276" w:lineRule="auto"/>
        <w:ind w:right="193"/>
        <w:jc w:val="both"/>
        <w:rPr>
          <w:rFonts w:ascii="Century Gothic" w:hAnsi="Century Gothic"/>
          <w:b/>
          <w:bCs/>
          <w:i/>
          <w:iCs/>
          <w:color w:val="000000" w:themeColor="text1"/>
          <w:sz w:val="20"/>
          <w:szCs w:val="20"/>
        </w:rPr>
      </w:pPr>
    </w:p>
    <w:p w14:paraId="7F256A6F" w14:textId="77777777" w:rsidR="001F6316" w:rsidRPr="00D2561F" w:rsidRDefault="00B14FA6" w:rsidP="008032FD">
      <w:pPr>
        <w:spacing w:line="276" w:lineRule="auto"/>
        <w:ind w:right="193"/>
        <w:jc w:val="center"/>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TEXTO PROPUESTO PARA SEGUNDO DEBATE EN LA PLENARIA DE LA CÁMARA DE REPRESENTANTES</w:t>
      </w:r>
    </w:p>
    <w:p w14:paraId="7F256A70" w14:textId="77777777" w:rsidR="001F6316" w:rsidRPr="00D2561F" w:rsidRDefault="00B14FA6" w:rsidP="008032FD">
      <w:pPr>
        <w:spacing w:line="276" w:lineRule="auto"/>
        <w:ind w:right="193"/>
        <w:jc w:val="center"/>
        <w:rPr>
          <w:rFonts w:ascii="Century Gothic" w:hAnsi="Century Gothic"/>
          <w:b/>
          <w:bCs/>
          <w:i/>
          <w:iCs/>
          <w:color w:val="000000" w:themeColor="text1"/>
          <w:sz w:val="22"/>
          <w:szCs w:val="22"/>
        </w:rPr>
      </w:pPr>
      <w:r w:rsidRPr="00D2561F">
        <w:rPr>
          <w:rFonts w:ascii="Century Gothic" w:hAnsi="Century Gothic"/>
          <w:b/>
          <w:bCs/>
          <w:color w:val="000000" w:themeColor="text1"/>
          <w:sz w:val="22"/>
          <w:szCs w:val="22"/>
        </w:rPr>
        <w:t>PROYECTO DE LEY ESTATUTARIA NO. 497 DE 2025 CÁMARA - NO. 069 DE 2025 SENADO</w:t>
      </w:r>
    </w:p>
    <w:p w14:paraId="410F6DF4" w14:textId="36436799" w:rsidR="000A17CD" w:rsidRPr="00D2561F" w:rsidRDefault="000A17CD" w:rsidP="008032FD">
      <w:pPr>
        <w:spacing w:line="276" w:lineRule="auto"/>
        <w:ind w:right="193"/>
        <w:jc w:val="center"/>
        <w:rPr>
          <w:rFonts w:ascii="Century Gothic" w:hAnsi="Century Gothic"/>
          <w:b/>
          <w:bCs/>
          <w:i/>
          <w:iCs/>
          <w:color w:val="000000" w:themeColor="text1"/>
          <w:sz w:val="22"/>
          <w:szCs w:val="22"/>
        </w:rPr>
      </w:pPr>
      <w:r w:rsidRPr="00D2561F">
        <w:rPr>
          <w:rFonts w:ascii="Century Gothic" w:hAnsi="Century Gothic"/>
          <w:b/>
          <w:bCs/>
          <w:i/>
          <w:iCs/>
          <w:color w:val="000000" w:themeColor="text1"/>
          <w:sz w:val="22"/>
          <w:szCs w:val="22"/>
        </w:rPr>
        <w:t>“</w:t>
      </w:r>
      <w:r w:rsidR="00B14FA6" w:rsidRPr="00D2561F">
        <w:rPr>
          <w:rFonts w:ascii="Century Gothic" w:hAnsi="Century Gothic"/>
          <w:b/>
          <w:bCs/>
          <w:i/>
          <w:iCs/>
          <w:color w:val="000000" w:themeColor="text1"/>
          <w:sz w:val="22"/>
          <w:szCs w:val="22"/>
        </w:rPr>
        <w:t>POR MEDIO DE LA CUAL SE CREA EL PROCESO ÚNICO ESPECIAL DE AMPARO ALIMENTARIO Y SE DICTAN OTRAS DISPOSICIONES</w:t>
      </w:r>
      <w:r w:rsidR="00BA73F0" w:rsidRPr="00D2561F">
        <w:rPr>
          <w:rFonts w:ascii="Century Gothic" w:hAnsi="Century Gothic"/>
          <w:b/>
          <w:bCs/>
          <w:i/>
          <w:iCs/>
          <w:color w:val="000000" w:themeColor="text1"/>
          <w:sz w:val="22"/>
          <w:szCs w:val="22"/>
        </w:rPr>
        <w:t>”</w:t>
      </w:r>
    </w:p>
    <w:p w14:paraId="7BAEC126" w14:textId="77777777" w:rsidR="00BA73F0" w:rsidRPr="00D2561F" w:rsidRDefault="00BA73F0" w:rsidP="008032FD">
      <w:pPr>
        <w:spacing w:line="276" w:lineRule="auto"/>
        <w:ind w:right="193"/>
        <w:jc w:val="center"/>
        <w:rPr>
          <w:rFonts w:ascii="Century Gothic" w:hAnsi="Century Gothic"/>
          <w:b/>
          <w:bCs/>
          <w:i/>
          <w:iCs/>
          <w:color w:val="000000" w:themeColor="text1"/>
          <w:sz w:val="22"/>
          <w:szCs w:val="22"/>
        </w:rPr>
      </w:pPr>
    </w:p>
    <w:p w14:paraId="7F256A74" w14:textId="1A11855A" w:rsidR="001F6316" w:rsidRPr="00D2561F" w:rsidRDefault="00BA73F0" w:rsidP="008032FD">
      <w:pPr>
        <w:spacing w:line="276" w:lineRule="auto"/>
        <w:ind w:right="193"/>
        <w:jc w:val="center"/>
        <w:rPr>
          <w:rFonts w:ascii="Century Gothic" w:hAnsi="Century Gothic"/>
          <w:b/>
          <w:bCs/>
          <w:color w:val="000000" w:themeColor="text1"/>
          <w:sz w:val="22"/>
          <w:szCs w:val="22"/>
        </w:rPr>
      </w:pPr>
      <w:r w:rsidRPr="00D2561F">
        <w:rPr>
          <w:rFonts w:ascii="Century Gothic" w:hAnsi="Century Gothic"/>
          <w:b/>
          <w:bCs/>
          <w:i/>
          <w:iCs/>
          <w:color w:val="000000" w:themeColor="text1"/>
          <w:sz w:val="22"/>
          <w:szCs w:val="22"/>
        </w:rPr>
        <w:t>E</w:t>
      </w:r>
      <w:r w:rsidR="00B14FA6" w:rsidRPr="00D2561F">
        <w:rPr>
          <w:rFonts w:ascii="Century Gothic" w:hAnsi="Century Gothic"/>
          <w:b/>
          <w:bCs/>
          <w:color w:val="000000" w:themeColor="text1"/>
          <w:sz w:val="22"/>
          <w:szCs w:val="22"/>
        </w:rPr>
        <w:t xml:space="preserve">L CONGRESO DE COLOMBIA </w:t>
      </w:r>
    </w:p>
    <w:p w14:paraId="7F256A75" w14:textId="77777777" w:rsidR="001F6316" w:rsidRPr="00D2561F" w:rsidRDefault="00B14FA6" w:rsidP="008032FD">
      <w:pPr>
        <w:spacing w:line="276" w:lineRule="auto"/>
        <w:ind w:right="193"/>
        <w:jc w:val="center"/>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 xml:space="preserve">DECRETA: </w:t>
      </w:r>
    </w:p>
    <w:p w14:paraId="7F256A76" w14:textId="77777777" w:rsidR="001F6316" w:rsidRPr="00D2561F" w:rsidRDefault="001F6316" w:rsidP="008032FD">
      <w:pPr>
        <w:spacing w:line="276" w:lineRule="auto"/>
        <w:jc w:val="both"/>
        <w:rPr>
          <w:rFonts w:ascii="Century Gothic" w:hAnsi="Century Gothic"/>
          <w:b/>
          <w:bCs/>
          <w:color w:val="000000" w:themeColor="text1"/>
          <w:sz w:val="22"/>
          <w:szCs w:val="22"/>
          <w:highlight w:val="white"/>
        </w:rPr>
      </w:pPr>
    </w:p>
    <w:p w14:paraId="7F256A77" w14:textId="77777777" w:rsidR="001F6316" w:rsidRPr="00D2561F" w:rsidRDefault="00B14FA6" w:rsidP="008032FD">
      <w:pPr>
        <w:spacing w:line="276" w:lineRule="auto"/>
        <w:jc w:val="center"/>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CAPÍTULO I</w:t>
      </w:r>
    </w:p>
    <w:p w14:paraId="7F256A78" w14:textId="77777777" w:rsidR="001F6316" w:rsidRPr="00D2561F" w:rsidRDefault="00B14FA6" w:rsidP="008032FD">
      <w:pPr>
        <w:spacing w:line="276" w:lineRule="auto"/>
        <w:jc w:val="center"/>
        <w:rPr>
          <w:rFonts w:ascii="Century Gothic" w:hAnsi="Century Gothic"/>
          <w:b/>
          <w:bCs/>
          <w:color w:val="000000" w:themeColor="text1"/>
          <w:sz w:val="22"/>
          <w:szCs w:val="22"/>
          <w:highlight w:val="white"/>
        </w:rPr>
      </w:pPr>
      <w:r w:rsidRPr="00D2561F">
        <w:rPr>
          <w:rFonts w:ascii="Century Gothic" w:hAnsi="Century Gothic"/>
          <w:b/>
          <w:bCs/>
          <w:color w:val="000000" w:themeColor="text1"/>
          <w:sz w:val="22"/>
          <w:szCs w:val="22"/>
        </w:rPr>
        <w:t>DISPOSICIONES GENERALES</w:t>
      </w:r>
    </w:p>
    <w:p w14:paraId="7F256A79" w14:textId="77777777" w:rsidR="001F6316" w:rsidRPr="00D2561F" w:rsidRDefault="001F6316" w:rsidP="008032FD">
      <w:pPr>
        <w:spacing w:line="276" w:lineRule="auto"/>
        <w:ind w:right="193"/>
        <w:jc w:val="both"/>
        <w:rPr>
          <w:rFonts w:ascii="Century Gothic" w:hAnsi="Century Gothic"/>
          <w:color w:val="000000" w:themeColor="text1"/>
          <w:sz w:val="22"/>
          <w:szCs w:val="22"/>
        </w:rPr>
      </w:pPr>
    </w:p>
    <w:p w14:paraId="25DF76B2" w14:textId="071EF2DC" w:rsidR="00BA73F0" w:rsidRPr="00D2561F" w:rsidRDefault="00B14FA6" w:rsidP="008032FD">
      <w:p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ARTÍCULO 1º. OBJETO DE LA LEY</w:t>
      </w:r>
      <w:r w:rsidR="000B5DE1" w:rsidRPr="00D2561F">
        <w:rPr>
          <w:rFonts w:ascii="Century Gothic" w:hAnsi="Century Gothic"/>
          <w:b/>
          <w:bCs/>
          <w:color w:val="000000" w:themeColor="text1"/>
          <w:sz w:val="22"/>
          <w:szCs w:val="22"/>
        </w:rPr>
        <w:t>.</w:t>
      </w:r>
      <w:r w:rsidR="00BA73F0" w:rsidRPr="00D2561F">
        <w:rPr>
          <w:rFonts w:ascii="Century Gothic" w:hAnsi="Century Gothic"/>
          <w:b/>
          <w:bCs/>
          <w:color w:val="000000" w:themeColor="text1"/>
          <w:sz w:val="22"/>
          <w:szCs w:val="22"/>
        </w:rPr>
        <w:t xml:space="preserve"> </w:t>
      </w:r>
      <w:r w:rsidR="00BA73F0" w:rsidRPr="00D2561F">
        <w:rPr>
          <w:rFonts w:ascii="Century Gothic" w:hAnsi="Century Gothic"/>
          <w:color w:val="000000" w:themeColor="text1"/>
          <w:sz w:val="22"/>
          <w:szCs w:val="22"/>
        </w:rPr>
        <w:t>La presente ley tiene por objeto crear y regular el Proceso Único Especial de Amparo Alimentario, que puede comprender una fase declarativa destinada a la fijación de la cuota alimentaria cuando no exista título que preste mérito ejecutivo, y/o una fase ejecutiva orientada al cumplimiento y la ejecución de las obligaciones alimentarias exigibles cuando exista título que preste mérito ejecutivo.</w:t>
      </w:r>
    </w:p>
    <w:p w14:paraId="08D94A6F" w14:textId="77777777" w:rsidR="00BA73F0" w:rsidRPr="00D2561F" w:rsidRDefault="00BA73F0" w:rsidP="008032FD">
      <w:pPr>
        <w:pBdr>
          <w:top w:val="nil"/>
          <w:left w:val="nil"/>
          <w:bottom w:val="nil"/>
          <w:right w:val="nil"/>
          <w:between w:val="nil"/>
        </w:pBdr>
        <w:spacing w:line="276" w:lineRule="auto"/>
        <w:jc w:val="both"/>
        <w:rPr>
          <w:rFonts w:ascii="Century Gothic" w:hAnsi="Century Gothic"/>
          <w:color w:val="000000" w:themeColor="text1"/>
          <w:sz w:val="22"/>
          <w:szCs w:val="22"/>
        </w:rPr>
      </w:pPr>
    </w:p>
    <w:p w14:paraId="1309278B" w14:textId="77777777" w:rsidR="00BA73F0" w:rsidRPr="00D2561F" w:rsidRDefault="00BA73F0" w:rsidP="008032FD">
      <w:p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El Proceso Único Especial de Amparo Alimentario procederá en los eventos de incumplimiento grave o reiterado de la obligación alimentaria previstos en esta ley, con el fin de asegurar la protección inmediata y efectiva de los derechos fundamentales de los titulares del derecho de alimentos.</w:t>
      </w:r>
    </w:p>
    <w:p w14:paraId="613EC135" w14:textId="77777777" w:rsidR="00BA73F0" w:rsidRPr="00D2561F" w:rsidRDefault="00BA73F0" w:rsidP="008032FD">
      <w:pPr>
        <w:pBdr>
          <w:top w:val="nil"/>
          <w:left w:val="nil"/>
          <w:bottom w:val="nil"/>
          <w:right w:val="nil"/>
          <w:between w:val="nil"/>
        </w:pBdr>
        <w:spacing w:line="276" w:lineRule="auto"/>
        <w:jc w:val="both"/>
        <w:rPr>
          <w:rFonts w:ascii="Century Gothic" w:hAnsi="Century Gothic"/>
          <w:color w:val="000000" w:themeColor="text1"/>
          <w:sz w:val="22"/>
          <w:szCs w:val="22"/>
        </w:rPr>
      </w:pPr>
    </w:p>
    <w:p w14:paraId="3F86F38F" w14:textId="77777777" w:rsidR="00BA73F0" w:rsidRPr="00D2561F" w:rsidRDefault="00BA73F0" w:rsidP="008032FD">
      <w:p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Asimismo, la presente ley establece disposiciones especiales y ajustes a las normas procesales aplicables a la fijación, cumplimiento y ejecución de las obligaciones alimentarias.</w:t>
      </w:r>
    </w:p>
    <w:p w14:paraId="373A7E9B" w14:textId="77777777" w:rsidR="00BA73F0" w:rsidRPr="00D2561F" w:rsidRDefault="00BA73F0" w:rsidP="008032FD">
      <w:pPr>
        <w:pBdr>
          <w:top w:val="nil"/>
          <w:left w:val="nil"/>
          <w:bottom w:val="nil"/>
          <w:right w:val="nil"/>
          <w:between w:val="nil"/>
        </w:pBdr>
        <w:spacing w:line="276" w:lineRule="auto"/>
        <w:jc w:val="both"/>
        <w:rPr>
          <w:rFonts w:ascii="Century Gothic" w:hAnsi="Century Gothic"/>
          <w:color w:val="000000" w:themeColor="text1"/>
          <w:sz w:val="22"/>
          <w:szCs w:val="22"/>
        </w:rPr>
      </w:pPr>
    </w:p>
    <w:p w14:paraId="7F256A7C" w14:textId="5D206FE8" w:rsidR="001F6316" w:rsidRPr="00D2561F" w:rsidRDefault="00BA73F0" w:rsidP="008032FD">
      <w:p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Parágrafo.</w:t>
      </w:r>
      <w:r w:rsidRPr="00D2561F">
        <w:rPr>
          <w:rFonts w:ascii="Century Gothic" w:hAnsi="Century Gothic"/>
          <w:color w:val="000000" w:themeColor="text1"/>
          <w:sz w:val="22"/>
          <w:szCs w:val="22"/>
        </w:rPr>
        <w:t xml:space="preserve"> La creación del Proceso Único Especial de Amparo Alimentario no deroga ni sustituye los procesos declarativos, ejecutivos o cualquier otro mecanismo judicial previsto en el ordenamiento jurídico para la reclamación, fijación, modificación o ejecución de obligaciones alimentarias, los cuales continuarán rigiéndose por las disposiciones que les sean aplicables.</w:t>
      </w:r>
    </w:p>
    <w:p w14:paraId="5F11C2DF" w14:textId="77777777" w:rsidR="00F15D6D" w:rsidRPr="00D2561F" w:rsidRDefault="00F15D6D" w:rsidP="008032FD">
      <w:pPr>
        <w:pBdr>
          <w:top w:val="nil"/>
          <w:left w:val="nil"/>
          <w:bottom w:val="nil"/>
          <w:right w:val="nil"/>
          <w:between w:val="nil"/>
        </w:pBdr>
        <w:spacing w:line="276" w:lineRule="auto"/>
        <w:jc w:val="both"/>
        <w:rPr>
          <w:rFonts w:ascii="Century Gothic" w:hAnsi="Century Gothic"/>
          <w:color w:val="000000" w:themeColor="text1"/>
          <w:sz w:val="22"/>
          <w:szCs w:val="22"/>
        </w:rPr>
      </w:pPr>
    </w:p>
    <w:p w14:paraId="13438C10" w14:textId="77777777" w:rsidR="00F15D6D" w:rsidRPr="00D2561F" w:rsidRDefault="00F15D6D"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2º. DEFINICIONES. </w:t>
      </w:r>
      <w:r w:rsidRPr="00D2561F">
        <w:rPr>
          <w:rFonts w:ascii="Century Gothic" w:hAnsi="Century Gothic"/>
          <w:color w:val="000000" w:themeColor="text1"/>
          <w:sz w:val="22"/>
          <w:szCs w:val="22"/>
        </w:rPr>
        <w:t>Para efectos de la presente ley, se establecen las siguientes definiciones:</w:t>
      </w:r>
    </w:p>
    <w:p w14:paraId="2160EA80" w14:textId="77777777" w:rsidR="00F15D6D" w:rsidRPr="00D2561F" w:rsidRDefault="00F15D6D" w:rsidP="008032FD">
      <w:pPr>
        <w:numPr>
          <w:ilvl w:val="4"/>
          <w:numId w:val="27"/>
        </w:numPr>
        <w:pBdr>
          <w:top w:val="nil"/>
          <w:left w:val="nil"/>
          <w:bottom w:val="nil"/>
          <w:right w:val="nil"/>
          <w:between w:val="nil"/>
        </w:pBdr>
        <w:spacing w:line="276" w:lineRule="auto"/>
        <w:ind w:left="284" w:firstLine="0"/>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Alimentos:</w:t>
      </w:r>
      <w:r w:rsidRPr="00D2561F">
        <w:rPr>
          <w:rFonts w:ascii="Century Gothic" w:hAnsi="Century Gothic"/>
          <w:color w:val="000000" w:themeColor="text1"/>
          <w:sz w:val="22"/>
          <w:szCs w:val="22"/>
        </w:rPr>
        <w:t xml:space="preserve"> Además de lo dispuesto en el artículo 24 de la Ley 1098 de 2006 Código de Infancia y Adolescencia o la que haga sus veces</w:t>
      </w:r>
      <w:r w:rsidRPr="00D2561F">
        <w:rPr>
          <w:rFonts w:ascii="Century Gothic" w:hAnsi="Century Gothic"/>
          <w:b/>
          <w:bCs/>
          <w:color w:val="000000" w:themeColor="text1"/>
          <w:sz w:val="22"/>
          <w:szCs w:val="22"/>
          <w:u w:val="single"/>
        </w:rPr>
        <w:t>,</w:t>
      </w:r>
      <w:r w:rsidRPr="00D2561F">
        <w:rPr>
          <w:rFonts w:ascii="Century Gothic" w:hAnsi="Century Gothic"/>
          <w:color w:val="000000" w:themeColor="text1"/>
          <w:sz w:val="22"/>
          <w:szCs w:val="22"/>
        </w:rPr>
        <w:t xml:space="preserve"> así como en  los artículos 411 a 427 de la Ley 84 de 1873 Código Civil Colombiano o la norma que haga sus veces, se entiende por alimentos todo lo indispensable para el sustento, habitación, vestido, asistencia médica, recreación, educación y, en general, todo lo necesario para la vida en condiciones dignas y/o el desarrollo integral de los titulares del derecho de alimentos.</w:t>
      </w:r>
    </w:p>
    <w:p w14:paraId="1E10FC2E" w14:textId="77777777" w:rsidR="00F15D6D" w:rsidRPr="00D2561F" w:rsidRDefault="00F15D6D" w:rsidP="008032FD">
      <w:pPr>
        <w:numPr>
          <w:ilvl w:val="4"/>
          <w:numId w:val="27"/>
        </w:numPr>
        <w:pBdr>
          <w:top w:val="nil"/>
          <w:left w:val="nil"/>
          <w:bottom w:val="nil"/>
          <w:right w:val="nil"/>
          <w:between w:val="nil"/>
        </w:pBdr>
        <w:spacing w:line="276" w:lineRule="auto"/>
        <w:ind w:left="284" w:firstLine="0"/>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Obligación alimentaria:</w:t>
      </w:r>
      <w:r w:rsidRPr="00D2561F">
        <w:rPr>
          <w:rFonts w:ascii="Century Gothic" w:hAnsi="Century Gothic"/>
          <w:color w:val="000000" w:themeColor="text1"/>
          <w:sz w:val="22"/>
          <w:szCs w:val="22"/>
        </w:rPr>
        <w:t xml:space="preserve"> Es aquella que se origina en un vínculo natural, legal o jurídico, y se fundamenta en los principios de solidaridad y reciprocidad, con la premisa de que el acreedor de alimentos no está en la capacidad de asegurarse su propia subsistencia y perdura mientras se conserven las condiciones que la originaron.</w:t>
      </w:r>
      <w:r w:rsidRPr="00D2561F">
        <w:rPr>
          <w:rFonts w:ascii="Century Gothic" w:hAnsi="Century Gothic"/>
          <w:color w:val="000000" w:themeColor="text1"/>
          <w:sz w:val="22"/>
          <w:szCs w:val="22"/>
        </w:rPr>
        <w:br/>
      </w:r>
    </w:p>
    <w:p w14:paraId="0CA735B9" w14:textId="77777777" w:rsidR="00F15D6D" w:rsidRPr="00D2561F" w:rsidRDefault="00F15D6D" w:rsidP="008032FD">
      <w:pPr>
        <w:numPr>
          <w:ilvl w:val="4"/>
          <w:numId w:val="27"/>
        </w:numPr>
        <w:pBdr>
          <w:top w:val="nil"/>
          <w:left w:val="nil"/>
          <w:bottom w:val="nil"/>
          <w:right w:val="nil"/>
          <w:between w:val="nil"/>
        </w:pBdr>
        <w:spacing w:line="276" w:lineRule="auto"/>
        <w:ind w:left="284" w:firstLine="0"/>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Titular del derecho de alimentos:</w:t>
      </w:r>
      <w:r w:rsidRPr="00D2561F">
        <w:rPr>
          <w:rFonts w:ascii="Century Gothic" w:hAnsi="Century Gothic"/>
          <w:color w:val="000000" w:themeColor="text1"/>
          <w:sz w:val="22"/>
          <w:szCs w:val="22"/>
        </w:rPr>
        <w:t xml:space="preserve"> Son titulares del derecho de alimentos aquellas personas que en virtud de lo normado en el Artículo 411 del Código Civil o la jurisprudencia aplicable, tengan el derecho como acreedoras de una obligación alimentaria.</w:t>
      </w:r>
      <w:r w:rsidRPr="00D2561F">
        <w:rPr>
          <w:rFonts w:ascii="Century Gothic" w:hAnsi="Century Gothic"/>
          <w:color w:val="000000" w:themeColor="text1"/>
          <w:sz w:val="22"/>
          <w:szCs w:val="22"/>
        </w:rPr>
        <w:br/>
      </w:r>
    </w:p>
    <w:p w14:paraId="05C4B8DA" w14:textId="77777777" w:rsidR="00F15D6D" w:rsidRPr="00D2561F" w:rsidRDefault="00F15D6D" w:rsidP="008032FD">
      <w:pPr>
        <w:numPr>
          <w:ilvl w:val="4"/>
          <w:numId w:val="27"/>
        </w:numPr>
        <w:pBdr>
          <w:top w:val="nil"/>
          <w:left w:val="nil"/>
          <w:bottom w:val="nil"/>
          <w:right w:val="nil"/>
          <w:between w:val="nil"/>
        </w:pBdr>
        <w:spacing w:line="276" w:lineRule="auto"/>
        <w:ind w:left="284" w:firstLine="0"/>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 xml:space="preserve">Persona obligada a dar alimentos: </w:t>
      </w:r>
      <w:r w:rsidRPr="00D2561F">
        <w:rPr>
          <w:rFonts w:ascii="Century Gothic" w:hAnsi="Century Gothic"/>
          <w:color w:val="000000" w:themeColor="text1"/>
          <w:sz w:val="22"/>
          <w:szCs w:val="22"/>
        </w:rPr>
        <w:t>Personas que deben cumplir con una obligación alimentaria reconocida en virtud de lo</w:t>
      </w:r>
      <w:r w:rsidRPr="00D2561F">
        <w:rPr>
          <w:rFonts w:ascii="Century Gothic" w:hAnsi="Century Gothic"/>
          <w:b/>
          <w:bCs/>
          <w:color w:val="000000" w:themeColor="text1"/>
          <w:sz w:val="22"/>
          <w:szCs w:val="22"/>
        </w:rPr>
        <w:t xml:space="preserve"> </w:t>
      </w:r>
      <w:r w:rsidRPr="00D2561F">
        <w:rPr>
          <w:rFonts w:ascii="Century Gothic" w:hAnsi="Century Gothic"/>
          <w:color w:val="000000" w:themeColor="text1"/>
          <w:sz w:val="22"/>
          <w:szCs w:val="22"/>
        </w:rPr>
        <w:t>normado en el Artículo 411 del Código Civil o la jurisprudencia aplicable.</w:t>
      </w:r>
      <w:r w:rsidRPr="00D2561F">
        <w:rPr>
          <w:rFonts w:ascii="Century Gothic" w:hAnsi="Century Gothic"/>
          <w:color w:val="000000" w:themeColor="text1"/>
          <w:sz w:val="22"/>
          <w:szCs w:val="22"/>
        </w:rPr>
        <w:br/>
      </w:r>
    </w:p>
    <w:p w14:paraId="66F430F9" w14:textId="77777777" w:rsidR="00F15D6D" w:rsidRPr="00D2561F" w:rsidRDefault="00F15D6D" w:rsidP="008032FD">
      <w:pPr>
        <w:numPr>
          <w:ilvl w:val="4"/>
          <w:numId w:val="27"/>
        </w:numPr>
        <w:pBdr>
          <w:top w:val="nil"/>
          <w:left w:val="nil"/>
          <w:bottom w:val="nil"/>
          <w:right w:val="nil"/>
          <w:between w:val="nil"/>
        </w:pBdr>
        <w:spacing w:line="276" w:lineRule="auto"/>
        <w:ind w:left="284" w:firstLine="0"/>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Deudor alimentario</w:t>
      </w:r>
      <w:r w:rsidRPr="00D2561F">
        <w:rPr>
          <w:rFonts w:ascii="Century Gothic" w:hAnsi="Century Gothic"/>
          <w:color w:val="000000" w:themeColor="text1"/>
          <w:sz w:val="22"/>
          <w:szCs w:val="22"/>
        </w:rPr>
        <w:t>: Personas que se encuentran en mora de cumplir con una obligación alimentaria en virtud de lo normado en el Artículo 411 del Código Civil o la jurisprudencia aplicable. </w:t>
      </w:r>
      <w:r w:rsidRPr="00D2561F">
        <w:rPr>
          <w:rFonts w:ascii="Century Gothic" w:hAnsi="Century Gothic"/>
          <w:color w:val="000000" w:themeColor="text1"/>
          <w:sz w:val="22"/>
          <w:szCs w:val="22"/>
        </w:rPr>
        <w:br/>
      </w:r>
    </w:p>
    <w:p w14:paraId="07684F98" w14:textId="77777777" w:rsidR="00F15D6D" w:rsidRPr="00D2561F" w:rsidRDefault="00F15D6D" w:rsidP="008032FD">
      <w:pPr>
        <w:numPr>
          <w:ilvl w:val="4"/>
          <w:numId w:val="27"/>
        </w:numPr>
        <w:pBdr>
          <w:top w:val="nil"/>
          <w:left w:val="nil"/>
          <w:bottom w:val="nil"/>
          <w:right w:val="nil"/>
          <w:between w:val="nil"/>
        </w:pBdr>
        <w:spacing w:line="276" w:lineRule="auto"/>
        <w:ind w:left="284" w:firstLine="0"/>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 xml:space="preserve">Incumplimiento grave y reiterado de la obligación alimentaria: </w:t>
      </w:r>
      <w:r w:rsidRPr="00D2561F">
        <w:rPr>
          <w:rFonts w:ascii="Century Gothic" w:hAnsi="Century Gothic"/>
          <w:color w:val="000000" w:themeColor="text1"/>
          <w:sz w:val="22"/>
          <w:szCs w:val="22"/>
        </w:rPr>
        <w:t>Existe un incumplimiento grave y reiterado cuando, a pesar de contar con capacidad económica, se configure alguna de las siguientes hipótesis</w:t>
      </w:r>
      <w:r w:rsidRPr="00D2561F">
        <w:rPr>
          <w:rFonts w:ascii="Century Gothic" w:hAnsi="Century Gothic"/>
          <w:b/>
          <w:bCs/>
          <w:color w:val="000000" w:themeColor="text1"/>
          <w:sz w:val="22"/>
          <w:szCs w:val="22"/>
        </w:rPr>
        <w:t>:</w:t>
      </w:r>
    </w:p>
    <w:p w14:paraId="7CCAB514" w14:textId="77777777" w:rsidR="00F15D6D" w:rsidRPr="00D2561F" w:rsidRDefault="00F15D6D" w:rsidP="008032FD">
      <w:pPr>
        <w:pBdr>
          <w:top w:val="nil"/>
          <w:left w:val="nil"/>
          <w:bottom w:val="nil"/>
          <w:right w:val="nil"/>
          <w:between w:val="nil"/>
        </w:pBdr>
        <w:spacing w:line="276" w:lineRule="auto"/>
        <w:ind w:left="284"/>
        <w:jc w:val="both"/>
        <w:rPr>
          <w:rFonts w:ascii="Century Gothic" w:hAnsi="Century Gothic"/>
          <w:b/>
          <w:bCs/>
          <w:color w:val="000000" w:themeColor="text1"/>
          <w:sz w:val="22"/>
          <w:szCs w:val="22"/>
        </w:rPr>
      </w:pPr>
    </w:p>
    <w:p w14:paraId="22D7C6ED" w14:textId="77777777" w:rsidR="00F15D6D" w:rsidRPr="00D2561F" w:rsidRDefault="00F15D6D" w:rsidP="008032FD">
      <w:pPr>
        <w:pStyle w:val="Prrafodelista"/>
        <w:numPr>
          <w:ilvl w:val="3"/>
          <w:numId w:val="12"/>
        </w:numPr>
        <w:pBdr>
          <w:top w:val="nil"/>
          <w:left w:val="nil"/>
          <w:bottom w:val="nil"/>
          <w:right w:val="nil"/>
          <w:between w:val="nil"/>
        </w:pBdr>
        <w:spacing w:line="276" w:lineRule="auto"/>
        <w:ind w:left="993" w:right="474"/>
        <w:jc w:val="both"/>
        <w:rPr>
          <w:rFonts w:ascii="Century Gothic" w:hAnsi="Century Gothic"/>
          <w:color w:val="000000" w:themeColor="text1"/>
          <w:sz w:val="22"/>
          <w:szCs w:val="22"/>
        </w:rPr>
      </w:pPr>
      <w:r w:rsidRPr="00D2561F">
        <w:rPr>
          <w:rFonts w:ascii="Century Gothic" w:hAnsi="Century Gothic"/>
          <w:color w:val="000000" w:themeColor="text1"/>
          <w:sz w:val="22"/>
          <w:szCs w:val="22"/>
        </w:rPr>
        <w:t xml:space="preserve">Cuando sin haberse fijado </w:t>
      </w:r>
      <w:r w:rsidRPr="00D2561F">
        <w:rPr>
          <w:rFonts w:ascii="Century Gothic" w:hAnsi="Century Gothic"/>
          <w:strike/>
          <w:color w:val="000000" w:themeColor="text1"/>
          <w:sz w:val="22"/>
          <w:szCs w:val="22"/>
        </w:rPr>
        <w:t>una</w:t>
      </w:r>
      <w:r w:rsidRPr="00D2561F">
        <w:rPr>
          <w:rFonts w:ascii="Century Gothic" w:hAnsi="Century Gothic"/>
          <w:color w:val="000000" w:themeColor="text1"/>
          <w:sz w:val="22"/>
          <w:szCs w:val="22"/>
        </w:rPr>
        <w:t xml:space="preserve"> cuota alimentaria y existiendo un vínculo jurídico que origina la obligación alimentaria, la persona obligada a dar alimentos o el deudor alimentario se sustraiga de forma total o parcial de dicha obligación, y el demandante demuestre mediante prueba siquiera sumaria que los mecanismos procesales ordinarios no son idóneos o eficaces para proteger el derecho del titular.</w:t>
      </w:r>
    </w:p>
    <w:p w14:paraId="0F9C84CD" w14:textId="77777777" w:rsidR="00F15D6D" w:rsidRPr="00D2561F" w:rsidRDefault="00F15D6D" w:rsidP="008032FD">
      <w:pPr>
        <w:pStyle w:val="Prrafodelista"/>
        <w:numPr>
          <w:ilvl w:val="3"/>
          <w:numId w:val="12"/>
        </w:numPr>
        <w:pBdr>
          <w:top w:val="nil"/>
          <w:left w:val="nil"/>
          <w:bottom w:val="nil"/>
          <w:right w:val="nil"/>
          <w:between w:val="nil"/>
        </w:pBdr>
        <w:spacing w:line="276" w:lineRule="auto"/>
        <w:ind w:left="993" w:right="474"/>
        <w:jc w:val="both"/>
        <w:rPr>
          <w:rFonts w:ascii="Century Gothic" w:hAnsi="Century Gothic"/>
          <w:color w:val="000000" w:themeColor="text1"/>
          <w:sz w:val="22"/>
          <w:szCs w:val="22"/>
        </w:rPr>
      </w:pPr>
      <w:r w:rsidRPr="00D2561F">
        <w:rPr>
          <w:rFonts w:ascii="Century Gothic" w:hAnsi="Century Gothic"/>
          <w:color w:val="000000" w:themeColor="text1"/>
          <w:sz w:val="22"/>
          <w:szCs w:val="22"/>
          <w:highlight w:val="white"/>
        </w:rPr>
        <w:t>Cuando existiendo o no título ejecutivo, las necesidades del titular del derecho de alimentos hayan aumentado por enfermedad grave o huérfana, por circunstancias que comprometan gravemente su salud, o por otras circunstancias excepcionales que deriven en una incapacidad parcial o total debidamente probadas ante el juez, que hagan insuficiente la cuota ya fijada o que justifique su fijación urgente.</w:t>
      </w:r>
    </w:p>
    <w:p w14:paraId="134B134F" w14:textId="3D44B33A" w:rsidR="00F15D6D" w:rsidRPr="00D2561F" w:rsidRDefault="00F15D6D" w:rsidP="008032FD">
      <w:pPr>
        <w:pStyle w:val="Prrafodelista"/>
        <w:numPr>
          <w:ilvl w:val="3"/>
          <w:numId w:val="12"/>
        </w:numPr>
        <w:pBdr>
          <w:top w:val="nil"/>
          <w:left w:val="nil"/>
          <w:bottom w:val="nil"/>
          <w:right w:val="nil"/>
          <w:between w:val="nil"/>
        </w:pBdr>
        <w:spacing w:line="276" w:lineRule="auto"/>
        <w:ind w:left="993" w:right="474"/>
        <w:jc w:val="both"/>
        <w:rPr>
          <w:rFonts w:ascii="Century Gothic" w:hAnsi="Century Gothic"/>
          <w:color w:val="000000" w:themeColor="text1"/>
          <w:sz w:val="22"/>
          <w:szCs w:val="22"/>
        </w:rPr>
      </w:pPr>
      <w:r w:rsidRPr="00D2561F">
        <w:rPr>
          <w:rFonts w:ascii="Century Gothic" w:hAnsi="Century Gothic"/>
          <w:color w:val="000000" w:themeColor="text1"/>
          <w:sz w:val="22"/>
          <w:szCs w:val="22"/>
        </w:rPr>
        <w:t>Cuando existiendo un título ejecutivo que contenga la obligación alimentaria, la persona obligada a dar alimentos se constituya en mora cuando adeude tres (3) o más cuotas alimentarias sucesivas, o seis (6) o más cuotas alimentarias en cualquier tiempo.</w:t>
      </w:r>
    </w:p>
    <w:p w14:paraId="4230675C" w14:textId="37BAFF70" w:rsidR="00F15D6D" w:rsidRPr="00D2561F" w:rsidRDefault="00F15D6D" w:rsidP="008032FD">
      <w:pPr>
        <w:pBdr>
          <w:top w:val="nil"/>
          <w:left w:val="nil"/>
          <w:bottom w:val="nil"/>
          <w:right w:val="nil"/>
          <w:between w:val="nil"/>
        </w:pBdr>
        <w:spacing w:line="276" w:lineRule="auto"/>
        <w:ind w:left="284"/>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u w:val="single"/>
        </w:rPr>
        <w:br/>
      </w:r>
      <w:r w:rsidRPr="00D2561F">
        <w:rPr>
          <w:rFonts w:ascii="Century Gothic" w:hAnsi="Century Gothic"/>
          <w:b/>
          <w:bCs/>
          <w:color w:val="000000" w:themeColor="text1"/>
          <w:sz w:val="22"/>
          <w:szCs w:val="22"/>
        </w:rPr>
        <w:t xml:space="preserve">g. Capacidad Económica de la Persona Obligada a dar Alimentos: </w:t>
      </w:r>
      <w:r w:rsidRPr="00D2561F">
        <w:rPr>
          <w:rFonts w:ascii="Century Gothic" w:hAnsi="Century Gothic"/>
          <w:color w:val="000000" w:themeColor="text1"/>
          <w:sz w:val="22"/>
          <w:szCs w:val="22"/>
        </w:rPr>
        <w:t>Es la aptitud real, actual o potencial de la persona obligada a dar alimentos o del deudor alimentario para cumplir, total o parcialmente, la obligación de alimentos, a partir de sus ingresos, rentas, patrimonio, actividad laboral, capacidad productiva o demás recursos económicos, sin afectar su subsistencia digna.</w:t>
      </w:r>
    </w:p>
    <w:p w14:paraId="55FA0DF6" w14:textId="77777777" w:rsidR="00F15D6D" w:rsidRPr="00D2561F" w:rsidRDefault="00F15D6D" w:rsidP="008032FD">
      <w:pPr>
        <w:pBdr>
          <w:top w:val="nil"/>
          <w:left w:val="nil"/>
          <w:bottom w:val="nil"/>
          <w:right w:val="nil"/>
          <w:between w:val="nil"/>
        </w:pBdr>
        <w:spacing w:line="276" w:lineRule="auto"/>
        <w:jc w:val="both"/>
        <w:rPr>
          <w:rFonts w:ascii="Century Gothic" w:hAnsi="Century Gothic"/>
          <w:color w:val="000000" w:themeColor="text1"/>
          <w:sz w:val="22"/>
          <w:szCs w:val="22"/>
        </w:rPr>
      </w:pPr>
    </w:p>
    <w:p w14:paraId="74F67287" w14:textId="77777777" w:rsidR="00F15D6D" w:rsidRPr="00D2561F" w:rsidRDefault="00F15D6D"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3º. PRINCIPIOS. </w:t>
      </w:r>
      <w:r w:rsidRPr="00D2561F">
        <w:rPr>
          <w:rFonts w:ascii="Century Gothic" w:hAnsi="Century Gothic"/>
          <w:color w:val="000000" w:themeColor="text1"/>
          <w:sz w:val="22"/>
          <w:szCs w:val="22"/>
        </w:rPr>
        <w:t>La presente ley está regida por los principios establecidos en la Constitución Política, la Ley 1257 de 2008, la Ley 1098 de 2006, la Ley 1251 de 2008 y la Ley 1618 de 2013, la Ley 1850 de 2017 y la Ley 2126 de 2021 así como por los siguientes principios: pro persona y pro víctima, corresponsabilidad, participación, justicia restaurativa, debido proceso, imparcialidad, celeridad, prevención, no discriminación, justicia, equidad, libertad y dignidad. </w:t>
      </w:r>
    </w:p>
    <w:p w14:paraId="2D948EEB" w14:textId="77777777" w:rsidR="00F15D6D" w:rsidRPr="00D2561F" w:rsidRDefault="00F15D6D"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La interpretación se realizará adoptando los estándares más altos posibles que garanticen el goce efectivo de los derechos de los acreedores de alimentos que pertenezcan a un grupo de especial protección reconocido en el marco normativo y jurisprudencial vigente.</w:t>
      </w:r>
    </w:p>
    <w:p w14:paraId="7F256A96" w14:textId="209D2C60" w:rsidR="001F6316" w:rsidRPr="00D2561F" w:rsidRDefault="00F15D6D" w:rsidP="008032FD">
      <w:pPr>
        <w:spacing w:line="276" w:lineRule="auto"/>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highlight w:val="white"/>
        </w:rPr>
        <w:t>Parágrafo.</w:t>
      </w:r>
      <w:r w:rsidRPr="00D2561F">
        <w:rPr>
          <w:rFonts w:ascii="Century Gothic" w:hAnsi="Century Gothic"/>
          <w:color w:val="000000" w:themeColor="text1"/>
          <w:sz w:val="22"/>
          <w:szCs w:val="22"/>
          <w:highlight w:val="white"/>
        </w:rPr>
        <w:t xml:space="preserve"> En los casos de violencia económica establecidos en la Ley 1257 de 2008 o las que la modifiquen y/o en los de violencia en el contexto familiar según la Ley 2126 de 2021 o la que la modifique, el juez adoptará las medidas idóneas e inmediatas cuando exista riesgo de revictimización por incumplimiento alimentario.</w:t>
      </w:r>
    </w:p>
    <w:p w14:paraId="7F256A97"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4º. ENFOQUES. </w:t>
      </w:r>
      <w:r w:rsidRPr="00D2561F">
        <w:rPr>
          <w:rFonts w:ascii="Century Gothic" w:hAnsi="Century Gothic"/>
          <w:color w:val="000000" w:themeColor="text1"/>
          <w:sz w:val="22"/>
          <w:szCs w:val="22"/>
        </w:rPr>
        <w:t>La presente ley incorpora de manera transversal los enfoques de igualdad de oportunidades, derechos humanos, participación social, de género, etnicidad, diversidad cultural y desarrollo a lo largo del curso de vida, como principios rectores para el diseño, ejecución y evaluación de las acciones derivadas de la presente ley.</w:t>
      </w:r>
    </w:p>
    <w:p w14:paraId="7F256A98"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A99" w14:textId="77777777" w:rsidR="001F6316" w:rsidRPr="00D2561F" w:rsidRDefault="00B14FA6" w:rsidP="008032FD">
      <w:pPr>
        <w:spacing w:line="276" w:lineRule="auto"/>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 xml:space="preserve">ARTÍCULO 5º. ÁMBITO DE APLICACIÓN. </w:t>
      </w:r>
      <w:r w:rsidRPr="00D2561F">
        <w:rPr>
          <w:rFonts w:ascii="Century Gothic" w:hAnsi="Century Gothic"/>
          <w:color w:val="000000" w:themeColor="text1"/>
          <w:sz w:val="22"/>
          <w:szCs w:val="22"/>
        </w:rPr>
        <w:t>La presente ley se aplicará en todo el territorio nacional cuando la persona obligada a dar alimentos o el deudor alimentario incumpla de manera grave y reiterada la obligación alimentaria.</w:t>
      </w:r>
    </w:p>
    <w:p w14:paraId="7F256A9A" w14:textId="77777777" w:rsidR="001F6316" w:rsidRPr="00D2561F" w:rsidRDefault="001F6316" w:rsidP="008032FD">
      <w:pPr>
        <w:spacing w:line="276" w:lineRule="auto"/>
        <w:jc w:val="center"/>
        <w:rPr>
          <w:rFonts w:ascii="Century Gothic" w:hAnsi="Century Gothic"/>
          <w:b/>
          <w:bCs/>
          <w:color w:val="000000" w:themeColor="text1"/>
          <w:sz w:val="22"/>
          <w:szCs w:val="22"/>
        </w:rPr>
      </w:pPr>
    </w:p>
    <w:p w14:paraId="7F256A9C" w14:textId="77777777" w:rsidR="001F6316" w:rsidRPr="00D2561F" w:rsidRDefault="00B14FA6" w:rsidP="008032FD">
      <w:pPr>
        <w:spacing w:line="276" w:lineRule="auto"/>
        <w:jc w:val="center"/>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CAPÍTULO II</w:t>
      </w:r>
    </w:p>
    <w:p w14:paraId="7F256A9E" w14:textId="77777777" w:rsidR="001F6316" w:rsidRPr="00D2561F" w:rsidRDefault="00B14FA6" w:rsidP="008032FD">
      <w:pPr>
        <w:spacing w:line="276" w:lineRule="auto"/>
        <w:jc w:val="center"/>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AMPARO ALIMENTARIO</w:t>
      </w:r>
    </w:p>
    <w:p w14:paraId="7F256A9F"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AA0"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6º. AMPARO ALIMENTARIO. </w:t>
      </w:r>
      <w:r w:rsidRPr="00D2561F">
        <w:rPr>
          <w:rFonts w:ascii="Century Gothic" w:hAnsi="Century Gothic"/>
          <w:color w:val="000000" w:themeColor="text1"/>
          <w:sz w:val="22"/>
          <w:szCs w:val="22"/>
        </w:rPr>
        <w:t>Es el proceso especial de fijación y/o ejecución de alimentos que tiene por finalidad proteger los derechos de las personas titulares del derecho de alimentos cuando la Persona obligada a dar alimentos o el deudor alimentario incumpla la obligación alimentaria de forma grave y reiterada.</w:t>
      </w:r>
    </w:p>
    <w:p w14:paraId="7F256AA1"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El amparo alimentario de conformidad con lo establecido en la Ley 270 de 1996 o la que la modifique o sustituya, será de conocimiento de la jurisdicción ordinaria en la especialidad civil-familia. </w:t>
      </w:r>
    </w:p>
    <w:p w14:paraId="7F256AA2"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En el amparo alimentario la competencia corresponde en forma privativa al juez civil o de familia, si no existieren en el lugar corresponde la competencia al Promiscuo Municipal del domicilio o residencia del titular de derecho de alimentos o el que haga sus veces.</w:t>
      </w:r>
    </w:p>
    <w:p w14:paraId="7F256AA3" w14:textId="77777777" w:rsidR="001F6316" w:rsidRPr="00D2561F" w:rsidRDefault="001F6316" w:rsidP="008032FD">
      <w:pPr>
        <w:spacing w:line="276" w:lineRule="auto"/>
        <w:jc w:val="both"/>
        <w:rPr>
          <w:rFonts w:ascii="Century Gothic" w:hAnsi="Century Gothic"/>
          <w:color w:val="000000" w:themeColor="text1"/>
          <w:sz w:val="22"/>
          <w:szCs w:val="22"/>
        </w:rPr>
      </w:pPr>
    </w:p>
    <w:p w14:paraId="485AD3A8" w14:textId="77777777" w:rsidR="003A63D0" w:rsidRPr="00D2561F" w:rsidRDefault="003A63D0" w:rsidP="008032FD">
      <w:p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7º. RÉGIMEN PROCESAL Y REMISIÓN NORMATIVA. </w:t>
      </w:r>
      <w:r w:rsidRPr="00D2561F">
        <w:rPr>
          <w:rFonts w:ascii="Century Gothic" w:hAnsi="Century Gothic"/>
          <w:color w:val="000000" w:themeColor="text1"/>
          <w:sz w:val="22"/>
          <w:szCs w:val="22"/>
        </w:rPr>
        <w:t xml:space="preserve"> El Proceso Único Especial de Amparo Alimentario se tramitará con arreglo a los principios de celeridad, prevalencia del derecho sustancial, oficiosidad, inmediación, concentración, economía procesal, contradicción, debido proceso y tutela judicial efectiva. Así como a las siguientes reglas: </w:t>
      </w:r>
    </w:p>
    <w:p w14:paraId="5F76B8A9" w14:textId="77777777" w:rsidR="003A63D0" w:rsidRPr="00D2561F" w:rsidRDefault="003A63D0" w:rsidP="008032FD">
      <w:pPr>
        <w:pBdr>
          <w:top w:val="nil"/>
          <w:left w:val="nil"/>
          <w:bottom w:val="nil"/>
          <w:right w:val="nil"/>
          <w:between w:val="nil"/>
        </w:pBdr>
        <w:spacing w:line="276" w:lineRule="auto"/>
        <w:jc w:val="both"/>
        <w:rPr>
          <w:rFonts w:ascii="Century Gothic" w:hAnsi="Century Gothic"/>
          <w:color w:val="000000" w:themeColor="text1"/>
          <w:sz w:val="22"/>
          <w:szCs w:val="22"/>
        </w:rPr>
      </w:pPr>
    </w:p>
    <w:p w14:paraId="6897030F" w14:textId="77777777" w:rsidR="003A63D0" w:rsidRPr="00D2561F" w:rsidRDefault="003A63D0" w:rsidP="008032FD">
      <w:pPr>
        <w:numPr>
          <w:ilvl w:val="0"/>
          <w:numId w:val="28"/>
        </w:numPr>
        <w:pBdr>
          <w:top w:val="nil"/>
          <w:left w:val="nil"/>
          <w:bottom w:val="nil"/>
          <w:right w:val="nil"/>
          <w:between w:val="nil"/>
        </w:pBdr>
        <w:spacing w:line="276" w:lineRule="auto"/>
        <w:ind w:left="284" w:firstLine="0"/>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Admisión y traslado</w:t>
      </w:r>
      <w:r w:rsidRPr="00D2561F">
        <w:rPr>
          <w:rFonts w:ascii="Century Gothic" w:hAnsi="Century Gothic"/>
          <w:color w:val="000000" w:themeColor="text1"/>
          <w:sz w:val="22"/>
          <w:szCs w:val="22"/>
        </w:rPr>
        <w:t>. Presentada la demanda y verificado el cumplimiento de los requisitos legales, el juez la admitirá dentro de las cuarenta y ocho (48) horas siguientes y correrá traslado a la parte demandada por el término de cinco (5) días hábiles, para que ejerza su derecho de defensa, solicite pruebas y aporte las que pretenda hacer valer.</w:t>
      </w:r>
      <w:r w:rsidRPr="00D2561F">
        <w:rPr>
          <w:rFonts w:ascii="Century Gothic" w:hAnsi="Century Gothic"/>
          <w:color w:val="000000" w:themeColor="text1"/>
          <w:sz w:val="22"/>
          <w:szCs w:val="22"/>
        </w:rPr>
        <w:br/>
      </w:r>
    </w:p>
    <w:p w14:paraId="045D4439" w14:textId="77777777" w:rsidR="003A63D0" w:rsidRPr="00D2561F" w:rsidRDefault="003A63D0" w:rsidP="008032FD">
      <w:pPr>
        <w:numPr>
          <w:ilvl w:val="0"/>
          <w:numId w:val="28"/>
        </w:numPr>
        <w:pBdr>
          <w:top w:val="nil"/>
          <w:left w:val="nil"/>
          <w:bottom w:val="nil"/>
          <w:right w:val="nil"/>
          <w:between w:val="nil"/>
        </w:pBdr>
        <w:spacing w:line="276" w:lineRule="auto"/>
        <w:ind w:left="327" w:firstLine="0"/>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Pruebas</w:t>
      </w:r>
      <w:r w:rsidRPr="00D2561F">
        <w:rPr>
          <w:rFonts w:ascii="Century Gothic" w:hAnsi="Century Gothic"/>
          <w:color w:val="000000" w:themeColor="text1"/>
          <w:sz w:val="22"/>
          <w:szCs w:val="22"/>
        </w:rPr>
        <w:t xml:space="preserve">. Vencido el traslado, el juez decretará de oficio o a solicitud de parte, las pruebas conducentes, útiles y pertinentes. </w:t>
      </w:r>
      <w:r w:rsidRPr="00D2561F">
        <w:rPr>
          <w:rFonts w:ascii="Century Gothic" w:hAnsi="Century Gothic"/>
          <w:color w:val="000000" w:themeColor="text1"/>
          <w:sz w:val="22"/>
          <w:szCs w:val="22"/>
        </w:rPr>
        <w:br/>
        <w:t xml:space="preserve">De las pruebas practicadas, se correrá traslado por escrito a las partes por el término de tres (3) días hábiles para que se pronuncien. </w:t>
      </w:r>
      <w:r w:rsidRPr="00D2561F">
        <w:rPr>
          <w:rFonts w:ascii="Century Gothic" w:hAnsi="Century Gothic"/>
          <w:color w:val="000000" w:themeColor="text1"/>
          <w:sz w:val="22"/>
          <w:szCs w:val="22"/>
        </w:rPr>
        <w:br/>
        <w:t>El juez, en aplicación de los principios de celeridad y prevalencia del derecho sustancial, podrá prescindir de la práctica de pruebas manifiestamente inconducentes, impertinentes, superfluas o dilatorias. Si llegase al convencimiento respecto de la situación litigiosa, podrá proferir el fallo, sin necesidad de practicar las pruebas solicitadas.</w:t>
      </w:r>
    </w:p>
    <w:p w14:paraId="090EF628" w14:textId="77777777" w:rsidR="003A63D0" w:rsidRPr="00D2561F" w:rsidRDefault="003A63D0" w:rsidP="008032FD">
      <w:pPr>
        <w:pBdr>
          <w:top w:val="nil"/>
          <w:left w:val="nil"/>
          <w:bottom w:val="nil"/>
          <w:right w:val="nil"/>
          <w:between w:val="nil"/>
        </w:pBdr>
        <w:spacing w:line="276" w:lineRule="auto"/>
        <w:ind w:left="327"/>
        <w:jc w:val="both"/>
        <w:rPr>
          <w:rFonts w:ascii="Century Gothic" w:hAnsi="Century Gothic"/>
          <w:color w:val="000000" w:themeColor="text1"/>
          <w:sz w:val="22"/>
          <w:szCs w:val="22"/>
        </w:rPr>
      </w:pPr>
      <w:r w:rsidRPr="00D2561F">
        <w:rPr>
          <w:rFonts w:ascii="Century Gothic" w:hAnsi="Century Gothic"/>
          <w:color w:val="000000" w:themeColor="text1"/>
          <w:sz w:val="22"/>
          <w:szCs w:val="22"/>
        </w:rPr>
        <w:t>La carga dinámica de la prueba se aplicará conforme al artículo 167 del Código General del Proceso.</w:t>
      </w:r>
    </w:p>
    <w:p w14:paraId="1E061FE5" w14:textId="77777777" w:rsidR="003A63D0" w:rsidRPr="00D2561F" w:rsidRDefault="003A63D0" w:rsidP="008032FD">
      <w:pPr>
        <w:pBdr>
          <w:top w:val="nil"/>
          <w:left w:val="nil"/>
          <w:bottom w:val="nil"/>
          <w:right w:val="nil"/>
          <w:between w:val="nil"/>
        </w:pBdr>
        <w:spacing w:line="276" w:lineRule="auto"/>
        <w:ind w:left="327"/>
        <w:jc w:val="both"/>
        <w:rPr>
          <w:rFonts w:ascii="Century Gothic" w:hAnsi="Century Gothic"/>
          <w:color w:val="000000" w:themeColor="text1"/>
          <w:sz w:val="22"/>
          <w:szCs w:val="22"/>
        </w:rPr>
      </w:pPr>
    </w:p>
    <w:p w14:paraId="6C0252FB" w14:textId="2627B3BB" w:rsidR="003A63D0" w:rsidRPr="00D2561F" w:rsidRDefault="003A63D0" w:rsidP="008032FD">
      <w:pPr>
        <w:numPr>
          <w:ilvl w:val="0"/>
          <w:numId w:val="28"/>
        </w:numPr>
        <w:pBdr>
          <w:top w:val="nil"/>
          <w:left w:val="nil"/>
          <w:bottom w:val="nil"/>
          <w:right w:val="nil"/>
          <w:between w:val="nil"/>
        </w:pBdr>
        <w:spacing w:line="276" w:lineRule="auto"/>
        <w:ind w:left="327" w:firstLine="0"/>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Sentencia.</w:t>
      </w:r>
      <w:r w:rsidRPr="00D2561F">
        <w:rPr>
          <w:rFonts w:ascii="Century Gothic" w:hAnsi="Century Gothic"/>
          <w:color w:val="000000" w:themeColor="text1"/>
          <w:sz w:val="22"/>
          <w:szCs w:val="22"/>
        </w:rPr>
        <w:t xml:space="preserve">  Vencido el término de traslado de las pruebas o practicadas las que hubieren sido decretadas, el juez proferirá sentencia dentro de los cinco (5) días hábiles, Excepcionalmente, mediante providencia motivada, podrá prorrogar este término hasta por cinco (5) días hábiles adicionales cuando la complejidad del asunto o de la actividad probatoria así lo exija.</w:t>
      </w:r>
      <w:r w:rsidR="00421353" w:rsidRPr="00D2561F">
        <w:rPr>
          <w:rFonts w:ascii="Century Gothic" w:hAnsi="Century Gothic"/>
          <w:color w:val="000000" w:themeColor="text1"/>
          <w:sz w:val="22"/>
          <w:szCs w:val="22"/>
        </w:rPr>
        <w:tab/>
      </w:r>
      <w:r w:rsidRPr="00D2561F">
        <w:rPr>
          <w:rFonts w:ascii="Century Gothic" w:hAnsi="Century Gothic"/>
          <w:color w:val="000000" w:themeColor="text1"/>
          <w:sz w:val="22"/>
          <w:szCs w:val="22"/>
        </w:rPr>
        <w:br/>
      </w:r>
    </w:p>
    <w:p w14:paraId="30364944" w14:textId="1C808D18" w:rsidR="003A63D0" w:rsidRPr="00D2561F" w:rsidRDefault="003A63D0" w:rsidP="008032FD">
      <w:pPr>
        <w:numPr>
          <w:ilvl w:val="0"/>
          <w:numId w:val="28"/>
        </w:numPr>
        <w:pBdr>
          <w:top w:val="nil"/>
          <w:left w:val="nil"/>
          <w:bottom w:val="nil"/>
          <w:right w:val="nil"/>
          <w:between w:val="nil"/>
        </w:pBdr>
        <w:spacing w:line="276" w:lineRule="auto"/>
        <w:ind w:left="327" w:firstLine="0"/>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Impugnación.</w:t>
      </w:r>
      <w:r w:rsidRPr="00D2561F">
        <w:rPr>
          <w:rFonts w:ascii="Century Gothic" w:hAnsi="Century Gothic"/>
          <w:color w:val="000000" w:themeColor="text1"/>
          <w:sz w:val="22"/>
          <w:szCs w:val="22"/>
        </w:rPr>
        <w:t xml:space="preserve"> La sentencia será susceptible de impugnación ante el superior funcional dentro de los tres (3) días hábiles siguientes a su notificación. El superior funcional resolverá en diez (10) días hábiles siguientes a la recepción del expediente.</w:t>
      </w:r>
      <w:r w:rsidRPr="00D2561F">
        <w:rPr>
          <w:rFonts w:ascii="Century Gothic" w:hAnsi="Century Gothic"/>
          <w:color w:val="000000" w:themeColor="text1"/>
          <w:sz w:val="22"/>
          <w:szCs w:val="22"/>
        </w:rPr>
        <w:br/>
      </w:r>
    </w:p>
    <w:p w14:paraId="2DA586B4" w14:textId="5871F3C6" w:rsidR="003A63D0" w:rsidRPr="00D2561F" w:rsidRDefault="003A63D0" w:rsidP="008032FD">
      <w:pPr>
        <w:numPr>
          <w:ilvl w:val="0"/>
          <w:numId w:val="28"/>
        </w:numPr>
        <w:pBdr>
          <w:top w:val="nil"/>
          <w:left w:val="nil"/>
          <w:bottom w:val="nil"/>
          <w:right w:val="nil"/>
          <w:between w:val="nil"/>
        </w:pBdr>
        <w:spacing w:line="276" w:lineRule="auto"/>
        <w:ind w:left="327" w:firstLine="0"/>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Desacato.</w:t>
      </w:r>
      <w:r w:rsidRPr="00D2561F">
        <w:rPr>
          <w:rFonts w:ascii="Century Gothic" w:hAnsi="Century Gothic"/>
          <w:color w:val="000000" w:themeColor="text1"/>
          <w:sz w:val="22"/>
          <w:szCs w:val="22"/>
        </w:rPr>
        <w:t xml:space="preserve"> El incumplimiento de las órdenes impartidas en la sentencia dará lugar al incidente de desacato, conforme los previsto en los artículos 52 y 53 del Decreto Ley 2591 de 1991.</w:t>
      </w:r>
      <w:r w:rsidRPr="00D2561F">
        <w:rPr>
          <w:rFonts w:ascii="Century Gothic" w:hAnsi="Century Gothic"/>
          <w:color w:val="000000" w:themeColor="text1"/>
          <w:sz w:val="22"/>
          <w:szCs w:val="22"/>
        </w:rPr>
        <w:tab/>
      </w:r>
      <w:r w:rsidRPr="00D2561F">
        <w:rPr>
          <w:rFonts w:ascii="Century Gothic" w:hAnsi="Century Gothic"/>
          <w:color w:val="000000" w:themeColor="text1"/>
          <w:sz w:val="22"/>
          <w:szCs w:val="22"/>
        </w:rPr>
        <w:br/>
      </w:r>
    </w:p>
    <w:p w14:paraId="422D686E" w14:textId="77777777" w:rsidR="003A63D0" w:rsidRPr="00D2561F" w:rsidRDefault="003A63D0" w:rsidP="008032FD">
      <w:pPr>
        <w:numPr>
          <w:ilvl w:val="0"/>
          <w:numId w:val="28"/>
        </w:numPr>
        <w:pBdr>
          <w:top w:val="nil"/>
          <w:left w:val="nil"/>
          <w:bottom w:val="nil"/>
          <w:right w:val="nil"/>
          <w:between w:val="nil"/>
        </w:pBdr>
        <w:spacing w:line="276" w:lineRule="auto"/>
        <w:ind w:left="327" w:firstLine="0"/>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Cosa juzgada.</w:t>
      </w:r>
      <w:r w:rsidRPr="00D2561F">
        <w:rPr>
          <w:rFonts w:ascii="Century Gothic" w:hAnsi="Century Gothic"/>
          <w:color w:val="000000" w:themeColor="text1"/>
          <w:sz w:val="22"/>
          <w:szCs w:val="22"/>
        </w:rPr>
        <w:t xml:space="preserve"> Las decisiones adoptadas dentro del Proceso Único Especial de Amparo Alimentario harán tránsito a cosa juzgada respecto de los hechos y circunstancias examinados en el proceso, sin perjuicio de su revisión, modificación o actualización cuando sobrevengan circunstancias nuevas que afecten la obligación alimentaria o las condiciones de las partes.</w:t>
      </w:r>
    </w:p>
    <w:p w14:paraId="630C10E9" w14:textId="77777777" w:rsidR="003A63D0" w:rsidRPr="00D2561F" w:rsidRDefault="003A63D0" w:rsidP="008032FD">
      <w:pPr>
        <w:pBdr>
          <w:top w:val="nil"/>
          <w:left w:val="nil"/>
          <w:bottom w:val="nil"/>
          <w:right w:val="nil"/>
          <w:between w:val="nil"/>
        </w:pBdr>
        <w:spacing w:line="276" w:lineRule="auto"/>
        <w:ind w:left="327"/>
        <w:jc w:val="both"/>
        <w:rPr>
          <w:rFonts w:ascii="Century Gothic" w:hAnsi="Century Gothic"/>
          <w:color w:val="000000" w:themeColor="text1"/>
          <w:sz w:val="22"/>
          <w:szCs w:val="22"/>
        </w:rPr>
      </w:pPr>
    </w:p>
    <w:p w14:paraId="60F1A963" w14:textId="7338F593" w:rsidR="003A63D0" w:rsidRPr="00D2561F" w:rsidRDefault="003A63D0" w:rsidP="008032FD">
      <w:p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Parágrafo 1</w:t>
      </w:r>
      <w:r w:rsidRPr="00D2561F">
        <w:rPr>
          <w:rFonts w:ascii="Century Gothic" w:hAnsi="Century Gothic"/>
          <w:color w:val="000000" w:themeColor="text1"/>
          <w:sz w:val="22"/>
          <w:szCs w:val="22"/>
        </w:rPr>
        <w:t xml:space="preserve">. </w:t>
      </w:r>
      <w:r w:rsidR="00266902" w:rsidRPr="00D2561F">
        <w:rPr>
          <w:rFonts w:ascii="Century Gothic" w:hAnsi="Century Gothic"/>
          <w:color w:val="000000" w:themeColor="text1"/>
          <w:sz w:val="20"/>
          <w:szCs w:val="20"/>
        </w:rPr>
        <w:t>En lo no previsto en el presente artículo, el amparo alimentario se regirá por las normas del Decreto Ley 2591 de 1991, en cuanto resulten compatibles con su naturaleza. No serán aplicables las reglas de procedibilidad y subsidiariedad del artículo 6 del mismo decreto.</w:t>
      </w:r>
      <w:r w:rsidR="00266902" w:rsidRPr="00D2561F">
        <w:rPr>
          <w:color w:val="000000" w:themeColor="text1"/>
        </w:rPr>
        <w:t xml:space="preserve"> </w:t>
      </w:r>
      <w:r w:rsidR="00266902" w:rsidRPr="00D2561F">
        <w:rPr>
          <w:rFonts w:ascii="Century Gothic" w:hAnsi="Century Gothic"/>
          <w:color w:val="000000" w:themeColor="text1"/>
          <w:sz w:val="20"/>
          <w:szCs w:val="20"/>
        </w:rPr>
        <w:t>Así mismo el juez tendrá los poderes propios de un juez constitucional para la protección y garantía efectiva de los derechos comprometidos.</w:t>
      </w:r>
      <w:r w:rsidR="00266902" w:rsidRPr="00D2561F">
        <w:rPr>
          <w:rFonts w:ascii="Century Gothic" w:hAnsi="Century Gothic"/>
          <w:b/>
          <w:bCs/>
          <w:color w:val="000000" w:themeColor="text1"/>
          <w:sz w:val="20"/>
          <w:szCs w:val="20"/>
        </w:rPr>
        <w:tab/>
      </w:r>
      <w:r w:rsidR="00266902" w:rsidRPr="00D2561F">
        <w:rPr>
          <w:rFonts w:ascii="Century Gothic" w:hAnsi="Century Gothic"/>
          <w:b/>
          <w:bCs/>
          <w:color w:val="000000" w:themeColor="text1"/>
          <w:sz w:val="20"/>
          <w:szCs w:val="20"/>
        </w:rPr>
        <w:br/>
      </w:r>
    </w:p>
    <w:p w14:paraId="31FC26A3" w14:textId="77777777" w:rsidR="003A63D0" w:rsidRPr="00D2561F" w:rsidRDefault="003A63D0"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Parágrafo 2.</w:t>
      </w:r>
      <w:r w:rsidRPr="00D2561F">
        <w:rPr>
          <w:rFonts w:ascii="Century Gothic" w:hAnsi="Century Gothic"/>
          <w:color w:val="000000" w:themeColor="text1"/>
          <w:sz w:val="22"/>
          <w:szCs w:val="22"/>
        </w:rPr>
        <w:t xml:space="preserve"> Las providencias proferidas dentro del Proceso Único Especial de Amparo Alimentario no estarán sujetas al trámite de selección ni a la eventual revisión por parte de la Corte Constitucional</w:t>
      </w:r>
    </w:p>
    <w:p w14:paraId="316315BB" w14:textId="77777777" w:rsidR="003A63D0" w:rsidRPr="00D2561F" w:rsidRDefault="003A63D0" w:rsidP="008032FD">
      <w:pPr>
        <w:spacing w:line="276" w:lineRule="auto"/>
        <w:jc w:val="both"/>
        <w:rPr>
          <w:rFonts w:ascii="Century Gothic" w:hAnsi="Century Gothic"/>
          <w:color w:val="000000" w:themeColor="text1"/>
          <w:sz w:val="22"/>
          <w:szCs w:val="22"/>
        </w:rPr>
      </w:pPr>
    </w:p>
    <w:p w14:paraId="41456A98" w14:textId="77777777" w:rsidR="003A63D0" w:rsidRPr="00D2561F" w:rsidRDefault="003A63D0"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Parágrafo 3.</w:t>
      </w:r>
      <w:r w:rsidRPr="00D2561F">
        <w:rPr>
          <w:rFonts w:ascii="Century Gothic" w:hAnsi="Century Gothic"/>
          <w:color w:val="000000" w:themeColor="text1"/>
          <w:sz w:val="22"/>
          <w:szCs w:val="22"/>
        </w:rPr>
        <w:t xml:space="preserve"> En el auto que resuelve el incidente de desacato el juez atendiendo a los principios de razonabilidad y proporcionalidad podrá modificar o complementar las órdenes necesarias para garantizar la efectividad material de la sentencia. </w:t>
      </w:r>
    </w:p>
    <w:p w14:paraId="1F1723E2" w14:textId="77777777" w:rsidR="003A63D0" w:rsidRPr="00D2561F" w:rsidRDefault="003A63D0" w:rsidP="008032FD">
      <w:pPr>
        <w:spacing w:line="276" w:lineRule="auto"/>
        <w:jc w:val="both"/>
        <w:rPr>
          <w:rFonts w:ascii="Century Gothic" w:hAnsi="Century Gothic"/>
          <w:color w:val="000000" w:themeColor="text1"/>
          <w:sz w:val="22"/>
          <w:szCs w:val="22"/>
        </w:rPr>
      </w:pPr>
    </w:p>
    <w:p w14:paraId="55C866B3" w14:textId="77777777" w:rsidR="003A63D0" w:rsidRPr="00D2561F" w:rsidRDefault="003A63D0" w:rsidP="008032FD">
      <w:pP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Con el fin de garantizar el cumplimiento efectivo y oportuno de las obligaciones alimentarias reconocidas en la sentencia, el juez podrá, en cualquier etapa de ejecución o durante el trámite del incidente de desacato, ordenar la aplicación de los mecanismos de pago por libranza, descuento directo, retención o giro previstos en la Ley 2242 de 2022 y en las normas que la reglamenten, modifiquen o sustituyan.</w:t>
      </w:r>
    </w:p>
    <w:p w14:paraId="0418B374" w14:textId="77777777" w:rsidR="003A63D0" w:rsidRPr="00D2561F" w:rsidRDefault="003A63D0" w:rsidP="008032FD">
      <w:pPr>
        <w:spacing w:line="276" w:lineRule="auto"/>
        <w:jc w:val="both"/>
        <w:rPr>
          <w:rFonts w:ascii="Century Gothic" w:hAnsi="Century Gothic"/>
          <w:color w:val="000000" w:themeColor="text1"/>
          <w:sz w:val="22"/>
          <w:szCs w:val="22"/>
        </w:rPr>
      </w:pPr>
    </w:p>
    <w:p w14:paraId="42A91520" w14:textId="77777777" w:rsidR="003A63D0" w:rsidRPr="00D2561F" w:rsidRDefault="003A63D0" w:rsidP="008032FD">
      <w:pP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Para tal efecto, el juez podrá impartir las órdenes necesarias a los empleadores, contratantes, entidades pagadoras o terceros obligados por la ley, quienes deberán dar cumplimiento a la medida en los términos establecidos en la citada normativa.</w:t>
      </w:r>
    </w:p>
    <w:p w14:paraId="6B9C3800" w14:textId="77777777" w:rsidR="003A63D0" w:rsidRPr="00D2561F" w:rsidRDefault="003A63D0" w:rsidP="008032FD">
      <w:pPr>
        <w:spacing w:line="276" w:lineRule="auto"/>
        <w:jc w:val="both"/>
        <w:rPr>
          <w:rFonts w:ascii="Century Gothic" w:hAnsi="Century Gothic"/>
          <w:color w:val="000000" w:themeColor="text1"/>
          <w:sz w:val="22"/>
          <w:szCs w:val="22"/>
        </w:rPr>
      </w:pPr>
    </w:p>
    <w:p w14:paraId="7F256AB0"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ARTÍCULO 8º.  PROCEDENCIA.</w:t>
      </w:r>
      <w:r w:rsidRPr="00D2561F">
        <w:rPr>
          <w:rFonts w:ascii="Century Gothic" w:hAnsi="Century Gothic"/>
          <w:color w:val="000000" w:themeColor="text1"/>
          <w:sz w:val="22"/>
          <w:szCs w:val="22"/>
        </w:rPr>
        <w:t xml:space="preserve"> El amparo alimentario es procedente cuando el titular del derecho de alimentos demanda a causa del incumplimiento grave y reiterado de la obligación alimentaria, directamente o a través de su representante legal.</w:t>
      </w:r>
    </w:p>
    <w:p w14:paraId="7F256AB1"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Parágrafo.</w:t>
      </w:r>
      <w:r w:rsidRPr="00D2561F">
        <w:rPr>
          <w:rFonts w:ascii="Century Gothic" w:hAnsi="Century Gothic"/>
          <w:color w:val="000000" w:themeColor="text1"/>
          <w:sz w:val="22"/>
          <w:szCs w:val="22"/>
        </w:rPr>
        <w:t xml:space="preserve"> Se deberá anexar prueba del vínculo que origina la obligación alimentaria. Si existiere título ejecutivo, sea este acuerdo conciliatorio, sentencia u acuerdo privado</w:t>
      </w:r>
      <w:r w:rsidRPr="00D2561F">
        <w:rPr>
          <w:rFonts w:ascii="Century Gothic" w:hAnsi="Century Gothic"/>
          <w:color w:val="000000" w:themeColor="text1"/>
          <w:sz w:val="22"/>
          <w:szCs w:val="22"/>
          <w:highlight w:val="white"/>
        </w:rPr>
        <w:t xml:space="preserve">, </w:t>
      </w:r>
      <w:r w:rsidRPr="00D2561F">
        <w:rPr>
          <w:rFonts w:ascii="Century Gothic" w:hAnsi="Century Gothic"/>
          <w:color w:val="000000" w:themeColor="text1"/>
          <w:sz w:val="22"/>
          <w:szCs w:val="22"/>
        </w:rPr>
        <w:t>éste deberá aportarse. Para ninguno de los supuestos se exigirá apoderado judicial para la presentación del amparo.</w:t>
      </w:r>
    </w:p>
    <w:p w14:paraId="7F256AB2"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AB3"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9º. REPARTO DEL PROCESO ESPECIAL DE FIJACIÓN Y/O EJECUCIÓN DE ALIMENTOS. </w:t>
      </w:r>
      <w:r w:rsidRPr="00D2561F">
        <w:rPr>
          <w:rFonts w:ascii="Century Gothic" w:hAnsi="Century Gothic"/>
          <w:color w:val="000000" w:themeColor="text1"/>
          <w:sz w:val="22"/>
          <w:szCs w:val="22"/>
        </w:rPr>
        <w:t>El Consejo Superior de la Judicatura deberá expedir las reglas de reparto del proceso de amparo alimentario en los seis (06) meses siguientes a la entrada en vigencia de esta ley.</w:t>
      </w:r>
    </w:p>
    <w:p w14:paraId="5FFC6F1C" w14:textId="77777777" w:rsidR="000C0B48" w:rsidRPr="00D2561F" w:rsidRDefault="000C0B48"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Para efectos exclusivos de la asignación de carga judicial y del sistema de reparto, el Proceso Único de Amparo Alimentario se contabilizará como una (1) acción de tutela, sin que ello implique asimilación de su naturaleza jurídica ni de su régimen procesal.</w:t>
      </w:r>
    </w:p>
    <w:p w14:paraId="7F256AB5"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10º. MEDIDAS PROVISIONALES. </w:t>
      </w:r>
      <w:r w:rsidRPr="00D2561F">
        <w:rPr>
          <w:rFonts w:ascii="Century Gothic" w:hAnsi="Century Gothic"/>
          <w:color w:val="000000" w:themeColor="text1"/>
          <w:sz w:val="22"/>
          <w:szCs w:val="22"/>
        </w:rPr>
        <w:t>Desde la presentación del amparo alimentario, cuando el juez expresamente lo considere necesario y urgente para proteger el derecho a recibir alimentos y no hacer ilusorio el efecto de un eventual fallo, podrá ordenar el embargo y las medidas que considere necesarias de oficio o a petición de parte. </w:t>
      </w:r>
    </w:p>
    <w:p w14:paraId="7F256AB6"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 xml:space="preserve">Asimismo, en el evento en que únicamente se pretenda la ejecución de la obligación alimentaria clara, expresa y </w:t>
      </w:r>
      <w:r w:rsidRPr="00D2561F">
        <w:rPr>
          <w:rFonts w:ascii="Century Gothic" w:hAnsi="Century Gothic"/>
          <w:color w:val="000000" w:themeColor="text1"/>
          <w:sz w:val="22"/>
          <w:szCs w:val="22"/>
          <w:highlight w:val="white"/>
        </w:rPr>
        <w:t>actualmente</w:t>
      </w:r>
      <w:r w:rsidRPr="00D2561F">
        <w:rPr>
          <w:rFonts w:ascii="Century Gothic" w:hAnsi="Century Gothic"/>
          <w:color w:val="000000" w:themeColor="text1"/>
          <w:sz w:val="22"/>
          <w:szCs w:val="22"/>
        </w:rPr>
        <w:t xml:space="preserve"> exigible, el juez librará mandamiento de pago a favor del titular del derecho de alimentos.</w:t>
      </w:r>
    </w:p>
    <w:p w14:paraId="7F256AB7"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El juez podrá de oficio o a petición de parte por resolución debidamente fundada, hacer cesar en cualquier momento la autorización de ejecución o las otras medidas cautelares que hubieran dictado.</w:t>
      </w:r>
    </w:p>
    <w:p w14:paraId="7F256AB8"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AB9"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Parágrafo.</w:t>
      </w:r>
      <w:r w:rsidRPr="00D2561F">
        <w:rPr>
          <w:rFonts w:ascii="Century Gothic" w:hAnsi="Century Gothic"/>
          <w:color w:val="000000" w:themeColor="text1"/>
          <w:sz w:val="22"/>
          <w:szCs w:val="22"/>
        </w:rPr>
        <w:t xml:space="preserve"> Para efectos de este artículo, el juez podrá, además, hacer uso de las medidas especiales establecidas en el artículo 129 de la Ley 1098 de 2006 "Código de la Infancia y la Adolescencia", así como de las disposiciones previstas por la Ley 2097 de 2021, la cual crea el Registro de Deudores Alimentarios Morosos (REDAM), a fin de asegurar el cumplimiento de la obligación alimentaria y la efectividad de las medidas adoptadas.</w:t>
      </w:r>
    </w:p>
    <w:p w14:paraId="7F256ABA" w14:textId="77777777" w:rsidR="001F6316" w:rsidRPr="00D2561F" w:rsidRDefault="001F6316" w:rsidP="008032FD">
      <w:pPr>
        <w:spacing w:line="276" w:lineRule="auto"/>
        <w:rPr>
          <w:rFonts w:ascii="Century Gothic" w:hAnsi="Century Gothic"/>
          <w:color w:val="000000" w:themeColor="text1"/>
          <w:sz w:val="22"/>
          <w:szCs w:val="22"/>
        </w:rPr>
      </w:pPr>
    </w:p>
    <w:p w14:paraId="7F256ABB"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ARTÍCULO 11º. PROCESO DE AMPARO ALIMENTARIO DE NATURALEZA EJECUTIVA.</w:t>
      </w:r>
      <w:r w:rsidRPr="00D2561F">
        <w:rPr>
          <w:rFonts w:ascii="Century Gothic" w:hAnsi="Century Gothic"/>
          <w:color w:val="000000" w:themeColor="text1"/>
          <w:sz w:val="22"/>
          <w:szCs w:val="22"/>
        </w:rPr>
        <w:t xml:space="preserve"> Cuando en la demanda conste un documento que preste mérito ejecutivo el juez librará mandamiento de pago.</w:t>
      </w:r>
    </w:p>
    <w:p w14:paraId="7F256ABC"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El accionado podrá proponer únicamente las siguientes excepciones: </w:t>
      </w:r>
    </w:p>
    <w:p w14:paraId="7F256ABD" w14:textId="77777777" w:rsidR="001F6316" w:rsidRPr="00D2561F" w:rsidRDefault="00B14FA6" w:rsidP="008032FD">
      <w:p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1. La excepción de pago;</w:t>
      </w:r>
    </w:p>
    <w:p w14:paraId="7F256ABE" w14:textId="77777777" w:rsidR="001F6316" w:rsidRPr="00D2561F" w:rsidRDefault="00B14FA6" w:rsidP="008032FD">
      <w:pPr>
        <w:numPr>
          <w:ilvl w:val="0"/>
          <w:numId w:val="19"/>
        </w:num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Las excepciones sobre la exigibilidad actual de la obligación de acuerdo a la legislación civil; </w:t>
      </w:r>
    </w:p>
    <w:p w14:paraId="7F256ABF" w14:textId="77777777" w:rsidR="001F6316" w:rsidRPr="00D2561F" w:rsidRDefault="00B14FA6" w:rsidP="008032FD">
      <w:pPr>
        <w:numPr>
          <w:ilvl w:val="0"/>
          <w:numId w:val="19"/>
        </w:num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Discutir la existencia o validez del título ejecutivo.</w:t>
      </w:r>
    </w:p>
    <w:p w14:paraId="7F256AC0" w14:textId="77777777" w:rsidR="001F6316" w:rsidRPr="00D2561F" w:rsidRDefault="00B14FA6" w:rsidP="008032FD">
      <w:pPr>
        <w:numPr>
          <w:ilvl w:val="0"/>
          <w:numId w:val="19"/>
        </w:numPr>
        <w:pBdr>
          <w:top w:val="nil"/>
          <w:left w:val="nil"/>
          <w:bottom w:val="nil"/>
          <w:right w:val="nil"/>
          <w:between w:val="nil"/>
        </w:pBdr>
        <w:spacing w:after="160" w:line="276" w:lineRule="auto"/>
        <w:jc w:val="both"/>
        <w:rPr>
          <w:rFonts w:ascii="Century Gothic" w:hAnsi="Century Gothic"/>
          <w:b/>
          <w:bCs/>
          <w:color w:val="000000" w:themeColor="text1"/>
          <w:sz w:val="22"/>
          <w:szCs w:val="22"/>
          <w:u w:val="single"/>
        </w:rPr>
      </w:pPr>
      <w:r w:rsidRPr="00D2561F">
        <w:rPr>
          <w:rFonts w:ascii="Century Gothic" w:hAnsi="Century Gothic"/>
          <w:b/>
          <w:bCs/>
          <w:color w:val="000000" w:themeColor="text1"/>
          <w:sz w:val="22"/>
          <w:szCs w:val="22"/>
          <w:u w:val="single"/>
        </w:rPr>
        <w:t xml:space="preserve">Caso fortuito o fuerza mayor, debidamente acreditadas. </w:t>
      </w:r>
    </w:p>
    <w:p w14:paraId="7F256AC1"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Lo cual será explicado por el juez en lenguaje claro en el auto que libre mandamiento de pago para la garantía del derecho de contradicción.</w:t>
      </w:r>
    </w:p>
    <w:p w14:paraId="7F256AC2"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Vencido el plazo para la presentación de las excepciones, si no hubiere oposición u excepciones de parte del accionado, el mandamiento de pago queda en firme y el pago de las sumas vencidas deberá efectuarse en un plazo no superior a cinco (5) días hábiles desde su firmeza, el juez comunicará esta circunstancia al accionado.</w:t>
      </w:r>
    </w:p>
    <w:p w14:paraId="7F256AC3" w14:textId="58683428"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Si el accionado propone excepciones, el juez, en aras de garantizar el derecho de defensa y contradicción, dará traslado a la contraparte para que se pronuncie sobre aquellas en el término de tres (3) días</w:t>
      </w:r>
      <w:r w:rsidR="003870F1" w:rsidRPr="00D2561F">
        <w:rPr>
          <w:rFonts w:ascii="Century Gothic" w:hAnsi="Century Gothic"/>
          <w:color w:val="000000" w:themeColor="text1"/>
          <w:sz w:val="22"/>
          <w:szCs w:val="22"/>
        </w:rPr>
        <w:t xml:space="preserve"> hábiles. </w:t>
      </w:r>
      <w:r w:rsidRPr="00D2561F">
        <w:rPr>
          <w:rFonts w:ascii="Century Gothic" w:hAnsi="Century Gothic"/>
          <w:color w:val="000000" w:themeColor="text1"/>
          <w:sz w:val="22"/>
          <w:szCs w:val="22"/>
        </w:rPr>
        <w:t>El juez resolverá las excepciones en la sentencia, garantizando la práctica de las pruebas solicitadas que sean conducentes y pertinentes para el esclarecimiento de la obligación.</w:t>
      </w:r>
    </w:p>
    <w:p w14:paraId="7F256AC4" w14:textId="77777777" w:rsidR="001F6316" w:rsidRPr="00D2561F" w:rsidRDefault="001F631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p>
    <w:p w14:paraId="7F256AC5"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Además de las sumas vencidas con respecto de la prestación periódica de la obligación de dar alimentos, se impartirán las órdenes que garanticen la ejecución sucesiva de la obligación alimentaria.</w:t>
      </w:r>
    </w:p>
    <w:p w14:paraId="7F256AC6" w14:textId="77777777" w:rsidR="001F6316" w:rsidRPr="00D2561F" w:rsidRDefault="001F6316" w:rsidP="008032FD">
      <w:pPr>
        <w:spacing w:line="276" w:lineRule="auto"/>
        <w:jc w:val="both"/>
        <w:rPr>
          <w:rFonts w:ascii="Century Gothic" w:hAnsi="Century Gothic"/>
          <w:color w:val="000000" w:themeColor="text1"/>
          <w:sz w:val="22"/>
          <w:szCs w:val="22"/>
        </w:rPr>
      </w:pPr>
    </w:p>
    <w:p w14:paraId="7F256AC7"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Parágrafo</w:t>
      </w:r>
      <w:r w:rsidRPr="00D2561F">
        <w:rPr>
          <w:rFonts w:ascii="Century Gothic" w:hAnsi="Century Gothic"/>
          <w:color w:val="000000" w:themeColor="text1"/>
          <w:sz w:val="22"/>
          <w:szCs w:val="22"/>
        </w:rPr>
        <w:t>. La excepción prevista en el numeral 4 no exime al obligado del cumplimiento integral de la obligación alimentaria, pero faculta la juez para modificar provisionalmente la cuota o establecer un plan de cumplimiento gradual, mientras subsista el caso fortuito o fuerza mayor, garantizando en todo caso el mínimo vital del titular del derecho de alimentos. La carga de la prueba del caso fortuito o fuerza mayor corresponde integralmente al obligado</w:t>
      </w:r>
      <w:r w:rsidRPr="00D2561F">
        <w:rPr>
          <w:rFonts w:ascii="Century Gothic" w:hAnsi="Century Gothic"/>
          <w:b/>
          <w:bCs/>
          <w:color w:val="000000" w:themeColor="text1"/>
          <w:sz w:val="22"/>
          <w:szCs w:val="22"/>
          <w:u w:val="single"/>
        </w:rPr>
        <w:t xml:space="preserve">. </w:t>
      </w:r>
    </w:p>
    <w:p w14:paraId="7F256AC8"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AC9"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ARTÍCULO 12º. CONTENIDO DE LA SENTENCIA</w:t>
      </w:r>
      <w:r w:rsidRPr="00D2561F">
        <w:rPr>
          <w:rFonts w:ascii="Century Gothic" w:hAnsi="Century Gothic"/>
          <w:color w:val="000000" w:themeColor="text1"/>
          <w:sz w:val="22"/>
          <w:szCs w:val="22"/>
        </w:rPr>
        <w:t>. Cuando el proceso declare y ejecute la obligación alimentaria además de lo señalado en el artículo 280 del Código General del Proceso Ley 1564 de 2012, cuando el juez encuentre procedente ordenar el pago de alimentos impartirá las órdenes que garanticen la ejecución sucesiva de la obligación alimentaria teniendo en cuenta los ingresos de la persona obligada a dar alimentos o del deudor alimentario.</w:t>
      </w:r>
    </w:p>
    <w:p w14:paraId="7F256ACA"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La sentencia deberá contener la obligación alimentaria de manera expresa, clara y exigible y las órdenes impartidas la persona obligada a dar alimentos o al deudor y/o a terceros con relaciones contractuales con la persona obligada a dar alimentos o el deudor, además aquellas que el juez estime necesarias para la ejecución efectiva de la obligación alimentaria.</w:t>
      </w:r>
    </w:p>
    <w:p w14:paraId="7F256ACB"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Parágrafo 1</w:t>
      </w:r>
      <w:r w:rsidRPr="00D2561F">
        <w:rPr>
          <w:rFonts w:ascii="Century Gothic" w:hAnsi="Century Gothic"/>
          <w:color w:val="000000" w:themeColor="text1"/>
          <w:sz w:val="22"/>
          <w:szCs w:val="22"/>
        </w:rPr>
        <w:t>. Cuando la sentencia declare y ejecute la obligación alimentaria el juez deberá incluir un apartado en lenguaje claro acerca de las consecuencias penales del incumplimiento injustificado de la sentencia o de maniobras elusivas ilegales.</w:t>
      </w:r>
    </w:p>
    <w:p w14:paraId="7F256ACC"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Parágrafo 2</w:t>
      </w:r>
      <w:r w:rsidRPr="00D2561F">
        <w:rPr>
          <w:rFonts w:ascii="Century Gothic" w:hAnsi="Century Gothic"/>
          <w:color w:val="000000" w:themeColor="text1"/>
          <w:sz w:val="22"/>
          <w:szCs w:val="22"/>
        </w:rPr>
        <w:t>. Cuando el proceso verse únicamente sobre la ejecución de la obligación alimentaria la sentencia deberá resolver las excepciones propuestas por el accionado.</w:t>
      </w:r>
    </w:p>
    <w:p w14:paraId="7F256ACD" w14:textId="77777777" w:rsidR="001F6316" w:rsidRPr="00D2561F" w:rsidRDefault="001F6316" w:rsidP="008032FD">
      <w:pPr>
        <w:spacing w:line="276" w:lineRule="auto"/>
        <w:jc w:val="both"/>
        <w:rPr>
          <w:rFonts w:ascii="Century Gothic" w:hAnsi="Century Gothic"/>
          <w:color w:val="000000" w:themeColor="text1"/>
          <w:sz w:val="22"/>
          <w:szCs w:val="22"/>
        </w:rPr>
      </w:pPr>
    </w:p>
    <w:p w14:paraId="7F256ACE"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Parágrafo 3</w:t>
      </w:r>
      <w:r w:rsidRPr="00D2561F">
        <w:rPr>
          <w:rFonts w:ascii="Century Gothic" w:hAnsi="Century Gothic"/>
          <w:color w:val="000000" w:themeColor="text1"/>
          <w:sz w:val="22"/>
          <w:szCs w:val="22"/>
        </w:rPr>
        <w:t>. Las providencias que decidan el amparo alimentario, ya sea fijando cuotas, negando pretensiones o resolviendo excepciones, deberán ser integralmente motivadas, exponiendo con claridad los fundamentos fácticos y jurídicos que llevaron a la decisión. Contra la sentencia procederá el recurso de apelación, el cual se tramitará en el efecto devolutivo ante el superior jerárquico, garantizando el derecho a la doble instancia.</w:t>
      </w:r>
    </w:p>
    <w:p w14:paraId="7F256ACF" w14:textId="77777777" w:rsidR="001F6316" w:rsidRPr="00D2561F" w:rsidRDefault="001F6316" w:rsidP="008032FD">
      <w:pPr>
        <w:spacing w:line="276" w:lineRule="auto"/>
        <w:jc w:val="both"/>
        <w:rPr>
          <w:rFonts w:ascii="Century Gothic" w:hAnsi="Century Gothic"/>
          <w:color w:val="000000" w:themeColor="text1"/>
          <w:sz w:val="22"/>
          <w:szCs w:val="22"/>
        </w:rPr>
      </w:pPr>
    </w:p>
    <w:p w14:paraId="7F256AD1"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ARTÍCULO 13º. INCREMENTO, DISMINUCIÓN O EXONERACIÓN DE LA CUOTA ALIMENTARIA.</w:t>
      </w:r>
      <w:r w:rsidRPr="00D2561F">
        <w:rPr>
          <w:rFonts w:ascii="Century Gothic" w:hAnsi="Century Gothic"/>
          <w:color w:val="000000" w:themeColor="text1"/>
          <w:sz w:val="22"/>
          <w:szCs w:val="22"/>
        </w:rPr>
        <w:t xml:space="preserve"> Las solicitudes de incremento, disminución o exoneración de las cuotas alimentarias fijadas por medio del proceso de amparo alimentario se tramitarán ante el mismo juez que conoció del amparo o quien haga sus veces, el juez resolverá en única instancia con el mismo procedimiento fijado en el artículo </w:t>
      </w:r>
      <w:r w:rsidRPr="00D2561F">
        <w:rPr>
          <w:rFonts w:ascii="Century Gothic" w:hAnsi="Century Gothic"/>
          <w:b/>
          <w:bCs/>
          <w:color w:val="000000" w:themeColor="text1"/>
          <w:sz w:val="22"/>
          <w:szCs w:val="22"/>
          <w:u w:val="single"/>
        </w:rPr>
        <w:t>390</w:t>
      </w:r>
      <w:r w:rsidRPr="00D2561F">
        <w:rPr>
          <w:rFonts w:ascii="Century Gothic" w:hAnsi="Century Gothic"/>
          <w:color w:val="000000" w:themeColor="text1"/>
          <w:sz w:val="22"/>
          <w:szCs w:val="22"/>
        </w:rPr>
        <w:t xml:space="preserve"> del Código General del Proceso.</w:t>
      </w:r>
    </w:p>
    <w:p w14:paraId="7F256AD2"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AD4"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AD5" w14:textId="77777777" w:rsidR="001F6316" w:rsidRPr="00D2561F" w:rsidRDefault="00B14FA6" w:rsidP="008032FD">
      <w:pPr>
        <w:spacing w:line="276" w:lineRule="auto"/>
        <w:jc w:val="center"/>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CAPÍTULO III</w:t>
      </w:r>
    </w:p>
    <w:p w14:paraId="7F256AD7" w14:textId="77777777" w:rsidR="001F6316" w:rsidRPr="00D2561F" w:rsidRDefault="00B14FA6" w:rsidP="008032FD">
      <w:pPr>
        <w:spacing w:line="276" w:lineRule="auto"/>
        <w:jc w:val="center"/>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CAPACIDAD ECONÓMICA DEL DEMANDADO POR ALIMENTOS</w:t>
      </w:r>
    </w:p>
    <w:p w14:paraId="7F256AD9" w14:textId="77777777" w:rsidR="001F6316" w:rsidRPr="00D2561F" w:rsidRDefault="001F6316" w:rsidP="008032FD">
      <w:pPr>
        <w:spacing w:line="276" w:lineRule="auto"/>
        <w:jc w:val="both"/>
        <w:rPr>
          <w:rFonts w:ascii="Century Gothic" w:hAnsi="Century Gothic"/>
          <w:b/>
          <w:bCs/>
          <w:color w:val="000000" w:themeColor="text1"/>
          <w:sz w:val="22"/>
          <w:szCs w:val="22"/>
          <w:highlight w:val="yellow"/>
        </w:rPr>
      </w:pPr>
    </w:p>
    <w:p w14:paraId="7F256ADA"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14º. DEBER DE COOPERACIÓN PARA PRUEBA DE LA CAPACIDAD ECONÓMICA DE LA PERSONA OBLIGADA A DAR ALIMENTOS O DEL DEUDOR ALIMENTARIO. </w:t>
      </w:r>
      <w:r w:rsidRPr="00D2561F">
        <w:rPr>
          <w:rFonts w:ascii="Century Gothic" w:hAnsi="Century Gothic"/>
          <w:color w:val="000000" w:themeColor="text1"/>
          <w:sz w:val="22"/>
          <w:szCs w:val="22"/>
        </w:rPr>
        <w:t>Las entidades públicas y privadas están obligadas a cooperar con el juez en la entrega de la información que éste solicite para probar la capacidad económica en todos los procesos en los que se declare, disminuya, exonere, incremente o ejecute la cuota alimentaria y el amparo alimentario, entre ellas las siguientes:</w:t>
      </w:r>
    </w:p>
    <w:p w14:paraId="7F256ADB" w14:textId="77777777" w:rsidR="001F6316" w:rsidRPr="00D2561F" w:rsidRDefault="00B14FA6" w:rsidP="008032FD">
      <w:pPr>
        <w:numPr>
          <w:ilvl w:val="0"/>
          <w:numId w:val="5"/>
        </w:numPr>
        <w:pBdr>
          <w:top w:val="nil"/>
          <w:left w:val="nil"/>
          <w:bottom w:val="nil"/>
          <w:right w:val="nil"/>
          <w:between w:val="nil"/>
        </w:pBdr>
        <w:spacing w:line="276" w:lineRule="auto"/>
        <w:ind w:left="567" w:hanging="283"/>
        <w:jc w:val="both"/>
        <w:rPr>
          <w:rFonts w:ascii="Century Gothic" w:hAnsi="Century Gothic"/>
          <w:color w:val="000000" w:themeColor="text1"/>
          <w:sz w:val="22"/>
          <w:szCs w:val="22"/>
        </w:rPr>
      </w:pPr>
      <w:r w:rsidRPr="00D2561F">
        <w:rPr>
          <w:rFonts w:ascii="Century Gothic" w:hAnsi="Century Gothic"/>
          <w:color w:val="000000" w:themeColor="text1"/>
          <w:sz w:val="22"/>
          <w:szCs w:val="22"/>
        </w:rPr>
        <w:t>La Dirección de Impuestos y Aduanas Nacionales DIAN. Superintendencia de Notariado y Registro o a quien haga sus veces.</w:t>
      </w:r>
    </w:p>
    <w:p w14:paraId="7F256ADC" w14:textId="77777777" w:rsidR="001F6316" w:rsidRPr="00D2561F" w:rsidRDefault="00B14FA6" w:rsidP="008032FD">
      <w:pPr>
        <w:numPr>
          <w:ilvl w:val="0"/>
          <w:numId w:val="6"/>
        </w:numPr>
        <w:pBdr>
          <w:top w:val="nil"/>
          <w:left w:val="nil"/>
          <w:bottom w:val="nil"/>
          <w:right w:val="nil"/>
          <w:between w:val="nil"/>
        </w:pBdr>
        <w:spacing w:line="276" w:lineRule="auto"/>
        <w:ind w:left="567" w:hanging="283"/>
        <w:jc w:val="both"/>
        <w:rPr>
          <w:rFonts w:ascii="Century Gothic" w:hAnsi="Century Gothic"/>
          <w:color w:val="000000" w:themeColor="text1"/>
          <w:sz w:val="22"/>
          <w:szCs w:val="22"/>
        </w:rPr>
      </w:pPr>
      <w:r w:rsidRPr="00D2561F">
        <w:rPr>
          <w:rFonts w:ascii="Century Gothic" w:hAnsi="Century Gothic"/>
          <w:color w:val="000000" w:themeColor="text1"/>
          <w:sz w:val="22"/>
          <w:szCs w:val="22"/>
        </w:rPr>
        <w:t>Unidad de Información y Análisis Financiero (UIAF).</w:t>
      </w:r>
    </w:p>
    <w:p w14:paraId="7F256ADD" w14:textId="77777777" w:rsidR="001F6316" w:rsidRPr="00D2561F" w:rsidRDefault="00B14FA6" w:rsidP="008032FD">
      <w:pPr>
        <w:numPr>
          <w:ilvl w:val="0"/>
          <w:numId w:val="7"/>
        </w:numPr>
        <w:pBdr>
          <w:top w:val="nil"/>
          <w:left w:val="nil"/>
          <w:bottom w:val="nil"/>
          <w:right w:val="nil"/>
          <w:between w:val="nil"/>
        </w:pBdr>
        <w:spacing w:line="276" w:lineRule="auto"/>
        <w:ind w:left="567" w:hanging="283"/>
        <w:jc w:val="both"/>
        <w:rPr>
          <w:rFonts w:ascii="Century Gothic" w:hAnsi="Century Gothic"/>
          <w:color w:val="000000" w:themeColor="text1"/>
          <w:sz w:val="22"/>
          <w:szCs w:val="22"/>
        </w:rPr>
      </w:pPr>
      <w:r w:rsidRPr="00D2561F">
        <w:rPr>
          <w:rFonts w:ascii="Century Gothic" w:hAnsi="Century Gothic"/>
          <w:color w:val="000000" w:themeColor="text1"/>
          <w:sz w:val="22"/>
          <w:szCs w:val="22"/>
        </w:rPr>
        <w:t>Las entidades administradoras de sistemas de pago.</w:t>
      </w:r>
    </w:p>
    <w:p w14:paraId="7F256ADE" w14:textId="77777777" w:rsidR="001F6316" w:rsidRPr="00D2561F" w:rsidRDefault="00B14FA6" w:rsidP="008032FD">
      <w:pPr>
        <w:numPr>
          <w:ilvl w:val="0"/>
          <w:numId w:val="8"/>
        </w:numPr>
        <w:pBdr>
          <w:top w:val="nil"/>
          <w:left w:val="nil"/>
          <w:bottom w:val="nil"/>
          <w:right w:val="nil"/>
          <w:between w:val="nil"/>
        </w:pBdr>
        <w:spacing w:line="276" w:lineRule="auto"/>
        <w:ind w:left="567" w:hanging="283"/>
        <w:jc w:val="both"/>
        <w:rPr>
          <w:rFonts w:ascii="Century Gothic" w:hAnsi="Century Gothic"/>
          <w:color w:val="000000" w:themeColor="text1"/>
          <w:sz w:val="22"/>
          <w:szCs w:val="22"/>
        </w:rPr>
      </w:pPr>
      <w:r w:rsidRPr="00D2561F">
        <w:rPr>
          <w:rFonts w:ascii="Century Gothic" w:hAnsi="Century Gothic"/>
          <w:color w:val="000000" w:themeColor="text1"/>
          <w:sz w:val="22"/>
          <w:szCs w:val="22"/>
        </w:rPr>
        <w:t>Administrador del Registro Único Nacional de Tránsito RUNT, o a quien haga sus veces.</w:t>
      </w:r>
    </w:p>
    <w:p w14:paraId="7F256ADF" w14:textId="77777777" w:rsidR="001F6316" w:rsidRPr="00D2561F" w:rsidRDefault="00B14FA6" w:rsidP="008032FD">
      <w:pPr>
        <w:numPr>
          <w:ilvl w:val="0"/>
          <w:numId w:val="9"/>
        </w:numPr>
        <w:pBdr>
          <w:top w:val="nil"/>
          <w:left w:val="nil"/>
          <w:bottom w:val="nil"/>
          <w:right w:val="nil"/>
          <w:between w:val="nil"/>
        </w:pBdr>
        <w:spacing w:line="276" w:lineRule="auto"/>
        <w:ind w:left="567" w:hanging="283"/>
        <w:jc w:val="both"/>
        <w:rPr>
          <w:rFonts w:ascii="Century Gothic" w:hAnsi="Century Gothic"/>
          <w:color w:val="000000" w:themeColor="text1"/>
          <w:sz w:val="22"/>
          <w:szCs w:val="22"/>
        </w:rPr>
      </w:pPr>
      <w:r w:rsidRPr="00D2561F">
        <w:rPr>
          <w:rFonts w:ascii="Century Gothic" w:hAnsi="Century Gothic"/>
          <w:color w:val="000000" w:themeColor="text1"/>
          <w:sz w:val="22"/>
          <w:szCs w:val="22"/>
        </w:rPr>
        <w:t>Entidades financieras, Sociedades Especializadas en Depósitos y Pagos Electrónicos y plataformas de banca digital o Fintech.</w:t>
      </w:r>
    </w:p>
    <w:p w14:paraId="7F256AE0" w14:textId="77777777" w:rsidR="001F6316" w:rsidRPr="00D2561F" w:rsidRDefault="00B14FA6" w:rsidP="008032FD">
      <w:pPr>
        <w:numPr>
          <w:ilvl w:val="0"/>
          <w:numId w:val="10"/>
        </w:numPr>
        <w:pBdr>
          <w:top w:val="nil"/>
          <w:left w:val="nil"/>
          <w:bottom w:val="nil"/>
          <w:right w:val="nil"/>
          <w:between w:val="nil"/>
        </w:pBdr>
        <w:spacing w:line="276" w:lineRule="auto"/>
        <w:ind w:left="567" w:hanging="283"/>
        <w:jc w:val="both"/>
        <w:rPr>
          <w:rFonts w:ascii="Century Gothic" w:hAnsi="Century Gothic"/>
          <w:color w:val="000000" w:themeColor="text1"/>
          <w:sz w:val="22"/>
          <w:szCs w:val="22"/>
        </w:rPr>
      </w:pPr>
      <w:r w:rsidRPr="00D2561F">
        <w:rPr>
          <w:rFonts w:ascii="Century Gothic" w:hAnsi="Century Gothic"/>
          <w:color w:val="000000" w:themeColor="text1"/>
          <w:sz w:val="22"/>
          <w:szCs w:val="22"/>
        </w:rPr>
        <w:t>Operadores de la Planilla Integrada de Liquidación de Aportes a Seguridad Social PILA.</w:t>
      </w:r>
    </w:p>
    <w:p w14:paraId="7F256AE1" w14:textId="77777777" w:rsidR="001F6316" w:rsidRPr="00D2561F" w:rsidRDefault="00B14FA6" w:rsidP="008032FD">
      <w:pPr>
        <w:numPr>
          <w:ilvl w:val="0"/>
          <w:numId w:val="11"/>
        </w:numPr>
        <w:pBdr>
          <w:top w:val="nil"/>
          <w:left w:val="nil"/>
          <w:bottom w:val="nil"/>
          <w:right w:val="nil"/>
          <w:between w:val="nil"/>
        </w:pBdr>
        <w:spacing w:line="276" w:lineRule="auto"/>
        <w:ind w:left="567" w:hanging="283"/>
        <w:jc w:val="both"/>
        <w:rPr>
          <w:rFonts w:ascii="Century Gothic" w:hAnsi="Century Gothic"/>
          <w:color w:val="000000" w:themeColor="text1"/>
          <w:sz w:val="22"/>
          <w:szCs w:val="22"/>
        </w:rPr>
      </w:pPr>
      <w:r w:rsidRPr="00D2561F">
        <w:rPr>
          <w:rFonts w:ascii="Century Gothic" w:hAnsi="Century Gothic"/>
          <w:color w:val="000000" w:themeColor="text1"/>
          <w:sz w:val="22"/>
          <w:szCs w:val="22"/>
        </w:rPr>
        <w:t>Unidad de Gestión Pensional y Parafiscales (UGPP).</w:t>
      </w:r>
    </w:p>
    <w:p w14:paraId="7F256AE2" w14:textId="77777777" w:rsidR="001F6316" w:rsidRPr="00D2561F" w:rsidRDefault="00B14FA6" w:rsidP="008032FD">
      <w:pPr>
        <w:numPr>
          <w:ilvl w:val="0"/>
          <w:numId w:val="13"/>
        </w:numPr>
        <w:pBdr>
          <w:top w:val="nil"/>
          <w:left w:val="nil"/>
          <w:bottom w:val="nil"/>
          <w:right w:val="nil"/>
          <w:between w:val="nil"/>
        </w:pBdr>
        <w:spacing w:line="276" w:lineRule="auto"/>
        <w:ind w:left="567" w:hanging="283"/>
        <w:jc w:val="both"/>
        <w:rPr>
          <w:rFonts w:ascii="Century Gothic" w:hAnsi="Century Gothic"/>
          <w:color w:val="000000" w:themeColor="text1"/>
          <w:sz w:val="22"/>
          <w:szCs w:val="22"/>
        </w:rPr>
      </w:pPr>
      <w:r w:rsidRPr="00D2561F">
        <w:rPr>
          <w:rFonts w:ascii="Century Gothic" w:hAnsi="Century Gothic"/>
          <w:color w:val="000000" w:themeColor="text1"/>
          <w:sz w:val="22"/>
          <w:szCs w:val="22"/>
        </w:rPr>
        <w:t>Administradora de los Recursos del Sistema General de Seguridad Social en Salud ADRES.</w:t>
      </w:r>
    </w:p>
    <w:p w14:paraId="7F256AE3" w14:textId="77777777" w:rsidR="001F6316" w:rsidRPr="00D2561F" w:rsidRDefault="00B14FA6" w:rsidP="008032FD">
      <w:pPr>
        <w:numPr>
          <w:ilvl w:val="0"/>
          <w:numId w:val="14"/>
        </w:numPr>
        <w:pBdr>
          <w:top w:val="nil"/>
          <w:left w:val="nil"/>
          <w:bottom w:val="nil"/>
          <w:right w:val="nil"/>
          <w:between w:val="nil"/>
        </w:pBdr>
        <w:spacing w:line="276" w:lineRule="auto"/>
        <w:ind w:left="567" w:hanging="283"/>
        <w:jc w:val="both"/>
        <w:rPr>
          <w:rFonts w:ascii="Century Gothic" w:hAnsi="Century Gothic"/>
          <w:color w:val="000000" w:themeColor="text1"/>
          <w:sz w:val="22"/>
          <w:szCs w:val="22"/>
        </w:rPr>
      </w:pPr>
      <w:r w:rsidRPr="00D2561F">
        <w:rPr>
          <w:rFonts w:ascii="Century Gothic" w:hAnsi="Century Gothic"/>
          <w:color w:val="000000" w:themeColor="text1"/>
          <w:sz w:val="22"/>
          <w:szCs w:val="22"/>
        </w:rPr>
        <w:t>Operadores de Juegos de Suerte y Azar.</w:t>
      </w:r>
    </w:p>
    <w:p w14:paraId="7F256AE4" w14:textId="77777777" w:rsidR="001F6316" w:rsidRPr="00D2561F" w:rsidRDefault="00B14FA6" w:rsidP="008032FD">
      <w:pPr>
        <w:numPr>
          <w:ilvl w:val="0"/>
          <w:numId w:val="15"/>
        </w:numPr>
        <w:pBdr>
          <w:top w:val="nil"/>
          <w:left w:val="nil"/>
          <w:bottom w:val="nil"/>
          <w:right w:val="nil"/>
          <w:between w:val="nil"/>
        </w:pBdr>
        <w:spacing w:line="276" w:lineRule="auto"/>
        <w:ind w:left="567" w:hanging="283"/>
        <w:jc w:val="both"/>
        <w:rPr>
          <w:rFonts w:ascii="Century Gothic" w:hAnsi="Century Gothic"/>
          <w:color w:val="000000" w:themeColor="text1"/>
          <w:sz w:val="22"/>
          <w:szCs w:val="22"/>
        </w:rPr>
      </w:pPr>
      <w:r w:rsidRPr="00D2561F">
        <w:rPr>
          <w:rFonts w:ascii="Century Gothic" w:hAnsi="Century Gothic"/>
          <w:color w:val="000000" w:themeColor="text1"/>
          <w:sz w:val="22"/>
          <w:szCs w:val="22"/>
        </w:rPr>
        <w:t>Operadores Postales de pago.</w:t>
      </w:r>
    </w:p>
    <w:p w14:paraId="7F256AE5" w14:textId="77777777" w:rsidR="001F6316" w:rsidRPr="00D2561F" w:rsidRDefault="00B14FA6" w:rsidP="008032FD">
      <w:pPr>
        <w:numPr>
          <w:ilvl w:val="0"/>
          <w:numId w:val="16"/>
        </w:num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Al empleador o al contratante del demandado si existiera.</w:t>
      </w:r>
    </w:p>
    <w:p w14:paraId="7F256AE6" w14:textId="77777777" w:rsidR="001F6316" w:rsidRPr="00D2561F" w:rsidRDefault="00B14FA6" w:rsidP="008032FD">
      <w:pPr>
        <w:numPr>
          <w:ilvl w:val="0"/>
          <w:numId w:val="16"/>
        </w:num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La Superintendencia de Notariado y Registro.</w:t>
      </w:r>
    </w:p>
    <w:p w14:paraId="7F256AE7" w14:textId="77777777" w:rsidR="001F6316" w:rsidRPr="00D2561F" w:rsidRDefault="00B14FA6" w:rsidP="008032FD">
      <w:pPr>
        <w:numPr>
          <w:ilvl w:val="0"/>
          <w:numId w:val="16"/>
        </w:num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Las Cámaras de Comercio del país (registros mercantiles y participaciones societarias).</w:t>
      </w:r>
    </w:p>
    <w:p w14:paraId="7F256AE8" w14:textId="77777777" w:rsidR="001F6316" w:rsidRPr="00D2561F" w:rsidRDefault="00B14FA6" w:rsidP="008032FD">
      <w:pPr>
        <w:numPr>
          <w:ilvl w:val="0"/>
          <w:numId w:val="16"/>
        </w:num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Migración Colombia o la entidad que haga sus veces.</w:t>
      </w:r>
    </w:p>
    <w:p w14:paraId="7F256AE9" w14:textId="77777777" w:rsidR="001F6316" w:rsidRPr="00D2561F" w:rsidRDefault="00B14FA6" w:rsidP="008032FD">
      <w:pPr>
        <w:numPr>
          <w:ilvl w:val="0"/>
          <w:numId w:val="16"/>
        </w:num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Colpensiones y administradoras de fondos de pensiones obligatorias y voluntarias.</w:t>
      </w:r>
    </w:p>
    <w:p w14:paraId="7F256AEA" w14:textId="77777777" w:rsidR="001F6316" w:rsidRPr="00D2561F" w:rsidRDefault="00B14FA6" w:rsidP="008032FD">
      <w:pPr>
        <w:numPr>
          <w:ilvl w:val="0"/>
          <w:numId w:val="16"/>
        </w:num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 xml:space="preserve"> Ministerio del Trabajo o la entidad que haga sus veces.</w:t>
      </w:r>
    </w:p>
    <w:p w14:paraId="7F256AEB" w14:textId="77777777" w:rsidR="001F6316" w:rsidRPr="00D2561F" w:rsidRDefault="00B14FA6" w:rsidP="008032FD">
      <w:pPr>
        <w:numPr>
          <w:ilvl w:val="0"/>
          <w:numId w:val="16"/>
        </w:num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Registro Único Empresarial y Social (RUES).</w:t>
      </w:r>
    </w:p>
    <w:p w14:paraId="7F256AEC" w14:textId="77777777" w:rsidR="001F6316" w:rsidRPr="00D2561F" w:rsidRDefault="00B14FA6" w:rsidP="008032FD">
      <w:pPr>
        <w:numPr>
          <w:ilvl w:val="0"/>
          <w:numId w:val="17"/>
        </w:numPr>
        <w:pBdr>
          <w:top w:val="nil"/>
          <w:left w:val="nil"/>
          <w:bottom w:val="nil"/>
          <w:right w:val="nil"/>
          <w:between w:val="nil"/>
        </w:pBdr>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Demás entidades que considere conducentes.</w:t>
      </w:r>
    </w:p>
    <w:p w14:paraId="7F256AED"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highlight w:val="yellow"/>
        </w:rPr>
        <w:br/>
      </w:r>
      <w:r w:rsidRPr="00D2561F">
        <w:rPr>
          <w:rFonts w:ascii="Century Gothic" w:hAnsi="Century Gothic"/>
          <w:color w:val="000000" w:themeColor="text1"/>
          <w:sz w:val="22"/>
          <w:szCs w:val="22"/>
        </w:rPr>
        <w:t>En aquellos casos donde la información no esté disponible en línea o a través de la Plataforma de Consulta sobre la Capacidad del Deudor Alimentario (PCCDA), el juez oficiará</w:t>
      </w:r>
      <w:r w:rsidRPr="00D2561F">
        <w:rPr>
          <w:rFonts w:ascii="Century Gothic" w:hAnsi="Century Gothic"/>
          <w:b/>
          <w:bCs/>
          <w:color w:val="000000" w:themeColor="text1"/>
          <w:sz w:val="22"/>
          <w:szCs w:val="22"/>
        </w:rPr>
        <w:t xml:space="preserve"> </w:t>
      </w:r>
      <w:r w:rsidRPr="00D2561F">
        <w:rPr>
          <w:rFonts w:ascii="Century Gothic" w:hAnsi="Century Gothic"/>
          <w:color w:val="000000" w:themeColor="text1"/>
          <w:sz w:val="22"/>
          <w:szCs w:val="22"/>
        </w:rPr>
        <w:t>y/o ordenará en el auto admisorio la consulta de la información del demandado en las bases de datos de las entidades mencionadas.</w:t>
      </w:r>
    </w:p>
    <w:p w14:paraId="7F256AEF"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Parágrafo 1.  </w:t>
      </w:r>
      <w:r w:rsidRPr="00D2561F">
        <w:rPr>
          <w:rFonts w:ascii="Century Gothic" w:hAnsi="Century Gothic"/>
          <w:color w:val="000000" w:themeColor="text1"/>
          <w:sz w:val="22"/>
          <w:szCs w:val="22"/>
        </w:rPr>
        <w:t>El acceso a información financiera y tributaria se sujetará a orden judicial, guardando la reserva legal vigente, sin acceso a datos sensibles no pertinentes.</w:t>
      </w:r>
    </w:p>
    <w:p w14:paraId="7F256AF0"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Parágrafo 2. </w:t>
      </w:r>
      <w:r w:rsidRPr="00D2561F">
        <w:rPr>
          <w:rFonts w:ascii="Century Gothic" w:hAnsi="Century Gothic"/>
          <w:color w:val="000000" w:themeColor="text1"/>
          <w:sz w:val="22"/>
          <w:szCs w:val="22"/>
        </w:rPr>
        <w:t xml:space="preserve">El acceso a información financiera, tributaria y personal se hará bajo la estricta observancia de los principios de reserva legal, necesidad y proporcionalidad. La información recolectada será de uso exclusivo del despacho judicial para la tasación de la cuota alimentaria y su tratamiento se regirá por la Ley de Protección de Datos Personales Ley 1581 de 2012 o aquella que la modifiquen, adicione o sustituya. </w:t>
      </w:r>
    </w:p>
    <w:p w14:paraId="7F256AF1"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El uso indebido de dicha información por parte de funcionarios judiciales o terceros dará lugar a las sanciones disciplinarias, penales y fiscales correspondientes.</w:t>
      </w:r>
    </w:p>
    <w:p w14:paraId="7F256AF3"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15º. PLATAFORMA DE CONSULTA SOBRE LA CAPACIDAD DEL DEUDOR ALIMENTARIO (PCCDA). </w:t>
      </w:r>
      <w:r w:rsidRPr="00D2561F">
        <w:rPr>
          <w:rFonts w:ascii="Century Gothic" w:hAnsi="Century Gothic"/>
          <w:color w:val="000000" w:themeColor="text1"/>
          <w:sz w:val="22"/>
          <w:szCs w:val="22"/>
        </w:rPr>
        <w:t>El Consejo Superior de la Judicatura en el término de doce (12) meses contados a partir de la entrada en vigencia de esta ley, habilitará una plataforma que permita a todos los jueces de la jurisdicción ordinaria acceder en tiempo real a la información necesaria para establecer la capacidad económica  de la persona obligada a dar alimentos o del deudor alimentario en todos los procesos acerca de obligaciones de alimentos, así como las medidas de seguridad para la protección del acceso a la información autorizada y el registro de las consultas realizadas y su relación al número de radicado del proceso correspondiente.</w:t>
      </w:r>
    </w:p>
    <w:p w14:paraId="7F256AF4"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Esta plataforma será interoperable y alimentada por la información de los sujetos mencionados en los literales del artículo 14 a excepción de los empleadores y contratantes de la presente ley, así mismo por la base de datos de la Registraduría Nacional del Servicio Civil.</w:t>
      </w:r>
    </w:p>
    <w:p w14:paraId="7F256AF5"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Para todos los efectos se entenderá que el acceso y consulta del juez o su despacho equivale a una orden judicial para el acceso a bases de datos sin que se requiera un acto procesal adicional o separado.</w:t>
      </w:r>
    </w:p>
    <w:p w14:paraId="7F256AF6"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 xml:space="preserve">El uso de la </w:t>
      </w:r>
      <w:r w:rsidRPr="00D2561F">
        <w:rPr>
          <w:rFonts w:ascii="Century Gothic" w:hAnsi="Century Gothic"/>
          <w:color w:val="000000" w:themeColor="text1"/>
          <w:sz w:val="22"/>
          <w:szCs w:val="22"/>
          <w:highlight w:val="white"/>
        </w:rPr>
        <w:t>Plataforma de Consulta Sobre la Capacidad del Deudor Alimentario (</w:t>
      </w:r>
      <w:r w:rsidRPr="00D2561F">
        <w:rPr>
          <w:rFonts w:ascii="Century Gothic" w:hAnsi="Century Gothic"/>
          <w:color w:val="000000" w:themeColor="text1"/>
          <w:sz w:val="22"/>
          <w:szCs w:val="22"/>
        </w:rPr>
        <w:t>PCCDA) es un instrumento auxiliar para determinar la capacidad económica de la persona obligada a dar alimentos o del deudor alimentario, no debe entenderse en perjuicio de la libertad probatoria y del rol del juez a la hora de establecer en el proceso la capacidad económica de la persona obligada a dar alimentos o del deudor.</w:t>
      </w:r>
    </w:p>
    <w:p w14:paraId="7F256AF7"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 xml:space="preserve">Los órganos de control y entidades que ejercen inspección, vigilancia y control deberán dentro de sus respectivas competencias asegurar que sus sujetos de control cumplan con el reporte en tiempo real de la información a la </w:t>
      </w:r>
      <w:r w:rsidRPr="00D2561F">
        <w:rPr>
          <w:rFonts w:ascii="Century Gothic" w:hAnsi="Century Gothic"/>
          <w:color w:val="000000" w:themeColor="text1"/>
          <w:sz w:val="22"/>
          <w:szCs w:val="22"/>
          <w:highlight w:val="white"/>
        </w:rPr>
        <w:t>Plataforma de Consulta Sobre la Capacidad del Deudor Alimentario (</w:t>
      </w:r>
      <w:r w:rsidRPr="00D2561F">
        <w:rPr>
          <w:rFonts w:ascii="Century Gothic" w:hAnsi="Century Gothic"/>
          <w:color w:val="000000" w:themeColor="text1"/>
          <w:sz w:val="22"/>
          <w:szCs w:val="22"/>
        </w:rPr>
        <w:t>PCCDA). </w:t>
      </w:r>
    </w:p>
    <w:p w14:paraId="7F256AF9"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Parágrafo 1:</w:t>
      </w:r>
      <w:r w:rsidRPr="00D2561F">
        <w:rPr>
          <w:rFonts w:ascii="Century Gothic" w:hAnsi="Century Gothic"/>
          <w:color w:val="000000" w:themeColor="text1"/>
          <w:sz w:val="22"/>
          <w:szCs w:val="22"/>
        </w:rPr>
        <w:t xml:space="preserve"> Entre la entrada en vigencia de la presente ley y la entrada en funcionamiento de la </w:t>
      </w:r>
      <w:r w:rsidRPr="00D2561F">
        <w:rPr>
          <w:rFonts w:ascii="Century Gothic" w:hAnsi="Century Gothic"/>
          <w:color w:val="000000" w:themeColor="text1"/>
          <w:sz w:val="22"/>
          <w:szCs w:val="22"/>
          <w:highlight w:val="white"/>
        </w:rPr>
        <w:t>Plataforma de Consulta Sobre la Capacidad del Deudor Alimentario (</w:t>
      </w:r>
      <w:r w:rsidRPr="00D2561F">
        <w:rPr>
          <w:rFonts w:ascii="Century Gothic" w:hAnsi="Century Gothic"/>
          <w:color w:val="000000" w:themeColor="text1"/>
          <w:sz w:val="22"/>
          <w:szCs w:val="22"/>
        </w:rPr>
        <w:t>PCCDA) los jueces oficiarán a los sujetos del artículo 14 los cuales deberán dar respuesta completa y de fondo en un plazo no mayor a tres (03) días hábiles.</w:t>
      </w:r>
    </w:p>
    <w:p w14:paraId="7F256AFA"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Parágrafo 2: </w:t>
      </w:r>
      <w:r w:rsidRPr="00D2561F">
        <w:rPr>
          <w:rFonts w:ascii="Century Gothic" w:hAnsi="Century Gothic"/>
          <w:color w:val="000000" w:themeColor="text1"/>
          <w:sz w:val="22"/>
          <w:szCs w:val="22"/>
          <w:highlight w:val="white"/>
        </w:rPr>
        <w:t>El Gobierno Nacional garantizará los recursos necesarios para la creación de la plataforma de Consulta sobre la capacidad del deudor alimentario, respetando el Marco Fiscal de mediano Plazo.</w:t>
      </w:r>
    </w:p>
    <w:p w14:paraId="0060B6EF" w14:textId="77777777" w:rsidR="005221B3" w:rsidRPr="00D2561F" w:rsidRDefault="005221B3" w:rsidP="008032FD">
      <w:pPr>
        <w:spacing w:line="276" w:lineRule="auto"/>
        <w:jc w:val="both"/>
        <w:rPr>
          <w:rFonts w:ascii="Century Gothic" w:hAnsi="Century Gothic"/>
          <w:color w:val="000000" w:themeColor="text1"/>
          <w:sz w:val="22"/>
          <w:szCs w:val="22"/>
        </w:rPr>
      </w:pPr>
    </w:p>
    <w:p w14:paraId="7F256AFD"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ARTÍCULO 16º. OBLIGACIÓN DE LOS EMPLEADORES DE</w:t>
      </w:r>
      <w:r w:rsidRPr="00D2561F">
        <w:rPr>
          <w:rFonts w:ascii="Century Gothic" w:hAnsi="Century Gothic"/>
          <w:b/>
          <w:bCs/>
          <w:color w:val="000000" w:themeColor="text1"/>
          <w:sz w:val="22"/>
          <w:szCs w:val="22"/>
          <w:u w:val="single"/>
        </w:rPr>
        <w:t xml:space="preserve"> </w:t>
      </w:r>
      <w:r w:rsidRPr="00D2561F">
        <w:rPr>
          <w:rFonts w:ascii="Century Gothic" w:hAnsi="Century Gothic"/>
          <w:b/>
          <w:bCs/>
          <w:color w:val="000000" w:themeColor="text1"/>
          <w:sz w:val="22"/>
          <w:szCs w:val="22"/>
        </w:rPr>
        <w:t xml:space="preserve">APORTAR INFORMACIÓN EN LOS PROCESOS DE ALIMENTOS. </w:t>
      </w:r>
      <w:r w:rsidRPr="00D2561F">
        <w:rPr>
          <w:rFonts w:ascii="Century Gothic" w:hAnsi="Century Gothic"/>
          <w:color w:val="000000" w:themeColor="text1"/>
          <w:sz w:val="22"/>
          <w:szCs w:val="22"/>
        </w:rPr>
        <w:t>Las personas naturales y jurídicas, públicas, privadas o mixtas, que tengan cualquier tipo de relación contractual o laboral con deudores de obligaciones alimentarias, que sean requeridas para aportar información suficiente para establecer la capacidad económica del accionado en el marco de procesos de fijación de cuota alimentaria, procesos ejecutivos de alimentos y el amparo alimentario, deberán dar r</w:t>
      </w:r>
      <w:r w:rsidRPr="00D2561F">
        <w:rPr>
          <w:rFonts w:ascii="Century Gothic" w:hAnsi="Century Gothic"/>
          <w:color w:val="000000" w:themeColor="text1"/>
          <w:sz w:val="22"/>
          <w:szCs w:val="22"/>
          <w:highlight w:val="white"/>
        </w:rPr>
        <w:t>espuesta completa y de fondo en un plazo no mayor a tres (03) días hábiles, con fundamento en los datos que posean del accionado, certifiquen y aporten documentos que permitan tasar la capacidad  económica de la persona obligada a dar alimentos y/o el deudor del pago de la cuota alimentaria para la garantía de  las condiciones dignas del titular del derecho de alimentos.</w:t>
      </w:r>
    </w:p>
    <w:p w14:paraId="7F256AFE"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Parágrafo 1. </w:t>
      </w:r>
      <w:r w:rsidRPr="00D2561F">
        <w:rPr>
          <w:rFonts w:ascii="Century Gothic" w:hAnsi="Century Gothic"/>
          <w:color w:val="000000" w:themeColor="text1"/>
          <w:sz w:val="22"/>
          <w:szCs w:val="22"/>
        </w:rPr>
        <w:t>El Consejo Superior de la Judicatura se encargará de actualizar anualmente la lista de entidades a las cuales las autoridades podrán oficiar y/o consultar para certificar y aportar los documentos que permitan tasar la capacidad económica o de pago del accionado, en procesos de alimentos. Esta lista tendrá carácter enunciativo y no será obstáculo para que el juez oficie a otras entidades a las cuales el juez considere pertinente.</w:t>
      </w:r>
    </w:p>
    <w:p w14:paraId="7F256AFF"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Parágrafo 2. </w:t>
      </w:r>
      <w:r w:rsidRPr="00D2561F">
        <w:rPr>
          <w:rFonts w:ascii="Century Gothic" w:hAnsi="Century Gothic"/>
          <w:color w:val="000000" w:themeColor="text1"/>
          <w:sz w:val="22"/>
          <w:szCs w:val="22"/>
        </w:rPr>
        <w:t>En caso de no allegar la información solicitada en un proceso de alimentos, sea proceso ejecutivo de alimentos o proceso único especial de amparo alimentario, sin perjuicio de la acción disciplinaria a que haya lugar, el juez deberá hacer uso del poder correccional contemplado en el numeral 3 del artículo 44 de la Ley 1564 de 2012.</w:t>
      </w:r>
    </w:p>
    <w:p w14:paraId="7F256B00" w14:textId="77777777" w:rsidR="001F6316" w:rsidRPr="00D2561F" w:rsidRDefault="001F6316" w:rsidP="008032FD">
      <w:pPr>
        <w:spacing w:line="276" w:lineRule="auto"/>
        <w:jc w:val="both"/>
        <w:rPr>
          <w:rFonts w:ascii="Century Gothic" w:hAnsi="Century Gothic"/>
          <w:color w:val="000000" w:themeColor="text1"/>
          <w:sz w:val="22"/>
          <w:szCs w:val="22"/>
        </w:rPr>
      </w:pPr>
    </w:p>
    <w:p w14:paraId="7F256B01"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17º. POLICÍA JUDICIAL. </w:t>
      </w:r>
      <w:r w:rsidRPr="00D2561F">
        <w:rPr>
          <w:rFonts w:ascii="Century Gothic" w:hAnsi="Century Gothic"/>
          <w:color w:val="000000" w:themeColor="text1"/>
          <w:sz w:val="22"/>
          <w:szCs w:val="22"/>
        </w:rPr>
        <w:t xml:space="preserve">Los  órganos de policía judicial permanente a los que se refiere el  artículo 201 de la Ley 906  de 2004  modificado por el artículo </w:t>
      </w:r>
      <w:hyperlink r:id="rId15" w:anchor="3">
        <w:r w:rsidRPr="00D2561F">
          <w:rPr>
            <w:rFonts w:ascii="Century Gothic" w:hAnsi="Century Gothic"/>
            <w:color w:val="000000" w:themeColor="text1"/>
            <w:sz w:val="22"/>
            <w:szCs w:val="22"/>
          </w:rPr>
          <w:t>3</w:t>
        </w:r>
      </w:hyperlink>
      <w:r w:rsidRPr="00D2561F">
        <w:rPr>
          <w:rFonts w:ascii="Century Gothic" w:hAnsi="Century Gothic"/>
          <w:color w:val="000000" w:themeColor="text1"/>
          <w:sz w:val="22"/>
          <w:szCs w:val="22"/>
        </w:rPr>
        <w:t xml:space="preserve"> de la Ley 2205 de 2022 o el que haga sus veces, colaborarán con los jueces en los procesos acerca de obligaciones de alimentos para la obtención de información dirigida a determinar y probar la capacidad económica de la  persona obligada a dar alimentos o del deudor alimentario.</w:t>
      </w:r>
    </w:p>
    <w:p w14:paraId="7F256B02"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B03"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18º. </w:t>
      </w:r>
      <w:r w:rsidRPr="00D2561F">
        <w:rPr>
          <w:rFonts w:ascii="Century Gothic" w:hAnsi="Century Gothic"/>
          <w:color w:val="000000" w:themeColor="text1"/>
          <w:sz w:val="22"/>
          <w:szCs w:val="22"/>
        </w:rPr>
        <w:t>Modifíquese el inciso 1 del artículo 129 de la Ley 1098 de 2006, el cual quedará así:</w:t>
      </w:r>
    </w:p>
    <w:p w14:paraId="7F256B04" w14:textId="77777777" w:rsidR="001F6316" w:rsidRPr="00D2561F" w:rsidRDefault="00B14FA6" w:rsidP="008032FD">
      <w:pPr>
        <w:spacing w:line="276" w:lineRule="auto"/>
        <w:ind w:left="284" w:right="333"/>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“ARTÍCULO 129. ALIMENTOS.</w:t>
      </w:r>
      <w:r w:rsidRPr="00D2561F">
        <w:rPr>
          <w:rFonts w:ascii="Century Gothic" w:hAnsi="Century Gothic"/>
          <w:color w:val="000000" w:themeColor="text1"/>
          <w:sz w:val="22"/>
          <w:szCs w:val="22"/>
        </w:rPr>
        <w:t xml:space="preserve"> En el auto que corre traslado de la demanda o del informe del Defensor de Familia, el juez fijará cuota provisional de alimentos, siempre que haya prueba del vínculo que origina la obligación alimentaria, y oficiará y/o dispondrá</w:t>
      </w:r>
      <w:r w:rsidRPr="00D2561F">
        <w:rPr>
          <w:rFonts w:ascii="Century Gothic" w:hAnsi="Century Gothic"/>
          <w:b/>
          <w:bCs/>
          <w:color w:val="000000" w:themeColor="text1"/>
          <w:sz w:val="22"/>
          <w:szCs w:val="22"/>
        </w:rPr>
        <w:t xml:space="preserve"> </w:t>
      </w:r>
      <w:r w:rsidRPr="00D2561F">
        <w:rPr>
          <w:rFonts w:ascii="Century Gothic" w:hAnsi="Century Gothic"/>
          <w:color w:val="000000" w:themeColor="text1"/>
          <w:sz w:val="22"/>
          <w:szCs w:val="22"/>
        </w:rPr>
        <w:t>la consulta a diferentes entidades e instituciones que prueben la capacidad económica</w:t>
      </w:r>
      <w:r w:rsidRPr="00D2561F">
        <w:rPr>
          <w:rFonts w:ascii="Century Gothic" w:hAnsi="Century Gothic"/>
          <w:b/>
          <w:bCs/>
          <w:color w:val="000000" w:themeColor="text1"/>
          <w:sz w:val="22"/>
          <w:szCs w:val="22"/>
        </w:rPr>
        <w:t xml:space="preserve"> </w:t>
      </w:r>
      <w:r w:rsidRPr="00D2561F">
        <w:rPr>
          <w:rFonts w:ascii="Century Gothic" w:hAnsi="Century Gothic"/>
          <w:color w:val="000000" w:themeColor="text1"/>
          <w:sz w:val="22"/>
          <w:szCs w:val="22"/>
        </w:rPr>
        <w:t>de la persona obligada a dar alimentos o del deudor alimentario. El juez será encargado de establecer la solvencia económica del alimentante tomando en cuenta los documentos y certificados aportados por las entidades e instituciones requeridas para aportar prueba de la capacidad económica del deudor alimentario, pruebas que aporte o solicite la parte demandante, su patrimonio, posición social, costumbres y en general todos los antecedentes y circunstancias que sirvan para evaluar su capacidad económica. En todo caso se presumirá que devenga al menos el salario mínimo legal.”</w:t>
      </w:r>
    </w:p>
    <w:p w14:paraId="7F256B05"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B06"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19º TASACIÓN DE ALIMENTOS. </w:t>
      </w:r>
      <w:r w:rsidRPr="00D2561F">
        <w:rPr>
          <w:rFonts w:ascii="Century Gothic" w:hAnsi="Century Gothic"/>
          <w:color w:val="000000" w:themeColor="text1"/>
          <w:sz w:val="22"/>
          <w:szCs w:val="22"/>
        </w:rPr>
        <w:t>Modifíquese el artículo 419 del Código Civil, el cuál quedará así:</w:t>
      </w:r>
    </w:p>
    <w:p w14:paraId="7F256B07"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“ARTÍCULO 419. TASACIÓN DE ALIMENTOS.</w:t>
      </w:r>
      <w:r w:rsidRPr="00D2561F">
        <w:rPr>
          <w:rFonts w:ascii="Century Gothic" w:hAnsi="Century Gothic"/>
          <w:color w:val="000000" w:themeColor="text1"/>
          <w:sz w:val="22"/>
          <w:szCs w:val="22"/>
        </w:rPr>
        <w:t xml:space="preserve"> En la tasación de los alimentos se deberán tomar siempre en consideración las facultades de la persona obligada a dar alimentos o del deudor y sus circunstancias domésticas. Igualmente, se deberá considerar la distribución y tasación económica del trabajo de cuidado para la sobrevivencia del alimentario.”</w:t>
      </w:r>
    </w:p>
    <w:p w14:paraId="7F256B08" w14:textId="77777777" w:rsidR="001F6316" w:rsidRPr="00D2561F" w:rsidRDefault="001F6316" w:rsidP="008032FD">
      <w:pPr>
        <w:spacing w:line="276" w:lineRule="auto"/>
        <w:rPr>
          <w:rFonts w:ascii="Century Gothic" w:hAnsi="Century Gothic"/>
          <w:color w:val="000000" w:themeColor="text1"/>
          <w:sz w:val="22"/>
          <w:szCs w:val="22"/>
        </w:rPr>
      </w:pPr>
    </w:p>
    <w:p w14:paraId="7F256B09"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ARTÍCULO 20º</w:t>
      </w:r>
      <w:r w:rsidRPr="00D2561F">
        <w:rPr>
          <w:rFonts w:ascii="Century Gothic" w:hAnsi="Century Gothic"/>
          <w:color w:val="000000" w:themeColor="text1"/>
          <w:sz w:val="22"/>
          <w:szCs w:val="22"/>
        </w:rPr>
        <w:t xml:space="preserve">. </w:t>
      </w:r>
      <w:r w:rsidRPr="00D2561F">
        <w:rPr>
          <w:rFonts w:ascii="Century Gothic" w:hAnsi="Century Gothic"/>
          <w:b/>
          <w:bCs/>
          <w:color w:val="000000" w:themeColor="text1"/>
          <w:sz w:val="22"/>
          <w:szCs w:val="22"/>
        </w:rPr>
        <w:t>EXTENSIÓN DEL ALCANCE NORMAS DE INFANCIA Y ADOLESCENCIA.</w:t>
      </w:r>
      <w:r w:rsidRPr="00D2561F">
        <w:rPr>
          <w:rFonts w:ascii="Century Gothic" w:hAnsi="Century Gothic"/>
          <w:color w:val="000000" w:themeColor="text1"/>
          <w:sz w:val="22"/>
          <w:szCs w:val="22"/>
        </w:rPr>
        <w:t xml:space="preserve"> Las medidas dispuestas en el artículo 129 y 130 del Código de Infancia y Adolescencia, Ley 1098 de 2006, o la norma que lo modifique o sustituya serán aplicables a los demás procesos de alimentos en los que los titulares del derecho de alimento sean diferentes a niños, niñas y adolescentes.</w:t>
      </w:r>
    </w:p>
    <w:p w14:paraId="7F256B0A" w14:textId="77777777" w:rsidR="001F6316" w:rsidRPr="00D2561F" w:rsidRDefault="001F6316" w:rsidP="008032FD">
      <w:pPr>
        <w:spacing w:line="276" w:lineRule="auto"/>
        <w:rPr>
          <w:rFonts w:ascii="Century Gothic" w:hAnsi="Century Gothic"/>
          <w:color w:val="000000" w:themeColor="text1"/>
          <w:sz w:val="22"/>
          <w:szCs w:val="22"/>
        </w:rPr>
      </w:pPr>
    </w:p>
    <w:p w14:paraId="7F256B0C" w14:textId="77777777" w:rsidR="001F6316" w:rsidRPr="00D2561F" w:rsidRDefault="00B14FA6" w:rsidP="008032FD">
      <w:pPr>
        <w:spacing w:line="276" w:lineRule="auto"/>
        <w:jc w:val="center"/>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CAPÍTULO IV</w:t>
      </w:r>
    </w:p>
    <w:p w14:paraId="7F256B0E" w14:textId="77777777" w:rsidR="001F6316" w:rsidRPr="00D2561F" w:rsidRDefault="00B14FA6" w:rsidP="008032FD">
      <w:pPr>
        <w:spacing w:line="276" w:lineRule="auto"/>
        <w:jc w:val="center"/>
        <w:rPr>
          <w:rFonts w:ascii="Century Gothic" w:hAnsi="Century Gothic"/>
          <w:color w:val="000000" w:themeColor="text1"/>
          <w:sz w:val="22"/>
          <w:szCs w:val="22"/>
        </w:rPr>
      </w:pPr>
      <w:r w:rsidRPr="00D2561F">
        <w:rPr>
          <w:rFonts w:ascii="Century Gothic" w:hAnsi="Century Gothic"/>
          <w:b/>
          <w:bCs/>
          <w:color w:val="000000" w:themeColor="text1"/>
          <w:sz w:val="22"/>
          <w:szCs w:val="22"/>
        </w:rPr>
        <w:t>DISPOSICIONES FINALES</w:t>
      </w:r>
    </w:p>
    <w:p w14:paraId="7F256B0F"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B10"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21º. MECANISMO DE PAGOS POR LIBRANZA. </w:t>
      </w:r>
      <w:r w:rsidRPr="00D2561F">
        <w:rPr>
          <w:rFonts w:ascii="Century Gothic" w:hAnsi="Century Gothic"/>
          <w:color w:val="000000" w:themeColor="text1"/>
          <w:sz w:val="22"/>
          <w:szCs w:val="22"/>
        </w:rPr>
        <w:t>De conformidad con lo establecido en el artículo 6 de la Ley 2242 de 2022 "Estado Contigo", créase el mecanismo de pagos por libranza cuando exista cuota de alimentos por conciliación o sentencia judicial. Este mecanismo permitirá el descuento directo del salario o ingresos periódicos del obligado y su transferencia a una cuenta de disposición exclusiva del beneficiario, a través de medios automáticos de pago.</w:t>
      </w:r>
    </w:p>
    <w:p w14:paraId="7F256B11" w14:textId="721C2F95"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Parágrafo 1. </w:t>
      </w:r>
      <w:r w:rsidRPr="00D2561F">
        <w:rPr>
          <w:rFonts w:ascii="Century Gothic" w:hAnsi="Century Gothic"/>
          <w:color w:val="000000" w:themeColor="text1"/>
          <w:sz w:val="22"/>
          <w:szCs w:val="22"/>
        </w:rPr>
        <w:t>El empleador o la entidad pagadora deberá realizar el descuento automático de la cuota alimentaria establecida en la conciliación o sentencia, una vez reciba copia de dicha decisión. La consignación se efectuará mediante la Planilla Integrada de Liquidación de Aportes (PILA) a una cuenta especial a nombre del beneficiario, con acceso exclusivo para quien ejerza la patria potestad o representación legal del beneficiario, si fuere el caso.</w:t>
      </w:r>
    </w:p>
    <w:p w14:paraId="7F256B12"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Parágrafo 2. </w:t>
      </w:r>
      <w:r w:rsidRPr="00D2561F">
        <w:rPr>
          <w:rFonts w:ascii="Century Gothic" w:hAnsi="Century Gothic"/>
          <w:color w:val="000000" w:themeColor="text1"/>
          <w:sz w:val="22"/>
          <w:szCs w:val="22"/>
        </w:rPr>
        <w:t>En caso de controversia judicial sobre la conciliación o sentencia de alimentos, los pagos descontados al obligado se consignarán en la cuenta especial del beneficiario, quedando sujetos a las órdenes judiciales que resuelvan la disputa.</w:t>
      </w:r>
    </w:p>
    <w:p w14:paraId="7F256B13" w14:textId="77777777" w:rsidR="001F6316" w:rsidRPr="00D2561F" w:rsidRDefault="00B14FA6" w:rsidP="008032FD">
      <w:pPr>
        <w:spacing w:line="276" w:lineRule="auto"/>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 xml:space="preserve">Parágrafo 3. </w:t>
      </w:r>
      <w:r w:rsidRPr="00D2561F">
        <w:rPr>
          <w:rFonts w:ascii="Century Gothic" w:hAnsi="Century Gothic"/>
          <w:color w:val="000000" w:themeColor="text1"/>
          <w:sz w:val="22"/>
          <w:szCs w:val="22"/>
        </w:rPr>
        <w:t>El Gobierno Nacional, en cabeza del Ministerio de Justicia y del Derecho, en coordinación con la Consejería Presidencial para la Equidad de la Mujer o la entidad que haga sus veces, reglamentará el mecanismo de pagos por libranza, en cumplimiento de la Ley 2242 de 2022 “Estado Contigo”, en plazo no mayor a seis (6) meses, a partir de la entrada en vigencia de la presente Ley.</w:t>
      </w:r>
    </w:p>
    <w:p w14:paraId="7F256B14"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B16"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22º. DIFUSIÓN Y CAPACITACIÓN. </w:t>
      </w:r>
      <w:r w:rsidRPr="00D2561F">
        <w:rPr>
          <w:rFonts w:ascii="Century Gothic" w:hAnsi="Century Gothic"/>
          <w:color w:val="000000" w:themeColor="text1"/>
          <w:sz w:val="22"/>
          <w:szCs w:val="22"/>
        </w:rPr>
        <w:t>La Escuela Judicial Rodrigo Lara Bonilla impartirá un módulo y/o actualizará los existentes, sobre el concepto y aplicación de la presente ley, en relación al amparo de alimentos y la nueva disposición procesal sobre la capacidad económica de la persona obligada a dar alimentos y/o del deudor alimentario.</w:t>
      </w:r>
    </w:p>
    <w:p w14:paraId="13C7C6A4" w14:textId="77777777" w:rsidR="005221B3" w:rsidRPr="00D2561F" w:rsidRDefault="005221B3" w:rsidP="008032FD">
      <w:pPr>
        <w:pBdr>
          <w:top w:val="nil"/>
          <w:left w:val="nil"/>
          <w:bottom w:val="nil"/>
          <w:right w:val="nil"/>
          <w:between w:val="nil"/>
        </w:pBdr>
        <w:spacing w:after="160" w:line="276" w:lineRule="auto"/>
        <w:jc w:val="both"/>
        <w:rPr>
          <w:rFonts w:ascii="Century Gothic" w:hAnsi="Century Gothic"/>
          <w:b/>
          <w:bCs/>
          <w:color w:val="000000" w:themeColor="text1"/>
          <w:sz w:val="22"/>
          <w:szCs w:val="22"/>
        </w:rPr>
      </w:pPr>
    </w:p>
    <w:p w14:paraId="7F256B18" w14:textId="1E829CD8"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23º. PROCESOS EN CURSO. </w:t>
      </w:r>
      <w:r w:rsidRPr="00D2561F">
        <w:rPr>
          <w:rFonts w:ascii="Century Gothic" w:hAnsi="Century Gothic"/>
          <w:color w:val="000000" w:themeColor="text1"/>
          <w:sz w:val="22"/>
          <w:szCs w:val="22"/>
        </w:rPr>
        <w:t>Los procesos declarativos o ejecutivos sobre alimentos que se encuentren en curso al momento de la entrada en vigencia de la presente ley, podrán ventilarse ante el mismo juez y en el mismo expediente mediante el proceso de amparo alimentario por decisión del juez, a solicitud de parte o de oficio, cuando se adviertan los supuestos de hecho del amparo alimentario.</w:t>
      </w:r>
    </w:p>
    <w:p w14:paraId="7F256B19"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Los términos del proceso de amparo alimentario contarán a partir de la fecha de la notificación del auto que da inicio el proceso de amparo alimentario. La sentencia del proceso de amparo alimentario dará por terminado el proceso declarativo o ejecutivo en curso.</w:t>
      </w:r>
    </w:p>
    <w:p w14:paraId="7F256B1B"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24º. INICIO DE OFICIO DEL PROCESO. </w:t>
      </w:r>
      <w:r w:rsidRPr="00D2561F">
        <w:rPr>
          <w:rFonts w:ascii="Century Gothic" w:hAnsi="Century Gothic"/>
          <w:color w:val="000000" w:themeColor="text1"/>
          <w:sz w:val="22"/>
          <w:szCs w:val="22"/>
        </w:rPr>
        <w:t>Cuando el peticionario acuda al proceso declarativo de alimentos o al proceso ejecutivo de alimentos, pero sea manifiesto en la demanda que se cumplen los supuestos de hecho de procedibilidad del amparo alimentario, el juez podrá iniciar el proceso de amparo de oficio en lugar del proceso declarativo o ejecutivo, en ese caso los términos del proceso de amparo alimentario contarán a partir de la fecha de la notificación del auto que da inicio el proceso de amparo alimentario. </w:t>
      </w:r>
    </w:p>
    <w:p w14:paraId="7F256B1C"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Del mismo modo cuando en cualquier etapa del proceso de amparo cuando el juez encuentre que no se cumplen los supuestos de hecho de procedibilidad del amparo alimentario podrá iniciar de oficio y por medio de auto el respectivo proceso declarativo de alimentos o del proceso ejecutivo de alimentos.</w:t>
      </w:r>
    </w:p>
    <w:p w14:paraId="7F256B1D"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Parágrafo.</w:t>
      </w:r>
      <w:r w:rsidRPr="00D2561F">
        <w:rPr>
          <w:rFonts w:ascii="Century Gothic" w:hAnsi="Century Gothic"/>
          <w:color w:val="000000" w:themeColor="text1"/>
          <w:sz w:val="22"/>
          <w:szCs w:val="22"/>
        </w:rPr>
        <w:t xml:space="preserve"> En el evento señalado en el inciso segundo o cuando el accionante acuda sin abogado al proceso declarativo de alimentos o del proceso ejecutivo de alimentos, el juez podrá asignar amparo de pobreza, abogado de oficio o asistencia a través de defensor de familia, la Defensoría del Pueblo u consultorio jurídico.</w:t>
      </w:r>
    </w:p>
    <w:p w14:paraId="7F256B1F" w14:textId="77777777" w:rsidR="001F6316" w:rsidRPr="00D2561F" w:rsidRDefault="00B14FA6" w:rsidP="008032FD">
      <w:pPr>
        <w:pBdr>
          <w:top w:val="nil"/>
          <w:left w:val="nil"/>
          <w:bottom w:val="nil"/>
          <w:right w:val="nil"/>
          <w:between w:val="nil"/>
        </w:pBdr>
        <w:spacing w:after="160"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25º. TUTELA CONTRA PROVIDENCIAS DE AMPARO ALIMENTARIO. </w:t>
      </w:r>
      <w:r w:rsidRPr="00D2561F">
        <w:rPr>
          <w:rFonts w:ascii="Century Gothic" w:hAnsi="Century Gothic"/>
          <w:color w:val="000000" w:themeColor="text1"/>
          <w:sz w:val="22"/>
          <w:szCs w:val="22"/>
        </w:rPr>
        <w:t>Añádase el artículo 40A al Decreto Ley 2591 de 1991 el cual quedará así:</w:t>
      </w:r>
    </w:p>
    <w:p w14:paraId="7F256B20" w14:textId="00D78CD8" w:rsidR="001F6316" w:rsidRPr="00D2561F" w:rsidRDefault="00B14FA6" w:rsidP="008032FD">
      <w:pPr>
        <w:pBdr>
          <w:top w:val="nil"/>
          <w:left w:val="nil"/>
          <w:bottom w:val="nil"/>
          <w:right w:val="nil"/>
          <w:between w:val="nil"/>
        </w:pBdr>
        <w:spacing w:after="160" w:line="276" w:lineRule="auto"/>
        <w:ind w:left="567" w:right="616"/>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40Aº. Tutela contra providencias de Amparo Alimentario. </w:t>
      </w:r>
      <w:r w:rsidRPr="00D2561F">
        <w:rPr>
          <w:rFonts w:ascii="Century Gothic" w:hAnsi="Century Gothic"/>
          <w:color w:val="000000" w:themeColor="text1"/>
          <w:sz w:val="22"/>
          <w:szCs w:val="22"/>
        </w:rPr>
        <w:t>La Acción de tutela contra providencias proferidas en los procesos de amparo alimentario se regirán por analogía por las mismas reglas y principios que rigen las acciones de tutela contra providencias proferidas en sentencias de tutela.”</w:t>
      </w:r>
      <w:r w:rsidR="008032FD" w:rsidRPr="00D2561F">
        <w:rPr>
          <w:rFonts w:ascii="Century Gothic" w:hAnsi="Century Gothic"/>
          <w:color w:val="000000" w:themeColor="text1"/>
          <w:sz w:val="22"/>
          <w:szCs w:val="22"/>
        </w:rPr>
        <w:tab/>
      </w:r>
      <w:r w:rsidRPr="00D2561F">
        <w:rPr>
          <w:rFonts w:ascii="Century Gothic" w:hAnsi="Century Gothic"/>
          <w:color w:val="000000" w:themeColor="text1"/>
          <w:sz w:val="22"/>
          <w:szCs w:val="22"/>
        </w:rPr>
        <w:br/>
      </w:r>
    </w:p>
    <w:p w14:paraId="7F256B21" w14:textId="77777777" w:rsidR="001F6316" w:rsidRPr="00D2561F" w:rsidRDefault="00B14FA6" w:rsidP="008032FD">
      <w:pPr>
        <w:spacing w:line="276" w:lineRule="auto"/>
        <w:jc w:val="both"/>
        <w:rPr>
          <w:rFonts w:ascii="Century Gothic" w:hAnsi="Century Gothic"/>
          <w:color w:val="000000" w:themeColor="text1"/>
          <w:sz w:val="22"/>
          <w:szCs w:val="22"/>
        </w:rPr>
      </w:pPr>
      <w:r w:rsidRPr="00D2561F">
        <w:rPr>
          <w:rFonts w:ascii="Century Gothic" w:hAnsi="Century Gothic"/>
          <w:b/>
          <w:bCs/>
          <w:color w:val="000000" w:themeColor="text1"/>
          <w:sz w:val="22"/>
          <w:szCs w:val="22"/>
        </w:rPr>
        <w:t xml:space="preserve">ARTÍCULO 26°. ADICIONES Y MODIFICACIONES. </w:t>
      </w:r>
      <w:r w:rsidRPr="00D2561F">
        <w:rPr>
          <w:rFonts w:ascii="Century Gothic" w:hAnsi="Century Gothic"/>
          <w:color w:val="000000" w:themeColor="text1"/>
          <w:sz w:val="22"/>
          <w:szCs w:val="22"/>
        </w:rPr>
        <w:t>La presente ley adiciona el artículo 40A al Decreto Ley 2591 de 1991, y modifica el artículo 419 del Código Civil colombiano, así como el inciso primero del artículo 129 de la Ley 1098 de 2006.</w:t>
      </w:r>
    </w:p>
    <w:p w14:paraId="7F256B22" w14:textId="77777777" w:rsidR="001F6316" w:rsidRPr="00D2561F" w:rsidRDefault="001F6316" w:rsidP="008032FD">
      <w:pPr>
        <w:spacing w:line="276" w:lineRule="auto"/>
        <w:jc w:val="both"/>
        <w:rPr>
          <w:rFonts w:ascii="Century Gothic" w:hAnsi="Century Gothic"/>
          <w:b/>
          <w:bCs/>
          <w:color w:val="000000" w:themeColor="text1"/>
          <w:sz w:val="22"/>
          <w:szCs w:val="22"/>
        </w:rPr>
      </w:pPr>
    </w:p>
    <w:p w14:paraId="7F256B24" w14:textId="77777777" w:rsidR="001F6316" w:rsidRPr="00D2561F" w:rsidRDefault="00B14FA6" w:rsidP="008032FD">
      <w:pPr>
        <w:spacing w:line="276" w:lineRule="auto"/>
        <w:jc w:val="both"/>
        <w:rPr>
          <w:rFonts w:ascii="Century Gothic" w:hAnsi="Century Gothic"/>
          <w:b/>
          <w:bCs/>
          <w:color w:val="000000" w:themeColor="text1"/>
          <w:sz w:val="22"/>
          <w:szCs w:val="22"/>
        </w:rPr>
      </w:pPr>
      <w:r w:rsidRPr="00D2561F">
        <w:rPr>
          <w:rFonts w:ascii="Century Gothic" w:hAnsi="Century Gothic"/>
          <w:b/>
          <w:bCs/>
          <w:color w:val="000000" w:themeColor="text1"/>
          <w:sz w:val="22"/>
          <w:szCs w:val="22"/>
        </w:rPr>
        <w:t xml:space="preserve">ARTÍCULO 27º. VIGENCIA. </w:t>
      </w:r>
      <w:r w:rsidRPr="00D2561F">
        <w:rPr>
          <w:rFonts w:ascii="Century Gothic" w:hAnsi="Century Gothic"/>
          <w:color w:val="000000" w:themeColor="text1"/>
          <w:sz w:val="22"/>
          <w:szCs w:val="22"/>
        </w:rPr>
        <w:t>La presente ley rige cumplidos los seis (6) meses siguientes a su publicación.</w:t>
      </w:r>
    </w:p>
    <w:p w14:paraId="7F256B26" w14:textId="77777777" w:rsidR="001F6316" w:rsidRPr="00D2561F" w:rsidRDefault="001F6316" w:rsidP="008032FD">
      <w:pPr>
        <w:spacing w:line="276" w:lineRule="auto"/>
        <w:jc w:val="both"/>
        <w:rPr>
          <w:rFonts w:ascii="Century Gothic" w:hAnsi="Century Gothic"/>
          <w:i/>
          <w:iCs/>
          <w:color w:val="000000" w:themeColor="text1"/>
          <w:sz w:val="22"/>
          <w:szCs w:val="22"/>
        </w:rPr>
      </w:pPr>
    </w:p>
    <w:p w14:paraId="7F256B27" w14:textId="77777777" w:rsidR="001F6316" w:rsidRPr="00D2561F" w:rsidRDefault="00B14FA6" w:rsidP="008032FD">
      <w:pPr>
        <w:tabs>
          <w:tab w:val="left" w:pos="6045"/>
        </w:tabs>
        <w:spacing w:line="276" w:lineRule="auto"/>
        <w:jc w:val="both"/>
        <w:rPr>
          <w:rFonts w:ascii="Century Gothic" w:hAnsi="Century Gothic"/>
          <w:color w:val="000000" w:themeColor="text1"/>
          <w:sz w:val="22"/>
          <w:szCs w:val="22"/>
        </w:rPr>
      </w:pPr>
      <w:r w:rsidRPr="00D2561F">
        <w:rPr>
          <w:rFonts w:ascii="Century Gothic" w:hAnsi="Century Gothic"/>
          <w:color w:val="000000" w:themeColor="text1"/>
          <w:sz w:val="22"/>
          <w:szCs w:val="22"/>
        </w:rPr>
        <w:t xml:space="preserve">Cordialmente, </w:t>
      </w:r>
    </w:p>
    <w:p w14:paraId="7F256B28" w14:textId="77777777" w:rsidR="001F6316" w:rsidRPr="00D2561F" w:rsidRDefault="001F6316" w:rsidP="00DE7A48">
      <w:pPr>
        <w:tabs>
          <w:tab w:val="left" w:pos="6045"/>
        </w:tabs>
        <w:spacing w:line="276" w:lineRule="auto"/>
        <w:jc w:val="both"/>
        <w:rPr>
          <w:rFonts w:ascii="Century Gothic" w:hAnsi="Century Gothic"/>
          <w:color w:val="000000" w:themeColor="text1"/>
          <w:sz w:val="20"/>
          <w:szCs w:val="20"/>
        </w:rPr>
      </w:pPr>
    </w:p>
    <w:tbl>
      <w:tblPr>
        <w:tblStyle w:val="Tablaconcuadrcula"/>
        <w:tblW w:w="93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53"/>
      </w:tblGrid>
      <w:tr w:rsidR="00421353" w:rsidRPr="00D2561F" w14:paraId="2CEC3393" w14:textId="77777777" w:rsidTr="00D2561F">
        <w:tc>
          <w:tcPr>
            <w:tcW w:w="4673" w:type="dxa"/>
          </w:tcPr>
          <w:p w14:paraId="4824A6A9" w14:textId="0E9DC8D5" w:rsidR="00421353" w:rsidRDefault="00421353" w:rsidP="002C4B5A">
            <w:pPr>
              <w:spacing w:line="276" w:lineRule="auto"/>
              <w:rPr>
                <w:rFonts w:ascii="Century Gothic" w:hAnsi="Century Gothic"/>
                <w:b/>
                <w:bCs/>
                <w:color w:val="000000" w:themeColor="text1"/>
                <w:sz w:val="20"/>
                <w:szCs w:val="20"/>
              </w:rPr>
            </w:pPr>
          </w:p>
          <w:p w14:paraId="4949E6C1" w14:textId="77777777" w:rsidR="00D2561F" w:rsidRPr="00D2561F" w:rsidRDefault="00D2561F" w:rsidP="002C4B5A">
            <w:pPr>
              <w:spacing w:line="276" w:lineRule="auto"/>
              <w:rPr>
                <w:rFonts w:ascii="Century Gothic" w:hAnsi="Century Gothic"/>
                <w:b/>
                <w:bCs/>
                <w:color w:val="000000" w:themeColor="text1"/>
                <w:sz w:val="20"/>
                <w:szCs w:val="20"/>
              </w:rPr>
            </w:pPr>
          </w:p>
          <w:p w14:paraId="411A814E" w14:textId="77777777" w:rsidR="00421353" w:rsidRPr="00D2561F" w:rsidRDefault="00421353" w:rsidP="002C4B5A">
            <w:pPr>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DELCY ESPERANZA ISAZA BUENAVENTURA</w:t>
            </w:r>
          </w:p>
          <w:p w14:paraId="30DF53FF" w14:textId="77777777" w:rsidR="00421353" w:rsidRPr="00D2561F" w:rsidRDefault="00421353" w:rsidP="002C4B5A">
            <w:pPr>
              <w:pBdr>
                <w:top w:val="nil"/>
                <w:left w:val="nil"/>
                <w:bottom w:val="nil"/>
                <w:right w:val="nil"/>
                <w:between w:val="nil"/>
              </w:pBdr>
              <w:spacing w:line="276" w:lineRule="auto"/>
              <w:rPr>
                <w:rFonts w:ascii="Century Gothic" w:hAnsi="Century Gothic"/>
                <w:color w:val="000000" w:themeColor="text1"/>
                <w:sz w:val="20"/>
                <w:szCs w:val="20"/>
              </w:rPr>
            </w:pPr>
            <w:r w:rsidRPr="00D2561F">
              <w:rPr>
                <w:rFonts w:ascii="Century Gothic" w:hAnsi="Century Gothic"/>
                <w:color w:val="000000" w:themeColor="text1"/>
                <w:sz w:val="20"/>
                <w:szCs w:val="20"/>
              </w:rPr>
              <w:t xml:space="preserve">Representante a la Cámara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Ponente Coordinadora</w:t>
            </w:r>
          </w:p>
        </w:tc>
        <w:tc>
          <w:tcPr>
            <w:tcW w:w="4653" w:type="dxa"/>
          </w:tcPr>
          <w:p w14:paraId="02A61C22" w14:textId="77777777" w:rsidR="00421353" w:rsidRDefault="00421353" w:rsidP="002C4B5A">
            <w:pPr>
              <w:tabs>
                <w:tab w:val="left" w:pos="6045"/>
              </w:tabs>
              <w:spacing w:line="276" w:lineRule="auto"/>
              <w:rPr>
                <w:rFonts w:ascii="Century Gothic" w:hAnsi="Century Gothic"/>
                <w:b/>
                <w:bCs/>
                <w:color w:val="000000" w:themeColor="text1"/>
                <w:sz w:val="20"/>
                <w:szCs w:val="20"/>
              </w:rPr>
            </w:pPr>
          </w:p>
          <w:p w14:paraId="6216164D" w14:textId="77777777" w:rsidR="00D2561F" w:rsidRPr="00D2561F" w:rsidRDefault="00D2561F" w:rsidP="002C4B5A">
            <w:pPr>
              <w:tabs>
                <w:tab w:val="left" w:pos="6045"/>
              </w:tabs>
              <w:spacing w:line="276" w:lineRule="auto"/>
              <w:rPr>
                <w:rFonts w:ascii="Century Gothic" w:hAnsi="Century Gothic"/>
                <w:b/>
                <w:bCs/>
                <w:color w:val="000000" w:themeColor="text1"/>
                <w:sz w:val="20"/>
                <w:szCs w:val="20"/>
              </w:rPr>
            </w:pPr>
          </w:p>
          <w:p w14:paraId="3991E432" w14:textId="77777777" w:rsidR="00421353" w:rsidRPr="00D2561F" w:rsidRDefault="00421353" w:rsidP="002C4B5A">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t>JULIO CÉSAR TRIANA QUINTERO</w:t>
            </w:r>
            <w:r w:rsidRPr="00D2561F">
              <w:rPr>
                <w:rFonts w:ascii="Century Gothic" w:hAnsi="Century Gothic"/>
                <w:b/>
                <w:bCs/>
                <w:color w:val="000000" w:themeColor="text1"/>
                <w:sz w:val="20"/>
                <w:szCs w:val="20"/>
              </w:rPr>
              <w:br/>
            </w:r>
            <w:r w:rsidRPr="00D2561F">
              <w:rPr>
                <w:rFonts w:ascii="Century Gothic" w:hAnsi="Century Gothic"/>
                <w:color w:val="000000" w:themeColor="text1"/>
                <w:sz w:val="20"/>
                <w:szCs w:val="20"/>
              </w:rPr>
              <w:t xml:space="preserve">Representante a la Cámara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Ponente</w:t>
            </w:r>
          </w:p>
        </w:tc>
      </w:tr>
      <w:tr w:rsidR="00421353" w:rsidRPr="00D2561F" w14:paraId="7F8083A6" w14:textId="77777777" w:rsidTr="00D2561F">
        <w:tc>
          <w:tcPr>
            <w:tcW w:w="4673" w:type="dxa"/>
          </w:tcPr>
          <w:p w14:paraId="7C835DF9" w14:textId="77777777" w:rsidR="00421353" w:rsidRPr="00D2561F" w:rsidRDefault="00421353" w:rsidP="002C4B5A">
            <w:pPr>
              <w:tabs>
                <w:tab w:val="left" w:pos="6045"/>
              </w:tabs>
              <w:spacing w:line="276" w:lineRule="auto"/>
              <w:rPr>
                <w:rFonts w:ascii="Century Gothic" w:hAnsi="Century Gothic"/>
                <w:b/>
                <w:bCs/>
                <w:color w:val="000000" w:themeColor="text1"/>
                <w:sz w:val="20"/>
                <w:szCs w:val="20"/>
              </w:rPr>
            </w:pPr>
          </w:p>
          <w:p w14:paraId="38CA3254" w14:textId="77777777" w:rsidR="00D2561F" w:rsidRDefault="00D2561F" w:rsidP="002C4B5A">
            <w:pPr>
              <w:tabs>
                <w:tab w:val="left" w:pos="6045"/>
              </w:tabs>
              <w:spacing w:line="276" w:lineRule="auto"/>
              <w:rPr>
                <w:rFonts w:ascii="Century Gothic" w:hAnsi="Century Gothic"/>
                <w:b/>
                <w:bCs/>
                <w:color w:val="000000" w:themeColor="text1"/>
                <w:sz w:val="20"/>
                <w:szCs w:val="20"/>
              </w:rPr>
            </w:pPr>
          </w:p>
          <w:p w14:paraId="56B915E9" w14:textId="32F33F25" w:rsidR="00421353" w:rsidRPr="00D2561F" w:rsidRDefault="00421353" w:rsidP="002C4B5A">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JENNIFER DALLEY PEDRAZA</w:t>
            </w:r>
            <w:r w:rsidRPr="00D2561F">
              <w:rPr>
                <w:rFonts w:ascii="Century Gothic" w:hAnsi="Century Gothic"/>
                <w:b/>
                <w:bCs/>
                <w:color w:val="000000" w:themeColor="text1"/>
                <w:sz w:val="20"/>
                <w:szCs w:val="20"/>
              </w:rPr>
              <w:br/>
            </w:r>
            <w:r w:rsidRPr="00D2561F">
              <w:rPr>
                <w:rFonts w:ascii="Century Gothic" w:hAnsi="Century Gothic"/>
                <w:color w:val="000000" w:themeColor="text1"/>
                <w:sz w:val="20"/>
                <w:szCs w:val="20"/>
              </w:rPr>
              <w:t xml:space="preserve">Representante a la Cámara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Ponente</w:t>
            </w:r>
          </w:p>
        </w:tc>
        <w:tc>
          <w:tcPr>
            <w:tcW w:w="4653" w:type="dxa"/>
          </w:tcPr>
          <w:p w14:paraId="158A809C" w14:textId="77777777" w:rsidR="00421353" w:rsidRPr="00D2561F" w:rsidRDefault="00421353" w:rsidP="002C4B5A">
            <w:pPr>
              <w:tabs>
                <w:tab w:val="left" w:pos="6045"/>
              </w:tabs>
              <w:spacing w:line="276" w:lineRule="auto"/>
              <w:rPr>
                <w:rFonts w:ascii="Century Gothic" w:hAnsi="Century Gothic"/>
                <w:b/>
                <w:bCs/>
                <w:color w:val="000000" w:themeColor="text1"/>
                <w:sz w:val="20"/>
                <w:szCs w:val="20"/>
              </w:rPr>
            </w:pPr>
          </w:p>
          <w:p w14:paraId="525C1DE2" w14:textId="77777777" w:rsidR="00D2561F" w:rsidRDefault="00D2561F" w:rsidP="002C4B5A">
            <w:pPr>
              <w:tabs>
                <w:tab w:val="left" w:pos="6045"/>
              </w:tabs>
              <w:spacing w:line="276" w:lineRule="auto"/>
              <w:rPr>
                <w:rFonts w:ascii="Century Gothic" w:hAnsi="Century Gothic"/>
                <w:b/>
                <w:bCs/>
                <w:color w:val="000000" w:themeColor="text1"/>
                <w:sz w:val="20"/>
                <w:szCs w:val="20"/>
              </w:rPr>
            </w:pPr>
          </w:p>
          <w:p w14:paraId="7D74A8E6" w14:textId="68319CE0" w:rsidR="00421353" w:rsidRPr="00D2561F" w:rsidRDefault="00421353" w:rsidP="002C4B5A">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PIEDAD CORREAL RUBIANO</w:t>
            </w:r>
            <w:r w:rsidRPr="00D2561F">
              <w:rPr>
                <w:rFonts w:ascii="Century Gothic" w:hAnsi="Century Gothic"/>
                <w:b/>
                <w:bCs/>
                <w:color w:val="000000" w:themeColor="text1"/>
                <w:sz w:val="20"/>
                <w:szCs w:val="20"/>
              </w:rPr>
              <w:br/>
            </w:r>
            <w:r w:rsidRPr="00D2561F">
              <w:rPr>
                <w:rFonts w:ascii="Century Gothic" w:hAnsi="Century Gothic"/>
                <w:color w:val="000000" w:themeColor="text1"/>
                <w:sz w:val="20"/>
                <w:szCs w:val="20"/>
              </w:rPr>
              <w:t xml:space="preserve">Representante a la Cámara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Ponente</w:t>
            </w:r>
          </w:p>
        </w:tc>
      </w:tr>
      <w:tr w:rsidR="00421353" w:rsidRPr="00D2561F" w14:paraId="1DDB597C" w14:textId="77777777" w:rsidTr="00D2561F">
        <w:tc>
          <w:tcPr>
            <w:tcW w:w="4673" w:type="dxa"/>
          </w:tcPr>
          <w:p w14:paraId="00478081" w14:textId="77777777" w:rsidR="00421353" w:rsidRPr="00D2561F" w:rsidRDefault="00421353" w:rsidP="002C4B5A">
            <w:pPr>
              <w:tabs>
                <w:tab w:val="left" w:pos="6045"/>
              </w:tabs>
              <w:spacing w:line="276" w:lineRule="auto"/>
              <w:rPr>
                <w:rFonts w:ascii="Century Gothic" w:hAnsi="Century Gothic"/>
                <w:b/>
                <w:bCs/>
                <w:color w:val="000000" w:themeColor="text1"/>
                <w:sz w:val="20"/>
                <w:szCs w:val="20"/>
              </w:rPr>
            </w:pPr>
          </w:p>
          <w:p w14:paraId="00CEF323" w14:textId="77777777" w:rsidR="00D2561F" w:rsidRDefault="00D2561F" w:rsidP="002C4B5A">
            <w:pPr>
              <w:tabs>
                <w:tab w:val="left" w:pos="6045"/>
              </w:tabs>
              <w:spacing w:line="276" w:lineRule="auto"/>
              <w:rPr>
                <w:rFonts w:ascii="Century Gothic" w:hAnsi="Century Gothic"/>
                <w:b/>
                <w:bCs/>
                <w:color w:val="000000" w:themeColor="text1"/>
                <w:sz w:val="20"/>
                <w:szCs w:val="20"/>
              </w:rPr>
            </w:pPr>
          </w:p>
          <w:p w14:paraId="52197874" w14:textId="2F984D01" w:rsidR="00421353" w:rsidRPr="00D2561F" w:rsidRDefault="00421353" w:rsidP="002C4B5A">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PEDRO JOSÉ SUÁREZ VACCA</w:t>
            </w:r>
            <w:r w:rsidRPr="00D2561F">
              <w:rPr>
                <w:rFonts w:ascii="Century Gothic" w:hAnsi="Century Gothic"/>
                <w:b/>
                <w:bCs/>
                <w:color w:val="000000" w:themeColor="text1"/>
                <w:sz w:val="20"/>
                <w:szCs w:val="20"/>
              </w:rPr>
              <w:br/>
            </w:r>
            <w:r w:rsidRPr="00D2561F">
              <w:rPr>
                <w:rFonts w:ascii="Century Gothic" w:hAnsi="Century Gothic"/>
                <w:color w:val="000000" w:themeColor="text1"/>
                <w:sz w:val="20"/>
                <w:szCs w:val="20"/>
              </w:rPr>
              <w:t xml:space="preserve">Representante a la Cámara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Ponente</w:t>
            </w:r>
          </w:p>
        </w:tc>
        <w:tc>
          <w:tcPr>
            <w:tcW w:w="4653" w:type="dxa"/>
          </w:tcPr>
          <w:p w14:paraId="362EDEB2" w14:textId="77777777" w:rsidR="00421353" w:rsidRPr="00D2561F" w:rsidRDefault="00421353" w:rsidP="002C4B5A">
            <w:pPr>
              <w:tabs>
                <w:tab w:val="left" w:pos="6045"/>
              </w:tabs>
              <w:spacing w:line="276" w:lineRule="auto"/>
              <w:rPr>
                <w:rFonts w:ascii="Century Gothic" w:hAnsi="Century Gothic"/>
                <w:b/>
                <w:bCs/>
                <w:color w:val="000000" w:themeColor="text1"/>
                <w:sz w:val="20"/>
                <w:szCs w:val="20"/>
              </w:rPr>
            </w:pPr>
          </w:p>
          <w:p w14:paraId="3A60D356" w14:textId="77777777" w:rsidR="00D2561F" w:rsidRDefault="00D2561F" w:rsidP="002C4B5A">
            <w:pPr>
              <w:tabs>
                <w:tab w:val="left" w:pos="6045"/>
              </w:tabs>
              <w:spacing w:line="276" w:lineRule="auto"/>
              <w:rPr>
                <w:rFonts w:ascii="Century Gothic" w:hAnsi="Century Gothic"/>
                <w:b/>
                <w:bCs/>
                <w:color w:val="000000" w:themeColor="text1"/>
                <w:sz w:val="20"/>
                <w:szCs w:val="20"/>
              </w:rPr>
            </w:pPr>
          </w:p>
          <w:p w14:paraId="3F2231C0" w14:textId="769B2ED7" w:rsidR="00421353" w:rsidRPr="00D2561F" w:rsidRDefault="00421353" w:rsidP="002C4B5A">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JOSE JAIME USCÁTEGUI PASTRANA</w:t>
            </w:r>
            <w:r w:rsidRPr="00D2561F">
              <w:rPr>
                <w:rFonts w:ascii="Century Gothic" w:hAnsi="Century Gothic"/>
                <w:b/>
                <w:bCs/>
                <w:color w:val="000000" w:themeColor="text1"/>
                <w:sz w:val="20"/>
                <w:szCs w:val="20"/>
              </w:rPr>
              <w:br/>
            </w:r>
            <w:r w:rsidRPr="00D2561F">
              <w:rPr>
                <w:rFonts w:ascii="Century Gothic" w:hAnsi="Century Gothic"/>
                <w:color w:val="000000" w:themeColor="text1"/>
                <w:sz w:val="20"/>
                <w:szCs w:val="20"/>
              </w:rPr>
              <w:t xml:space="preserve">Representante a la Cámara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Ponente</w:t>
            </w:r>
          </w:p>
        </w:tc>
      </w:tr>
      <w:tr w:rsidR="00421353" w:rsidRPr="00D2561F" w14:paraId="307633F4" w14:textId="77777777" w:rsidTr="00D2561F">
        <w:trPr>
          <w:trHeight w:val="1659"/>
        </w:trPr>
        <w:tc>
          <w:tcPr>
            <w:tcW w:w="4673" w:type="dxa"/>
          </w:tcPr>
          <w:p w14:paraId="0304AF82" w14:textId="77777777" w:rsidR="00421353" w:rsidRDefault="00421353" w:rsidP="002C4B5A">
            <w:pPr>
              <w:tabs>
                <w:tab w:val="left" w:pos="6045"/>
              </w:tabs>
              <w:spacing w:line="276" w:lineRule="auto"/>
              <w:rPr>
                <w:rFonts w:ascii="Century Gothic" w:hAnsi="Century Gothic"/>
                <w:b/>
                <w:bCs/>
                <w:color w:val="000000" w:themeColor="text1"/>
                <w:sz w:val="20"/>
                <w:szCs w:val="20"/>
              </w:rPr>
            </w:pPr>
          </w:p>
          <w:p w14:paraId="1507288A" w14:textId="77777777" w:rsidR="00D2561F" w:rsidRPr="00D2561F" w:rsidRDefault="00D2561F" w:rsidP="002C4B5A">
            <w:pPr>
              <w:tabs>
                <w:tab w:val="left" w:pos="6045"/>
              </w:tabs>
              <w:spacing w:line="276" w:lineRule="auto"/>
              <w:rPr>
                <w:rFonts w:ascii="Century Gothic" w:hAnsi="Century Gothic"/>
                <w:b/>
                <w:bCs/>
                <w:color w:val="000000" w:themeColor="text1"/>
                <w:sz w:val="20"/>
                <w:szCs w:val="20"/>
              </w:rPr>
            </w:pPr>
          </w:p>
          <w:p w14:paraId="65CDD050" w14:textId="77777777" w:rsidR="00421353" w:rsidRPr="00D2561F" w:rsidRDefault="00421353" w:rsidP="002C4B5A">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JAMES HERMENEGILDO MOSQUERA TORRES</w:t>
            </w:r>
            <w:r w:rsidRPr="00D2561F">
              <w:rPr>
                <w:rFonts w:ascii="Century Gothic" w:hAnsi="Century Gothic"/>
                <w:b/>
                <w:bCs/>
                <w:color w:val="000000" w:themeColor="text1"/>
                <w:sz w:val="20"/>
                <w:szCs w:val="20"/>
              </w:rPr>
              <w:br/>
            </w:r>
            <w:r w:rsidRPr="00D2561F">
              <w:rPr>
                <w:rFonts w:ascii="Century Gothic" w:hAnsi="Century Gothic"/>
                <w:color w:val="000000" w:themeColor="text1"/>
                <w:sz w:val="20"/>
                <w:szCs w:val="20"/>
              </w:rPr>
              <w:t xml:space="preserve">Representante a la Cámara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Ponente</w:t>
            </w:r>
          </w:p>
        </w:tc>
        <w:tc>
          <w:tcPr>
            <w:tcW w:w="4653" w:type="dxa"/>
          </w:tcPr>
          <w:p w14:paraId="23BD6ED9" w14:textId="77777777" w:rsidR="00421353" w:rsidRPr="00D2561F" w:rsidRDefault="00421353" w:rsidP="002C4B5A">
            <w:pPr>
              <w:tabs>
                <w:tab w:val="left" w:pos="6045"/>
              </w:tabs>
              <w:spacing w:line="276" w:lineRule="auto"/>
              <w:rPr>
                <w:rFonts w:ascii="Century Gothic" w:hAnsi="Century Gothic"/>
                <w:b/>
                <w:bCs/>
                <w:color w:val="000000" w:themeColor="text1"/>
                <w:sz w:val="20"/>
                <w:szCs w:val="20"/>
              </w:rPr>
            </w:pPr>
          </w:p>
          <w:p w14:paraId="0D5AFCA6" w14:textId="77777777" w:rsidR="00D2561F" w:rsidRDefault="00D2561F" w:rsidP="002C4B5A">
            <w:pPr>
              <w:tabs>
                <w:tab w:val="left" w:pos="6045"/>
              </w:tabs>
              <w:spacing w:line="276" w:lineRule="auto"/>
              <w:rPr>
                <w:rFonts w:ascii="Century Gothic" w:hAnsi="Century Gothic"/>
                <w:b/>
                <w:bCs/>
                <w:color w:val="000000" w:themeColor="text1"/>
                <w:sz w:val="20"/>
                <w:szCs w:val="20"/>
              </w:rPr>
            </w:pPr>
          </w:p>
          <w:p w14:paraId="355246E3" w14:textId="4EAAE689" w:rsidR="00421353" w:rsidRPr="00D2561F" w:rsidRDefault="00421353" w:rsidP="002C4B5A">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JORGE ELIECER TAMAYO MARULANDA</w:t>
            </w:r>
            <w:r w:rsidRPr="00D2561F">
              <w:rPr>
                <w:rFonts w:ascii="Century Gothic" w:hAnsi="Century Gothic"/>
                <w:b/>
                <w:bCs/>
                <w:color w:val="000000" w:themeColor="text1"/>
                <w:sz w:val="20"/>
                <w:szCs w:val="20"/>
              </w:rPr>
              <w:br/>
            </w:r>
            <w:r w:rsidRPr="00D2561F">
              <w:rPr>
                <w:rFonts w:ascii="Century Gothic" w:hAnsi="Century Gothic"/>
                <w:color w:val="000000" w:themeColor="text1"/>
                <w:sz w:val="20"/>
                <w:szCs w:val="20"/>
              </w:rPr>
              <w:t xml:space="preserve">Representante a la Cámara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Ponente</w:t>
            </w:r>
          </w:p>
        </w:tc>
      </w:tr>
      <w:tr w:rsidR="00421353" w:rsidRPr="00D2561F" w14:paraId="5C1AF09F" w14:textId="77777777" w:rsidTr="00D2561F">
        <w:tc>
          <w:tcPr>
            <w:tcW w:w="4673" w:type="dxa"/>
          </w:tcPr>
          <w:p w14:paraId="41B3E80A" w14:textId="77777777" w:rsidR="00421353" w:rsidRPr="00D2561F" w:rsidRDefault="00421353" w:rsidP="002C4B5A">
            <w:pPr>
              <w:tabs>
                <w:tab w:val="left" w:pos="6045"/>
              </w:tabs>
              <w:spacing w:line="276" w:lineRule="auto"/>
              <w:rPr>
                <w:rFonts w:ascii="Century Gothic" w:hAnsi="Century Gothic"/>
                <w:b/>
                <w:bCs/>
                <w:color w:val="000000" w:themeColor="text1"/>
                <w:sz w:val="20"/>
                <w:szCs w:val="20"/>
              </w:rPr>
            </w:pPr>
          </w:p>
          <w:p w14:paraId="53D6198F" w14:textId="77777777" w:rsidR="00D2561F" w:rsidRDefault="00D2561F" w:rsidP="002C4B5A">
            <w:pPr>
              <w:tabs>
                <w:tab w:val="left" w:pos="6045"/>
              </w:tabs>
              <w:spacing w:line="276" w:lineRule="auto"/>
              <w:rPr>
                <w:rFonts w:ascii="Century Gothic" w:hAnsi="Century Gothic"/>
                <w:b/>
                <w:bCs/>
                <w:color w:val="000000" w:themeColor="text1"/>
                <w:sz w:val="20"/>
                <w:szCs w:val="20"/>
              </w:rPr>
            </w:pPr>
          </w:p>
          <w:p w14:paraId="2DD99DA7" w14:textId="1E523C0A" w:rsidR="00421353" w:rsidRPr="00D2561F" w:rsidRDefault="00421353" w:rsidP="002C4B5A">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MARELEN CASTILLO TORRES</w:t>
            </w:r>
            <w:r w:rsidRPr="00D2561F">
              <w:rPr>
                <w:rFonts w:ascii="Century Gothic" w:hAnsi="Century Gothic"/>
                <w:b/>
                <w:bCs/>
                <w:color w:val="000000" w:themeColor="text1"/>
                <w:sz w:val="20"/>
                <w:szCs w:val="20"/>
              </w:rPr>
              <w:br/>
            </w:r>
            <w:r w:rsidRPr="00D2561F">
              <w:rPr>
                <w:rFonts w:ascii="Century Gothic" w:hAnsi="Century Gothic"/>
                <w:color w:val="000000" w:themeColor="text1"/>
                <w:sz w:val="20"/>
                <w:szCs w:val="20"/>
              </w:rPr>
              <w:t xml:space="preserve">Representante a la Cámara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Ponente</w:t>
            </w:r>
          </w:p>
        </w:tc>
        <w:tc>
          <w:tcPr>
            <w:tcW w:w="4653" w:type="dxa"/>
          </w:tcPr>
          <w:p w14:paraId="1081D73A" w14:textId="77777777" w:rsidR="00421353" w:rsidRDefault="00421353" w:rsidP="002C4B5A">
            <w:pPr>
              <w:tabs>
                <w:tab w:val="left" w:pos="6045"/>
              </w:tabs>
              <w:spacing w:line="276" w:lineRule="auto"/>
              <w:rPr>
                <w:rFonts w:ascii="Century Gothic" w:hAnsi="Century Gothic"/>
                <w:b/>
                <w:bCs/>
                <w:color w:val="000000" w:themeColor="text1"/>
                <w:sz w:val="20"/>
                <w:szCs w:val="20"/>
              </w:rPr>
            </w:pPr>
          </w:p>
          <w:p w14:paraId="18E6C573" w14:textId="77777777" w:rsidR="00D2561F" w:rsidRPr="00D2561F" w:rsidRDefault="00D2561F" w:rsidP="002C4B5A">
            <w:pPr>
              <w:tabs>
                <w:tab w:val="left" w:pos="6045"/>
              </w:tabs>
              <w:spacing w:line="276" w:lineRule="auto"/>
              <w:rPr>
                <w:rFonts w:ascii="Century Gothic" w:hAnsi="Century Gothic"/>
                <w:b/>
                <w:bCs/>
                <w:color w:val="000000" w:themeColor="text1"/>
                <w:sz w:val="20"/>
                <w:szCs w:val="20"/>
              </w:rPr>
            </w:pPr>
          </w:p>
          <w:p w14:paraId="602A9174" w14:textId="77777777" w:rsidR="00421353" w:rsidRPr="00D2561F" w:rsidRDefault="00421353" w:rsidP="002C4B5A">
            <w:pPr>
              <w:tabs>
                <w:tab w:val="left" w:pos="6045"/>
              </w:tabs>
              <w:spacing w:line="276" w:lineRule="auto"/>
              <w:rPr>
                <w:rFonts w:ascii="Century Gothic" w:hAnsi="Century Gothic"/>
                <w:b/>
                <w:bCs/>
                <w:color w:val="000000" w:themeColor="text1"/>
                <w:sz w:val="20"/>
                <w:szCs w:val="20"/>
              </w:rPr>
            </w:pPr>
            <w:r w:rsidRPr="00D2561F">
              <w:rPr>
                <w:rFonts w:ascii="Century Gothic" w:hAnsi="Century Gothic"/>
                <w:b/>
                <w:bCs/>
                <w:color w:val="000000" w:themeColor="text1"/>
                <w:sz w:val="20"/>
                <w:szCs w:val="20"/>
              </w:rPr>
              <w:br/>
              <w:t>LUIS ALBERTO ALBÁN</w:t>
            </w:r>
            <w:r w:rsidRPr="00D2561F">
              <w:rPr>
                <w:rFonts w:ascii="Century Gothic" w:hAnsi="Century Gothic"/>
                <w:b/>
                <w:bCs/>
                <w:color w:val="000000" w:themeColor="text1"/>
                <w:sz w:val="20"/>
                <w:szCs w:val="20"/>
              </w:rPr>
              <w:br/>
            </w:r>
            <w:r w:rsidRPr="00D2561F">
              <w:rPr>
                <w:rFonts w:ascii="Century Gothic" w:hAnsi="Century Gothic"/>
                <w:color w:val="000000" w:themeColor="text1"/>
                <w:sz w:val="20"/>
                <w:szCs w:val="20"/>
              </w:rPr>
              <w:t xml:space="preserve">Representante a la Cámara </w:t>
            </w:r>
            <w:r w:rsidRPr="00D2561F">
              <w:rPr>
                <w:rFonts w:ascii="Century Gothic" w:hAnsi="Century Gothic"/>
                <w:color w:val="000000" w:themeColor="text1"/>
                <w:sz w:val="20"/>
                <w:szCs w:val="20"/>
              </w:rPr>
              <w:br/>
            </w:r>
            <w:r w:rsidRPr="00D2561F">
              <w:rPr>
                <w:rFonts w:ascii="Century Gothic" w:hAnsi="Century Gothic"/>
                <w:b/>
                <w:bCs/>
                <w:color w:val="000000" w:themeColor="text1"/>
                <w:sz w:val="20"/>
                <w:szCs w:val="20"/>
              </w:rPr>
              <w:t>Ponente</w:t>
            </w:r>
          </w:p>
        </w:tc>
      </w:tr>
    </w:tbl>
    <w:p w14:paraId="67AD3355" w14:textId="77777777" w:rsidR="00ED26EE" w:rsidRPr="00D2561F" w:rsidRDefault="00ED26EE" w:rsidP="00DC235F">
      <w:pPr>
        <w:tabs>
          <w:tab w:val="left" w:pos="6045"/>
        </w:tabs>
        <w:spacing w:line="276" w:lineRule="auto"/>
        <w:jc w:val="both"/>
        <w:rPr>
          <w:rFonts w:ascii="Century Gothic" w:hAnsi="Century Gothic"/>
          <w:color w:val="000000" w:themeColor="text1"/>
          <w:sz w:val="20"/>
          <w:szCs w:val="20"/>
        </w:rPr>
      </w:pPr>
    </w:p>
    <w:sectPr w:rsidR="00ED26EE" w:rsidRPr="00D2561F" w:rsidSect="00D2561F">
      <w:headerReference w:type="default" r:id="rId16"/>
      <w:footerReference w:type="default" r:id="rId17"/>
      <w:pgSz w:w="12240" w:h="20160"/>
      <w:pgMar w:top="1138" w:right="1701" w:bottom="1417" w:left="1701" w:header="1069" w:footer="708"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152B7" w14:textId="77777777" w:rsidR="00F31976" w:rsidRDefault="00F31976">
      <w:r>
        <w:separator/>
      </w:r>
    </w:p>
  </w:endnote>
  <w:endnote w:type="continuationSeparator" w:id="0">
    <w:p w14:paraId="0966A80C" w14:textId="77777777" w:rsidR="00F31976" w:rsidRDefault="00F3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embedRegular r:id="rId1" w:fontKey="{6BBDDF47-DA77-40F2-9289-137AE21514EE}"/>
    <w:embedBold r:id="rId2" w:fontKey="{DA637558-7359-49B0-B00C-8C6CE359D113}"/>
    <w:embedItalic r:id="rId3" w:fontKey="{51C594A9-0C9C-47CE-94BE-29CDCF316A80}"/>
    <w:embedBoldItalic r:id="rId4" w:fontKey="{0356B37D-1EF2-42D9-8EFC-317C789CD742}"/>
  </w:font>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5" w:fontKey="{60F78291-B26D-433F-BF17-C468AA604BD6}"/>
  </w:font>
  <w:font w:name="Calibri">
    <w:panose1 w:val="020F0502020204030204"/>
    <w:charset w:val="00"/>
    <w:family w:val="swiss"/>
    <w:pitch w:val="variable"/>
    <w:sig w:usb0="E0002AFF" w:usb1="4000ACFF" w:usb2="00000001" w:usb3="00000000" w:csb0="000001FF" w:csb1="00000000"/>
    <w:embedRegular r:id="rId6" w:fontKey="{0BB35436-8818-4BC0-BCA3-066D2695E8A9}"/>
  </w:font>
  <w:font w:name="Cambria">
    <w:panose1 w:val="02040503050406030204"/>
    <w:charset w:val="00"/>
    <w:family w:val="roman"/>
    <w:pitch w:val="variable"/>
    <w:sig w:usb0="A00002EF" w:usb1="4000004B" w:usb2="00000000" w:usb3="00000000" w:csb0="0000019F" w:csb1="00000000"/>
    <w:embedRegular r:id="rId7" w:fontKey="{0B68CE97-7D14-4F6F-9A58-A740D499F2FF}"/>
    <w:embedBoldItalic r:id="rId8" w:fontKey="{C0D96ACA-CF1F-4942-B245-2B5ADF7104BA}"/>
  </w:font>
  <w:font w:name="Georgia">
    <w:panose1 w:val="02040502050405020303"/>
    <w:charset w:val="00"/>
    <w:family w:val="roman"/>
    <w:pitch w:val="variable"/>
    <w:sig w:usb0="00000287" w:usb1="00000000" w:usb2="00000000" w:usb3="00000000" w:csb0="0000009F" w:csb1="00000000"/>
    <w:embedItalic r:id="rId9" w:fontKey="{915EBE46-B1A9-40F3-9391-D86CA63B6E25}"/>
  </w:font>
  <w:font w:name="Gadugi">
    <w:panose1 w:val="020B0502040204020203"/>
    <w:charset w:val="00"/>
    <w:family w:val="swiss"/>
    <w:pitch w:val="variable"/>
    <w:sig w:usb0="80000003" w:usb1="02000000" w:usb2="00003000" w:usb3="00000000" w:csb0="00000001" w:csb1="00000000"/>
    <w:embedRegular r:id="rId10" w:fontKey="{EB7D5AFE-AD53-46AB-808E-1ED02FAB1A5E}"/>
    <w:embedBold r:id="rId11" w:fontKey="{D524EA9E-1B41-436D-A99B-67E3E03625E1}"/>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5818252"/>
      <w:docPartObj>
        <w:docPartGallery w:val="Page Numbers (Bottom of Page)"/>
        <w:docPartUnique/>
      </w:docPartObj>
    </w:sdtPr>
    <w:sdtEndPr/>
    <w:sdtContent>
      <w:p w14:paraId="758EF715" w14:textId="73CE7767" w:rsidR="00BF2590" w:rsidRDefault="00BF2590">
        <w:pPr>
          <w:pStyle w:val="Piedepgina"/>
          <w:jc w:val="right"/>
        </w:pPr>
        <w:r>
          <w:fldChar w:fldCharType="begin"/>
        </w:r>
        <w:r>
          <w:instrText>PAGE   \* MERGEFORMAT</w:instrText>
        </w:r>
        <w:r>
          <w:fldChar w:fldCharType="separate"/>
        </w:r>
        <w:r w:rsidR="00263579" w:rsidRPr="00263579">
          <w:rPr>
            <w:noProof/>
            <w:lang w:val="es-ES"/>
          </w:rPr>
          <w:t>52</w:t>
        </w:r>
        <w:r>
          <w:fldChar w:fldCharType="end"/>
        </w:r>
      </w:p>
    </w:sdtContent>
  </w:sdt>
  <w:p w14:paraId="44FFD558" w14:textId="77777777" w:rsidR="009D58AA" w:rsidRPr="00E4708D" w:rsidRDefault="009D58AA" w:rsidP="009D58AA">
    <w:pPr>
      <w:tabs>
        <w:tab w:val="center" w:pos="4419"/>
        <w:tab w:val="right" w:pos="8838"/>
      </w:tabs>
      <w:spacing w:before="1"/>
      <w:jc w:val="center"/>
      <w:rPr>
        <w:rFonts w:ascii="Gadugi" w:hAnsi="Gadugi"/>
        <w:b/>
        <w:sz w:val="16"/>
      </w:rPr>
    </w:pPr>
    <w:r w:rsidRPr="00E4708D">
      <w:rPr>
        <w:rFonts w:ascii="Gadugi" w:hAnsi="Gadugi"/>
        <w:b/>
        <w:color w:val="0E4660"/>
        <w:sz w:val="16"/>
      </w:rPr>
      <w:t>EDIFICIO</w:t>
    </w:r>
    <w:r w:rsidRPr="00E4708D">
      <w:rPr>
        <w:rFonts w:ascii="Gadugi" w:hAnsi="Gadugi"/>
        <w:b/>
        <w:color w:val="0E4660"/>
        <w:spacing w:val="14"/>
        <w:sz w:val="16"/>
      </w:rPr>
      <w:t xml:space="preserve"> </w:t>
    </w:r>
    <w:r w:rsidRPr="00E4708D">
      <w:rPr>
        <w:rFonts w:ascii="Gadugi" w:hAnsi="Gadugi"/>
        <w:b/>
        <w:color w:val="0E4660"/>
        <w:sz w:val="16"/>
      </w:rPr>
      <w:t>NUEVO</w:t>
    </w:r>
    <w:r w:rsidRPr="00E4708D">
      <w:rPr>
        <w:rFonts w:ascii="Gadugi" w:hAnsi="Gadugi"/>
        <w:b/>
        <w:color w:val="0E4660"/>
        <w:spacing w:val="15"/>
        <w:sz w:val="16"/>
      </w:rPr>
      <w:t xml:space="preserve"> </w:t>
    </w:r>
    <w:r w:rsidRPr="00E4708D">
      <w:rPr>
        <w:rFonts w:ascii="Gadugi" w:hAnsi="Gadugi"/>
        <w:b/>
        <w:color w:val="0E4660"/>
        <w:sz w:val="16"/>
      </w:rPr>
      <w:t>DEL</w:t>
    </w:r>
    <w:r w:rsidRPr="00E4708D">
      <w:rPr>
        <w:rFonts w:ascii="Gadugi" w:hAnsi="Gadugi"/>
        <w:b/>
        <w:color w:val="0E4660"/>
        <w:spacing w:val="7"/>
        <w:sz w:val="16"/>
      </w:rPr>
      <w:t xml:space="preserve"> </w:t>
    </w:r>
    <w:r w:rsidRPr="00E4708D">
      <w:rPr>
        <w:rFonts w:ascii="Gadugi" w:hAnsi="Gadugi"/>
        <w:b/>
        <w:color w:val="0E4660"/>
        <w:sz w:val="16"/>
      </w:rPr>
      <w:t>CONGRESO</w:t>
    </w:r>
    <w:r w:rsidRPr="00E4708D">
      <w:rPr>
        <w:rFonts w:ascii="Gadugi" w:hAnsi="Gadugi"/>
        <w:b/>
        <w:color w:val="0E4660"/>
        <w:sz w:val="16"/>
      </w:rPr>
      <w:br/>
      <w:t>OFICINA</w:t>
    </w:r>
    <w:r w:rsidRPr="00E4708D">
      <w:rPr>
        <w:rFonts w:ascii="Gadugi" w:hAnsi="Gadugi"/>
        <w:b/>
        <w:color w:val="0E4660"/>
        <w:spacing w:val="7"/>
        <w:sz w:val="16"/>
      </w:rPr>
      <w:t xml:space="preserve"> </w:t>
    </w:r>
    <w:r w:rsidRPr="00E4708D">
      <w:rPr>
        <w:rFonts w:ascii="Gadugi" w:hAnsi="Gadugi"/>
        <w:b/>
        <w:color w:val="0E4660"/>
        <w:spacing w:val="-5"/>
        <w:sz w:val="16"/>
      </w:rPr>
      <w:t>432B</w:t>
    </w:r>
  </w:p>
  <w:p w14:paraId="7F256B39" w14:textId="5B371A6C" w:rsidR="001F6316" w:rsidRDefault="009D58AA" w:rsidP="009D58AA">
    <w:pPr>
      <w:tabs>
        <w:tab w:val="center" w:pos="4419"/>
        <w:tab w:val="right" w:pos="8838"/>
      </w:tabs>
    </w:pPr>
    <w:r w:rsidRPr="00E4708D">
      <w:rPr>
        <w:rFonts w:ascii="Gadugi" w:hAnsi="Gadugi"/>
        <w:b/>
        <w:noProof/>
        <w:sz w:val="20"/>
      </w:rPr>
      <w:drawing>
        <wp:anchor distT="0" distB="0" distL="0" distR="0" simplePos="0" relativeHeight="251661312" behindDoc="0" locked="0" layoutInCell="1" allowOverlap="1" wp14:anchorId="2CF595D4" wp14:editId="2FC8E33C">
          <wp:simplePos x="0" y="0"/>
          <wp:positionH relativeFrom="page">
            <wp:posOffset>2487295</wp:posOffset>
          </wp:positionH>
          <wp:positionV relativeFrom="paragraph">
            <wp:posOffset>17145</wp:posOffset>
          </wp:positionV>
          <wp:extent cx="160655" cy="160655"/>
          <wp:effectExtent l="0" t="0" r="0" b="0"/>
          <wp:wrapNone/>
          <wp:docPr id="494628168"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60655" cy="160655"/>
                  </a:xfrm>
                  <a:prstGeom prst="rect">
                    <a:avLst/>
                  </a:prstGeom>
                </pic:spPr>
              </pic:pic>
            </a:graphicData>
          </a:graphic>
        </wp:anchor>
      </w:drawing>
    </w:r>
    <w:r>
      <w:rPr>
        <w:rFonts w:ascii="Gadugi" w:hAnsi="Gadugi"/>
        <w:sz w:val="20"/>
      </w:rPr>
      <w:tab/>
    </w:r>
    <w:r w:rsidRPr="00E4708D">
      <w:rPr>
        <w:rFonts w:ascii="Gadugi" w:hAnsi="Gadugi"/>
        <w:b/>
        <w:noProof/>
        <w:sz w:val="20"/>
      </w:rPr>
      <w:drawing>
        <wp:anchor distT="0" distB="0" distL="0" distR="0" simplePos="0" relativeHeight="251662336" behindDoc="1" locked="0" layoutInCell="1" allowOverlap="1" wp14:anchorId="4AA5E6E5" wp14:editId="3CB9441A">
          <wp:simplePos x="0" y="0"/>
          <wp:positionH relativeFrom="page">
            <wp:posOffset>4256405</wp:posOffset>
          </wp:positionH>
          <wp:positionV relativeFrom="paragraph">
            <wp:posOffset>20651</wp:posOffset>
          </wp:positionV>
          <wp:extent cx="152400" cy="152400"/>
          <wp:effectExtent l="0" t="0" r="0" b="0"/>
          <wp:wrapNone/>
          <wp:docPr id="24093577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152400" cy="152400"/>
                  </a:xfrm>
                  <a:prstGeom prst="rect">
                    <a:avLst/>
                  </a:prstGeom>
                </pic:spPr>
              </pic:pic>
            </a:graphicData>
          </a:graphic>
        </wp:anchor>
      </w:drawing>
    </w:r>
    <w:hyperlink r:id="rId3" w:history="1">
      <w:r w:rsidRPr="00E4708D">
        <w:rPr>
          <w:rStyle w:val="Hipervnculo"/>
          <w:rFonts w:ascii="Gadugi" w:hAnsi="Gadugi"/>
          <w:spacing w:val="-2"/>
          <w:sz w:val="20"/>
        </w:rPr>
        <w:t>delcy.isaza@camara.gov.co</w:t>
      </w:r>
    </w:hyperlink>
    <w:r w:rsidRPr="00E4708D">
      <w:rPr>
        <w:rFonts w:ascii="Gadugi" w:hAnsi="Gadugi"/>
        <w:color w:val="0E4660"/>
        <w:sz w:val="20"/>
      </w:rPr>
      <w:t xml:space="preserve">  </w:t>
    </w:r>
    <w:r>
      <w:rPr>
        <w:rFonts w:ascii="Gadugi" w:hAnsi="Gadugi"/>
        <w:color w:val="0E4660"/>
        <w:sz w:val="20"/>
      </w:rPr>
      <w:t xml:space="preserve">     </w:t>
    </w:r>
    <w:r w:rsidRPr="00E4708D">
      <w:rPr>
        <w:rFonts w:ascii="Gadugi" w:hAnsi="Gadugi"/>
        <w:color w:val="0E4660"/>
        <w:spacing w:val="-2"/>
        <w:sz w:val="20"/>
      </w:rPr>
      <w:t>@delcyisaza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D4165" w14:textId="77777777" w:rsidR="00F31976" w:rsidRDefault="00F31976">
      <w:r>
        <w:separator/>
      </w:r>
    </w:p>
  </w:footnote>
  <w:footnote w:type="continuationSeparator" w:id="0">
    <w:p w14:paraId="4DE73E23" w14:textId="77777777" w:rsidR="00F31976" w:rsidRDefault="00F31976">
      <w:r>
        <w:continuationSeparator/>
      </w:r>
    </w:p>
  </w:footnote>
  <w:footnote w:id="1">
    <w:p w14:paraId="7F256B3A"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Ley 84 de 1873 “Código Civil de los Estados Unidos de Colombia”, arts. 411, 422, 427, 428 y 433.</w:t>
      </w:r>
    </w:p>
  </w:footnote>
  <w:footnote w:id="2">
    <w:p w14:paraId="7F256B3B"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Ley 1098 de 2006 “Por la cual se expide el Código de la Infancia y la Adolescencia”, arts. 24, 26, 133 y 134.</w:t>
      </w:r>
    </w:p>
  </w:footnote>
  <w:footnote w:id="3">
    <w:p w14:paraId="7F256B3C"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Instituto Colombiano de Bienestar Familiar (2020). Concepto ICBF No.27. Recuperado de </w:t>
      </w:r>
      <w:hyperlink r:id="rId1">
        <w:r>
          <w:rPr>
            <w:rFonts w:ascii="Calibri" w:eastAsia="Calibri" w:hAnsi="Calibri" w:cs="Calibri"/>
            <w:color w:val="0563C1"/>
            <w:sz w:val="18"/>
            <w:szCs w:val="18"/>
            <w:u w:val="single"/>
          </w:rPr>
          <w:t>https://www.icbf.gov.co/sites/default/files/normatividad/27-a-concepto_no_-27-listo_-para_-la_-web.pdf</w:t>
        </w:r>
      </w:hyperlink>
      <w:r>
        <w:rPr>
          <w:rFonts w:ascii="Calibri" w:eastAsia="Calibri" w:hAnsi="Calibri" w:cs="Calibri"/>
          <w:color w:val="000000"/>
          <w:sz w:val="18"/>
          <w:szCs w:val="18"/>
        </w:rPr>
        <w:t xml:space="preserve"> </w:t>
      </w:r>
    </w:p>
  </w:footnote>
  <w:footnote w:id="4">
    <w:p w14:paraId="7F256B3D"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Corte Suprema de Justicia de Colombia (2019). Sentencia STC6975-2019. </w:t>
      </w:r>
      <w:hyperlink r:id="rId2">
        <w:r>
          <w:rPr>
            <w:rFonts w:ascii="Calibri" w:eastAsia="Calibri" w:hAnsi="Calibri" w:cs="Calibri"/>
            <w:color w:val="0563C1"/>
            <w:sz w:val="18"/>
            <w:szCs w:val="18"/>
            <w:u w:val="single"/>
          </w:rPr>
          <w:t>https://www.cortesuprema.gov.co/corte/wp-content/uploads/relatorias/tutelas/B%20AGO2019/FICHA%20STC6975-2019.docx</w:t>
        </w:r>
      </w:hyperlink>
      <w:r>
        <w:rPr>
          <w:rFonts w:ascii="Calibri" w:eastAsia="Calibri" w:hAnsi="Calibri" w:cs="Calibri"/>
          <w:color w:val="000000"/>
          <w:sz w:val="18"/>
          <w:szCs w:val="18"/>
        </w:rPr>
        <w:t xml:space="preserve"> y Corte Constitucional de Colombia (2021). Sentencia C-117 de 2021. </w:t>
      </w:r>
      <w:hyperlink r:id="rId3">
        <w:r>
          <w:rPr>
            <w:rFonts w:ascii="Calibri" w:eastAsia="Calibri" w:hAnsi="Calibri" w:cs="Calibri"/>
            <w:color w:val="0563C1"/>
            <w:sz w:val="18"/>
            <w:szCs w:val="18"/>
            <w:u w:val="single"/>
          </w:rPr>
          <w:t>https://www.suin-juriscol.gov.co/viewDocument.asp?id=30041799</w:t>
        </w:r>
      </w:hyperlink>
      <w:r>
        <w:rPr>
          <w:rFonts w:ascii="Calibri" w:eastAsia="Calibri" w:hAnsi="Calibri" w:cs="Calibri"/>
          <w:color w:val="000000"/>
          <w:sz w:val="18"/>
          <w:szCs w:val="18"/>
        </w:rPr>
        <w:t xml:space="preserve"> </w:t>
      </w:r>
    </w:p>
  </w:footnote>
  <w:footnote w:id="5">
    <w:p w14:paraId="7F256B3E"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Ley 1850 de 2017 “Por medio de la cual se establecen medidas de protección al adulto mayor en Colombia, se modifican las Leyes 1251 de 2008, 1315 de 2009, 599 de 2000 y 1276 de 2009, se penaliza el maltrato intrafamiliar por abandono y se dictan otras disposiciones”.</w:t>
      </w:r>
    </w:p>
  </w:footnote>
  <w:footnote w:id="6">
    <w:p w14:paraId="7F256B3F"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Respuesta a respuesta a derecho de petición radicado por la H.S. Angélica Lozano Unidad de Desarrollo y Análisis Estadístico de la Rama Judicial, radicado UDAEO24-1535.</w:t>
      </w:r>
    </w:p>
  </w:footnote>
  <w:footnote w:id="7">
    <w:p w14:paraId="7F256B40"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Ministerio de Tecnologías de la Información y las Comunicaciones. Respuesta a derecho de petición radicado por la H.S. Angélica Lozano.</w:t>
      </w:r>
    </w:p>
  </w:footnote>
  <w:footnote w:id="8">
    <w:p w14:paraId="7F256B41" w14:textId="77777777" w:rsidR="001F6316" w:rsidRPr="00A40A30" w:rsidRDefault="00B14FA6">
      <w:pPr>
        <w:pBdr>
          <w:top w:val="nil"/>
          <w:left w:val="nil"/>
          <w:bottom w:val="nil"/>
          <w:right w:val="nil"/>
          <w:between w:val="nil"/>
        </w:pBdr>
        <w:jc w:val="both"/>
        <w:rPr>
          <w:rFonts w:ascii="Calibri" w:eastAsia="Calibri" w:hAnsi="Calibri" w:cs="Calibri"/>
          <w:color w:val="000000"/>
          <w:sz w:val="18"/>
          <w:szCs w:val="18"/>
          <w:lang w:val="en-US"/>
        </w:rPr>
      </w:pPr>
      <w:r>
        <w:rPr>
          <w:vertAlign w:val="superscript"/>
        </w:rPr>
        <w:footnoteRef/>
      </w:r>
      <w:r w:rsidRPr="00A40A30">
        <w:rPr>
          <w:rFonts w:ascii="Calibri" w:eastAsia="Calibri" w:hAnsi="Calibri" w:cs="Calibri"/>
          <w:color w:val="000000"/>
          <w:sz w:val="18"/>
          <w:szCs w:val="18"/>
          <w:lang w:val="en-US"/>
        </w:rPr>
        <w:t xml:space="preserve"> Idem. </w:t>
      </w:r>
    </w:p>
  </w:footnote>
  <w:footnote w:id="9">
    <w:p w14:paraId="7F256B42" w14:textId="77777777" w:rsidR="001F6316" w:rsidRPr="00A40A30" w:rsidRDefault="00B14FA6">
      <w:pPr>
        <w:pBdr>
          <w:top w:val="nil"/>
          <w:left w:val="nil"/>
          <w:bottom w:val="nil"/>
          <w:right w:val="nil"/>
          <w:between w:val="nil"/>
        </w:pBdr>
        <w:jc w:val="both"/>
        <w:rPr>
          <w:rFonts w:ascii="Calibri" w:eastAsia="Calibri" w:hAnsi="Calibri" w:cs="Calibri"/>
          <w:color w:val="000000"/>
          <w:sz w:val="18"/>
          <w:szCs w:val="18"/>
          <w:lang w:val="en-US"/>
        </w:rPr>
      </w:pPr>
      <w:r>
        <w:rPr>
          <w:vertAlign w:val="superscript"/>
        </w:rPr>
        <w:footnoteRef/>
      </w:r>
      <w:r w:rsidRPr="00A40A30">
        <w:rPr>
          <w:rFonts w:ascii="Calibri" w:eastAsia="Calibri" w:hAnsi="Calibri" w:cs="Calibri"/>
          <w:color w:val="000000"/>
          <w:sz w:val="18"/>
          <w:szCs w:val="18"/>
          <w:lang w:val="en-US"/>
        </w:rPr>
        <w:t xml:space="preserve"> Idem.</w:t>
      </w:r>
    </w:p>
  </w:footnote>
  <w:footnote w:id="10">
    <w:p w14:paraId="7F256B43" w14:textId="77777777" w:rsidR="001F6316" w:rsidRPr="00A40A30" w:rsidRDefault="00B14FA6">
      <w:pPr>
        <w:pBdr>
          <w:top w:val="nil"/>
          <w:left w:val="nil"/>
          <w:bottom w:val="nil"/>
          <w:right w:val="nil"/>
          <w:between w:val="nil"/>
        </w:pBdr>
        <w:jc w:val="both"/>
        <w:rPr>
          <w:rFonts w:ascii="Calibri" w:eastAsia="Calibri" w:hAnsi="Calibri" w:cs="Calibri"/>
          <w:color w:val="000000"/>
          <w:sz w:val="18"/>
          <w:szCs w:val="18"/>
          <w:lang w:val="en-US"/>
        </w:rPr>
      </w:pPr>
      <w:r>
        <w:rPr>
          <w:vertAlign w:val="superscript"/>
        </w:rPr>
        <w:footnoteRef/>
      </w:r>
      <w:r w:rsidRPr="00A40A30">
        <w:rPr>
          <w:rFonts w:ascii="Calibri" w:eastAsia="Calibri" w:hAnsi="Calibri" w:cs="Calibri"/>
          <w:color w:val="000000"/>
          <w:sz w:val="18"/>
          <w:szCs w:val="18"/>
          <w:lang w:val="en-US"/>
        </w:rPr>
        <w:t xml:space="preserve"> Idem.</w:t>
      </w:r>
    </w:p>
  </w:footnote>
  <w:footnote w:id="11">
    <w:p w14:paraId="7F256B44" w14:textId="77777777" w:rsidR="001F6316" w:rsidRPr="00A40A30" w:rsidRDefault="00B14FA6">
      <w:pPr>
        <w:pBdr>
          <w:top w:val="nil"/>
          <w:left w:val="nil"/>
          <w:bottom w:val="nil"/>
          <w:right w:val="nil"/>
          <w:between w:val="nil"/>
        </w:pBdr>
        <w:jc w:val="both"/>
        <w:rPr>
          <w:rFonts w:ascii="Calibri" w:eastAsia="Calibri" w:hAnsi="Calibri" w:cs="Calibri"/>
          <w:color w:val="000000"/>
          <w:sz w:val="18"/>
          <w:szCs w:val="18"/>
          <w:lang w:val="en-US"/>
        </w:rPr>
      </w:pPr>
      <w:r>
        <w:rPr>
          <w:vertAlign w:val="superscript"/>
        </w:rPr>
        <w:footnoteRef/>
      </w:r>
      <w:r w:rsidRPr="00A40A30">
        <w:rPr>
          <w:rFonts w:ascii="Calibri" w:eastAsia="Calibri" w:hAnsi="Calibri" w:cs="Calibri"/>
          <w:color w:val="000000"/>
          <w:sz w:val="18"/>
          <w:szCs w:val="18"/>
          <w:lang w:val="en-US"/>
        </w:rPr>
        <w:t xml:space="preserve"> Idem.</w:t>
      </w:r>
    </w:p>
  </w:footnote>
  <w:footnote w:id="12">
    <w:p w14:paraId="7F256B45" w14:textId="77777777" w:rsidR="001F6316" w:rsidRPr="00A40A30" w:rsidRDefault="00B14FA6">
      <w:pPr>
        <w:pBdr>
          <w:top w:val="nil"/>
          <w:left w:val="nil"/>
          <w:bottom w:val="nil"/>
          <w:right w:val="nil"/>
          <w:between w:val="nil"/>
        </w:pBdr>
        <w:jc w:val="both"/>
        <w:rPr>
          <w:rFonts w:ascii="Calibri" w:eastAsia="Calibri" w:hAnsi="Calibri" w:cs="Calibri"/>
          <w:color w:val="000000"/>
          <w:sz w:val="18"/>
          <w:szCs w:val="18"/>
          <w:lang w:val="en-US"/>
        </w:rPr>
      </w:pPr>
      <w:r>
        <w:rPr>
          <w:vertAlign w:val="superscript"/>
        </w:rPr>
        <w:footnoteRef/>
      </w:r>
      <w:r w:rsidRPr="00A40A30">
        <w:rPr>
          <w:rFonts w:ascii="Calibri" w:eastAsia="Calibri" w:hAnsi="Calibri" w:cs="Calibri"/>
          <w:color w:val="000000"/>
          <w:sz w:val="18"/>
          <w:szCs w:val="18"/>
          <w:lang w:val="en-US"/>
        </w:rPr>
        <w:t xml:space="preserve"> Idem.</w:t>
      </w:r>
    </w:p>
  </w:footnote>
  <w:footnote w:id="13">
    <w:p w14:paraId="7F256B46"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Idem.</w:t>
      </w:r>
    </w:p>
  </w:footnote>
  <w:footnote w:id="14">
    <w:p w14:paraId="7F256B47"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R</w:t>
      </w:r>
      <w:r>
        <w:rPr>
          <w:rFonts w:ascii="Calibri" w:eastAsia="Calibri" w:hAnsi="Calibri" w:cs="Calibri"/>
          <w:color w:val="000000"/>
          <w:sz w:val="18"/>
          <w:szCs w:val="18"/>
          <w:highlight w:val="white"/>
        </w:rPr>
        <w:t>espuesta a derecho de petición de la HS Angélica Lozano. Radicado MinTIC No. 251071674</w:t>
      </w:r>
      <w:r>
        <w:rPr>
          <w:rFonts w:ascii="Calibri" w:eastAsia="Calibri" w:hAnsi="Calibri" w:cs="Calibri"/>
          <w:color w:val="000000"/>
          <w:sz w:val="18"/>
          <w:szCs w:val="18"/>
        </w:rPr>
        <w:t xml:space="preserve"> del 29 de julio de 2025. </w:t>
      </w:r>
    </w:p>
  </w:footnote>
  <w:footnote w:id="15">
    <w:p w14:paraId="7F256B48" w14:textId="77777777" w:rsidR="001F6316" w:rsidRDefault="00B14FA6">
      <w:pPr>
        <w:jc w:val="both"/>
        <w:rPr>
          <w:rFonts w:ascii="Calibri" w:eastAsia="Calibri" w:hAnsi="Calibri" w:cs="Calibri"/>
          <w:sz w:val="18"/>
          <w:szCs w:val="18"/>
        </w:rPr>
      </w:pPr>
      <w:r>
        <w:rPr>
          <w:vertAlign w:val="superscript"/>
        </w:rPr>
        <w:footnoteRef/>
      </w:r>
      <w:r>
        <w:rPr>
          <w:rFonts w:ascii="Calibri" w:eastAsia="Calibri" w:hAnsi="Calibri" w:cs="Calibri"/>
          <w:sz w:val="18"/>
          <w:szCs w:val="18"/>
        </w:rPr>
        <w:t xml:space="preserve"> Organización de las Naciones Unidas. (2023, 11 de julio). Lograr la igualdad de género tomará 300 años al ritmo actual. </w:t>
      </w:r>
      <w:hyperlink r:id="rId4">
        <w:r>
          <w:rPr>
            <w:rFonts w:ascii="Calibri" w:eastAsia="Calibri" w:hAnsi="Calibri" w:cs="Calibri"/>
            <w:color w:val="1155CC"/>
            <w:sz w:val="18"/>
            <w:szCs w:val="18"/>
            <w:u w:val="single"/>
          </w:rPr>
          <w:t>https://news.un.org/es/story/2023/07/1522632</w:t>
        </w:r>
      </w:hyperlink>
      <w:r>
        <w:rPr>
          <w:rFonts w:ascii="Calibri" w:eastAsia="Calibri" w:hAnsi="Calibri" w:cs="Calibri"/>
          <w:sz w:val="18"/>
          <w:szCs w:val="18"/>
        </w:rPr>
        <w:t xml:space="preserve"> </w:t>
      </w:r>
    </w:p>
  </w:footnote>
  <w:footnote w:id="16">
    <w:p w14:paraId="7F256B49" w14:textId="77777777" w:rsidR="001F6316" w:rsidRDefault="00B14FA6">
      <w:pPr>
        <w:jc w:val="both"/>
        <w:rPr>
          <w:rFonts w:ascii="Calibri" w:eastAsia="Calibri" w:hAnsi="Calibri" w:cs="Calibri"/>
          <w:sz w:val="18"/>
          <w:szCs w:val="18"/>
        </w:rPr>
      </w:pPr>
      <w:r>
        <w:rPr>
          <w:vertAlign w:val="superscript"/>
        </w:rPr>
        <w:footnoteRef/>
      </w:r>
      <w:r>
        <w:rPr>
          <w:rFonts w:ascii="Calibri" w:eastAsia="Calibri" w:hAnsi="Calibri" w:cs="Calibri"/>
          <w:sz w:val="18"/>
          <w:szCs w:val="18"/>
        </w:rPr>
        <w:t xml:space="preserve"> Jaramillo, I y Anzola, S. (2019). La batalla por los alimentos: El papel del derecho civil en la construcción del género y la desigualdad. Ediciones Uniandes. </w:t>
      </w:r>
      <w:r>
        <w:rPr>
          <w:rFonts w:ascii="Calibri" w:eastAsia="Calibri" w:hAnsi="Calibri" w:cs="Calibri"/>
          <w:sz w:val="18"/>
          <w:szCs w:val="18"/>
          <w:highlight w:val="white"/>
        </w:rPr>
        <w:t>ISBN: 978-958-774-657-0</w:t>
      </w:r>
      <w:r>
        <w:rPr>
          <w:rFonts w:ascii="Calibri" w:eastAsia="Calibri" w:hAnsi="Calibri" w:cs="Calibri"/>
          <w:sz w:val="18"/>
          <w:szCs w:val="18"/>
        </w:rPr>
        <w:t>.</w:t>
      </w:r>
    </w:p>
  </w:footnote>
  <w:footnote w:id="17">
    <w:p w14:paraId="7F256B4A" w14:textId="77777777" w:rsidR="001F6316" w:rsidRDefault="00B14FA6">
      <w:pPr>
        <w:jc w:val="both"/>
        <w:rPr>
          <w:rFonts w:ascii="Calibri" w:eastAsia="Calibri" w:hAnsi="Calibri" w:cs="Calibri"/>
          <w:sz w:val="18"/>
          <w:szCs w:val="18"/>
        </w:rPr>
      </w:pPr>
      <w:r>
        <w:rPr>
          <w:vertAlign w:val="superscript"/>
        </w:rPr>
        <w:footnoteRef/>
      </w:r>
      <w:r>
        <w:rPr>
          <w:rFonts w:ascii="Calibri" w:eastAsia="Calibri" w:hAnsi="Calibri" w:cs="Calibri"/>
          <w:sz w:val="18"/>
          <w:szCs w:val="18"/>
        </w:rPr>
        <w:t xml:space="preserve"> DANE. (2023). Encuesta Nacional de Calidad de Vida (ECV) 2022. </w:t>
      </w:r>
      <w:hyperlink r:id="rId5">
        <w:r>
          <w:rPr>
            <w:rFonts w:ascii="Calibri" w:eastAsia="Calibri" w:hAnsi="Calibri" w:cs="Calibri"/>
            <w:color w:val="1155CC"/>
            <w:sz w:val="18"/>
            <w:szCs w:val="18"/>
            <w:u w:val="single"/>
          </w:rPr>
          <w:t>https://www.dane.gov.co/files/investigaciones/condiciones_vida/calidad_vida/2022/Boletin_Tecnico_ECV_2022.pdf</w:t>
        </w:r>
      </w:hyperlink>
      <w:r>
        <w:rPr>
          <w:rFonts w:ascii="Calibri" w:eastAsia="Calibri" w:hAnsi="Calibri" w:cs="Calibri"/>
          <w:sz w:val="18"/>
          <w:szCs w:val="18"/>
        </w:rPr>
        <w:t xml:space="preserve"> </w:t>
      </w:r>
    </w:p>
  </w:footnote>
  <w:footnote w:id="18">
    <w:p w14:paraId="7F256B4B" w14:textId="77777777" w:rsidR="001F6316" w:rsidRDefault="00B14FA6">
      <w:pPr>
        <w:jc w:val="both"/>
        <w:rPr>
          <w:rFonts w:ascii="Calibri" w:eastAsia="Calibri" w:hAnsi="Calibri" w:cs="Calibri"/>
          <w:sz w:val="18"/>
          <w:szCs w:val="18"/>
        </w:rPr>
      </w:pPr>
      <w:r>
        <w:rPr>
          <w:vertAlign w:val="superscript"/>
        </w:rPr>
        <w:footnoteRef/>
      </w:r>
      <w:r>
        <w:rPr>
          <w:rFonts w:ascii="Calibri" w:eastAsia="Calibri" w:hAnsi="Calibri" w:cs="Calibri"/>
          <w:sz w:val="18"/>
          <w:szCs w:val="18"/>
        </w:rPr>
        <w:t xml:space="preserve"> DANE. (2020). Boletín estadístico: Trabajo de cuidado no remunerado de las mujeres en Colombia. </w:t>
      </w:r>
      <w:hyperlink r:id="rId6">
        <w:r>
          <w:rPr>
            <w:rFonts w:ascii="Calibri" w:eastAsia="Calibri" w:hAnsi="Calibri" w:cs="Calibri"/>
            <w:color w:val="1155CC"/>
            <w:sz w:val="18"/>
            <w:szCs w:val="18"/>
            <w:u w:val="single"/>
          </w:rPr>
          <w:t>https://www.dane.gov.co/files/investigaciones/genero/publicaciones/Boletin-estadistico-ONU-cuidado-noremunerado-mujeres-DANE-mayo-2020.pdf</w:t>
        </w:r>
      </w:hyperlink>
    </w:p>
  </w:footnote>
  <w:footnote w:id="19">
    <w:p w14:paraId="7F256B4C" w14:textId="77777777" w:rsidR="001F6316" w:rsidRDefault="00B14FA6">
      <w:pPr>
        <w:jc w:val="both"/>
        <w:rPr>
          <w:rFonts w:ascii="Calibri" w:eastAsia="Calibri" w:hAnsi="Calibri" w:cs="Calibri"/>
          <w:sz w:val="18"/>
          <w:szCs w:val="18"/>
        </w:rPr>
      </w:pPr>
      <w:r>
        <w:rPr>
          <w:vertAlign w:val="superscript"/>
        </w:rPr>
        <w:footnoteRef/>
      </w:r>
      <w:r>
        <w:rPr>
          <w:rFonts w:ascii="Calibri" w:eastAsia="Calibri" w:hAnsi="Calibri" w:cs="Calibri"/>
          <w:sz w:val="18"/>
          <w:szCs w:val="18"/>
        </w:rPr>
        <w:t xml:space="preserve"> DANE y ONU Mujeres. (2020). Tiempo de cuidados: las cifras de la desigualdad. </w:t>
      </w:r>
      <w:hyperlink r:id="rId7">
        <w:r>
          <w:rPr>
            <w:rFonts w:ascii="Calibri" w:eastAsia="Calibri" w:hAnsi="Calibri" w:cs="Calibri"/>
            <w:color w:val="1155CC"/>
            <w:sz w:val="18"/>
            <w:szCs w:val="18"/>
            <w:u w:val="single"/>
          </w:rPr>
          <w:t>https://www.dane.gov.co/files/investigaciones/genero/publicaciones/tiempo-de-cuidados-cifras-desigualdad-informe.pdf</w:t>
        </w:r>
      </w:hyperlink>
    </w:p>
  </w:footnote>
  <w:footnote w:id="20">
    <w:p w14:paraId="7F256B4D" w14:textId="77777777" w:rsidR="001F6316" w:rsidRPr="00A40A30" w:rsidRDefault="00B14FA6">
      <w:pPr>
        <w:jc w:val="both"/>
        <w:rPr>
          <w:rFonts w:ascii="Calibri" w:eastAsia="Calibri" w:hAnsi="Calibri" w:cs="Calibri"/>
          <w:sz w:val="18"/>
          <w:szCs w:val="18"/>
          <w:lang w:val="en-US"/>
        </w:rPr>
      </w:pPr>
      <w:r>
        <w:rPr>
          <w:vertAlign w:val="superscript"/>
        </w:rPr>
        <w:footnoteRef/>
      </w:r>
      <w:r>
        <w:rPr>
          <w:rFonts w:ascii="Calibri" w:eastAsia="Calibri" w:hAnsi="Calibri" w:cs="Calibri"/>
          <w:sz w:val="18"/>
          <w:szCs w:val="18"/>
        </w:rPr>
        <w:t xml:space="preserve"> Asobancaria. (2024). Jefatura femenina en Colombia: un análisis de la tipología de hogar en el contexto de la inclusión financiera. </w:t>
      </w:r>
      <w:hyperlink r:id="rId8">
        <w:r w:rsidRPr="00A40A30">
          <w:rPr>
            <w:rFonts w:ascii="Calibri" w:eastAsia="Calibri" w:hAnsi="Calibri" w:cs="Calibri"/>
            <w:color w:val="1155CC"/>
            <w:sz w:val="18"/>
            <w:szCs w:val="18"/>
            <w:u w:val="single"/>
            <w:lang w:val="en-US"/>
          </w:rPr>
          <w:t>https://www.asobancaria.com/wp-content/uploads/2024/02/1411-BE.pdf</w:t>
        </w:r>
      </w:hyperlink>
      <w:r w:rsidRPr="00A40A30">
        <w:rPr>
          <w:rFonts w:ascii="Calibri" w:eastAsia="Calibri" w:hAnsi="Calibri" w:cs="Calibri"/>
          <w:sz w:val="18"/>
          <w:szCs w:val="18"/>
          <w:lang w:val="en-US"/>
        </w:rPr>
        <w:t xml:space="preserve"> </w:t>
      </w:r>
    </w:p>
  </w:footnote>
  <w:footnote w:id="21">
    <w:p w14:paraId="7F256B4E" w14:textId="77777777" w:rsidR="001F6316" w:rsidRDefault="00B14FA6">
      <w:pPr>
        <w:jc w:val="both"/>
        <w:rPr>
          <w:rFonts w:ascii="Calibri" w:eastAsia="Calibri" w:hAnsi="Calibri" w:cs="Calibri"/>
          <w:sz w:val="18"/>
          <w:szCs w:val="18"/>
        </w:rPr>
      </w:pPr>
      <w:r>
        <w:rPr>
          <w:vertAlign w:val="superscript"/>
        </w:rPr>
        <w:footnoteRef/>
      </w:r>
      <w:r w:rsidRPr="00A40A30">
        <w:rPr>
          <w:rFonts w:ascii="Calibri" w:eastAsia="Calibri" w:hAnsi="Calibri" w:cs="Calibri"/>
          <w:sz w:val="18"/>
          <w:szCs w:val="18"/>
          <w:lang w:val="en-US"/>
        </w:rPr>
        <w:t xml:space="preserve"> DANE. </w:t>
      </w:r>
      <w:r>
        <w:rPr>
          <w:rFonts w:ascii="Calibri" w:eastAsia="Calibri" w:hAnsi="Calibri" w:cs="Calibri"/>
          <w:sz w:val="18"/>
          <w:szCs w:val="18"/>
        </w:rPr>
        <w:t xml:space="preserve">(2010). La jefatura femenina de hogar en Colombia: una realidad estadística. Revista ib, 8. </w:t>
      </w:r>
      <w:hyperlink r:id="rId9">
        <w:r>
          <w:rPr>
            <w:rFonts w:ascii="Calibri" w:eastAsia="Calibri" w:hAnsi="Calibri" w:cs="Calibri"/>
            <w:color w:val="1155CC"/>
            <w:sz w:val="18"/>
            <w:szCs w:val="18"/>
            <w:u w:val="single"/>
          </w:rPr>
          <w:t>https://sitios.dane.gov.co/revista_ib/html_r8/articulo4.html</w:t>
        </w:r>
      </w:hyperlink>
    </w:p>
  </w:footnote>
  <w:footnote w:id="22">
    <w:p w14:paraId="7F256B4F"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Ley 1257 de 2008 "Por la cual se dictan normas de sensibilización, prevención y sanción de formas de violencia y discriminación contra las mujeres, se reforman los Códigos Penal, de Procedimiento Penal, la Ley 294 de 1996 y se dictan otras disposiciones", artículo 8, literal k).</w:t>
      </w:r>
      <w:r>
        <w:rPr>
          <w:rFonts w:ascii="Calibri" w:eastAsia="Calibri" w:hAnsi="Calibri" w:cs="Calibri"/>
          <w:color w:val="000000"/>
          <w:sz w:val="18"/>
          <w:szCs w:val="18"/>
        </w:rPr>
        <w:br/>
        <w:t>Corte Constitucional de Colombia. Sentencia C-1195 de 2001.</w:t>
      </w:r>
    </w:p>
  </w:footnote>
  <w:footnote w:id="23">
    <w:p w14:paraId="7F256B50"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Ley 599 de 2000 “Por la cual se expide el Código Penal”, artículo 233.</w:t>
      </w:r>
    </w:p>
  </w:footnote>
  <w:footnote w:id="24">
    <w:p w14:paraId="7F256B51"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Jaramillo, I y Anzola, S. op. cit.</w:t>
      </w:r>
    </w:p>
  </w:footnote>
  <w:footnote w:id="25">
    <w:p w14:paraId="7F256B52"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Consejo Superior de la Judicatura. (2015). Estudio de cuantificación de tiempos procesales por especialidad. Rama Judicial de Colombia. Recuperado de: </w:t>
      </w:r>
      <w:hyperlink r:id="rId10">
        <w:r>
          <w:rPr>
            <w:rFonts w:ascii="Calibri" w:eastAsia="Calibri" w:hAnsi="Calibri" w:cs="Calibri"/>
            <w:color w:val="0563C1"/>
            <w:sz w:val="18"/>
            <w:szCs w:val="18"/>
            <w:u w:val="single"/>
          </w:rPr>
          <w:t>https://www.ramajudicial.gov.co/documents/1545778/8829673/TOMO+I+TIEMPOS+PROCESALES_18122015.pdf/2da294fd-3ef6-4820-b9e0-7a892b1bdbf0</w:t>
        </w:r>
      </w:hyperlink>
      <w:r>
        <w:rPr>
          <w:rFonts w:ascii="Calibri" w:eastAsia="Calibri" w:hAnsi="Calibri" w:cs="Calibri"/>
          <w:color w:val="000000"/>
          <w:sz w:val="18"/>
          <w:szCs w:val="18"/>
        </w:rPr>
        <w:t xml:space="preserve"> </w:t>
      </w:r>
    </w:p>
  </w:footnote>
  <w:footnote w:id="26">
    <w:p w14:paraId="7F256B53"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Ibid.</w:t>
      </w:r>
    </w:p>
  </w:footnote>
  <w:footnote w:id="27">
    <w:p w14:paraId="7F256B54"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Ibid. </w:t>
      </w:r>
    </w:p>
  </w:footnote>
  <w:footnote w:id="28">
    <w:p w14:paraId="7F256B55" w14:textId="77777777" w:rsidR="001F6316" w:rsidRDefault="00B14FA6">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Ibid.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56B38" w14:textId="1431DF06" w:rsidR="001F6316" w:rsidRDefault="002C0686" w:rsidP="00B3704B">
    <w:pPr>
      <w:pBdr>
        <w:top w:val="nil"/>
        <w:left w:val="nil"/>
        <w:bottom w:val="nil"/>
        <w:right w:val="nil"/>
        <w:between w:val="nil"/>
      </w:pBdr>
      <w:tabs>
        <w:tab w:val="center" w:pos="4419"/>
        <w:tab w:val="right" w:pos="8838"/>
      </w:tabs>
      <w:rPr>
        <w:color w:val="000000"/>
      </w:rPr>
    </w:pPr>
    <w:r w:rsidRPr="00806D4D">
      <w:rPr>
        <w:noProof/>
        <w:color w:val="000000"/>
      </w:rPr>
      <w:drawing>
        <wp:anchor distT="0" distB="0" distL="114300" distR="114300" simplePos="0" relativeHeight="251658240" behindDoc="1" locked="0" layoutInCell="1" allowOverlap="1" wp14:anchorId="410A9067" wp14:editId="1E906424">
          <wp:simplePos x="0" y="0"/>
          <wp:positionH relativeFrom="column">
            <wp:posOffset>4236720</wp:posOffset>
          </wp:positionH>
          <wp:positionV relativeFrom="paragraph">
            <wp:posOffset>-535305</wp:posOffset>
          </wp:positionV>
          <wp:extent cx="2258695" cy="1122680"/>
          <wp:effectExtent l="0" t="0" r="8255" b="1270"/>
          <wp:wrapNone/>
          <wp:docPr id="526881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463650" name=""/>
                  <pic:cNvPicPr/>
                </pic:nvPicPr>
                <pic:blipFill>
                  <a:blip r:embed="rId1">
                    <a:extLst>
                      <a:ext uri="{28A0092B-C50C-407E-A947-70E740481C1C}">
                        <a14:useLocalDpi xmlns:a14="http://schemas.microsoft.com/office/drawing/2010/main" val="0"/>
                      </a:ext>
                    </a:extLst>
                  </a:blip>
                  <a:stretch>
                    <a:fillRect/>
                  </a:stretch>
                </pic:blipFill>
                <pic:spPr>
                  <a:xfrm>
                    <a:off x="0" y="0"/>
                    <a:ext cx="2258695" cy="112268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rPr>
      <w:drawing>
        <wp:anchor distT="0" distB="0" distL="114300" distR="114300" simplePos="0" relativeHeight="251659264" behindDoc="1" locked="0" layoutInCell="1" allowOverlap="1" wp14:anchorId="2C54442C" wp14:editId="5561664A">
          <wp:simplePos x="0" y="0"/>
          <wp:positionH relativeFrom="column">
            <wp:posOffset>-455295</wp:posOffset>
          </wp:positionH>
          <wp:positionV relativeFrom="paragraph">
            <wp:posOffset>-267547</wp:posOffset>
          </wp:positionV>
          <wp:extent cx="1885950" cy="625475"/>
          <wp:effectExtent l="0" t="0" r="0" b="3175"/>
          <wp:wrapTopAndBottom/>
          <wp:docPr id="211447033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625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03787"/>
    <w:multiLevelType w:val="multilevel"/>
    <w:tmpl w:val="4A086B10"/>
    <w:lvl w:ilvl="0">
      <w:start w:val="1"/>
      <w:numFmt w:val="decimal"/>
      <w:lvlText w:val="%1."/>
      <w:lvlJc w:val="left"/>
      <w:pPr>
        <w:ind w:left="720" w:hanging="360"/>
      </w:pPr>
      <w:rPr>
        <w:rFonts w:ascii="Century Gothic" w:eastAsia="Times New Roman" w:hAnsi="Century Gothic"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C26174"/>
    <w:multiLevelType w:val="multilevel"/>
    <w:tmpl w:val="F9FE09C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96A694C"/>
    <w:multiLevelType w:val="multilevel"/>
    <w:tmpl w:val="A476E7F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873CB3"/>
    <w:multiLevelType w:val="multilevel"/>
    <w:tmpl w:val="AA0AC07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0A0789D"/>
    <w:multiLevelType w:val="multilevel"/>
    <w:tmpl w:val="F8AA3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BD0A74"/>
    <w:multiLevelType w:val="multilevel"/>
    <w:tmpl w:val="545E0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81A5FED"/>
    <w:multiLevelType w:val="multilevel"/>
    <w:tmpl w:val="B3A6634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9A16C2A"/>
    <w:multiLevelType w:val="multilevel"/>
    <w:tmpl w:val="63E60D06"/>
    <w:lvl w:ilvl="0">
      <w:start w:val="1"/>
      <w:numFmt w:val="decimal"/>
      <w:lvlText w:val="%1."/>
      <w:lvlJc w:val="left"/>
      <w:pPr>
        <w:ind w:left="720" w:hanging="360"/>
      </w:pPr>
      <w:rPr>
        <w:rFonts w:ascii="Century Gothic" w:eastAsia="Times New Roman" w:hAnsi="Century Gothic" w:cs="Times New Roman"/>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A707B27"/>
    <w:multiLevelType w:val="hybridMultilevel"/>
    <w:tmpl w:val="C9BE2992"/>
    <w:lvl w:ilvl="0" w:tplc="1DC468A0">
      <w:start w:val="4"/>
      <w:numFmt w:val="lowerLetter"/>
      <w:lvlText w:val="%1."/>
      <w:lvlJc w:val="left"/>
      <w:pPr>
        <w:tabs>
          <w:tab w:val="num" w:pos="720"/>
        </w:tabs>
        <w:ind w:left="720" w:hanging="360"/>
      </w:pPr>
    </w:lvl>
    <w:lvl w:ilvl="1" w:tplc="3BE63EF4" w:tentative="1">
      <w:start w:val="1"/>
      <w:numFmt w:val="decimal"/>
      <w:lvlText w:val="%2."/>
      <w:lvlJc w:val="left"/>
      <w:pPr>
        <w:tabs>
          <w:tab w:val="num" w:pos="1440"/>
        </w:tabs>
        <w:ind w:left="1440" w:hanging="360"/>
      </w:pPr>
    </w:lvl>
    <w:lvl w:ilvl="2" w:tplc="7E365744" w:tentative="1">
      <w:start w:val="1"/>
      <w:numFmt w:val="decimal"/>
      <w:lvlText w:val="%3."/>
      <w:lvlJc w:val="left"/>
      <w:pPr>
        <w:tabs>
          <w:tab w:val="num" w:pos="2160"/>
        </w:tabs>
        <w:ind w:left="2160" w:hanging="360"/>
      </w:pPr>
    </w:lvl>
    <w:lvl w:ilvl="3" w:tplc="5F164326" w:tentative="1">
      <w:start w:val="1"/>
      <w:numFmt w:val="decimal"/>
      <w:lvlText w:val="%4."/>
      <w:lvlJc w:val="left"/>
      <w:pPr>
        <w:tabs>
          <w:tab w:val="num" w:pos="2880"/>
        </w:tabs>
        <w:ind w:left="2880" w:hanging="360"/>
      </w:pPr>
    </w:lvl>
    <w:lvl w:ilvl="4" w:tplc="7534C02C" w:tentative="1">
      <w:start w:val="1"/>
      <w:numFmt w:val="decimal"/>
      <w:lvlText w:val="%5."/>
      <w:lvlJc w:val="left"/>
      <w:pPr>
        <w:tabs>
          <w:tab w:val="num" w:pos="3600"/>
        </w:tabs>
        <w:ind w:left="3600" w:hanging="360"/>
      </w:pPr>
    </w:lvl>
    <w:lvl w:ilvl="5" w:tplc="E7F65640" w:tentative="1">
      <w:start w:val="1"/>
      <w:numFmt w:val="decimal"/>
      <w:lvlText w:val="%6."/>
      <w:lvlJc w:val="left"/>
      <w:pPr>
        <w:tabs>
          <w:tab w:val="num" w:pos="4320"/>
        </w:tabs>
        <w:ind w:left="4320" w:hanging="360"/>
      </w:pPr>
    </w:lvl>
    <w:lvl w:ilvl="6" w:tplc="6492AA40" w:tentative="1">
      <w:start w:val="1"/>
      <w:numFmt w:val="decimal"/>
      <w:lvlText w:val="%7."/>
      <w:lvlJc w:val="left"/>
      <w:pPr>
        <w:tabs>
          <w:tab w:val="num" w:pos="5040"/>
        </w:tabs>
        <w:ind w:left="5040" w:hanging="360"/>
      </w:pPr>
    </w:lvl>
    <w:lvl w:ilvl="7" w:tplc="F51E1E36" w:tentative="1">
      <w:start w:val="1"/>
      <w:numFmt w:val="decimal"/>
      <w:lvlText w:val="%8."/>
      <w:lvlJc w:val="left"/>
      <w:pPr>
        <w:tabs>
          <w:tab w:val="num" w:pos="5760"/>
        </w:tabs>
        <w:ind w:left="5760" w:hanging="360"/>
      </w:pPr>
    </w:lvl>
    <w:lvl w:ilvl="8" w:tplc="43569D38" w:tentative="1">
      <w:start w:val="1"/>
      <w:numFmt w:val="decimal"/>
      <w:lvlText w:val="%9."/>
      <w:lvlJc w:val="left"/>
      <w:pPr>
        <w:tabs>
          <w:tab w:val="num" w:pos="6480"/>
        </w:tabs>
        <w:ind w:left="6480" w:hanging="360"/>
      </w:pPr>
    </w:lvl>
  </w:abstractNum>
  <w:abstractNum w:abstractNumId="9" w15:restartNumberingAfterBreak="0">
    <w:nsid w:val="20533564"/>
    <w:multiLevelType w:val="multilevel"/>
    <w:tmpl w:val="16BA5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A22939"/>
    <w:multiLevelType w:val="multilevel"/>
    <w:tmpl w:val="4B8212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B49550B"/>
    <w:multiLevelType w:val="multilevel"/>
    <w:tmpl w:val="9FCE0B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9264AB"/>
    <w:multiLevelType w:val="multilevel"/>
    <w:tmpl w:val="80FA6CB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212FBD"/>
    <w:multiLevelType w:val="multilevel"/>
    <w:tmpl w:val="3EC217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073355"/>
    <w:multiLevelType w:val="multilevel"/>
    <w:tmpl w:val="04769CD6"/>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80070AD"/>
    <w:multiLevelType w:val="multilevel"/>
    <w:tmpl w:val="BC3487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CD707D0"/>
    <w:multiLevelType w:val="multilevel"/>
    <w:tmpl w:val="E42025E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D2D7331"/>
    <w:multiLevelType w:val="multilevel"/>
    <w:tmpl w:val="C97E9F76"/>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D91058D"/>
    <w:multiLevelType w:val="multilevel"/>
    <w:tmpl w:val="4F84C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666AB0"/>
    <w:multiLevelType w:val="multilevel"/>
    <w:tmpl w:val="69A0C06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1FB60CC"/>
    <w:multiLevelType w:val="multilevel"/>
    <w:tmpl w:val="561016B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58D121B7"/>
    <w:multiLevelType w:val="multilevel"/>
    <w:tmpl w:val="C57484DA"/>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rPr>
        <w:rFonts w:ascii="Book Antiqua" w:eastAsia="Book Antiqua" w:hAnsi="Book Antiqua" w:cs="Book Antiqua"/>
      </w:rPr>
    </w:lvl>
    <w:lvl w:ilvl="4">
      <w:start w:val="1"/>
      <w:numFmt w:val="lowerLetter"/>
      <w:lvlText w:val="%5."/>
      <w:lvlJc w:val="left"/>
      <w:pPr>
        <w:ind w:left="36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277FA1"/>
    <w:multiLevelType w:val="multilevel"/>
    <w:tmpl w:val="39E2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D5699C"/>
    <w:multiLevelType w:val="hybridMultilevel"/>
    <w:tmpl w:val="881E5F82"/>
    <w:lvl w:ilvl="0" w:tplc="820A56A6">
      <w:start w:val="3"/>
      <w:numFmt w:val="lowerLetter"/>
      <w:lvlText w:val="%1."/>
      <w:lvlJc w:val="left"/>
      <w:pPr>
        <w:tabs>
          <w:tab w:val="num" w:pos="720"/>
        </w:tabs>
        <w:ind w:left="720" w:hanging="360"/>
      </w:pPr>
    </w:lvl>
    <w:lvl w:ilvl="1" w:tplc="937C9488" w:tentative="1">
      <w:start w:val="1"/>
      <w:numFmt w:val="decimal"/>
      <w:lvlText w:val="%2."/>
      <w:lvlJc w:val="left"/>
      <w:pPr>
        <w:tabs>
          <w:tab w:val="num" w:pos="1440"/>
        </w:tabs>
        <w:ind w:left="1440" w:hanging="360"/>
      </w:pPr>
    </w:lvl>
    <w:lvl w:ilvl="2" w:tplc="CBC6EDFE" w:tentative="1">
      <w:start w:val="1"/>
      <w:numFmt w:val="decimal"/>
      <w:lvlText w:val="%3."/>
      <w:lvlJc w:val="left"/>
      <w:pPr>
        <w:tabs>
          <w:tab w:val="num" w:pos="2160"/>
        </w:tabs>
        <w:ind w:left="2160" w:hanging="360"/>
      </w:pPr>
    </w:lvl>
    <w:lvl w:ilvl="3" w:tplc="EBAA991A" w:tentative="1">
      <w:start w:val="1"/>
      <w:numFmt w:val="decimal"/>
      <w:lvlText w:val="%4."/>
      <w:lvlJc w:val="left"/>
      <w:pPr>
        <w:tabs>
          <w:tab w:val="num" w:pos="2880"/>
        </w:tabs>
        <w:ind w:left="2880" w:hanging="360"/>
      </w:pPr>
    </w:lvl>
    <w:lvl w:ilvl="4" w:tplc="01845F3E" w:tentative="1">
      <w:start w:val="1"/>
      <w:numFmt w:val="decimal"/>
      <w:lvlText w:val="%5."/>
      <w:lvlJc w:val="left"/>
      <w:pPr>
        <w:tabs>
          <w:tab w:val="num" w:pos="3600"/>
        </w:tabs>
        <w:ind w:left="3600" w:hanging="360"/>
      </w:pPr>
    </w:lvl>
    <w:lvl w:ilvl="5" w:tplc="2E107092" w:tentative="1">
      <w:start w:val="1"/>
      <w:numFmt w:val="decimal"/>
      <w:lvlText w:val="%6."/>
      <w:lvlJc w:val="left"/>
      <w:pPr>
        <w:tabs>
          <w:tab w:val="num" w:pos="4320"/>
        </w:tabs>
        <w:ind w:left="4320" w:hanging="360"/>
      </w:pPr>
    </w:lvl>
    <w:lvl w:ilvl="6" w:tplc="2F982EA0" w:tentative="1">
      <w:start w:val="1"/>
      <w:numFmt w:val="decimal"/>
      <w:lvlText w:val="%7."/>
      <w:lvlJc w:val="left"/>
      <w:pPr>
        <w:tabs>
          <w:tab w:val="num" w:pos="5040"/>
        </w:tabs>
        <w:ind w:left="5040" w:hanging="360"/>
      </w:pPr>
    </w:lvl>
    <w:lvl w:ilvl="7" w:tplc="F4842AA6" w:tentative="1">
      <w:start w:val="1"/>
      <w:numFmt w:val="decimal"/>
      <w:lvlText w:val="%8."/>
      <w:lvlJc w:val="left"/>
      <w:pPr>
        <w:tabs>
          <w:tab w:val="num" w:pos="5760"/>
        </w:tabs>
        <w:ind w:left="5760" w:hanging="360"/>
      </w:pPr>
    </w:lvl>
    <w:lvl w:ilvl="8" w:tplc="7A849682" w:tentative="1">
      <w:start w:val="1"/>
      <w:numFmt w:val="decimal"/>
      <w:lvlText w:val="%9."/>
      <w:lvlJc w:val="left"/>
      <w:pPr>
        <w:tabs>
          <w:tab w:val="num" w:pos="6480"/>
        </w:tabs>
        <w:ind w:left="6480" w:hanging="360"/>
      </w:pPr>
    </w:lvl>
  </w:abstractNum>
  <w:abstractNum w:abstractNumId="24" w15:restartNumberingAfterBreak="0">
    <w:nsid w:val="5BCA23DA"/>
    <w:multiLevelType w:val="multilevel"/>
    <w:tmpl w:val="4508D484"/>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CAB51B5"/>
    <w:multiLevelType w:val="multilevel"/>
    <w:tmpl w:val="C21E9C3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1AA7F93"/>
    <w:multiLevelType w:val="multilevel"/>
    <w:tmpl w:val="1332B1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51368AA"/>
    <w:multiLevelType w:val="hybridMultilevel"/>
    <w:tmpl w:val="38AECF78"/>
    <w:lvl w:ilvl="0" w:tplc="A6CC5EBE">
      <w:start w:val="6"/>
      <w:numFmt w:val="lowerLetter"/>
      <w:lvlText w:val="%1."/>
      <w:lvlJc w:val="left"/>
      <w:pPr>
        <w:tabs>
          <w:tab w:val="num" w:pos="720"/>
        </w:tabs>
        <w:ind w:left="720" w:hanging="360"/>
      </w:pPr>
    </w:lvl>
    <w:lvl w:ilvl="1" w:tplc="1EC259FE" w:tentative="1">
      <w:start w:val="1"/>
      <w:numFmt w:val="decimal"/>
      <w:lvlText w:val="%2."/>
      <w:lvlJc w:val="left"/>
      <w:pPr>
        <w:tabs>
          <w:tab w:val="num" w:pos="1440"/>
        </w:tabs>
        <w:ind w:left="1440" w:hanging="360"/>
      </w:pPr>
    </w:lvl>
    <w:lvl w:ilvl="2" w:tplc="C224590E" w:tentative="1">
      <w:start w:val="1"/>
      <w:numFmt w:val="decimal"/>
      <w:lvlText w:val="%3."/>
      <w:lvlJc w:val="left"/>
      <w:pPr>
        <w:tabs>
          <w:tab w:val="num" w:pos="2160"/>
        </w:tabs>
        <w:ind w:left="2160" w:hanging="360"/>
      </w:pPr>
    </w:lvl>
    <w:lvl w:ilvl="3" w:tplc="E342DD88" w:tentative="1">
      <w:start w:val="1"/>
      <w:numFmt w:val="decimal"/>
      <w:lvlText w:val="%4."/>
      <w:lvlJc w:val="left"/>
      <w:pPr>
        <w:tabs>
          <w:tab w:val="num" w:pos="2880"/>
        </w:tabs>
        <w:ind w:left="2880" w:hanging="360"/>
      </w:pPr>
    </w:lvl>
    <w:lvl w:ilvl="4" w:tplc="6B308BD4" w:tentative="1">
      <w:start w:val="1"/>
      <w:numFmt w:val="decimal"/>
      <w:lvlText w:val="%5."/>
      <w:lvlJc w:val="left"/>
      <w:pPr>
        <w:tabs>
          <w:tab w:val="num" w:pos="3600"/>
        </w:tabs>
        <w:ind w:left="3600" w:hanging="360"/>
      </w:pPr>
    </w:lvl>
    <w:lvl w:ilvl="5" w:tplc="E66672C4" w:tentative="1">
      <w:start w:val="1"/>
      <w:numFmt w:val="decimal"/>
      <w:lvlText w:val="%6."/>
      <w:lvlJc w:val="left"/>
      <w:pPr>
        <w:tabs>
          <w:tab w:val="num" w:pos="4320"/>
        </w:tabs>
        <w:ind w:left="4320" w:hanging="360"/>
      </w:pPr>
    </w:lvl>
    <w:lvl w:ilvl="6" w:tplc="31B4442A" w:tentative="1">
      <w:start w:val="1"/>
      <w:numFmt w:val="decimal"/>
      <w:lvlText w:val="%7."/>
      <w:lvlJc w:val="left"/>
      <w:pPr>
        <w:tabs>
          <w:tab w:val="num" w:pos="5040"/>
        </w:tabs>
        <w:ind w:left="5040" w:hanging="360"/>
      </w:pPr>
    </w:lvl>
    <w:lvl w:ilvl="7" w:tplc="76EEF6B2" w:tentative="1">
      <w:start w:val="1"/>
      <w:numFmt w:val="decimal"/>
      <w:lvlText w:val="%8."/>
      <w:lvlJc w:val="left"/>
      <w:pPr>
        <w:tabs>
          <w:tab w:val="num" w:pos="5760"/>
        </w:tabs>
        <w:ind w:left="5760" w:hanging="360"/>
      </w:pPr>
    </w:lvl>
    <w:lvl w:ilvl="8" w:tplc="92F42618" w:tentative="1">
      <w:start w:val="1"/>
      <w:numFmt w:val="decimal"/>
      <w:lvlText w:val="%9."/>
      <w:lvlJc w:val="left"/>
      <w:pPr>
        <w:tabs>
          <w:tab w:val="num" w:pos="6480"/>
        </w:tabs>
        <w:ind w:left="6480" w:hanging="360"/>
      </w:pPr>
    </w:lvl>
  </w:abstractNum>
  <w:abstractNum w:abstractNumId="28" w15:restartNumberingAfterBreak="0">
    <w:nsid w:val="672A0CFC"/>
    <w:multiLevelType w:val="multilevel"/>
    <w:tmpl w:val="A1D0316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6E39D3"/>
    <w:multiLevelType w:val="hybridMultilevel"/>
    <w:tmpl w:val="3C8042BE"/>
    <w:lvl w:ilvl="0" w:tplc="DE667DA0">
      <w:start w:val="1"/>
      <w:numFmt w:val="lowerLetter"/>
      <w:lvlText w:val="%1."/>
      <w:lvlJc w:val="left"/>
      <w:pPr>
        <w:ind w:left="720" w:hanging="360"/>
      </w:pPr>
      <w:rPr>
        <w:rFonts w:ascii="Century Gothic" w:eastAsia="Times New Roman" w:hAnsi="Century Gothic" w:cs="Times New Roman"/>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C5E19C7"/>
    <w:multiLevelType w:val="multilevel"/>
    <w:tmpl w:val="254E6670"/>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0CD375F"/>
    <w:multiLevelType w:val="multilevel"/>
    <w:tmpl w:val="D42055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779A26A4"/>
    <w:multiLevelType w:val="hybridMultilevel"/>
    <w:tmpl w:val="383A81DC"/>
    <w:lvl w:ilvl="0" w:tplc="4B7E9F1A">
      <w:start w:val="5"/>
      <w:numFmt w:val="lowerLetter"/>
      <w:lvlText w:val="%1."/>
      <w:lvlJc w:val="left"/>
      <w:pPr>
        <w:tabs>
          <w:tab w:val="num" w:pos="720"/>
        </w:tabs>
        <w:ind w:left="720" w:hanging="360"/>
      </w:pPr>
    </w:lvl>
    <w:lvl w:ilvl="1" w:tplc="30FEE110" w:tentative="1">
      <w:start w:val="1"/>
      <w:numFmt w:val="decimal"/>
      <w:lvlText w:val="%2."/>
      <w:lvlJc w:val="left"/>
      <w:pPr>
        <w:tabs>
          <w:tab w:val="num" w:pos="1440"/>
        </w:tabs>
        <w:ind w:left="1440" w:hanging="360"/>
      </w:pPr>
    </w:lvl>
    <w:lvl w:ilvl="2" w:tplc="A3A0D7E6" w:tentative="1">
      <w:start w:val="1"/>
      <w:numFmt w:val="decimal"/>
      <w:lvlText w:val="%3."/>
      <w:lvlJc w:val="left"/>
      <w:pPr>
        <w:tabs>
          <w:tab w:val="num" w:pos="2160"/>
        </w:tabs>
        <w:ind w:left="2160" w:hanging="360"/>
      </w:pPr>
    </w:lvl>
    <w:lvl w:ilvl="3" w:tplc="0C92AF06" w:tentative="1">
      <w:start w:val="1"/>
      <w:numFmt w:val="decimal"/>
      <w:lvlText w:val="%4."/>
      <w:lvlJc w:val="left"/>
      <w:pPr>
        <w:tabs>
          <w:tab w:val="num" w:pos="2880"/>
        </w:tabs>
        <w:ind w:left="2880" w:hanging="360"/>
      </w:pPr>
    </w:lvl>
    <w:lvl w:ilvl="4" w:tplc="EDBA77DA" w:tentative="1">
      <w:start w:val="1"/>
      <w:numFmt w:val="decimal"/>
      <w:lvlText w:val="%5."/>
      <w:lvlJc w:val="left"/>
      <w:pPr>
        <w:tabs>
          <w:tab w:val="num" w:pos="3600"/>
        </w:tabs>
        <w:ind w:left="3600" w:hanging="360"/>
      </w:pPr>
    </w:lvl>
    <w:lvl w:ilvl="5" w:tplc="793212C4" w:tentative="1">
      <w:start w:val="1"/>
      <w:numFmt w:val="decimal"/>
      <w:lvlText w:val="%6."/>
      <w:lvlJc w:val="left"/>
      <w:pPr>
        <w:tabs>
          <w:tab w:val="num" w:pos="4320"/>
        </w:tabs>
        <w:ind w:left="4320" w:hanging="360"/>
      </w:pPr>
    </w:lvl>
    <w:lvl w:ilvl="6" w:tplc="2D0EE874" w:tentative="1">
      <w:start w:val="1"/>
      <w:numFmt w:val="decimal"/>
      <w:lvlText w:val="%7."/>
      <w:lvlJc w:val="left"/>
      <w:pPr>
        <w:tabs>
          <w:tab w:val="num" w:pos="5040"/>
        </w:tabs>
        <w:ind w:left="5040" w:hanging="360"/>
      </w:pPr>
    </w:lvl>
    <w:lvl w:ilvl="7" w:tplc="267608F2" w:tentative="1">
      <w:start w:val="1"/>
      <w:numFmt w:val="decimal"/>
      <w:lvlText w:val="%8."/>
      <w:lvlJc w:val="left"/>
      <w:pPr>
        <w:tabs>
          <w:tab w:val="num" w:pos="5760"/>
        </w:tabs>
        <w:ind w:left="5760" w:hanging="360"/>
      </w:pPr>
    </w:lvl>
    <w:lvl w:ilvl="8" w:tplc="966C11C8" w:tentative="1">
      <w:start w:val="1"/>
      <w:numFmt w:val="decimal"/>
      <w:lvlText w:val="%9."/>
      <w:lvlJc w:val="left"/>
      <w:pPr>
        <w:tabs>
          <w:tab w:val="num" w:pos="6480"/>
        </w:tabs>
        <w:ind w:left="6480" w:hanging="360"/>
      </w:pPr>
    </w:lvl>
  </w:abstractNum>
  <w:abstractNum w:abstractNumId="33" w15:restartNumberingAfterBreak="0">
    <w:nsid w:val="79336833"/>
    <w:multiLevelType w:val="multilevel"/>
    <w:tmpl w:val="595A3152"/>
    <w:lvl w:ilvl="0">
      <w:start w:val="1"/>
      <w:numFmt w:val="lowerLetter"/>
      <w:lvlText w:val="%1)"/>
      <w:lvlJc w:val="left"/>
      <w:pPr>
        <w:ind w:left="927"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7B49788D"/>
    <w:multiLevelType w:val="multilevel"/>
    <w:tmpl w:val="FD6CBE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DE168B4"/>
    <w:multiLevelType w:val="multilevel"/>
    <w:tmpl w:val="09D0BD8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1"/>
  </w:num>
  <w:num w:numId="2">
    <w:abstractNumId w:val="2"/>
  </w:num>
  <w:num w:numId="3">
    <w:abstractNumId w:val="0"/>
  </w:num>
  <w:num w:numId="4">
    <w:abstractNumId w:val="28"/>
  </w:num>
  <w:num w:numId="5">
    <w:abstractNumId w:val="25"/>
  </w:num>
  <w:num w:numId="6">
    <w:abstractNumId w:val="6"/>
  </w:num>
  <w:num w:numId="7">
    <w:abstractNumId w:val="35"/>
  </w:num>
  <w:num w:numId="8">
    <w:abstractNumId w:val="3"/>
  </w:num>
  <w:num w:numId="9">
    <w:abstractNumId w:val="1"/>
  </w:num>
  <w:num w:numId="10">
    <w:abstractNumId w:val="16"/>
  </w:num>
  <w:num w:numId="11">
    <w:abstractNumId w:val="24"/>
  </w:num>
  <w:num w:numId="12">
    <w:abstractNumId w:val="33"/>
  </w:num>
  <w:num w:numId="13">
    <w:abstractNumId w:val="19"/>
  </w:num>
  <w:num w:numId="14">
    <w:abstractNumId w:val="14"/>
  </w:num>
  <w:num w:numId="15">
    <w:abstractNumId w:val="20"/>
  </w:num>
  <w:num w:numId="16">
    <w:abstractNumId w:val="17"/>
  </w:num>
  <w:num w:numId="17">
    <w:abstractNumId w:val="30"/>
  </w:num>
  <w:num w:numId="18">
    <w:abstractNumId w:val="31"/>
  </w:num>
  <w:num w:numId="19">
    <w:abstractNumId w:val="12"/>
  </w:num>
  <w:num w:numId="20">
    <w:abstractNumId w:val="11"/>
  </w:num>
  <w:num w:numId="21">
    <w:abstractNumId w:val="34"/>
  </w:num>
  <w:num w:numId="22">
    <w:abstractNumId w:val="4"/>
  </w:num>
  <w:num w:numId="23">
    <w:abstractNumId w:val="5"/>
  </w:num>
  <w:num w:numId="24">
    <w:abstractNumId w:val="10"/>
  </w:num>
  <w:num w:numId="25">
    <w:abstractNumId w:val="26"/>
  </w:num>
  <w:num w:numId="26">
    <w:abstractNumId w:val="15"/>
  </w:num>
  <w:num w:numId="27">
    <w:abstractNumId w:val="29"/>
  </w:num>
  <w:num w:numId="28">
    <w:abstractNumId w:val="7"/>
  </w:num>
  <w:num w:numId="29">
    <w:abstractNumId w:val="9"/>
    <w:lvlOverride w:ilvl="0">
      <w:lvl w:ilvl="0">
        <w:numFmt w:val="lowerLetter"/>
        <w:lvlText w:val="%1."/>
        <w:lvlJc w:val="left"/>
      </w:lvl>
    </w:lvlOverride>
  </w:num>
  <w:num w:numId="30">
    <w:abstractNumId w:val="9"/>
    <w:lvlOverride w:ilvl="0">
      <w:lvl w:ilvl="0">
        <w:numFmt w:val="lowerLetter"/>
        <w:lvlText w:val="%1."/>
        <w:lvlJc w:val="left"/>
      </w:lvl>
    </w:lvlOverride>
  </w:num>
  <w:num w:numId="31">
    <w:abstractNumId w:val="23"/>
  </w:num>
  <w:num w:numId="32">
    <w:abstractNumId w:val="8"/>
  </w:num>
  <w:num w:numId="33">
    <w:abstractNumId w:val="32"/>
  </w:num>
  <w:num w:numId="34">
    <w:abstractNumId w:val="27"/>
  </w:num>
  <w:num w:numId="35">
    <w:abstractNumId w:val="22"/>
  </w:num>
  <w:num w:numId="36">
    <w:abstractNumId w:val="18"/>
    <w:lvlOverride w:ilvl="0">
      <w:lvl w:ilvl="0">
        <w:numFmt w:val="decimal"/>
        <w:lvlText w:val="%1."/>
        <w:lvlJc w:val="left"/>
      </w:lvl>
    </w:lvlOverride>
  </w:num>
  <w:num w:numId="37">
    <w:abstractNumId w:val="1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316"/>
    <w:rsid w:val="00007D79"/>
    <w:rsid w:val="00012EF2"/>
    <w:rsid w:val="00051903"/>
    <w:rsid w:val="000747FE"/>
    <w:rsid w:val="00080B69"/>
    <w:rsid w:val="00087FAF"/>
    <w:rsid w:val="000926E8"/>
    <w:rsid w:val="000A17CD"/>
    <w:rsid w:val="000B5DE1"/>
    <w:rsid w:val="000B6A23"/>
    <w:rsid w:val="000C0B48"/>
    <w:rsid w:val="000C41FD"/>
    <w:rsid w:val="000E0B59"/>
    <w:rsid w:val="000F489B"/>
    <w:rsid w:val="001378A3"/>
    <w:rsid w:val="00146D4D"/>
    <w:rsid w:val="001E5F40"/>
    <w:rsid w:val="001E77B4"/>
    <w:rsid w:val="001F3053"/>
    <w:rsid w:val="001F6316"/>
    <w:rsid w:val="0023155C"/>
    <w:rsid w:val="002625EF"/>
    <w:rsid w:val="00263579"/>
    <w:rsid w:val="00266902"/>
    <w:rsid w:val="002C0686"/>
    <w:rsid w:val="002D1180"/>
    <w:rsid w:val="002D3DCE"/>
    <w:rsid w:val="002E0027"/>
    <w:rsid w:val="002F5894"/>
    <w:rsid w:val="00305C37"/>
    <w:rsid w:val="00314401"/>
    <w:rsid w:val="003261C8"/>
    <w:rsid w:val="00375558"/>
    <w:rsid w:val="003870F1"/>
    <w:rsid w:val="003A63D0"/>
    <w:rsid w:val="003A7154"/>
    <w:rsid w:val="003F7721"/>
    <w:rsid w:val="004105A0"/>
    <w:rsid w:val="00421353"/>
    <w:rsid w:val="00434FCD"/>
    <w:rsid w:val="00481B3D"/>
    <w:rsid w:val="00495AA7"/>
    <w:rsid w:val="004A1D8F"/>
    <w:rsid w:val="004A2BB9"/>
    <w:rsid w:val="004C19AE"/>
    <w:rsid w:val="004D16D2"/>
    <w:rsid w:val="004D2F89"/>
    <w:rsid w:val="005221B3"/>
    <w:rsid w:val="0052539A"/>
    <w:rsid w:val="00555E8C"/>
    <w:rsid w:val="005857E2"/>
    <w:rsid w:val="005D7B50"/>
    <w:rsid w:val="00640D91"/>
    <w:rsid w:val="00677CE5"/>
    <w:rsid w:val="00683CFA"/>
    <w:rsid w:val="006936BE"/>
    <w:rsid w:val="006A1514"/>
    <w:rsid w:val="006B60A3"/>
    <w:rsid w:val="006C29F7"/>
    <w:rsid w:val="006D3824"/>
    <w:rsid w:val="006E462D"/>
    <w:rsid w:val="006E7B97"/>
    <w:rsid w:val="006F1093"/>
    <w:rsid w:val="00721065"/>
    <w:rsid w:val="00737D6D"/>
    <w:rsid w:val="007648E4"/>
    <w:rsid w:val="007668F2"/>
    <w:rsid w:val="007B627B"/>
    <w:rsid w:val="007D1421"/>
    <w:rsid w:val="007D5BC0"/>
    <w:rsid w:val="007F1FA5"/>
    <w:rsid w:val="007F3EFF"/>
    <w:rsid w:val="008032FD"/>
    <w:rsid w:val="00806D4D"/>
    <w:rsid w:val="00824F1C"/>
    <w:rsid w:val="008456D6"/>
    <w:rsid w:val="008A05AF"/>
    <w:rsid w:val="008A4132"/>
    <w:rsid w:val="008F6226"/>
    <w:rsid w:val="009B3884"/>
    <w:rsid w:val="009C50EC"/>
    <w:rsid w:val="009D58AA"/>
    <w:rsid w:val="00A1679E"/>
    <w:rsid w:val="00A22F21"/>
    <w:rsid w:val="00A266DB"/>
    <w:rsid w:val="00A40A30"/>
    <w:rsid w:val="00A5025E"/>
    <w:rsid w:val="00A573B9"/>
    <w:rsid w:val="00A7214F"/>
    <w:rsid w:val="00A83DDF"/>
    <w:rsid w:val="00AC018D"/>
    <w:rsid w:val="00AE58FD"/>
    <w:rsid w:val="00AF01F7"/>
    <w:rsid w:val="00B14FA6"/>
    <w:rsid w:val="00B32D53"/>
    <w:rsid w:val="00B3704B"/>
    <w:rsid w:val="00B373D4"/>
    <w:rsid w:val="00BA73F0"/>
    <w:rsid w:val="00BF2590"/>
    <w:rsid w:val="00C100A2"/>
    <w:rsid w:val="00C32CF0"/>
    <w:rsid w:val="00C331AC"/>
    <w:rsid w:val="00C51F60"/>
    <w:rsid w:val="00C63712"/>
    <w:rsid w:val="00CB1811"/>
    <w:rsid w:val="00CE4D32"/>
    <w:rsid w:val="00D2561F"/>
    <w:rsid w:val="00D30399"/>
    <w:rsid w:val="00D8582F"/>
    <w:rsid w:val="00DC235F"/>
    <w:rsid w:val="00DC73E7"/>
    <w:rsid w:val="00DD29A8"/>
    <w:rsid w:val="00DE20E7"/>
    <w:rsid w:val="00DE7A48"/>
    <w:rsid w:val="00E2546C"/>
    <w:rsid w:val="00E260A8"/>
    <w:rsid w:val="00E33056"/>
    <w:rsid w:val="00E439B8"/>
    <w:rsid w:val="00EA0770"/>
    <w:rsid w:val="00EC4A50"/>
    <w:rsid w:val="00EC7A12"/>
    <w:rsid w:val="00ED26EE"/>
    <w:rsid w:val="00EE7C52"/>
    <w:rsid w:val="00EF0559"/>
    <w:rsid w:val="00EF1843"/>
    <w:rsid w:val="00F0560B"/>
    <w:rsid w:val="00F15D6D"/>
    <w:rsid w:val="00F31976"/>
    <w:rsid w:val="00F84884"/>
    <w:rsid w:val="00F95E80"/>
    <w:rsid w:val="00FA0C2D"/>
    <w:rsid w:val="00FB5D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5664D"/>
  <w15:docId w15:val="{6DA2B91B-C6DF-44DB-AF35-7B7617125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E4D78"/>
    </w:rPr>
  </w:style>
  <w:style w:type="paragraph" w:styleId="Ttulo4">
    <w:name w:val="heading 4"/>
    <w:basedOn w:val="Normal"/>
    <w:next w:val="Normal"/>
    <w:uiPriority w:val="9"/>
    <w:semiHidden/>
    <w:unhideWhenUsed/>
    <w:qFormat/>
    <w:pPr>
      <w:keepNext/>
      <w:keepLines/>
      <w:spacing w:before="200"/>
      <w:outlineLvl w:val="3"/>
    </w:pPr>
    <w:rPr>
      <w:rFonts w:ascii="Cambria" w:eastAsia="Cambria" w:hAnsi="Cambria" w:cs="Cambria"/>
      <w:b/>
      <w:bCs/>
      <w:i/>
      <w:iCs/>
      <w:color w:val="4F81BD"/>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DE7A48"/>
    <w:pPr>
      <w:tabs>
        <w:tab w:val="center" w:pos="4419"/>
        <w:tab w:val="right" w:pos="8838"/>
      </w:tabs>
    </w:pPr>
  </w:style>
  <w:style w:type="character" w:customStyle="1" w:styleId="EncabezadoCar">
    <w:name w:val="Encabezado Car"/>
    <w:basedOn w:val="Fuentedeprrafopredeter"/>
    <w:link w:val="Encabezado"/>
    <w:uiPriority w:val="99"/>
    <w:rsid w:val="00DE7A48"/>
  </w:style>
  <w:style w:type="paragraph" w:styleId="Piedepgina">
    <w:name w:val="footer"/>
    <w:basedOn w:val="Normal"/>
    <w:link w:val="PiedepginaCar"/>
    <w:uiPriority w:val="99"/>
    <w:unhideWhenUsed/>
    <w:rsid w:val="00DE7A48"/>
    <w:pPr>
      <w:tabs>
        <w:tab w:val="center" w:pos="4419"/>
        <w:tab w:val="right" w:pos="8838"/>
      </w:tabs>
    </w:pPr>
  </w:style>
  <w:style w:type="character" w:customStyle="1" w:styleId="PiedepginaCar">
    <w:name w:val="Pie de página Car"/>
    <w:basedOn w:val="Fuentedeprrafopredeter"/>
    <w:link w:val="Piedepgina"/>
    <w:uiPriority w:val="99"/>
    <w:rsid w:val="00DE7A48"/>
  </w:style>
  <w:style w:type="character" w:styleId="Hipervnculo">
    <w:name w:val="Hyperlink"/>
    <w:basedOn w:val="Fuentedeprrafopredeter"/>
    <w:uiPriority w:val="99"/>
    <w:unhideWhenUsed/>
    <w:rsid w:val="006E462D"/>
    <w:rPr>
      <w:color w:val="0000FF"/>
      <w:u w:val="single"/>
    </w:rPr>
  </w:style>
  <w:style w:type="table" w:styleId="Tablaconcuadrcula">
    <w:name w:val="Table Grid"/>
    <w:basedOn w:val="Tablanormal"/>
    <w:uiPriority w:val="39"/>
    <w:rsid w:val="00ED2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D11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cretariasenado.gov.co/senado/basedoc/ley_2205_2022.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secretariasenado.gov.co/senado/basedoc/ley_2205_2022.html"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secretariasenado.gov.co/senado/basedoc/ley_2205_2022.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mailto:delcy.isaza@camara.gov.co" TargetMode="External"/><Relationship Id="rId2" Type="http://schemas.openxmlformats.org/officeDocument/2006/relationships/image" Target="media/image8.png"/><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asobancaria.com/wp-content/uploads/2024/02/1411-BE.pdf" TargetMode="External"/><Relationship Id="rId3" Type="http://schemas.openxmlformats.org/officeDocument/2006/relationships/hyperlink" Target="https://www.suin-juriscol.gov.co/viewDocument.asp?id=30041799" TargetMode="External"/><Relationship Id="rId7" Type="http://schemas.openxmlformats.org/officeDocument/2006/relationships/hyperlink" Target="https://www.dane.gov.co/files/investigaciones/genero/publicaciones/tiempo-de-cuidados-cifras-desigualdad-informe.pdf" TargetMode="External"/><Relationship Id="rId2" Type="http://schemas.openxmlformats.org/officeDocument/2006/relationships/hyperlink" Target="https://www.cortesuprema.gov.co/corte/wp-content/uploads/relatorias/tutelas/B%20AGO2019/FICHA%20STC6975-2019.docx" TargetMode="External"/><Relationship Id="rId1" Type="http://schemas.openxmlformats.org/officeDocument/2006/relationships/hyperlink" Target="https://www.icbf.gov.co/sites/default/files/normatividad/27-a-concepto_no_-27-listo_-para_-la_-web.pdf" TargetMode="External"/><Relationship Id="rId6" Type="http://schemas.openxmlformats.org/officeDocument/2006/relationships/hyperlink" Target="https://www.dane.gov.co/files/investigaciones/genero/publicaciones/Boletin-estadistico-ONU-cuidado-noremunerado-mujeres-DANE-mayo-2020.pdf" TargetMode="External"/><Relationship Id="rId5" Type="http://schemas.openxmlformats.org/officeDocument/2006/relationships/hyperlink" Target="https://www.dane.gov.co/files/investigaciones/condiciones_vida/calidad_vida/2022/Boletin_Tecnico_ECV_2022.pdf" TargetMode="External"/><Relationship Id="rId10" Type="http://schemas.openxmlformats.org/officeDocument/2006/relationships/hyperlink" Target="https://www.ramajudicial.gov.co/documents/1545778/8829673/TOMO+I+TIEMPOS+PROCESALES_18122015.pdf/2da294fd-3ef6-4820-b9e0-7a892b1bdbf0" TargetMode="External"/><Relationship Id="rId4" Type="http://schemas.openxmlformats.org/officeDocument/2006/relationships/hyperlink" Target="https://news.un.org/es/story/2023/07/1522632" TargetMode="External"/><Relationship Id="rId9" Type="http://schemas.openxmlformats.org/officeDocument/2006/relationships/hyperlink" Target="https://sitios.dane.gov.co/revista_ib/html_r8/articulo4.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jSxF9kJJ/UKQeijGSsyHRtlHWQ==">CgMxLjAyD2lkLnBvNTYxMjZobm56ODIPaWQuaGMwODBnd2l6YWJrOAByITFmcXdxcFlBYWlydmxveHFLdFZoeHJvZDlrMDdQWDIyQg==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6E16A6-B608-4B90-9EDC-70F34935F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25877</Words>
  <Characters>142326</Characters>
  <Application>Microsoft Office Word</Application>
  <DocSecurity>0</DocSecurity>
  <Lines>1186</Lines>
  <Paragraphs>335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Macias Barreto</dc:creator>
  <cp:lastModifiedBy>Juliana Macias Barreto</cp:lastModifiedBy>
  <cp:revision>2</cp:revision>
  <cp:lastPrinted>2026-06-03T15:13:00Z</cp:lastPrinted>
  <dcterms:created xsi:type="dcterms:W3CDTF">2026-06-03T17:30:00Z</dcterms:created>
  <dcterms:modified xsi:type="dcterms:W3CDTF">2026-06-03T17:30:00Z</dcterms:modified>
</cp:coreProperties>
</file>