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1765"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Rama Legislativa del Poder Público</w:t>
      </w:r>
    </w:p>
    <w:p w14:paraId="0975518A" w14:textId="77777777"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Comisión Séptima Constitucional Permanente</w:t>
      </w:r>
    </w:p>
    <w:p w14:paraId="74C5D86C" w14:textId="2C71915A" w:rsidR="00900D93" w:rsidRPr="002C21DA" w:rsidRDefault="000F3249" w:rsidP="002C21DA">
      <w:pPr>
        <w:pStyle w:val="Sinespaciado"/>
        <w:jc w:val="center"/>
        <w:rPr>
          <w:rFonts w:ascii="Edwardian Script ITC" w:hAnsi="Edwardian Script ITC"/>
          <w:b/>
          <w:sz w:val="36"/>
          <w:szCs w:val="36"/>
        </w:rPr>
      </w:pPr>
      <w:r w:rsidRPr="002C21DA">
        <w:rPr>
          <w:rFonts w:ascii="Edwardian Script ITC" w:hAnsi="Edwardian Script ITC"/>
          <w:b/>
          <w:sz w:val="36"/>
          <w:szCs w:val="36"/>
        </w:rPr>
        <w:t>Legislatura 202</w:t>
      </w:r>
      <w:r w:rsidR="0093363E">
        <w:rPr>
          <w:rFonts w:ascii="Edwardian Script ITC" w:hAnsi="Edwardian Script ITC"/>
          <w:b/>
          <w:sz w:val="36"/>
          <w:szCs w:val="36"/>
        </w:rPr>
        <w:t>5</w:t>
      </w:r>
      <w:r w:rsidRPr="002C21DA">
        <w:rPr>
          <w:rFonts w:ascii="Edwardian Script ITC" w:hAnsi="Edwardian Script ITC"/>
          <w:b/>
          <w:sz w:val="36"/>
          <w:szCs w:val="36"/>
        </w:rPr>
        <w:t>-202</w:t>
      </w:r>
      <w:r w:rsidR="0093363E">
        <w:rPr>
          <w:rFonts w:ascii="Edwardian Script ITC" w:hAnsi="Edwardian Script ITC"/>
          <w:b/>
          <w:sz w:val="36"/>
          <w:szCs w:val="36"/>
        </w:rPr>
        <w:t>6</w:t>
      </w:r>
    </w:p>
    <w:p w14:paraId="650C9766" w14:textId="77777777" w:rsidR="00900D93" w:rsidRPr="00330383" w:rsidRDefault="00900D93">
      <w:pPr>
        <w:pBdr>
          <w:top w:val="nil"/>
          <w:left w:val="nil"/>
          <w:bottom w:val="nil"/>
          <w:right w:val="nil"/>
          <w:between w:val="nil"/>
        </w:pBdr>
        <w:spacing w:after="0" w:line="240" w:lineRule="auto"/>
        <w:jc w:val="center"/>
        <w:rPr>
          <w:rFonts w:ascii="Arial" w:eastAsia="Pinyon Script" w:hAnsi="Arial" w:cs="Arial"/>
          <w:b/>
          <w:color w:val="000000"/>
          <w:highlight w:val="yellow"/>
        </w:rPr>
      </w:pPr>
    </w:p>
    <w:p w14:paraId="2F19211D" w14:textId="7E7D1CB7" w:rsidR="00900D93" w:rsidRPr="00631A0A" w:rsidRDefault="000F3249" w:rsidP="002C21DA">
      <w:pPr>
        <w:pStyle w:val="Sinespaciado"/>
        <w:rPr>
          <w:rFonts w:eastAsia="Arial MT" w:cs="Arial"/>
          <w:b/>
          <w:bCs/>
          <w:lang w:val="es-ES" w:eastAsia="es-ES"/>
        </w:rPr>
      </w:pPr>
      <w:r w:rsidRPr="00EA764E">
        <w:rPr>
          <w:rFonts w:eastAsia="Arial" w:cs="Arial"/>
          <w:b/>
          <w:color w:val="000000"/>
        </w:rPr>
        <w:t xml:space="preserve">TEXTO DEFINITIVO APROBADO EN PRIMER DEBATE DEL </w:t>
      </w:r>
      <w:r w:rsidRPr="00EA764E">
        <w:rPr>
          <w:rFonts w:eastAsia="Arial" w:cs="Arial"/>
          <w:b/>
        </w:rPr>
        <w:t xml:space="preserve">PROYECTO DE LEY </w:t>
      </w:r>
      <w:r w:rsidR="00B8597F" w:rsidRPr="00EE28A5">
        <w:rPr>
          <w:rFonts w:cs="Arial"/>
          <w:b/>
          <w:bCs/>
        </w:rPr>
        <w:t>N</w:t>
      </w:r>
      <w:r w:rsidR="00B8597F">
        <w:rPr>
          <w:rFonts w:cs="Arial"/>
          <w:b/>
          <w:bCs/>
        </w:rPr>
        <w:t>o</w:t>
      </w:r>
      <w:r w:rsidR="00B8597F" w:rsidRPr="00EE28A5">
        <w:rPr>
          <w:rFonts w:cs="Arial"/>
          <w:b/>
          <w:bCs/>
        </w:rPr>
        <w:t>. 493 DE 2025 CÁMARA “POR MEDIO DEL CUAL SE ESTABLECE EL SISTEMA NACIONAL PARA LA PROTECCIÓN INTEGRAL DE LA SALUD VISUAL Y OCULAR, SE CREA LA POLÍTICA NACIONAL EN SALUD VISUAL Y OCULAR, Y SE DICTAN OTRAS DISPOSICIONES”.</w:t>
      </w:r>
      <w:r w:rsidR="008010C4">
        <w:rPr>
          <w:rFonts w:eastAsia="Arial" w:cs="Arial"/>
          <w:b/>
        </w:rPr>
        <w:t xml:space="preserve"> </w:t>
      </w:r>
      <w:r w:rsidR="0080316C" w:rsidRPr="00EA764E">
        <w:rPr>
          <w:rFonts w:cs="Arial"/>
          <w:b/>
        </w:rPr>
        <w:t xml:space="preserve"> </w:t>
      </w:r>
    </w:p>
    <w:p w14:paraId="72180F14" w14:textId="77777777" w:rsidR="00931B69" w:rsidRPr="00EA764E" w:rsidRDefault="00931B69" w:rsidP="009A5477">
      <w:pPr>
        <w:pStyle w:val="Sinespaciado"/>
        <w:jc w:val="center"/>
        <w:rPr>
          <w:rFonts w:cs="Arial"/>
        </w:rPr>
      </w:pPr>
    </w:p>
    <w:p w14:paraId="20075F4A" w14:textId="125862CA" w:rsidR="00900D93" w:rsidRPr="00EA764E" w:rsidRDefault="000F3249" w:rsidP="009A5477">
      <w:pPr>
        <w:pStyle w:val="Sinespaciado"/>
        <w:jc w:val="center"/>
        <w:rPr>
          <w:rFonts w:cs="Arial"/>
        </w:rPr>
      </w:pPr>
      <w:r w:rsidRPr="00EA764E">
        <w:rPr>
          <w:rFonts w:cs="Arial"/>
        </w:rPr>
        <w:t>(Aprobado en la</w:t>
      </w:r>
      <w:r w:rsidR="00722B7D" w:rsidRPr="00EA764E">
        <w:rPr>
          <w:rFonts w:cs="Arial"/>
        </w:rPr>
        <w:t xml:space="preserve"> sesión</w:t>
      </w:r>
      <w:r w:rsidR="00874E4E" w:rsidRPr="00EA764E">
        <w:rPr>
          <w:rFonts w:cs="Arial"/>
        </w:rPr>
        <w:t xml:space="preserve"> presencial </w:t>
      </w:r>
      <w:r w:rsidR="00722B7D" w:rsidRPr="00EA764E">
        <w:rPr>
          <w:rFonts w:cs="Arial"/>
        </w:rPr>
        <w:t>del</w:t>
      </w:r>
      <w:r w:rsidR="00874E4E" w:rsidRPr="00EA764E">
        <w:rPr>
          <w:rFonts w:cs="Arial"/>
        </w:rPr>
        <w:t xml:space="preserve"> </w:t>
      </w:r>
      <w:r w:rsidR="008010C4">
        <w:rPr>
          <w:rFonts w:cs="Arial"/>
        </w:rPr>
        <w:t>5 de mayo</w:t>
      </w:r>
      <w:r w:rsidR="00510F4A" w:rsidRPr="00EA764E">
        <w:rPr>
          <w:rFonts w:cs="Arial"/>
        </w:rPr>
        <w:t xml:space="preserve"> </w:t>
      </w:r>
      <w:r w:rsidR="00344B4D" w:rsidRPr="00EA764E">
        <w:rPr>
          <w:rFonts w:cs="Arial"/>
        </w:rPr>
        <w:t>de 202</w:t>
      </w:r>
      <w:r w:rsidR="00631A0A">
        <w:rPr>
          <w:rFonts w:cs="Arial"/>
        </w:rPr>
        <w:t>6</w:t>
      </w:r>
      <w:r w:rsidR="009A5477" w:rsidRPr="00EA764E">
        <w:rPr>
          <w:rFonts w:cs="Arial"/>
        </w:rPr>
        <w:t xml:space="preserve">, Comisión VII Constitucional </w:t>
      </w:r>
      <w:r w:rsidRPr="00EA764E">
        <w:rPr>
          <w:rFonts w:cs="Arial"/>
        </w:rPr>
        <w:t xml:space="preserve">Permanente de la H. Cámara de Representantes, </w:t>
      </w:r>
      <w:r w:rsidR="009A5477" w:rsidRPr="00EA764E">
        <w:rPr>
          <w:rFonts w:cs="Arial"/>
        </w:rPr>
        <w:t>a</w:t>
      </w:r>
      <w:r w:rsidRPr="00EA764E">
        <w:rPr>
          <w:rFonts w:cs="Arial"/>
        </w:rPr>
        <w:t xml:space="preserve">cta No. </w:t>
      </w:r>
      <w:r w:rsidR="00631A0A">
        <w:rPr>
          <w:rFonts w:cs="Arial"/>
        </w:rPr>
        <w:t>2</w:t>
      </w:r>
      <w:r w:rsidR="008010C4">
        <w:rPr>
          <w:rFonts w:cs="Arial"/>
        </w:rPr>
        <w:t>2</w:t>
      </w:r>
      <w:r w:rsidRPr="00EA764E">
        <w:rPr>
          <w:rFonts w:cs="Arial"/>
        </w:rPr>
        <w:t>)</w:t>
      </w:r>
    </w:p>
    <w:p w14:paraId="55DF5872"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EL CONGRESO DE COLOMBIA</w:t>
      </w:r>
    </w:p>
    <w:p w14:paraId="745100F3" w14:textId="77777777" w:rsidR="00900D93" w:rsidRPr="00EA764E" w:rsidRDefault="000F3249" w:rsidP="00D410FE">
      <w:pPr>
        <w:spacing w:before="240" w:after="0" w:line="240" w:lineRule="atLeast"/>
        <w:jc w:val="center"/>
        <w:rPr>
          <w:rFonts w:ascii="Arial" w:eastAsia="Arial" w:hAnsi="Arial" w:cs="Arial"/>
          <w:b/>
        </w:rPr>
      </w:pPr>
      <w:r w:rsidRPr="00EA764E">
        <w:rPr>
          <w:rFonts w:ascii="Arial" w:eastAsia="Arial" w:hAnsi="Arial" w:cs="Arial"/>
          <w:b/>
        </w:rPr>
        <w:t>DECRETA:</w:t>
      </w:r>
    </w:p>
    <w:p w14:paraId="5C193CA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1. Objeto. </w:t>
      </w:r>
      <w:r w:rsidRPr="00B8597F">
        <w:rPr>
          <w:rFonts w:ascii="Arial" w:eastAsia="Arial" w:hAnsi="Arial" w:cs="Arial"/>
          <w:lang w:eastAsia="es-CO"/>
        </w:rPr>
        <w:t>La presente ley tiene por objeto establecer el Sistema Nacional para la Protección Integral de la Salud Visual y Ocular, entendido como la articulación institucional, normativa, operativa y técnica en el Sistema General de Seguridad Social en Salud, con el fin de garantizar la promoción, prevención, diagnóstico, atención, rehabilitación y recuperación de la salud visual y ocular de toda la población colombiana.</w:t>
      </w:r>
    </w:p>
    <w:p w14:paraId="4F395D6A" w14:textId="77777777" w:rsidR="00B8597F" w:rsidRPr="00B8597F" w:rsidRDefault="00B8597F" w:rsidP="00B8597F">
      <w:pPr>
        <w:widowControl w:val="0"/>
        <w:spacing w:before="160" w:after="0" w:line="240" w:lineRule="auto"/>
        <w:ind w:right="259"/>
        <w:jc w:val="both"/>
        <w:rPr>
          <w:rFonts w:ascii="Arial" w:eastAsia="Arial" w:hAnsi="Arial" w:cs="Arial"/>
          <w:lang w:eastAsia="es-CO"/>
        </w:rPr>
      </w:pPr>
      <w:r w:rsidRPr="00B8597F">
        <w:rPr>
          <w:rFonts w:ascii="Arial" w:eastAsia="Arial" w:hAnsi="Arial" w:cs="Arial"/>
          <w:b/>
          <w:bCs/>
          <w:lang w:eastAsia="es-CO"/>
        </w:rPr>
        <w:t xml:space="preserve">Artículo 2. Ámbito de aplicación. </w:t>
      </w:r>
      <w:r w:rsidRPr="00B8597F">
        <w:rPr>
          <w:rFonts w:ascii="Arial" w:eastAsia="Arial" w:hAnsi="Arial" w:cs="Arial"/>
          <w:lang w:eastAsia="es-CO"/>
        </w:rPr>
        <w:t>Las disposiciones incluidas en la presente ley buscan ampliar las garantías existentes al derecho a la salud, en lo relacionado con la salud visual y ocular, en el marco del Sistema General de Seguridad Social en Salud y será de obligatorio cumplimiento para todos sus integrantes, así como para las entidades públicas, privadas o mixtas que desarrollen acciones de promoción, prevención, detección temprana, diagnóstico, intervención, tratamiento, rehabilitación, paliación y seguimiento continuo en materia de salud visual y ocular.</w:t>
      </w:r>
    </w:p>
    <w:p w14:paraId="66C18306" w14:textId="77777777" w:rsidR="00B8597F" w:rsidRPr="00B8597F" w:rsidRDefault="00B8597F" w:rsidP="00B8597F">
      <w:pPr>
        <w:widowControl w:val="0"/>
        <w:spacing w:before="243" w:after="0" w:line="240" w:lineRule="auto"/>
        <w:ind w:right="259"/>
        <w:jc w:val="both"/>
        <w:rPr>
          <w:rFonts w:ascii="Arial" w:eastAsia="Arial" w:hAnsi="Arial" w:cs="Arial"/>
          <w:lang w:eastAsia="es-CO"/>
        </w:rPr>
      </w:pPr>
      <w:r w:rsidRPr="00B8597F">
        <w:rPr>
          <w:rFonts w:ascii="Arial" w:eastAsia="Arial" w:hAnsi="Arial" w:cs="Arial"/>
          <w:lang w:eastAsia="es-CO"/>
        </w:rPr>
        <w:t>Asimismo, será aplicable a las autoridades nacionales, departamentales, distritales y municipales del sector salud, quienes deberán armonizar, ajustar y articular sus políticas, planes, programas, proyectos, instrumentos de gestión y normativa interna con las disposiciones aquí establecidas, garantizando la implementación efectiva y el logro de los objetivos de la Política Nacional de Salud Visual y Ocular.</w:t>
      </w:r>
    </w:p>
    <w:p w14:paraId="28CC5D04" w14:textId="77777777" w:rsidR="00B8597F" w:rsidRPr="00B8597F" w:rsidRDefault="00B8597F" w:rsidP="00B8597F">
      <w:pPr>
        <w:widowControl w:val="0"/>
        <w:spacing w:before="238" w:after="0" w:line="240" w:lineRule="auto"/>
        <w:ind w:right="256"/>
        <w:jc w:val="both"/>
        <w:rPr>
          <w:rFonts w:ascii="Arial" w:eastAsia="Arial" w:hAnsi="Arial" w:cs="Arial"/>
          <w:lang w:eastAsia="es-CO"/>
        </w:rPr>
      </w:pPr>
      <w:r w:rsidRPr="00B8597F">
        <w:rPr>
          <w:rFonts w:ascii="Arial" w:eastAsia="Arial" w:hAnsi="Arial" w:cs="Arial"/>
          <w:b/>
          <w:bCs/>
          <w:lang w:eastAsia="es-CO"/>
        </w:rPr>
        <w:t xml:space="preserve">Artículo 3. Definiciones. </w:t>
      </w:r>
      <w:r w:rsidRPr="00B8597F">
        <w:rPr>
          <w:rFonts w:ascii="Arial" w:eastAsia="Arial" w:hAnsi="Arial" w:cs="Arial"/>
          <w:lang w:eastAsia="es-CO"/>
        </w:rPr>
        <w:t>Para la aplicación de la presente ley y demás normas que regulen la protección de la salud visual y ocular se tendrán en cuenta las siguientes definiciones:</w:t>
      </w:r>
    </w:p>
    <w:p w14:paraId="43192224" w14:textId="77777777" w:rsidR="00B8597F" w:rsidRPr="00B8597F" w:rsidRDefault="00B8597F" w:rsidP="00B8597F">
      <w:pPr>
        <w:widowControl w:val="0"/>
        <w:numPr>
          <w:ilvl w:val="0"/>
          <w:numId w:val="33"/>
        </w:numPr>
        <w:tabs>
          <w:tab w:val="left" w:pos="619"/>
          <w:tab w:val="left" w:pos="621"/>
        </w:tabs>
        <w:spacing w:before="159" w:after="0" w:line="240" w:lineRule="auto"/>
        <w:ind w:right="260"/>
        <w:jc w:val="both"/>
        <w:rPr>
          <w:rFonts w:ascii="Arial" w:eastAsia="Arial" w:hAnsi="Arial" w:cs="Arial"/>
          <w:lang w:eastAsia="es-CO"/>
        </w:rPr>
      </w:pPr>
      <w:r w:rsidRPr="00B8597F">
        <w:rPr>
          <w:rFonts w:ascii="Arial" w:eastAsia="Arial" w:hAnsi="Arial" w:cs="Arial"/>
          <w:b/>
          <w:bCs/>
          <w:lang w:eastAsia="es-CO"/>
        </w:rPr>
        <w:t xml:space="preserve">Baja visión. </w:t>
      </w:r>
      <w:r w:rsidRPr="00B8597F">
        <w:rPr>
          <w:rFonts w:ascii="Arial" w:eastAsia="Arial" w:hAnsi="Arial" w:cs="Arial"/>
          <w:lang w:eastAsia="es-CO"/>
        </w:rPr>
        <w:t>Es una discapacidad visual en la que la persona, con la mejor corrección posible tiene una agudeza visual que oscila entre 6/18 y 3/60 en el ojo con mejor visión, o una reducción significativa de su campo visual al menos de 20 grados.</w:t>
      </w:r>
    </w:p>
    <w:p w14:paraId="363FA80E" w14:textId="77777777" w:rsidR="00B8597F" w:rsidRPr="00B8597F" w:rsidRDefault="00B8597F" w:rsidP="00B8597F">
      <w:pPr>
        <w:widowControl w:val="0"/>
        <w:numPr>
          <w:ilvl w:val="0"/>
          <w:numId w:val="33"/>
        </w:numPr>
        <w:tabs>
          <w:tab w:val="left" w:pos="619"/>
          <w:tab w:val="left" w:pos="621"/>
        </w:tabs>
        <w:spacing w:after="0" w:line="240" w:lineRule="auto"/>
        <w:ind w:right="266"/>
        <w:jc w:val="both"/>
        <w:rPr>
          <w:rFonts w:ascii="Arial" w:eastAsia="Arial" w:hAnsi="Arial" w:cs="Arial"/>
          <w:lang w:eastAsia="es-CO"/>
        </w:rPr>
      </w:pPr>
      <w:r w:rsidRPr="00B8597F">
        <w:rPr>
          <w:rFonts w:ascii="Arial" w:eastAsia="Arial" w:hAnsi="Arial" w:cs="Arial"/>
          <w:b/>
          <w:bCs/>
          <w:lang w:eastAsia="es-CO"/>
        </w:rPr>
        <w:t xml:space="preserve">Ceguera. </w:t>
      </w:r>
      <w:r w:rsidRPr="00B8597F">
        <w:rPr>
          <w:rFonts w:ascii="Arial" w:eastAsia="Arial" w:hAnsi="Arial" w:cs="Arial"/>
          <w:lang w:eastAsia="es-CO"/>
        </w:rPr>
        <w:t>La ceguera se define como una agudeza visual inferior a 3/60 o una pérdida del campo visual que lo reduce a menos de 10 grados de visión, en el mejor de los ojos y con la mejor corrección óptica posible.</w:t>
      </w:r>
    </w:p>
    <w:p w14:paraId="05F3E5AB" w14:textId="08D2D1BB" w:rsidR="00B8597F" w:rsidRPr="00B8597F" w:rsidRDefault="00B8597F" w:rsidP="00DE1BAD">
      <w:pPr>
        <w:widowControl w:val="0"/>
        <w:numPr>
          <w:ilvl w:val="0"/>
          <w:numId w:val="33"/>
        </w:numPr>
        <w:tabs>
          <w:tab w:val="left" w:pos="619"/>
          <w:tab w:val="left" w:pos="621"/>
        </w:tabs>
        <w:spacing w:after="0" w:line="240" w:lineRule="auto"/>
        <w:ind w:right="258"/>
        <w:jc w:val="both"/>
        <w:rPr>
          <w:rFonts w:ascii="Arial" w:eastAsia="Arial" w:hAnsi="Arial" w:cs="Arial"/>
          <w:lang w:eastAsia="es-CO"/>
        </w:rPr>
      </w:pPr>
      <w:r w:rsidRPr="00B8597F">
        <w:rPr>
          <w:rFonts w:ascii="Arial" w:eastAsia="Arial" w:hAnsi="Arial" w:cs="Arial"/>
          <w:b/>
          <w:bCs/>
          <w:lang w:eastAsia="es-CO"/>
        </w:rPr>
        <w:t xml:space="preserve">Salud visual y ocular. </w:t>
      </w:r>
      <w:r w:rsidRPr="00B8597F">
        <w:rPr>
          <w:rFonts w:ascii="Arial" w:eastAsia="Arial" w:hAnsi="Arial" w:cs="Arial"/>
          <w:lang w:eastAsia="es-CO"/>
        </w:rPr>
        <w:t>Es el estado de bienestar e integridad física del ojo como órgano y del sistema visual que permite a las personas realizar sus actividades diarias y mantener su calidad de vida.</w:t>
      </w:r>
    </w:p>
    <w:p w14:paraId="78BE8664" w14:textId="77777777" w:rsidR="00B8597F" w:rsidRPr="00B8597F" w:rsidRDefault="00B8597F" w:rsidP="00B8597F">
      <w:pPr>
        <w:widowControl w:val="0"/>
        <w:spacing w:after="0" w:line="240" w:lineRule="auto"/>
        <w:rPr>
          <w:rFonts w:ascii="Arial" w:eastAsia="Arial" w:hAnsi="Arial" w:cs="Arial"/>
          <w:lang w:eastAsia="es-CO"/>
        </w:rPr>
      </w:pPr>
    </w:p>
    <w:p w14:paraId="4036B026" w14:textId="77777777" w:rsidR="00B8597F" w:rsidRPr="00B8597F" w:rsidRDefault="00B8597F" w:rsidP="00B8597F">
      <w:pPr>
        <w:widowControl w:val="0"/>
        <w:numPr>
          <w:ilvl w:val="0"/>
          <w:numId w:val="33"/>
        </w:numPr>
        <w:tabs>
          <w:tab w:val="left" w:pos="619"/>
          <w:tab w:val="left" w:pos="621"/>
        </w:tabs>
        <w:spacing w:after="0" w:line="240" w:lineRule="auto"/>
        <w:ind w:right="260"/>
        <w:jc w:val="both"/>
        <w:rPr>
          <w:rFonts w:ascii="Arial" w:eastAsia="Arial" w:hAnsi="Arial" w:cs="Arial"/>
          <w:lang w:eastAsia="es-CO"/>
        </w:rPr>
      </w:pPr>
      <w:r w:rsidRPr="00B8597F">
        <w:rPr>
          <w:rFonts w:ascii="Arial" w:eastAsia="Arial" w:hAnsi="Arial" w:cs="Arial"/>
          <w:b/>
          <w:bCs/>
          <w:lang w:eastAsia="es-CO"/>
        </w:rPr>
        <w:t xml:space="preserve">Discapacidad visual evitable. </w:t>
      </w:r>
      <w:r w:rsidRPr="00B8597F">
        <w:rPr>
          <w:rFonts w:ascii="Arial" w:eastAsia="Arial" w:hAnsi="Arial" w:cs="Arial"/>
          <w:lang w:eastAsia="es-CO"/>
        </w:rPr>
        <w:t xml:space="preserve">Aquella deficiencia visual que puede ser prevenida, </w:t>
      </w:r>
      <w:r w:rsidRPr="00B8597F">
        <w:rPr>
          <w:rFonts w:ascii="Arial" w:eastAsia="Arial" w:hAnsi="Arial" w:cs="Arial"/>
          <w:lang w:eastAsia="es-CO"/>
        </w:rPr>
        <w:lastRenderedPageBreak/>
        <w:t>tratada o corregida de manera efectiva a través de intervenciones de salud pública o atención médica oportuna.</w:t>
      </w:r>
    </w:p>
    <w:p w14:paraId="0D108B88" w14:textId="77777777" w:rsidR="00B8597F" w:rsidRPr="00B8597F" w:rsidRDefault="00B8597F" w:rsidP="00B8597F">
      <w:pPr>
        <w:widowControl w:val="0"/>
        <w:spacing w:before="1" w:after="0" w:line="240" w:lineRule="auto"/>
        <w:rPr>
          <w:rFonts w:ascii="Arial" w:eastAsia="Arial" w:hAnsi="Arial" w:cs="Arial"/>
          <w:lang w:eastAsia="es-CO"/>
        </w:rPr>
      </w:pPr>
    </w:p>
    <w:p w14:paraId="4EC59F32" w14:textId="77777777" w:rsidR="00B8597F" w:rsidRPr="00B8597F" w:rsidRDefault="00B8597F" w:rsidP="00B8597F">
      <w:pPr>
        <w:widowControl w:val="0"/>
        <w:numPr>
          <w:ilvl w:val="0"/>
          <w:numId w:val="33"/>
        </w:numPr>
        <w:tabs>
          <w:tab w:val="left" w:pos="619"/>
          <w:tab w:val="left" w:pos="621"/>
        </w:tabs>
        <w:spacing w:after="0" w:line="240" w:lineRule="auto"/>
        <w:ind w:right="259"/>
        <w:jc w:val="both"/>
        <w:rPr>
          <w:rFonts w:ascii="Arial" w:eastAsia="Arial" w:hAnsi="Arial" w:cs="Arial"/>
          <w:lang w:eastAsia="es-CO"/>
        </w:rPr>
      </w:pPr>
      <w:r w:rsidRPr="00B8597F">
        <w:rPr>
          <w:rFonts w:ascii="Arial" w:eastAsia="Arial" w:hAnsi="Arial" w:cs="Arial"/>
          <w:b/>
          <w:bCs/>
          <w:lang w:eastAsia="es-CO"/>
        </w:rPr>
        <w:t xml:space="preserve">Promoción de la salud visual y ocular. </w:t>
      </w:r>
      <w:r w:rsidRPr="00B8597F">
        <w:rPr>
          <w:rFonts w:ascii="Arial" w:eastAsia="Arial" w:hAnsi="Arial" w:cs="Arial"/>
          <w:lang w:eastAsia="es-CO"/>
        </w:rPr>
        <w:t>Es una estrategia intersectorial e interinstitucional que busca transformar los factores de riesgo de la salud visual y ocular que impactan la calidad de vida, con el propósito de garantizar entornos saludables, satisfacer las necesidades y facilitar medios para fomentar, mantener y mejorar la salud a nivel individual y colectivo.</w:t>
      </w:r>
    </w:p>
    <w:p w14:paraId="0E792340" w14:textId="77777777" w:rsidR="00B8597F" w:rsidRPr="00B8597F" w:rsidRDefault="00B8597F" w:rsidP="00B8597F">
      <w:pPr>
        <w:widowControl w:val="0"/>
        <w:spacing w:after="0" w:line="240" w:lineRule="auto"/>
        <w:rPr>
          <w:rFonts w:ascii="Arial" w:eastAsia="Arial" w:hAnsi="Arial" w:cs="Arial"/>
          <w:lang w:eastAsia="es-CO"/>
        </w:rPr>
      </w:pPr>
    </w:p>
    <w:p w14:paraId="5849F8CF" w14:textId="77777777" w:rsidR="00B8597F" w:rsidRPr="00B8597F" w:rsidRDefault="00B8597F" w:rsidP="00B8597F">
      <w:pPr>
        <w:widowControl w:val="0"/>
        <w:numPr>
          <w:ilvl w:val="0"/>
          <w:numId w:val="33"/>
        </w:numPr>
        <w:tabs>
          <w:tab w:val="left" w:pos="619"/>
          <w:tab w:val="left" w:pos="621"/>
        </w:tabs>
        <w:spacing w:after="0" w:line="240" w:lineRule="auto"/>
        <w:ind w:right="259"/>
        <w:jc w:val="both"/>
        <w:rPr>
          <w:rFonts w:ascii="Arial" w:eastAsia="Arial" w:hAnsi="Arial" w:cs="Arial"/>
          <w:lang w:eastAsia="es-CO"/>
        </w:rPr>
      </w:pPr>
      <w:r w:rsidRPr="00B8597F">
        <w:rPr>
          <w:rFonts w:ascii="Arial" w:eastAsia="Arial" w:hAnsi="Arial" w:cs="Arial"/>
          <w:b/>
          <w:bCs/>
          <w:lang w:eastAsia="es-CO"/>
        </w:rPr>
        <w:t xml:space="preserve">Factores de riesgo de la salud visual y ocular. </w:t>
      </w:r>
      <w:r w:rsidRPr="00B8597F">
        <w:rPr>
          <w:rFonts w:ascii="Arial" w:eastAsia="Arial" w:hAnsi="Arial" w:cs="Arial"/>
          <w:lang w:eastAsia="es-CO"/>
        </w:rPr>
        <w:t>Son los antecedentes, las enfermedades congénitas, sistémicas y exposiciones directas a agentes ambientales, físicos y químicos que repercuten en la salud visual y ocular de las personas a nivel individual o colectivo, los cuales deben ser comprendidos y atendidos dentro de la promoción, prevención, atención integral y trato humanizado.</w:t>
      </w:r>
    </w:p>
    <w:p w14:paraId="28DAFDA2" w14:textId="77777777" w:rsidR="00B8597F" w:rsidRPr="00B8597F" w:rsidRDefault="00B8597F" w:rsidP="00B8597F">
      <w:pPr>
        <w:widowControl w:val="0"/>
        <w:numPr>
          <w:ilvl w:val="0"/>
          <w:numId w:val="33"/>
        </w:numPr>
        <w:tabs>
          <w:tab w:val="left" w:pos="619"/>
          <w:tab w:val="left" w:pos="621"/>
        </w:tabs>
        <w:spacing w:after="0" w:line="240" w:lineRule="auto"/>
        <w:ind w:right="258"/>
        <w:jc w:val="both"/>
        <w:rPr>
          <w:rFonts w:ascii="Arial" w:eastAsia="Arial" w:hAnsi="Arial" w:cs="Arial"/>
          <w:lang w:eastAsia="es-CO"/>
        </w:rPr>
      </w:pPr>
      <w:r w:rsidRPr="00B8597F">
        <w:rPr>
          <w:rFonts w:ascii="Arial" w:eastAsia="Arial" w:hAnsi="Arial" w:cs="Arial"/>
          <w:b/>
          <w:bCs/>
          <w:lang w:eastAsia="es-CO"/>
        </w:rPr>
        <w:t xml:space="preserve">Rehabilitación y paliación en salud visual y ocular. </w:t>
      </w:r>
      <w:r w:rsidRPr="00B8597F">
        <w:rPr>
          <w:rFonts w:ascii="Arial" w:eastAsia="Arial" w:hAnsi="Arial" w:cs="Arial"/>
          <w:lang w:eastAsia="es-CO"/>
        </w:rPr>
        <w:t>Es el conjunto de servicios integrales dirigidos a personas con una discapacidad visual o ceguera irreversible, con el objetivo de maximizar su funcionalidad, autonomía y calidad de vida, mitigando el sufrimiento físico, emocional y social que causa la pérdida de la visión.</w:t>
      </w:r>
    </w:p>
    <w:p w14:paraId="744100EC" w14:textId="77777777" w:rsidR="00B8597F" w:rsidRPr="00B8597F" w:rsidRDefault="00B8597F" w:rsidP="00B8597F">
      <w:pPr>
        <w:widowControl w:val="0"/>
        <w:tabs>
          <w:tab w:val="left" w:pos="619"/>
          <w:tab w:val="left" w:pos="621"/>
        </w:tabs>
        <w:spacing w:after="0" w:line="240" w:lineRule="auto"/>
        <w:ind w:right="259"/>
        <w:jc w:val="both"/>
        <w:rPr>
          <w:rFonts w:ascii="Arial" w:eastAsia="Arial" w:hAnsi="Arial" w:cs="Arial"/>
          <w:lang w:eastAsia="es-CO"/>
        </w:rPr>
      </w:pPr>
    </w:p>
    <w:p w14:paraId="7CCD4C1A" w14:textId="77777777" w:rsidR="00B8597F" w:rsidRPr="00B8597F" w:rsidRDefault="00B8597F" w:rsidP="00B8597F">
      <w:pPr>
        <w:widowControl w:val="0"/>
        <w:spacing w:after="0" w:line="240" w:lineRule="auto"/>
        <w:ind w:right="256"/>
        <w:jc w:val="both"/>
        <w:rPr>
          <w:rFonts w:ascii="Arial" w:eastAsia="Arial" w:hAnsi="Arial" w:cs="Arial"/>
          <w:lang w:eastAsia="es-CO"/>
        </w:rPr>
      </w:pPr>
      <w:r w:rsidRPr="00B8597F">
        <w:rPr>
          <w:rFonts w:ascii="Arial" w:eastAsia="Arial" w:hAnsi="Arial" w:cs="Arial"/>
          <w:b/>
          <w:bCs/>
          <w:lang w:eastAsia="es-CO"/>
        </w:rPr>
        <w:t xml:space="preserve">Artículo 4. Naturaleza y objetivos del Sistema Nacional para la Protección Integral de la Salud Visual y Ocular. </w:t>
      </w:r>
      <w:r w:rsidRPr="00B8597F">
        <w:rPr>
          <w:rFonts w:ascii="Arial" w:eastAsia="Arial" w:hAnsi="Arial" w:cs="Arial"/>
          <w:lang w:eastAsia="es-CO"/>
        </w:rPr>
        <w:t>El Sistema Nacional para la Protección Integral de la Salud Visual y Ocular es el conjunto organizado, articulado y coordinado de instituciones, normas, políticas, planes, programas, estrategias, recursos, instancias de participación y mecanismos de información que, en el marco del Sistema General de Seguridad Social en Salud, tiene por finalidad garantizar la promoción, prevención, diagnóstico, tratamiento, rehabilitación, paliación y recuperación de la salud visual y ocular en todas las etapas del curso de vida.</w:t>
      </w:r>
    </w:p>
    <w:p w14:paraId="6AED70B6" w14:textId="77777777" w:rsidR="00B8597F" w:rsidRPr="00B8597F" w:rsidRDefault="00B8597F" w:rsidP="00B8597F">
      <w:pPr>
        <w:widowControl w:val="0"/>
        <w:spacing w:before="82" w:after="0" w:line="240" w:lineRule="auto"/>
        <w:ind w:right="263"/>
        <w:jc w:val="both"/>
        <w:rPr>
          <w:rFonts w:ascii="Arial" w:eastAsia="Arial" w:hAnsi="Arial" w:cs="Arial"/>
          <w:lang w:eastAsia="es-CO"/>
        </w:rPr>
      </w:pPr>
      <w:r w:rsidRPr="00B8597F">
        <w:rPr>
          <w:rFonts w:ascii="Arial" w:eastAsia="Arial" w:hAnsi="Arial" w:cs="Arial"/>
          <w:lang w:eastAsia="es-CO"/>
        </w:rPr>
        <w:t>Son objetivos del Sistema Nacional para la Protección Integral de la Salud Visual y Ocular, entre otros:</w:t>
      </w:r>
    </w:p>
    <w:p w14:paraId="41BA4ADE" w14:textId="77777777" w:rsidR="00B8597F" w:rsidRPr="00B8597F" w:rsidRDefault="00B8597F" w:rsidP="00B8597F">
      <w:pPr>
        <w:widowControl w:val="0"/>
        <w:numPr>
          <w:ilvl w:val="0"/>
          <w:numId w:val="32"/>
        </w:numPr>
        <w:tabs>
          <w:tab w:val="left" w:pos="620"/>
        </w:tabs>
        <w:spacing w:before="240" w:after="0" w:line="240" w:lineRule="auto"/>
        <w:jc w:val="both"/>
        <w:rPr>
          <w:rFonts w:ascii="Arial" w:eastAsia="Arial" w:hAnsi="Arial" w:cs="Arial"/>
          <w:lang w:eastAsia="es-CO"/>
        </w:rPr>
      </w:pPr>
      <w:r w:rsidRPr="00B8597F">
        <w:rPr>
          <w:rFonts w:ascii="Arial" w:eastAsia="Arial" w:hAnsi="Arial" w:cs="Arial"/>
          <w:lang w:eastAsia="es-CO"/>
        </w:rPr>
        <w:t>Reducir la discapacidad visual evitable y la ceguera prevenible</w:t>
      </w:r>
      <w:r w:rsidRPr="00B8597F">
        <w:rPr>
          <w:rFonts w:ascii="Arial" w:eastAsia="Arial" w:hAnsi="Arial" w:cs="Arial"/>
          <w:b/>
          <w:bCs/>
          <w:lang w:eastAsia="es-CO"/>
        </w:rPr>
        <w:t>.</w:t>
      </w:r>
    </w:p>
    <w:p w14:paraId="22D6EFC8" w14:textId="77777777" w:rsidR="00B8597F" w:rsidRPr="00B8597F" w:rsidRDefault="00B8597F" w:rsidP="00B8597F">
      <w:pPr>
        <w:widowControl w:val="0"/>
        <w:numPr>
          <w:ilvl w:val="0"/>
          <w:numId w:val="32"/>
        </w:numPr>
        <w:tabs>
          <w:tab w:val="left" w:pos="619"/>
          <w:tab w:val="left" w:pos="621"/>
        </w:tabs>
        <w:spacing w:after="0" w:line="240" w:lineRule="auto"/>
        <w:ind w:right="270"/>
        <w:jc w:val="both"/>
        <w:rPr>
          <w:rFonts w:ascii="Arial" w:eastAsia="Arial" w:hAnsi="Arial" w:cs="Arial"/>
          <w:lang w:eastAsia="es-CO"/>
        </w:rPr>
      </w:pPr>
      <w:r w:rsidRPr="00B8597F">
        <w:rPr>
          <w:rFonts w:ascii="Arial" w:eastAsia="Arial" w:hAnsi="Arial" w:cs="Arial"/>
          <w:lang w:eastAsia="es-CO"/>
        </w:rPr>
        <w:t>Asegurar el acceso efectivo, oportuno, continuo y de calidad a los servicios de salud visual y ocular.</w:t>
      </w:r>
    </w:p>
    <w:p w14:paraId="2AB989EC" w14:textId="77777777" w:rsidR="00B8597F" w:rsidRPr="00B8597F" w:rsidRDefault="00B8597F" w:rsidP="00B8597F">
      <w:pPr>
        <w:widowControl w:val="0"/>
        <w:numPr>
          <w:ilvl w:val="0"/>
          <w:numId w:val="32"/>
        </w:numPr>
        <w:tabs>
          <w:tab w:val="left" w:pos="619"/>
          <w:tab w:val="left" w:pos="621"/>
        </w:tabs>
        <w:spacing w:after="0" w:line="240" w:lineRule="auto"/>
        <w:ind w:right="266"/>
        <w:jc w:val="both"/>
        <w:rPr>
          <w:rFonts w:ascii="Arial" w:eastAsia="Arial" w:hAnsi="Arial" w:cs="Arial"/>
          <w:lang w:eastAsia="es-CO"/>
        </w:rPr>
      </w:pPr>
      <w:r w:rsidRPr="00B8597F">
        <w:rPr>
          <w:rFonts w:ascii="Arial" w:eastAsia="Arial" w:hAnsi="Arial" w:cs="Arial"/>
          <w:lang w:eastAsia="es-CO"/>
        </w:rPr>
        <w:t>Articular las acciones de los diferentes sectores y niveles de gobierno en torno a la protección integral de la salud visual y ocular.</w:t>
      </w:r>
    </w:p>
    <w:p w14:paraId="2AECFA67" w14:textId="77777777" w:rsidR="00B8597F" w:rsidRPr="00B8597F" w:rsidRDefault="00B8597F" w:rsidP="00B8597F">
      <w:pPr>
        <w:widowControl w:val="0"/>
        <w:numPr>
          <w:ilvl w:val="0"/>
          <w:numId w:val="32"/>
        </w:numPr>
        <w:tabs>
          <w:tab w:val="left" w:pos="619"/>
          <w:tab w:val="left" w:pos="621"/>
        </w:tabs>
        <w:spacing w:after="0" w:line="240" w:lineRule="auto"/>
        <w:ind w:right="263"/>
        <w:jc w:val="both"/>
        <w:rPr>
          <w:rFonts w:ascii="Arial" w:eastAsia="Arial" w:hAnsi="Arial" w:cs="Arial"/>
          <w:lang w:eastAsia="es-CO"/>
        </w:rPr>
      </w:pPr>
      <w:r w:rsidRPr="00B8597F">
        <w:rPr>
          <w:rFonts w:ascii="Arial" w:eastAsia="Arial" w:hAnsi="Arial" w:cs="Arial"/>
          <w:lang w:eastAsia="es-CO"/>
        </w:rPr>
        <w:t>Contribuir a la garantía del derecho fundamental a la salud, la inclusión social y la disminución de las desigualdades en salud visual y ocular entre territorios y grupos poblacionales.</w:t>
      </w:r>
    </w:p>
    <w:p w14:paraId="5E85F595" w14:textId="77777777" w:rsidR="0054501C" w:rsidRDefault="0054501C" w:rsidP="0054501C">
      <w:pPr>
        <w:pStyle w:val="Sinespaciado"/>
        <w:jc w:val="center"/>
        <w:rPr>
          <w:b/>
          <w:bCs/>
          <w:lang w:eastAsia="es-CO"/>
        </w:rPr>
      </w:pPr>
    </w:p>
    <w:p w14:paraId="03A4EC98" w14:textId="53B4EA1B" w:rsidR="00B8597F" w:rsidRPr="0054501C" w:rsidRDefault="00B8597F" w:rsidP="0054501C">
      <w:pPr>
        <w:pStyle w:val="Sinespaciado"/>
        <w:jc w:val="center"/>
        <w:rPr>
          <w:b/>
          <w:bCs/>
          <w:lang w:eastAsia="es-CO"/>
        </w:rPr>
      </w:pPr>
      <w:r w:rsidRPr="0054501C">
        <w:rPr>
          <w:b/>
          <w:bCs/>
          <w:lang w:eastAsia="es-CO"/>
        </w:rPr>
        <w:t>CAPÍTULO I</w:t>
      </w:r>
    </w:p>
    <w:p w14:paraId="69154202" w14:textId="77777777" w:rsidR="00B8597F" w:rsidRPr="0054501C" w:rsidRDefault="00B8597F" w:rsidP="0054501C">
      <w:pPr>
        <w:pStyle w:val="Sinespaciado"/>
        <w:jc w:val="center"/>
        <w:rPr>
          <w:rFonts w:eastAsia="Arial" w:cs="Arial"/>
          <w:b/>
          <w:bCs/>
          <w:lang w:eastAsia="es-CO"/>
        </w:rPr>
      </w:pPr>
      <w:r w:rsidRPr="0054501C">
        <w:rPr>
          <w:rFonts w:eastAsia="Arial" w:cs="Arial"/>
          <w:b/>
          <w:bCs/>
          <w:lang w:eastAsia="es-CO"/>
        </w:rPr>
        <w:t>SISTEMA NACIONAL PARA LA PROTECCIÓN INTEGRAL DE LA SALUD VISUAL Y OCULAR.</w:t>
      </w:r>
    </w:p>
    <w:p w14:paraId="6F9228CE"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5. Integrantes del Sistema Nacional para la Protección Integral de la Salud Visual y Ocular. </w:t>
      </w:r>
      <w:r w:rsidRPr="00B8597F">
        <w:rPr>
          <w:rFonts w:ascii="Arial" w:eastAsia="Arial" w:hAnsi="Arial" w:cs="Arial"/>
          <w:lang w:eastAsia="es-CO"/>
        </w:rPr>
        <w:t>Hacen parte del Sistema Nacional para la Protección Integral de la Salud Visual y Ocular, en el ámbito de sus competencias y responsabilidades:</w:t>
      </w:r>
    </w:p>
    <w:p w14:paraId="55345E1F"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a. El Ministerio de Salud y Protección Social, como órgano rector.</w:t>
      </w:r>
    </w:p>
    <w:p w14:paraId="550BABB2"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b. Los demás ministerios y entidades del orden nacional con competencias relacionadas, en especial los Ministerios de Educación Nacional, Trabajo, Hacienda y Crédito Público, Tecnologías de la Información y las Comunicaciones, Ciencia, Tecnología e Innovación, así como el Instituto Nacional de Salud y las entidades de inspección, vigilancia y control.</w:t>
      </w:r>
    </w:p>
    <w:p w14:paraId="3BC69CB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lastRenderedPageBreak/>
        <w:t>c. Las entidades territoriales del sector salud en los niveles departamental, distrital y municipal.</w:t>
      </w:r>
    </w:p>
    <w:p w14:paraId="4D77C6AA"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 Las entidades responsables del aseguramiento en salud, incluidas las Entidades Promotoras de Salud o quien haga sus veces, las entidades de los regímenes Especial y de Excepción y las Administradoras de Riesgos Laborales.</w:t>
      </w:r>
    </w:p>
    <w:p w14:paraId="070D56F5"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 Los prestadores de servicios de salud públicos, privados y mixtos, incluidos los servicios de optometría, oftalmología, baja visión y rehabilitación.</w:t>
      </w:r>
    </w:p>
    <w:p w14:paraId="25CD9766"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f. Las instituciones de educación superior y entidades formadoras de talento humano en salud y en áreas afines.</w:t>
      </w:r>
    </w:p>
    <w:p w14:paraId="5B35E5D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g. Las sociedades científicas, colegios profesionales y asociaciones técnicas vinculadas con la salud visual y ocular.</w:t>
      </w:r>
    </w:p>
    <w:p w14:paraId="3DBF5561"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 xml:space="preserve">h.     </w:t>
      </w:r>
      <w:r w:rsidRPr="00B8597F">
        <w:rPr>
          <w:rFonts w:ascii="Arial" w:eastAsia="Arial" w:hAnsi="Arial" w:cs="Arial"/>
          <w:lang w:eastAsia="es-CO"/>
        </w:rPr>
        <w:tab/>
        <w:t>Las organizaciones de pacientes, personas con discapacidad visual, cuidadores y sus redes de apoyo.</w:t>
      </w:r>
    </w:p>
    <w:p w14:paraId="703B2FC5"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i. Las organizaciones sociales, comunitarias y de la sociedad civil que desarrollen acciones en salud visual y ocular o en determinantes sociales relacionados.</w:t>
      </w:r>
    </w:p>
    <w:p w14:paraId="29A487FD" w14:textId="76D2CE06"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6. Mesa Nacional Intersectorial de Salud Visual y Ocular.  </w:t>
      </w:r>
      <w:r w:rsidRPr="00B8597F">
        <w:rPr>
          <w:rFonts w:ascii="Arial" w:eastAsia="Arial" w:hAnsi="Arial" w:cs="Arial"/>
          <w:lang w:eastAsia="es-CO"/>
        </w:rPr>
        <w:t>La Mesa Nacional Intersectorial de Salud Visual y Ocular será la principal instancia técnica de articulación del Sistema en el nivel nacional, sin perjuicio de las demás instancias previstas en la presente ley y en las normas vigentes.</w:t>
      </w:r>
    </w:p>
    <w:p w14:paraId="2801AC4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Los integrantes de la Mesa Nacional Intersectorial de Salud Visual y Ocular, que contarán con voz y voto serán:</w:t>
      </w:r>
    </w:p>
    <w:p w14:paraId="633B28E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1. Ministro de Salud, o su delegado.</w:t>
      </w:r>
    </w:p>
    <w:p w14:paraId="6F9D5BE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2. Ministro de Educación, o su delegado.</w:t>
      </w:r>
    </w:p>
    <w:p w14:paraId="52FA5BB5"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3. Ministro de Trabajo, o su delegado.</w:t>
      </w:r>
    </w:p>
    <w:p w14:paraId="699D23C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4. Ministro de Tecnologías de la Información y las Comunicaciones, o su delegado.</w:t>
      </w:r>
    </w:p>
    <w:p w14:paraId="4C7308F3"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5. Ministro de Ciencia, Tecnología e Innovación, o su delegado.</w:t>
      </w:r>
    </w:p>
    <w:p w14:paraId="742B22D3"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6. Director del Instituto Nacional de Salud, o su delegado.</w:t>
      </w:r>
    </w:p>
    <w:p w14:paraId="35E3DC9C" w14:textId="75765D25"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 xml:space="preserve">7. Un (1) representante de </w:t>
      </w:r>
      <w:r w:rsidR="0030775B">
        <w:rPr>
          <w:rFonts w:ascii="Arial" w:eastAsia="Arial" w:hAnsi="Arial" w:cs="Arial"/>
          <w:lang w:eastAsia="es-CO"/>
        </w:rPr>
        <w:t>los gobernadores</w:t>
      </w:r>
      <w:r w:rsidRPr="00B8597F">
        <w:rPr>
          <w:rFonts w:ascii="Arial" w:eastAsia="Arial" w:hAnsi="Arial" w:cs="Arial"/>
          <w:lang w:eastAsia="es-CO"/>
        </w:rPr>
        <w:t>.</w:t>
      </w:r>
    </w:p>
    <w:p w14:paraId="01930C24" w14:textId="2FEF88E2"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8. Un (1) representante de l</w:t>
      </w:r>
      <w:r w:rsidR="0030775B">
        <w:rPr>
          <w:rFonts w:ascii="Arial" w:eastAsia="Arial" w:hAnsi="Arial" w:cs="Arial"/>
          <w:lang w:eastAsia="es-CO"/>
        </w:rPr>
        <w:t>os alcaldes</w:t>
      </w:r>
      <w:r w:rsidRPr="00B8597F">
        <w:rPr>
          <w:rFonts w:ascii="Arial" w:eastAsia="Arial" w:hAnsi="Arial" w:cs="Arial"/>
          <w:lang w:eastAsia="es-CO"/>
        </w:rPr>
        <w:t>.</w:t>
      </w:r>
    </w:p>
    <w:p w14:paraId="5FB7E737" w14:textId="08FA9486" w:rsidR="00B8597F" w:rsidRPr="00B8597F" w:rsidRDefault="0030775B" w:rsidP="00B8597F">
      <w:pPr>
        <w:spacing w:before="240" w:after="240" w:line="240" w:lineRule="auto"/>
        <w:jc w:val="both"/>
        <w:rPr>
          <w:rFonts w:ascii="Arial" w:eastAsia="Arial" w:hAnsi="Arial" w:cs="Arial"/>
          <w:lang w:eastAsia="es-CO"/>
        </w:rPr>
      </w:pPr>
      <w:r>
        <w:rPr>
          <w:rFonts w:ascii="Arial" w:eastAsia="Arial" w:hAnsi="Arial" w:cs="Arial"/>
          <w:lang w:eastAsia="es-CO"/>
        </w:rPr>
        <w:t>9</w:t>
      </w:r>
      <w:r w:rsidR="00B8597F" w:rsidRPr="00B8597F">
        <w:rPr>
          <w:rFonts w:ascii="Arial" w:eastAsia="Arial" w:hAnsi="Arial" w:cs="Arial"/>
          <w:lang w:eastAsia="es-CO"/>
        </w:rPr>
        <w:t xml:space="preserve">. </w:t>
      </w:r>
      <w:r>
        <w:rPr>
          <w:rFonts w:ascii="Arial" w:eastAsia="Arial" w:hAnsi="Arial" w:cs="Arial"/>
          <w:lang w:eastAsia="es-CO"/>
        </w:rPr>
        <w:t xml:space="preserve">Un </w:t>
      </w:r>
      <w:r w:rsidR="00B8597F" w:rsidRPr="00B8597F">
        <w:rPr>
          <w:rFonts w:ascii="Arial" w:eastAsia="Arial" w:hAnsi="Arial" w:cs="Arial"/>
          <w:lang w:eastAsia="es-CO"/>
        </w:rPr>
        <w:t>(</w:t>
      </w:r>
      <w:r>
        <w:rPr>
          <w:rFonts w:ascii="Arial" w:eastAsia="Arial" w:hAnsi="Arial" w:cs="Arial"/>
          <w:lang w:eastAsia="es-CO"/>
        </w:rPr>
        <w:t>1</w:t>
      </w:r>
      <w:r w:rsidR="00B8597F" w:rsidRPr="00B8597F">
        <w:rPr>
          <w:rFonts w:ascii="Arial" w:eastAsia="Arial" w:hAnsi="Arial" w:cs="Arial"/>
          <w:lang w:eastAsia="es-CO"/>
        </w:rPr>
        <w:t xml:space="preserve">) representante por parte de </w:t>
      </w:r>
      <w:r w:rsidR="00457018">
        <w:rPr>
          <w:rFonts w:ascii="Arial" w:eastAsia="Arial" w:hAnsi="Arial" w:cs="Arial"/>
          <w:lang w:eastAsia="es-CO"/>
        </w:rPr>
        <w:t xml:space="preserve">las </w:t>
      </w:r>
      <w:r w:rsidR="00B8597F" w:rsidRPr="00B8597F">
        <w:rPr>
          <w:rFonts w:ascii="Arial" w:eastAsia="Arial" w:hAnsi="Arial" w:cs="Arial"/>
          <w:lang w:eastAsia="es-CO"/>
        </w:rPr>
        <w:t>Entidades Promotoras de Salud, o quien haga sus veces.</w:t>
      </w:r>
    </w:p>
    <w:p w14:paraId="5C6677F1" w14:textId="3A24A426"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1</w:t>
      </w:r>
      <w:r w:rsidR="0030775B">
        <w:rPr>
          <w:rFonts w:ascii="Arial" w:eastAsia="Arial" w:hAnsi="Arial" w:cs="Arial"/>
          <w:lang w:eastAsia="es-CO"/>
        </w:rPr>
        <w:t>0</w:t>
      </w:r>
      <w:r w:rsidRPr="00B8597F">
        <w:rPr>
          <w:rFonts w:ascii="Arial" w:eastAsia="Arial" w:hAnsi="Arial" w:cs="Arial"/>
          <w:lang w:eastAsia="es-CO"/>
        </w:rPr>
        <w:t>.</w:t>
      </w:r>
      <w:r w:rsidR="0030775B">
        <w:rPr>
          <w:rFonts w:ascii="Arial" w:eastAsia="Arial" w:hAnsi="Arial" w:cs="Arial"/>
          <w:lang w:eastAsia="es-CO"/>
        </w:rPr>
        <w:t xml:space="preserve"> </w:t>
      </w:r>
      <w:r w:rsidRPr="00B8597F">
        <w:rPr>
          <w:rFonts w:ascii="Arial" w:eastAsia="Arial" w:hAnsi="Arial" w:cs="Arial"/>
          <w:lang w:eastAsia="es-CO"/>
        </w:rPr>
        <w:t>Un (1) representante por parte de las Administradoras de Riesgos Laborales.</w:t>
      </w:r>
    </w:p>
    <w:p w14:paraId="62144711" w14:textId="422EA52C"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1</w:t>
      </w:r>
      <w:r w:rsidR="0030775B">
        <w:rPr>
          <w:rFonts w:ascii="Arial" w:eastAsia="Arial" w:hAnsi="Arial" w:cs="Arial"/>
          <w:lang w:eastAsia="es-CO"/>
        </w:rPr>
        <w:t>1</w:t>
      </w:r>
      <w:r w:rsidRPr="00B8597F">
        <w:rPr>
          <w:rFonts w:ascii="Arial" w:eastAsia="Arial" w:hAnsi="Arial" w:cs="Arial"/>
          <w:lang w:eastAsia="es-CO"/>
        </w:rPr>
        <w:t xml:space="preserve">. Un (1) representante </w:t>
      </w:r>
      <w:r w:rsidR="0030775B">
        <w:rPr>
          <w:rFonts w:ascii="Arial" w:eastAsia="Arial" w:hAnsi="Arial" w:cs="Arial"/>
          <w:lang w:eastAsia="es-CO"/>
        </w:rPr>
        <w:t>de las organizaciones representativas de los profesionales, investigadores y especialistas de la salud.</w:t>
      </w:r>
    </w:p>
    <w:p w14:paraId="316A1B37" w14:textId="02214B55"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lastRenderedPageBreak/>
        <w:t>1</w:t>
      </w:r>
      <w:r w:rsidR="0030775B">
        <w:rPr>
          <w:rFonts w:ascii="Arial" w:eastAsia="Arial" w:hAnsi="Arial" w:cs="Arial"/>
          <w:lang w:eastAsia="es-CO"/>
        </w:rPr>
        <w:t>2</w:t>
      </w:r>
      <w:r w:rsidRPr="00B8597F">
        <w:rPr>
          <w:rFonts w:ascii="Arial" w:eastAsia="Arial" w:hAnsi="Arial" w:cs="Arial"/>
          <w:lang w:eastAsia="es-CO"/>
        </w:rPr>
        <w:t>. Un (1) representante por parte de dos Organizaciones de pacientes y personas con discapacidad visual</w:t>
      </w:r>
    </w:p>
    <w:p w14:paraId="4EA2CF84" w14:textId="166458B3"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1</w:t>
      </w:r>
      <w:r w:rsidR="00D40FD1">
        <w:rPr>
          <w:rFonts w:ascii="Arial" w:eastAsia="Arial" w:hAnsi="Arial" w:cs="Arial"/>
          <w:lang w:eastAsia="es-CO"/>
        </w:rPr>
        <w:t>3</w:t>
      </w:r>
      <w:r w:rsidRPr="00B8597F">
        <w:rPr>
          <w:rFonts w:ascii="Arial" w:eastAsia="Arial" w:hAnsi="Arial" w:cs="Arial"/>
          <w:lang w:eastAsia="es-CO"/>
        </w:rPr>
        <w:t xml:space="preserve">. </w:t>
      </w:r>
      <w:r w:rsidR="00D40FD1">
        <w:rPr>
          <w:rFonts w:ascii="Arial" w:eastAsia="Arial" w:hAnsi="Arial" w:cs="Arial"/>
          <w:lang w:eastAsia="es-CO"/>
        </w:rPr>
        <w:t xml:space="preserve">Un </w:t>
      </w:r>
      <w:r w:rsidRPr="00B8597F">
        <w:rPr>
          <w:rFonts w:ascii="Arial" w:eastAsia="Arial" w:hAnsi="Arial" w:cs="Arial"/>
          <w:lang w:eastAsia="es-CO"/>
        </w:rPr>
        <w:t>(</w:t>
      </w:r>
      <w:r w:rsidR="00D40FD1">
        <w:rPr>
          <w:rFonts w:ascii="Arial" w:eastAsia="Arial" w:hAnsi="Arial" w:cs="Arial"/>
          <w:lang w:eastAsia="es-CO"/>
        </w:rPr>
        <w:t>1</w:t>
      </w:r>
      <w:r w:rsidRPr="00B8597F">
        <w:rPr>
          <w:rFonts w:ascii="Arial" w:eastAsia="Arial" w:hAnsi="Arial" w:cs="Arial"/>
          <w:lang w:eastAsia="es-CO"/>
        </w:rPr>
        <w:t>) representantes por parte de dos Instituciones de Educación Superior.</w:t>
      </w:r>
    </w:p>
    <w:p w14:paraId="56FFE02E" w14:textId="4783C2F5"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1. </w:t>
      </w:r>
      <w:r w:rsidRPr="00B8597F">
        <w:rPr>
          <w:rFonts w:ascii="Arial" w:eastAsia="Arial" w:hAnsi="Arial" w:cs="Arial"/>
          <w:lang w:eastAsia="es-CO"/>
        </w:rPr>
        <w:t>La selección de las Entidades Promotoras de Salud, y las Administradoras de Riesgos Laborales que integrarán la mesa técnica, será realizada por el Ministerio de Salud y Protección Social, con base en criterios de representatividad del aseguramiento, capacidad técnica, experiencia en la gestión del riesgo en salud, cobertura geográfica y diversidad de los regímenes.</w:t>
      </w:r>
    </w:p>
    <w:p w14:paraId="31482DC3"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Para tal efecto, el Ministerio dispondrá de un mecanismo de convocatoria pública. La participación estará sujeta a periodos de dos (2) años, asegurando esquemas de rotación, con el fin de asegurar pluralidad, equidad y continuidad en el desarrollo de las funciones de la mesa técnica</w:t>
      </w:r>
    </w:p>
    <w:p w14:paraId="39105EA4" w14:textId="24DB18A2"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2. </w:t>
      </w:r>
      <w:r w:rsidRPr="00B8597F">
        <w:rPr>
          <w:rFonts w:ascii="Arial" w:eastAsia="Arial" w:hAnsi="Arial" w:cs="Arial"/>
          <w:lang w:eastAsia="es-CO"/>
        </w:rPr>
        <w:t>La selección de las Organizaciones de pacientes y personas con discapacidad visual y las Instituciones de Educación Superior, será realizada por el Ministerio de Salud y Protección Social, con base en criterios de idoneidad técnica, trayectoria, reconocimiento en el ámbito de la salud visual y ocular, representatividad del talento humano en salud y participación en procesos de generación de conocimiento o definición de lineamientos clínicos.</w:t>
      </w:r>
    </w:p>
    <w:p w14:paraId="722AC2B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Para tal efecto, el Ministerio dispondrá de un mecanismo de convocatoria pública. La participación estará sujeta a periodos de dos (2) años, asegurando esquemas de rotación, con el fin de asegurar pluralidad, equidad y continuidad en el desarrollo de las funciones de la mesa técnica.</w:t>
      </w:r>
    </w:p>
    <w:p w14:paraId="6D7CD78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3. </w:t>
      </w:r>
      <w:r w:rsidRPr="00B8597F">
        <w:rPr>
          <w:rFonts w:ascii="Arial" w:eastAsia="Arial" w:hAnsi="Arial" w:cs="Arial"/>
          <w:lang w:eastAsia="es-CO"/>
        </w:rPr>
        <w:t>Serán funciones de la Mesa Nacional Intersectorial de Salud Visual y Ocular, las dispuestas en el artículo 6 de la presente ley.</w:t>
      </w:r>
    </w:p>
    <w:p w14:paraId="07393150"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7. Funciones generales del Sistema Nacional para la Protección Integral de la Salud Visual y Ocular. </w:t>
      </w:r>
      <w:r w:rsidRPr="00B8597F">
        <w:rPr>
          <w:rFonts w:ascii="Arial" w:eastAsia="Arial" w:hAnsi="Arial" w:cs="Arial"/>
          <w:lang w:eastAsia="es-CO"/>
        </w:rPr>
        <w:t>Son funciones generales del Sistema Nacional para la Protección Integral de la Salud Visual y Ocular:</w:t>
      </w:r>
    </w:p>
    <w:p w14:paraId="382575D2"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a) Formular, articular y armonizar las políticas, planes, programas y estrategias en salud visual y ocular en todos los niveles territoriales.</w:t>
      </w:r>
    </w:p>
    <w:p w14:paraId="1025D621"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b) Definir metas, estándares e indicadores para la gestión y evaluación de la salud visual y ocular, en concordancia con la Política Nacional en Salud Visual y Ocular.</w:t>
      </w:r>
    </w:p>
    <w:p w14:paraId="1694657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c) Coordinar acciones intersectoriales e interinstitucionales para intervenir los determinantes sociales de la salud visual y ocular.</w:t>
      </w:r>
    </w:p>
    <w:p w14:paraId="56063A6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 Promover la investigación, innovación y apropiación social del conocimiento en salud visual y ocular.</w:t>
      </w:r>
    </w:p>
    <w:p w14:paraId="47FBAB5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 Impulsar el fortalecimiento del talento humano, la red de servicios y los sistemas de información en salud visual y ocular.</w:t>
      </w:r>
    </w:p>
    <w:p w14:paraId="1CE99A6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f) Fomentar la participación social y comunitaria en la planeación, implementación, seguimiento y evaluación de las acciones en salud visual y ocular.</w:t>
      </w:r>
    </w:p>
    <w:p w14:paraId="48D51AD0"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g) Propiciar la articulación de recursos financieros, técnicos y tecnológicos dirigidos a la protección integral de la salud visual y ocular.</w:t>
      </w:r>
    </w:p>
    <w:p w14:paraId="32727CA6"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lastRenderedPageBreak/>
        <w:t>h) Desarrollar acciones de seguimiento, evaluación y mejora continua del desempeño del Sistema y de sus integrantes.</w:t>
      </w:r>
    </w:p>
    <w:p w14:paraId="6D24B30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8. Instancias territoriales del Sistema Nacional para la Protección Integral de la Salud Visual y Ocular. </w:t>
      </w:r>
      <w:r w:rsidRPr="00B8597F">
        <w:rPr>
          <w:rFonts w:ascii="Arial" w:eastAsia="Arial" w:hAnsi="Arial" w:cs="Arial"/>
          <w:lang w:eastAsia="es-CO"/>
        </w:rPr>
        <w:t>En cada departamento, distrito y municipio se crearán, según la estructura existente, Comités Territoriales de Salud Visual y Ocular, como instancias de articulación técnica y de coordinación del Sistema en el ámbito territorial, adscritas a la respectiva autoridad sanitaria.</w:t>
      </w:r>
    </w:p>
    <w:p w14:paraId="33F54C18"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Estos comités tendrán, entre otras, las siguientes funciones:</w:t>
      </w:r>
    </w:p>
    <w:p w14:paraId="6474F6E1"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a. Adaptar y operacionalizar la Política Nacional en Salud Visual y Ocular conforme al perfil epidemiológico y a los determinantes sociales locales.</w:t>
      </w:r>
    </w:p>
    <w:p w14:paraId="61803C64"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b. Proponer y hacer seguimiento a los planes, programas y proyectos territoriales en salud visual y ocular, en armonía con los instrumentos de planeación en salud.</w:t>
      </w:r>
    </w:p>
    <w:p w14:paraId="0F99C1B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c. Coordinar las acciones entre las entidades territoriales de salud, las entidades responsables del aseguramiento, los prestadores de servicios de salud, el sector educativo, laboral y otros sectores que inciden en la salud visual y ocular.</w:t>
      </w:r>
    </w:p>
    <w:p w14:paraId="18A946D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 Promover la participación de las organizaciones de pacientes, personas con discapacidad visual y comunidad en las decisiones territoriales en salud visual y ocular.</w:t>
      </w:r>
    </w:p>
    <w:p w14:paraId="310FC39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 Reportar trimestralmente a la Mesa Nacional Intersectorial de Salud Visual y Ocular los avances, dificultades y recomendaciones derivadas de la implementación territorial.</w:t>
      </w:r>
    </w:p>
    <w:p w14:paraId="44CFE3CE" w14:textId="6798CB47" w:rsidR="00B8597F" w:rsidRDefault="00B8597F" w:rsidP="0054501C">
      <w:pPr>
        <w:pStyle w:val="Sinespaciado"/>
        <w:rPr>
          <w:lang w:eastAsia="es-CO"/>
        </w:rPr>
      </w:pPr>
      <w:r w:rsidRPr="00B8597F">
        <w:rPr>
          <w:b/>
          <w:bCs/>
          <w:lang w:eastAsia="es-CO"/>
        </w:rPr>
        <w:t xml:space="preserve">Parágrafo. </w:t>
      </w:r>
      <w:r w:rsidRPr="00B8597F">
        <w:rPr>
          <w:lang w:eastAsia="es-CO"/>
        </w:rPr>
        <w:t>El Ministerio de Salud y Protección Social, con el apoyo de la Mesa Nacional Intersectorial de Salud Visual y Ocular, definirá los lineamientos mínimos de integración, funcionamiento y seguimiento de los Comités Territoriales de Salud Visual y Ocular, dentro de los doce (12) meses siguientes a la expedición de la presente ley.</w:t>
      </w:r>
    </w:p>
    <w:p w14:paraId="6BBB5B20" w14:textId="0DA3CFE4" w:rsidR="0054501C" w:rsidRDefault="0054501C" w:rsidP="0054501C">
      <w:pPr>
        <w:pStyle w:val="Sinespaciado"/>
        <w:rPr>
          <w:lang w:eastAsia="es-CO"/>
        </w:rPr>
      </w:pPr>
    </w:p>
    <w:p w14:paraId="5614B26C" w14:textId="77777777" w:rsidR="00B8597F" w:rsidRPr="0054501C" w:rsidRDefault="00B8597F" w:rsidP="0054501C">
      <w:pPr>
        <w:pStyle w:val="Sinespaciado"/>
        <w:jc w:val="center"/>
        <w:rPr>
          <w:b/>
          <w:bCs/>
          <w:lang w:eastAsia="es-CO"/>
        </w:rPr>
      </w:pPr>
      <w:r w:rsidRPr="0054501C">
        <w:rPr>
          <w:b/>
          <w:bCs/>
          <w:lang w:eastAsia="es-CO"/>
        </w:rPr>
        <w:t>CAPÍTULO II.</w:t>
      </w:r>
    </w:p>
    <w:p w14:paraId="730DCF8B" w14:textId="77777777" w:rsidR="00B8597F" w:rsidRPr="0054501C" w:rsidRDefault="00B8597F" w:rsidP="0054501C">
      <w:pPr>
        <w:pStyle w:val="Sinespaciado"/>
        <w:jc w:val="center"/>
        <w:rPr>
          <w:b/>
          <w:bCs/>
          <w:lang w:eastAsia="es-CO"/>
        </w:rPr>
      </w:pPr>
      <w:r w:rsidRPr="0054501C">
        <w:rPr>
          <w:b/>
          <w:bCs/>
          <w:lang w:eastAsia="es-CO"/>
        </w:rPr>
        <w:t>POLÍTICA NACIONAL EN SALUD VISUAL Y OCULAR</w:t>
      </w:r>
    </w:p>
    <w:p w14:paraId="73E0006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9. De la Política Nacional en Salud Visual y Ocular. </w:t>
      </w:r>
      <w:r w:rsidRPr="00B8597F">
        <w:rPr>
          <w:rFonts w:ascii="Arial" w:eastAsia="Arial" w:hAnsi="Arial" w:cs="Arial"/>
          <w:lang w:eastAsia="es-CO"/>
        </w:rPr>
        <w:t>El Ministerio de Salud y Protección Social formulará, adoptará, coordinará, implementará y garantizará el financiamiento de la Política Nacional en Salud Visual y Ocular, dentro del término de doce (12) meses contados a partir de la entrada en vigencia de la presente ley.</w:t>
      </w:r>
    </w:p>
    <w:p w14:paraId="737D5C64"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La Política será de obligatorio cumplimiento para todas las autoridades del orden nacional, departamental, distrital y municipal, así como para las entidades públicas, privadas y mixtas que integran el Sistema General de Seguridad Social en Salud, las cuales deberán ajustar sus planes, programas, procedimientos, recursos y acciones de acuerdo con sus competencias legales, con el fin de asegurar la gestión integral, continua y efectiva de la salud visual y ocular de la población.</w:t>
      </w:r>
    </w:p>
    <w:p w14:paraId="2B4E5FD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w:t>
      </w:r>
      <w:r w:rsidRPr="00B8597F">
        <w:rPr>
          <w:rFonts w:ascii="Arial" w:eastAsia="Arial" w:hAnsi="Arial" w:cs="Arial"/>
          <w:lang w:eastAsia="es-CO"/>
        </w:rPr>
        <w:t>La Política Nacional en Salud Visual y Ocular deberá incorporar objetivos, metas, indicadores verificables y medibles, articulados con la normatividad vigente en salud pública y orientados al control de riesgos, la reducción de la discapacidad visual evitable y la protección integral de la salud visual en todo el territorio nacional.</w:t>
      </w:r>
    </w:p>
    <w:p w14:paraId="78BF8A2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10. Principios orientadores de la política. </w:t>
      </w:r>
      <w:r w:rsidRPr="00B8597F">
        <w:rPr>
          <w:rFonts w:ascii="Arial" w:eastAsia="Arial" w:hAnsi="Arial" w:cs="Arial"/>
          <w:lang w:eastAsia="es-CO"/>
        </w:rPr>
        <w:t xml:space="preserve">La implementación de la Política Nacional en Salud Visual y Ocular deberá regirse por los principios de la Ley Estatutaria en Salud 1751 de 2015 </w:t>
      </w:r>
      <w:r w:rsidRPr="00B8597F">
        <w:rPr>
          <w:rFonts w:ascii="Arial" w:eastAsia="Arial" w:hAnsi="Arial" w:cs="Arial"/>
          <w:lang w:eastAsia="es-CO"/>
        </w:rPr>
        <w:lastRenderedPageBreak/>
        <w:t>como lo son universalidad, pro homine, equidad, continuidad, oportunidad, prevalencia de derechos, progresividad del derecho, libre elección, sostenibilidad, solidaridad, eficiencia e interculturalidad.</w:t>
      </w:r>
    </w:p>
    <w:p w14:paraId="498550F7" w14:textId="37E6B5EE" w:rsidR="0054501C" w:rsidRDefault="00B8597F" w:rsidP="0054501C">
      <w:pPr>
        <w:pStyle w:val="Sinespaciado"/>
        <w:rPr>
          <w:lang w:eastAsia="es-CO"/>
        </w:rPr>
      </w:pPr>
      <w:r w:rsidRPr="00B8597F">
        <w:rPr>
          <w:lang w:eastAsia="es-CO"/>
        </w:rPr>
        <w:t>Estos principios orientarán la interpretación y aplicación de las disposiciones contenidas en la presente ley, así como las decisiones administrativas, técnicas y operativas de las autoridades y entidades responsables de su ejecución.</w:t>
      </w:r>
    </w:p>
    <w:p w14:paraId="1ED6D6DF"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11. De los lineamientos estratégicos y criterios mínimos de la política. </w:t>
      </w:r>
      <w:r w:rsidRPr="00B8597F">
        <w:rPr>
          <w:rFonts w:ascii="Arial" w:eastAsia="Arial" w:hAnsi="Arial" w:cs="Arial"/>
          <w:lang w:eastAsia="es-CO"/>
        </w:rPr>
        <w:t>La Política Nacional en Salud Visual y Ocular deberá desarrollarse conforme a los siguientes lineamientos estratégicos, los cuales serán adoptados, implementados y evaluados por el Ministerio de Salud y Protección Social en el marco de sus competencias constitucionales y legales, garantizando su armonización con los instrumentos de planificación en salud pública:</w:t>
      </w:r>
    </w:p>
    <w:p w14:paraId="32FDF4EA"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1.</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Promoción y prevención por curso de vida: Implementar acciones integrales de promoción de la salud visual y prevención de enfermedades oculares a lo largo del curso de vida, con prioridad en la reducción de la discapacidad visual evitable   y   la   detección   temprana   de   factores   de   riesgo.</w:t>
      </w:r>
    </w:p>
    <w:p w14:paraId="53A98EEC" w14:textId="138250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2.</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Ampliación de cobertura y acceso: Garantizar la disponibilidad, accesibilidad, aceptabilidad y calidad del diagnóstico oportuno, tratamiento integral, rehabilitación y paliación, asegurando la continuidad de los servicios en todos los niveles de atención y en todas las regiones del país</w:t>
      </w:r>
      <w:r w:rsidR="00DE0DE7">
        <w:rPr>
          <w:rFonts w:ascii="Arial" w:eastAsia="Arial" w:hAnsi="Arial" w:cs="Arial"/>
          <w:lang w:eastAsia="es-CO"/>
        </w:rPr>
        <w:t>, con especial atención a zonas rurales y dispersas</w:t>
      </w:r>
      <w:r w:rsidRPr="00B8597F">
        <w:rPr>
          <w:rFonts w:ascii="Arial" w:eastAsia="Arial" w:hAnsi="Arial" w:cs="Arial"/>
          <w:lang w:eastAsia="es-CO"/>
        </w:rPr>
        <w:t>.</w:t>
      </w:r>
    </w:p>
    <w:p w14:paraId="2ADCCC60"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3.</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Salud digital y tele salud: Fortalecer el uso de tecnologías de la información y la comunicación para la atención integral en salud visual y ocular, mediante herramientas de tele salud, tele orientación, telemedicina y sistemas interoperables de información clínica.</w:t>
      </w:r>
    </w:p>
    <w:p w14:paraId="73995424"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4.</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Gestión del conocimiento y sistemas de información: Consolidar procesos de generación, actualización y difusión del conocimiento científico y técnico; así como el fortalecimiento de los sistemas de información, vigilancia epidemiológica y   análisis   de   datos   en   salud   visual   y   ocular.</w:t>
      </w:r>
    </w:p>
    <w:p w14:paraId="5C3DDE0A"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5.</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Fortalecimiento del talento humano: Impulsar la formación, capacitación, actualización y disponibilidad del talento humano en salud visual y ocular, garantizando perfiles competentes para la atención integral, la gestión comunitaria y la investigación en el área.</w:t>
      </w:r>
    </w:p>
    <w:p w14:paraId="4C7C144D"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6.</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Gobernanza y participación intersectorial y social: Promover mecanismos de coordinación interinstitucional, articulación intersectorial y participación activa de la comunidad, organizaciones sociales y asociaciones de pacientes en el diseño, implementación y evaluación de las acciones en salud visual y ocular.</w:t>
      </w:r>
    </w:p>
    <w:p w14:paraId="4F23B2AD"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7.</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Investigación, innovación y desarrollo tecnológico: Fomentar la investigación aplicada, el desarrollo tecnológico y la innovación para mejorar los procesos diagnósticos, terapéuticos, rehabilitadores y preventivos, especialmente aquellos orientados a disminuir la discapacidad visual evitable.</w:t>
      </w:r>
    </w:p>
    <w:p w14:paraId="278A757C" w14:textId="44E54FDE" w:rsidR="00B8597F" w:rsidRDefault="00B8597F" w:rsidP="00DE0DE7">
      <w:pPr>
        <w:pStyle w:val="Sinespaciado"/>
        <w:ind w:left="426"/>
        <w:rPr>
          <w:lang w:eastAsia="es-CO"/>
        </w:rPr>
      </w:pPr>
      <w:r w:rsidRPr="00B8597F">
        <w:rPr>
          <w:lang w:eastAsia="es-CO"/>
        </w:rPr>
        <w:t>8.</w:t>
      </w:r>
      <w:r w:rsidRPr="00B8597F">
        <w:rPr>
          <w:rFonts w:ascii="Times New Roman" w:eastAsia="Times New Roman" w:hAnsi="Times New Roman" w:cs="Times New Roman"/>
          <w:sz w:val="14"/>
          <w:szCs w:val="14"/>
          <w:lang w:eastAsia="es-CO"/>
        </w:rPr>
        <w:tab/>
      </w:r>
      <w:r w:rsidRPr="00B8597F">
        <w:rPr>
          <w:lang w:eastAsia="es-CO"/>
        </w:rPr>
        <w:t>Financiamiento sostenible y protección financiera: Establecer mecanismos de financiamiento suficientes, progresivos y sostenibles que aseguren la protección financiera de la población, la adecuada asignación de recursos y la continuidad de los servicios de salud visual y ocular en el marco del Sistema General de Seguridad Social en Salud.</w:t>
      </w:r>
    </w:p>
    <w:p w14:paraId="380EFC04"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lastRenderedPageBreak/>
        <w:t xml:space="preserve">Artículo 12. Del seguimiento y control a la Política Nacional. </w:t>
      </w:r>
      <w:r w:rsidRPr="00B8597F">
        <w:rPr>
          <w:rFonts w:ascii="Arial" w:eastAsia="Arial" w:hAnsi="Arial" w:cs="Arial"/>
          <w:lang w:eastAsia="es-CO"/>
        </w:rPr>
        <w:t>El Ministerio de Salud y Protección Social deberá diseñar, implementar y mantener un mecanismo permanente de monitoreo, seguimiento y control de la Política Nacional en Salud Visual y Ocular, mediante la definición de indicadores de impacto, resultado y gestión, que permitan evaluar su eficacia, eficiencia y efectividad. Dicho mecanismo se ajustará a los procedimientos de formulación, seguimiento y evaluación de estudios sectoriales y políticas públicas en salud establecidos por el Ministerio.</w:t>
      </w:r>
    </w:p>
    <w:p w14:paraId="31E6F601"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1. </w:t>
      </w:r>
      <w:r w:rsidRPr="00B8597F">
        <w:rPr>
          <w:rFonts w:ascii="Arial" w:eastAsia="Arial" w:hAnsi="Arial" w:cs="Arial"/>
          <w:lang w:eastAsia="es-CO"/>
        </w:rPr>
        <w:t>El Ministerio de Salud y Protección Social, en coordinación con la Mesa Nacional Intersectorial de Salud Visual deberá definir y actualizar máximo cada dos (2) años las fuentes de información que permitan obtener información completa, continua y veraz para el seguimiento de la situación en salud visual y ocular del país, así como insumo de seguimiento y evaluación de la política.</w:t>
      </w:r>
    </w:p>
    <w:p w14:paraId="047841F5"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Parágrafo 2.</w:t>
      </w:r>
      <w:r w:rsidRPr="00B8597F">
        <w:rPr>
          <w:rFonts w:ascii="Arial" w:eastAsia="Arial" w:hAnsi="Arial" w:cs="Arial"/>
          <w:lang w:eastAsia="es-CO"/>
        </w:rPr>
        <w:t xml:space="preserve"> Los resultados anuales del monitoreo y evaluación de la Política Nacional en Salud Visual y Ocular, junto con sus indicadores, metodologías y fuentes de información, deberán ser publicados de manera accesible, oportuna y transparente en el portal web oficial del Ministerio de Salud y Protección Social, para efectos de rendición de cuentas, control ciudadano y garantía del derecho fundamental de acceso a la información.</w:t>
      </w:r>
    </w:p>
    <w:p w14:paraId="14871352"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13. Implementación territorial de la Política Nacional en Salud Visual y Ocular.   </w:t>
      </w:r>
      <w:r w:rsidRPr="00B8597F">
        <w:rPr>
          <w:rFonts w:ascii="Arial" w:eastAsia="Arial" w:hAnsi="Arial" w:cs="Arial"/>
          <w:lang w:eastAsia="es-CO"/>
        </w:rPr>
        <w:t>Las entidades territoriales del orden departamental, distrital y municipal, en un plazo no mayor a veinticuatro (24) meses a partir de la entrada en vigencia de la presente ley, deberán adoptar, implementar y financiar las acciones necesarias para la ejecución de la Política Nacional en Salud Visual y Ocular, incorporando sus lineamientos, metas e indicadores en los instrumentos de planeación territorial del sector salud.</w:t>
      </w:r>
    </w:p>
    <w:p w14:paraId="1CFCF6E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Para ello, deberán garantizar la articulación con las Redes Integrales e Integradas de Servicios de Salud; desarrollar acciones de promoción, prevención, tamización, diagnóstico y rehabilitación según su perfil epidemiológico y enfoque diferencial; y destinar los recursos humanos, técnicos y financieros necesarios para su cumplimiento.</w:t>
      </w:r>
    </w:p>
    <w:p w14:paraId="2F99962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w:t>
      </w:r>
      <w:r w:rsidRPr="00B8597F">
        <w:rPr>
          <w:rFonts w:ascii="Arial" w:eastAsia="Arial" w:hAnsi="Arial" w:cs="Arial"/>
          <w:lang w:eastAsia="es-CO"/>
        </w:rPr>
        <w:t>El Ministerio de Salud y Protección Social brindará asistencia técnica y realizará seguimiento al avance territorial de la Política</w:t>
      </w:r>
    </w:p>
    <w:p w14:paraId="3222F90A"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14. Informe y rendición de cuentas al Congreso. </w:t>
      </w:r>
      <w:r w:rsidRPr="00B8597F">
        <w:rPr>
          <w:rFonts w:ascii="Arial" w:eastAsia="Arial" w:hAnsi="Arial" w:cs="Arial"/>
          <w:lang w:eastAsia="es-CO"/>
        </w:rPr>
        <w:t>El Ministerio de Salud y Protección Social, en coordinación con la Mesa Nacional Intersectorial de Salud Visual y Ocular, presentará a inicio de cada legislatura un informe técnico a las Comisiones Séptimas Constitucionales Permanentes del Senado de la República y de la Cámara de Representantes, en el cual se detalle el grado de implementación, avance, cumplimiento, evaluación y resultados de la Política Nacional en Salud Visual y Ocular, así como las acciones desarrolladas en virtud de lo dispuesto en la presente ley.</w:t>
      </w:r>
    </w:p>
    <w:p w14:paraId="02B8D36C" w14:textId="1147669E" w:rsidR="00B8597F" w:rsidRDefault="00B8597F" w:rsidP="0054501C">
      <w:pPr>
        <w:pStyle w:val="Sinespaciado"/>
        <w:rPr>
          <w:lang w:eastAsia="es-CO"/>
        </w:rPr>
      </w:pPr>
      <w:r w:rsidRPr="00B8597F">
        <w:rPr>
          <w:lang w:eastAsia="es-CO"/>
        </w:rPr>
        <w:t>El informe deberá incluir, como mínimo, el análisis de indicadores de impacto, resultado y gestión; la ejecución presupuestal asociada; los avances intersectoriales; las barreras identificadas y las medidas adoptadas para su superación; y las recomendaciones para el mejoramiento continuo de la política.</w:t>
      </w:r>
    </w:p>
    <w:p w14:paraId="7B388593" w14:textId="426951DC" w:rsidR="0054501C" w:rsidRDefault="0054501C" w:rsidP="0054501C">
      <w:pPr>
        <w:pStyle w:val="Sinespaciado"/>
        <w:rPr>
          <w:lang w:eastAsia="es-CO"/>
        </w:rPr>
      </w:pPr>
    </w:p>
    <w:p w14:paraId="787F9056" w14:textId="77777777" w:rsidR="00B8597F" w:rsidRPr="0054501C" w:rsidRDefault="00B8597F" w:rsidP="0054501C">
      <w:pPr>
        <w:pStyle w:val="Sinespaciado"/>
        <w:jc w:val="center"/>
        <w:rPr>
          <w:b/>
          <w:bCs/>
          <w:lang w:eastAsia="es-CO"/>
        </w:rPr>
      </w:pPr>
      <w:r w:rsidRPr="0054501C">
        <w:rPr>
          <w:b/>
          <w:bCs/>
          <w:lang w:eastAsia="es-CO"/>
        </w:rPr>
        <w:t>CAPÍTULO III.</w:t>
      </w:r>
    </w:p>
    <w:p w14:paraId="50D1311F" w14:textId="77777777" w:rsidR="00B8597F" w:rsidRPr="0054501C" w:rsidRDefault="00B8597F" w:rsidP="0054501C">
      <w:pPr>
        <w:pStyle w:val="Sinespaciado"/>
        <w:jc w:val="center"/>
        <w:rPr>
          <w:b/>
          <w:bCs/>
          <w:lang w:eastAsia="es-CO"/>
        </w:rPr>
      </w:pPr>
      <w:r w:rsidRPr="0054501C">
        <w:rPr>
          <w:b/>
          <w:bCs/>
          <w:lang w:eastAsia="es-CO"/>
        </w:rPr>
        <w:t>DISPOSICIONES PARA LA ATENCIÓN INTEGRAL Y PROMOCIÓN DE LA SALUD VISUAL Y OCULAR</w:t>
      </w:r>
    </w:p>
    <w:p w14:paraId="0456521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lastRenderedPageBreak/>
        <w:t xml:space="preserve">Artículo 15. Protocolo de Promoción y Prevención para Niños, Niñas y Adolescentes. </w:t>
      </w:r>
      <w:r w:rsidRPr="00B8597F">
        <w:rPr>
          <w:rFonts w:ascii="Arial" w:eastAsia="Arial" w:hAnsi="Arial" w:cs="Arial"/>
          <w:lang w:eastAsia="es-CO"/>
        </w:rPr>
        <w:t>El Ministerio de Salud y Protección Social, junto a Nacional Intersectorial de Salud Visual y Ocular, crearán un protocolo de promoción y prevención en el que se logre consolidar un modelo de atención en materia de salud visual para Niños, Niñas y Adolescentes dentro del sistema educativo nacional.</w:t>
      </w:r>
    </w:p>
    <w:p w14:paraId="7E9848C5"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Artículo 16. Pedagogía como estrategia de promoción y detección temprana en salud visual y ocular.</w:t>
      </w:r>
      <w:r w:rsidRPr="00B8597F">
        <w:rPr>
          <w:rFonts w:ascii="Arial" w:eastAsia="Arial" w:hAnsi="Arial" w:cs="Arial"/>
          <w:lang w:eastAsia="es-CO"/>
        </w:rPr>
        <w:t xml:space="preserve"> El Ministerio de Salud y Protección Social, en coordinación con el Ministerio de Educación Nacional y el Ministerio de Tecnologías de la Información y las Comunicaciones, diseñará, producirá y difundirá contenidos y estrategias permanentes de educación, comunicación pública y sensibilización orientadas a la promoción del cuidado de la salud visual y ocular y a la identificación temprana de alteraciones, trastornos y enfermedades visuales y oculares a lo largo del curso de vida.</w:t>
      </w:r>
    </w:p>
    <w:p w14:paraId="332C968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Estas estrategias incluirán mensajes pedagógicos, campañas informativas, lineamientos técnicos, piezas audiovisuales y contenidos digitales diferenciados según las características de la población, con especial enfoque de protección y prevención en niños, niñas, adolescentes y jóvenes.</w:t>
      </w:r>
    </w:p>
    <w:p w14:paraId="5098186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1. </w:t>
      </w:r>
      <w:r w:rsidRPr="00B8597F">
        <w:rPr>
          <w:rFonts w:ascii="Arial" w:eastAsia="Arial" w:hAnsi="Arial" w:cs="Arial"/>
          <w:lang w:eastAsia="es-CO"/>
        </w:rPr>
        <w:t>El Gobierno Nacional promoverá mensualmente campañas de alcance masivo en radio, televisión y medios digitales, garantizando su difusión en franjas y medios accesibles para toda la ciudadanía.</w:t>
      </w:r>
    </w:p>
    <w:p w14:paraId="75ED1350"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La Comisión de Regulación de Comunicaciones destinará, de acuerdo con la normatividad vigente, espacios institucionales en los servicios de televisión pública y privada, en  horarios adecuados y de alta audiencia, para la emisión de mensajes pedagógicos y de promoción en salud visual y ocular producidos por el Ministerio de Salud y Protección Social.</w:t>
      </w:r>
    </w:p>
    <w:p w14:paraId="230AD37C"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De igual manera, el Ministerio de Tecnologías de la Información y las Comunicaciones realizará la destinación de espacios radiales de carácter nacional para la difusión de los mismos contenidos, conforme a la reglamentación aplicable.</w:t>
      </w:r>
    </w:p>
    <w:p w14:paraId="715FF36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2. </w:t>
      </w:r>
      <w:r w:rsidRPr="00B8597F">
        <w:rPr>
          <w:rFonts w:ascii="Arial" w:eastAsia="Arial" w:hAnsi="Arial" w:cs="Arial"/>
          <w:lang w:eastAsia="es-CO"/>
        </w:rPr>
        <w:t>Las entidades responsables podrán solicitar a la Comisión de Regulación de Comunicaciones los espacios institucionales requeridos para garantizar la divulgación de mensajes sobre salud visual y ocular en los canales de televisión abierta, de acuerdo con la normatividad vigente expedida por la CRC en cumplimiento de sus funciones establecidas en la Ley 1341 de 2009 o las normas que la modifiquen o sustituyan.</w:t>
      </w:r>
    </w:p>
    <w:p w14:paraId="41FE5811" w14:textId="05F17328"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17. Articulación interinstitucional entre el Ministerio de Salud y el Ministerio de Educación. </w:t>
      </w:r>
      <w:r w:rsidRPr="00B8597F">
        <w:rPr>
          <w:rFonts w:ascii="Arial" w:eastAsia="Arial" w:hAnsi="Arial" w:cs="Arial"/>
          <w:lang w:eastAsia="es-CO"/>
        </w:rPr>
        <w:t>El Ministerio de Educación Nacional, en coordinación con el Ministerio de Salud y Protección Social, brindarán orientaciones técnicas, pedagógicas y administrativas a las instituciones de educación de preescolar, básica, media y superior públicas y privadas, basados en los determinantes de la salud visual y ocular, así como los factores de riesgo y protectores que faciliten la implementación de acciones para el fortalecimiento y desarrollo de estilos de vida saludable en niñas, niños y adolescentes para la promoción de la salud visual y ocular.</w:t>
      </w:r>
    </w:p>
    <w:p w14:paraId="5585539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18. Difusión de contenidos pedagógicos en materia de salud visual y ocular preventiva en niños, niñas, adolescentes y jóvenes. </w:t>
      </w:r>
      <w:r w:rsidRPr="00B8597F">
        <w:rPr>
          <w:rFonts w:ascii="Arial" w:eastAsia="Arial" w:hAnsi="Arial" w:cs="Arial"/>
          <w:lang w:eastAsia="es-CO"/>
        </w:rPr>
        <w:t>El Gobierno Nacional deberá crear, difundir y promover semanalmente, en radio, televisión y medios digitales, campañas pedagógicas y de sensibilización masiva en materia de salud visual y ocular, considerando las diferentes características de la población del país con un enfoque de protección y prevención en la población de niñez, adolescencia y juventud.</w:t>
      </w:r>
    </w:p>
    <w:p w14:paraId="76E50319"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lastRenderedPageBreak/>
        <w:t>La Comisión de Regulación de Comunicaciones destinará, de acuerdo con la normatividad vigente, un espacio institucional en horario prime, en el servicio público de televisión, en los canales nacionales, regionales y locales, tanto privados como públicos, para que, mediante una producción audiovisual producida por el Ministerio de Salud y Protección Social, se emitan mensajes pedagógicos y de promoción en materia de salud visual y ocular y atención preventiva en Niños, Niñas y Adolescentes.</w:t>
      </w:r>
    </w:p>
    <w:p w14:paraId="4AB4D336"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De igual manera, el Ministerio de Tecnologías de la Información y las Comunicaciones deberá realizar la destinación de espacios que estén a cargo de la nación para la difusión del mismo tipo de mensajes por emisoras radiales, considerando la reglamentación que se expida en la materia.</w:t>
      </w:r>
    </w:p>
    <w:p w14:paraId="1617A5A5"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Artículo 19. Promoción de la salud visual y prevención de las alteraciones visuales y oculares en el ámbito laboral.</w:t>
      </w:r>
      <w:r w:rsidRPr="00B8597F">
        <w:rPr>
          <w:rFonts w:ascii="Arial" w:eastAsia="Arial" w:hAnsi="Arial" w:cs="Arial"/>
          <w:lang w:eastAsia="es-CO"/>
        </w:rPr>
        <w:t xml:space="preserve"> El Ministerio de Salud y Protección Social y el Ministerio del Trabajo deberán revisar, actualizar y adoptar de manera periódica los lineamientos técnicos, criterios y protocolos destinados a la identificación, mitigación y control de los factores de riesgo laborales que puedan afectar la salud visual y ocular de los trabajadores.</w:t>
      </w:r>
    </w:p>
    <w:p w14:paraId="243A7B6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Las empresas, entidades públicas y empleadores, en coordinación con las Administradoras de Riesgos Laborales (ARL), deberán implementar acciones integrales de promoción de la salud visual y prevención de alteraciones visuales y oculares, que incluyan programas de sensibilización, orientación, vigilancia epidemiológica, adecuación ergonómica y control de riesgos ocupacionales.</w:t>
      </w:r>
    </w:p>
    <w:p w14:paraId="729D6E7E"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De igual forma, los empleadores deberán adoptar medidas efectivas que contribuyan al bienestar visual y ocular durante la jornada laboral, garantizando ambientes de trabajo seguros, saludables y acordes con la normatividad vigente en seguridad y salud en el trabajo.</w:t>
      </w:r>
    </w:p>
    <w:p w14:paraId="1CA4C193"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Artículo 20. Atención integral, integrada y resolutiva en salud visual y ocular.</w:t>
      </w:r>
      <w:r w:rsidRPr="00B8597F">
        <w:rPr>
          <w:rFonts w:ascii="Arial" w:eastAsia="Arial" w:hAnsi="Arial" w:cs="Arial"/>
          <w:lang w:eastAsia="es-CO"/>
        </w:rPr>
        <w:t xml:space="preserve"> El Ministerio de Salud y Protección Social, en el marco de la Atención Primaria en Salud y en ejercicio de sus competencias, adoptará, actualizará y garantizará la implementación del modelo de atención integral e integrada, así como de los protocolos, guías metodológicas, guías de práctica clínica, Plan de Beneficios en Salud y demás instrumentos técnicos destinados a la detección temprana, el diagnóstico, tratamiento, rehabilitación y paliación de las condiciones visuales y oculares.</w:t>
      </w:r>
    </w:p>
    <w:p w14:paraId="3FFE04D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w:t>
      </w:r>
      <w:r w:rsidRPr="00B8597F">
        <w:rPr>
          <w:rFonts w:ascii="Arial" w:eastAsia="Arial" w:hAnsi="Arial" w:cs="Arial"/>
          <w:lang w:eastAsia="es-CO"/>
        </w:rPr>
        <w:t>La formulación y actualización de mencionados instrumentos deberá realizarse con la participación de la Mesa Nacional Intersectorial de Salud Visual y Ocular.</w:t>
      </w:r>
    </w:p>
    <w:p w14:paraId="0F0D1702"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Estos protocolos, guías metodológicas, guías de práctica clínica, Plan de Beneficios en Salud y demás instrumentos técnicos deberán:</w:t>
      </w:r>
    </w:p>
    <w:p w14:paraId="04386C3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 xml:space="preserve">1.     </w:t>
      </w:r>
      <w:r w:rsidRPr="00B8597F">
        <w:rPr>
          <w:rFonts w:ascii="Arial" w:eastAsia="Arial" w:hAnsi="Arial" w:cs="Arial"/>
          <w:lang w:eastAsia="es-CO"/>
        </w:rPr>
        <w:tab/>
        <w:t>Incorporar progresivamente la totalidad de las enfermedades, alteraciones y trastornos visuales y oculares, así como los procesos y procedimientos requeridos para su atención integral.</w:t>
      </w:r>
    </w:p>
    <w:p w14:paraId="039C2E36"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 xml:space="preserve">2.     </w:t>
      </w:r>
      <w:r w:rsidRPr="00B8597F">
        <w:rPr>
          <w:rFonts w:ascii="Arial" w:eastAsia="Arial" w:hAnsi="Arial" w:cs="Arial"/>
          <w:lang w:eastAsia="es-CO"/>
        </w:rPr>
        <w:tab/>
        <w:t>Ajustarse permanentemente a la evidencia científica, a las mejores prácticas clínicas y a los avances tecnológicos disponibles.</w:t>
      </w:r>
    </w:p>
    <w:p w14:paraId="19A571E3"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 xml:space="preserve">3.     </w:t>
      </w:r>
      <w:r w:rsidRPr="00B8597F">
        <w:rPr>
          <w:rFonts w:ascii="Arial" w:eastAsia="Arial" w:hAnsi="Arial" w:cs="Arial"/>
          <w:lang w:eastAsia="es-CO"/>
        </w:rPr>
        <w:tab/>
        <w:t>Revisarse y actualizarse máximo cada tres (3) años, o antes, cuando la evidencia científica así lo exija.</w:t>
      </w:r>
    </w:p>
    <w:p w14:paraId="7B0EC1A4"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En todo caso, el Ministerio de Salud y Protección Social garantizará que la atención en salud visual y ocular se preste bajo criterios de continuidad, integralidad, calidad, pertinencia y accesibilidad.</w:t>
      </w:r>
    </w:p>
    <w:p w14:paraId="0027A8EB" w14:textId="1C725860"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lastRenderedPageBreak/>
        <w:t xml:space="preserve">Artículo 21. Fortalecimiento del talento humano para la atención en salud visual y ocular. </w:t>
      </w:r>
      <w:r w:rsidRPr="00B8597F">
        <w:rPr>
          <w:rFonts w:ascii="Arial" w:eastAsia="Arial" w:hAnsi="Arial" w:cs="Arial"/>
          <w:lang w:eastAsia="es-CO"/>
        </w:rPr>
        <w:t>El Ministerio de Salud y Protección Social, en coordinación con la Dirección de Desarrollo del Talento Humano en Salud, promoverá e implementará programas de formación</w:t>
      </w:r>
      <w:r w:rsidR="005E608A">
        <w:rPr>
          <w:rFonts w:ascii="Arial" w:eastAsia="Arial" w:hAnsi="Arial" w:cs="Arial"/>
          <w:lang w:eastAsia="es-CO"/>
        </w:rPr>
        <w:t xml:space="preserve"> continua</w:t>
      </w:r>
      <w:r w:rsidRPr="00B8597F">
        <w:rPr>
          <w:rFonts w:ascii="Arial" w:eastAsia="Arial" w:hAnsi="Arial" w:cs="Arial"/>
          <w:lang w:eastAsia="es-CO"/>
        </w:rPr>
        <w:t>, actualización y fortalecimiento de competencias en salud visual y ocular dirigidos a los diferentes actores del sistema, incluyendo profesionales en formación y en ejercicio en las áreas de medicina, oftalmología, optometría, enfermería, atención prehospitalaria, pedagogía y demás disciplinas pertinentes, conforme al nivel de complejidad requerido.</w:t>
      </w:r>
    </w:p>
    <w:p w14:paraId="0C87E810"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De igual manera, garantizará la capacitación continua del Talento Humano en Salud perteneciente a las Redes Integrales de Servicios de Salud, en aspectos relacionados con protocolos y guías de atención integral, abordaje clínico, factores de riesgo, práctica basada en evidencia, normatividad vigente y estándares de humanización del servicio.</w:t>
      </w:r>
    </w:p>
    <w:p w14:paraId="54DE5321"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w:t>
      </w:r>
      <w:r w:rsidRPr="00B8597F">
        <w:rPr>
          <w:rFonts w:ascii="Arial" w:eastAsia="Arial" w:hAnsi="Arial" w:cs="Arial"/>
          <w:lang w:eastAsia="es-CO"/>
        </w:rPr>
        <w:t>La atención integral en salud visual y ocular será prestada exclusivamente por profesionales del Talento Humano en Salud habilitados y habilitados en el ReTHUS de acuerdo con las necesidades del paciente y el nivel de complejidad del servicio. La evaluación de la adherencia a los tratamientos, la suficiencia y distribución del talento humano, y las demás variables relacionadas con la calidad y efectividad de la atención, estará a cargo de las autoridades competentes del orden nacional y territorial.</w:t>
      </w:r>
    </w:p>
    <w:p w14:paraId="7027EC5F" w14:textId="1E30EA32"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22. </w:t>
      </w:r>
      <w:r w:rsidR="005E608A">
        <w:rPr>
          <w:rFonts w:ascii="Arial" w:eastAsia="Arial" w:hAnsi="Arial" w:cs="Arial"/>
          <w:b/>
          <w:bCs/>
          <w:lang w:eastAsia="es-CO"/>
        </w:rPr>
        <w:t xml:space="preserve">Garantía de la salud visual y ocular en las </w:t>
      </w:r>
      <w:r w:rsidRPr="00B8597F">
        <w:rPr>
          <w:rFonts w:ascii="Arial" w:eastAsia="Arial" w:hAnsi="Arial" w:cs="Arial"/>
          <w:b/>
          <w:bCs/>
          <w:lang w:eastAsia="es-CO"/>
        </w:rPr>
        <w:t>Red</w:t>
      </w:r>
      <w:r w:rsidR="005E608A">
        <w:rPr>
          <w:rFonts w:ascii="Arial" w:eastAsia="Arial" w:hAnsi="Arial" w:cs="Arial"/>
          <w:b/>
          <w:bCs/>
          <w:lang w:eastAsia="es-CO"/>
        </w:rPr>
        <w:t>es</w:t>
      </w:r>
      <w:r w:rsidRPr="00B8597F">
        <w:rPr>
          <w:rFonts w:ascii="Arial" w:eastAsia="Arial" w:hAnsi="Arial" w:cs="Arial"/>
          <w:b/>
          <w:bCs/>
          <w:lang w:eastAsia="es-CO"/>
        </w:rPr>
        <w:t xml:space="preserve"> integral</w:t>
      </w:r>
      <w:r w:rsidR="005E608A">
        <w:rPr>
          <w:rFonts w:ascii="Arial" w:eastAsia="Arial" w:hAnsi="Arial" w:cs="Arial"/>
          <w:b/>
          <w:bCs/>
          <w:lang w:eastAsia="es-CO"/>
        </w:rPr>
        <w:t xml:space="preserve">es e integradas de prestación </w:t>
      </w:r>
      <w:r w:rsidRPr="00B8597F">
        <w:rPr>
          <w:rFonts w:ascii="Arial" w:eastAsia="Arial" w:hAnsi="Arial" w:cs="Arial"/>
          <w:b/>
          <w:bCs/>
          <w:lang w:eastAsia="es-CO"/>
        </w:rPr>
        <w:t xml:space="preserve">de servicios de salud. </w:t>
      </w:r>
      <w:r w:rsidRPr="00B8597F">
        <w:rPr>
          <w:rFonts w:ascii="Arial" w:eastAsia="Arial" w:hAnsi="Arial" w:cs="Arial"/>
          <w:lang w:eastAsia="es-CO"/>
        </w:rPr>
        <w:t>Las Redes Integrales e Integradas de Servicios de Salud deberán garantizar la prestación continua, articulada y resolutiva de los servicios en salud visual y ocular, conforme a los principios de integralidad, accesibilidad, oportunidad y calidad.</w:t>
      </w:r>
    </w:p>
    <w:p w14:paraId="46A3EFCC"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El primer nivel de atención implementará un enfoque integral de promoción de la salud y prevención de las alteraciones visuales y oculares, orientado a la creación y fortalecimiento de entornos protectores, al autocuidado informado y a la reducción de la discapacidad visual evitable.</w:t>
      </w:r>
    </w:p>
    <w:p w14:paraId="3BFFB692" w14:textId="5836D68D" w:rsidR="00B8597F" w:rsidRDefault="00B8597F" w:rsidP="0054501C">
      <w:pPr>
        <w:pStyle w:val="Sinespaciado"/>
        <w:rPr>
          <w:lang w:eastAsia="es-CO"/>
        </w:rPr>
      </w:pPr>
      <w:r w:rsidRPr="00B8597F">
        <w:rPr>
          <w:lang w:eastAsia="es-CO"/>
        </w:rPr>
        <w:t>Las entidades públicas, privadas o mixtas que conforman las Redes Integrales e Integradas deberán desarrollar campañas permanentes de promoción de la salud visual y ocular, con énfasis en educación, identificación temprana de signos de alarma y orientación a las rutas de atención, asegurando el seguimiento, monitoreo y evaluación de las metas programadas, de conformidad con los lineamientos técnicos definidos por el Ministerio de Salud y Protección Social.</w:t>
      </w:r>
    </w:p>
    <w:p w14:paraId="4AD1C5F3" w14:textId="77777777" w:rsidR="0054501C" w:rsidRPr="00B8597F" w:rsidRDefault="0054501C" w:rsidP="0054501C">
      <w:pPr>
        <w:pStyle w:val="Sinespaciado"/>
        <w:rPr>
          <w:lang w:eastAsia="es-CO"/>
        </w:rPr>
      </w:pPr>
    </w:p>
    <w:p w14:paraId="4ADFE030" w14:textId="77777777" w:rsidR="00B8597F" w:rsidRPr="0054501C" w:rsidRDefault="00B8597F" w:rsidP="0054501C">
      <w:pPr>
        <w:pStyle w:val="Sinespaciado"/>
        <w:jc w:val="center"/>
        <w:rPr>
          <w:b/>
          <w:bCs/>
          <w:lang w:eastAsia="es-CO"/>
        </w:rPr>
      </w:pPr>
      <w:r w:rsidRPr="0054501C">
        <w:rPr>
          <w:b/>
          <w:bCs/>
          <w:lang w:eastAsia="es-CO"/>
        </w:rPr>
        <w:t>CAPÍTULO IV</w:t>
      </w:r>
    </w:p>
    <w:p w14:paraId="09A8808F" w14:textId="77777777" w:rsidR="00B8597F" w:rsidRPr="0054501C" w:rsidRDefault="00B8597F" w:rsidP="0054501C">
      <w:pPr>
        <w:pStyle w:val="Sinespaciado"/>
        <w:jc w:val="center"/>
        <w:rPr>
          <w:b/>
          <w:bCs/>
          <w:lang w:eastAsia="es-CO"/>
        </w:rPr>
      </w:pPr>
      <w:r w:rsidRPr="0054501C">
        <w:rPr>
          <w:b/>
          <w:bCs/>
          <w:lang w:eastAsia="es-CO"/>
        </w:rPr>
        <w:t>OTRAS DISPOSICIONES</w:t>
      </w:r>
    </w:p>
    <w:p w14:paraId="2058AFB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 Artículo 23. Accesibilidad para personas con discapacidad visual. </w:t>
      </w:r>
      <w:r w:rsidRPr="00B8597F">
        <w:rPr>
          <w:rFonts w:ascii="Arial" w:eastAsia="Arial" w:hAnsi="Arial" w:cs="Arial"/>
          <w:lang w:eastAsia="es-CO"/>
        </w:rPr>
        <w:t>Las entidades públicas y privadas deberán implementar los ajustes necesarios para garantizar la accesibilidad plena para las personas con discapacidad visual, asegurando información, trámites, servicios y contenidos en formatos accesibles y plataformas digitales compatibles con estándares de accesibilidad universal.</w:t>
      </w:r>
    </w:p>
    <w:p w14:paraId="055AAB92"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w:t>
      </w:r>
      <w:r w:rsidRPr="00B8597F">
        <w:rPr>
          <w:rFonts w:ascii="Arial" w:eastAsia="Arial" w:hAnsi="Arial" w:cs="Arial"/>
          <w:lang w:eastAsia="es-CO"/>
        </w:rPr>
        <w:t>El Ministerio de Salud y Protección Social, en coordinación con el Ministerio de Tecnologías de la Información y las Comunicaciones, reglamentará los estándares y mecanismos de verificación.</w:t>
      </w:r>
    </w:p>
    <w:p w14:paraId="0274C594"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24. Observatorio Nacional de Salud Visual y Ocular. </w:t>
      </w:r>
      <w:r w:rsidRPr="00B8597F">
        <w:rPr>
          <w:rFonts w:ascii="Arial" w:eastAsia="Arial" w:hAnsi="Arial" w:cs="Arial"/>
          <w:lang w:eastAsia="es-CO"/>
        </w:rPr>
        <w:t>Créase el Observatorio Nacional de Salud Visual y Ocular, como una instancia del ámbito nacional y regional, cuya administración y coordinación estará a cargo del Ministerio de Salud y Protección Social y el cual generará, procesará, analizará y difundirá información actualizada, completa y veraz sobre el estado de la salud visual y ocular en Colombia. Los reportes deberán incluir:</w:t>
      </w:r>
    </w:p>
    <w:p w14:paraId="54CC6175"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lastRenderedPageBreak/>
        <w:t>a.</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el análisis epidemiológico de las alteraciones visuales y oculares más frecuentes;</w:t>
      </w:r>
    </w:p>
    <w:p w14:paraId="3FC3A32B"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b.</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la caracterización de riesgos, poblaciones y territorios priorizados;</w:t>
      </w:r>
    </w:p>
    <w:p w14:paraId="4F57750C"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c.</w:t>
      </w:r>
      <w:r w:rsidRPr="00B8597F">
        <w:rPr>
          <w:rFonts w:ascii="Times New Roman" w:eastAsia="Times New Roman" w:hAnsi="Times New Roman" w:cs="Times New Roman"/>
          <w:sz w:val="14"/>
          <w:szCs w:val="14"/>
          <w:lang w:eastAsia="es-CO"/>
        </w:rPr>
        <w:t xml:space="preserve"> </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la revisión sobre la disponibilidad, accesibilidad y calidad de los servicios de salud visual y ocular;</w:t>
      </w:r>
    </w:p>
    <w:p w14:paraId="693231B0"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d.</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los determinantes sociales asociados a la discapacidad visual evitable;</w:t>
      </w:r>
    </w:p>
    <w:p w14:paraId="45A90F18"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e.</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un capítulo específico sobre riesgos y afectaciones en el ámbito laboral y educativo; y</w:t>
      </w:r>
    </w:p>
    <w:p w14:paraId="01B4E39D" w14:textId="77777777" w:rsidR="00B8597F" w:rsidRPr="00B8597F" w:rsidRDefault="00B8597F" w:rsidP="00B8597F">
      <w:pPr>
        <w:spacing w:before="240" w:after="240" w:line="240" w:lineRule="auto"/>
        <w:ind w:left="360"/>
        <w:jc w:val="both"/>
        <w:rPr>
          <w:rFonts w:ascii="Arial" w:eastAsia="Arial" w:hAnsi="Arial" w:cs="Arial"/>
          <w:lang w:eastAsia="es-CO"/>
        </w:rPr>
      </w:pPr>
      <w:r w:rsidRPr="00B8597F">
        <w:rPr>
          <w:rFonts w:ascii="Arial" w:eastAsia="Arial" w:hAnsi="Arial" w:cs="Arial"/>
          <w:lang w:eastAsia="es-CO"/>
        </w:rPr>
        <w:t>f.</w:t>
      </w:r>
      <w:r w:rsidRPr="00B8597F">
        <w:rPr>
          <w:rFonts w:ascii="Times New Roman" w:eastAsia="Times New Roman" w:hAnsi="Times New Roman" w:cs="Times New Roman"/>
          <w:sz w:val="14"/>
          <w:szCs w:val="14"/>
          <w:lang w:eastAsia="es-CO"/>
        </w:rPr>
        <w:t xml:space="preserve">  </w:t>
      </w:r>
      <w:r w:rsidRPr="00B8597F">
        <w:rPr>
          <w:rFonts w:ascii="Times New Roman" w:eastAsia="Times New Roman" w:hAnsi="Times New Roman" w:cs="Times New Roman"/>
          <w:sz w:val="14"/>
          <w:szCs w:val="14"/>
          <w:lang w:eastAsia="es-CO"/>
        </w:rPr>
        <w:tab/>
      </w:r>
      <w:r w:rsidRPr="00B8597F">
        <w:rPr>
          <w:rFonts w:ascii="Arial" w:eastAsia="Arial" w:hAnsi="Arial" w:cs="Arial"/>
          <w:lang w:eastAsia="es-CO"/>
        </w:rPr>
        <w:t>los demás aspectos que determine el Ministerio de Salud y Protección Social.</w:t>
      </w:r>
    </w:p>
    <w:p w14:paraId="05DCDA27" w14:textId="2889C952"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25. Mecanismos de Seguimiento y Recolección de Información. </w:t>
      </w:r>
      <w:r w:rsidRPr="00B8597F">
        <w:rPr>
          <w:rFonts w:ascii="Arial" w:eastAsia="Arial" w:hAnsi="Arial" w:cs="Arial"/>
          <w:lang w:eastAsia="es-CO"/>
        </w:rPr>
        <w:t>El Ministerio de Salud y Protección Social, así como las direcciones departamentales, distritales y municipales de salud, deberán garantizar la completitud, calidad, oportunidad y veracidad del reporte de los Registros Individuales de Prestación de Servicios de Salud –RIPS</w:t>
      </w:r>
      <w:r w:rsidR="00671065" w:rsidRPr="00B8597F">
        <w:rPr>
          <w:rFonts w:ascii="Arial" w:eastAsia="Arial" w:hAnsi="Arial" w:cs="Arial"/>
          <w:lang w:eastAsia="es-CO"/>
        </w:rPr>
        <w:t xml:space="preserve">– </w:t>
      </w:r>
      <w:r w:rsidR="00671065">
        <w:rPr>
          <w:rFonts w:ascii="Arial" w:eastAsia="Arial" w:hAnsi="Arial" w:cs="Arial"/>
          <w:lang w:eastAsia="es-CO"/>
        </w:rPr>
        <w:t>relacionados</w:t>
      </w:r>
      <w:r w:rsidRPr="00B8597F">
        <w:rPr>
          <w:rFonts w:ascii="Arial" w:eastAsia="Arial" w:hAnsi="Arial" w:cs="Arial"/>
          <w:lang w:eastAsia="es-CO"/>
        </w:rPr>
        <w:t xml:space="preserve"> con la atención en salud visual y ocular, por parte de todos los prestadores de servicios de salud públicos, privados y mixtos bajo su jurisdicción.</w:t>
      </w:r>
    </w:p>
    <w:p w14:paraId="04A9AF43" w14:textId="2EFFB649"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De igual forma, estas entidades deberán definir, consolidar y actualizar las fuentes de información complementarias necesarias para obtener datos continuos y suficientes sobre los factores de riesgo individuales, colectivos y ambientales asociados a las alteraciones visuales y oculares</w:t>
      </w:r>
      <w:r w:rsidR="00D84872">
        <w:rPr>
          <w:rFonts w:ascii="Arial" w:eastAsia="Arial" w:hAnsi="Arial" w:cs="Arial"/>
          <w:lang w:eastAsia="es-CO"/>
        </w:rPr>
        <w:t>, estableciendo indicadores y metas dirigidos a reducir la discapacidad visual evitable</w:t>
      </w:r>
      <w:r w:rsidRPr="00B8597F">
        <w:rPr>
          <w:rFonts w:ascii="Arial" w:eastAsia="Arial" w:hAnsi="Arial" w:cs="Arial"/>
          <w:lang w:eastAsia="es-CO"/>
        </w:rPr>
        <w:t>. Esta información servirá como base para el ajuste permanente de las acciones de prevención, diagnóstico, tratamiento, rehabilitación y paliación, así como para la formulación, monitoreo y evaluación de los planes, programas y políticas previstos en la presente ley.</w:t>
      </w:r>
    </w:p>
    <w:p w14:paraId="7CB54D71"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1. </w:t>
      </w:r>
      <w:r w:rsidRPr="00B8597F">
        <w:rPr>
          <w:rFonts w:ascii="Arial" w:eastAsia="Arial" w:hAnsi="Arial" w:cs="Arial"/>
          <w:lang w:eastAsia="es-CO"/>
        </w:rPr>
        <w:t>Los diferentes actores mencionados establecerán los mecanismos que promuevan el intercambio de información entre los diversos sistemas nacionales y regionales en salud, así como con los distintos observatorios académicos e institucionales, para coadyuvar en la generación y análisis de datos en salud visual que complementen los RIPS.</w:t>
      </w:r>
    </w:p>
    <w:p w14:paraId="5268D96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2. </w:t>
      </w:r>
      <w:r w:rsidRPr="00B8597F">
        <w:rPr>
          <w:rFonts w:ascii="Arial" w:eastAsia="Arial" w:hAnsi="Arial" w:cs="Arial"/>
          <w:lang w:eastAsia="es-CO"/>
        </w:rPr>
        <w:t>Toda la información recolectada deberá ser puesta a disposición del Observatorio Nacional de Salud Visual y Ocular, el cual será responsable de su procesamiento, análisis, sistematización y difusión pública, constituyéndose en la principal fuente técnica para la toma de decisiones, el diseño de intervenciones y la evaluación de las políticas en salud pública en esta materia.</w:t>
      </w:r>
    </w:p>
    <w:p w14:paraId="1B69B0F8"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26. Día de la salud visual y ocular. </w:t>
      </w:r>
      <w:r w:rsidRPr="00B8597F">
        <w:rPr>
          <w:rFonts w:ascii="Arial" w:eastAsia="Arial" w:hAnsi="Arial" w:cs="Arial"/>
          <w:lang w:eastAsia="es-CO"/>
        </w:rPr>
        <w:t>Declárase el segundo jueves de octubre como el día de la salud visual y ocular en Colombia, en concordancia con el marco internacional de la conmemoración del día Mundial de la Visión. En el marco del mes de la salud visual y ocular, cada uno de los actores relacionados con el Sistema Nacional para la Protección Integral de la Salud Visual y Ocular, propenderá por el desarrollo de actividades orientadas a la prevención, atención de trastornos y enfermedades, así como a la promoción y el cuidado de la salud visual.</w:t>
      </w:r>
    </w:p>
    <w:p w14:paraId="40B6DE6E"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27. Dispensación de tecnologías y dispositivos para la salud visual y ocular. </w:t>
      </w:r>
      <w:r w:rsidRPr="00B8597F">
        <w:rPr>
          <w:rFonts w:ascii="Arial" w:eastAsia="Arial" w:hAnsi="Arial" w:cs="Arial"/>
          <w:lang w:eastAsia="es-CO"/>
        </w:rPr>
        <w:t>El Ministerio de Salud y Protección Social establecerá los lineamientos, mecanismos y criterios técnicos habilitantes que garanticen la disponibilidad, continuidad, suficiencia, calidad y accesibilidad de los medicamentos, tecnologías en salud, dispositivos médicos e insumos requeridos para la atención integral de las patologías visuales y oculares en todos los niveles de complejidad.</w:t>
      </w:r>
    </w:p>
    <w:p w14:paraId="427FEE9D" w14:textId="712A9F0D"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lastRenderedPageBreak/>
        <w:t xml:space="preserve">Para tal efecto, el Ministerio de Salud y Protección Social </w:t>
      </w:r>
      <w:r w:rsidR="0073598D">
        <w:rPr>
          <w:rFonts w:ascii="Arial" w:eastAsia="Arial" w:hAnsi="Arial" w:cs="Arial"/>
          <w:lang w:eastAsia="es-CO"/>
        </w:rPr>
        <w:t>de</w:t>
      </w:r>
      <w:r w:rsidRPr="00B8597F">
        <w:rPr>
          <w:rFonts w:ascii="Arial" w:eastAsia="Arial" w:hAnsi="Arial" w:cs="Arial"/>
          <w:lang w:eastAsia="es-CO"/>
        </w:rPr>
        <w:t>berá asegurar que los prestadores de servicios de salud, los gestores farmacéuticos, distribuidores de equipos médicos y demás actores obligados del Sistema General de Seguridad Social en Salud implementen procesos oportunos de adquisición, almacenamiento, dispensación y seguimiento, conforme a estándares de calidad, gestión del riesgo y trazabilidad.</w:t>
      </w:r>
    </w:p>
    <w:p w14:paraId="40F1CFE8" w14:textId="0B24AF69"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1. </w:t>
      </w:r>
      <w:r w:rsidRPr="00B8597F">
        <w:rPr>
          <w:rFonts w:ascii="Arial" w:eastAsia="Arial" w:hAnsi="Arial" w:cs="Arial"/>
          <w:lang w:eastAsia="es-CO"/>
        </w:rPr>
        <w:t>Se otorgará prioridad especial a la provisión de tecnologías, insumos vitales y dispositivos necesarios para la continuidad terapéutica de los usuarios con enfermedades crónicas o progresivas, con el fin de prevenir interrupciones en su tratamiento y garantizar la adecuada protección del derecho fundamental a la salud visual y ocular.</w:t>
      </w:r>
    </w:p>
    <w:p w14:paraId="00E52AEC"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2. </w:t>
      </w:r>
      <w:r w:rsidRPr="00B8597F">
        <w:rPr>
          <w:rFonts w:ascii="Arial" w:eastAsia="Arial" w:hAnsi="Arial" w:cs="Arial"/>
          <w:lang w:eastAsia="es-CO"/>
        </w:rPr>
        <w:t>Para dar cumplimiento a lo dispuesto, las Entidades Promotoras de Salud o quien haga sus veces, las Entidades de los Regímenes Especial y de Excepción, y las Administradoras de Riesgos Laborales implementarán procedimientos que eviten la interrupción de la dispensación de medicamentos de uso permanente en salud visual y ocular, sin exigir trámites adicionales al paciente que ya reposen en la historia clínica electrónica.</w:t>
      </w:r>
    </w:p>
    <w:p w14:paraId="72AC4B1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3. </w:t>
      </w:r>
      <w:r w:rsidRPr="00B8597F">
        <w:rPr>
          <w:rFonts w:ascii="Arial" w:eastAsia="Arial" w:hAnsi="Arial" w:cs="Arial"/>
          <w:lang w:eastAsia="es-CO"/>
        </w:rPr>
        <w:t>El Gobierno Nacional, a través de la reglamentación de la interoperabilidad de la historia clínica electrónica, asegurará que la orden médica y/o autorización de servicios sea la única fuente de información necesaria para la dispensación de medicamentos y dispositivos, garantizando la trazabilidad y el control de los mismos.</w:t>
      </w:r>
    </w:p>
    <w:p w14:paraId="56CA9E42"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28. Enfoque diferencial y poblaciones priorizadas en el Sistema Nacional para la Protección Integral de la Salud Visual y Ocular. </w:t>
      </w:r>
      <w:r w:rsidRPr="00B8597F">
        <w:rPr>
          <w:rFonts w:ascii="Arial" w:eastAsia="Arial" w:hAnsi="Arial" w:cs="Arial"/>
          <w:lang w:eastAsia="es-CO"/>
        </w:rPr>
        <w:t>La implementación de la presente ley y el funcionamiento del Sistema Nacional para la Protección Integral de la Salud Visual y Ocular deberán incorporar de manera transversal enfoques diferencial, territorial, de discapacidad, étnico y de curso de vida, garantizando la priorización de:</w:t>
      </w:r>
    </w:p>
    <w:p w14:paraId="36261F9F"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a. Niñas, niños y adolescentes.</w:t>
      </w:r>
    </w:p>
    <w:p w14:paraId="6F97E1D6"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b. Personas mayores.</w:t>
      </w:r>
    </w:p>
    <w:p w14:paraId="30BFCF18"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c. Personas con discapacidad visual o en riesgo de adquirirla.</w:t>
      </w:r>
    </w:p>
    <w:p w14:paraId="4978AB6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d. Poblaciones rurales y dispersas.</w:t>
      </w:r>
    </w:p>
    <w:p w14:paraId="35546689" w14:textId="48FD2089"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 xml:space="preserve">e. Pueblos   </w:t>
      </w:r>
      <w:r w:rsidRPr="00B8597F">
        <w:rPr>
          <w:rFonts w:ascii="Arial" w:eastAsia="Arial" w:hAnsi="Arial" w:cs="Arial"/>
          <w:lang w:eastAsia="es-CO"/>
        </w:rPr>
        <w:tab/>
        <w:t>indígenas, comunidades negras,</w:t>
      </w:r>
      <w:r w:rsidR="0054501C">
        <w:rPr>
          <w:rFonts w:ascii="Arial" w:eastAsia="Arial" w:hAnsi="Arial" w:cs="Arial"/>
          <w:lang w:eastAsia="es-CO"/>
        </w:rPr>
        <w:t xml:space="preserve"> </w:t>
      </w:r>
      <w:r w:rsidRPr="00B8597F">
        <w:rPr>
          <w:rFonts w:ascii="Arial" w:eastAsia="Arial" w:hAnsi="Arial" w:cs="Arial"/>
          <w:lang w:eastAsia="es-CO"/>
        </w:rPr>
        <w:t>afrocolombianas,</w:t>
      </w:r>
      <w:r w:rsidR="0054501C">
        <w:rPr>
          <w:rFonts w:ascii="Arial" w:eastAsia="Arial" w:hAnsi="Arial" w:cs="Arial"/>
          <w:lang w:eastAsia="es-CO"/>
        </w:rPr>
        <w:t xml:space="preserve"> </w:t>
      </w:r>
      <w:r w:rsidRPr="00B8597F">
        <w:rPr>
          <w:rFonts w:ascii="Arial" w:eastAsia="Arial" w:hAnsi="Arial" w:cs="Arial"/>
          <w:lang w:eastAsia="es-CO"/>
        </w:rPr>
        <w:t>raizales y palenqueras, comunidades Rrom y demás grupos étnicos.</w:t>
      </w:r>
    </w:p>
    <w:p w14:paraId="01EE60A1"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f. Poblaciones en situación de pobreza, vulnerabilidad socioeconómica, desplazamiento forzado, conflicto armado y otras situaciones de especial protección constitucional.</w:t>
      </w:r>
    </w:p>
    <w:p w14:paraId="30FD9F36"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Las entidades responsables deberán diseñar e implementar estrategias específicas para el acceso efectivo de estas poblaciones a la promoción, prevención, diagnóstico, tratamiento, rehabilitación y paliación en salud visual y ocular, ajustadas a sus particularidades culturales, lingüísticas, geográficas y socioeconómicas.</w:t>
      </w:r>
    </w:p>
    <w:p w14:paraId="0CD1A03B"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29. Incentivos y reconocimiento a buenas prácticas en salud visual y ocular. </w:t>
      </w:r>
      <w:r w:rsidRPr="00B8597F">
        <w:rPr>
          <w:rFonts w:ascii="Arial" w:eastAsia="Arial" w:hAnsi="Arial" w:cs="Arial"/>
          <w:lang w:eastAsia="es-CO"/>
        </w:rPr>
        <w:t xml:space="preserve">El Ministerio de Salud y Protección Social, en coordinación con las entidades territoriales, podrá establecer mecanismos de reconocimiento, incentivos no pecuniarios y estímulos a las entidades territoriales, aseguradoras, prestadores de servicios de salud, instituciones educativas y organizaciones sociales que demuestren resultados sobresalientes en la implementación de la </w:t>
      </w:r>
      <w:r w:rsidRPr="00B8597F">
        <w:rPr>
          <w:rFonts w:ascii="Arial" w:eastAsia="Arial" w:hAnsi="Arial" w:cs="Arial"/>
          <w:lang w:eastAsia="es-CO"/>
        </w:rPr>
        <w:lastRenderedPageBreak/>
        <w:t>Política Nacional en Salud Visual y Ocular, en la reducción de la discapacidad visual evitable y en la mejora de la calidad de la atención.</w:t>
      </w:r>
    </w:p>
    <w:p w14:paraId="60FCB818"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Parágrafo. </w:t>
      </w:r>
      <w:r w:rsidRPr="00B8597F">
        <w:rPr>
          <w:rFonts w:ascii="Arial" w:eastAsia="Arial" w:hAnsi="Arial" w:cs="Arial"/>
          <w:lang w:eastAsia="es-CO"/>
        </w:rPr>
        <w:t>Los criterios para el otorgamiento de reconocimientos e incentivos deberán ser objetivos, públicos, verificables y estar asociados al cumplimiento de metas e indicadores previamente definidos en el marco del Sistema Nacional para la Protección Integral de la Salud Visual y Ocular.</w:t>
      </w:r>
    </w:p>
    <w:p w14:paraId="67A48F92"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30. Cooperación internacional y alianzas estratégicas. </w:t>
      </w:r>
      <w:r w:rsidRPr="00B8597F">
        <w:rPr>
          <w:rFonts w:ascii="Arial" w:eastAsia="Arial" w:hAnsi="Arial" w:cs="Arial"/>
          <w:lang w:eastAsia="es-CO"/>
        </w:rPr>
        <w:t>El Gobierno Nacional, a través del Ministerio de Salud y Protección Social y del Ministerio de Relaciones Exteriores, podrá promover y suscribir mecanismos de cooperación internacional, técnica y financiera, con organismos multilaterales, agencias de cooperación, instituciones académicas y científicas y otros Estados, orientados al intercambio de experiencias, tecnologías, buenas prácticas y recursos para el fortalecimiento del Sistema Nacional para la Protección Integral de la Salud Visual y Ocular.</w:t>
      </w:r>
    </w:p>
    <w:p w14:paraId="2F24BDD7"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lang w:eastAsia="es-CO"/>
        </w:rPr>
        <w:t>Las entidades territoriales podrán, en el marco de sus competencias y de la normatividad vigente, establecer alianzas y acuerdos de cooperación con entidades nacionales e internacionales para el desarrollo de proyectos específicos en salud visual y ocular, priorizando la reducción de brechas territoriales y la atención de poblaciones vulnerables.</w:t>
      </w:r>
    </w:p>
    <w:p w14:paraId="2F93A6DD"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31. Financiación. </w:t>
      </w:r>
      <w:r w:rsidRPr="00B8597F">
        <w:rPr>
          <w:rFonts w:ascii="Arial" w:eastAsia="Arial" w:hAnsi="Arial" w:cs="Arial"/>
          <w:lang w:eastAsia="es-CO"/>
        </w:rPr>
        <w:t>El Gobierno nacional garantizará la disponibilidad, suficiencia y sostenibilidad de los recursos necesarios para la implementación, ejecución, seguimiento de la presente ley, de conformidad con el Marco Fiscal de Mediano Plazo y el Marco de Gasto de Mediano Plazo del sector salud. Para tal efecto, podrá destinar apropiaciones específicas en el Presupuesto General de la Nación o realizar las modificaciones presupuestales a que haya lugar, con el fin de garantizar la efectiva operatividad del Sistema Nacional para la Protección Integral de la Salud Visual y Ocular.</w:t>
      </w:r>
    </w:p>
    <w:p w14:paraId="4E754A3F"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32. Reglamentación. </w:t>
      </w:r>
      <w:r w:rsidRPr="00B8597F">
        <w:rPr>
          <w:rFonts w:ascii="Arial" w:eastAsia="Arial" w:hAnsi="Arial" w:cs="Arial"/>
          <w:lang w:eastAsia="es-CO"/>
        </w:rPr>
        <w:t>El Gobierno Nacional deberá reglamentar la presente ley dentro de un plazo máximo de doce (12) meses, contados a partir de su promulgación, garantizando la armonización normativa y presupuestal necesarios para su adecuada implementación, así como la definición de los procedimientos, responsabilidades, estándares técnicos y criterios operativos requeridos para la ejecución integral y progresiva de las disposiciones aquí establecidas.</w:t>
      </w:r>
    </w:p>
    <w:p w14:paraId="04AE2430" w14:textId="77777777" w:rsidR="00B8597F" w:rsidRPr="00B8597F" w:rsidRDefault="00B8597F" w:rsidP="00B8597F">
      <w:pPr>
        <w:spacing w:before="240" w:after="240" w:line="240" w:lineRule="auto"/>
        <w:jc w:val="both"/>
        <w:rPr>
          <w:rFonts w:ascii="Arial" w:eastAsia="Arial" w:hAnsi="Arial" w:cs="Arial"/>
          <w:lang w:eastAsia="es-CO"/>
        </w:rPr>
      </w:pPr>
      <w:r w:rsidRPr="00B8597F">
        <w:rPr>
          <w:rFonts w:ascii="Arial" w:eastAsia="Arial" w:hAnsi="Arial" w:cs="Arial"/>
          <w:b/>
          <w:bCs/>
          <w:lang w:eastAsia="es-CO"/>
        </w:rPr>
        <w:t xml:space="preserve">Artículo 33. Vigencias. </w:t>
      </w:r>
      <w:r w:rsidRPr="00B8597F">
        <w:rPr>
          <w:rFonts w:ascii="Arial" w:eastAsia="Arial" w:hAnsi="Arial" w:cs="Arial"/>
          <w:lang w:eastAsia="es-CO"/>
        </w:rPr>
        <w:t>La presente ley rige a partir de su promulgación y deroga todas las disposiciones que le sean contrarias.</w:t>
      </w:r>
    </w:p>
    <w:p w14:paraId="27AEFBFD" w14:textId="77777777" w:rsidR="00B8597F" w:rsidRPr="00B8597F" w:rsidRDefault="00B8597F" w:rsidP="00B8597F">
      <w:pPr>
        <w:spacing w:before="240" w:after="240" w:line="240" w:lineRule="auto"/>
        <w:jc w:val="both"/>
        <w:rPr>
          <w:rFonts w:ascii="Arial" w:eastAsia="Arial" w:hAnsi="Arial" w:cs="Arial"/>
          <w:b/>
          <w:bCs/>
          <w:lang w:eastAsia="es-CO"/>
        </w:rPr>
      </w:pPr>
      <w:r w:rsidRPr="00B8597F">
        <w:rPr>
          <w:rFonts w:ascii="Arial" w:eastAsia="Arial" w:hAnsi="Arial" w:cs="Arial"/>
          <w:b/>
          <w:bCs/>
          <w:lang w:eastAsia="es-CO"/>
        </w:rPr>
        <w:t xml:space="preserve"> </w:t>
      </w:r>
    </w:p>
    <w:p w14:paraId="6C0CB5F0" w14:textId="77777777" w:rsidR="00EA764E" w:rsidRPr="00EA764E" w:rsidRDefault="00EA764E" w:rsidP="003206AC">
      <w:pPr>
        <w:pStyle w:val="Sinespaciado"/>
        <w:rPr>
          <w:rFonts w:eastAsia="Arial Narrow" w:cs="Arial"/>
        </w:rPr>
      </w:pPr>
    </w:p>
    <w:p w14:paraId="0B135922" w14:textId="77777777" w:rsidR="00EA764E" w:rsidRPr="00EA764E" w:rsidRDefault="00EA764E" w:rsidP="00EA764E">
      <w:pPr>
        <w:spacing w:after="0" w:line="240" w:lineRule="auto"/>
        <w:jc w:val="both"/>
        <w:rPr>
          <w:rFonts w:ascii="Arial" w:eastAsia="Arial" w:hAnsi="Arial" w:cs="Arial"/>
          <w:b/>
          <w:color w:val="000000"/>
        </w:rPr>
      </w:pPr>
    </w:p>
    <w:p w14:paraId="004F361C" w14:textId="6C35C7A0" w:rsidR="00EA764E" w:rsidRPr="00EA764E" w:rsidRDefault="00EA764E" w:rsidP="00EA764E">
      <w:pPr>
        <w:spacing w:after="0" w:line="240" w:lineRule="auto"/>
        <w:jc w:val="both"/>
        <w:rPr>
          <w:rFonts w:ascii="Arial" w:hAnsi="Arial" w:cs="Arial"/>
          <w:b/>
          <w:bCs/>
        </w:rPr>
      </w:pPr>
      <w:r w:rsidRPr="00EA764E">
        <w:rPr>
          <w:rFonts w:ascii="Arial" w:hAnsi="Arial" w:cs="Arial"/>
          <w:b/>
          <w:bCs/>
        </w:rPr>
        <w:t>Camilo Esteban Ávila Morales</w:t>
      </w:r>
      <w:r w:rsidRPr="00EA764E">
        <w:rPr>
          <w:rFonts w:ascii="Arial" w:hAnsi="Arial" w:cs="Arial"/>
          <w:b/>
          <w:bCs/>
        </w:rPr>
        <w:tab/>
      </w:r>
      <w:r w:rsidRPr="00EA764E">
        <w:rPr>
          <w:rFonts w:ascii="Arial" w:hAnsi="Arial" w:cs="Arial"/>
          <w:b/>
          <w:bCs/>
        </w:rPr>
        <w:tab/>
      </w:r>
      <w:r w:rsidRPr="00EA764E">
        <w:rPr>
          <w:rFonts w:ascii="Arial" w:hAnsi="Arial" w:cs="Arial"/>
          <w:b/>
          <w:bCs/>
        </w:rPr>
        <w:tab/>
      </w:r>
      <w:r w:rsidR="00E8354F">
        <w:rPr>
          <w:rFonts w:ascii="Arial" w:hAnsi="Arial" w:cs="Arial"/>
          <w:b/>
          <w:bCs/>
        </w:rPr>
        <w:tab/>
      </w:r>
      <w:r w:rsidR="00B8597F">
        <w:rPr>
          <w:rFonts w:ascii="Arial" w:hAnsi="Arial" w:cs="Arial"/>
          <w:b/>
          <w:bCs/>
        </w:rPr>
        <w:t>Hugo Alfonso Archila Suárez</w:t>
      </w:r>
      <w:r w:rsidR="005E2128">
        <w:rPr>
          <w:rFonts w:ascii="Arial" w:hAnsi="Arial" w:cs="Arial"/>
          <w:b/>
          <w:bCs/>
        </w:rPr>
        <w:t xml:space="preserve"> </w:t>
      </w:r>
    </w:p>
    <w:p w14:paraId="79DB91F5" w14:textId="767A4973" w:rsidR="00EA764E" w:rsidRPr="00EA764E" w:rsidRDefault="00EA764E" w:rsidP="00EA764E">
      <w:pPr>
        <w:spacing w:after="0" w:line="240" w:lineRule="auto"/>
        <w:jc w:val="both"/>
        <w:rPr>
          <w:rFonts w:ascii="Arial" w:hAnsi="Arial" w:cs="Arial"/>
        </w:rPr>
      </w:pPr>
      <w:r w:rsidRPr="00EA764E">
        <w:rPr>
          <w:rFonts w:ascii="Arial" w:hAnsi="Arial" w:cs="Arial"/>
        </w:rPr>
        <w:t>Presidente</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r w:rsidR="006C2368">
        <w:rPr>
          <w:rFonts w:ascii="Arial" w:hAnsi="Arial" w:cs="Arial"/>
        </w:rPr>
        <w:t xml:space="preserve">            </w:t>
      </w:r>
      <w:r w:rsidR="00E8354F">
        <w:rPr>
          <w:rFonts w:ascii="Arial" w:hAnsi="Arial" w:cs="Arial"/>
        </w:rPr>
        <w:tab/>
      </w:r>
      <w:r w:rsidR="00B8597F">
        <w:rPr>
          <w:rFonts w:ascii="Arial" w:hAnsi="Arial" w:cs="Arial"/>
        </w:rPr>
        <w:t>Coordinador p</w:t>
      </w:r>
      <w:r w:rsidRPr="00EA764E">
        <w:rPr>
          <w:rFonts w:ascii="Arial" w:hAnsi="Arial" w:cs="Arial"/>
        </w:rPr>
        <w:t>onente</w:t>
      </w:r>
      <w:r w:rsidRPr="00EA764E">
        <w:rPr>
          <w:rFonts w:ascii="Arial" w:hAnsi="Arial" w:cs="Arial"/>
        </w:rPr>
        <w:tab/>
        <w:t xml:space="preserve">                                   </w:t>
      </w:r>
      <w:r w:rsidRPr="00EA764E">
        <w:rPr>
          <w:rFonts w:ascii="Arial" w:hAnsi="Arial" w:cs="Arial"/>
        </w:rPr>
        <w:tab/>
      </w:r>
      <w:r w:rsidRPr="00EA764E">
        <w:rPr>
          <w:rFonts w:ascii="Arial" w:hAnsi="Arial" w:cs="Arial"/>
        </w:rPr>
        <w:tab/>
      </w:r>
      <w:r w:rsidRPr="00EA764E">
        <w:rPr>
          <w:rFonts w:ascii="Arial" w:hAnsi="Arial" w:cs="Arial"/>
        </w:rPr>
        <w:tab/>
      </w:r>
      <w:r w:rsidRPr="00EA764E">
        <w:rPr>
          <w:rFonts w:ascii="Arial" w:hAnsi="Arial" w:cs="Arial"/>
        </w:rPr>
        <w:tab/>
      </w:r>
    </w:p>
    <w:p w14:paraId="777B5046" w14:textId="77777777" w:rsidR="00EA764E" w:rsidRPr="00EA764E" w:rsidRDefault="00EA764E" w:rsidP="00EA764E">
      <w:pPr>
        <w:spacing w:after="0" w:line="240" w:lineRule="auto"/>
        <w:jc w:val="both"/>
        <w:rPr>
          <w:rFonts w:ascii="Arial" w:hAnsi="Arial" w:cs="Arial"/>
          <w:b/>
          <w:bCs/>
        </w:rPr>
      </w:pPr>
    </w:p>
    <w:p w14:paraId="50C387C9" w14:textId="77777777" w:rsidR="00EA764E" w:rsidRPr="00EA764E" w:rsidRDefault="00EA764E" w:rsidP="00EA764E">
      <w:pPr>
        <w:spacing w:after="0" w:line="240" w:lineRule="auto"/>
        <w:jc w:val="both"/>
        <w:rPr>
          <w:rFonts w:ascii="Arial" w:hAnsi="Arial" w:cs="Arial"/>
          <w:b/>
          <w:bCs/>
        </w:rPr>
      </w:pPr>
    </w:p>
    <w:p w14:paraId="5B5BF777" w14:textId="77777777" w:rsidR="00EA764E" w:rsidRPr="00EA764E" w:rsidRDefault="00EA764E" w:rsidP="00EA764E">
      <w:pPr>
        <w:spacing w:after="0" w:line="240" w:lineRule="auto"/>
        <w:jc w:val="both"/>
        <w:rPr>
          <w:rFonts w:ascii="Arial" w:hAnsi="Arial" w:cs="Arial"/>
          <w:b/>
          <w:bCs/>
        </w:rPr>
      </w:pPr>
    </w:p>
    <w:p w14:paraId="4C1D3376" w14:textId="7606FD87" w:rsidR="00EA764E" w:rsidRPr="00EA764E" w:rsidRDefault="005E2128" w:rsidP="00EA764E">
      <w:pPr>
        <w:spacing w:after="0" w:line="240" w:lineRule="auto"/>
        <w:jc w:val="center"/>
        <w:rPr>
          <w:rFonts w:ascii="Arial" w:hAnsi="Arial" w:cs="Arial"/>
          <w:b/>
          <w:bCs/>
        </w:rPr>
      </w:pPr>
      <w:r>
        <w:rPr>
          <w:rFonts w:ascii="Arial" w:hAnsi="Arial" w:cs="Arial"/>
          <w:b/>
          <w:bCs/>
        </w:rPr>
        <w:t>Ricardo Alfonso Albornoz Barreto</w:t>
      </w:r>
    </w:p>
    <w:p w14:paraId="794621BE" w14:textId="49BD067B" w:rsidR="004D631D" w:rsidRPr="00EA764E" w:rsidRDefault="00EA764E" w:rsidP="00EA764E">
      <w:pPr>
        <w:spacing w:after="0" w:line="240" w:lineRule="auto"/>
        <w:jc w:val="center"/>
        <w:rPr>
          <w:rFonts w:ascii="Arial" w:eastAsia="Arial" w:hAnsi="Arial" w:cs="Arial"/>
          <w:color w:val="000000"/>
        </w:rPr>
      </w:pPr>
      <w:r w:rsidRPr="00EA764E">
        <w:rPr>
          <w:rFonts w:ascii="Arial" w:hAnsi="Arial" w:cs="Arial"/>
        </w:rPr>
        <w:t>Secretario</w:t>
      </w:r>
    </w:p>
    <w:sectPr w:rsidR="004D631D" w:rsidRPr="00EA764E" w:rsidSect="00EC0D32">
      <w:headerReference w:type="default" r:id="rId9"/>
      <w:footerReference w:type="default" r:id="rId10"/>
      <w:type w:val="continuous"/>
      <w:pgSz w:w="12240" w:h="15840" w:code="1"/>
      <w:pgMar w:top="1701" w:right="1021" w:bottom="567" w:left="1701" w:header="73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6380B" w14:textId="77777777" w:rsidR="00F320FC" w:rsidRDefault="00F320FC">
      <w:pPr>
        <w:spacing w:after="0" w:line="240" w:lineRule="auto"/>
      </w:pPr>
      <w:r>
        <w:separator/>
      </w:r>
    </w:p>
  </w:endnote>
  <w:endnote w:type="continuationSeparator" w:id="0">
    <w:p w14:paraId="24A626EF" w14:textId="77777777" w:rsidR="00F320FC" w:rsidRDefault="00F3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Pinyon Script">
    <w:altName w:val="Calibri"/>
    <w:charset w:val="00"/>
    <w:family w:val="auto"/>
    <w:pitch w:val="default"/>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D89B" w14:textId="50455F27" w:rsidR="0083265E" w:rsidRPr="008A36E1" w:rsidRDefault="0083265E">
    <w:pPr>
      <w:pStyle w:val="Piedepgina"/>
      <w:jc w:val="center"/>
      <w:rPr>
        <w:rFonts w:ascii="Arial" w:hAnsi="Arial" w:cs="Arial"/>
        <w:color w:val="4F81BD" w:themeColor="accent1"/>
        <w:sz w:val="16"/>
        <w:szCs w:val="16"/>
      </w:rPr>
    </w:pPr>
    <w:r>
      <w:rPr>
        <w:rFonts w:ascii="Arial" w:hAnsi="Arial" w:cs="Arial"/>
        <w:color w:val="4F81BD" w:themeColor="accent1"/>
        <w:sz w:val="16"/>
        <w:szCs w:val="16"/>
        <w:lang w:val="es-ES"/>
      </w:rPr>
      <w:t xml:space="preserve">Texto definitivo del proyecto de ley </w:t>
    </w:r>
    <w:r w:rsidR="00B8597F">
      <w:rPr>
        <w:rFonts w:ascii="Arial" w:hAnsi="Arial" w:cs="Arial"/>
        <w:color w:val="4F81BD" w:themeColor="accent1"/>
        <w:sz w:val="16"/>
        <w:szCs w:val="16"/>
        <w:lang w:val="es-ES"/>
      </w:rPr>
      <w:t>493</w:t>
    </w:r>
    <w:r>
      <w:rPr>
        <w:rFonts w:ascii="Arial" w:hAnsi="Arial" w:cs="Arial"/>
        <w:color w:val="4F81BD" w:themeColor="accent1"/>
        <w:sz w:val="16"/>
        <w:szCs w:val="16"/>
        <w:lang w:val="es-ES"/>
      </w:rPr>
      <w:t xml:space="preserve"> de 202</w:t>
    </w:r>
    <w:r w:rsidR="0093363E">
      <w:rPr>
        <w:rFonts w:ascii="Arial" w:hAnsi="Arial" w:cs="Arial"/>
        <w:color w:val="4F81BD" w:themeColor="accent1"/>
        <w:sz w:val="16"/>
        <w:szCs w:val="16"/>
        <w:lang w:val="es-ES"/>
      </w:rPr>
      <w:t>5</w:t>
    </w:r>
    <w:r>
      <w:rPr>
        <w:rFonts w:ascii="Arial" w:hAnsi="Arial" w:cs="Arial"/>
        <w:color w:val="4F81BD" w:themeColor="accent1"/>
        <w:sz w:val="16"/>
        <w:szCs w:val="16"/>
        <w:lang w:val="es-ES"/>
      </w:rPr>
      <w:t xml:space="preserve"> aprobado en Comisión - </w:t>
    </w:r>
    <w:r w:rsidRPr="008A36E1">
      <w:rPr>
        <w:rFonts w:ascii="Arial" w:hAnsi="Arial" w:cs="Arial"/>
        <w:color w:val="4F81BD" w:themeColor="accent1"/>
        <w:sz w:val="16"/>
        <w:szCs w:val="16"/>
        <w:lang w:val="es-ES"/>
      </w:rPr>
      <w:t xml:space="preserve">Página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PAGE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5</w:t>
    </w:r>
    <w:r w:rsidRPr="008A36E1">
      <w:rPr>
        <w:rFonts w:ascii="Arial" w:hAnsi="Arial" w:cs="Arial"/>
        <w:color w:val="4F81BD" w:themeColor="accent1"/>
        <w:sz w:val="16"/>
        <w:szCs w:val="16"/>
      </w:rPr>
      <w:fldChar w:fldCharType="end"/>
    </w:r>
    <w:r w:rsidRPr="008A36E1">
      <w:rPr>
        <w:rFonts w:ascii="Arial" w:hAnsi="Arial" w:cs="Arial"/>
        <w:color w:val="4F81BD" w:themeColor="accent1"/>
        <w:sz w:val="16"/>
        <w:szCs w:val="16"/>
        <w:lang w:val="es-ES"/>
      </w:rPr>
      <w:t xml:space="preserve"> de </w:t>
    </w:r>
    <w:r w:rsidRPr="008A36E1">
      <w:rPr>
        <w:rFonts w:ascii="Arial" w:hAnsi="Arial" w:cs="Arial"/>
        <w:color w:val="4F81BD" w:themeColor="accent1"/>
        <w:sz w:val="16"/>
        <w:szCs w:val="16"/>
      </w:rPr>
      <w:fldChar w:fldCharType="begin"/>
    </w:r>
    <w:r w:rsidRPr="008A36E1">
      <w:rPr>
        <w:rFonts w:ascii="Arial" w:hAnsi="Arial" w:cs="Arial"/>
        <w:color w:val="4F81BD" w:themeColor="accent1"/>
        <w:sz w:val="16"/>
        <w:szCs w:val="16"/>
      </w:rPr>
      <w:instrText>NUMPAGES  \* Arabic  \* MERGEFORMAT</w:instrText>
    </w:r>
    <w:r w:rsidRPr="008A36E1">
      <w:rPr>
        <w:rFonts w:ascii="Arial" w:hAnsi="Arial" w:cs="Arial"/>
        <w:color w:val="4F81BD" w:themeColor="accent1"/>
        <w:sz w:val="16"/>
        <w:szCs w:val="16"/>
      </w:rPr>
      <w:fldChar w:fldCharType="separate"/>
    </w:r>
    <w:r w:rsidR="004F3AF6" w:rsidRPr="004F3AF6">
      <w:rPr>
        <w:rFonts w:ascii="Arial" w:hAnsi="Arial" w:cs="Arial"/>
        <w:noProof/>
        <w:color w:val="4F81BD" w:themeColor="accent1"/>
        <w:sz w:val="16"/>
        <w:szCs w:val="16"/>
        <w:lang w:val="es-ES"/>
      </w:rPr>
      <w:t>6</w:t>
    </w:r>
    <w:r w:rsidRPr="008A36E1">
      <w:rPr>
        <w:rFonts w:ascii="Arial" w:hAnsi="Arial" w:cs="Arial"/>
        <w:color w:val="4F81BD" w:themeColor="accent1"/>
        <w:sz w:val="16"/>
        <w:szCs w:val="16"/>
      </w:rPr>
      <w:fldChar w:fldCharType="end"/>
    </w:r>
  </w:p>
  <w:p w14:paraId="43AAA852"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35B54" w14:textId="77777777" w:rsidR="00F320FC" w:rsidRDefault="00F320FC">
      <w:pPr>
        <w:spacing w:after="0" w:line="240" w:lineRule="auto"/>
      </w:pPr>
      <w:r>
        <w:separator/>
      </w:r>
    </w:p>
  </w:footnote>
  <w:footnote w:type="continuationSeparator" w:id="0">
    <w:p w14:paraId="7EE4501D" w14:textId="77777777" w:rsidR="00F320FC" w:rsidRDefault="00F32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E2B" w14:textId="77777777" w:rsidR="0083265E" w:rsidRDefault="0083265E">
    <w:pPr>
      <w:pBdr>
        <w:top w:val="nil"/>
        <w:left w:val="nil"/>
        <w:bottom w:val="nil"/>
        <w:right w:val="nil"/>
        <w:between w:val="nil"/>
      </w:pBdr>
      <w:tabs>
        <w:tab w:val="center" w:pos="4419"/>
        <w:tab w:val="right" w:pos="8838"/>
      </w:tabs>
      <w:spacing w:after="0" w:line="240" w:lineRule="auto"/>
      <w:rPr>
        <w:color w:val="000000"/>
      </w:rPr>
    </w:pPr>
    <w:r>
      <w:rPr>
        <w:noProof/>
        <w:lang w:eastAsia="es-CO"/>
      </w:rPr>
      <w:drawing>
        <wp:anchor distT="0" distB="0" distL="114300" distR="114300" simplePos="0" relativeHeight="251658240" behindDoc="0" locked="0" layoutInCell="1" hidden="0" allowOverlap="1" wp14:anchorId="09677496" wp14:editId="60F05676">
          <wp:simplePos x="0" y="0"/>
          <wp:positionH relativeFrom="column">
            <wp:posOffset>1980565</wp:posOffset>
          </wp:positionH>
          <wp:positionV relativeFrom="paragraph">
            <wp:posOffset>-269646</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195C"/>
    <w:multiLevelType w:val="hybridMultilevel"/>
    <w:tmpl w:val="0C8C93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784ECE"/>
    <w:multiLevelType w:val="hybridMultilevel"/>
    <w:tmpl w:val="0BAE887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9F1687"/>
    <w:multiLevelType w:val="hybridMultilevel"/>
    <w:tmpl w:val="F8A6B5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A80072C"/>
    <w:multiLevelType w:val="multilevel"/>
    <w:tmpl w:val="8EE46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0F5F4C"/>
    <w:multiLevelType w:val="multilevel"/>
    <w:tmpl w:val="56DE1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18E1770"/>
    <w:multiLevelType w:val="hybridMultilevel"/>
    <w:tmpl w:val="39CE0550"/>
    <w:lvl w:ilvl="0" w:tplc="73609C0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F83E89"/>
    <w:multiLevelType w:val="hybridMultilevel"/>
    <w:tmpl w:val="C14E88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6B421F"/>
    <w:multiLevelType w:val="hybridMultilevel"/>
    <w:tmpl w:val="C0EC8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F9414D"/>
    <w:multiLevelType w:val="multilevel"/>
    <w:tmpl w:val="EA3223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9A97CDC"/>
    <w:multiLevelType w:val="hybridMultilevel"/>
    <w:tmpl w:val="CC6827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1462C7"/>
    <w:multiLevelType w:val="multilevel"/>
    <w:tmpl w:val="94B2E0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FB60936"/>
    <w:multiLevelType w:val="multilevel"/>
    <w:tmpl w:val="12CEC5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3F049AD"/>
    <w:multiLevelType w:val="multilevel"/>
    <w:tmpl w:val="814E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F935AB"/>
    <w:multiLevelType w:val="multilevel"/>
    <w:tmpl w:val="39CC9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C6D5655"/>
    <w:multiLevelType w:val="hybridMultilevel"/>
    <w:tmpl w:val="7A822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9B4BD9"/>
    <w:multiLevelType w:val="multilevel"/>
    <w:tmpl w:val="06E6F3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CC22E01"/>
    <w:multiLevelType w:val="hybridMultilevel"/>
    <w:tmpl w:val="27401A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4B21551"/>
    <w:multiLevelType w:val="multilevel"/>
    <w:tmpl w:val="0024C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A22404"/>
    <w:multiLevelType w:val="hybridMultilevel"/>
    <w:tmpl w:val="E9E486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BAB2AD8"/>
    <w:multiLevelType w:val="multilevel"/>
    <w:tmpl w:val="91F6320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1D929B1"/>
    <w:multiLevelType w:val="hybridMultilevel"/>
    <w:tmpl w:val="6722FB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E25D50"/>
    <w:multiLevelType w:val="hybridMultilevel"/>
    <w:tmpl w:val="3C6417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B562D3"/>
    <w:multiLevelType w:val="multilevel"/>
    <w:tmpl w:val="15FE28C2"/>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C1B127E"/>
    <w:multiLevelType w:val="multilevel"/>
    <w:tmpl w:val="2F820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DDA09D7"/>
    <w:multiLevelType w:val="hybridMultilevel"/>
    <w:tmpl w:val="7E60B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CD0FB7"/>
    <w:multiLevelType w:val="hybridMultilevel"/>
    <w:tmpl w:val="2FC885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1C552CF"/>
    <w:multiLevelType w:val="hybridMultilevel"/>
    <w:tmpl w:val="3BDCCA0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F934D0"/>
    <w:multiLevelType w:val="hybridMultilevel"/>
    <w:tmpl w:val="960A6F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59B05F1"/>
    <w:multiLevelType w:val="hybridMultilevel"/>
    <w:tmpl w:val="33B63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5F056BE"/>
    <w:multiLevelType w:val="multilevel"/>
    <w:tmpl w:val="FDDA5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8716802"/>
    <w:multiLevelType w:val="hybridMultilevel"/>
    <w:tmpl w:val="E6F000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576BBF"/>
    <w:multiLevelType w:val="hybridMultilevel"/>
    <w:tmpl w:val="762E1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C6E6BFB"/>
    <w:multiLevelType w:val="hybridMultilevel"/>
    <w:tmpl w:val="7C2620F6"/>
    <w:lvl w:ilvl="0" w:tplc="240A0019">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3"/>
  </w:num>
  <w:num w:numId="5">
    <w:abstractNumId w:val="12"/>
  </w:num>
  <w:num w:numId="6">
    <w:abstractNumId w:val="15"/>
  </w:num>
  <w:num w:numId="7">
    <w:abstractNumId w:val="3"/>
  </w:num>
  <w:num w:numId="8">
    <w:abstractNumId w:val="11"/>
  </w:num>
  <w:num w:numId="9">
    <w:abstractNumId w:val="29"/>
  </w:num>
  <w:num w:numId="10">
    <w:abstractNumId w:val="17"/>
  </w:num>
  <w:num w:numId="11">
    <w:abstractNumId w:val="5"/>
  </w:num>
  <w:num w:numId="12">
    <w:abstractNumId w:val="31"/>
  </w:num>
  <w:num w:numId="13">
    <w:abstractNumId w:val="25"/>
  </w:num>
  <w:num w:numId="14">
    <w:abstractNumId w:val="27"/>
  </w:num>
  <w:num w:numId="15">
    <w:abstractNumId w:val="21"/>
  </w:num>
  <w:num w:numId="16">
    <w:abstractNumId w:val="9"/>
  </w:num>
  <w:num w:numId="17">
    <w:abstractNumId w:val="18"/>
  </w:num>
  <w:num w:numId="18">
    <w:abstractNumId w:val="6"/>
  </w:num>
  <w:num w:numId="19">
    <w:abstractNumId w:val="16"/>
  </w:num>
  <w:num w:numId="20">
    <w:abstractNumId w:val="32"/>
  </w:num>
  <w:num w:numId="21">
    <w:abstractNumId w:val="26"/>
  </w:num>
  <w:num w:numId="22">
    <w:abstractNumId w:val="2"/>
  </w:num>
  <w:num w:numId="23">
    <w:abstractNumId w:val="20"/>
  </w:num>
  <w:num w:numId="24">
    <w:abstractNumId w:val="14"/>
  </w:num>
  <w:num w:numId="25">
    <w:abstractNumId w:val="30"/>
  </w:num>
  <w:num w:numId="26">
    <w:abstractNumId w:val="0"/>
  </w:num>
  <w:num w:numId="27">
    <w:abstractNumId w:val="24"/>
  </w:num>
  <w:num w:numId="28">
    <w:abstractNumId w:val="7"/>
  </w:num>
  <w:num w:numId="29">
    <w:abstractNumId w:val="28"/>
  </w:num>
  <w:num w:numId="30">
    <w:abstractNumId w:val="22"/>
  </w:num>
  <w:num w:numId="31">
    <w:abstractNumId w:val="1"/>
  </w:num>
  <w:num w:numId="32">
    <w:abstractNumId w:val="1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D93"/>
    <w:rsid w:val="00004D26"/>
    <w:rsid w:val="00006060"/>
    <w:rsid w:val="000218A0"/>
    <w:rsid w:val="00035A12"/>
    <w:rsid w:val="000D0321"/>
    <w:rsid w:val="000D4049"/>
    <w:rsid w:val="000D59FE"/>
    <w:rsid w:val="000F3249"/>
    <w:rsid w:val="000F3F41"/>
    <w:rsid w:val="00102AC9"/>
    <w:rsid w:val="00106067"/>
    <w:rsid w:val="001303C3"/>
    <w:rsid w:val="00134E23"/>
    <w:rsid w:val="00141A7E"/>
    <w:rsid w:val="00145732"/>
    <w:rsid w:val="00180E10"/>
    <w:rsid w:val="001826C3"/>
    <w:rsid w:val="00193E1C"/>
    <w:rsid w:val="001B1C28"/>
    <w:rsid w:val="001B6E7B"/>
    <w:rsid w:val="001C10AB"/>
    <w:rsid w:val="001C6DF6"/>
    <w:rsid w:val="001F7A2A"/>
    <w:rsid w:val="00217B1E"/>
    <w:rsid w:val="00227978"/>
    <w:rsid w:val="0023530D"/>
    <w:rsid w:val="00245986"/>
    <w:rsid w:val="00273C01"/>
    <w:rsid w:val="00290644"/>
    <w:rsid w:val="002A1BAF"/>
    <w:rsid w:val="002C21DA"/>
    <w:rsid w:val="002E6C1D"/>
    <w:rsid w:val="0030775B"/>
    <w:rsid w:val="003206AC"/>
    <w:rsid w:val="0032624C"/>
    <w:rsid w:val="00330383"/>
    <w:rsid w:val="00332B24"/>
    <w:rsid w:val="00344B4D"/>
    <w:rsid w:val="00374FCF"/>
    <w:rsid w:val="00375224"/>
    <w:rsid w:val="00392FE1"/>
    <w:rsid w:val="003B3F8A"/>
    <w:rsid w:val="003C3541"/>
    <w:rsid w:val="003C5D20"/>
    <w:rsid w:val="003D08DE"/>
    <w:rsid w:val="003D1BA0"/>
    <w:rsid w:val="00401837"/>
    <w:rsid w:val="00430816"/>
    <w:rsid w:val="00457018"/>
    <w:rsid w:val="00482B48"/>
    <w:rsid w:val="00484475"/>
    <w:rsid w:val="0049721E"/>
    <w:rsid w:val="004A083B"/>
    <w:rsid w:val="004B0124"/>
    <w:rsid w:val="004D631D"/>
    <w:rsid w:val="004E4789"/>
    <w:rsid w:val="004F0BC8"/>
    <w:rsid w:val="004F3AF6"/>
    <w:rsid w:val="004F563C"/>
    <w:rsid w:val="005004BD"/>
    <w:rsid w:val="00510F4A"/>
    <w:rsid w:val="00523CF6"/>
    <w:rsid w:val="00533F5F"/>
    <w:rsid w:val="0054501C"/>
    <w:rsid w:val="00545AF9"/>
    <w:rsid w:val="0057061D"/>
    <w:rsid w:val="005970FF"/>
    <w:rsid w:val="005B79B2"/>
    <w:rsid w:val="005C4915"/>
    <w:rsid w:val="005E2128"/>
    <w:rsid w:val="005E608A"/>
    <w:rsid w:val="006020FC"/>
    <w:rsid w:val="006124BA"/>
    <w:rsid w:val="00631A0A"/>
    <w:rsid w:val="00644D12"/>
    <w:rsid w:val="00645D96"/>
    <w:rsid w:val="0066551C"/>
    <w:rsid w:val="00671065"/>
    <w:rsid w:val="00676A02"/>
    <w:rsid w:val="006A6E00"/>
    <w:rsid w:val="006A6E52"/>
    <w:rsid w:val="006C2368"/>
    <w:rsid w:val="006D531F"/>
    <w:rsid w:val="006E594C"/>
    <w:rsid w:val="00703BB5"/>
    <w:rsid w:val="00722B7D"/>
    <w:rsid w:val="0073598D"/>
    <w:rsid w:val="00745DA4"/>
    <w:rsid w:val="00751A35"/>
    <w:rsid w:val="00757DEE"/>
    <w:rsid w:val="00767847"/>
    <w:rsid w:val="00780935"/>
    <w:rsid w:val="00793F4D"/>
    <w:rsid w:val="007D2959"/>
    <w:rsid w:val="007D2F62"/>
    <w:rsid w:val="007D3C92"/>
    <w:rsid w:val="007F0D11"/>
    <w:rsid w:val="008010C4"/>
    <w:rsid w:val="0080316C"/>
    <w:rsid w:val="0083265E"/>
    <w:rsid w:val="00856BE4"/>
    <w:rsid w:val="008571E9"/>
    <w:rsid w:val="008609ED"/>
    <w:rsid w:val="00874E4E"/>
    <w:rsid w:val="008A36E1"/>
    <w:rsid w:val="008A4907"/>
    <w:rsid w:val="008A4A9B"/>
    <w:rsid w:val="008C5481"/>
    <w:rsid w:val="008E2412"/>
    <w:rsid w:val="008E689B"/>
    <w:rsid w:val="008F518D"/>
    <w:rsid w:val="00900D93"/>
    <w:rsid w:val="00931B69"/>
    <w:rsid w:val="0093363E"/>
    <w:rsid w:val="00980D46"/>
    <w:rsid w:val="00984A08"/>
    <w:rsid w:val="009A5477"/>
    <w:rsid w:val="009B5502"/>
    <w:rsid w:val="009C516C"/>
    <w:rsid w:val="009D1384"/>
    <w:rsid w:val="009E1B8B"/>
    <w:rsid w:val="009E3F42"/>
    <w:rsid w:val="009F1C08"/>
    <w:rsid w:val="00A10DC4"/>
    <w:rsid w:val="00A16412"/>
    <w:rsid w:val="00A260C7"/>
    <w:rsid w:val="00A26C81"/>
    <w:rsid w:val="00A27D65"/>
    <w:rsid w:val="00A549FD"/>
    <w:rsid w:val="00A5673E"/>
    <w:rsid w:val="00A63FE4"/>
    <w:rsid w:val="00A776DC"/>
    <w:rsid w:val="00A819AF"/>
    <w:rsid w:val="00AA5167"/>
    <w:rsid w:val="00AC09C4"/>
    <w:rsid w:val="00AC2952"/>
    <w:rsid w:val="00AF4493"/>
    <w:rsid w:val="00AF47C1"/>
    <w:rsid w:val="00B31264"/>
    <w:rsid w:val="00B4204B"/>
    <w:rsid w:val="00B47081"/>
    <w:rsid w:val="00B51276"/>
    <w:rsid w:val="00B57363"/>
    <w:rsid w:val="00B61831"/>
    <w:rsid w:val="00B8597F"/>
    <w:rsid w:val="00B94C52"/>
    <w:rsid w:val="00BA2504"/>
    <w:rsid w:val="00BA6354"/>
    <w:rsid w:val="00BD3B0E"/>
    <w:rsid w:val="00BF038C"/>
    <w:rsid w:val="00BF32C7"/>
    <w:rsid w:val="00BF5872"/>
    <w:rsid w:val="00BF5DE4"/>
    <w:rsid w:val="00C04298"/>
    <w:rsid w:val="00C0783C"/>
    <w:rsid w:val="00C10A0F"/>
    <w:rsid w:val="00C24F1B"/>
    <w:rsid w:val="00C25E24"/>
    <w:rsid w:val="00C64587"/>
    <w:rsid w:val="00C733DF"/>
    <w:rsid w:val="00C85EE9"/>
    <w:rsid w:val="00CA7A0C"/>
    <w:rsid w:val="00D16302"/>
    <w:rsid w:val="00D40FD1"/>
    <w:rsid w:val="00D410FE"/>
    <w:rsid w:val="00D655E9"/>
    <w:rsid w:val="00D65C9D"/>
    <w:rsid w:val="00D7060A"/>
    <w:rsid w:val="00D7787B"/>
    <w:rsid w:val="00D84872"/>
    <w:rsid w:val="00DC1FF5"/>
    <w:rsid w:val="00DE0A3B"/>
    <w:rsid w:val="00DE0DE7"/>
    <w:rsid w:val="00E02D4A"/>
    <w:rsid w:val="00E2082D"/>
    <w:rsid w:val="00E27292"/>
    <w:rsid w:val="00E8354F"/>
    <w:rsid w:val="00EA764E"/>
    <w:rsid w:val="00EB3579"/>
    <w:rsid w:val="00EC0D32"/>
    <w:rsid w:val="00EC5690"/>
    <w:rsid w:val="00ED4980"/>
    <w:rsid w:val="00ED4C9D"/>
    <w:rsid w:val="00EF5B1B"/>
    <w:rsid w:val="00F04E2C"/>
    <w:rsid w:val="00F25E2F"/>
    <w:rsid w:val="00F320FC"/>
    <w:rsid w:val="00F42CA9"/>
    <w:rsid w:val="00F4360E"/>
    <w:rsid w:val="00F50D3E"/>
    <w:rsid w:val="00F637A9"/>
    <w:rsid w:val="00F66F0B"/>
    <w:rsid w:val="00F67633"/>
    <w:rsid w:val="00F718B4"/>
    <w:rsid w:val="00F94622"/>
    <w:rsid w:val="00FB2411"/>
    <w:rsid w:val="00FC1D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1D209"/>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4A"/>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
    <w:basedOn w:val="Normal"/>
    <w:link w:val="PrrafodelistaCar"/>
    <w:qFormat/>
    <w:rsid w:val="00981CC9"/>
    <w:pPr>
      <w:ind w:left="720"/>
      <w:contextualSpacing/>
    </w:pPr>
  </w:style>
  <w:style w:type="character" w:styleId="Refdenotaalpie">
    <w:name w:val="footnote reference"/>
    <w:basedOn w:val="Fuentedeprrafopredeter"/>
    <w:uiPriority w:val="99"/>
    <w:semiHidden/>
    <w:unhideWhenUsed/>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
    <w:link w:val="Prrafodelista"/>
    <w:uiPriority w:val="34"/>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8A36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Props1.xml><?xml version="1.0" encoding="utf-8"?>
<ds:datastoreItem xmlns:ds="http://schemas.openxmlformats.org/officeDocument/2006/customXml" ds:itemID="{298521D9-2B48-4F13-B5C6-031716DB25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6326</Words>
  <Characters>34797</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18</cp:revision>
  <cp:lastPrinted>2025-05-07T19:32:00Z</cp:lastPrinted>
  <dcterms:created xsi:type="dcterms:W3CDTF">2026-05-05T20:06:00Z</dcterms:created>
  <dcterms:modified xsi:type="dcterms:W3CDTF">2026-05-06T14:32:00Z</dcterms:modified>
</cp:coreProperties>
</file>