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1C40B0" w:rsidRDefault="001C40B0">
      <w:pPr>
        <w:jc w:val="center"/>
        <w:rPr>
          <w:rFonts w:ascii="Arial" w:eastAsia="Arial" w:hAnsi="Arial" w:cs="Arial"/>
          <w:b/>
          <w:bCs/>
          <w:sz w:val="22"/>
          <w:szCs w:val="22"/>
        </w:rPr>
      </w:pPr>
      <w:bookmarkStart w:id="0" w:name="_heading=h.6z4mltelz7pw" w:colFirst="0" w:colLast="0"/>
      <w:bookmarkEnd w:id="0"/>
    </w:p>
    <w:p w14:paraId="00000002" w14:textId="77777777" w:rsidR="001C40B0" w:rsidRDefault="00291712">
      <w:pPr>
        <w:jc w:val="center"/>
        <w:rPr>
          <w:rFonts w:ascii="Arial" w:eastAsia="Arial" w:hAnsi="Arial" w:cs="Arial"/>
          <w:b/>
          <w:bCs/>
          <w:sz w:val="22"/>
          <w:szCs w:val="22"/>
        </w:rPr>
      </w:pPr>
      <w:bookmarkStart w:id="1" w:name="_heading=h.r66vj5gnq983" w:colFirst="0" w:colLast="0"/>
      <w:bookmarkEnd w:id="1"/>
      <w:r>
        <w:rPr>
          <w:rFonts w:ascii="Arial" w:eastAsia="Arial" w:hAnsi="Arial" w:cs="Arial"/>
          <w:b/>
          <w:bCs/>
          <w:sz w:val="22"/>
          <w:szCs w:val="22"/>
        </w:rPr>
        <w:t>INFORME DE PONENCIA PARA SEGUNDO DEBATE EN CÁMARA AL PROYECTO DE LEY N.º 428 DE 2025 CÁMARA – 155 DE 2024 SENADO</w:t>
      </w:r>
    </w:p>
    <w:p w14:paraId="00000003" w14:textId="77777777" w:rsidR="001C40B0" w:rsidRDefault="001C40B0">
      <w:pPr>
        <w:jc w:val="both"/>
        <w:rPr>
          <w:rFonts w:ascii="Arial" w:eastAsia="Arial" w:hAnsi="Arial" w:cs="Arial"/>
          <w:sz w:val="22"/>
          <w:szCs w:val="22"/>
        </w:rPr>
      </w:pPr>
    </w:p>
    <w:p w14:paraId="00000004" w14:textId="77777777" w:rsidR="001C40B0" w:rsidRDefault="00291712">
      <w:pPr>
        <w:jc w:val="center"/>
        <w:rPr>
          <w:rFonts w:ascii="Arial" w:eastAsia="Arial" w:hAnsi="Arial" w:cs="Arial"/>
          <w:b/>
          <w:bCs/>
          <w:sz w:val="22"/>
          <w:szCs w:val="22"/>
        </w:rPr>
      </w:pPr>
      <w:r>
        <w:rPr>
          <w:rFonts w:ascii="Arial" w:eastAsia="Arial" w:hAnsi="Arial" w:cs="Arial"/>
          <w:b/>
          <w:bCs/>
          <w:sz w:val="22"/>
          <w:szCs w:val="22"/>
        </w:rPr>
        <w:t>“Por medio de la cual se modifica la estructura nacional de donación, trasplante de órganos y componentes anatómicos, la Ley 9 de 1979, la Ley 1805 de 2016 y se dictan otras disposiciones”.</w:t>
      </w:r>
    </w:p>
    <w:p w14:paraId="00000005" w14:textId="77777777" w:rsidR="001C40B0" w:rsidRDefault="001C40B0">
      <w:pPr>
        <w:jc w:val="both"/>
        <w:rPr>
          <w:rFonts w:ascii="Arial" w:eastAsia="Arial" w:hAnsi="Arial" w:cs="Arial"/>
          <w:sz w:val="22"/>
          <w:szCs w:val="22"/>
        </w:rPr>
      </w:pPr>
    </w:p>
    <w:p w14:paraId="00000006" w14:textId="77777777" w:rsidR="001C40B0" w:rsidRDefault="00291712">
      <w:pPr>
        <w:jc w:val="both"/>
        <w:rPr>
          <w:rFonts w:ascii="Arial" w:eastAsia="Arial" w:hAnsi="Arial" w:cs="Arial"/>
          <w:sz w:val="22"/>
          <w:szCs w:val="22"/>
        </w:rPr>
      </w:pPr>
      <w:r>
        <w:rPr>
          <w:rFonts w:ascii="Arial" w:eastAsia="Arial" w:hAnsi="Arial" w:cs="Arial"/>
          <w:sz w:val="22"/>
          <w:szCs w:val="22"/>
        </w:rPr>
        <w:t>Bogotá, D.C., mayo de 2026</w:t>
      </w:r>
    </w:p>
    <w:p w14:paraId="00000007" w14:textId="77777777" w:rsidR="001C40B0" w:rsidRDefault="001C40B0">
      <w:pPr>
        <w:jc w:val="both"/>
        <w:rPr>
          <w:rFonts w:ascii="Arial" w:eastAsia="Arial" w:hAnsi="Arial" w:cs="Arial"/>
          <w:sz w:val="22"/>
          <w:szCs w:val="22"/>
        </w:rPr>
      </w:pPr>
    </w:p>
    <w:p w14:paraId="00000008" w14:textId="77777777" w:rsidR="001C40B0" w:rsidRDefault="001C40B0">
      <w:pPr>
        <w:jc w:val="both"/>
        <w:rPr>
          <w:rFonts w:ascii="Arial" w:eastAsia="Arial" w:hAnsi="Arial" w:cs="Arial"/>
          <w:sz w:val="22"/>
          <w:szCs w:val="22"/>
        </w:rPr>
      </w:pPr>
    </w:p>
    <w:p w14:paraId="00000009" w14:textId="77777777" w:rsidR="001C40B0" w:rsidRDefault="00291712">
      <w:pPr>
        <w:jc w:val="both"/>
        <w:rPr>
          <w:rFonts w:ascii="Arial" w:eastAsia="Arial" w:hAnsi="Arial" w:cs="Arial"/>
          <w:sz w:val="22"/>
          <w:szCs w:val="22"/>
        </w:rPr>
      </w:pPr>
      <w:r>
        <w:rPr>
          <w:rFonts w:ascii="Arial" w:eastAsia="Arial" w:hAnsi="Arial" w:cs="Arial"/>
          <w:sz w:val="22"/>
          <w:szCs w:val="22"/>
        </w:rPr>
        <w:t>H. Representante</w:t>
      </w:r>
    </w:p>
    <w:p w14:paraId="0000000A" w14:textId="77777777" w:rsidR="001C40B0" w:rsidRDefault="00291712">
      <w:pPr>
        <w:jc w:val="both"/>
        <w:rPr>
          <w:rFonts w:ascii="Arial" w:eastAsia="Arial" w:hAnsi="Arial" w:cs="Arial"/>
          <w:b/>
          <w:bCs/>
          <w:sz w:val="22"/>
          <w:szCs w:val="22"/>
        </w:rPr>
      </w:pPr>
      <w:r>
        <w:rPr>
          <w:rFonts w:ascii="Arial" w:eastAsia="Arial" w:hAnsi="Arial" w:cs="Arial"/>
          <w:b/>
          <w:bCs/>
          <w:sz w:val="22"/>
          <w:szCs w:val="22"/>
        </w:rPr>
        <w:t>GABRIEL BECERRA YAÑEZ</w:t>
      </w:r>
    </w:p>
    <w:p w14:paraId="0000000B" w14:textId="77777777" w:rsidR="001C40B0" w:rsidRDefault="00291712">
      <w:pPr>
        <w:jc w:val="both"/>
        <w:rPr>
          <w:rFonts w:ascii="Arial" w:eastAsia="Arial" w:hAnsi="Arial" w:cs="Arial"/>
          <w:sz w:val="22"/>
          <w:szCs w:val="22"/>
        </w:rPr>
      </w:pPr>
      <w:r>
        <w:rPr>
          <w:rFonts w:ascii="Arial" w:eastAsia="Arial" w:hAnsi="Arial" w:cs="Arial"/>
          <w:sz w:val="22"/>
          <w:szCs w:val="22"/>
        </w:rPr>
        <w:t>Presidente</w:t>
      </w:r>
    </w:p>
    <w:p w14:paraId="0000000C" w14:textId="77777777" w:rsidR="001C40B0" w:rsidRDefault="00291712">
      <w:pPr>
        <w:jc w:val="both"/>
        <w:rPr>
          <w:rFonts w:ascii="Arial" w:eastAsia="Arial" w:hAnsi="Arial" w:cs="Arial"/>
          <w:sz w:val="22"/>
          <w:szCs w:val="22"/>
        </w:rPr>
      </w:pPr>
      <w:r>
        <w:rPr>
          <w:rFonts w:ascii="Arial" w:eastAsia="Arial" w:hAnsi="Arial" w:cs="Arial"/>
          <w:sz w:val="22"/>
          <w:szCs w:val="22"/>
        </w:rPr>
        <w:t>Comisión Primera Constitucional</w:t>
      </w:r>
    </w:p>
    <w:p w14:paraId="0000000D" w14:textId="77777777" w:rsidR="001C40B0" w:rsidRDefault="00291712">
      <w:pPr>
        <w:jc w:val="both"/>
        <w:rPr>
          <w:rFonts w:ascii="Arial" w:eastAsia="Arial" w:hAnsi="Arial" w:cs="Arial"/>
          <w:sz w:val="22"/>
          <w:szCs w:val="22"/>
        </w:rPr>
      </w:pPr>
      <w:r>
        <w:rPr>
          <w:rFonts w:ascii="Arial" w:eastAsia="Arial" w:hAnsi="Arial" w:cs="Arial"/>
          <w:sz w:val="22"/>
          <w:szCs w:val="22"/>
        </w:rPr>
        <w:t>H. Cámara de Representantes</w:t>
      </w:r>
    </w:p>
    <w:p w14:paraId="0000000E" w14:textId="77777777" w:rsidR="001C40B0" w:rsidRDefault="00291712">
      <w:pPr>
        <w:jc w:val="both"/>
        <w:rPr>
          <w:rFonts w:ascii="Arial" w:eastAsia="Arial" w:hAnsi="Arial" w:cs="Arial"/>
          <w:sz w:val="22"/>
          <w:szCs w:val="22"/>
        </w:rPr>
      </w:pPr>
      <w:r>
        <w:rPr>
          <w:rFonts w:ascii="Arial" w:eastAsia="Arial" w:hAnsi="Arial" w:cs="Arial"/>
          <w:sz w:val="22"/>
          <w:szCs w:val="22"/>
        </w:rPr>
        <w:t>Ciudad</w:t>
      </w:r>
    </w:p>
    <w:p w14:paraId="0000000F" w14:textId="77777777" w:rsidR="001C40B0" w:rsidRDefault="001C40B0">
      <w:pPr>
        <w:jc w:val="both"/>
        <w:rPr>
          <w:rFonts w:ascii="Arial" w:eastAsia="Arial" w:hAnsi="Arial" w:cs="Arial"/>
          <w:sz w:val="22"/>
          <w:szCs w:val="22"/>
        </w:rPr>
      </w:pPr>
    </w:p>
    <w:p w14:paraId="00000010" w14:textId="77777777" w:rsidR="001C40B0" w:rsidRDefault="00291712">
      <w:pPr>
        <w:ind w:left="1416"/>
        <w:jc w:val="both"/>
        <w:rPr>
          <w:rFonts w:ascii="Arial" w:eastAsia="Arial" w:hAnsi="Arial" w:cs="Arial"/>
          <w:sz w:val="22"/>
          <w:szCs w:val="22"/>
        </w:rPr>
      </w:pPr>
      <w:bookmarkStart w:id="2" w:name="_heading=h.xn3qnkdapukq" w:colFirst="0" w:colLast="0"/>
      <w:bookmarkEnd w:id="2"/>
      <w:r>
        <w:rPr>
          <w:rFonts w:ascii="Arial" w:eastAsia="Arial" w:hAnsi="Arial" w:cs="Arial"/>
          <w:b/>
          <w:bCs/>
          <w:sz w:val="22"/>
          <w:szCs w:val="22"/>
        </w:rPr>
        <w:t>Referencia:</w:t>
      </w:r>
      <w:r>
        <w:rPr>
          <w:rFonts w:ascii="Arial" w:eastAsia="Arial" w:hAnsi="Arial" w:cs="Arial"/>
          <w:sz w:val="22"/>
          <w:szCs w:val="22"/>
        </w:rPr>
        <w:t xml:space="preserve"> Informe de ponencia para segundo debate al Proyecto de Ley No. 428 de 2025 Cámara - 155 de 2024 Senado “Por medio de la cual se modifica la estructura nacional de donación, trasplante de órganos y componentes anatómicos, la Ley 9 de 1979, la Ley 1805 de 2016 y se dictan otras disposiciones”.</w:t>
      </w:r>
    </w:p>
    <w:p w14:paraId="00000011" w14:textId="77777777" w:rsidR="001C40B0" w:rsidRDefault="001C40B0">
      <w:pPr>
        <w:jc w:val="both"/>
        <w:rPr>
          <w:rFonts w:ascii="Arial" w:eastAsia="Arial" w:hAnsi="Arial" w:cs="Arial"/>
          <w:sz w:val="22"/>
          <w:szCs w:val="22"/>
        </w:rPr>
      </w:pPr>
    </w:p>
    <w:p w14:paraId="00000012" w14:textId="77777777" w:rsidR="001C40B0" w:rsidRDefault="00291712">
      <w:pPr>
        <w:jc w:val="both"/>
        <w:rPr>
          <w:rFonts w:ascii="Arial" w:eastAsia="Arial" w:hAnsi="Arial" w:cs="Arial"/>
          <w:sz w:val="22"/>
          <w:szCs w:val="22"/>
        </w:rPr>
      </w:pPr>
      <w:r>
        <w:rPr>
          <w:rFonts w:ascii="Arial" w:eastAsia="Arial" w:hAnsi="Arial" w:cs="Arial"/>
          <w:sz w:val="22"/>
          <w:szCs w:val="22"/>
        </w:rPr>
        <w:t>Respetado Representante,</w:t>
      </w:r>
    </w:p>
    <w:p w14:paraId="00000013" w14:textId="77777777" w:rsidR="001C40B0" w:rsidRDefault="001C40B0">
      <w:pPr>
        <w:jc w:val="both"/>
        <w:rPr>
          <w:rFonts w:ascii="Arial" w:eastAsia="Arial" w:hAnsi="Arial" w:cs="Arial"/>
          <w:sz w:val="22"/>
          <w:szCs w:val="22"/>
        </w:rPr>
      </w:pPr>
    </w:p>
    <w:p w14:paraId="00000014" w14:textId="77777777" w:rsidR="001C40B0" w:rsidRDefault="00291712">
      <w:pPr>
        <w:jc w:val="both"/>
        <w:rPr>
          <w:rFonts w:ascii="Arial" w:eastAsia="Arial" w:hAnsi="Arial" w:cs="Arial"/>
          <w:sz w:val="22"/>
          <w:szCs w:val="22"/>
        </w:rPr>
      </w:pPr>
      <w:r>
        <w:rPr>
          <w:rFonts w:ascii="Arial" w:eastAsia="Arial" w:hAnsi="Arial" w:cs="Arial"/>
          <w:sz w:val="22"/>
          <w:szCs w:val="22"/>
        </w:rPr>
        <w:t>En cumplimiento del encargo hecho por la Honorable Mesa Directiva de la Comisión Primera Constitucional, y en atención a lo establecido en los artículos 150, 153 y 156 de la Ley 5 de 1992, me permito rendir informe de Ponencia para Segundo Debate al Proyecto de Ley No. 428 de 2025 Cámara - 155 de 2024 Senado “Por medio de la cual se modifica la estructura nacional de donación, trasplante de órganos y componentes anatómicos, la Ley 9 de 1979, la Ley 1805 de 2016 y se dictan otras disposiciones”.</w:t>
      </w:r>
    </w:p>
    <w:p w14:paraId="00000015" w14:textId="77777777" w:rsidR="001C40B0" w:rsidRDefault="001C40B0">
      <w:pPr>
        <w:jc w:val="both"/>
        <w:rPr>
          <w:rFonts w:ascii="Arial" w:eastAsia="Arial" w:hAnsi="Arial" w:cs="Arial"/>
          <w:sz w:val="22"/>
          <w:szCs w:val="22"/>
        </w:rPr>
      </w:pPr>
    </w:p>
    <w:p w14:paraId="00000016" w14:textId="77777777" w:rsidR="001C40B0" w:rsidRDefault="001C40B0">
      <w:pPr>
        <w:jc w:val="both"/>
        <w:rPr>
          <w:rFonts w:ascii="Arial" w:eastAsia="Arial" w:hAnsi="Arial" w:cs="Arial"/>
          <w:sz w:val="22"/>
          <w:szCs w:val="22"/>
        </w:rPr>
      </w:pPr>
    </w:p>
    <w:p w14:paraId="00000017" w14:textId="77777777" w:rsidR="001C40B0" w:rsidRDefault="00291712">
      <w:pPr>
        <w:numPr>
          <w:ilvl w:val="0"/>
          <w:numId w:val="1"/>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TRÁMITE DE LA INICIATIVA</w:t>
      </w:r>
    </w:p>
    <w:p w14:paraId="00000018" w14:textId="77777777" w:rsidR="001C40B0" w:rsidRDefault="001C40B0">
      <w:pPr>
        <w:jc w:val="both"/>
        <w:rPr>
          <w:rFonts w:ascii="Arial" w:eastAsia="Arial" w:hAnsi="Arial" w:cs="Arial"/>
          <w:sz w:val="22"/>
          <w:szCs w:val="22"/>
        </w:rPr>
      </w:pPr>
    </w:p>
    <w:p w14:paraId="00000019" w14:textId="77777777" w:rsidR="001C40B0" w:rsidRDefault="00291712">
      <w:pPr>
        <w:jc w:val="both"/>
        <w:rPr>
          <w:rFonts w:ascii="Arial" w:eastAsia="Arial" w:hAnsi="Arial" w:cs="Arial"/>
          <w:sz w:val="22"/>
          <w:szCs w:val="22"/>
        </w:rPr>
      </w:pPr>
      <w:r>
        <w:rPr>
          <w:rFonts w:ascii="Arial" w:eastAsia="Arial" w:hAnsi="Arial" w:cs="Arial"/>
          <w:sz w:val="22"/>
          <w:szCs w:val="22"/>
        </w:rPr>
        <w:t>El Proyecto de Ley bajo estudio fue radicado el 21 de agosto de 2024 ante la Secretaría General del Senado de la República por los H.S. Paloma Valencia Laserna, Angelica Lozano Correa, Alejandro Carlos Chacón, Ana María Castañeda, Jorge Benedetti Martelo, y los H.R. Alejandro García Ríos, Juan Carlos Lozada Vargas, Julio César Triana Quintero, Hernán Cadavid Márquez, Santiago Osorio Marín, Hernando González, Vladimir Olaya Mancipe, Yulieth Sánchez, Duvalier Sánchez Arango, Pedro Suárez Vacca, María José Pizarro, Jorge Eliécer Tamayo, Delcy Isaza Buenaventura. El proyecto original fue publicado en la Gaceta 1384 de 2024.</w:t>
      </w:r>
    </w:p>
    <w:p w14:paraId="0000001A" w14:textId="77777777" w:rsidR="001C40B0" w:rsidRDefault="001C40B0">
      <w:pPr>
        <w:jc w:val="both"/>
        <w:rPr>
          <w:rFonts w:ascii="Arial" w:eastAsia="Arial" w:hAnsi="Arial" w:cs="Arial"/>
          <w:sz w:val="22"/>
          <w:szCs w:val="22"/>
        </w:rPr>
      </w:pPr>
    </w:p>
    <w:p w14:paraId="0000001B" w14:textId="77777777" w:rsidR="001C40B0" w:rsidRDefault="00291712">
      <w:pPr>
        <w:jc w:val="both"/>
        <w:rPr>
          <w:rFonts w:ascii="Arial" w:eastAsia="Arial" w:hAnsi="Arial" w:cs="Arial"/>
          <w:sz w:val="22"/>
          <w:szCs w:val="22"/>
        </w:rPr>
      </w:pPr>
      <w:r>
        <w:rPr>
          <w:rFonts w:ascii="Arial" w:eastAsia="Arial" w:hAnsi="Arial" w:cs="Arial"/>
          <w:sz w:val="22"/>
          <w:szCs w:val="22"/>
        </w:rPr>
        <w:t>El día 19 de septiembre de 2023, mediante Acta MD-06, la Mesa Directiva de la Comisión Primera Constitucional Permanente del Senado de la República designó como ponente única del proyecto bajo estudio a la senadora Paloma Valencia Laserna.</w:t>
      </w:r>
    </w:p>
    <w:p w14:paraId="0000001C" w14:textId="77777777" w:rsidR="001C40B0" w:rsidRDefault="001C40B0">
      <w:pPr>
        <w:jc w:val="both"/>
        <w:rPr>
          <w:rFonts w:ascii="Arial" w:eastAsia="Arial" w:hAnsi="Arial" w:cs="Arial"/>
          <w:sz w:val="22"/>
          <w:szCs w:val="22"/>
        </w:rPr>
      </w:pPr>
    </w:p>
    <w:p w14:paraId="0000001D" w14:textId="77777777" w:rsidR="001C40B0" w:rsidRDefault="00291712">
      <w:pPr>
        <w:jc w:val="both"/>
        <w:rPr>
          <w:rFonts w:ascii="Arial" w:eastAsia="Arial" w:hAnsi="Arial" w:cs="Arial"/>
          <w:sz w:val="22"/>
          <w:szCs w:val="22"/>
        </w:rPr>
      </w:pPr>
      <w:r>
        <w:rPr>
          <w:rFonts w:ascii="Arial" w:eastAsia="Arial" w:hAnsi="Arial" w:cs="Arial"/>
          <w:sz w:val="22"/>
          <w:szCs w:val="22"/>
        </w:rPr>
        <w:t>El 19 de marzo de 2025, se dio primer debate al proyecto de ley bajo estudio en la Comisión Primera del Senado y se aprobó la proposición con que termina la ponencia con un total de 17 votos por el Si y 0 por el No. Durante el debate se presentaron las siguientes proposiciones:</w:t>
      </w:r>
    </w:p>
    <w:p w14:paraId="0000001E" w14:textId="77777777" w:rsidR="001C40B0" w:rsidRDefault="001C40B0">
      <w:pPr>
        <w:jc w:val="both"/>
        <w:rPr>
          <w:rFonts w:ascii="Arial" w:eastAsia="Arial" w:hAnsi="Arial" w:cs="Arial"/>
          <w:sz w:val="22"/>
          <w:szCs w:val="22"/>
        </w:rPr>
      </w:pPr>
    </w:p>
    <w:p w14:paraId="0000001F" w14:textId="77777777" w:rsidR="001C40B0" w:rsidRDefault="00291712">
      <w:pPr>
        <w:numPr>
          <w:ilvl w:val="0"/>
          <w:numId w:val="2"/>
        </w:numPr>
        <w:pBdr>
          <w:top w:val="nil"/>
          <w:left w:val="nil"/>
          <w:bottom w:val="nil"/>
          <w:right w:val="nil"/>
          <w:between w:val="nil"/>
        </w:pBdr>
        <w:jc w:val="both"/>
        <w:rPr>
          <w:color w:val="000000"/>
          <w:sz w:val="22"/>
          <w:szCs w:val="22"/>
        </w:rPr>
      </w:pPr>
      <w:r>
        <w:rPr>
          <w:rFonts w:ascii="Arial" w:eastAsia="Arial" w:hAnsi="Arial" w:cs="Arial"/>
          <w:color w:val="000000"/>
          <w:sz w:val="22"/>
          <w:szCs w:val="22"/>
        </w:rPr>
        <w:t>Diez (10) proposiciones modificatorias de los artículos 3, 4, 8, 9, 10, 11, 12, 15, 16, 17 del senador Jonathan Pulido, que reemplazan la expresión “Instituto Nacional de Donación y Trasplante de Órganos y Tejidos (INDTOT)” por “Instituto Nacional de Salud”, las cuales fueron avaladas.</w:t>
      </w:r>
    </w:p>
    <w:p w14:paraId="00000020" w14:textId="77777777" w:rsidR="001C40B0" w:rsidRDefault="001C40B0">
      <w:pPr>
        <w:jc w:val="both"/>
        <w:rPr>
          <w:rFonts w:ascii="Arial" w:eastAsia="Arial" w:hAnsi="Arial" w:cs="Arial"/>
          <w:sz w:val="22"/>
          <w:szCs w:val="22"/>
        </w:rPr>
      </w:pPr>
    </w:p>
    <w:p w14:paraId="00000021" w14:textId="77777777" w:rsidR="001C40B0" w:rsidRDefault="00291712">
      <w:pPr>
        <w:numPr>
          <w:ilvl w:val="0"/>
          <w:numId w:val="2"/>
        </w:numPr>
        <w:pBdr>
          <w:top w:val="nil"/>
          <w:left w:val="nil"/>
          <w:bottom w:val="nil"/>
          <w:right w:val="nil"/>
          <w:between w:val="nil"/>
        </w:pBdr>
        <w:jc w:val="both"/>
        <w:rPr>
          <w:color w:val="000000"/>
          <w:sz w:val="22"/>
          <w:szCs w:val="22"/>
        </w:rPr>
      </w:pPr>
      <w:r>
        <w:rPr>
          <w:rFonts w:ascii="Arial" w:eastAsia="Arial" w:hAnsi="Arial" w:cs="Arial"/>
          <w:color w:val="000000"/>
          <w:sz w:val="22"/>
          <w:szCs w:val="22"/>
        </w:rPr>
        <w:t>Una (1) proposición eliminatoria del artículo 14 del senador Jonathan Pulido, relativo a beneficios para donantes, la cual fue avalada.</w:t>
      </w:r>
    </w:p>
    <w:p w14:paraId="00000022" w14:textId="77777777" w:rsidR="001C40B0" w:rsidRDefault="001C40B0">
      <w:pPr>
        <w:jc w:val="both"/>
        <w:rPr>
          <w:rFonts w:ascii="Arial" w:eastAsia="Arial" w:hAnsi="Arial" w:cs="Arial"/>
          <w:sz w:val="22"/>
          <w:szCs w:val="22"/>
        </w:rPr>
      </w:pPr>
    </w:p>
    <w:p w14:paraId="00000023" w14:textId="77777777" w:rsidR="001C40B0" w:rsidRDefault="00291712">
      <w:pPr>
        <w:numPr>
          <w:ilvl w:val="0"/>
          <w:numId w:val="2"/>
        </w:numPr>
        <w:pBdr>
          <w:top w:val="nil"/>
          <w:left w:val="nil"/>
          <w:bottom w:val="nil"/>
          <w:right w:val="nil"/>
          <w:between w:val="nil"/>
        </w:pBdr>
        <w:jc w:val="both"/>
        <w:rPr>
          <w:color w:val="000000"/>
          <w:sz w:val="22"/>
          <w:szCs w:val="22"/>
        </w:rPr>
      </w:pPr>
      <w:r>
        <w:rPr>
          <w:rFonts w:ascii="Arial" w:eastAsia="Arial" w:hAnsi="Arial" w:cs="Arial"/>
          <w:color w:val="000000"/>
          <w:sz w:val="22"/>
          <w:szCs w:val="22"/>
        </w:rPr>
        <w:t>Una (1) proposición modificatoria del artículo 5 del senador Jonathan Pulido, que suprime “en los términos descritos en el literal a) del Artículo 542 de la Ley 9 de 1979” y adiciona en su lugar “por muerte encefálica o por parada circulatoria irreversible”, la cual quedó como constancia.</w:t>
      </w:r>
    </w:p>
    <w:p w14:paraId="00000024" w14:textId="77777777" w:rsidR="001C40B0" w:rsidRDefault="001C40B0">
      <w:pPr>
        <w:jc w:val="both"/>
        <w:rPr>
          <w:rFonts w:ascii="Arial" w:eastAsia="Arial" w:hAnsi="Arial" w:cs="Arial"/>
          <w:sz w:val="22"/>
          <w:szCs w:val="22"/>
        </w:rPr>
      </w:pPr>
    </w:p>
    <w:p w14:paraId="00000025" w14:textId="77777777" w:rsidR="001C40B0" w:rsidRDefault="00291712">
      <w:pPr>
        <w:numPr>
          <w:ilvl w:val="0"/>
          <w:numId w:val="2"/>
        </w:numPr>
        <w:pBdr>
          <w:top w:val="nil"/>
          <w:left w:val="nil"/>
          <w:bottom w:val="nil"/>
          <w:right w:val="nil"/>
          <w:between w:val="nil"/>
        </w:pBdr>
        <w:jc w:val="both"/>
        <w:rPr>
          <w:color w:val="000000"/>
          <w:sz w:val="22"/>
          <w:szCs w:val="22"/>
        </w:rPr>
      </w:pPr>
      <w:r>
        <w:rPr>
          <w:rFonts w:ascii="Arial" w:eastAsia="Arial" w:hAnsi="Arial" w:cs="Arial"/>
          <w:color w:val="000000"/>
          <w:sz w:val="22"/>
          <w:szCs w:val="22"/>
        </w:rPr>
        <w:t>Una (1) proposición eliminatoria del artículo 13 del senador Jonathan Pulido, relativo a la donación carnetizada, que quedó como constancia.</w:t>
      </w:r>
    </w:p>
    <w:p w14:paraId="00000026" w14:textId="77777777" w:rsidR="001C40B0" w:rsidRDefault="001C40B0">
      <w:pPr>
        <w:jc w:val="both"/>
        <w:rPr>
          <w:rFonts w:ascii="Arial" w:eastAsia="Arial" w:hAnsi="Arial" w:cs="Arial"/>
          <w:sz w:val="22"/>
          <w:szCs w:val="22"/>
        </w:rPr>
      </w:pPr>
    </w:p>
    <w:p w14:paraId="00000027" w14:textId="77777777" w:rsidR="001C40B0" w:rsidRDefault="00291712">
      <w:pPr>
        <w:numPr>
          <w:ilvl w:val="0"/>
          <w:numId w:val="2"/>
        </w:numPr>
        <w:pBdr>
          <w:top w:val="nil"/>
          <w:left w:val="nil"/>
          <w:bottom w:val="nil"/>
          <w:right w:val="nil"/>
          <w:between w:val="nil"/>
        </w:pBdr>
        <w:jc w:val="both"/>
        <w:rPr>
          <w:color w:val="000000"/>
          <w:sz w:val="22"/>
          <w:szCs w:val="22"/>
        </w:rPr>
      </w:pPr>
      <w:r>
        <w:rPr>
          <w:rFonts w:ascii="Arial" w:eastAsia="Arial" w:hAnsi="Arial" w:cs="Arial"/>
          <w:color w:val="000000"/>
          <w:sz w:val="22"/>
          <w:szCs w:val="22"/>
        </w:rPr>
        <w:t>Una (1) proposición para sustituir la expresión “Instituto Nacional de Donación y Trasplante de Órganos y Tejidos (INDTOT)” por “Instituto Nacional de Salud” en todo el articulado, de la senadora Paloma Valencia, la cual fue avalada.</w:t>
      </w:r>
    </w:p>
    <w:p w14:paraId="00000028" w14:textId="77777777" w:rsidR="001C40B0" w:rsidRDefault="001C40B0">
      <w:pPr>
        <w:jc w:val="both"/>
        <w:rPr>
          <w:rFonts w:ascii="Arial" w:eastAsia="Arial" w:hAnsi="Arial" w:cs="Arial"/>
          <w:sz w:val="22"/>
          <w:szCs w:val="22"/>
        </w:rPr>
      </w:pPr>
    </w:p>
    <w:p w14:paraId="00000029" w14:textId="77777777" w:rsidR="001C40B0" w:rsidRDefault="00291712">
      <w:pPr>
        <w:numPr>
          <w:ilvl w:val="0"/>
          <w:numId w:val="2"/>
        </w:numPr>
        <w:pBdr>
          <w:top w:val="nil"/>
          <w:left w:val="nil"/>
          <w:bottom w:val="nil"/>
          <w:right w:val="nil"/>
          <w:between w:val="nil"/>
        </w:pBdr>
        <w:jc w:val="both"/>
        <w:rPr>
          <w:color w:val="000000"/>
          <w:sz w:val="22"/>
          <w:szCs w:val="22"/>
        </w:rPr>
      </w:pPr>
      <w:r>
        <w:rPr>
          <w:rFonts w:ascii="Arial" w:eastAsia="Arial" w:hAnsi="Arial" w:cs="Arial"/>
          <w:color w:val="000000"/>
          <w:sz w:val="22"/>
          <w:szCs w:val="22"/>
        </w:rPr>
        <w:t>Una (1) proposición modificatoria del artículo 7 de la senadora Paloma Valencia, que establece que el INS expedirá los procedimientos y criterios de detección, evaluación, mantenimiento y extracción de órganos y tejidos con base en los lineamientos establecidos por las comisiones de expertos, la cual fue avalada.</w:t>
      </w:r>
    </w:p>
    <w:p w14:paraId="0000002A" w14:textId="77777777" w:rsidR="001C40B0" w:rsidRDefault="001C40B0">
      <w:pPr>
        <w:jc w:val="both"/>
        <w:rPr>
          <w:rFonts w:ascii="Arial" w:eastAsia="Arial" w:hAnsi="Arial" w:cs="Arial"/>
          <w:sz w:val="22"/>
          <w:szCs w:val="22"/>
        </w:rPr>
      </w:pPr>
    </w:p>
    <w:p w14:paraId="0000002B" w14:textId="77777777" w:rsidR="001C40B0" w:rsidRDefault="00291712">
      <w:pPr>
        <w:numPr>
          <w:ilvl w:val="0"/>
          <w:numId w:val="2"/>
        </w:numPr>
        <w:pBdr>
          <w:top w:val="nil"/>
          <w:left w:val="nil"/>
          <w:bottom w:val="nil"/>
          <w:right w:val="nil"/>
          <w:between w:val="nil"/>
        </w:pBdr>
        <w:jc w:val="both"/>
        <w:rPr>
          <w:color w:val="000000"/>
          <w:sz w:val="22"/>
          <w:szCs w:val="22"/>
        </w:rPr>
      </w:pPr>
      <w:r>
        <w:rPr>
          <w:rFonts w:ascii="Arial" w:eastAsia="Arial" w:hAnsi="Arial" w:cs="Arial"/>
          <w:color w:val="000000"/>
          <w:sz w:val="22"/>
          <w:szCs w:val="22"/>
        </w:rPr>
        <w:t>Una (1) proposición al artículo 8 de la senadora Paloma Valencia, que adiciona “Las secretarías de salud municipales, departamentales y distritales, en coordinación con la Red de Donación y Trasplantes, aportarán sus capacidades logísticas de comunicación, software y transporte para la gestión del trasplante de órganos y tejidos”, la cual fue avalada.</w:t>
      </w:r>
    </w:p>
    <w:p w14:paraId="0000002D" w14:textId="77777777" w:rsidR="001C40B0" w:rsidRDefault="001C40B0">
      <w:pPr>
        <w:jc w:val="both"/>
        <w:rPr>
          <w:rFonts w:ascii="Arial" w:eastAsia="Arial" w:hAnsi="Arial" w:cs="Arial"/>
          <w:sz w:val="22"/>
          <w:szCs w:val="22"/>
        </w:rPr>
      </w:pPr>
    </w:p>
    <w:p w14:paraId="0000002E" w14:textId="77777777" w:rsidR="001C40B0" w:rsidRDefault="00291712">
      <w:pPr>
        <w:numPr>
          <w:ilvl w:val="0"/>
          <w:numId w:val="2"/>
        </w:numPr>
        <w:pBdr>
          <w:top w:val="nil"/>
          <w:left w:val="nil"/>
          <w:bottom w:val="nil"/>
          <w:right w:val="nil"/>
          <w:between w:val="nil"/>
        </w:pBdr>
        <w:jc w:val="both"/>
        <w:rPr>
          <w:color w:val="000000"/>
          <w:sz w:val="22"/>
          <w:szCs w:val="22"/>
        </w:rPr>
      </w:pPr>
      <w:r>
        <w:rPr>
          <w:rFonts w:ascii="Arial" w:eastAsia="Arial" w:hAnsi="Arial" w:cs="Arial"/>
          <w:color w:val="000000"/>
          <w:sz w:val="22"/>
          <w:szCs w:val="22"/>
        </w:rPr>
        <w:t>Una (1) proposición modificatoria del artículo 9 de la senadora Paloma Valencia, que especifica que sistema de información deberá proveer información pública actualizada en tiempo real, la cual fue avalada.</w:t>
      </w:r>
    </w:p>
    <w:p w14:paraId="0000002F" w14:textId="77777777" w:rsidR="001C40B0" w:rsidRDefault="001C40B0">
      <w:pPr>
        <w:jc w:val="both"/>
        <w:rPr>
          <w:rFonts w:ascii="Arial" w:eastAsia="Arial" w:hAnsi="Arial" w:cs="Arial"/>
          <w:sz w:val="22"/>
          <w:szCs w:val="22"/>
        </w:rPr>
      </w:pPr>
    </w:p>
    <w:p w14:paraId="00000030" w14:textId="77777777" w:rsidR="001C40B0" w:rsidRDefault="00291712">
      <w:pPr>
        <w:numPr>
          <w:ilvl w:val="0"/>
          <w:numId w:val="2"/>
        </w:numPr>
        <w:pBdr>
          <w:top w:val="nil"/>
          <w:left w:val="nil"/>
          <w:bottom w:val="nil"/>
          <w:right w:val="nil"/>
          <w:between w:val="nil"/>
        </w:pBdr>
        <w:jc w:val="both"/>
        <w:rPr>
          <w:color w:val="000000"/>
          <w:sz w:val="22"/>
          <w:szCs w:val="22"/>
        </w:rPr>
      </w:pPr>
      <w:r>
        <w:rPr>
          <w:rFonts w:ascii="Arial" w:eastAsia="Arial" w:hAnsi="Arial" w:cs="Arial"/>
          <w:color w:val="000000"/>
          <w:sz w:val="22"/>
          <w:szCs w:val="22"/>
        </w:rPr>
        <w:t xml:space="preserve">Una (1) proposición al artículo 10 de la senadora Paloma Valencia, que adiciona estos incisos: “El Instituto Nacional de Salud reglamentará la integración y funcionamiento de la comisión de expertos en un término no mayor a seis (6) meses a partir de la promulgación de esta ley” y “El comité de expertos podrá revisar y actualizar los criterios de asignación y distribución de órganos y tejidos cada cinco (5) años, o cuando una parte lo solicite, o haya un cambio de impacto en las guías clínicas mundiales de asignación por órganos. También podrá </w:t>
      </w:r>
      <w:r>
        <w:rPr>
          <w:rFonts w:ascii="Arial" w:eastAsia="Arial" w:hAnsi="Arial" w:cs="Arial"/>
          <w:color w:val="000000"/>
          <w:sz w:val="22"/>
          <w:szCs w:val="22"/>
        </w:rPr>
        <w:lastRenderedPageBreak/>
        <w:t>recomendar la adquisición de tecnologías para el Plan de Beneficios de Salud que faciliten y mejoren los trasplantes de órganos y tejidos” la cual fue avalada.</w:t>
      </w:r>
    </w:p>
    <w:p w14:paraId="00000031" w14:textId="77777777" w:rsidR="001C40B0" w:rsidRDefault="001C40B0">
      <w:pPr>
        <w:jc w:val="both"/>
        <w:rPr>
          <w:rFonts w:ascii="Arial" w:eastAsia="Arial" w:hAnsi="Arial" w:cs="Arial"/>
          <w:sz w:val="22"/>
          <w:szCs w:val="22"/>
        </w:rPr>
      </w:pPr>
    </w:p>
    <w:p w14:paraId="00000032" w14:textId="77777777" w:rsidR="001C40B0" w:rsidRDefault="00291712">
      <w:pPr>
        <w:numPr>
          <w:ilvl w:val="0"/>
          <w:numId w:val="2"/>
        </w:numPr>
        <w:pBdr>
          <w:top w:val="nil"/>
          <w:left w:val="nil"/>
          <w:bottom w:val="nil"/>
          <w:right w:val="nil"/>
          <w:between w:val="nil"/>
        </w:pBdr>
        <w:jc w:val="both"/>
        <w:rPr>
          <w:color w:val="000000"/>
          <w:sz w:val="22"/>
          <w:szCs w:val="22"/>
        </w:rPr>
      </w:pPr>
      <w:r>
        <w:rPr>
          <w:rFonts w:ascii="Arial" w:eastAsia="Arial" w:hAnsi="Arial" w:cs="Arial"/>
          <w:color w:val="000000"/>
          <w:sz w:val="22"/>
          <w:szCs w:val="22"/>
        </w:rPr>
        <w:t>Una (1) proposición al artículo 11 de la senadora Paloma Valencia, que adiciona “Parágrafo 3. Las IPS trasplantadoras de órganos y tejidos, y los bancos de tejidos, también podrán tener coordinadores operativos extrahospitalarios donde no haya coordinación intrahospitalaria, o en apoyo y coordinación con esta, para apoyar y realizar gestiones de donación, ECMO, perfusión dinámica, transporte de órganos y tejidos, logísticas, educación, promoción de la donación”, la cual fue avalada.</w:t>
      </w:r>
    </w:p>
    <w:p w14:paraId="00000033" w14:textId="77777777" w:rsidR="001C40B0" w:rsidRDefault="001C40B0">
      <w:pPr>
        <w:jc w:val="both"/>
        <w:rPr>
          <w:rFonts w:ascii="Arial" w:eastAsia="Arial" w:hAnsi="Arial" w:cs="Arial"/>
          <w:sz w:val="22"/>
          <w:szCs w:val="22"/>
        </w:rPr>
      </w:pPr>
    </w:p>
    <w:p w14:paraId="00000034" w14:textId="77777777" w:rsidR="001C40B0" w:rsidRDefault="00291712">
      <w:pPr>
        <w:numPr>
          <w:ilvl w:val="0"/>
          <w:numId w:val="2"/>
        </w:numPr>
        <w:pBdr>
          <w:top w:val="nil"/>
          <w:left w:val="nil"/>
          <w:bottom w:val="nil"/>
          <w:right w:val="nil"/>
          <w:between w:val="nil"/>
        </w:pBdr>
        <w:jc w:val="both"/>
        <w:rPr>
          <w:color w:val="000000"/>
          <w:sz w:val="22"/>
          <w:szCs w:val="22"/>
        </w:rPr>
      </w:pPr>
      <w:r>
        <w:rPr>
          <w:rFonts w:ascii="Arial" w:eastAsia="Arial" w:hAnsi="Arial" w:cs="Arial"/>
          <w:color w:val="000000"/>
          <w:sz w:val="22"/>
          <w:szCs w:val="22"/>
        </w:rPr>
        <w:t>Una (1) proposición modificatoria del artículo 15 de la senadora Paloma Valencia, que suprime la expresión “receptor en lista de espera del componente anatómico” y la reemplaza por “paciente con enfermedad crónica trasplantable susceptible de evaluación o trasplante”, la cual fue avalada.</w:t>
      </w:r>
    </w:p>
    <w:p w14:paraId="00000035" w14:textId="77777777" w:rsidR="001C40B0" w:rsidRDefault="001C40B0">
      <w:pPr>
        <w:jc w:val="both"/>
        <w:rPr>
          <w:rFonts w:ascii="Arial" w:eastAsia="Arial" w:hAnsi="Arial" w:cs="Arial"/>
          <w:sz w:val="22"/>
          <w:szCs w:val="22"/>
        </w:rPr>
      </w:pPr>
    </w:p>
    <w:p w14:paraId="00000036" w14:textId="77777777" w:rsidR="001C40B0" w:rsidRDefault="00291712">
      <w:pPr>
        <w:numPr>
          <w:ilvl w:val="0"/>
          <w:numId w:val="2"/>
        </w:numPr>
        <w:pBdr>
          <w:top w:val="nil"/>
          <w:left w:val="nil"/>
          <w:bottom w:val="nil"/>
          <w:right w:val="nil"/>
          <w:between w:val="nil"/>
        </w:pBdr>
        <w:jc w:val="both"/>
        <w:rPr>
          <w:color w:val="000000"/>
          <w:sz w:val="22"/>
          <w:szCs w:val="22"/>
        </w:rPr>
      </w:pPr>
      <w:r>
        <w:rPr>
          <w:rFonts w:ascii="Arial" w:eastAsia="Arial" w:hAnsi="Arial" w:cs="Arial"/>
          <w:color w:val="000000"/>
          <w:sz w:val="22"/>
          <w:szCs w:val="22"/>
        </w:rPr>
        <w:t>Una (1) proposición al artículo 18 de la senadora Paloma Valencia, que adiciona “Los bancos de tejidos podrán desarrollar proyectos de investigación e innovación utilizando componentes anatómicos, cumpliendo además con la reglamentación de investigación”, la cual fue avalada.</w:t>
      </w:r>
    </w:p>
    <w:p w14:paraId="00000037" w14:textId="77777777" w:rsidR="001C40B0" w:rsidRDefault="001C40B0">
      <w:pPr>
        <w:jc w:val="both"/>
        <w:rPr>
          <w:rFonts w:ascii="Arial" w:eastAsia="Arial" w:hAnsi="Arial" w:cs="Arial"/>
          <w:sz w:val="22"/>
          <w:szCs w:val="22"/>
        </w:rPr>
      </w:pPr>
    </w:p>
    <w:p w14:paraId="00000038" w14:textId="77777777" w:rsidR="001C40B0" w:rsidRDefault="00291712">
      <w:pPr>
        <w:numPr>
          <w:ilvl w:val="0"/>
          <w:numId w:val="2"/>
        </w:numPr>
        <w:pBdr>
          <w:top w:val="nil"/>
          <w:left w:val="nil"/>
          <w:bottom w:val="nil"/>
          <w:right w:val="nil"/>
          <w:between w:val="nil"/>
        </w:pBdr>
        <w:jc w:val="both"/>
        <w:rPr>
          <w:color w:val="000000"/>
          <w:sz w:val="22"/>
          <w:szCs w:val="22"/>
        </w:rPr>
      </w:pPr>
      <w:r>
        <w:rPr>
          <w:rFonts w:ascii="Arial" w:eastAsia="Arial" w:hAnsi="Arial" w:cs="Arial"/>
          <w:color w:val="000000"/>
          <w:sz w:val="22"/>
          <w:szCs w:val="22"/>
        </w:rPr>
        <w:t>Una (1) proposición de artículo nuevo de la senadora Paloma Valencia que incorpora el concepto de donante universal, la cual fue avalada.</w:t>
      </w:r>
    </w:p>
    <w:p w14:paraId="00000039" w14:textId="77777777" w:rsidR="001C40B0" w:rsidRDefault="001C40B0">
      <w:pPr>
        <w:jc w:val="both"/>
        <w:rPr>
          <w:rFonts w:ascii="Arial" w:eastAsia="Arial" w:hAnsi="Arial" w:cs="Arial"/>
          <w:sz w:val="22"/>
          <w:szCs w:val="22"/>
        </w:rPr>
      </w:pPr>
    </w:p>
    <w:p w14:paraId="0000003A" w14:textId="77777777" w:rsidR="001C40B0" w:rsidRDefault="00291712">
      <w:pPr>
        <w:numPr>
          <w:ilvl w:val="0"/>
          <w:numId w:val="2"/>
        </w:numPr>
        <w:pBdr>
          <w:top w:val="nil"/>
          <w:left w:val="nil"/>
          <w:bottom w:val="nil"/>
          <w:right w:val="nil"/>
          <w:between w:val="nil"/>
        </w:pBdr>
        <w:jc w:val="both"/>
        <w:rPr>
          <w:color w:val="000000"/>
          <w:sz w:val="22"/>
          <w:szCs w:val="22"/>
        </w:rPr>
      </w:pPr>
      <w:r>
        <w:rPr>
          <w:rFonts w:ascii="Arial" w:eastAsia="Arial" w:hAnsi="Arial" w:cs="Arial"/>
          <w:color w:val="000000"/>
          <w:sz w:val="22"/>
          <w:szCs w:val="22"/>
        </w:rPr>
        <w:t>Una (1) proposición de artículo nuevo de la senadora Paloma Valencia que propende por la integración de la Inteligencia Artificial en los Procesos de Donación de Órganos y Tejidos, la cual fue avalada.</w:t>
      </w:r>
    </w:p>
    <w:p w14:paraId="0000003B" w14:textId="77777777" w:rsidR="001C40B0" w:rsidRDefault="001C40B0">
      <w:pPr>
        <w:jc w:val="both"/>
        <w:rPr>
          <w:rFonts w:ascii="Arial" w:eastAsia="Arial" w:hAnsi="Arial" w:cs="Arial"/>
          <w:sz w:val="22"/>
          <w:szCs w:val="22"/>
        </w:rPr>
      </w:pPr>
    </w:p>
    <w:p w14:paraId="0000003C" w14:textId="77777777" w:rsidR="001C40B0" w:rsidRDefault="00291712">
      <w:pPr>
        <w:jc w:val="both"/>
        <w:rPr>
          <w:rFonts w:ascii="Arial" w:eastAsia="Arial" w:hAnsi="Arial" w:cs="Arial"/>
          <w:sz w:val="22"/>
          <w:szCs w:val="22"/>
        </w:rPr>
      </w:pPr>
      <w:r>
        <w:rPr>
          <w:rFonts w:ascii="Arial" w:eastAsia="Arial" w:hAnsi="Arial" w:cs="Arial"/>
          <w:sz w:val="22"/>
          <w:szCs w:val="22"/>
        </w:rPr>
        <w:t>Posteriormente, se sometió a consideración el bloque del articulado con las proposiciones avaladas, los dos artículos nuevos, además del título y la pregunta, los cuales fueron aprobados en su totalidad con 18 votos por el Si y 0 por el No. El desarrollo de esta sesión quedó consignado en el Acta 38 del 19 de marzo de 2025.</w:t>
      </w:r>
    </w:p>
    <w:p w14:paraId="0000003D" w14:textId="77777777" w:rsidR="001C40B0" w:rsidRDefault="001C40B0">
      <w:pPr>
        <w:jc w:val="both"/>
        <w:rPr>
          <w:rFonts w:ascii="Arial" w:eastAsia="Arial" w:hAnsi="Arial" w:cs="Arial"/>
          <w:sz w:val="22"/>
          <w:szCs w:val="22"/>
        </w:rPr>
      </w:pPr>
    </w:p>
    <w:p w14:paraId="0000003E" w14:textId="77777777" w:rsidR="001C40B0" w:rsidRDefault="00291712">
      <w:pPr>
        <w:jc w:val="both"/>
        <w:rPr>
          <w:rFonts w:ascii="Arial" w:eastAsia="Arial" w:hAnsi="Arial" w:cs="Arial"/>
          <w:sz w:val="22"/>
          <w:szCs w:val="22"/>
        </w:rPr>
      </w:pPr>
      <w:r>
        <w:rPr>
          <w:rFonts w:ascii="Arial" w:eastAsia="Arial" w:hAnsi="Arial" w:cs="Arial"/>
          <w:sz w:val="22"/>
          <w:szCs w:val="22"/>
        </w:rPr>
        <w:t>La Mesa Directiva de la Comisión Primera me designó como ponente única para segundo debate en la Plenaria del Senado de la República.</w:t>
      </w:r>
    </w:p>
    <w:p w14:paraId="0000003F" w14:textId="77777777" w:rsidR="001C40B0" w:rsidRDefault="001C40B0">
      <w:pPr>
        <w:jc w:val="both"/>
        <w:rPr>
          <w:rFonts w:ascii="Arial" w:eastAsia="Arial" w:hAnsi="Arial" w:cs="Arial"/>
          <w:sz w:val="22"/>
          <w:szCs w:val="22"/>
        </w:rPr>
      </w:pPr>
    </w:p>
    <w:p w14:paraId="00000040"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El día 16 de septiembre de 2025, se debatió en segundo debate el Proyecto de Ley y durante el desarrollo de la sesión, la plenaria del Senado procedió a considerar, leer y votar en bloque las proposiciones avaladas al articulado del Proyecto de Ley sobre Donación de Órganos y Tejidos. El secretario dio lectura a las modificaciones, adiciones y nuevos artículos que contaban con aval de los ponentes. </w:t>
      </w:r>
    </w:p>
    <w:p w14:paraId="00000041" w14:textId="77777777" w:rsidR="001C40B0" w:rsidRDefault="001C40B0">
      <w:pPr>
        <w:jc w:val="both"/>
        <w:rPr>
          <w:rFonts w:ascii="Arial" w:eastAsia="Arial" w:hAnsi="Arial" w:cs="Arial"/>
          <w:sz w:val="22"/>
          <w:szCs w:val="22"/>
        </w:rPr>
      </w:pPr>
    </w:p>
    <w:p w14:paraId="00000042"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Se aprobó la obligación del Ministerio de Salud y del Instituto Nacional de Salud, junto con las entidades territoriales, de implementar campañas permanentes de educación ciudadana sobre la donación de órganos y tejidos. </w:t>
      </w:r>
    </w:p>
    <w:p w14:paraId="00000043" w14:textId="77777777" w:rsidR="001C40B0" w:rsidRDefault="001C40B0">
      <w:pPr>
        <w:jc w:val="both"/>
        <w:rPr>
          <w:rFonts w:ascii="Arial" w:eastAsia="Arial" w:hAnsi="Arial" w:cs="Arial"/>
          <w:sz w:val="22"/>
          <w:szCs w:val="22"/>
        </w:rPr>
      </w:pPr>
    </w:p>
    <w:p w14:paraId="00000044"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Se adicionó que el sistema nacional de información deberá armonizarse con normas de protección de datos personales. El Ministerio de Salud y el INS garantizarán el tratamiento de datos conforme a la Ley 1581. Se añadió un parágrafo sexto, según el cual el Ministerio de </w:t>
      </w:r>
      <w:r>
        <w:rPr>
          <w:rFonts w:ascii="Arial" w:eastAsia="Arial" w:hAnsi="Arial" w:cs="Arial"/>
          <w:sz w:val="22"/>
          <w:szCs w:val="22"/>
        </w:rPr>
        <w:lastRenderedPageBreak/>
        <w:t>Hacienda deberá emitir concepto fiscal previo para garantizar la sostenibilidad financiera del proyecto en la fase operativa de donación.</w:t>
      </w:r>
    </w:p>
    <w:p w14:paraId="00000045" w14:textId="77777777" w:rsidR="001C40B0" w:rsidRDefault="001C40B0">
      <w:pPr>
        <w:jc w:val="both"/>
        <w:rPr>
          <w:rFonts w:ascii="Arial" w:eastAsia="Arial" w:hAnsi="Arial" w:cs="Arial"/>
          <w:sz w:val="22"/>
          <w:szCs w:val="22"/>
        </w:rPr>
      </w:pPr>
    </w:p>
    <w:p w14:paraId="00000046" w14:textId="77777777" w:rsidR="001C40B0" w:rsidRDefault="00291712">
      <w:pPr>
        <w:jc w:val="both"/>
        <w:rPr>
          <w:rFonts w:ascii="Arial" w:eastAsia="Arial" w:hAnsi="Arial" w:cs="Arial"/>
          <w:sz w:val="22"/>
          <w:szCs w:val="22"/>
        </w:rPr>
      </w:pPr>
      <w:r>
        <w:rPr>
          <w:rFonts w:ascii="Arial" w:eastAsia="Arial" w:hAnsi="Arial" w:cs="Arial"/>
          <w:sz w:val="22"/>
          <w:szCs w:val="22"/>
        </w:rPr>
        <w:t>Tras la lectura de todas las proposiciones avaladas, la plenaria procedió a votar el bloque de articulado con todas las modificaciones aprobadas, dando continuidad al trámite legislativo del proyecto.</w:t>
      </w:r>
    </w:p>
    <w:p w14:paraId="00000047" w14:textId="77777777" w:rsidR="001C40B0" w:rsidRDefault="001C40B0">
      <w:pPr>
        <w:jc w:val="both"/>
        <w:rPr>
          <w:rFonts w:ascii="Arial" w:eastAsia="Arial" w:hAnsi="Arial" w:cs="Arial"/>
          <w:sz w:val="22"/>
          <w:szCs w:val="22"/>
        </w:rPr>
      </w:pPr>
    </w:p>
    <w:p w14:paraId="00000048" w14:textId="77777777" w:rsidR="001C40B0" w:rsidRDefault="00291712">
      <w:pPr>
        <w:jc w:val="both"/>
        <w:rPr>
          <w:rFonts w:ascii="Arial" w:eastAsia="Arial" w:hAnsi="Arial" w:cs="Arial"/>
          <w:sz w:val="22"/>
          <w:szCs w:val="22"/>
        </w:rPr>
      </w:pPr>
      <w:r>
        <w:rPr>
          <w:rFonts w:ascii="Arial" w:eastAsia="Arial" w:hAnsi="Arial" w:cs="Arial"/>
          <w:sz w:val="22"/>
          <w:szCs w:val="22"/>
        </w:rPr>
        <w:t>El Senado avanzó significativamente en la modernización de la normativa sobre donación de órganos en Colombia, aprobando una serie de ajustes de carácter técnico.</w:t>
      </w:r>
    </w:p>
    <w:p w14:paraId="00000049" w14:textId="77777777" w:rsidR="001C40B0" w:rsidRDefault="001C40B0">
      <w:pPr>
        <w:jc w:val="both"/>
        <w:rPr>
          <w:rFonts w:ascii="Arial" w:eastAsia="Arial" w:hAnsi="Arial" w:cs="Arial"/>
          <w:sz w:val="22"/>
          <w:szCs w:val="22"/>
        </w:rPr>
      </w:pPr>
    </w:p>
    <w:p w14:paraId="0000004A"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Posteriormente, el día 11 de noviembre de 2025, mediante radicado C.P.C.P. 3.1 -557 de 2025 fui designado como ponente para primer debate al proyecto de ley No. 428 de 2025 Cámara – No. 155 de 2024 Senado. </w:t>
      </w:r>
    </w:p>
    <w:p w14:paraId="0000004B" w14:textId="77777777" w:rsidR="001C40B0" w:rsidRDefault="001C40B0">
      <w:pPr>
        <w:jc w:val="both"/>
        <w:rPr>
          <w:rFonts w:ascii="Arial" w:eastAsia="Arial" w:hAnsi="Arial" w:cs="Arial"/>
          <w:sz w:val="22"/>
          <w:szCs w:val="22"/>
        </w:rPr>
      </w:pPr>
    </w:p>
    <w:p w14:paraId="0000004C" w14:textId="77777777" w:rsidR="001C40B0" w:rsidRDefault="00291712">
      <w:pPr>
        <w:jc w:val="both"/>
        <w:rPr>
          <w:rFonts w:ascii="Arial" w:eastAsia="Arial" w:hAnsi="Arial" w:cs="Arial"/>
          <w:sz w:val="22"/>
          <w:szCs w:val="22"/>
        </w:rPr>
      </w:pPr>
      <w:r>
        <w:rPr>
          <w:rFonts w:ascii="Arial" w:eastAsia="Arial" w:hAnsi="Arial" w:cs="Arial"/>
          <w:sz w:val="22"/>
          <w:szCs w:val="22"/>
        </w:rPr>
        <w:t>El día 15 de abril de 2026 se llevó a cabo el primer debate en la Comisión Primera de la Cámara de Representantes del proyecto de ley bajo estudio. En dicha sesión, fue aprobada por unanimidad de los asistentes la proposición con que termina la ponencia. Asimismo, se aprobaron los artículos que no contaban con proposiciones, a saber: 1, 2, 3, 4, 7, 8, 9, 10, 11, 12, 15, 16, 18, 19, 20, 22, 23, 24, 25, 26, 27, 28 y 29.</w:t>
      </w:r>
    </w:p>
    <w:p w14:paraId="0000004D" w14:textId="77777777" w:rsidR="001C40B0" w:rsidRDefault="001C40B0">
      <w:pPr>
        <w:jc w:val="both"/>
        <w:rPr>
          <w:rFonts w:ascii="Arial" w:eastAsia="Arial" w:hAnsi="Arial" w:cs="Arial"/>
          <w:sz w:val="22"/>
          <w:szCs w:val="22"/>
        </w:rPr>
      </w:pPr>
    </w:p>
    <w:p w14:paraId="0000004E" w14:textId="77777777" w:rsidR="001C40B0" w:rsidRDefault="00291712">
      <w:pPr>
        <w:jc w:val="both"/>
        <w:rPr>
          <w:rFonts w:ascii="Arial" w:eastAsia="Arial" w:hAnsi="Arial" w:cs="Arial"/>
          <w:sz w:val="22"/>
          <w:szCs w:val="22"/>
        </w:rPr>
      </w:pPr>
      <w:r>
        <w:rPr>
          <w:rFonts w:ascii="Arial" w:eastAsia="Arial" w:hAnsi="Arial" w:cs="Arial"/>
          <w:sz w:val="22"/>
          <w:szCs w:val="22"/>
        </w:rPr>
        <w:t>Finalmente, el día 21 de abril de 2026, se aprobaron los artículos 5, 6, 13, 14, 17 y 21 con las siguientes proposiciones:</w:t>
      </w:r>
    </w:p>
    <w:p w14:paraId="0000004F" w14:textId="77777777" w:rsidR="001C40B0" w:rsidRDefault="001C40B0">
      <w:pPr>
        <w:jc w:val="both"/>
        <w:rPr>
          <w:rFonts w:ascii="Arial" w:eastAsia="Arial" w:hAnsi="Arial" w:cs="Arial"/>
          <w:sz w:val="22"/>
          <w:szCs w:val="22"/>
        </w:rPr>
      </w:pP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8"/>
        <w:gridCol w:w="3351"/>
        <w:gridCol w:w="3351"/>
        <w:gridCol w:w="1432"/>
      </w:tblGrid>
      <w:tr w:rsidR="001C40B0" w14:paraId="67864E29" w14:textId="77777777">
        <w:trPr>
          <w:tblHeader/>
        </w:trPr>
        <w:tc>
          <w:tcPr>
            <w:tcW w:w="928" w:type="dxa"/>
            <w:vAlign w:val="center"/>
          </w:tcPr>
          <w:p w14:paraId="00000050" w14:textId="77777777" w:rsidR="001C40B0" w:rsidRDefault="00291712">
            <w:pPr>
              <w:jc w:val="both"/>
              <w:rPr>
                <w:rFonts w:ascii="Arial" w:eastAsia="Arial" w:hAnsi="Arial" w:cs="Arial"/>
                <w:b/>
                <w:bCs/>
                <w:sz w:val="22"/>
                <w:szCs w:val="22"/>
              </w:rPr>
            </w:pPr>
            <w:r>
              <w:rPr>
                <w:rFonts w:ascii="Arial" w:eastAsia="Arial" w:hAnsi="Arial" w:cs="Arial"/>
                <w:b/>
                <w:bCs/>
                <w:sz w:val="22"/>
                <w:szCs w:val="22"/>
              </w:rPr>
              <w:t>Artículo</w:t>
            </w:r>
          </w:p>
        </w:tc>
        <w:tc>
          <w:tcPr>
            <w:tcW w:w="3351" w:type="dxa"/>
            <w:vAlign w:val="center"/>
          </w:tcPr>
          <w:p w14:paraId="00000051" w14:textId="77777777" w:rsidR="001C40B0" w:rsidRDefault="00291712">
            <w:pPr>
              <w:jc w:val="center"/>
              <w:rPr>
                <w:rFonts w:ascii="Arial" w:eastAsia="Arial" w:hAnsi="Arial" w:cs="Arial"/>
                <w:b/>
                <w:bCs/>
                <w:sz w:val="22"/>
                <w:szCs w:val="22"/>
              </w:rPr>
            </w:pPr>
            <w:r>
              <w:rPr>
                <w:rFonts w:ascii="Arial" w:eastAsia="Arial" w:hAnsi="Arial" w:cs="Arial"/>
                <w:b/>
                <w:bCs/>
                <w:sz w:val="22"/>
                <w:szCs w:val="22"/>
              </w:rPr>
              <w:t>Texto del proyecto</w:t>
            </w:r>
          </w:p>
        </w:tc>
        <w:tc>
          <w:tcPr>
            <w:tcW w:w="3351" w:type="dxa"/>
            <w:vAlign w:val="center"/>
          </w:tcPr>
          <w:p w14:paraId="00000052" w14:textId="77777777" w:rsidR="001C40B0" w:rsidRDefault="00291712">
            <w:pPr>
              <w:jc w:val="center"/>
              <w:rPr>
                <w:rFonts w:ascii="Arial" w:eastAsia="Arial" w:hAnsi="Arial" w:cs="Arial"/>
                <w:b/>
                <w:bCs/>
                <w:sz w:val="22"/>
                <w:szCs w:val="22"/>
              </w:rPr>
            </w:pPr>
            <w:r>
              <w:rPr>
                <w:rFonts w:ascii="Arial" w:eastAsia="Arial" w:hAnsi="Arial" w:cs="Arial"/>
                <w:b/>
                <w:bCs/>
                <w:sz w:val="22"/>
                <w:szCs w:val="22"/>
              </w:rPr>
              <w:t>Modificación propuesta</w:t>
            </w:r>
          </w:p>
        </w:tc>
        <w:tc>
          <w:tcPr>
            <w:tcW w:w="1432" w:type="dxa"/>
            <w:vAlign w:val="center"/>
          </w:tcPr>
          <w:p w14:paraId="00000053" w14:textId="77777777" w:rsidR="001C40B0" w:rsidRDefault="00291712">
            <w:pPr>
              <w:rPr>
                <w:rFonts w:ascii="Arial" w:eastAsia="Arial" w:hAnsi="Arial" w:cs="Arial"/>
                <w:b/>
                <w:bCs/>
                <w:sz w:val="22"/>
                <w:szCs w:val="22"/>
              </w:rPr>
            </w:pPr>
            <w:r>
              <w:rPr>
                <w:rFonts w:ascii="Arial" w:eastAsia="Arial" w:hAnsi="Arial" w:cs="Arial"/>
                <w:b/>
                <w:bCs/>
                <w:sz w:val="22"/>
                <w:szCs w:val="22"/>
              </w:rPr>
              <w:t>Proponente</w:t>
            </w:r>
          </w:p>
        </w:tc>
      </w:tr>
      <w:tr w:rsidR="001C40B0" w14:paraId="2671636C" w14:textId="77777777">
        <w:tc>
          <w:tcPr>
            <w:tcW w:w="928" w:type="dxa"/>
            <w:vAlign w:val="center"/>
          </w:tcPr>
          <w:p w14:paraId="00000054" w14:textId="77777777" w:rsidR="001C40B0" w:rsidRDefault="00291712">
            <w:pPr>
              <w:jc w:val="both"/>
              <w:rPr>
                <w:rFonts w:ascii="Arial" w:eastAsia="Arial" w:hAnsi="Arial" w:cs="Arial"/>
                <w:sz w:val="22"/>
                <w:szCs w:val="22"/>
              </w:rPr>
            </w:pPr>
            <w:r>
              <w:rPr>
                <w:rFonts w:ascii="Arial" w:eastAsia="Arial" w:hAnsi="Arial" w:cs="Arial"/>
                <w:b/>
                <w:bCs/>
                <w:sz w:val="22"/>
                <w:szCs w:val="22"/>
              </w:rPr>
              <w:t>Art. 5</w:t>
            </w:r>
          </w:p>
        </w:tc>
        <w:tc>
          <w:tcPr>
            <w:tcW w:w="3351" w:type="dxa"/>
            <w:vAlign w:val="center"/>
          </w:tcPr>
          <w:p w14:paraId="00000055"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ARTÍCULO 5. </w:t>
            </w:r>
            <w:r>
              <w:rPr>
                <w:rFonts w:ascii="Arial" w:eastAsia="Arial" w:hAnsi="Arial" w:cs="Arial"/>
                <w:color w:val="000000"/>
                <w:sz w:val="22"/>
                <w:szCs w:val="22"/>
              </w:rPr>
              <w:t>Modifíquese el artículo 15° de la Ley 1805 de 2016, el cual quedará así:</w:t>
            </w:r>
          </w:p>
          <w:p w14:paraId="00000056"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057"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ARTÍCULO 15. </w:t>
            </w:r>
            <w:r>
              <w:rPr>
                <w:rFonts w:ascii="Arial" w:eastAsia="Arial" w:hAnsi="Arial" w:cs="Arial"/>
                <w:color w:val="000000"/>
                <w:sz w:val="22"/>
                <w:szCs w:val="22"/>
              </w:rPr>
              <w:t>Los menores de edad podrán ser donantes de órganos y tejidos, siempre y cuando sus representantes legales expresen su consentimiento informado para tal fin después de su fallecimiento, en los términos descritos en el literal a) del Artículo 542 de la Ley 9 de 1979.</w:t>
            </w:r>
          </w:p>
          <w:p w14:paraId="00000058"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059" w14:textId="77777777" w:rsidR="001C40B0" w:rsidRDefault="00291712">
            <w:pPr>
              <w:jc w:val="both"/>
              <w:rPr>
                <w:rFonts w:ascii="Arial" w:eastAsia="Arial" w:hAnsi="Arial" w:cs="Arial"/>
                <w:sz w:val="22"/>
                <w:szCs w:val="22"/>
              </w:rPr>
            </w:pPr>
            <w:r>
              <w:rPr>
                <w:rFonts w:ascii="Arial" w:eastAsia="Arial" w:hAnsi="Arial" w:cs="Arial"/>
                <w:color w:val="000000"/>
                <w:sz w:val="22"/>
                <w:szCs w:val="22"/>
              </w:rPr>
              <w:t>El médico coordinador operativo de trasplantes deberá informarles sus derechos y los beneficios de la donación a los representantes del menor.</w:t>
            </w:r>
          </w:p>
        </w:tc>
        <w:tc>
          <w:tcPr>
            <w:tcW w:w="3351" w:type="dxa"/>
            <w:vAlign w:val="center"/>
          </w:tcPr>
          <w:p w14:paraId="0000005A" w14:textId="77777777" w:rsidR="001C40B0" w:rsidRDefault="001C40B0">
            <w:pPr>
              <w:jc w:val="both"/>
              <w:rPr>
                <w:rFonts w:ascii="Arial" w:eastAsia="Arial" w:hAnsi="Arial" w:cs="Arial"/>
                <w:sz w:val="22"/>
                <w:szCs w:val="22"/>
              </w:rPr>
            </w:pPr>
          </w:p>
          <w:p w14:paraId="0000005B" w14:textId="77777777" w:rsidR="001C40B0" w:rsidRDefault="001C40B0">
            <w:pPr>
              <w:jc w:val="both"/>
              <w:rPr>
                <w:rFonts w:ascii="Arial" w:eastAsia="Arial" w:hAnsi="Arial" w:cs="Arial"/>
                <w:sz w:val="22"/>
                <w:szCs w:val="22"/>
              </w:rPr>
            </w:pPr>
          </w:p>
          <w:p w14:paraId="0000005C" w14:textId="77777777" w:rsidR="001C40B0" w:rsidRDefault="001C40B0">
            <w:pPr>
              <w:jc w:val="both"/>
              <w:rPr>
                <w:rFonts w:ascii="Arial" w:eastAsia="Arial" w:hAnsi="Arial" w:cs="Arial"/>
                <w:sz w:val="22"/>
                <w:szCs w:val="22"/>
              </w:rPr>
            </w:pPr>
          </w:p>
          <w:p w14:paraId="0000005D" w14:textId="77777777" w:rsidR="001C40B0" w:rsidRDefault="00291712">
            <w:pPr>
              <w:jc w:val="both"/>
              <w:rPr>
                <w:rFonts w:ascii="Arial" w:eastAsia="Arial" w:hAnsi="Arial" w:cs="Arial"/>
                <w:sz w:val="22"/>
                <w:szCs w:val="22"/>
              </w:rPr>
            </w:pPr>
            <w:r>
              <w:rPr>
                <w:rFonts w:ascii="Arial" w:eastAsia="Arial" w:hAnsi="Arial" w:cs="Arial"/>
                <w:b/>
                <w:bCs/>
                <w:color w:val="000000"/>
                <w:sz w:val="22"/>
                <w:szCs w:val="22"/>
              </w:rPr>
              <w:t xml:space="preserve">ARTÍCULO 15. </w:t>
            </w:r>
            <w:r>
              <w:rPr>
                <w:rFonts w:ascii="Arial" w:eastAsia="Arial" w:hAnsi="Arial" w:cs="Arial"/>
                <w:sz w:val="22"/>
                <w:szCs w:val="22"/>
              </w:rPr>
              <w:t>Los menores de edad podrán ser donantes de órganos y tejidos, siempre y cuando sus representantes legales expresen su consentimiento informado para tal fin; </w:t>
            </w:r>
            <w:r>
              <w:rPr>
                <w:rFonts w:ascii="Arial" w:eastAsia="Arial" w:hAnsi="Arial" w:cs="Arial"/>
                <w:b/>
                <w:bCs/>
                <w:sz w:val="22"/>
                <w:szCs w:val="22"/>
              </w:rPr>
              <w:t>una vez se certifique su fallecimiento</w:t>
            </w:r>
            <w:r>
              <w:rPr>
                <w:rFonts w:ascii="Arial" w:eastAsia="Arial" w:hAnsi="Arial" w:cs="Arial"/>
                <w:sz w:val="22"/>
                <w:szCs w:val="22"/>
              </w:rPr>
              <w:t>, en los términos descritos en el literal a) del artículo 542 de la Ley 9 de 1979.</w:t>
            </w:r>
          </w:p>
          <w:p w14:paraId="0000005E" w14:textId="77777777" w:rsidR="001C40B0" w:rsidRDefault="001C40B0">
            <w:pPr>
              <w:jc w:val="both"/>
              <w:rPr>
                <w:rFonts w:ascii="Arial" w:eastAsia="Arial" w:hAnsi="Arial" w:cs="Arial"/>
                <w:sz w:val="22"/>
                <w:szCs w:val="22"/>
              </w:rPr>
            </w:pPr>
          </w:p>
          <w:p w14:paraId="0000005F" w14:textId="77777777" w:rsidR="001C40B0" w:rsidRDefault="00291712">
            <w:pPr>
              <w:jc w:val="both"/>
              <w:rPr>
                <w:rFonts w:ascii="Arial" w:eastAsia="Arial" w:hAnsi="Arial" w:cs="Arial"/>
                <w:sz w:val="22"/>
                <w:szCs w:val="22"/>
              </w:rPr>
            </w:pPr>
            <w:r>
              <w:rPr>
                <w:rFonts w:ascii="Arial" w:eastAsia="Arial" w:hAnsi="Arial" w:cs="Arial"/>
                <w:color w:val="000000"/>
                <w:sz w:val="22"/>
                <w:szCs w:val="22"/>
              </w:rPr>
              <w:t>El médico coordinador operativo de trasplantes deberá informarles sus derechos y los beneficios de la donación a los representantes del menor.</w:t>
            </w:r>
          </w:p>
        </w:tc>
        <w:tc>
          <w:tcPr>
            <w:tcW w:w="1432" w:type="dxa"/>
            <w:vAlign w:val="center"/>
          </w:tcPr>
          <w:p w14:paraId="00000060"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H.R Jorge Eliécer Tamayo Marulanda </w:t>
            </w:r>
          </w:p>
          <w:p w14:paraId="00000061" w14:textId="77777777" w:rsidR="001C40B0" w:rsidRDefault="001C40B0">
            <w:pPr>
              <w:jc w:val="both"/>
              <w:rPr>
                <w:rFonts w:ascii="Arial" w:eastAsia="Arial" w:hAnsi="Arial" w:cs="Arial"/>
                <w:b/>
                <w:bCs/>
                <w:sz w:val="22"/>
                <w:szCs w:val="22"/>
              </w:rPr>
            </w:pPr>
          </w:p>
          <w:p w14:paraId="00000062" w14:textId="77777777" w:rsidR="001C40B0" w:rsidRDefault="00291712">
            <w:pPr>
              <w:jc w:val="both"/>
              <w:rPr>
                <w:rFonts w:ascii="Arial" w:eastAsia="Arial" w:hAnsi="Arial" w:cs="Arial"/>
                <w:b/>
                <w:bCs/>
                <w:sz w:val="22"/>
                <w:szCs w:val="22"/>
              </w:rPr>
            </w:pPr>
            <w:r>
              <w:rPr>
                <w:rFonts w:ascii="Arial" w:eastAsia="Arial" w:hAnsi="Arial" w:cs="Arial"/>
                <w:b/>
                <w:bCs/>
                <w:sz w:val="22"/>
                <w:szCs w:val="22"/>
              </w:rPr>
              <w:t>ACOGIDA</w:t>
            </w:r>
          </w:p>
        </w:tc>
      </w:tr>
      <w:tr w:rsidR="001C40B0" w14:paraId="66FFE89E" w14:textId="77777777">
        <w:tc>
          <w:tcPr>
            <w:tcW w:w="928" w:type="dxa"/>
            <w:vAlign w:val="center"/>
          </w:tcPr>
          <w:p w14:paraId="00000063" w14:textId="77777777" w:rsidR="001C40B0" w:rsidRDefault="00291712">
            <w:pPr>
              <w:jc w:val="both"/>
              <w:rPr>
                <w:rFonts w:ascii="Arial" w:eastAsia="Arial" w:hAnsi="Arial" w:cs="Arial"/>
                <w:sz w:val="22"/>
                <w:szCs w:val="22"/>
              </w:rPr>
            </w:pPr>
            <w:r>
              <w:rPr>
                <w:rFonts w:ascii="Arial" w:eastAsia="Arial" w:hAnsi="Arial" w:cs="Arial"/>
                <w:b/>
                <w:bCs/>
                <w:sz w:val="22"/>
                <w:szCs w:val="22"/>
              </w:rPr>
              <w:t>Art. 6</w:t>
            </w:r>
          </w:p>
        </w:tc>
        <w:tc>
          <w:tcPr>
            <w:tcW w:w="3351" w:type="dxa"/>
            <w:vAlign w:val="center"/>
          </w:tcPr>
          <w:p w14:paraId="00000064"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ARTÍCULO 6. COMPONENTE EDUCATIVO.</w:t>
            </w:r>
            <w:r>
              <w:rPr>
                <w:rFonts w:ascii="Arial" w:eastAsia="Arial" w:hAnsi="Arial" w:cs="Arial"/>
                <w:color w:val="000000"/>
                <w:sz w:val="22"/>
                <w:szCs w:val="22"/>
              </w:rPr>
              <w:t xml:space="preserve"> Las Instituciones de Educación Superior deberán incluir en los programas </w:t>
            </w:r>
            <w:r>
              <w:rPr>
                <w:rFonts w:ascii="Arial" w:eastAsia="Arial" w:hAnsi="Arial" w:cs="Arial"/>
                <w:color w:val="000000"/>
                <w:sz w:val="22"/>
                <w:szCs w:val="22"/>
              </w:rPr>
              <w:lastRenderedPageBreak/>
              <w:t>académicos que versen sobre las diferentes áreas de la salud y bienestar, la formación técnica, legal, ética y psicosocial necesaria en los procedimientos de donación y trasplante de órganos y tejidos, bajo los parámetros técnicos y legales vigentes.</w:t>
            </w:r>
          </w:p>
          <w:p w14:paraId="00000065"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066"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Las instituciones prestadoras de servicios de salud, así como pagadores, EPS o quien haga sus veces, deberán incluir programas de educación y difusión de la normatividad y procesos operativos de donación y trasplante a todos sus trabajadores, colaboradores y afiliados.</w:t>
            </w:r>
          </w:p>
          <w:p w14:paraId="00000067"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068" w14:textId="77777777" w:rsidR="001C40B0" w:rsidRDefault="00291712">
            <w:pPr>
              <w:jc w:val="both"/>
              <w:rPr>
                <w:rFonts w:ascii="Arial" w:eastAsia="Arial" w:hAnsi="Arial" w:cs="Arial"/>
                <w:sz w:val="22"/>
                <w:szCs w:val="22"/>
              </w:rPr>
            </w:pPr>
            <w:r>
              <w:rPr>
                <w:rFonts w:ascii="Arial" w:eastAsia="Arial" w:hAnsi="Arial" w:cs="Arial"/>
                <w:color w:val="000000"/>
                <w:sz w:val="22"/>
                <w:szCs w:val="22"/>
              </w:rPr>
              <w:t>El Ministerio de Salud y Protección Social deberá realizar capacitaciones o actualizaciones en materia de donación de órganos y tejidos para las Instituciones de Educación Superior y particulares interesados, con medición de impacto a nivel nacional y regional.</w:t>
            </w:r>
          </w:p>
        </w:tc>
        <w:tc>
          <w:tcPr>
            <w:tcW w:w="3351" w:type="dxa"/>
            <w:vAlign w:val="center"/>
          </w:tcPr>
          <w:p w14:paraId="00000069"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lastRenderedPageBreak/>
              <w:t>ARTÍCULO 6. COMPONENTE EDUCATIVO.</w:t>
            </w:r>
            <w:r>
              <w:rPr>
                <w:rFonts w:ascii="Arial" w:eastAsia="Arial" w:hAnsi="Arial" w:cs="Arial"/>
                <w:color w:val="000000"/>
                <w:sz w:val="22"/>
                <w:szCs w:val="22"/>
              </w:rPr>
              <w:t xml:space="preserve"> Las Instituciones de Educación Superior </w:t>
            </w:r>
            <w:r>
              <w:rPr>
                <w:rFonts w:ascii="Arial" w:eastAsia="Arial" w:hAnsi="Arial" w:cs="Arial"/>
                <w:b/>
                <w:bCs/>
                <w:color w:val="000000"/>
                <w:sz w:val="22"/>
                <w:szCs w:val="22"/>
                <w:u w:val="single"/>
              </w:rPr>
              <w:t>podrán</w:t>
            </w:r>
            <w:r>
              <w:rPr>
                <w:rFonts w:ascii="Arial" w:eastAsia="Arial" w:hAnsi="Arial" w:cs="Arial"/>
                <w:color w:val="000000"/>
                <w:sz w:val="22"/>
                <w:szCs w:val="22"/>
              </w:rPr>
              <w:t xml:space="preserve"> incluir en los programas académicos que </w:t>
            </w:r>
            <w:r>
              <w:rPr>
                <w:rFonts w:ascii="Arial" w:eastAsia="Arial" w:hAnsi="Arial" w:cs="Arial"/>
                <w:color w:val="000000"/>
                <w:sz w:val="22"/>
                <w:szCs w:val="22"/>
              </w:rPr>
              <w:lastRenderedPageBreak/>
              <w:t>versen sobre las diferentes áreas de la salud y bienestar, la formación técnica, legal, ética y psicosocial necesaria en los procedimientos de donación y trasplante de órganos y tejidos, bajo los parámetros técnicos y legales vigentes.</w:t>
            </w:r>
          </w:p>
          <w:p w14:paraId="0000006A"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06B"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Las instituciones prestadoras de servicios de salud, así como pagadores, EPS o quien haga sus veces, deberán incluir programas de educación y difusión de la normatividad y procesos operativos de donación y trasplante a todos sus trabajadores, colaboradores y afiliados.</w:t>
            </w:r>
          </w:p>
          <w:p w14:paraId="0000006C"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06D" w14:textId="77777777" w:rsidR="001C40B0" w:rsidRDefault="00291712">
            <w:pPr>
              <w:jc w:val="both"/>
              <w:rPr>
                <w:rFonts w:ascii="Arial" w:eastAsia="Arial" w:hAnsi="Arial" w:cs="Arial"/>
                <w:sz w:val="22"/>
                <w:szCs w:val="22"/>
              </w:rPr>
            </w:pPr>
            <w:r>
              <w:rPr>
                <w:rFonts w:ascii="Arial" w:eastAsia="Arial" w:hAnsi="Arial" w:cs="Arial"/>
                <w:color w:val="000000"/>
                <w:sz w:val="22"/>
                <w:szCs w:val="22"/>
              </w:rPr>
              <w:t>El Ministerio de Salud y Protección Social deberá realizar capacitaciones o actualizaciones en materia de donación de órganos y tejidos para las Instituciones de Educación Superior y particulares interesados, con medición de impacto a nivel nacional y regional.</w:t>
            </w:r>
          </w:p>
        </w:tc>
        <w:tc>
          <w:tcPr>
            <w:tcW w:w="1432" w:type="dxa"/>
            <w:vAlign w:val="center"/>
          </w:tcPr>
          <w:p w14:paraId="0000006E" w14:textId="77777777" w:rsidR="001C40B0" w:rsidRDefault="00291712">
            <w:pPr>
              <w:jc w:val="both"/>
              <w:rPr>
                <w:rFonts w:ascii="Arial" w:eastAsia="Arial" w:hAnsi="Arial" w:cs="Arial"/>
                <w:sz w:val="22"/>
                <w:szCs w:val="22"/>
              </w:rPr>
            </w:pPr>
            <w:r>
              <w:rPr>
                <w:rFonts w:ascii="Arial" w:eastAsia="Arial" w:hAnsi="Arial" w:cs="Arial"/>
                <w:sz w:val="22"/>
                <w:szCs w:val="22"/>
              </w:rPr>
              <w:lastRenderedPageBreak/>
              <w:t xml:space="preserve">H.R Juan Daniel Peñuela Calvache </w:t>
            </w:r>
          </w:p>
          <w:p w14:paraId="0000006F" w14:textId="77777777" w:rsidR="001C40B0" w:rsidRDefault="001C40B0">
            <w:pPr>
              <w:jc w:val="both"/>
              <w:rPr>
                <w:rFonts w:ascii="Arial" w:eastAsia="Arial" w:hAnsi="Arial" w:cs="Arial"/>
                <w:sz w:val="22"/>
                <w:szCs w:val="22"/>
              </w:rPr>
            </w:pPr>
          </w:p>
          <w:p w14:paraId="00000070" w14:textId="77777777" w:rsidR="001C40B0" w:rsidRDefault="00291712">
            <w:pPr>
              <w:jc w:val="both"/>
              <w:rPr>
                <w:rFonts w:ascii="Arial" w:eastAsia="Arial" w:hAnsi="Arial" w:cs="Arial"/>
                <w:sz w:val="22"/>
                <w:szCs w:val="22"/>
              </w:rPr>
            </w:pPr>
            <w:r>
              <w:rPr>
                <w:rFonts w:ascii="Arial" w:eastAsia="Arial" w:hAnsi="Arial" w:cs="Arial"/>
                <w:b/>
                <w:bCs/>
                <w:sz w:val="22"/>
                <w:szCs w:val="22"/>
              </w:rPr>
              <w:t>ACOGIDA</w:t>
            </w:r>
          </w:p>
        </w:tc>
      </w:tr>
      <w:tr w:rsidR="001C40B0" w14:paraId="028BF30F" w14:textId="77777777">
        <w:tc>
          <w:tcPr>
            <w:tcW w:w="928" w:type="dxa"/>
            <w:vAlign w:val="center"/>
          </w:tcPr>
          <w:p w14:paraId="00000071" w14:textId="77777777" w:rsidR="001C40B0" w:rsidRDefault="00291712">
            <w:pPr>
              <w:jc w:val="both"/>
              <w:rPr>
                <w:rFonts w:ascii="Arial" w:eastAsia="Arial" w:hAnsi="Arial" w:cs="Arial"/>
                <w:sz w:val="22"/>
                <w:szCs w:val="22"/>
              </w:rPr>
            </w:pPr>
            <w:r>
              <w:rPr>
                <w:rFonts w:ascii="Arial" w:eastAsia="Arial" w:hAnsi="Arial" w:cs="Arial"/>
                <w:b/>
                <w:bCs/>
                <w:sz w:val="22"/>
                <w:szCs w:val="22"/>
              </w:rPr>
              <w:lastRenderedPageBreak/>
              <w:t>Art. 13</w:t>
            </w:r>
          </w:p>
        </w:tc>
        <w:tc>
          <w:tcPr>
            <w:tcW w:w="3351" w:type="dxa"/>
            <w:vAlign w:val="center"/>
          </w:tcPr>
          <w:p w14:paraId="00000072"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ARTÍCULO 13. SOSTENIBILIDAD DEL SISTEMA.</w:t>
            </w:r>
            <w:r>
              <w:rPr>
                <w:rFonts w:ascii="Arial" w:eastAsia="Arial" w:hAnsi="Arial" w:cs="Arial"/>
                <w:color w:val="000000"/>
                <w:sz w:val="22"/>
                <w:szCs w:val="22"/>
              </w:rPr>
              <w:t xml:space="preserve"> El Ministerio de Salud y Protección Social determinará del valor de la UPC el porcentaje correspondiente al financiamiento de las acciones de donación en donante vivo, fallecido, en parada cardio respiratoria, así como las actividades de perfusión dinámica de órganos. Lo correspondiente al financiamiento de los procedimientos de trasplante y de donante vivo deberán ser reglamentados por el Ministerio de Salud en los planes de beneficios </w:t>
            </w:r>
            <w:r>
              <w:rPr>
                <w:rFonts w:ascii="Arial" w:eastAsia="Arial" w:hAnsi="Arial" w:cs="Arial"/>
                <w:color w:val="000000"/>
                <w:sz w:val="22"/>
                <w:szCs w:val="22"/>
              </w:rPr>
              <w:lastRenderedPageBreak/>
              <w:t>y su pago será realizado por los aseguradores de los receptores.</w:t>
            </w:r>
          </w:p>
          <w:p w14:paraId="00000073"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074"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La tecnología necesaria para mantenimiento de donantes en muerte encefálica, fallecidos por parada circulatoria, y para la perfusión de órganos incluyendo ECMO o máquinas de perfusión in situ o ex situ (o nuevas tecnologías) serán asumidos por el pagador </w:t>
            </w:r>
            <w:r>
              <w:rPr>
                <w:rFonts w:ascii="Arial" w:eastAsia="Arial" w:hAnsi="Arial" w:cs="Arial"/>
                <w:i/>
                <w:iCs/>
                <w:color w:val="000000"/>
                <w:sz w:val="22"/>
                <w:szCs w:val="22"/>
              </w:rPr>
              <w:t>d</w:t>
            </w:r>
            <w:r>
              <w:rPr>
                <w:rFonts w:ascii="Arial" w:eastAsia="Arial" w:hAnsi="Arial" w:cs="Arial"/>
                <w:color w:val="000000"/>
                <w:sz w:val="22"/>
                <w:szCs w:val="22"/>
              </w:rPr>
              <w:t>el sistema de salud.</w:t>
            </w:r>
          </w:p>
          <w:p w14:paraId="00000075"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076" w14:textId="77777777" w:rsidR="001C40B0" w:rsidRDefault="00291712">
            <w:pPr>
              <w:jc w:val="both"/>
              <w:rPr>
                <w:rFonts w:ascii="Arial" w:eastAsia="Arial" w:hAnsi="Arial" w:cs="Arial"/>
                <w:sz w:val="22"/>
                <w:szCs w:val="22"/>
              </w:rPr>
            </w:pPr>
            <w:r>
              <w:rPr>
                <w:rFonts w:ascii="Arial" w:eastAsia="Arial" w:hAnsi="Arial" w:cs="Arial"/>
                <w:color w:val="000000"/>
                <w:sz w:val="22"/>
                <w:szCs w:val="22"/>
              </w:rPr>
              <w:t>En caso de implementación de nuevas tecnologías y procedimientos para donación y trasplantes, cuyo uso sea avalado por el Ministerio de salud y protección social los recursos estarán a cargo de la UPC, cuyos procedimientos específicos serán determinados por la dirección de beneficios costos y tarifas del Ministerio de Salud y Protección Social.</w:t>
            </w:r>
          </w:p>
        </w:tc>
        <w:tc>
          <w:tcPr>
            <w:tcW w:w="3351" w:type="dxa"/>
            <w:vAlign w:val="center"/>
          </w:tcPr>
          <w:p w14:paraId="00000077"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lastRenderedPageBreak/>
              <w:t>ARTÍCULO 13. SOSTENIBILIDAD DEL SISTEMA.</w:t>
            </w:r>
            <w:r>
              <w:rPr>
                <w:rFonts w:ascii="Arial" w:eastAsia="Arial" w:hAnsi="Arial" w:cs="Arial"/>
                <w:color w:val="000000"/>
                <w:sz w:val="22"/>
                <w:szCs w:val="22"/>
              </w:rPr>
              <w:t xml:space="preserve"> El Ministerio de Salud y Protección Social determinará del valor de la UPC el porcentaje correspondiente al financiamiento de las acciones de donación en donante vivo, fallecido, en parada cardio respiratoria, así como las actividades de perfusión dinámica de órganos. Lo correspondiente al financiamiento de los procedimientos de trasplante y de donante vivo deberán ser reglamentados por el Ministerio de Salud en los planes de beneficios </w:t>
            </w:r>
            <w:r>
              <w:rPr>
                <w:rFonts w:ascii="Arial" w:eastAsia="Arial" w:hAnsi="Arial" w:cs="Arial"/>
                <w:color w:val="000000"/>
                <w:sz w:val="22"/>
                <w:szCs w:val="22"/>
              </w:rPr>
              <w:lastRenderedPageBreak/>
              <w:t>y su pago será realizado por los aseguradores de los receptores.</w:t>
            </w:r>
          </w:p>
          <w:p w14:paraId="00000078"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079"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La tecnología necesaria para mantenimiento de donantes en muerte encefálica, fallecidos por parada circulatoria, y para la perfusión de órganos incluyendo ECMO o máquinas de perfusión in situ o ex situ (o nuevas tecnologías) serán asumidos por el pagador </w:t>
            </w:r>
            <w:r>
              <w:rPr>
                <w:rFonts w:ascii="Arial" w:eastAsia="Arial" w:hAnsi="Arial" w:cs="Arial"/>
                <w:i/>
                <w:iCs/>
                <w:color w:val="000000"/>
                <w:sz w:val="22"/>
                <w:szCs w:val="22"/>
              </w:rPr>
              <w:t>d</w:t>
            </w:r>
            <w:r>
              <w:rPr>
                <w:rFonts w:ascii="Arial" w:eastAsia="Arial" w:hAnsi="Arial" w:cs="Arial"/>
                <w:color w:val="000000"/>
                <w:sz w:val="22"/>
                <w:szCs w:val="22"/>
              </w:rPr>
              <w:t>el sistema de salud.</w:t>
            </w:r>
          </w:p>
          <w:p w14:paraId="0000007A"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07B" w14:textId="77777777" w:rsidR="001C40B0" w:rsidRDefault="00291712">
            <w:pPr>
              <w:jc w:val="both"/>
              <w:rPr>
                <w:rFonts w:ascii="Arial" w:eastAsia="Arial" w:hAnsi="Arial" w:cs="Arial"/>
                <w:color w:val="000000"/>
                <w:sz w:val="22"/>
                <w:szCs w:val="22"/>
              </w:rPr>
            </w:pPr>
            <w:r>
              <w:rPr>
                <w:rFonts w:ascii="Arial" w:eastAsia="Arial" w:hAnsi="Arial" w:cs="Arial"/>
                <w:color w:val="000000"/>
                <w:sz w:val="22"/>
                <w:szCs w:val="22"/>
              </w:rPr>
              <w:t>En caso de implementación de nuevas tecnologías y procedimientos para donación y trasplantes, cuyo uso sea avalado por el Ministerio de salud y protección social los recursos estarán a cargo de la UPC, cuyos procedimientos específicos serán determinados por la dirección de beneficios costos y tarifas del Ministerio de Salud y Protección Social.</w:t>
            </w:r>
          </w:p>
          <w:p w14:paraId="0000007C" w14:textId="77777777" w:rsidR="001C40B0" w:rsidRDefault="001C40B0">
            <w:pPr>
              <w:jc w:val="both"/>
              <w:rPr>
                <w:rFonts w:ascii="Arial" w:eastAsia="Arial" w:hAnsi="Arial" w:cs="Arial"/>
                <w:sz w:val="22"/>
                <w:szCs w:val="22"/>
              </w:rPr>
            </w:pPr>
          </w:p>
          <w:p w14:paraId="0000007D" w14:textId="77777777" w:rsidR="001C40B0" w:rsidRDefault="00291712">
            <w:pPr>
              <w:jc w:val="both"/>
              <w:rPr>
                <w:rFonts w:ascii="Arial" w:eastAsia="Arial" w:hAnsi="Arial" w:cs="Arial"/>
                <w:sz w:val="22"/>
                <w:szCs w:val="22"/>
              </w:rPr>
            </w:pPr>
            <w:r>
              <w:rPr>
                <w:rFonts w:ascii="Arial" w:eastAsia="Arial" w:hAnsi="Arial" w:cs="Arial"/>
                <w:b/>
                <w:bCs/>
                <w:sz w:val="22"/>
                <w:szCs w:val="22"/>
                <w:u w:val="single"/>
              </w:rPr>
              <w:t>Las EPS o entidades que hagan sus veces no podrán imponer barreras administrativas, glosas o trámites no clínicos que retrasen la autorización de procedimientos de donación, trasplante o postrasplante,</w:t>
            </w:r>
            <w:r>
              <w:rPr>
                <w:rFonts w:ascii="Arial" w:eastAsia="Arial" w:hAnsi="Arial" w:cs="Arial"/>
                <w:sz w:val="22"/>
                <w:szCs w:val="22"/>
                <w:u w:val="single"/>
              </w:rPr>
              <w:t> </w:t>
            </w:r>
            <w:r>
              <w:rPr>
                <w:rFonts w:ascii="Arial" w:eastAsia="Arial" w:hAnsi="Arial" w:cs="Arial"/>
                <w:b/>
                <w:bCs/>
                <w:sz w:val="22"/>
                <w:szCs w:val="22"/>
                <w:u w:val="single"/>
              </w:rPr>
              <w:t>so pena de sanción por parte de la Superintendencia Nacional de Salud</w:t>
            </w:r>
            <w:r>
              <w:rPr>
                <w:rFonts w:ascii="Arial" w:eastAsia="Arial" w:hAnsi="Arial" w:cs="Arial"/>
                <w:sz w:val="22"/>
                <w:szCs w:val="22"/>
                <w:u w:val="single"/>
              </w:rPr>
              <w:t>.</w:t>
            </w:r>
          </w:p>
        </w:tc>
        <w:tc>
          <w:tcPr>
            <w:tcW w:w="1432" w:type="dxa"/>
            <w:vAlign w:val="center"/>
          </w:tcPr>
          <w:p w14:paraId="0000007E" w14:textId="77777777" w:rsidR="001C40B0" w:rsidRDefault="00291712">
            <w:pPr>
              <w:jc w:val="both"/>
              <w:rPr>
                <w:rFonts w:ascii="Arial" w:eastAsia="Arial" w:hAnsi="Arial" w:cs="Arial"/>
                <w:sz w:val="22"/>
                <w:szCs w:val="22"/>
              </w:rPr>
            </w:pPr>
            <w:r>
              <w:rPr>
                <w:rFonts w:ascii="Arial" w:eastAsia="Arial" w:hAnsi="Arial" w:cs="Arial"/>
                <w:sz w:val="22"/>
                <w:szCs w:val="22"/>
              </w:rPr>
              <w:lastRenderedPageBreak/>
              <w:t>H.R David Ricardo Racero Mayorca</w:t>
            </w:r>
          </w:p>
          <w:p w14:paraId="0000007F" w14:textId="77777777" w:rsidR="001C40B0" w:rsidRDefault="001C40B0">
            <w:pPr>
              <w:jc w:val="both"/>
              <w:rPr>
                <w:rFonts w:ascii="Arial" w:eastAsia="Arial" w:hAnsi="Arial" w:cs="Arial"/>
                <w:sz w:val="22"/>
                <w:szCs w:val="22"/>
              </w:rPr>
            </w:pPr>
          </w:p>
          <w:p w14:paraId="00000080" w14:textId="77777777" w:rsidR="001C40B0" w:rsidRDefault="00291712">
            <w:pPr>
              <w:jc w:val="both"/>
              <w:rPr>
                <w:rFonts w:ascii="Arial" w:eastAsia="Arial" w:hAnsi="Arial" w:cs="Arial"/>
                <w:b/>
                <w:bCs/>
                <w:sz w:val="22"/>
                <w:szCs w:val="22"/>
                <w:u w:val="single"/>
              </w:rPr>
            </w:pPr>
            <w:r>
              <w:rPr>
                <w:rFonts w:ascii="Arial" w:eastAsia="Arial" w:hAnsi="Arial" w:cs="Arial"/>
                <w:b/>
                <w:bCs/>
                <w:sz w:val="22"/>
                <w:szCs w:val="22"/>
              </w:rPr>
              <w:t>ACOGIDA</w:t>
            </w:r>
          </w:p>
        </w:tc>
      </w:tr>
      <w:tr w:rsidR="001C40B0" w14:paraId="4DF82B04" w14:textId="77777777">
        <w:tc>
          <w:tcPr>
            <w:tcW w:w="928" w:type="dxa"/>
            <w:vAlign w:val="center"/>
          </w:tcPr>
          <w:p w14:paraId="00000081" w14:textId="77777777" w:rsidR="001C40B0" w:rsidRDefault="00291712">
            <w:pPr>
              <w:jc w:val="both"/>
              <w:rPr>
                <w:rFonts w:ascii="Arial" w:eastAsia="Arial" w:hAnsi="Arial" w:cs="Arial"/>
                <w:sz w:val="22"/>
                <w:szCs w:val="22"/>
              </w:rPr>
            </w:pPr>
            <w:r>
              <w:rPr>
                <w:rFonts w:ascii="Arial" w:eastAsia="Arial" w:hAnsi="Arial" w:cs="Arial"/>
                <w:b/>
                <w:bCs/>
                <w:sz w:val="22"/>
                <w:szCs w:val="22"/>
              </w:rPr>
              <w:lastRenderedPageBreak/>
              <w:t>Art. 14</w:t>
            </w:r>
          </w:p>
        </w:tc>
        <w:tc>
          <w:tcPr>
            <w:tcW w:w="3351" w:type="dxa"/>
            <w:vAlign w:val="center"/>
          </w:tcPr>
          <w:p w14:paraId="00000082"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ARTÍCULO 14. DONACIÓN EN LA CÉDULA DE CIUDADANÍA. </w:t>
            </w:r>
            <w:r>
              <w:rPr>
                <w:rFonts w:ascii="Arial" w:eastAsia="Arial" w:hAnsi="Arial" w:cs="Arial"/>
                <w:color w:val="000000"/>
                <w:sz w:val="22"/>
                <w:szCs w:val="22"/>
              </w:rPr>
              <w:t xml:space="preserve">La Registraduría Nacional del Estado Civil, incorporará un mecanismo la manifestación expresa de aceptación o rechazo de la condición de donante de órganos, tejidos o componente anatómicos en la cédula de ciudadanía. Esta se hará mediante mecanismos de </w:t>
            </w:r>
            <w:r>
              <w:rPr>
                <w:rFonts w:ascii="Arial" w:eastAsia="Arial" w:hAnsi="Arial" w:cs="Arial"/>
                <w:color w:val="000000"/>
                <w:sz w:val="22"/>
                <w:szCs w:val="22"/>
              </w:rPr>
              <w:lastRenderedPageBreak/>
              <w:t>seguridad invisible al público en general. Esta manifestación tendrá plena validez jurídica y deberá ser consultada previamente a cualquier procedimiento de donación o trasplante antes de la realización del procedimiento en la materia a la familia del donante.</w:t>
            </w:r>
          </w:p>
          <w:p w14:paraId="00000083"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084" w14:textId="77777777" w:rsidR="001C40B0" w:rsidRDefault="00291712">
            <w:pPr>
              <w:jc w:val="both"/>
              <w:rPr>
                <w:rFonts w:ascii="Arial" w:eastAsia="Arial" w:hAnsi="Arial" w:cs="Arial"/>
                <w:sz w:val="22"/>
                <w:szCs w:val="22"/>
              </w:rPr>
            </w:pPr>
            <w:r>
              <w:rPr>
                <w:rFonts w:ascii="Arial" w:eastAsia="Arial" w:hAnsi="Arial" w:cs="Arial"/>
                <w:color w:val="000000"/>
                <w:sz w:val="22"/>
                <w:szCs w:val="22"/>
              </w:rPr>
              <w:t>La modificación propuesta en este artículo sólo se realizará sobre las cédulas de ciudadanía que se expidan con posterioridad a la entrada en vigencia de la presente ley, las demás cédulas serán válidas y no requerirán renovación o cambio.</w:t>
            </w:r>
          </w:p>
        </w:tc>
        <w:tc>
          <w:tcPr>
            <w:tcW w:w="3351" w:type="dxa"/>
            <w:vAlign w:val="center"/>
          </w:tcPr>
          <w:p w14:paraId="00000085" w14:textId="77777777" w:rsidR="001C40B0" w:rsidRDefault="00291712">
            <w:pPr>
              <w:pBdr>
                <w:top w:val="nil"/>
                <w:left w:val="nil"/>
                <w:bottom w:val="nil"/>
                <w:right w:val="nil"/>
                <w:between w:val="nil"/>
              </w:pBdr>
              <w:jc w:val="both"/>
              <w:rPr>
                <w:rFonts w:ascii="Arial" w:eastAsia="Arial" w:hAnsi="Arial" w:cs="Arial"/>
                <w:b/>
                <w:bCs/>
                <w:color w:val="000000"/>
                <w:sz w:val="22"/>
                <w:szCs w:val="22"/>
                <w:u w:val="single"/>
              </w:rPr>
            </w:pPr>
            <w:r>
              <w:rPr>
                <w:rFonts w:ascii="Arial" w:eastAsia="Arial" w:hAnsi="Arial" w:cs="Arial"/>
                <w:b/>
                <w:bCs/>
                <w:color w:val="000000"/>
                <w:sz w:val="22"/>
                <w:szCs w:val="22"/>
              </w:rPr>
              <w:lastRenderedPageBreak/>
              <w:t xml:space="preserve">ARTÍCULO 14. DONACIÓN EN LA CÉDULA DE CIUDADANÍA. </w:t>
            </w:r>
            <w:r>
              <w:rPr>
                <w:rFonts w:ascii="Arial" w:eastAsia="Arial" w:hAnsi="Arial" w:cs="Arial"/>
                <w:color w:val="000000"/>
                <w:sz w:val="22"/>
                <w:szCs w:val="22"/>
              </w:rPr>
              <w:t xml:space="preserve">La Registraduría Nacional del Estado Civil, incorporará un mecanismo la manifestación expresa de aceptación o rechazo de la condición de donante de órganos, tejidos o componente anatómicos en la cédula de ciudadanía </w:t>
            </w:r>
            <w:r>
              <w:rPr>
                <w:rFonts w:ascii="Arial" w:eastAsia="Arial" w:hAnsi="Arial" w:cs="Arial"/>
                <w:b/>
                <w:bCs/>
                <w:color w:val="000000"/>
                <w:sz w:val="22"/>
                <w:szCs w:val="22"/>
                <w:u w:val="single"/>
              </w:rPr>
              <w:t xml:space="preserve">o en sus sistemas interoperables asociados. La </w:t>
            </w:r>
            <w:r>
              <w:rPr>
                <w:rFonts w:ascii="Arial" w:eastAsia="Arial" w:hAnsi="Arial" w:cs="Arial"/>
                <w:b/>
                <w:bCs/>
                <w:color w:val="000000"/>
                <w:sz w:val="22"/>
                <w:szCs w:val="22"/>
                <w:u w:val="single"/>
              </w:rPr>
              <w:lastRenderedPageBreak/>
              <w:t>voluntad expresa registrada por el ciudadano tendrá plena validez jurídica y prevalecerá sobre cualquier manifestación posterior de terceros</w:t>
            </w:r>
            <w:r>
              <w:rPr>
                <w:rFonts w:ascii="Arial" w:eastAsia="Arial" w:hAnsi="Arial" w:cs="Arial"/>
                <w:color w:val="000000"/>
                <w:sz w:val="22"/>
                <w:szCs w:val="22"/>
                <w:u w:val="single"/>
              </w:rPr>
              <w:t xml:space="preserve">, </w:t>
            </w:r>
            <w:r>
              <w:rPr>
                <w:rFonts w:ascii="Arial" w:eastAsia="Arial" w:hAnsi="Arial" w:cs="Arial"/>
                <w:b/>
                <w:bCs/>
                <w:color w:val="000000"/>
                <w:sz w:val="22"/>
                <w:szCs w:val="22"/>
                <w:u w:val="single"/>
              </w:rPr>
              <w:t xml:space="preserve">salvo prueba de revocatoria conforme a la ley. </w:t>
            </w:r>
          </w:p>
          <w:p w14:paraId="00000086" w14:textId="77777777" w:rsidR="001C40B0" w:rsidRDefault="001C40B0">
            <w:pPr>
              <w:pBdr>
                <w:top w:val="nil"/>
                <w:left w:val="nil"/>
                <w:bottom w:val="nil"/>
                <w:right w:val="nil"/>
                <w:between w:val="nil"/>
              </w:pBdr>
              <w:jc w:val="both"/>
              <w:rPr>
                <w:rFonts w:ascii="Arial" w:eastAsia="Arial" w:hAnsi="Arial" w:cs="Arial"/>
                <w:b/>
                <w:bCs/>
                <w:color w:val="000000"/>
                <w:sz w:val="22"/>
                <w:szCs w:val="22"/>
                <w:u w:val="single"/>
              </w:rPr>
            </w:pPr>
          </w:p>
          <w:p w14:paraId="00000087"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La modificación propuesta en este artículo sólo se realizará sobre las cédulas de ciudadanía que se expidan con posterioridad a la entrada en vigencia de la presente ley, </w:t>
            </w:r>
            <w:r>
              <w:rPr>
                <w:rFonts w:ascii="Arial" w:eastAsia="Arial" w:hAnsi="Arial" w:cs="Arial"/>
                <w:b/>
                <w:bCs/>
                <w:color w:val="000000"/>
                <w:sz w:val="22"/>
                <w:szCs w:val="22"/>
                <w:u w:val="single"/>
              </w:rPr>
              <w:t xml:space="preserve">sin afectar validez de documentos previamente expedidos. </w:t>
            </w:r>
          </w:p>
        </w:tc>
        <w:tc>
          <w:tcPr>
            <w:tcW w:w="1432" w:type="dxa"/>
            <w:vAlign w:val="center"/>
          </w:tcPr>
          <w:p w14:paraId="00000088" w14:textId="77777777" w:rsidR="001C40B0" w:rsidRDefault="00291712">
            <w:pPr>
              <w:jc w:val="both"/>
              <w:rPr>
                <w:rFonts w:ascii="Arial" w:eastAsia="Arial" w:hAnsi="Arial" w:cs="Arial"/>
                <w:sz w:val="22"/>
                <w:szCs w:val="22"/>
              </w:rPr>
            </w:pPr>
            <w:r>
              <w:rPr>
                <w:rFonts w:ascii="Arial" w:eastAsia="Arial" w:hAnsi="Arial" w:cs="Arial"/>
                <w:sz w:val="22"/>
                <w:szCs w:val="22"/>
              </w:rPr>
              <w:lastRenderedPageBreak/>
              <w:t>H.R David Ricardo Racero Mayorca</w:t>
            </w:r>
          </w:p>
          <w:p w14:paraId="00000089" w14:textId="77777777" w:rsidR="001C40B0" w:rsidRDefault="001C40B0">
            <w:pPr>
              <w:jc w:val="both"/>
              <w:rPr>
                <w:rFonts w:ascii="Arial" w:eastAsia="Arial" w:hAnsi="Arial" w:cs="Arial"/>
                <w:sz w:val="22"/>
                <w:szCs w:val="22"/>
              </w:rPr>
            </w:pPr>
          </w:p>
          <w:p w14:paraId="0000008A" w14:textId="77777777" w:rsidR="001C40B0" w:rsidRDefault="00291712">
            <w:pPr>
              <w:jc w:val="both"/>
              <w:rPr>
                <w:rFonts w:ascii="Arial" w:eastAsia="Arial" w:hAnsi="Arial" w:cs="Arial"/>
                <w:b/>
                <w:bCs/>
                <w:sz w:val="22"/>
                <w:szCs w:val="22"/>
                <w:u w:val="single"/>
              </w:rPr>
            </w:pPr>
            <w:r>
              <w:rPr>
                <w:rFonts w:ascii="Arial" w:eastAsia="Arial" w:hAnsi="Arial" w:cs="Arial"/>
                <w:b/>
                <w:bCs/>
                <w:sz w:val="22"/>
                <w:szCs w:val="22"/>
              </w:rPr>
              <w:t>ACOGIDA</w:t>
            </w:r>
          </w:p>
        </w:tc>
      </w:tr>
      <w:tr w:rsidR="001C40B0" w14:paraId="44970482" w14:textId="77777777">
        <w:tc>
          <w:tcPr>
            <w:tcW w:w="928" w:type="dxa"/>
            <w:vAlign w:val="center"/>
          </w:tcPr>
          <w:p w14:paraId="0000008B" w14:textId="77777777" w:rsidR="001C40B0" w:rsidRDefault="00291712">
            <w:pPr>
              <w:jc w:val="both"/>
              <w:rPr>
                <w:rFonts w:ascii="Arial" w:eastAsia="Arial" w:hAnsi="Arial" w:cs="Arial"/>
                <w:sz w:val="22"/>
                <w:szCs w:val="22"/>
              </w:rPr>
            </w:pPr>
            <w:r>
              <w:rPr>
                <w:rFonts w:ascii="Arial" w:eastAsia="Arial" w:hAnsi="Arial" w:cs="Arial"/>
                <w:b/>
                <w:bCs/>
                <w:sz w:val="22"/>
                <w:szCs w:val="22"/>
              </w:rPr>
              <w:lastRenderedPageBreak/>
              <w:t>Art. 21</w:t>
            </w:r>
          </w:p>
        </w:tc>
        <w:tc>
          <w:tcPr>
            <w:tcW w:w="3351" w:type="dxa"/>
            <w:vAlign w:val="center"/>
          </w:tcPr>
          <w:p w14:paraId="0000008C"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ARTÍCULO 21. INTEGRACIÓN RESPONSABLE DE LA INTELIGENCIA ARTIFICIAL EN LOS PROCESOS DE DONACIÓN DE ÓRGANOS Y TEJIDOS.  </w:t>
            </w:r>
            <w:r>
              <w:rPr>
                <w:rFonts w:ascii="Arial" w:eastAsia="Arial" w:hAnsi="Arial" w:cs="Arial"/>
                <w:color w:val="000000"/>
                <w:sz w:val="22"/>
                <w:szCs w:val="22"/>
              </w:rPr>
              <w:t xml:space="preserve">La inteligencia artificial (IA) podrá ser utilizada para optimizar la identificación de donantes, la asignación de órganos y la gestión de la lista de espera, priorizando la equidad, eficiencia y transparencia en el sistema de trasplantes, sin sustituir el juicio clínico ni las decisiones que comprometan la determinación de la muerte. Los sistemas de IA se orientarán a la detección en tiempo real de donantes potenciales y facilitarán el matching con receptores según compatibilidad inmunológica, urgencia médica y otros criterios clínicos relevantes, reduciendo tiempos de isquemia y mejorando los resultados postrasplantes, así como las demás actividades en que se pueda optimizar los procesos y la calidad de los trasplantes de órganos y </w:t>
            </w:r>
            <w:r>
              <w:rPr>
                <w:rFonts w:ascii="Arial" w:eastAsia="Arial" w:hAnsi="Arial" w:cs="Arial"/>
                <w:color w:val="000000"/>
                <w:sz w:val="22"/>
                <w:szCs w:val="22"/>
              </w:rPr>
              <w:lastRenderedPageBreak/>
              <w:t>tejidos.  Así mismo, deberá tenerse en cuenta para su implementación las siguientes:</w:t>
            </w:r>
          </w:p>
          <w:p w14:paraId="0000008D"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08E"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1. Finalidad y límites. La IA se orientará a la detección en tiempo real de donantes potenciales, el soporte al matching con receptores conforme a compatibilidad inmunológica, urgencia médica y demás criterios clínicos normativos, la reducción de tiempos de isquemia y la mejora de resultados postrasplante, así como otras actividades que optimicen procesos y calidad. Se prohíbe el uso de IA para determinar la muerte, influir o acelerar el final de vida o modificar criterios clínicos o legales de muerte por criterios neurológicos o por parada circulatoria.</w:t>
            </w:r>
          </w:p>
          <w:p w14:paraId="0000008F"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090"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2. Supervisión humana y responsabilidad. Toda recomendación basada en criterios de IA estará sujeta a validación y decisión final por el profesional o la autoridad competente. El responsable del proceso mantendrá la responsabilidad sobre las decisiones adoptadas.</w:t>
            </w:r>
          </w:p>
          <w:p w14:paraId="00000091"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092"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3. No discriminación y equidad. Se prohíben variables, reglas o modelos que directa o indirectamente generen discriminación. La priorización asistida por IA se ceñirá estrictamente a los criterios clínicos, de urgencia, compatibilidad y normativos vigentes.</w:t>
            </w:r>
          </w:p>
          <w:p w14:paraId="00000093"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094"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4. Protección de datos y seguridad de la información. El tratamiento de datos, deberán ser catalogados como sensibles, cumpliendo lo dispuesto en la Ley 1581 de 2012, la Ley 2015 de 2020 y las directrices del Ministerio de Salud y Protección Social y demás normativa complementaria, además, de aplicar criterios de minimización, seudonimización o anonimización cuando corresponda, controles de acceso, trazabilidad y gestión de incidentes.</w:t>
            </w:r>
          </w:p>
          <w:p w14:paraId="00000095"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096"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5. Calidad, gestión de riesgos y auditoría. El sistema de IA a implementar deberá documentar fuentes de datos, metodología, métricas de desempeño, gestión de sesgos y límites de uso.  El Instituto Nacional de Salud (INS), en coordinación con el Ministerio de Salud y la Superintendencia Nacional de Salud, establecerán guías técnicas para verificación, pruebas de robustez, auditorías periódicas y mecanismos de explicación comprensible para usuarios autorizados.</w:t>
            </w:r>
          </w:p>
          <w:p w14:paraId="00000097"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098"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6. Software de dispositivos médicos. Cuando la IA se integre con software de dispositivos médicos, se requerirá cumplimiento del régimen sanitario aplicable y registro sanitario ante el INVIMA, según la clase de riesgo.</w:t>
            </w:r>
          </w:p>
          <w:p w14:paraId="00000099"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09A"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7. Transparencia y rendición de cuentas. Las entidades públicas y actores habilitados que empleen IA publicarán información general sobre finalidad, tipos de datos, criterios de priorización asistida y </w:t>
            </w:r>
            <w:r>
              <w:rPr>
                <w:rFonts w:ascii="Arial" w:eastAsia="Arial" w:hAnsi="Arial" w:cs="Arial"/>
                <w:color w:val="000000"/>
                <w:sz w:val="22"/>
                <w:szCs w:val="22"/>
              </w:rPr>
              <w:lastRenderedPageBreak/>
              <w:t>resultados agregados, preservando confidencialidad de datos personales como la intimidad del donante y el receptor.</w:t>
            </w:r>
          </w:p>
          <w:p w14:paraId="0000009B"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09C"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8. Evaluación de impacto algorítmico. Antes de la operación en producción, el responsable elaborará una evaluación de impacto proporcional al riesgo que incluya análisis de sesgos, efectos sobre derechos, seguridad del paciente y medidas de mitigación. Esta evaluación se remitirá al INS para su registro y podrá ser verificada por la Superintendencia de Salud.</w:t>
            </w:r>
          </w:p>
          <w:p w14:paraId="0000009D"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09E"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Parágrafo 1. </w:t>
            </w:r>
            <w:r>
              <w:rPr>
                <w:rFonts w:ascii="Arial" w:eastAsia="Arial" w:hAnsi="Arial" w:cs="Arial"/>
                <w:color w:val="000000"/>
                <w:sz w:val="22"/>
                <w:szCs w:val="22"/>
              </w:rPr>
              <w:t xml:space="preserve">Pilotos controlados. El Ministerio de Salud y Protección Social, el INS y la Superintendencia de Salud podrán autorizar pilotos bajo esquemas de </w:t>
            </w:r>
            <w:r>
              <w:rPr>
                <w:rFonts w:ascii="Arial" w:eastAsia="Arial" w:hAnsi="Arial" w:cs="Arial"/>
                <w:i/>
                <w:iCs/>
                <w:color w:val="000000"/>
                <w:sz w:val="22"/>
                <w:szCs w:val="22"/>
              </w:rPr>
              <w:t xml:space="preserve">sandbox </w:t>
            </w:r>
            <w:r>
              <w:rPr>
                <w:rFonts w:ascii="Arial" w:eastAsia="Arial" w:hAnsi="Arial" w:cs="Arial"/>
                <w:color w:val="000000"/>
                <w:sz w:val="22"/>
                <w:szCs w:val="22"/>
              </w:rPr>
              <w:t>regulatorio, con alcance, duración, salvaguardas de seguridad del paciente y métricas definidas, sin afectar los criterios de determinación de la muerte ni la regla del donante fallecido.</w:t>
            </w:r>
          </w:p>
          <w:p w14:paraId="0000009F"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0A0"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Parágrafo 2. </w:t>
            </w:r>
            <w:r>
              <w:rPr>
                <w:rFonts w:ascii="Arial" w:eastAsia="Arial" w:hAnsi="Arial" w:cs="Arial"/>
                <w:color w:val="000000"/>
                <w:sz w:val="22"/>
                <w:szCs w:val="22"/>
              </w:rPr>
              <w:t>Incidentes y medidas. El INS establecerá el procedimiento de reporte obligatorio de incidentes graves asociados al uso de IA. Cuando exista riesgo significativo para la seguridad del paciente o vulneración de derechos, la autoridad competente podrá ordenar ajustes, suspensión temporal o retiro del sistema.</w:t>
            </w:r>
          </w:p>
          <w:p w14:paraId="000000A1"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0A2"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Parágrafo 3. </w:t>
            </w:r>
            <w:r>
              <w:rPr>
                <w:rFonts w:ascii="Arial" w:eastAsia="Arial" w:hAnsi="Arial" w:cs="Arial"/>
                <w:color w:val="000000"/>
                <w:sz w:val="22"/>
                <w:szCs w:val="22"/>
              </w:rPr>
              <w:t xml:space="preserve">Interoperabilidad. La integración de IA será compatible con los estándares de </w:t>
            </w:r>
            <w:r>
              <w:rPr>
                <w:rFonts w:ascii="Arial" w:eastAsia="Arial" w:hAnsi="Arial" w:cs="Arial"/>
                <w:color w:val="000000"/>
                <w:sz w:val="22"/>
                <w:szCs w:val="22"/>
              </w:rPr>
              <w:lastRenderedPageBreak/>
              <w:t>interoperabilidad de la historia clínica electrónica y los repositorios definidos por el Ministerio de Salud, evitando bloqueos tecnológicos y garantizando portabilidad.</w:t>
            </w:r>
          </w:p>
          <w:p w14:paraId="000000A3"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0A4"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Parágrafo 4. </w:t>
            </w:r>
            <w:r>
              <w:rPr>
                <w:rFonts w:ascii="Arial" w:eastAsia="Arial" w:hAnsi="Arial" w:cs="Arial"/>
                <w:color w:val="000000"/>
                <w:sz w:val="22"/>
                <w:szCs w:val="22"/>
              </w:rPr>
              <w:t>Participación y enfoque diferencial. En la expedición y actualización de lineamientos sobre IA, el INS incorporará enfoque de derechos y diferencial, por lo que, promoverá la participación de sociedades científicas, organizaciones de pacientes y comités de bioética.</w:t>
            </w:r>
          </w:p>
          <w:p w14:paraId="000000A5"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0A6"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Parágrafo 5. </w:t>
            </w:r>
            <w:r>
              <w:rPr>
                <w:rFonts w:ascii="Arial" w:eastAsia="Arial" w:hAnsi="Arial" w:cs="Arial"/>
                <w:color w:val="000000"/>
                <w:sz w:val="22"/>
                <w:szCs w:val="22"/>
              </w:rPr>
              <w:t>En aras de proteger la información de los donantes potenciales a través de los sistemas de Inteligencia Artificial, los sistemas críticos y activos, este sistema debe estar vinculado a programas o aplicaciones de Seguridad Cibernética, con el fin de prevenir ataques, detectar intrusiones y responder a incidentes, el cual estará coordinado por el Ministerio de Tecnologías de la Información y las Comunicaciones.</w:t>
            </w:r>
          </w:p>
          <w:p w14:paraId="000000A7"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0A8" w14:textId="77777777" w:rsidR="001C40B0" w:rsidRDefault="00291712">
            <w:pPr>
              <w:jc w:val="both"/>
              <w:rPr>
                <w:rFonts w:ascii="Arial" w:eastAsia="Arial" w:hAnsi="Arial" w:cs="Arial"/>
                <w:sz w:val="22"/>
                <w:szCs w:val="22"/>
              </w:rPr>
            </w:pPr>
            <w:r>
              <w:rPr>
                <w:rFonts w:ascii="Arial" w:eastAsia="Arial" w:hAnsi="Arial" w:cs="Arial"/>
                <w:b/>
                <w:bCs/>
                <w:color w:val="000000"/>
                <w:sz w:val="22"/>
                <w:szCs w:val="22"/>
              </w:rPr>
              <w:t xml:space="preserve">Parágrafo transitorio. </w:t>
            </w:r>
            <w:r>
              <w:rPr>
                <w:rFonts w:ascii="Arial" w:eastAsia="Arial" w:hAnsi="Arial" w:cs="Arial"/>
                <w:color w:val="000000"/>
                <w:sz w:val="22"/>
                <w:szCs w:val="22"/>
              </w:rPr>
              <w:t xml:space="preserve">En un plazo no mayor a doce (12) meses contados a partir de la vigencia de la presente ley, el Ministerio de Salud y Protección Social, en coordinación con el Instituto Nacional de Salud, el INVIMA y la Superintendencia de Salud, expedirán la reglamentación técnica para la implementación de la IA en el sistema de donación y trasplantes, incluyendo requisitos de evaluación de impacto, </w:t>
            </w:r>
            <w:r>
              <w:rPr>
                <w:rFonts w:ascii="Arial" w:eastAsia="Arial" w:hAnsi="Arial" w:cs="Arial"/>
                <w:color w:val="000000"/>
                <w:sz w:val="22"/>
                <w:szCs w:val="22"/>
              </w:rPr>
              <w:lastRenderedPageBreak/>
              <w:t>auditoría, gestión de sesgos, reporte y transparencia.</w:t>
            </w:r>
          </w:p>
        </w:tc>
        <w:tc>
          <w:tcPr>
            <w:tcW w:w="3351" w:type="dxa"/>
            <w:vAlign w:val="center"/>
          </w:tcPr>
          <w:p w14:paraId="000000A9" w14:textId="77777777" w:rsidR="001C40B0" w:rsidRDefault="00291712">
            <w:pPr>
              <w:jc w:val="both"/>
              <w:rPr>
                <w:rFonts w:ascii="Arial" w:eastAsia="Arial" w:hAnsi="Arial" w:cs="Arial"/>
                <w:b/>
                <w:bCs/>
                <w:sz w:val="22"/>
                <w:szCs w:val="22"/>
                <w:u w:val="single"/>
              </w:rPr>
            </w:pPr>
            <w:r>
              <w:rPr>
                <w:rFonts w:ascii="Arial" w:eastAsia="Arial" w:hAnsi="Arial" w:cs="Arial"/>
                <w:b/>
                <w:bCs/>
                <w:sz w:val="22"/>
                <w:szCs w:val="22"/>
                <w:u w:val="single"/>
              </w:rPr>
              <w:lastRenderedPageBreak/>
              <w:t xml:space="preserve">ARTÍCULO 21. INTEGRACIÓN DE UN SISTEMA DE INTELIGENCIA ARTIFICIAL EN LOS PROCESOS DE DONACIÓN DE ÓRGANOS Y TEJIDOS. El Ministerio de Salud y Protección Social podrá implementar un sistema de inteligencia artificial (IA), para potenciar la interoperabilidad de los sistemas de información en salud. Su uso se orientará a optimizar procesos operativos, administrativos y de análisis de información en el sistema de trasplantes, con énfasis en la equidad, la eficiencia, la seguridad, la privacidad y la transparencia. Su implementación deberá enfocarse en el mejoramiento de la calidad de los datos, el soporte a la toma de decisiones administrativas, la trazabilidad de los procesos y el fortalecimiento de los sistemas de información, contribuyendo a la reducción de tiempos </w:t>
            </w:r>
            <w:r>
              <w:rPr>
                <w:rFonts w:ascii="Arial" w:eastAsia="Arial" w:hAnsi="Arial" w:cs="Arial"/>
                <w:b/>
                <w:bCs/>
                <w:sz w:val="22"/>
                <w:szCs w:val="22"/>
                <w:u w:val="single"/>
              </w:rPr>
              <w:lastRenderedPageBreak/>
              <w:t>críticos y a la coordinación institucional.</w:t>
            </w:r>
          </w:p>
          <w:p w14:paraId="000000AA" w14:textId="77777777" w:rsidR="001C40B0" w:rsidRDefault="001C40B0">
            <w:pPr>
              <w:jc w:val="both"/>
              <w:rPr>
                <w:rFonts w:ascii="Arial" w:eastAsia="Arial" w:hAnsi="Arial" w:cs="Arial"/>
                <w:b/>
                <w:bCs/>
                <w:sz w:val="22"/>
                <w:szCs w:val="22"/>
                <w:u w:val="single"/>
              </w:rPr>
            </w:pPr>
          </w:p>
          <w:p w14:paraId="000000AB" w14:textId="77777777" w:rsidR="001C40B0" w:rsidRDefault="00291712">
            <w:pPr>
              <w:jc w:val="both"/>
              <w:rPr>
                <w:rFonts w:ascii="Arial" w:eastAsia="Arial" w:hAnsi="Arial" w:cs="Arial"/>
                <w:b/>
                <w:bCs/>
                <w:sz w:val="22"/>
                <w:szCs w:val="22"/>
                <w:u w:val="single"/>
              </w:rPr>
            </w:pPr>
            <w:r>
              <w:rPr>
                <w:rFonts w:ascii="Arial" w:eastAsia="Arial" w:hAnsi="Arial" w:cs="Arial"/>
                <w:b/>
                <w:bCs/>
                <w:sz w:val="22"/>
                <w:szCs w:val="22"/>
                <w:u w:val="single"/>
              </w:rPr>
              <w:t>En ningún caso el sistema de IA intervendrá en la identificación de donantes, la asignación de órganos, la gestión de la lista de espera ni en decisiones relacionadas con la determinación de la muerte, ni sustituirá el juicio clínico ni los procesos científicos y clínicos que rigen el trasplante de órganos y tejidos.</w:t>
            </w:r>
          </w:p>
          <w:p w14:paraId="000000AC" w14:textId="77777777" w:rsidR="001C40B0" w:rsidRDefault="001C40B0">
            <w:pPr>
              <w:jc w:val="both"/>
              <w:rPr>
                <w:rFonts w:ascii="Arial" w:eastAsia="Arial" w:hAnsi="Arial" w:cs="Arial"/>
                <w:b/>
                <w:bCs/>
                <w:sz w:val="22"/>
                <w:szCs w:val="22"/>
                <w:u w:val="single"/>
              </w:rPr>
            </w:pPr>
          </w:p>
          <w:p w14:paraId="000000AD" w14:textId="77777777" w:rsidR="001C40B0" w:rsidRDefault="00291712">
            <w:pPr>
              <w:jc w:val="both"/>
              <w:rPr>
                <w:rFonts w:ascii="Arial" w:eastAsia="Arial" w:hAnsi="Arial" w:cs="Arial"/>
                <w:b/>
                <w:bCs/>
                <w:sz w:val="22"/>
                <w:szCs w:val="22"/>
                <w:u w:val="single"/>
              </w:rPr>
            </w:pPr>
            <w:r>
              <w:rPr>
                <w:rFonts w:ascii="Arial" w:eastAsia="Arial" w:hAnsi="Arial" w:cs="Arial"/>
                <w:b/>
                <w:bCs/>
                <w:sz w:val="22"/>
                <w:szCs w:val="22"/>
                <w:u w:val="single"/>
              </w:rPr>
              <w:t>Parágrafo 1. El uso del sistema de Inteligencia Artificial deberá cumplir con estándares de seguridad cibernética y protección de datos sensibles, conforme a lo dispuesto en la Ley 1581 de 2012 y la Ley 2015 de 2020. Para tal efecto, se aplicarán criterios de minimización, seudonimización o anonimización cuando corresponda, controles de acceso, trazabilidad y gestión de incidentes, con el fin de prevenir ataques, detectar intrusiones y responder a incidentes de seguridad, en coordinación con el Ministerio de Tecnologías de la Información y las Comunicaciones.</w:t>
            </w:r>
          </w:p>
          <w:p w14:paraId="000000AE" w14:textId="77777777" w:rsidR="001C40B0" w:rsidRDefault="001C40B0">
            <w:pPr>
              <w:jc w:val="both"/>
              <w:rPr>
                <w:rFonts w:ascii="Arial" w:eastAsia="Arial" w:hAnsi="Arial" w:cs="Arial"/>
                <w:b/>
                <w:bCs/>
                <w:sz w:val="22"/>
                <w:szCs w:val="22"/>
                <w:u w:val="single"/>
              </w:rPr>
            </w:pPr>
          </w:p>
          <w:p w14:paraId="000000AF" w14:textId="77777777" w:rsidR="001C40B0" w:rsidRDefault="00291712">
            <w:pPr>
              <w:jc w:val="both"/>
              <w:rPr>
                <w:rFonts w:ascii="Arial" w:eastAsia="Arial" w:hAnsi="Arial" w:cs="Arial"/>
                <w:sz w:val="22"/>
                <w:szCs w:val="22"/>
              </w:rPr>
            </w:pPr>
            <w:r>
              <w:rPr>
                <w:rFonts w:ascii="Arial" w:eastAsia="Arial" w:hAnsi="Arial" w:cs="Arial"/>
                <w:b/>
                <w:bCs/>
                <w:sz w:val="22"/>
                <w:szCs w:val="22"/>
                <w:u w:val="single"/>
              </w:rPr>
              <w:t xml:space="preserve">Parágrafo 2. La Superintendencia de Industria y Comercio implementará procesos de auditoría del sistema de inteligencia artificial previamente a su operación y de manera periódica durante su funcionamiento, con el propósito de garantizar la protección de los derechos de </w:t>
            </w:r>
            <w:r>
              <w:rPr>
                <w:rFonts w:ascii="Arial" w:eastAsia="Arial" w:hAnsi="Arial" w:cs="Arial"/>
                <w:b/>
                <w:bCs/>
                <w:sz w:val="22"/>
                <w:szCs w:val="22"/>
                <w:u w:val="single"/>
              </w:rPr>
              <w:lastRenderedPageBreak/>
              <w:t>los usuarios, sus datos personales y el cumplimiento de lo previsto en la presente ley.</w:t>
            </w:r>
          </w:p>
        </w:tc>
        <w:tc>
          <w:tcPr>
            <w:tcW w:w="1432" w:type="dxa"/>
            <w:vAlign w:val="center"/>
          </w:tcPr>
          <w:p w14:paraId="000000B0" w14:textId="77777777" w:rsidR="001C40B0" w:rsidRDefault="00291712">
            <w:pPr>
              <w:jc w:val="both"/>
              <w:rPr>
                <w:rFonts w:ascii="Arial" w:eastAsia="Arial" w:hAnsi="Arial" w:cs="Arial"/>
                <w:sz w:val="22"/>
                <w:szCs w:val="22"/>
              </w:rPr>
            </w:pPr>
            <w:r>
              <w:rPr>
                <w:rFonts w:ascii="Arial" w:eastAsia="Arial" w:hAnsi="Arial" w:cs="Arial"/>
                <w:sz w:val="22"/>
                <w:szCs w:val="22"/>
              </w:rPr>
              <w:lastRenderedPageBreak/>
              <w:t>Proposición sustitutiva del H.R Alirio Uribe</w:t>
            </w:r>
          </w:p>
          <w:p w14:paraId="000000B1" w14:textId="77777777" w:rsidR="001C40B0" w:rsidRDefault="001C40B0">
            <w:pPr>
              <w:jc w:val="both"/>
              <w:rPr>
                <w:rFonts w:ascii="Arial" w:eastAsia="Arial" w:hAnsi="Arial" w:cs="Arial"/>
                <w:sz w:val="22"/>
                <w:szCs w:val="22"/>
              </w:rPr>
            </w:pPr>
          </w:p>
          <w:p w14:paraId="000000B2" w14:textId="77777777" w:rsidR="001C40B0" w:rsidRDefault="00291712">
            <w:pPr>
              <w:jc w:val="both"/>
              <w:rPr>
                <w:rFonts w:ascii="Arial" w:eastAsia="Arial" w:hAnsi="Arial" w:cs="Arial"/>
                <w:b/>
                <w:bCs/>
                <w:sz w:val="22"/>
                <w:szCs w:val="22"/>
                <w:u w:val="single"/>
              </w:rPr>
            </w:pPr>
            <w:r>
              <w:rPr>
                <w:rFonts w:ascii="Arial" w:eastAsia="Arial" w:hAnsi="Arial" w:cs="Arial"/>
                <w:b/>
                <w:bCs/>
                <w:sz w:val="22"/>
                <w:szCs w:val="22"/>
              </w:rPr>
              <w:t>ACOGIDA</w:t>
            </w:r>
          </w:p>
        </w:tc>
      </w:tr>
      <w:tr w:rsidR="001C40B0" w14:paraId="7094C7B7" w14:textId="77777777">
        <w:tc>
          <w:tcPr>
            <w:tcW w:w="928" w:type="dxa"/>
            <w:vAlign w:val="center"/>
          </w:tcPr>
          <w:p w14:paraId="000000B3" w14:textId="77777777" w:rsidR="001C40B0" w:rsidRDefault="00291712">
            <w:pPr>
              <w:jc w:val="both"/>
              <w:rPr>
                <w:rFonts w:ascii="Arial" w:eastAsia="Arial" w:hAnsi="Arial" w:cs="Arial"/>
                <w:b/>
                <w:bCs/>
                <w:sz w:val="22"/>
                <w:szCs w:val="22"/>
              </w:rPr>
            </w:pPr>
            <w:r>
              <w:rPr>
                <w:rFonts w:ascii="Arial" w:eastAsia="Arial" w:hAnsi="Arial" w:cs="Arial"/>
                <w:b/>
                <w:bCs/>
                <w:sz w:val="22"/>
                <w:szCs w:val="22"/>
              </w:rPr>
              <w:lastRenderedPageBreak/>
              <w:t>Art.  nuevo</w:t>
            </w:r>
          </w:p>
        </w:tc>
        <w:tc>
          <w:tcPr>
            <w:tcW w:w="3351" w:type="dxa"/>
            <w:vAlign w:val="center"/>
          </w:tcPr>
          <w:p w14:paraId="000000B4" w14:textId="77777777" w:rsidR="001C40B0" w:rsidRDefault="001C40B0">
            <w:pPr>
              <w:jc w:val="both"/>
              <w:rPr>
                <w:rFonts w:ascii="Arial" w:eastAsia="Arial" w:hAnsi="Arial" w:cs="Arial"/>
                <w:b/>
                <w:bCs/>
                <w:sz w:val="22"/>
                <w:szCs w:val="22"/>
              </w:rPr>
            </w:pPr>
          </w:p>
        </w:tc>
        <w:tc>
          <w:tcPr>
            <w:tcW w:w="3351" w:type="dxa"/>
            <w:vAlign w:val="center"/>
          </w:tcPr>
          <w:p w14:paraId="000000B5" w14:textId="77777777" w:rsidR="001C40B0" w:rsidRDefault="00291712">
            <w:pPr>
              <w:jc w:val="both"/>
              <w:rPr>
                <w:rFonts w:ascii="Arial" w:eastAsia="Arial" w:hAnsi="Arial" w:cs="Arial"/>
                <w:b/>
                <w:bCs/>
                <w:sz w:val="22"/>
                <w:szCs w:val="22"/>
              </w:rPr>
            </w:pPr>
            <w:r>
              <w:rPr>
                <w:rFonts w:ascii="Arial" w:eastAsia="Arial" w:hAnsi="Arial" w:cs="Arial"/>
                <w:b/>
                <w:bCs/>
                <w:sz w:val="22"/>
                <w:szCs w:val="22"/>
              </w:rPr>
              <w:t>ARTÍCULO NUEVO. Las personas que en razón de una condición debidamente certificada conforme a criterios médico- científico, no se encuentren en posibilidad de expresar su voluntad de manera autónoma al momento del fallecimiento, podrán ser donantes de órganos y tejidos, siempre y cuando sus representantes legales expresen su consentimiento informado para tal fin después de su fallecimiento, en los términos descritos en el literal a) del artículo 542 de la ley 9 de 1979.</w:t>
            </w:r>
          </w:p>
          <w:p w14:paraId="000000B6" w14:textId="77777777" w:rsidR="001C40B0" w:rsidRDefault="001C40B0">
            <w:pPr>
              <w:jc w:val="both"/>
              <w:rPr>
                <w:rFonts w:ascii="Arial" w:eastAsia="Arial" w:hAnsi="Arial" w:cs="Arial"/>
                <w:b/>
                <w:bCs/>
                <w:sz w:val="22"/>
                <w:szCs w:val="22"/>
              </w:rPr>
            </w:pPr>
          </w:p>
          <w:p w14:paraId="000000B7" w14:textId="77777777" w:rsidR="001C40B0" w:rsidRDefault="00291712">
            <w:pPr>
              <w:jc w:val="both"/>
              <w:rPr>
                <w:rFonts w:ascii="Arial" w:eastAsia="Arial" w:hAnsi="Arial" w:cs="Arial"/>
                <w:b/>
                <w:bCs/>
                <w:sz w:val="22"/>
                <w:szCs w:val="22"/>
              </w:rPr>
            </w:pPr>
            <w:r>
              <w:rPr>
                <w:rFonts w:ascii="Arial" w:eastAsia="Arial" w:hAnsi="Arial" w:cs="Arial"/>
                <w:b/>
                <w:bCs/>
                <w:sz w:val="22"/>
                <w:szCs w:val="22"/>
              </w:rPr>
              <w:t>El médico coordinador operativo del trasplantes deberá informarle sus derechos y los beneficios de la donación a los representantes del menor.</w:t>
            </w:r>
          </w:p>
        </w:tc>
        <w:tc>
          <w:tcPr>
            <w:tcW w:w="1432" w:type="dxa"/>
            <w:vAlign w:val="center"/>
          </w:tcPr>
          <w:p w14:paraId="000000B8" w14:textId="77777777" w:rsidR="001C40B0" w:rsidRDefault="00291712">
            <w:pPr>
              <w:jc w:val="both"/>
              <w:rPr>
                <w:rFonts w:ascii="Arial" w:eastAsia="Arial" w:hAnsi="Arial" w:cs="Arial"/>
                <w:sz w:val="22"/>
                <w:szCs w:val="22"/>
              </w:rPr>
            </w:pPr>
            <w:r>
              <w:rPr>
                <w:rFonts w:ascii="Arial" w:eastAsia="Arial" w:hAnsi="Arial" w:cs="Arial"/>
                <w:sz w:val="22"/>
                <w:szCs w:val="22"/>
              </w:rPr>
              <w:t>H.R Oscar Sánchez</w:t>
            </w:r>
          </w:p>
        </w:tc>
      </w:tr>
      <w:tr w:rsidR="001C40B0" w14:paraId="16BEA52E" w14:textId="77777777">
        <w:tc>
          <w:tcPr>
            <w:tcW w:w="928" w:type="dxa"/>
            <w:vAlign w:val="center"/>
          </w:tcPr>
          <w:p w14:paraId="000000B9" w14:textId="77777777" w:rsidR="001C40B0" w:rsidRDefault="00291712">
            <w:pPr>
              <w:jc w:val="both"/>
              <w:rPr>
                <w:rFonts w:ascii="Arial" w:eastAsia="Arial" w:hAnsi="Arial" w:cs="Arial"/>
                <w:b/>
                <w:bCs/>
                <w:sz w:val="22"/>
                <w:szCs w:val="22"/>
              </w:rPr>
            </w:pPr>
            <w:r>
              <w:rPr>
                <w:rFonts w:ascii="Arial" w:eastAsia="Arial" w:hAnsi="Arial" w:cs="Arial"/>
                <w:b/>
                <w:bCs/>
                <w:sz w:val="22"/>
                <w:szCs w:val="22"/>
              </w:rPr>
              <w:t>Art. nuevo</w:t>
            </w:r>
          </w:p>
        </w:tc>
        <w:tc>
          <w:tcPr>
            <w:tcW w:w="3351" w:type="dxa"/>
            <w:vAlign w:val="center"/>
          </w:tcPr>
          <w:p w14:paraId="000000BA" w14:textId="77777777" w:rsidR="001C40B0" w:rsidRDefault="001C40B0">
            <w:pPr>
              <w:jc w:val="both"/>
              <w:rPr>
                <w:rFonts w:ascii="Arial" w:eastAsia="Arial" w:hAnsi="Arial" w:cs="Arial"/>
                <w:b/>
                <w:bCs/>
                <w:sz w:val="22"/>
                <w:szCs w:val="22"/>
              </w:rPr>
            </w:pPr>
          </w:p>
        </w:tc>
        <w:tc>
          <w:tcPr>
            <w:tcW w:w="3351" w:type="dxa"/>
            <w:vAlign w:val="center"/>
          </w:tcPr>
          <w:p w14:paraId="000000BB" w14:textId="77777777" w:rsidR="001C40B0" w:rsidRDefault="00291712">
            <w:pPr>
              <w:jc w:val="both"/>
              <w:rPr>
                <w:rFonts w:ascii="Arial" w:eastAsia="Arial" w:hAnsi="Arial" w:cs="Arial"/>
                <w:b/>
                <w:bCs/>
                <w:sz w:val="22"/>
                <w:szCs w:val="22"/>
              </w:rPr>
            </w:pPr>
            <w:r>
              <w:rPr>
                <w:rFonts w:ascii="Arial" w:eastAsia="Arial" w:hAnsi="Arial" w:cs="Arial"/>
                <w:b/>
                <w:bCs/>
                <w:sz w:val="22"/>
                <w:szCs w:val="22"/>
              </w:rPr>
              <w:t xml:space="preserve">ARTÍCULO NUEVO. Acompañamieno Técnico Prioritario (ATP). El Ministerio de Salud y Protección Social, en coordinación con el Instituto Nacional de Salud (INS) y las Secretarías Departamentales y Distritales de Salud, diseñarán e implementarán un programa de Acompañamiento Técnico Prioritario (ATP) dirigido a aquellos departamentos como a distritos y territorios que, de acuerdo con los indicadores del Sistema Nacional de Información en donación y transplantes, representen: </w:t>
            </w:r>
          </w:p>
          <w:p w14:paraId="000000BC" w14:textId="77777777" w:rsidR="001C40B0" w:rsidRDefault="001C40B0">
            <w:pPr>
              <w:jc w:val="both"/>
              <w:rPr>
                <w:rFonts w:ascii="Arial" w:eastAsia="Arial" w:hAnsi="Arial" w:cs="Arial"/>
                <w:b/>
                <w:bCs/>
                <w:sz w:val="22"/>
                <w:szCs w:val="22"/>
              </w:rPr>
            </w:pPr>
          </w:p>
          <w:p w14:paraId="000000BD" w14:textId="77777777" w:rsidR="001C40B0" w:rsidRDefault="00291712">
            <w:pPr>
              <w:jc w:val="both"/>
              <w:rPr>
                <w:rFonts w:ascii="Arial" w:eastAsia="Arial" w:hAnsi="Arial" w:cs="Arial"/>
                <w:b/>
                <w:bCs/>
                <w:sz w:val="22"/>
                <w:szCs w:val="22"/>
              </w:rPr>
            </w:pPr>
            <w:r>
              <w:rPr>
                <w:rFonts w:ascii="Arial" w:eastAsia="Arial" w:hAnsi="Arial" w:cs="Arial"/>
                <w:b/>
                <w:bCs/>
                <w:sz w:val="22"/>
                <w:szCs w:val="22"/>
              </w:rPr>
              <w:t xml:space="preserve">1. Tasa de donación inferior a 3 donantes por millon de </w:t>
            </w:r>
            <w:r>
              <w:rPr>
                <w:rFonts w:ascii="Arial" w:eastAsia="Arial" w:hAnsi="Arial" w:cs="Arial"/>
                <w:b/>
                <w:bCs/>
                <w:sz w:val="22"/>
                <w:szCs w:val="22"/>
              </w:rPr>
              <w:lastRenderedPageBreak/>
              <w:t xml:space="preserve">habitantes en el último año disponible. </w:t>
            </w:r>
          </w:p>
          <w:p w14:paraId="000000BE" w14:textId="77777777" w:rsidR="001C40B0" w:rsidRDefault="001C40B0">
            <w:pPr>
              <w:jc w:val="both"/>
              <w:rPr>
                <w:rFonts w:ascii="Arial" w:eastAsia="Arial" w:hAnsi="Arial" w:cs="Arial"/>
                <w:b/>
                <w:bCs/>
                <w:sz w:val="22"/>
                <w:szCs w:val="22"/>
              </w:rPr>
            </w:pPr>
          </w:p>
          <w:p w14:paraId="000000BF" w14:textId="77777777" w:rsidR="001C40B0" w:rsidRDefault="00291712">
            <w:pPr>
              <w:jc w:val="both"/>
              <w:rPr>
                <w:rFonts w:ascii="Arial" w:eastAsia="Arial" w:hAnsi="Arial" w:cs="Arial"/>
                <w:b/>
                <w:bCs/>
                <w:sz w:val="22"/>
                <w:szCs w:val="22"/>
              </w:rPr>
            </w:pPr>
            <w:r>
              <w:rPr>
                <w:rFonts w:ascii="Arial" w:eastAsia="Arial" w:hAnsi="Arial" w:cs="Arial"/>
                <w:b/>
                <w:bCs/>
                <w:sz w:val="22"/>
                <w:szCs w:val="22"/>
              </w:rPr>
              <w:t xml:space="preserve">2. Ausencia de Instituciones Prestadoras de Salud (INS) habilitadas para la realización de trasplantes en su territorio. </w:t>
            </w:r>
          </w:p>
          <w:p w14:paraId="000000C0" w14:textId="77777777" w:rsidR="001C40B0" w:rsidRDefault="001C40B0">
            <w:pPr>
              <w:jc w:val="both"/>
              <w:rPr>
                <w:rFonts w:ascii="Arial" w:eastAsia="Arial" w:hAnsi="Arial" w:cs="Arial"/>
                <w:b/>
                <w:bCs/>
                <w:sz w:val="22"/>
                <w:szCs w:val="22"/>
              </w:rPr>
            </w:pPr>
          </w:p>
          <w:p w14:paraId="000000C1" w14:textId="77777777" w:rsidR="001C40B0" w:rsidRDefault="00291712">
            <w:pPr>
              <w:jc w:val="both"/>
              <w:rPr>
                <w:rFonts w:ascii="Arial" w:eastAsia="Arial" w:hAnsi="Arial" w:cs="Arial"/>
                <w:b/>
                <w:bCs/>
                <w:sz w:val="22"/>
                <w:szCs w:val="22"/>
              </w:rPr>
            </w:pPr>
            <w:r>
              <w:rPr>
                <w:rFonts w:ascii="Arial" w:eastAsia="Arial" w:hAnsi="Arial" w:cs="Arial"/>
                <w:b/>
                <w:bCs/>
                <w:sz w:val="22"/>
                <w:szCs w:val="22"/>
              </w:rPr>
              <w:t>3. Lista de espera activa de pacientes con enfermedad crónica transplantable sin acceso oportuno a evaluación o transplante en su región.</w:t>
            </w:r>
          </w:p>
          <w:p w14:paraId="000000C2" w14:textId="77777777" w:rsidR="001C40B0" w:rsidRDefault="001C40B0">
            <w:pPr>
              <w:jc w:val="both"/>
              <w:rPr>
                <w:rFonts w:ascii="Arial" w:eastAsia="Arial" w:hAnsi="Arial" w:cs="Arial"/>
                <w:b/>
                <w:bCs/>
                <w:sz w:val="22"/>
                <w:szCs w:val="22"/>
              </w:rPr>
            </w:pPr>
          </w:p>
          <w:p w14:paraId="000000C3" w14:textId="77777777" w:rsidR="001C40B0" w:rsidRDefault="00291712">
            <w:pPr>
              <w:jc w:val="both"/>
              <w:rPr>
                <w:rFonts w:ascii="Arial" w:eastAsia="Arial" w:hAnsi="Arial" w:cs="Arial"/>
                <w:b/>
                <w:bCs/>
                <w:sz w:val="22"/>
                <w:szCs w:val="22"/>
              </w:rPr>
            </w:pPr>
            <w:r>
              <w:rPr>
                <w:rFonts w:ascii="Arial" w:eastAsia="Arial" w:hAnsi="Arial" w:cs="Arial"/>
                <w:b/>
                <w:bCs/>
                <w:sz w:val="22"/>
                <w:szCs w:val="22"/>
              </w:rPr>
              <w:t>4. Tasa de negativa familiar superior a 85% durante los 2 últimos años consecutivos.</w:t>
            </w:r>
          </w:p>
          <w:p w14:paraId="000000C4" w14:textId="77777777" w:rsidR="001C40B0" w:rsidRDefault="001C40B0">
            <w:pPr>
              <w:jc w:val="both"/>
              <w:rPr>
                <w:rFonts w:ascii="Arial" w:eastAsia="Arial" w:hAnsi="Arial" w:cs="Arial"/>
                <w:b/>
                <w:bCs/>
                <w:sz w:val="22"/>
                <w:szCs w:val="22"/>
              </w:rPr>
            </w:pPr>
          </w:p>
          <w:p w14:paraId="000000C5" w14:textId="77777777" w:rsidR="001C40B0" w:rsidRDefault="00291712">
            <w:pPr>
              <w:jc w:val="both"/>
              <w:rPr>
                <w:rFonts w:ascii="Arial" w:eastAsia="Arial" w:hAnsi="Arial" w:cs="Arial"/>
                <w:b/>
                <w:bCs/>
                <w:sz w:val="22"/>
                <w:szCs w:val="22"/>
              </w:rPr>
            </w:pPr>
            <w:r>
              <w:rPr>
                <w:rFonts w:ascii="Arial" w:eastAsia="Arial" w:hAnsi="Arial" w:cs="Arial"/>
                <w:b/>
                <w:bCs/>
                <w:sz w:val="22"/>
                <w:szCs w:val="22"/>
              </w:rPr>
              <w:t xml:space="preserve">5. Limitaciones geográficas, logísticas o de infraestructura que afecten la viabilidad de la donación y el transplante. </w:t>
            </w:r>
          </w:p>
          <w:p w14:paraId="000000C6" w14:textId="77777777" w:rsidR="001C40B0" w:rsidRDefault="001C40B0">
            <w:pPr>
              <w:jc w:val="both"/>
              <w:rPr>
                <w:rFonts w:ascii="Arial" w:eastAsia="Arial" w:hAnsi="Arial" w:cs="Arial"/>
                <w:b/>
                <w:bCs/>
                <w:sz w:val="22"/>
                <w:szCs w:val="22"/>
              </w:rPr>
            </w:pPr>
          </w:p>
          <w:p w14:paraId="000000C7" w14:textId="77777777" w:rsidR="001C40B0" w:rsidRDefault="00291712">
            <w:pPr>
              <w:jc w:val="both"/>
              <w:rPr>
                <w:rFonts w:ascii="Arial" w:eastAsia="Arial" w:hAnsi="Arial" w:cs="Arial"/>
                <w:b/>
                <w:bCs/>
                <w:sz w:val="22"/>
                <w:szCs w:val="22"/>
              </w:rPr>
            </w:pPr>
            <w:r>
              <w:rPr>
                <w:rFonts w:ascii="Arial" w:eastAsia="Arial" w:hAnsi="Arial" w:cs="Arial"/>
                <w:b/>
                <w:bCs/>
                <w:sz w:val="22"/>
                <w:szCs w:val="22"/>
              </w:rPr>
              <w:t>Parágrafo 1. El Instituto Nacional de Salud (INS) publicará anualmente, a más tardar el 31 de marzo de cada año, un mapa de priorización territorial con base en los criterios anteriores, el cual servirá como insumo para la focalización del ATP.</w:t>
            </w:r>
          </w:p>
          <w:p w14:paraId="000000C8" w14:textId="77777777" w:rsidR="001C40B0" w:rsidRDefault="001C40B0">
            <w:pPr>
              <w:jc w:val="both"/>
              <w:rPr>
                <w:rFonts w:ascii="Arial" w:eastAsia="Arial" w:hAnsi="Arial" w:cs="Arial"/>
                <w:b/>
                <w:bCs/>
                <w:sz w:val="22"/>
                <w:szCs w:val="22"/>
              </w:rPr>
            </w:pPr>
          </w:p>
          <w:p w14:paraId="000000C9" w14:textId="77777777" w:rsidR="001C40B0" w:rsidRDefault="00291712">
            <w:pPr>
              <w:jc w:val="both"/>
              <w:rPr>
                <w:rFonts w:ascii="Arial" w:eastAsia="Arial" w:hAnsi="Arial" w:cs="Arial"/>
                <w:b/>
                <w:bCs/>
                <w:sz w:val="22"/>
                <w:szCs w:val="22"/>
              </w:rPr>
            </w:pPr>
            <w:r>
              <w:rPr>
                <w:rFonts w:ascii="Arial" w:eastAsia="Arial" w:hAnsi="Arial" w:cs="Arial"/>
                <w:b/>
                <w:bCs/>
                <w:sz w:val="22"/>
                <w:szCs w:val="22"/>
              </w:rPr>
              <w:t>Parágrafo 2. La inclusión en el Programa de Acompañamiento Técnico Prioritario no será sancionatoria ni generará consecuencias negativas para los territorios; por el contrario, implicará mayor asignación de recursos técnicos como financieros y de asistencia especializada por parte de nivel nacional.</w:t>
            </w:r>
          </w:p>
        </w:tc>
        <w:tc>
          <w:tcPr>
            <w:tcW w:w="1432" w:type="dxa"/>
            <w:vAlign w:val="center"/>
          </w:tcPr>
          <w:p w14:paraId="000000CA" w14:textId="77777777" w:rsidR="001C40B0" w:rsidRDefault="00291712">
            <w:pPr>
              <w:jc w:val="both"/>
              <w:rPr>
                <w:rFonts w:ascii="Arial" w:eastAsia="Arial" w:hAnsi="Arial" w:cs="Arial"/>
                <w:sz w:val="22"/>
                <w:szCs w:val="22"/>
              </w:rPr>
            </w:pPr>
            <w:r>
              <w:rPr>
                <w:rFonts w:ascii="Arial" w:eastAsia="Arial" w:hAnsi="Arial" w:cs="Arial"/>
                <w:sz w:val="22"/>
                <w:szCs w:val="22"/>
              </w:rPr>
              <w:lastRenderedPageBreak/>
              <w:t>H.R Astrid Sánchez</w:t>
            </w:r>
          </w:p>
        </w:tc>
      </w:tr>
    </w:tbl>
    <w:p w14:paraId="000000CB" w14:textId="77777777" w:rsidR="001C40B0" w:rsidRDefault="001C40B0">
      <w:pPr>
        <w:jc w:val="both"/>
        <w:rPr>
          <w:rFonts w:ascii="Arial" w:eastAsia="Arial" w:hAnsi="Arial" w:cs="Arial"/>
          <w:sz w:val="22"/>
          <w:szCs w:val="22"/>
        </w:rPr>
      </w:pPr>
    </w:p>
    <w:p w14:paraId="000000CC" w14:textId="77777777" w:rsidR="001C40B0" w:rsidRDefault="00291712">
      <w:pPr>
        <w:jc w:val="both"/>
        <w:rPr>
          <w:rFonts w:ascii="Arial" w:eastAsia="Arial" w:hAnsi="Arial" w:cs="Arial"/>
          <w:sz w:val="22"/>
          <w:szCs w:val="22"/>
        </w:rPr>
      </w:pPr>
      <w:r>
        <w:rPr>
          <w:rFonts w:ascii="Arial" w:eastAsia="Arial" w:hAnsi="Arial" w:cs="Arial"/>
          <w:sz w:val="22"/>
          <w:szCs w:val="22"/>
        </w:rPr>
        <w:t>Luego se presentaron las siguientes proposiciones con posterioridad a la aprobación de los artículos en la sesión del 15 de abril de 2026:</w:t>
      </w:r>
    </w:p>
    <w:p w14:paraId="000000CD" w14:textId="77777777" w:rsidR="001C40B0" w:rsidRDefault="001C40B0">
      <w:pPr>
        <w:jc w:val="both"/>
        <w:rPr>
          <w:rFonts w:ascii="Arial" w:eastAsia="Arial" w:hAnsi="Arial" w:cs="Arial"/>
          <w:sz w:val="22"/>
          <w:szCs w:val="22"/>
        </w:rPr>
      </w:pP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2"/>
        <w:gridCol w:w="3287"/>
        <w:gridCol w:w="3137"/>
        <w:gridCol w:w="1406"/>
      </w:tblGrid>
      <w:tr w:rsidR="001C40B0" w14:paraId="2AD38631" w14:textId="77777777">
        <w:trPr>
          <w:tblHeader/>
        </w:trPr>
        <w:tc>
          <w:tcPr>
            <w:tcW w:w="1232" w:type="dxa"/>
            <w:vAlign w:val="center"/>
          </w:tcPr>
          <w:p w14:paraId="000000CE" w14:textId="77777777" w:rsidR="001C40B0" w:rsidRDefault="00291712">
            <w:pPr>
              <w:jc w:val="both"/>
              <w:rPr>
                <w:rFonts w:ascii="Arial" w:eastAsia="Arial" w:hAnsi="Arial" w:cs="Arial"/>
                <w:b/>
                <w:bCs/>
                <w:sz w:val="22"/>
                <w:szCs w:val="22"/>
              </w:rPr>
            </w:pPr>
            <w:r>
              <w:rPr>
                <w:rFonts w:ascii="Arial" w:eastAsia="Arial" w:hAnsi="Arial" w:cs="Arial"/>
                <w:b/>
                <w:bCs/>
                <w:sz w:val="22"/>
                <w:szCs w:val="22"/>
              </w:rPr>
              <w:t>Artículo</w:t>
            </w:r>
          </w:p>
        </w:tc>
        <w:tc>
          <w:tcPr>
            <w:tcW w:w="3287" w:type="dxa"/>
            <w:vAlign w:val="center"/>
          </w:tcPr>
          <w:p w14:paraId="000000CF" w14:textId="77777777" w:rsidR="001C40B0" w:rsidRDefault="00291712">
            <w:pPr>
              <w:jc w:val="center"/>
              <w:rPr>
                <w:rFonts w:ascii="Arial" w:eastAsia="Arial" w:hAnsi="Arial" w:cs="Arial"/>
                <w:b/>
                <w:bCs/>
                <w:sz w:val="22"/>
                <w:szCs w:val="22"/>
              </w:rPr>
            </w:pPr>
            <w:r>
              <w:rPr>
                <w:rFonts w:ascii="Arial" w:eastAsia="Arial" w:hAnsi="Arial" w:cs="Arial"/>
                <w:b/>
                <w:bCs/>
                <w:sz w:val="22"/>
                <w:szCs w:val="22"/>
              </w:rPr>
              <w:t>Texto del proyecto</w:t>
            </w:r>
          </w:p>
        </w:tc>
        <w:tc>
          <w:tcPr>
            <w:tcW w:w="3137" w:type="dxa"/>
            <w:vAlign w:val="center"/>
          </w:tcPr>
          <w:p w14:paraId="000000D0" w14:textId="77777777" w:rsidR="001C40B0" w:rsidRDefault="00291712">
            <w:pPr>
              <w:jc w:val="center"/>
              <w:rPr>
                <w:rFonts w:ascii="Arial" w:eastAsia="Arial" w:hAnsi="Arial" w:cs="Arial"/>
                <w:b/>
                <w:bCs/>
                <w:sz w:val="22"/>
                <w:szCs w:val="22"/>
              </w:rPr>
            </w:pPr>
            <w:r>
              <w:rPr>
                <w:rFonts w:ascii="Arial" w:eastAsia="Arial" w:hAnsi="Arial" w:cs="Arial"/>
                <w:b/>
                <w:bCs/>
                <w:sz w:val="22"/>
                <w:szCs w:val="22"/>
              </w:rPr>
              <w:t>Modificación propuesta</w:t>
            </w:r>
          </w:p>
        </w:tc>
        <w:tc>
          <w:tcPr>
            <w:tcW w:w="1406" w:type="dxa"/>
            <w:vAlign w:val="center"/>
          </w:tcPr>
          <w:p w14:paraId="000000D1" w14:textId="77777777" w:rsidR="001C40B0" w:rsidRDefault="00291712">
            <w:pPr>
              <w:jc w:val="center"/>
              <w:rPr>
                <w:rFonts w:ascii="Arial" w:eastAsia="Arial" w:hAnsi="Arial" w:cs="Arial"/>
                <w:b/>
                <w:bCs/>
                <w:sz w:val="22"/>
                <w:szCs w:val="22"/>
              </w:rPr>
            </w:pPr>
            <w:r>
              <w:rPr>
                <w:rFonts w:ascii="Arial" w:eastAsia="Arial" w:hAnsi="Arial" w:cs="Arial"/>
                <w:b/>
                <w:bCs/>
                <w:sz w:val="22"/>
                <w:szCs w:val="22"/>
              </w:rPr>
              <w:t>Proponente</w:t>
            </w:r>
          </w:p>
        </w:tc>
      </w:tr>
      <w:tr w:rsidR="001C40B0" w14:paraId="0FCFCD49" w14:textId="77777777">
        <w:tc>
          <w:tcPr>
            <w:tcW w:w="1232" w:type="dxa"/>
            <w:vAlign w:val="center"/>
          </w:tcPr>
          <w:p w14:paraId="000000D2" w14:textId="77777777" w:rsidR="001C40B0" w:rsidRDefault="00291712">
            <w:pPr>
              <w:jc w:val="both"/>
              <w:rPr>
                <w:rFonts w:ascii="Arial" w:eastAsia="Arial" w:hAnsi="Arial" w:cs="Arial"/>
                <w:sz w:val="22"/>
                <w:szCs w:val="22"/>
              </w:rPr>
            </w:pPr>
            <w:r>
              <w:rPr>
                <w:rFonts w:ascii="Arial" w:eastAsia="Arial" w:hAnsi="Arial" w:cs="Arial"/>
                <w:b/>
                <w:bCs/>
                <w:sz w:val="22"/>
                <w:szCs w:val="22"/>
              </w:rPr>
              <w:t>Art. 2</w:t>
            </w:r>
          </w:p>
        </w:tc>
        <w:tc>
          <w:tcPr>
            <w:tcW w:w="3287" w:type="dxa"/>
            <w:vAlign w:val="center"/>
          </w:tcPr>
          <w:p w14:paraId="000000D3" w14:textId="77777777" w:rsidR="001C40B0" w:rsidRDefault="00291712">
            <w:p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b/>
                <w:bCs/>
                <w:color w:val="000000"/>
                <w:sz w:val="22"/>
                <w:szCs w:val="22"/>
              </w:rPr>
              <w:t xml:space="preserve">ARTÍCULO 2. </w:t>
            </w:r>
            <w:r>
              <w:rPr>
                <w:rFonts w:ascii="Arial" w:eastAsia="Arial" w:hAnsi="Arial" w:cs="Arial"/>
                <w:color w:val="000000"/>
                <w:sz w:val="22"/>
                <w:szCs w:val="22"/>
              </w:rPr>
              <w:t>Modifíquese el artículo 542 de la Ley 9ª de 1979, el cual quedará así:</w:t>
            </w:r>
          </w:p>
          <w:p w14:paraId="000000D4" w14:textId="77777777" w:rsidR="001C40B0" w:rsidRDefault="00291712">
            <w:p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b/>
                <w:bCs/>
                <w:color w:val="000000"/>
                <w:sz w:val="22"/>
                <w:szCs w:val="22"/>
              </w:rPr>
              <w:t>ARTÍCULO 542.</w:t>
            </w:r>
            <w:r>
              <w:rPr>
                <w:rFonts w:ascii="Arial" w:eastAsia="Arial" w:hAnsi="Arial" w:cs="Arial"/>
                <w:color w:val="000000"/>
                <w:sz w:val="22"/>
                <w:szCs w:val="22"/>
              </w:rPr>
              <w:t xml:space="preserve"> El Ministerio de Salud y Protección Social conforme a los criterios estandarizados de la OMS y convenios internacionales deberá:</w:t>
            </w:r>
          </w:p>
          <w:p w14:paraId="000000D5" w14:textId="77777777" w:rsidR="001C40B0" w:rsidRDefault="00291712">
            <w:p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color w:val="000000"/>
                <w:sz w:val="22"/>
                <w:szCs w:val="22"/>
              </w:rPr>
              <w:t>a) Determinar y mantener actualizados, previa consulta a las sociedades científicas relacionadas con esta materia, los criterios para establecer la muerte encefálica o por parada circulatoria y respiratoria  irreversible de un paciente.</w:t>
            </w:r>
          </w:p>
          <w:p w14:paraId="000000D6"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b) Mantener actualizados los criterios que deberán ser constatados por quienes expidan el certificado de defunción.</w:t>
            </w:r>
          </w:p>
          <w:p w14:paraId="000000D7" w14:textId="77777777" w:rsidR="001C40B0" w:rsidRDefault="001C40B0">
            <w:pPr>
              <w:jc w:val="both"/>
              <w:rPr>
                <w:rFonts w:ascii="Arial" w:eastAsia="Arial" w:hAnsi="Arial" w:cs="Arial"/>
                <w:sz w:val="22"/>
                <w:szCs w:val="22"/>
              </w:rPr>
            </w:pPr>
          </w:p>
        </w:tc>
        <w:tc>
          <w:tcPr>
            <w:tcW w:w="3137" w:type="dxa"/>
            <w:vAlign w:val="center"/>
          </w:tcPr>
          <w:p w14:paraId="000000D8" w14:textId="77777777" w:rsidR="001C40B0" w:rsidRDefault="00291712">
            <w:p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b/>
                <w:bCs/>
                <w:color w:val="000000"/>
                <w:sz w:val="22"/>
                <w:szCs w:val="22"/>
              </w:rPr>
              <w:t xml:space="preserve">ARTÍCULO 2. </w:t>
            </w:r>
            <w:r>
              <w:rPr>
                <w:rFonts w:ascii="Arial" w:eastAsia="Arial" w:hAnsi="Arial" w:cs="Arial"/>
                <w:color w:val="000000"/>
                <w:sz w:val="22"/>
                <w:szCs w:val="22"/>
              </w:rPr>
              <w:t>Modifíquese el artículo 542 de la Ley 9ª de 1979, el cual quedará así:</w:t>
            </w:r>
          </w:p>
          <w:p w14:paraId="000000D9" w14:textId="77777777" w:rsidR="001C40B0" w:rsidRDefault="00291712">
            <w:p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b/>
                <w:bCs/>
                <w:color w:val="000000"/>
                <w:sz w:val="22"/>
                <w:szCs w:val="22"/>
              </w:rPr>
              <w:t>ARTÍCULO 542.</w:t>
            </w:r>
            <w:r>
              <w:rPr>
                <w:rFonts w:ascii="Arial" w:eastAsia="Arial" w:hAnsi="Arial" w:cs="Arial"/>
                <w:color w:val="000000"/>
                <w:sz w:val="22"/>
                <w:szCs w:val="22"/>
              </w:rPr>
              <w:t xml:space="preserve"> El Ministerio de Salud y Protección Social conforme a los criterios estandarizados de la OMS y convenios internacionales deberá:</w:t>
            </w:r>
          </w:p>
          <w:p w14:paraId="000000DA" w14:textId="77777777" w:rsidR="001C40B0" w:rsidRDefault="00291712">
            <w:pPr>
              <w:pBdr>
                <w:top w:val="nil"/>
                <w:left w:val="nil"/>
                <w:bottom w:val="nil"/>
                <w:right w:val="nil"/>
                <w:between w:val="nil"/>
              </w:pBdr>
              <w:spacing w:after="160"/>
              <w:jc w:val="both"/>
              <w:rPr>
                <w:rFonts w:ascii="Arial" w:eastAsia="Arial" w:hAnsi="Arial" w:cs="Arial"/>
                <w:b/>
                <w:bCs/>
                <w:color w:val="000000"/>
                <w:sz w:val="22"/>
                <w:szCs w:val="22"/>
                <w:u w:val="single"/>
              </w:rPr>
            </w:pPr>
            <w:r>
              <w:rPr>
                <w:rFonts w:ascii="Arial" w:eastAsia="Arial" w:hAnsi="Arial" w:cs="Arial"/>
                <w:color w:val="000000"/>
                <w:sz w:val="22"/>
                <w:szCs w:val="22"/>
              </w:rPr>
              <w:t xml:space="preserve">a) Determinar y mantener actualizados, previa consulta a las sociedades científicas relacionadas con esta materia, los criterios para establecer la muerte encefálica o </w:t>
            </w:r>
            <w:r>
              <w:rPr>
                <w:rFonts w:ascii="Arial" w:eastAsia="Arial" w:hAnsi="Arial" w:cs="Arial"/>
                <w:b/>
                <w:bCs/>
                <w:color w:val="000000"/>
                <w:sz w:val="22"/>
                <w:szCs w:val="22"/>
                <w:u w:val="single"/>
              </w:rPr>
              <w:t>por cese irreversible de las funciones cardiorrespiratorias de un de un paciente.</w:t>
            </w:r>
          </w:p>
          <w:p w14:paraId="000000DB"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b) Mantener actualizados los criterios que deberán ser constatados por quienes expidan el certificado de defunción.</w:t>
            </w:r>
          </w:p>
          <w:p w14:paraId="000000DC" w14:textId="77777777" w:rsidR="001C40B0" w:rsidRDefault="001C40B0">
            <w:pPr>
              <w:jc w:val="both"/>
              <w:rPr>
                <w:rFonts w:ascii="Arial" w:eastAsia="Arial" w:hAnsi="Arial" w:cs="Arial"/>
                <w:sz w:val="22"/>
                <w:szCs w:val="22"/>
              </w:rPr>
            </w:pPr>
          </w:p>
        </w:tc>
        <w:tc>
          <w:tcPr>
            <w:tcW w:w="1406" w:type="dxa"/>
            <w:vAlign w:val="center"/>
          </w:tcPr>
          <w:p w14:paraId="000000DD" w14:textId="77777777" w:rsidR="001C40B0" w:rsidRDefault="00291712">
            <w:pPr>
              <w:jc w:val="both"/>
              <w:rPr>
                <w:rFonts w:ascii="Arial" w:eastAsia="Arial" w:hAnsi="Arial" w:cs="Arial"/>
                <w:sz w:val="22"/>
                <w:szCs w:val="22"/>
              </w:rPr>
            </w:pPr>
            <w:r>
              <w:rPr>
                <w:rFonts w:ascii="Arial" w:eastAsia="Arial" w:hAnsi="Arial" w:cs="Arial"/>
                <w:sz w:val="22"/>
                <w:szCs w:val="22"/>
              </w:rPr>
              <w:t>H.R Astrid Sánchez</w:t>
            </w:r>
          </w:p>
          <w:p w14:paraId="000000DE" w14:textId="77777777" w:rsidR="001C40B0" w:rsidRDefault="001C40B0">
            <w:pPr>
              <w:jc w:val="both"/>
              <w:rPr>
                <w:rFonts w:ascii="Arial" w:eastAsia="Arial" w:hAnsi="Arial" w:cs="Arial"/>
                <w:b/>
                <w:bCs/>
                <w:sz w:val="22"/>
                <w:szCs w:val="22"/>
              </w:rPr>
            </w:pPr>
          </w:p>
          <w:p w14:paraId="000000DF" w14:textId="77777777" w:rsidR="001C40B0" w:rsidRDefault="001C40B0">
            <w:pPr>
              <w:jc w:val="both"/>
              <w:rPr>
                <w:rFonts w:ascii="Arial" w:eastAsia="Arial" w:hAnsi="Arial" w:cs="Arial"/>
                <w:b/>
                <w:bCs/>
                <w:sz w:val="22"/>
                <w:szCs w:val="22"/>
              </w:rPr>
            </w:pPr>
          </w:p>
        </w:tc>
      </w:tr>
      <w:tr w:rsidR="001C40B0" w14:paraId="320327F0" w14:textId="77777777">
        <w:tc>
          <w:tcPr>
            <w:tcW w:w="1232" w:type="dxa"/>
            <w:vAlign w:val="center"/>
          </w:tcPr>
          <w:p w14:paraId="000000E0" w14:textId="77777777" w:rsidR="001C40B0" w:rsidRDefault="00291712">
            <w:pPr>
              <w:jc w:val="both"/>
              <w:rPr>
                <w:rFonts w:ascii="Arial" w:eastAsia="Arial" w:hAnsi="Arial" w:cs="Arial"/>
                <w:sz w:val="22"/>
                <w:szCs w:val="22"/>
              </w:rPr>
            </w:pPr>
            <w:r>
              <w:rPr>
                <w:rFonts w:ascii="Arial" w:eastAsia="Arial" w:hAnsi="Arial" w:cs="Arial"/>
                <w:b/>
                <w:bCs/>
                <w:sz w:val="22"/>
                <w:szCs w:val="22"/>
              </w:rPr>
              <w:t>Art. 4</w:t>
            </w:r>
          </w:p>
        </w:tc>
        <w:tc>
          <w:tcPr>
            <w:tcW w:w="3287" w:type="dxa"/>
            <w:vAlign w:val="center"/>
          </w:tcPr>
          <w:p w14:paraId="000000E1" w14:textId="77777777" w:rsidR="001C40B0" w:rsidRDefault="00291712">
            <w:p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b/>
                <w:bCs/>
                <w:color w:val="000000"/>
                <w:sz w:val="22"/>
                <w:szCs w:val="22"/>
              </w:rPr>
              <w:t xml:space="preserve">ARTÍCULO 4. </w:t>
            </w:r>
            <w:r>
              <w:rPr>
                <w:rFonts w:ascii="Arial" w:eastAsia="Arial" w:hAnsi="Arial" w:cs="Arial"/>
                <w:color w:val="000000"/>
                <w:sz w:val="22"/>
                <w:szCs w:val="22"/>
              </w:rPr>
              <w:t>Modifíquese el artículo 8° de la Ley 1805 de 2016, el cual quedará así:</w:t>
            </w:r>
          </w:p>
          <w:p w14:paraId="000000E2" w14:textId="77777777" w:rsidR="001C40B0" w:rsidRDefault="00291712">
            <w:p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b/>
                <w:bCs/>
                <w:color w:val="000000"/>
                <w:sz w:val="22"/>
                <w:szCs w:val="22"/>
              </w:rPr>
              <w:t xml:space="preserve">ARTÍCULO 8. </w:t>
            </w:r>
            <w:r>
              <w:rPr>
                <w:rFonts w:ascii="Arial" w:eastAsia="Arial" w:hAnsi="Arial" w:cs="Arial"/>
                <w:color w:val="000000"/>
                <w:sz w:val="22"/>
                <w:szCs w:val="22"/>
              </w:rPr>
              <w:t>Las Instituciones Prestadoras de Salud (IPS) deberán contar con los recursos humanos, tecnológicos, formativos, éticos y técnicos idóneos con el fin de detectar en tiempo real a los posibles donantes de acuerdo con los criterios y competencias que establezca el Instituto Nacional de Salud (INS) o quien haga sus veces.</w:t>
            </w:r>
          </w:p>
          <w:p w14:paraId="000000E3" w14:textId="77777777" w:rsidR="001C40B0" w:rsidRDefault="00291712">
            <w:p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color w:val="000000"/>
                <w:sz w:val="22"/>
                <w:szCs w:val="22"/>
              </w:rPr>
              <w:t xml:space="preserve">Las Instituciones Prestadoras de Salud (IPS) de Nivel II con Unidad de Cuidados Intensivos (UCI) y las Instituciones Prestadoras de </w:t>
            </w:r>
            <w:r>
              <w:rPr>
                <w:rFonts w:ascii="Arial" w:eastAsia="Arial" w:hAnsi="Arial" w:cs="Arial"/>
                <w:color w:val="000000"/>
                <w:sz w:val="22"/>
                <w:szCs w:val="22"/>
              </w:rPr>
              <w:lastRenderedPageBreak/>
              <w:t>Salud (IPS) de Nivel III y IV, deberán con los recursos humanos</w:t>
            </w:r>
            <w:r>
              <w:rPr>
                <w:rFonts w:ascii="Arial" w:eastAsia="Arial" w:hAnsi="Arial" w:cs="Arial"/>
                <w:b/>
                <w:bCs/>
                <w:color w:val="000000"/>
                <w:sz w:val="22"/>
                <w:szCs w:val="22"/>
              </w:rPr>
              <w:t xml:space="preserve">, </w:t>
            </w:r>
            <w:r>
              <w:rPr>
                <w:rFonts w:ascii="Arial" w:eastAsia="Arial" w:hAnsi="Arial" w:cs="Arial"/>
                <w:color w:val="000000"/>
                <w:sz w:val="22"/>
                <w:szCs w:val="22"/>
              </w:rPr>
              <w:t>tecnológicos, formativos, éticos y técnicos necesarios para el diagnóstico de la muerte y el mantenimiento del donante hasta su rescate. Para tal fin, deberán contar con médicos coordinadores operativos. Igualmente, podrán disponer de la participación de otros profesionales de la salud para apoyar la comunicación del diagnóstico de muerte a los familiares</w:t>
            </w:r>
            <w:r>
              <w:rPr>
                <w:rFonts w:ascii="Arial" w:eastAsia="Arial" w:hAnsi="Arial" w:cs="Arial"/>
                <w:b/>
                <w:bCs/>
                <w:color w:val="000000"/>
                <w:sz w:val="22"/>
                <w:szCs w:val="22"/>
              </w:rPr>
              <w:t>.</w:t>
            </w:r>
            <w:r>
              <w:rPr>
                <w:rFonts w:ascii="Arial" w:eastAsia="Arial" w:hAnsi="Arial" w:cs="Arial"/>
                <w:color w:val="000000"/>
                <w:sz w:val="22"/>
                <w:szCs w:val="22"/>
              </w:rPr>
              <w:t xml:space="preserve"> Estos recursos serán un requisito de habilitación</w:t>
            </w:r>
          </w:p>
          <w:p w14:paraId="000000E4" w14:textId="77777777" w:rsidR="001C40B0" w:rsidRDefault="00291712">
            <w:p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color w:val="000000"/>
                <w:sz w:val="22"/>
                <w:szCs w:val="22"/>
              </w:rPr>
              <w:t>Las disposiciones previstas en este artículo se aplicarán de acuerdo con los lineamientos establecidos por el Instituto Nacional de Salud (INS) o quien haga sus veces.</w:t>
            </w:r>
          </w:p>
          <w:p w14:paraId="000000E5" w14:textId="77777777" w:rsidR="001C40B0" w:rsidRDefault="00291712">
            <w:p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color w:val="000000"/>
                <w:sz w:val="22"/>
                <w:szCs w:val="22"/>
              </w:rPr>
              <w:t>La auditoría de estos procedimientos estará a cargo del Instituto Nacional de Salud (INS) o quien haga sus veces, quien podrá delegar dicha función en las coordinaciones regionales de la Red de Donación y Trasplantes de Órganos y Tejidos.</w:t>
            </w:r>
          </w:p>
          <w:p w14:paraId="000000E6" w14:textId="77777777" w:rsidR="001C40B0" w:rsidRDefault="00291712">
            <w:p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b/>
                <w:bCs/>
                <w:color w:val="000000"/>
                <w:sz w:val="22"/>
                <w:szCs w:val="22"/>
              </w:rPr>
              <w:t xml:space="preserve">PARÁGRAFO 1. </w:t>
            </w:r>
            <w:r>
              <w:rPr>
                <w:rFonts w:ascii="Arial" w:eastAsia="Arial" w:hAnsi="Arial" w:cs="Arial"/>
                <w:color w:val="000000"/>
                <w:sz w:val="22"/>
                <w:szCs w:val="22"/>
              </w:rPr>
              <w:t>El Ministerio de Salud y Protección Social establecerá apoyo técnico y financiero en IPS que tengan debilidades en dichos criterios.  Esto será reglamentado y tendrá un carácter transitorio.</w:t>
            </w:r>
          </w:p>
          <w:p w14:paraId="000000E7"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PARÁGRAFO 2.</w:t>
            </w:r>
            <w:r>
              <w:rPr>
                <w:rFonts w:ascii="Arial" w:eastAsia="Arial" w:hAnsi="Arial" w:cs="Arial"/>
                <w:color w:val="000000"/>
                <w:sz w:val="22"/>
                <w:szCs w:val="22"/>
              </w:rPr>
              <w:t xml:space="preserve"> El Gobierno reglamentará lo relativo a este artículo en plazo no mayor a seis (6) meses, contados a partir de la entrada en vigencia de la presente Ley.</w:t>
            </w:r>
          </w:p>
          <w:p w14:paraId="000000E8" w14:textId="77777777" w:rsidR="001C40B0" w:rsidRDefault="001C40B0">
            <w:pPr>
              <w:jc w:val="both"/>
              <w:rPr>
                <w:rFonts w:ascii="Arial" w:eastAsia="Arial" w:hAnsi="Arial" w:cs="Arial"/>
                <w:sz w:val="22"/>
                <w:szCs w:val="22"/>
              </w:rPr>
            </w:pPr>
          </w:p>
        </w:tc>
        <w:tc>
          <w:tcPr>
            <w:tcW w:w="3137" w:type="dxa"/>
            <w:vAlign w:val="center"/>
          </w:tcPr>
          <w:p w14:paraId="000000E9" w14:textId="77777777" w:rsidR="001C40B0" w:rsidRDefault="00291712">
            <w:p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b/>
                <w:bCs/>
                <w:color w:val="000000"/>
                <w:sz w:val="22"/>
                <w:szCs w:val="22"/>
              </w:rPr>
              <w:lastRenderedPageBreak/>
              <w:t xml:space="preserve">ARTÍCULO 4. </w:t>
            </w:r>
            <w:r>
              <w:rPr>
                <w:rFonts w:ascii="Arial" w:eastAsia="Arial" w:hAnsi="Arial" w:cs="Arial"/>
                <w:color w:val="000000"/>
                <w:sz w:val="22"/>
                <w:szCs w:val="22"/>
              </w:rPr>
              <w:t>Modifíquese el artículo 8° de la Ley 1805 de 2016, el cual quedará así:</w:t>
            </w:r>
          </w:p>
          <w:p w14:paraId="000000EA" w14:textId="77777777" w:rsidR="001C40B0" w:rsidRDefault="00291712">
            <w:p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b/>
                <w:bCs/>
                <w:color w:val="000000"/>
                <w:sz w:val="22"/>
                <w:szCs w:val="22"/>
              </w:rPr>
              <w:t xml:space="preserve">ARTÍCULO 8. </w:t>
            </w:r>
            <w:r>
              <w:rPr>
                <w:rFonts w:ascii="Arial" w:eastAsia="Arial" w:hAnsi="Arial" w:cs="Arial"/>
                <w:color w:val="000000"/>
                <w:sz w:val="22"/>
                <w:szCs w:val="22"/>
              </w:rPr>
              <w:t>Las Instituciones Prestadoras de Salud (IPS) deberán contar con los recursos humanos, tecnológicos, formativos, éticos y técnicos idóneos con el fin de detectar en tiempo real a los posibles donantes de acuerdo con los criterios y competencias que establezca el Instituto Nacional de Salud (INS) o quien haga sus veces.</w:t>
            </w:r>
          </w:p>
          <w:p w14:paraId="000000EB" w14:textId="77777777" w:rsidR="001C40B0" w:rsidRDefault="00291712">
            <w:p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color w:val="000000"/>
                <w:sz w:val="22"/>
                <w:szCs w:val="22"/>
              </w:rPr>
              <w:t xml:space="preserve">Las Instituciones Prestadoras de Salud (IPS) de Nivel II con Unidad de Cuidados Intensivos (UCI) y las Instituciones </w:t>
            </w:r>
            <w:r>
              <w:rPr>
                <w:rFonts w:ascii="Arial" w:eastAsia="Arial" w:hAnsi="Arial" w:cs="Arial"/>
                <w:color w:val="000000"/>
                <w:sz w:val="22"/>
                <w:szCs w:val="22"/>
              </w:rPr>
              <w:lastRenderedPageBreak/>
              <w:t>Prestadoras de Salud (IPS) de Nivel III y IV, deberán con los recursos humanos</w:t>
            </w:r>
            <w:r>
              <w:rPr>
                <w:rFonts w:ascii="Arial" w:eastAsia="Arial" w:hAnsi="Arial" w:cs="Arial"/>
                <w:b/>
                <w:bCs/>
                <w:color w:val="000000"/>
                <w:sz w:val="22"/>
                <w:szCs w:val="22"/>
              </w:rPr>
              <w:t xml:space="preserve">, </w:t>
            </w:r>
            <w:r>
              <w:rPr>
                <w:rFonts w:ascii="Arial" w:eastAsia="Arial" w:hAnsi="Arial" w:cs="Arial"/>
                <w:color w:val="000000"/>
                <w:sz w:val="22"/>
                <w:szCs w:val="22"/>
              </w:rPr>
              <w:t xml:space="preserve">tecnológicos, formativos, éticos y técnicos necesarios para </w:t>
            </w:r>
            <w:r>
              <w:rPr>
                <w:rFonts w:ascii="Arial" w:eastAsia="Arial" w:hAnsi="Arial" w:cs="Arial"/>
                <w:b/>
                <w:bCs/>
                <w:color w:val="000000"/>
                <w:sz w:val="22"/>
                <w:szCs w:val="22"/>
                <w:u w:val="single"/>
              </w:rPr>
              <w:t>realizar</w:t>
            </w:r>
            <w:r>
              <w:rPr>
                <w:rFonts w:ascii="Arial" w:eastAsia="Arial" w:hAnsi="Arial" w:cs="Arial"/>
                <w:color w:val="000000"/>
                <w:sz w:val="22"/>
                <w:szCs w:val="22"/>
              </w:rPr>
              <w:t xml:space="preserve"> el diagnóstico de la muerte y el mantenimiento del donante hasta su rescate. Para tal fin, deberán contar con médicos coordinadores operativos. Igualmente, podrán disponer de la participación de otros profesionales de la salud para apoyar la comunicación del diagnóstico de muerte a los familiares</w:t>
            </w:r>
            <w:r>
              <w:rPr>
                <w:rFonts w:ascii="Arial" w:eastAsia="Arial" w:hAnsi="Arial" w:cs="Arial"/>
                <w:b/>
                <w:bCs/>
                <w:color w:val="000000"/>
                <w:sz w:val="22"/>
                <w:szCs w:val="22"/>
              </w:rPr>
              <w:t>.</w:t>
            </w:r>
            <w:r>
              <w:rPr>
                <w:rFonts w:ascii="Arial" w:eastAsia="Arial" w:hAnsi="Arial" w:cs="Arial"/>
                <w:color w:val="000000"/>
                <w:sz w:val="22"/>
                <w:szCs w:val="22"/>
              </w:rPr>
              <w:t xml:space="preserve"> Estos recursos serán un requisito de habilitación</w:t>
            </w:r>
          </w:p>
          <w:p w14:paraId="000000EC" w14:textId="77777777" w:rsidR="001C40B0" w:rsidRDefault="00291712">
            <w:p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color w:val="000000"/>
                <w:sz w:val="22"/>
                <w:szCs w:val="22"/>
              </w:rPr>
              <w:t>Las disposiciones previstas en este artículo se aplicarán de acuerdo con los lineamientos establecidos por el Instituto Nacional de Salud (INS) o quien haga sus veces.</w:t>
            </w:r>
          </w:p>
          <w:p w14:paraId="000000ED" w14:textId="77777777" w:rsidR="001C40B0" w:rsidRDefault="00291712">
            <w:p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color w:val="000000"/>
                <w:sz w:val="22"/>
                <w:szCs w:val="22"/>
              </w:rPr>
              <w:t>La auditoría de estos procedimientos estará a cargo del Instituto Nacional de Salud (INS) o quien haga sus veces, quien podrá delegar dicha función en las coordinaciones regionales de la Red de Donación y Trasplantes de Órganos y Tejidos.</w:t>
            </w:r>
          </w:p>
          <w:p w14:paraId="000000EE" w14:textId="77777777" w:rsidR="001C40B0" w:rsidRDefault="00291712">
            <w:p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b/>
                <w:bCs/>
                <w:color w:val="000000"/>
                <w:sz w:val="22"/>
                <w:szCs w:val="22"/>
              </w:rPr>
              <w:t xml:space="preserve">PARÁGRAFO 1. </w:t>
            </w:r>
            <w:r>
              <w:rPr>
                <w:rFonts w:ascii="Arial" w:eastAsia="Arial" w:hAnsi="Arial" w:cs="Arial"/>
                <w:color w:val="000000"/>
                <w:sz w:val="22"/>
                <w:szCs w:val="22"/>
              </w:rPr>
              <w:t>El Ministerio de Salud y Protección Social establecerá apoyo técnico y financiero en IPS que tengan debilidades en dichos criterios.  Esto será reglamentado y tendrá un carácter transitorio.</w:t>
            </w:r>
          </w:p>
          <w:p w14:paraId="000000EF"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PARÁGRAFO 2.</w:t>
            </w:r>
            <w:r>
              <w:rPr>
                <w:rFonts w:ascii="Arial" w:eastAsia="Arial" w:hAnsi="Arial" w:cs="Arial"/>
                <w:color w:val="000000"/>
                <w:sz w:val="22"/>
                <w:szCs w:val="22"/>
              </w:rPr>
              <w:t xml:space="preserve"> El Gobierno reglamentará lo relativo a este artículo en plazo no mayor a seis (6) meses, contados a </w:t>
            </w:r>
            <w:r>
              <w:rPr>
                <w:rFonts w:ascii="Arial" w:eastAsia="Arial" w:hAnsi="Arial" w:cs="Arial"/>
                <w:color w:val="000000"/>
                <w:sz w:val="22"/>
                <w:szCs w:val="22"/>
              </w:rPr>
              <w:lastRenderedPageBreak/>
              <w:t>partir de la entrada en vigencia de la presente Ley.</w:t>
            </w:r>
          </w:p>
          <w:p w14:paraId="000000F0" w14:textId="77777777" w:rsidR="001C40B0" w:rsidRDefault="001C40B0">
            <w:pPr>
              <w:jc w:val="both"/>
              <w:rPr>
                <w:rFonts w:ascii="Arial" w:eastAsia="Arial" w:hAnsi="Arial" w:cs="Arial"/>
                <w:sz w:val="22"/>
                <w:szCs w:val="22"/>
              </w:rPr>
            </w:pPr>
          </w:p>
        </w:tc>
        <w:tc>
          <w:tcPr>
            <w:tcW w:w="1406" w:type="dxa"/>
            <w:vAlign w:val="center"/>
          </w:tcPr>
          <w:p w14:paraId="000000F1" w14:textId="77777777" w:rsidR="001C40B0" w:rsidRDefault="00291712">
            <w:pPr>
              <w:jc w:val="both"/>
              <w:rPr>
                <w:rFonts w:ascii="Arial" w:eastAsia="Arial" w:hAnsi="Arial" w:cs="Arial"/>
                <w:sz w:val="22"/>
                <w:szCs w:val="22"/>
              </w:rPr>
            </w:pPr>
            <w:r>
              <w:rPr>
                <w:rFonts w:ascii="Arial" w:eastAsia="Arial" w:hAnsi="Arial" w:cs="Arial"/>
                <w:sz w:val="22"/>
                <w:szCs w:val="22"/>
              </w:rPr>
              <w:lastRenderedPageBreak/>
              <w:t>H.R Piedad Correal</w:t>
            </w:r>
          </w:p>
          <w:p w14:paraId="000000F2" w14:textId="77777777" w:rsidR="001C40B0" w:rsidRDefault="001C40B0">
            <w:pPr>
              <w:jc w:val="both"/>
              <w:rPr>
                <w:rFonts w:ascii="Arial" w:eastAsia="Arial" w:hAnsi="Arial" w:cs="Arial"/>
                <w:sz w:val="22"/>
                <w:szCs w:val="22"/>
              </w:rPr>
            </w:pPr>
          </w:p>
          <w:p w14:paraId="000000F3" w14:textId="77777777" w:rsidR="001C40B0" w:rsidRDefault="001C40B0">
            <w:pPr>
              <w:jc w:val="both"/>
              <w:rPr>
                <w:rFonts w:ascii="Arial" w:eastAsia="Arial" w:hAnsi="Arial" w:cs="Arial"/>
                <w:sz w:val="22"/>
                <w:szCs w:val="22"/>
              </w:rPr>
            </w:pPr>
          </w:p>
        </w:tc>
      </w:tr>
      <w:tr w:rsidR="001C40B0" w14:paraId="3E1FE16D" w14:textId="77777777">
        <w:tc>
          <w:tcPr>
            <w:tcW w:w="1232" w:type="dxa"/>
            <w:vAlign w:val="center"/>
          </w:tcPr>
          <w:p w14:paraId="000000F4" w14:textId="77777777" w:rsidR="001C40B0" w:rsidRDefault="00291712">
            <w:pPr>
              <w:jc w:val="both"/>
              <w:rPr>
                <w:rFonts w:ascii="Arial" w:eastAsia="Arial" w:hAnsi="Arial" w:cs="Arial"/>
                <w:sz w:val="22"/>
                <w:szCs w:val="22"/>
              </w:rPr>
            </w:pPr>
            <w:r>
              <w:rPr>
                <w:rFonts w:ascii="Arial" w:eastAsia="Arial" w:hAnsi="Arial" w:cs="Arial"/>
                <w:b/>
                <w:bCs/>
                <w:sz w:val="22"/>
                <w:szCs w:val="22"/>
              </w:rPr>
              <w:lastRenderedPageBreak/>
              <w:t>Art. 5</w:t>
            </w:r>
          </w:p>
        </w:tc>
        <w:tc>
          <w:tcPr>
            <w:tcW w:w="3287" w:type="dxa"/>
            <w:vAlign w:val="center"/>
          </w:tcPr>
          <w:p w14:paraId="000000F5" w14:textId="77777777" w:rsidR="001C40B0" w:rsidRDefault="00291712">
            <w:p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b/>
                <w:bCs/>
                <w:color w:val="000000"/>
                <w:sz w:val="22"/>
                <w:szCs w:val="22"/>
              </w:rPr>
              <w:t xml:space="preserve">ARTÍCULO 5. </w:t>
            </w:r>
            <w:r>
              <w:rPr>
                <w:rFonts w:ascii="Arial" w:eastAsia="Arial" w:hAnsi="Arial" w:cs="Arial"/>
                <w:color w:val="000000"/>
                <w:sz w:val="22"/>
                <w:szCs w:val="22"/>
              </w:rPr>
              <w:t>Modifíquese el artículo 15° de la Ley 1805 de 2016, el cual quedará así:</w:t>
            </w:r>
          </w:p>
          <w:p w14:paraId="000000F6" w14:textId="77777777" w:rsidR="001C40B0" w:rsidRDefault="00291712">
            <w:p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b/>
                <w:bCs/>
                <w:color w:val="000000"/>
                <w:sz w:val="22"/>
                <w:szCs w:val="22"/>
              </w:rPr>
              <w:t xml:space="preserve">ARTÍCULO 15. </w:t>
            </w:r>
            <w:r>
              <w:rPr>
                <w:rFonts w:ascii="Arial" w:eastAsia="Arial" w:hAnsi="Arial" w:cs="Arial"/>
                <w:color w:val="000000"/>
                <w:sz w:val="22"/>
                <w:szCs w:val="22"/>
              </w:rPr>
              <w:t>Los menores de edad podrán ser donantes de órganos y tejidos, siempre y cuando sus representantes legales expresen su consentimiento informado para tal fin después de su fallecimiento, en los términos descritos en el literal a) del Artículo 542 de la Ley 9 de 1979.</w:t>
            </w:r>
          </w:p>
          <w:p w14:paraId="000000F7" w14:textId="77777777" w:rsidR="001C40B0" w:rsidRDefault="00291712">
            <w:p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color w:val="000000"/>
                <w:sz w:val="22"/>
                <w:szCs w:val="22"/>
              </w:rPr>
              <w:t>El médico coordinador operativo de trasplantes deberá informarles sus derechos y los beneficios de la donación a los representantes del menor.</w:t>
            </w:r>
          </w:p>
        </w:tc>
        <w:tc>
          <w:tcPr>
            <w:tcW w:w="3137" w:type="dxa"/>
            <w:vAlign w:val="center"/>
          </w:tcPr>
          <w:p w14:paraId="000000F8" w14:textId="77777777" w:rsidR="001C40B0" w:rsidRDefault="00291712">
            <w:p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b/>
                <w:bCs/>
                <w:color w:val="000000"/>
                <w:sz w:val="22"/>
                <w:szCs w:val="22"/>
              </w:rPr>
              <w:t xml:space="preserve">ARTÍCULO 5. </w:t>
            </w:r>
            <w:r>
              <w:rPr>
                <w:rFonts w:ascii="Arial" w:eastAsia="Arial" w:hAnsi="Arial" w:cs="Arial"/>
                <w:color w:val="000000"/>
                <w:sz w:val="22"/>
                <w:szCs w:val="22"/>
              </w:rPr>
              <w:t>Modifíquese el artículo 15° de la Ley 1805 de 2016, el cual quedará así:</w:t>
            </w:r>
          </w:p>
          <w:p w14:paraId="000000F9" w14:textId="77777777" w:rsidR="001C40B0" w:rsidRDefault="00291712">
            <w:pPr>
              <w:pBdr>
                <w:top w:val="nil"/>
                <w:left w:val="nil"/>
                <w:bottom w:val="nil"/>
                <w:right w:val="nil"/>
                <w:between w:val="nil"/>
              </w:pBdr>
              <w:spacing w:after="160"/>
              <w:jc w:val="both"/>
              <w:rPr>
                <w:rFonts w:ascii="Arial" w:eastAsia="Arial" w:hAnsi="Arial" w:cs="Arial"/>
                <w:color w:val="000000"/>
                <w:sz w:val="22"/>
                <w:szCs w:val="22"/>
              </w:rPr>
            </w:pPr>
            <w:r>
              <w:rPr>
                <w:rFonts w:ascii="Arial" w:eastAsia="Arial" w:hAnsi="Arial" w:cs="Arial"/>
                <w:b/>
                <w:bCs/>
                <w:color w:val="000000"/>
                <w:sz w:val="22"/>
                <w:szCs w:val="22"/>
              </w:rPr>
              <w:t xml:space="preserve">ARTÍCULO 15. </w:t>
            </w:r>
            <w:r>
              <w:rPr>
                <w:rFonts w:ascii="Arial" w:eastAsia="Arial" w:hAnsi="Arial" w:cs="Arial"/>
                <w:color w:val="000000"/>
                <w:sz w:val="22"/>
                <w:szCs w:val="22"/>
              </w:rPr>
              <w:t>Los menores de edad podrán ser donantes de órganos y tejidos, siempre y cuando sus representantes legales expresen su consentimiento informado para tal fin después de su fallecimiento, en los términos descritos en el literal a) del Artículo 542 de la Ley 9 de 1979.</w:t>
            </w:r>
          </w:p>
          <w:p w14:paraId="000000FA"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El médico coordinador operativo de trasplantes deberá informarles sus derechos y los beneficios de la donación a los representantes del menor </w:t>
            </w:r>
            <w:r>
              <w:rPr>
                <w:rFonts w:ascii="Arial" w:eastAsia="Arial" w:hAnsi="Arial" w:cs="Arial"/>
                <w:b/>
                <w:bCs/>
                <w:color w:val="000000"/>
                <w:sz w:val="22"/>
                <w:szCs w:val="22"/>
              </w:rPr>
              <w:t>y la posibilidad de negarse o revocar la manifestación sin que ello conlleve consecuencia adversa alguna. Cuando el menor hubiera expresado en vida de manera comprobable, su voluntad contraria a la donación ésta será respetada.</w:t>
            </w:r>
          </w:p>
        </w:tc>
        <w:tc>
          <w:tcPr>
            <w:tcW w:w="1406" w:type="dxa"/>
            <w:vAlign w:val="center"/>
          </w:tcPr>
          <w:p w14:paraId="000000FB" w14:textId="77777777" w:rsidR="001C40B0" w:rsidRDefault="00291712">
            <w:pPr>
              <w:jc w:val="both"/>
              <w:rPr>
                <w:rFonts w:ascii="Arial" w:eastAsia="Arial" w:hAnsi="Arial" w:cs="Arial"/>
                <w:sz w:val="22"/>
                <w:szCs w:val="22"/>
              </w:rPr>
            </w:pPr>
            <w:r>
              <w:rPr>
                <w:rFonts w:ascii="Arial" w:eastAsia="Arial" w:hAnsi="Arial" w:cs="Arial"/>
                <w:sz w:val="22"/>
                <w:szCs w:val="22"/>
              </w:rPr>
              <w:t>H.R Karime Cotes</w:t>
            </w:r>
          </w:p>
          <w:p w14:paraId="000000FC" w14:textId="77777777" w:rsidR="001C40B0" w:rsidRDefault="001C40B0">
            <w:pPr>
              <w:jc w:val="both"/>
              <w:rPr>
                <w:rFonts w:ascii="Arial" w:eastAsia="Arial" w:hAnsi="Arial" w:cs="Arial"/>
                <w:sz w:val="22"/>
                <w:szCs w:val="22"/>
              </w:rPr>
            </w:pPr>
          </w:p>
          <w:p w14:paraId="000000FD" w14:textId="77777777" w:rsidR="001C40B0" w:rsidRDefault="001C40B0">
            <w:pPr>
              <w:jc w:val="both"/>
              <w:rPr>
                <w:rFonts w:ascii="Arial" w:eastAsia="Arial" w:hAnsi="Arial" w:cs="Arial"/>
                <w:b/>
                <w:bCs/>
                <w:sz w:val="22"/>
                <w:szCs w:val="22"/>
                <w:u w:val="single"/>
              </w:rPr>
            </w:pPr>
          </w:p>
        </w:tc>
      </w:tr>
      <w:tr w:rsidR="001C40B0" w14:paraId="6817F820" w14:textId="77777777">
        <w:tc>
          <w:tcPr>
            <w:tcW w:w="1232" w:type="dxa"/>
            <w:vAlign w:val="center"/>
          </w:tcPr>
          <w:p w14:paraId="000000FE" w14:textId="77777777" w:rsidR="001C40B0" w:rsidRDefault="00291712">
            <w:pPr>
              <w:jc w:val="both"/>
              <w:rPr>
                <w:rFonts w:ascii="Arial" w:eastAsia="Arial" w:hAnsi="Arial" w:cs="Arial"/>
                <w:sz w:val="22"/>
                <w:szCs w:val="22"/>
              </w:rPr>
            </w:pPr>
            <w:r>
              <w:rPr>
                <w:rFonts w:ascii="Arial" w:eastAsia="Arial" w:hAnsi="Arial" w:cs="Arial"/>
                <w:b/>
                <w:bCs/>
                <w:sz w:val="22"/>
                <w:szCs w:val="22"/>
              </w:rPr>
              <w:t>Art. 14</w:t>
            </w:r>
          </w:p>
        </w:tc>
        <w:tc>
          <w:tcPr>
            <w:tcW w:w="3287" w:type="dxa"/>
            <w:vAlign w:val="center"/>
          </w:tcPr>
          <w:p w14:paraId="000000FF"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ARTÍCULO 14. DONACIÓN EN LA CÉDULA DE CIUDADANÍA. </w:t>
            </w:r>
            <w:r>
              <w:rPr>
                <w:rFonts w:ascii="Arial" w:eastAsia="Arial" w:hAnsi="Arial" w:cs="Arial"/>
                <w:color w:val="000000"/>
                <w:sz w:val="22"/>
                <w:szCs w:val="22"/>
              </w:rPr>
              <w:t xml:space="preserve">La Registraduría Nacional del Estado Civil, incorporará un mecanismo la manifestación expresa de aceptación o rechazo de la condición de donante de órganos, tejidos o componente anatómicos en la cédula de ciudadanía. Esta se hará mediante mecanismos de seguridad invisible al público en general. Esta manifestación </w:t>
            </w:r>
            <w:r>
              <w:rPr>
                <w:rFonts w:ascii="Arial" w:eastAsia="Arial" w:hAnsi="Arial" w:cs="Arial"/>
                <w:color w:val="000000"/>
                <w:sz w:val="22"/>
                <w:szCs w:val="22"/>
              </w:rPr>
              <w:lastRenderedPageBreak/>
              <w:t>tendrá plena validez jurídica y deberá ser consultada previamente a cualquier procedimiento de donación o trasplante antes de la realización del procedimiento en la materia a la familia del donante.</w:t>
            </w:r>
          </w:p>
          <w:p w14:paraId="00000100"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101" w14:textId="77777777" w:rsidR="001C40B0" w:rsidRDefault="00291712">
            <w:pPr>
              <w:jc w:val="both"/>
              <w:rPr>
                <w:rFonts w:ascii="Arial" w:eastAsia="Arial" w:hAnsi="Arial" w:cs="Arial"/>
                <w:sz w:val="22"/>
                <w:szCs w:val="22"/>
              </w:rPr>
            </w:pPr>
            <w:r>
              <w:rPr>
                <w:rFonts w:ascii="Arial" w:eastAsia="Arial" w:hAnsi="Arial" w:cs="Arial"/>
                <w:color w:val="000000"/>
                <w:sz w:val="22"/>
                <w:szCs w:val="22"/>
              </w:rPr>
              <w:t>La modificación propuesta en este artículo sólo se realizará sobre las cédulas de ciudadanía que se expidan con posterioridad a la entrada en vigencia de la presente ley, las demás cédulas serán válidas y no requerirán renovación o cambio.</w:t>
            </w:r>
          </w:p>
        </w:tc>
        <w:tc>
          <w:tcPr>
            <w:tcW w:w="3137" w:type="dxa"/>
            <w:vAlign w:val="center"/>
          </w:tcPr>
          <w:p w14:paraId="00000102"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lastRenderedPageBreak/>
              <w:t xml:space="preserve">ARTÍCULO 14. DONACIÓN EN LA CÉDULA DE CIUDADANÍA. </w:t>
            </w:r>
            <w:r>
              <w:rPr>
                <w:rFonts w:ascii="Arial" w:eastAsia="Arial" w:hAnsi="Arial" w:cs="Arial"/>
                <w:color w:val="000000"/>
                <w:sz w:val="22"/>
                <w:szCs w:val="22"/>
              </w:rPr>
              <w:t xml:space="preserve">La Registraduría Nacional del Estado Civil, incorporará un mecanismo la manifestación expresa de aceptación o rechazo de la condición de donante de órganos, tejidos o componente anatómicos en la cédula de ciudadanía. Esta se hará mediante mecanismos de seguridad invisible al público en </w:t>
            </w:r>
            <w:r>
              <w:rPr>
                <w:rFonts w:ascii="Arial" w:eastAsia="Arial" w:hAnsi="Arial" w:cs="Arial"/>
                <w:color w:val="000000"/>
                <w:sz w:val="22"/>
                <w:szCs w:val="22"/>
              </w:rPr>
              <w:lastRenderedPageBreak/>
              <w:t xml:space="preserve">general. Esta manifestación tendrá plena validez jurídica y deberá ser consultada </w:t>
            </w:r>
            <w:r>
              <w:rPr>
                <w:rFonts w:ascii="Arial" w:eastAsia="Arial" w:hAnsi="Arial" w:cs="Arial"/>
                <w:b/>
                <w:bCs/>
                <w:color w:val="000000"/>
                <w:sz w:val="22"/>
                <w:szCs w:val="22"/>
              </w:rPr>
              <w:t>junto con el Registro Nacional de Donantes, por los equipos médicos y el coordinador operativo de transplante</w:t>
            </w:r>
            <w:r>
              <w:rPr>
                <w:rFonts w:ascii="Arial" w:eastAsia="Arial" w:hAnsi="Arial" w:cs="Arial"/>
                <w:color w:val="000000"/>
                <w:sz w:val="22"/>
                <w:szCs w:val="22"/>
              </w:rPr>
              <w:t xml:space="preserve"> previamente a cualquier procedimiento de donación o trasplante antes de la realización del procedimiento en la materia a la familia del donante.</w:t>
            </w:r>
          </w:p>
          <w:p w14:paraId="00000103"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104"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La modificación propuesta en este artículo sólo se realizará sobre las cédulas de ciudadanía que se expidan con posterioridad a la entrada en vigencia de la presente ley, las demás cédulas serán válidas y no requerirán renovación o cambio.</w:t>
            </w:r>
          </w:p>
        </w:tc>
        <w:tc>
          <w:tcPr>
            <w:tcW w:w="1406" w:type="dxa"/>
            <w:vAlign w:val="center"/>
          </w:tcPr>
          <w:p w14:paraId="00000105" w14:textId="77777777" w:rsidR="001C40B0" w:rsidRDefault="00291712">
            <w:pPr>
              <w:jc w:val="both"/>
              <w:rPr>
                <w:rFonts w:ascii="Arial" w:eastAsia="Arial" w:hAnsi="Arial" w:cs="Arial"/>
                <w:sz w:val="22"/>
                <w:szCs w:val="22"/>
              </w:rPr>
            </w:pPr>
            <w:r>
              <w:rPr>
                <w:rFonts w:ascii="Arial" w:eastAsia="Arial" w:hAnsi="Arial" w:cs="Arial"/>
                <w:sz w:val="22"/>
                <w:szCs w:val="22"/>
              </w:rPr>
              <w:lastRenderedPageBreak/>
              <w:t>H.R Karime Cotes</w:t>
            </w:r>
          </w:p>
          <w:p w14:paraId="00000106" w14:textId="77777777" w:rsidR="001C40B0" w:rsidRDefault="001C40B0">
            <w:pPr>
              <w:jc w:val="both"/>
              <w:rPr>
                <w:rFonts w:ascii="Arial" w:eastAsia="Arial" w:hAnsi="Arial" w:cs="Arial"/>
                <w:sz w:val="22"/>
                <w:szCs w:val="22"/>
              </w:rPr>
            </w:pPr>
          </w:p>
          <w:p w14:paraId="00000107" w14:textId="77777777" w:rsidR="001C40B0" w:rsidRDefault="001C40B0">
            <w:pPr>
              <w:jc w:val="both"/>
              <w:rPr>
                <w:rFonts w:ascii="Arial" w:eastAsia="Arial" w:hAnsi="Arial" w:cs="Arial"/>
                <w:b/>
                <w:bCs/>
                <w:sz w:val="22"/>
                <w:szCs w:val="22"/>
                <w:u w:val="single"/>
              </w:rPr>
            </w:pPr>
          </w:p>
        </w:tc>
      </w:tr>
      <w:tr w:rsidR="001C40B0" w14:paraId="7A96C22E" w14:textId="77777777">
        <w:tc>
          <w:tcPr>
            <w:tcW w:w="1232" w:type="dxa"/>
            <w:vAlign w:val="center"/>
          </w:tcPr>
          <w:p w14:paraId="00000108" w14:textId="77777777" w:rsidR="001C40B0" w:rsidRDefault="00291712">
            <w:pPr>
              <w:jc w:val="both"/>
              <w:rPr>
                <w:rFonts w:ascii="Arial" w:eastAsia="Arial" w:hAnsi="Arial" w:cs="Arial"/>
                <w:b/>
                <w:bCs/>
                <w:sz w:val="22"/>
                <w:szCs w:val="22"/>
              </w:rPr>
            </w:pPr>
            <w:r>
              <w:rPr>
                <w:rFonts w:ascii="Arial" w:eastAsia="Arial" w:hAnsi="Arial" w:cs="Arial"/>
                <w:b/>
                <w:bCs/>
                <w:sz w:val="22"/>
                <w:szCs w:val="22"/>
              </w:rPr>
              <w:lastRenderedPageBreak/>
              <w:t>Art. 14</w:t>
            </w:r>
          </w:p>
        </w:tc>
        <w:tc>
          <w:tcPr>
            <w:tcW w:w="3287" w:type="dxa"/>
            <w:vAlign w:val="center"/>
          </w:tcPr>
          <w:p w14:paraId="00000109"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ARTÍCULO 14. DONACIÓN EN LA CÉDULA DE CIUDADANÍA. </w:t>
            </w:r>
            <w:r>
              <w:rPr>
                <w:rFonts w:ascii="Arial" w:eastAsia="Arial" w:hAnsi="Arial" w:cs="Arial"/>
                <w:color w:val="000000"/>
                <w:sz w:val="22"/>
                <w:szCs w:val="22"/>
              </w:rPr>
              <w:t>La Registraduría Nacional del Estado Civil, incorporará un mecanismo la manifestación expresa de aceptación o rechazo de la condición de donante de órganos, tejidos o componente anatómicos en la cédula de ciudadanía. Esta se hará mediante mecanismos de seguridad invisible al público en general. Esta manifestación tendrá plena validez jurídica y deberá ser consultada previamente a cualquier procedimiento de donación o trasplante antes de la realización del procedimiento en la materia a la familia del donante.</w:t>
            </w:r>
          </w:p>
          <w:p w14:paraId="0000010A"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10B" w14:textId="77777777" w:rsidR="001C40B0" w:rsidRDefault="00291712">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 xml:space="preserve">La modificación propuesta en este artículo sólo se realizará sobre las cédulas de ciudadanía </w:t>
            </w:r>
            <w:r>
              <w:rPr>
                <w:rFonts w:ascii="Arial" w:eastAsia="Arial" w:hAnsi="Arial" w:cs="Arial"/>
                <w:color w:val="000000"/>
                <w:sz w:val="22"/>
                <w:szCs w:val="22"/>
              </w:rPr>
              <w:lastRenderedPageBreak/>
              <w:t>que se expidan con posterioridad a la entrada en vigencia de la presente ley, las demás cédulas serán válidas y no requerirán renovación o cambio.</w:t>
            </w:r>
          </w:p>
        </w:tc>
        <w:tc>
          <w:tcPr>
            <w:tcW w:w="3137" w:type="dxa"/>
            <w:vAlign w:val="center"/>
          </w:tcPr>
          <w:p w14:paraId="0000010C"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lastRenderedPageBreak/>
              <w:t xml:space="preserve">ARTÍCULO 14. DONACIÓN EN LA CÉDULA DE CIUDADANÍA. </w:t>
            </w:r>
            <w:r>
              <w:rPr>
                <w:rFonts w:ascii="Arial" w:eastAsia="Arial" w:hAnsi="Arial" w:cs="Arial"/>
                <w:color w:val="000000"/>
                <w:sz w:val="22"/>
                <w:szCs w:val="22"/>
              </w:rPr>
              <w:t>La Registraduría Nacional del Estado Civil, incorporará un mecanismo la manifestación expresa de aceptación o rechazo de la condición de donante de órganos, tejidos o componente anatómicos en la cédula de ciudadanía. Esta se hará mediante mecanismos de seguridad invisible al público en general. Esta manifestación tendrá plena validez jurídica y deberá ser consultada previamente a cualquier procedimiento de donación o trasplante antes de la realización del procedimiento en la materia a la familia del donante.</w:t>
            </w:r>
          </w:p>
          <w:p w14:paraId="0000010D"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10E"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La modificación propuesta en este artículo sólo se realizará sobre las cédulas de ciudadanía que se expidan con posterioridad a la entrada en vigencia de la presente ley, las demás cédulas serán válidas y no requerirán renovación o cambio.</w:t>
            </w:r>
          </w:p>
          <w:p w14:paraId="0000010F"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110" w14:textId="77777777" w:rsidR="001C40B0" w:rsidRDefault="00291712">
            <w:pPr>
              <w:pBdr>
                <w:top w:val="nil"/>
                <w:left w:val="nil"/>
                <w:bottom w:val="nil"/>
                <w:right w:val="nil"/>
                <w:between w:val="nil"/>
              </w:pBdr>
              <w:jc w:val="both"/>
              <w:rPr>
                <w:rFonts w:ascii="Arial" w:eastAsia="Arial" w:hAnsi="Arial" w:cs="Arial"/>
                <w:b/>
                <w:bCs/>
                <w:color w:val="000000"/>
                <w:sz w:val="22"/>
                <w:szCs w:val="22"/>
                <w:u w:val="single"/>
              </w:rPr>
            </w:pPr>
            <w:r>
              <w:rPr>
                <w:rFonts w:ascii="Arial" w:eastAsia="Arial" w:hAnsi="Arial" w:cs="Arial"/>
                <w:b/>
                <w:bCs/>
                <w:color w:val="000000"/>
                <w:sz w:val="22"/>
                <w:szCs w:val="22"/>
                <w:u w:val="single"/>
              </w:rPr>
              <w:t xml:space="preserve">Parágrafo. La manifestación de la voluntad de donación consignada en la cédula de ciudadanía constituye un mecanismo de publicidad y certeza de la decisión del ciudadano, el cual complementa y refuerza, más nos sustituye ni deroga, la presunción legal de donación establecida en el artículo 2 de la ley 1805 de 2016. </w:t>
            </w:r>
          </w:p>
          <w:p w14:paraId="00000111" w14:textId="77777777" w:rsidR="001C40B0" w:rsidRDefault="001C40B0">
            <w:pPr>
              <w:pBdr>
                <w:top w:val="nil"/>
                <w:left w:val="nil"/>
                <w:bottom w:val="nil"/>
                <w:right w:val="nil"/>
                <w:between w:val="nil"/>
              </w:pBdr>
              <w:jc w:val="both"/>
              <w:rPr>
                <w:rFonts w:ascii="Arial" w:eastAsia="Arial" w:hAnsi="Arial" w:cs="Arial"/>
                <w:b/>
                <w:bCs/>
                <w:color w:val="000000"/>
                <w:sz w:val="22"/>
                <w:szCs w:val="22"/>
                <w:u w:val="single"/>
              </w:rPr>
            </w:pPr>
          </w:p>
          <w:p w14:paraId="00000112" w14:textId="77777777" w:rsidR="001C40B0" w:rsidRDefault="00291712">
            <w:pPr>
              <w:pBdr>
                <w:top w:val="nil"/>
                <w:left w:val="nil"/>
                <w:bottom w:val="nil"/>
                <w:right w:val="nil"/>
                <w:between w:val="nil"/>
              </w:pBdr>
              <w:jc w:val="both"/>
              <w:rPr>
                <w:rFonts w:ascii="Arial" w:eastAsia="Arial" w:hAnsi="Arial" w:cs="Arial"/>
                <w:b/>
                <w:bCs/>
                <w:color w:val="000000"/>
                <w:sz w:val="22"/>
                <w:szCs w:val="22"/>
                <w:u w:val="single"/>
              </w:rPr>
            </w:pPr>
            <w:r>
              <w:rPr>
                <w:rFonts w:ascii="Arial" w:eastAsia="Arial" w:hAnsi="Arial" w:cs="Arial"/>
                <w:b/>
                <w:bCs/>
                <w:color w:val="000000"/>
                <w:sz w:val="22"/>
                <w:szCs w:val="22"/>
                <w:u w:val="single"/>
              </w:rPr>
              <w:t>En todo caso, se mantendrá la prevalencia de la voluntad de donante expresada en vida conforme a la normativa vigente, siendo el sistema de información nacional y la consulta en el Registro Nacional de Donantes los instrumentos idóneos para verificar dicha condición garantizando siempre el respeto a los derechos fundamentales y la dignidad humana.</w:t>
            </w:r>
          </w:p>
        </w:tc>
        <w:tc>
          <w:tcPr>
            <w:tcW w:w="1406" w:type="dxa"/>
            <w:vAlign w:val="center"/>
          </w:tcPr>
          <w:p w14:paraId="00000113" w14:textId="77777777" w:rsidR="001C40B0" w:rsidRDefault="00291712">
            <w:pPr>
              <w:jc w:val="both"/>
              <w:rPr>
                <w:rFonts w:ascii="Arial" w:eastAsia="Arial" w:hAnsi="Arial" w:cs="Arial"/>
                <w:sz w:val="22"/>
                <w:szCs w:val="22"/>
              </w:rPr>
            </w:pPr>
            <w:r>
              <w:rPr>
                <w:rFonts w:ascii="Arial" w:eastAsia="Arial" w:hAnsi="Arial" w:cs="Arial"/>
                <w:sz w:val="22"/>
                <w:szCs w:val="22"/>
              </w:rPr>
              <w:lastRenderedPageBreak/>
              <w:t xml:space="preserve">H.R Juan Sebastián Gómez </w:t>
            </w:r>
          </w:p>
          <w:p w14:paraId="00000114" w14:textId="77777777" w:rsidR="001C40B0" w:rsidRDefault="001C40B0">
            <w:pPr>
              <w:jc w:val="both"/>
              <w:rPr>
                <w:rFonts w:ascii="Arial" w:eastAsia="Arial" w:hAnsi="Arial" w:cs="Arial"/>
                <w:sz w:val="22"/>
                <w:szCs w:val="22"/>
              </w:rPr>
            </w:pPr>
          </w:p>
          <w:p w14:paraId="00000115" w14:textId="77777777" w:rsidR="001C40B0" w:rsidRDefault="001C40B0">
            <w:pPr>
              <w:jc w:val="both"/>
              <w:rPr>
                <w:rFonts w:ascii="Arial" w:eastAsia="Arial" w:hAnsi="Arial" w:cs="Arial"/>
                <w:sz w:val="22"/>
                <w:szCs w:val="22"/>
              </w:rPr>
            </w:pPr>
          </w:p>
        </w:tc>
      </w:tr>
      <w:tr w:rsidR="001C40B0" w14:paraId="04A467C2" w14:textId="77777777">
        <w:tc>
          <w:tcPr>
            <w:tcW w:w="1232" w:type="dxa"/>
            <w:vAlign w:val="center"/>
          </w:tcPr>
          <w:p w14:paraId="00000116" w14:textId="77777777" w:rsidR="001C40B0" w:rsidRDefault="00291712">
            <w:pPr>
              <w:jc w:val="both"/>
              <w:rPr>
                <w:rFonts w:ascii="Arial" w:eastAsia="Arial" w:hAnsi="Arial" w:cs="Arial"/>
                <w:sz w:val="22"/>
                <w:szCs w:val="22"/>
              </w:rPr>
            </w:pPr>
            <w:r>
              <w:rPr>
                <w:rFonts w:ascii="Arial" w:eastAsia="Arial" w:hAnsi="Arial" w:cs="Arial"/>
                <w:b/>
                <w:bCs/>
                <w:sz w:val="22"/>
                <w:szCs w:val="22"/>
              </w:rPr>
              <w:lastRenderedPageBreak/>
              <w:t>Art. 21</w:t>
            </w:r>
          </w:p>
        </w:tc>
        <w:tc>
          <w:tcPr>
            <w:tcW w:w="3287" w:type="dxa"/>
            <w:vAlign w:val="center"/>
          </w:tcPr>
          <w:p w14:paraId="00000117"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ARTÍCULO 21. INTEGRACIÓN RESPONSABLE DE LA INTELIGENCIA ARTIFICIAL EN LOS PROCESOS DE DONACIÓN DE ÓRGANOS Y TEJIDOS.  </w:t>
            </w:r>
            <w:r>
              <w:rPr>
                <w:rFonts w:ascii="Arial" w:eastAsia="Arial" w:hAnsi="Arial" w:cs="Arial"/>
                <w:color w:val="000000"/>
                <w:sz w:val="22"/>
                <w:szCs w:val="22"/>
              </w:rPr>
              <w:t xml:space="preserve">La inteligencia artificial (IA) podrá ser utilizada para optimizar la identificación de donantes, la asignación de órganos y la gestión de la lista de </w:t>
            </w:r>
            <w:r>
              <w:rPr>
                <w:rFonts w:ascii="Arial" w:eastAsia="Arial" w:hAnsi="Arial" w:cs="Arial"/>
                <w:color w:val="000000"/>
                <w:sz w:val="22"/>
                <w:szCs w:val="22"/>
              </w:rPr>
              <w:lastRenderedPageBreak/>
              <w:t>espera, priorizando la equidad, eficiencia y transparencia en el sistema de trasplantes, sin sustituir el juicio clínico ni las decisiones que comprometan la determinación de la muerte. Los sistemas de IA se orientarán a la detección en tiempo real de donantes potenciales y facilitarán el matching con receptores según compatibilidad inmunológica, urgencia médica y otros criterios clínicos relevantes, reduciendo tiempos de isquemia y mejorando los resultados postrasplantes, así como las demás actividades en que se pueda optimizar los procesos y la calidad de los trasplantes de órganos y tejidos.  Así mismo, deberá tenerse en cuenta para su implementación las siguientes:</w:t>
            </w:r>
          </w:p>
          <w:p w14:paraId="00000118"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119"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1. Finalidad y límites. La IA se orientará a la detección en tiempo real de donantes potenciales, el soporte al matching con receptores conforme a compatibilidad inmunológica, urgencia médica y demás criterios clínicos normativos, la reducción de tiempos de isquemia y la mejora de resultados postrasplante, así como otras actividades que optimicen procesos y calidad. Se prohíbe el uso de IA para determinar la muerte, influir o acelerar el final de vida o modificar criterios clínicos o legales de muerte por criterios neurológicos o por parada circulatoria.</w:t>
            </w:r>
          </w:p>
          <w:p w14:paraId="0000011A"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11B"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2. Supervisión humana y responsabilidad. Toda recomendación basada en </w:t>
            </w:r>
            <w:r>
              <w:rPr>
                <w:rFonts w:ascii="Arial" w:eastAsia="Arial" w:hAnsi="Arial" w:cs="Arial"/>
                <w:color w:val="000000"/>
                <w:sz w:val="22"/>
                <w:szCs w:val="22"/>
              </w:rPr>
              <w:lastRenderedPageBreak/>
              <w:t>criterios de IA estará sujeta a validación y decisión final por el profesional o la autoridad competente. El responsable del proceso mantendrá la responsabilidad sobre las decisiones adoptadas.</w:t>
            </w:r>
          </w:p>
          <w:p w14:paraId="0000011C"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11D"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3. No discriminación y equidad. Se prohíben variables, reglas o modelos que directa o indirectamente generen discriminación. La priorización asistida por IA se ceñirá estrictamente a los criterios clínicos, de urgencia, compatibilidad y normativos vigentes.</w:t>
            </w:r>
          </w:p>
          <w:p w14:paraId="0000011E"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11F"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4. Protección de datos y seguridad de la información. El tratamiento de datos, deberán ser catalogados como sensibles, cumpliendo lo dispuesto en la Ley 1581 de 2012, la Ley 2015 de 2020 y las directrices del Ministerio de Salud y Protección Social y demás normativa complementaria, además, de aplicar criterios de minimización, seudonimización o anonimización cuando corresponda, controles de acceso, trazabilidad y gestión de incidentes.</w:t>
            </w:r>
          </w:p>
          <w:p w14:paraId="00000120"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121"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5. Calidad, gestión de riesgos y auditoría. El sistema de IA a implementar deberá documentar fuentes de datos, metodología, métricas de desempeño, gestión de sesgos y límites de uso.  El Instituto Nacional de Salud (INS), en coordinación con el Ministerio de Salud y la Superintendencia Nacional de Salud, establecerán guías técnicas para verificación, </w:t>
            </w:r>
            <w:r>
              <w:rPr>
                <w:rFonts w:ascii="Arial" w:eastAsia="Arial" w:hAnsi="Arial" w:cs="Arial"/>
                <w:color w:val="000000"/>
                <w:sz w:val="22"/>
                <w:szCs w:val="22"/>
              </w:rPr>
              <w:lastRenderedPageBreak/>
              <w:t>pruebas de robustez, auditorías periódicas y mecanismos de explicación comprensible para usuarios autorizados.</w:t>
            </w:r>
          </w:p>
          <w:p w14:paraId="00000122"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123"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6. Software de dispositivos médicos. Cuando la IA se integre con software de dispositivos médicos, se requerirá cumplimiento del régimen sanitario aplicable y registro sanitario ante el INVIMA, según la clase de riesgo.</w:t>
            </w:r>
          </w:p>
          <w:p w14:paraId="00000124"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125"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7. Transparencia y rendición de cuentas. Las entidades públicas y actores habilitados que empleen IA publicarán información general sobre finalidad, tipos de datos, criterios de priorización asistida y resultados agregados, preservando confidencialidad de datos personales como la intimidad del donante y el receptor.</w:t>
            </w:r>
          </w:p>
          <w:p w14:paraId="00000126"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127"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8. Evaluación de impacto algorítmico. Antes de la operación en producción, el responsable elaborará una evaluación de impacto proporcional al riesgo que incluya análisis de sesgos, efectos sobre derechos, seguridad del paciente y medidas de mitigación. Esta evaluación se remitirá al INS para su registro y podrá ser verificada por la Superintendencia de Salud.</w:t>
            </w:r>
          </w:p>
          <w:p w14:paraId="00000128"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129"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Parágrafo 1. </w:t>
            </w:r>
            <w:r>
              <w:rPr>
                <w:rFonts w:ascii="Arial" w:eastAsia="Arial" w:hAnsi="Arial" w:cs="Arial"/>
                <w:color w:val="000000"/>
                <w:sz w:val="22"/>
                <w:szCs w:val="22"/>
              </w:rPr>
              <w:t xml:space="preserve">Pilotos controlados. El Ministerio de Salud y Protección Social, el INS y la Superintendencia de Salud podrán autorizar pilotos bajo esquemas de </w:t>
            </w:r>
            <w:r>
              <w:rPr>
                <w:rFonts w:ascii="Arial" w:eastAsia="Arial" w:hAnsi="Arial" w:cs="Arial"/>
                <w:i/>
                <w:iCs/>
                <w:color w:val="000000"/>
                <w:sz w:val="22"/>
                <w:szCs w:val="22"/>
              </w:rPr>
              <w:t xml:space="preserve">sandbox </w:t>
            </w:r>
            <w:r>
              <w:rPr>
                <w:rFonts w:ascii="Arial" w:eastAsia="Arial" w:hAnsi="Arial" w:cs="Arial"/>
                <w:color w:val="000000"/>
                <w:sz w:val="22"/>
                <w:szCs w:val="22"/>
              </w:rPr>
              <w:t xml:space="preserve">regulatorio, con alcance, duración, salvaguardas de </w:t>
            </w:r>
            <w:r>
              <w:rPr>
                <w:rFonts w:ascii="Arial" w:eastAsia="Arial" w:hAnsi="Arial" w:cs="Arial"/>
                <w:color w:val="000000"/>
                <w:sz w:val="22"/>
                <w:szCs w:val="22"/>
              </w:rPr>
              <w:lastRenderedPageBreak/>
              <w:t>seguridad del paciente y métricas definidas, sin afectar los criterios de determinación de la muerte ni la regla del donante fallecido.</w:t>
            </w:r>
          </w:p>
          <w:p w14:paraId="0000012A"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12B"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Parágrafo 2. </w:t>
            </w:r>
            <w:r>
              <w:rPr>
                <w:rFonts w:ascii="Arial" w:eastAsia="Arial" w:hAnsi="Arial" w:cs="Arial"/>
                <w:color w:val="000000"/>
                <w:sz w:val="22"/>
                <w:szCs w:val="22"/>
              </w:rPr>
              <w:t>Incidentes y medidas. El INS establecerá el procedimiento de reporte obligatorio de incidentes graves asociados al uso de IA. Cuando exista riesgo significativo para la seguridad del paciente o vulneración de derechos, la autoridad competente podrá ordenar ajustes, suspensión temporal o retiro del sistema.</w:t>
            </w:r>
          </w:p>
          <w:p w14:paraId="0000012C"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12D"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Parágrafo 3. </w:t>
            </w:r>
            <w:r>
              <w:rPr>
                <w:rFonts w:ascii="Arial" w:eastAsia="Arial" w:hAnsi="Arial" w:cs="Arial"/>
                <w:color w:val="000000"/>
                <w:sz w:val="22"/>
                <w:szCs w:val="22"/>
              </w:rPr>
              <w:t>Interoperabilidad. La integración de IA será compatible con los estándares de interoperabilidad de la historia clínica electrónica y los repositorios definidos por el Ministerio de Salud, evitando bloqueos tecnológicos y garantizando portabilidad.</w:t>
            </w:r>
          </w:p>
          <w:p w14:paraId="0000012E"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12F"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Parágrafo 4. </w:t>
            </w:r>
            <w:r>
              <w:rPr>
                <w:rFonts w:ascii="Arial" w:eastAsia="Arial" w:hAnsi="Arial" w:cs="Arial"/>
                <w:color w:val="000000"/>
                <w:sz w:val="22"/>
                <w:szCs w:val="22"/>
              </w:rPr>
              <w:t>Participación y enfoque diferencial. En la expedición y actualización de lineamientos sobre IA, el INS incorporará enfoque de derechos y diferencial, por lo que, promoverá la participación de sociedades científicas, organizaciones de pacientes y comités de bioética.</w:t>
            </w:r>
          </w:p>
          <w:p w14:paraId="00000130"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131"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Parágrafo 5. </w:t>
            </w:r>
            <w:r>
              <w:rPr>
                <w:rFonts w:ascii="Arial" w:eastAsia="Arial" w:hAnsi="Arial" w:cs="Arial"/>
                <w:color w:val="000000"/>
                <w:sz w:val="22"/>
                <w:szCs w:val="22"/>
              </w:rPr>
              <w:t xml:space="preserve">En aras de proteger la información de los donantes potenciales a través de los sistemas de Inteligencia Artificial, los sistemas críticos y activos, este sistema debe estar vinculado a programas o aplicaciones de Seguridad Cibernética, con el fin de prevenir </w:t>
            </w:r>
            <w:r>
              <w:rPr>
                <w:rFonts w:ascii="Arial" w:eastAsia="Arial" w:hAnsi="Arial" w:cs="Arial"/>
                <w:color w:val="000000"/>
                <w:sz w:val="22"/>
                <w:szCs w:val="22"/>
              </w:rPr>
              <w:lastRenderedPageBreak/>
              <w:t>ataques, detectar intrusiones y responder a incidentes, el cual estará coordinado por el Ministerio de Tecnologías de la Información y las Comunicaciones.</w:t>
            </w:r>
          </w:p>
          <w:p w14:paraId="00000132"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133" w14:textId="77777777" w:rsidR="001C40B0" w:rsidRDefault="00291712">
            <w:pPr>
              <w:jc w:val="both"/>
              <w:rPr>
                <w:rFonts w:ascii="Arial" w:eastAsia="Arial" w:hAnsi="Arial" w:cs="Arial"/>
                <w:sz w:val="22"/>
                <w:szCs w:val="22"/>
              </w:rPr>
            </w:pPr>
            <w:r>
              <w:rPr>
                <w:rFonts w:ascii="Arial" w:eastAsia="Arial" w:hAnsi="Arial" w:cs="Arial"/>
                <w:b/>
                <w:bCs/>
                <w:color w:val="000000"/>
                <w:sz w:val="22"/>
                <w:szCs w:val="22"/>
              </w:rPr>
              <w:t xml:space="preserve">Parágrafo transitorio. </w:t>
            </w:r>
            <w:r>
              <w:rPr>
                <w:rFonts w:ascii="Arial" w:eastAsia="Arial" w:hAnsi="Arial" w:cs="Arial"/>
                <w:color w:val="000000"/>
                <w:sz w:val="22"/>
                <w:szCs w:val="22"/>
              </w:rPr>
              <w:t>En un plazo no mayor a doce (12) meses contados a partir de la vigencia de la presente ley, el Ministerio de Salud y Protección Social, en coordinación con el Instituto Nacional de Salud, el INVIMA y la Superintendencia de Salud, expedirán la reglamentación técnica para la implementación de la IA en el sistema de donación y trasplantes, incluyendo requisitos de evaluación de impacto, auditoría, gestión de sesgos, reporte y transparencia.</w:t>
            </w:r>
          </w:p>
        </w:tc>
        <w:tc>
          <w:tcPr>
            <w:tcW w:w="3137" w:type="dxa"/>
            <w:vAlign w:val="center"/>
          </w:tcPr>
          <w:p w14:paraId="00000134"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lastRenderedPageBreak/>
              <w:t xml:space="preserve">ARTÍCULO 21. INTEGRACIÓN RESPONSABLE DE LA INTELIGENCIA ARTIFICIAL EN LOS PROCESOS DE DONACIÓN DE ÓRGANOS Y TEJIDOS.  </w:t>
            </w:r>
            <w:r>
              <w:rPr>
                <w:rFonts w:ascii="Arial" w:eastAsia="Arial" w:hAnsi="Arial" w:cs="Arial"/>
                <w:color w:val="000000"/>
                <w:sz w:val="22"/>
                <w:szCs w:val="22"/>
              </w:rPr>
              <w:t xml:space="preserve">La inteligencia artificial (IA) podrá ser utilizada para optimizar la identificación de donantes, la asignación de órganos y la gestión de la lista </w:t>
            </w:r>
            <w:r>
              <w:rPr>
                <w:rFonts w:ascii="Arial" w:eastAsia="Arial" w:hAnsi="Arial" w:cs="Arial"/>
                <w:color w:val="000000"/>
                <w:sz w:val="22"/>
                <w:szCs w:val="22"/>
              </w:rPr>
              <w:lastRenderedPageBreak/>
              <w:t>de espera, priorizando la equidad, eficiencia y transparencia en el sistema de trasplantes, sin sustituir el juicio clínico ni las decisiones que comprometan la determinación de la muerte. Los sistemas de IA se orientarán a la detección en tiempo real de donantes potenciales y facilitarán el matching con receptores según compatibilidad inmunológica, urgencia médica y otros criterios clínicos relevantes, reduciendo tiempos de isquemia y mejorando los resultados postrasplantes, así como las demás actividades en que se pueda optimizar los procesos y la calidad de los trasplantes de órganos y tejidos.  Así mismo, deberá tenerse en cuenta para su implementación las siguientes:</w:t>
            </w:r>
          </w:p>
          <w:p w14:paraId="00000135"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136"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1. Finalidad y límites. La IA se orientará a la detección en tiempo real de donantes potenciales, el soporte al matching con receptores conforme a compatibilidad inmunológica, urgencia médica y demás criterios clínicos normativos, la reducción de tiempos de isquemia y la mejora de resultados postrasplante, así como otras actividades que optimicen procesos y calidad. Se prohíbe el uso de IA para determinar la muerte, influir o acelerar el final de vida o modificar criterios clínicos o legales de muerte por criterios neurológicos o por parada circulatoria.</w:t>
            </w:r>
          </w:p>
          <w:p w14:paraId="00000137"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138"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2. Supervisión humana y responsabilidad. Toda recomendación basada en criterios de IA estará sujeta a validación y decisión final por el profesional o la autoridad competente. El responsable del proceso mantendrá la responsabilidad sobre las decisiones adoptadas.</w:t>
            </w:r>
          </w:p>
          <w:p w14:paraId="00000139"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13A"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3. No discriminación y equidad. Se prohíben variables, reglas o modelos que directa o indirectamente generen discriminación. La priorización asistida por IA se ceñirá estrictamente a los criterios clínicos, de urgencia, compatibilidad y normativos vigentes.</w:t>
            </w:r>
          </w:p>
          <w:p w14:paraId="0000013B"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13C"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4. Protección de datos y seguridad de la información. El tratamiento de datos, deberán ser catalogados como sensibles, cumpliendo lo dispuesto en la Ley 1581 de 2012, la Ley 2015 de 2020 y las directrices del Ministerio de Salud y Protección Social y demás normativa complementaria, además, de aplicar criterios de minimización, seudonimización o anonimización cuando corresponda, controles de acceso, trazabilidad y gestión de incidentes.</w:t>
            </w:r>
          </w:p>
          <w:p w14:paraId="0000013D"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13E"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5. Calidad, gestión de riesgos y auditoría. El sistema de IA a implementar deberá documentar fuentes de datos, metodología, métricas de desempeño, gestión de sesgos y límites de uso.  El Instituto </w:t>
            </w:r>
            <w:r>
              <w:rPr>
                <w:rFonts w:ascii="Arial" w:eastAsia="Arial" w:hAnsi="Arial" w:cs="Arial"/>
                <w:color w:val="000000"/>
                <w:sz w:val="22"/>
                <w:szCs w:val="22"/>
              </w:rPr>
              <w:lastRenderedPageBreak/>
              <w:t>Nacional de Salud (INS), en coordinación con el Ministerio de Salud y la Superintendencia Nacional de Salud, establecerán guías técnicas para verificación, pruebas de robustez, auditorías periódicas y mecanismos de explicación comprensible para usuarios autorizados.</w:t>
            </w:r>
          </w:p>
          <w:p w14:paraId="0000013F"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140"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6. Software de dispositivos médicos. Cuando la IA se integre con software de dispositivos médicos, se requerirá cumplimiento del régimen sanitario aplicable y registro sanitario ante el INVIMA, según la clase de riesgo.</w:t>
            </w:r>
          </w:p>
          <w:p w14:paraId="00000141"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142"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7. Transparencia y rendición de cuentas. Las entidades públicas y actores habilitados que empleen IA publicarán información general sobre finalidad, tipos de datos, criterios de priorización asistida y resultados agregados, preservando confidencialidad de datos personales como la intimidad del donante y el receptor.</w:t>
            </w:r>
          </w:p>
          <w:p w14:paraId="00000143"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144"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8. Evaluación de impacto algorítmico. Antes de la operación en producción, el responsable elaborará una evaluación de impacto proporcional al riesgo que incluya análisis de sesgos, efectos sobre derechos, seguridad del paciente y medidas de mitigación. Esta evaluación se remitirá al INS para su registro y podrá ser </w:t>
            </w:r>
            <w:r>
              <w:rPr>
                <w:rFonts w:ascii="Arial" w:eastAsia="Arial" w:hAnsi="Arial" w:cs="Arial"/>
                <w:color w:val="000000"/>
                <w:sz w:val="22"/>
                <w:szCs w:val="22"/>
              </w:rPr>
              <w:lastRenderedPageBreak/>
              <w:t>verificada por la Superintendencia de Salud.</w:t>
            </w:r>
          </w:p>
          <w:p w14:paraId="00000145"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146"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Parágrafo 1. </w:t>
            </w:r>
            <w:r>
              <w:rPr>
                <w:rFonts w:ascii="Arial" w:eastAsia="Arial" w:hAnsi="Arial" w:cs="Arial"/>
                <w:color w:val="000000"/>
                <w:sz w:val="22"/>
                <w:szCs w:val="22"/>
              </w:rPr>
              <w:t xml:space="preserve">Pilotos controlados. El Ministerio de Salud y Protección Social, el INS y la Superintendencia de Salud podrán autorizar pilotos bajo esquemas de </w:t>
            </w:r>
            <w:r>
              <w:rPr>
                <w:rFonts w:ascii="Arial" w:eastAsia="Arial" w:hAnsi="Arial" w:cs="Arial"/>
                <w:i/>
                <w:iCs/>
                <w:color w:val="000000"/>
                <w:sz w:val="22"/>
                <w:szCs w:val="22"/>
              </w:rPr>
              <w:t xml:space="preserve">sandbox </w:t>
            </w:r>
            <w:r>
              <w:rPr>
                <w:rFonts w:ascii="Arial" w:eastAsia="Arial" w:hAnsi="Arial" w:cs="Arial"/>
                <w:color w:val="000000"/>
                <w:sz w:val="22"/>
                <w:szCs w:val="22"/>
              </w:rPr>
              <w:t>regulatorio, con alcance, duración, salvaguardas de seguridad del paciente y métricas definidas, sin afectar los criterios de determinación de la muerte ni la regla del donante fallecido.</w:t>
            </w:r>
          </w:p>
          <w:p w14:paraId="00000147"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148"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Parágrafo 2. </w:t>
            </w:r>
            <w:r>
              <w:rPr>
                <w:rFonts w:ascii="Arial" w:eastAsia="Arial" w:hAnsi="Arial" w:cs="Arial"/>
                <w:color w:val="000000"/>
                <w:sz w:val="22"/>
                <w:szCs w:val="22"/>
              </w:rPr>
              <w:t>Incidentes y medidas. El INS establecerá el procedimiento de reporte obligatorio de incidentes graves asociados al uso de IA. Cuando exista riesgo significativo para la seguridad del paciente o vulneración de derechos, la autoridad competente podrá ordenar ajustes, suspensión temporal o retiro del sistema.</w:t>
            </w:r>
          </w:p>
          <w:p w14:paraId="00000149"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14A"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Parágrafo 3. </w:t>
            </w:r>
            <w:r>
              <w:rPr>
                <w:rFonts w:ascii="Arial" w:eastAsia="Arial" w:hAnsi="Arial" w:cs="Arial"/>
                <w:color w:val="000000"/>
                <w:sz w:val="22"/>
                <w:szCs w:val="22"/>
              </w:rPr>
              <w:t>Interoperabilidad. La integración de IA será compatible con los estándares de interoperabilidad de la historia clínica electrónica y los repositorios definidos por el Ministerio de Salud, evitando bloqueos tecnológicos y garantizando portabilidad.</w:t>
            </w:r>
          </w:p>
          <w:p w14:paraId="0000014B"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14C"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Parágrafo 4. </w:t>
            </w:r>
            <w:r>
              <w:rPr>
                <w:rFonts w:ascii="Arial" w:eastAsia="Arial" w:hAnsi="Arial" w:cs="Arial"/>
                <w:color w:val="000000"/>
                <w:sz w:val="22"/>
                <w:szCs w:val="22"/>
              </w:rPr>
              <w:t xml:space="preserve">Participación y enfoque diferencial. En la expedición y actualización de lineamientos sobre IA, el INS incorporará enfoque de derechos y diferencial, por lo que, promoverá la participación de sociedades científicas, </w:t>
            </w:r>
            <w:r>
              <w:rPr>
                <w:rFonts w:ascii="Arial" w:eastAsia="Arial" w:hAnsi="Arial" w:cs="Arial"/>
                <w:color w:val="000000"/>
                <w:sz w:val="22"/>
                <w:szCs w:val="22"/>
              </w:rPr>
              <w:lastRenderedPageBreak/>
              <w:t>organizaciones de pacientes y comités de bioética.</w:t>
            </w:r>
          </w:p>
          <w:p w14:paraId="0000014D"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14E" w14:textId="77777777" w:rsidR="001C40B0" w:rsidRDefault="0029171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Parágrafo 5. </w:t>
            </w:r>
            <w:r>
              <w:rPr>
                <w:rFonts w:ascii="Arial" w:eastAsia="Arial" w:hAnsi="Arial" w:cs="Arial"/>
                <w:color w:val="000000"/>
                <w:sz w:val="22"/>
                <w:szCs w:val="22"/>
              </w:rPr>
              <w:t xml:space="preserve">En aras de proteger la información de los donantes potenciales, </w:t>
            </w:r>
            <w:r>
              <w:rPr>
                <w:rFonts w:ascii="Arial" w:eastAsia="Arial" w:hAnsi="Arial" w:cs="Arial"/>
                <w:b/>
                <w:bCs/>
                <w:color w:val="000000"/>
                <w:sz w:val="22"/>
                <w:szCs w:val="22"/>
              </w:rPr>
              <w:t>los sistemas de IA empleados en el sistema de donación y transplante serán considerados como activos críticos</w:t>
            </w:r>
            <w:r>
              <w:rPr>
                <w:rFonts w:ascii="Arial" w:eastAsia="Arial" w:hAnsi="Arial" w:cs="Arial"/>
                <w:color w:val="000000"/>
                <w:sz w:val="22"/>
                <w:szCs w:val="22"/>
              </w:rPr>
              <w:t>. Este sistema debe estar vinculado a programas o aplicaciones de Seguridad Cibernética, con el fin de prevenir ataques, detectar intrusiones y responder a incidentes, el cual estará coordinado por el Ministerio de Tecnologías de la Información y las Comunicaciones.</w:t>
            </w:r>
          </w:p>
          <w:p w14:paraId="0000014F" w14:textId="77777777" w:rsidR="001C40B0" w:rsidRDefault="001C40B0">
            <w:pPr>
              <w:pBdr>
                <w:top w:val="nil"/>
                <w:left w:val="nil"/>
                <w:bottom w:val="nil"/>
                <w:right w:val="nil"/>
                <w:between w:val="nil"/>
              </w:pBdr>
              <w:jc w:val="both"/>
              <w:rPr>
                <w:rFonts w:ascii="Arial" w:eastAsia="Arial" w:hAnsi="Arial" w:cs="Arial"/>
                <w:color w:val="000000"/>
                <w:sz w:val="22"/>
                <w:szCs w:val="22"/>
              </w:rPr>
            </w:pPr>
          </w:p>
          <w:p w14:paraId="00000150" w14:textId="77777777" w:rsidR="001C40B0" w:rsidRDefault="00291712">
            <w:pPr>
              <w:jc w:val="both"/>
              <w:rPr>
                <w:rFonts w:ascii="Arial" w:eastAsia="Arial" w:hAnsi="Arial" w:cs="Arial"/>
                <w:sz w:val="22"/>
                <w:szCs w:val="22"/>
              </w:rPr>
            </w:pPr>
            <w:r>
              <w:rPr>
                <w:rFonts w:ascii="Arial" w:eastAsia="Arial" w:hAnsi="Arial" w:cs="Arial"/>
                <w:b/>
                <w:bCs/>
                <w:color w:val="000000"/>
                <w:sz w:val="22"/>
                <w:szCs w:val="22"/>
              </w:rPr>
              <w:t xml:space="preserve">Parágrafo transitorio. </w:t>
            </w:r>
            <w:r>
              <w:rPr>
                <w:rFonts w:ascii="Arial" w:eastAsia="Arial" w:hAnsi="Arial" w:cs="Arial"/>
                <w:color w:val="000000"/>
                <w:sz w:val="22"/>
                <w:szCs w:val="22"/>
              </w:rPr>
              <w:t>En un plazo no mayor a doce (12) meses contados a partir de la vigencia de la presente ley, el Ministerio de Salud y Protección Social, en coordinación con el Instituto Nacional de Salud, el INVIMA y la Superintendencia de Salud, expedirán la reglamentación técnica para la implementación de la IA en el sistema de donación y trasplantes, incluyendo requisitos de evaluación de impacto, auditoría, gestión de sesgos, reporte y transparencia.</w:t>
            </w:r>
          </w:p>
        </w:tc>
        <w:tc>
          <w:tcPr>
            <w:tcW w:w="1406" w:type="dxa"/>
            <w:vAlign w:val="center"/>
          </w:tcPr>
          <w:p w14:paraId="00000151" w14:textId="77777777" w:rsidR="001C40B0" w:rsidRDefault="00291712">
            <w:pPr>
              <w:jc w:val="both"/>
              <w:rPr>
                <w:rFonts w:ascii="Arial" w:eastAsia="Arial" w:hAnsi="Arial" w:cs="Arial"/>
                <w:sz w:val="22"/>
                <w:szCs w:val="22"/>
              </w:rPr>
            </w:pPr>
            <w:r>
              <w:rPr>
                <w:rFonts w:ascii="Arial" w:eastAsia="Arial" w:hAnsi="Arial" w:cs="Arial"/>
                <w:sz w:val="22"/>
                <w:szCs w:val="22"/>
              </w:rPr>
              <w:lastRenderedPageBreak/>
              <w:t>H.R Karime Cotes</w:t>
            </w:r>
          </w:p>
          <w:p w14:paraId="00000152" w14:textId="77777777" w:rsidR="001C40B0" w:rsidRDefault="001C40B0">
            <w:pPr>
              <w:jc w:val="both"/>
              <w:rPr>
                <w:rFonts w:ascii="Arial" w:eastAsia="Arial" w:hAnsi="Arial" w:cs="Arial"/>
                <w:sz w:val="22"/>
                <w:szCs w:val="22"/>
              </w:rPr>
            </w:pPr>
          </w:p>
          <w:p w14:paraId="00000153" w14:textId="77777777" w:rsidR="001C40B0" w:rsidRDefault="001C40B0">
            <w:pPr>
              <w:jc w:val="both"/>
              <w:rPr>
                <w:rFonts w:ascii="Arial" w:eastAsia="Arial" w:hAnsi="Arial" w:cs="Arial"/>
                <w:b/>
                <w:bCs/>
                <w:sz w:val="22"/>
                <w:szCs w:val="22"/>
                <w:u w:val="single"/>
              </w:rPr>
            </w:pPr>
          </w:p>
        </w:tc>
      </w:tr>
    </w:tbl>
    <w:p w14:paraId="00000154" w14:textId="77777777" w:rsidR="001C40B0" w:rsidRDefault="001C40B0">
      <w:pPr>
        <w:jc w:val="both"/>
        <w:rPr>
          <w:rFonts w:ascii="Arial" w:eastAsia="Arial" w:hAnsi="Arial" w:cs="Arial"/>
          <w:sz w:val="22"/>
          <w:szCs w:val="22"/>
        </w:rPr>
      </w:pPr>
    </w:p>
    <w:p w14:paraId="00000155"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Finalmente, la Mesa Directiva de la Comisión Primera me designó como ponente único para segundo debate en la Plenaria de la Cámara de Representantes. </w:t>
      </w:r>
    </w:p>
    <w:p w14:paraId="00000156" w14:textId="77777777" w:rsidR="001C40B0" w:rsidRDefault="001C40B0">
      <w:pPr>
        <w:jc w:val="both"/>
        <w:rPr>
          <w:rFonts w:ascii="Arial" w:eastAsia="Arial" w:hAnsi="Arial" w:cs="Arial"/>
          <w:sz w:val="22"/>
          <w:szCs w:val="22"/>
        </w:rPr>
      </w:pPr>
    </w:p>
    <w:p w14:paraId="00000157" w14:textId="77777777" w:rsidR="001C40B0" w:rsidRDefault="001C40B0">
      <w:pPr>
        <w:jc w:val="both"/>
        <w:rPr>
          <w:rFonts w:ascii="Arial" w:eastAsia="Arial" w:hAnsi="Arial" w:cs="Arial"/>
          <w:sz w:val="22"/>
          <w:szCs w:val="22"/>
        </w:rPr>
      </w:pPr>
    </w:p>
    <w:p w14:paraId="00000158" w14:textId="77777777" w:rsidR="001C40B0" w:rsidRDefault="00291712">
      <w:pPr>
        <w:numPr>
          <w:ilvl w:val="0"/>
          <w:numId w:val="1"/>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OBJETO DEL PROYECTO DE LEY</w:t>
      </w:r>
    </w:p>
    <w:p w14:paraId="00000159" w14:textId="77777777" w:rsidR="001C40B0" w:rsidRDefault="001C40B0">
      <w:pPr>
        <w:jc w:val="both"/>
        <w:rPr>
          <w:rFonts w:ascii="Arial" w:eastAsia="Arial" w:hAnsi="Arial" w:cs="Arial"/>
          <w:sz w:val="22"/>
          <w:szCs w:val="22"/>
        </w:rPr>
      </w:pPr>
    </w:p>
    <w:p w14:paraId="0000015A"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El presente proyecto de ley tiene por objeto actualizar la normativa del sistema de donación de órganos y/o tejidos previstos en el artículo 542 de la Ley 9 de 1979 y en los artículos 8 y </w:t>
      </w:r>
      <w:r>
        <w:rPr>
          <w:rFonts w:ascii="Arial" w:eastAsia="Arial" w:hAnsi="Arial" w:cs="Arial"/>
          <w:sz w:val="22"/>
          <w:szCs w:val="22"/>
        </w:rPr>
        <w:lastRenderedPageBreak/>
        <w:t>15 de la Ley 1805 de 2016, para dar mayor claridad, seguridad jurídica y eficiencia, y a la luz de los avances científicos y tecnológicos, salvar muchas más vidas.</w:t>
      </w:r>
    </w:p>
    <w:p w14:paraId="0000015B" w14:textId="77777777" w:rsidR="001C40B0" w:rsidRDefault="001C40B0">
      <w:pPr>
        <w:jc w:val="both"/>
        <w:rPr>
          <w:rFonts w:ascii="Arial" w:eastAsia="Arial" w:hAnsi="Arial" w:cs="Arial"/>
          <w:sz w:val="22"/>
          <w:szCs w:val="22"/>
        </w:rPr>
      </w:pPr>
    </w:p>
    <w:p w14:paraId="0000015C" w14:textId="77777777" w:rsidR="001C40B0" w:rsidRDefault="001C40B0">
      <w:pPr>
        <w:jc w:val="both"/>
        <w:rPr>
          <w:rFonts w:ascii="Arial" w:eastAsia="Arial" w:hAnsi="Arial" w:cs="Arial"/>
          <w:sz w:val="22"/>
          <w:szCs w:val="22"/>
        </w:rPr>
      </w:pPr>
    </w:p>
    <w:p w14:paraId="0000015D" w14:textId="77777777" w:rsidR="001C40B0" w:rsidRDefault="00291712">
      <w:pPr>
        <w:numPr>
          <w:ilvl w:val="0"/>
          <w:numId w:val="1"/>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FUNDAMENTOS NORMATIVOS Y TÉCNICOS DEL PROYECTO</w:t>
      </w:r>
    </w:p>
    <w:p w14:paraId="0000015E" w14:textId="77777777" w:rsidR="001C40B0" w:rsidRDefault="001C40B0">
      <w:pPr>
        <w:jc w:val="both"/>
        <w:rPr>
          <w:rFonts w:ascii="Arial" w:eastAsia="Arial" w:hAnsi="Arial" w:cs="Arial"/>
          <w:sz w:val="22"/>
          <w:szCs w:val="22"/>
        </w:rPr>
      </w:pPr>
    </w:p>
    <w:p w14:paraId="0000015F" w14:textId="77777777" w:rsidR="001C40B0" w:rsidRDefault="00291712">
      <w:pPr>
        <w:jc w:val="both"/>
        <w:rPr>
          <w:rFonts w:ascii="Arial" w:eastAsia="Arial" w:hAnsi="Arial" w:cs="Arial"/>
          <w:sz w:val="22"/>
          <w:szCs w:val="22"/>
        </w:rPr>
      </w:pPr>
      <w:r>
        <w:rPr>
          <w:rFonts w:ascii="Arial" w:eastAsia="Arial" w:hAnsi="Arial" w:cs="Arial"/>
          <w:sz w:val="22"/>
          <w:szCs w:val="22"/>
        </w:rPr>
        <w:t>Con el fin de dar mayor claridad a esta iniciativa legislativa, se retoman algunos apartes de la exposición de motivos que permiten nutrir la discusión y la comprensión de esta temática.</w:t>
      </w:r>
    </w:p>
    <w:p w14:paraId="00000160" w14:textId="77777777" w:rsidR="001C40B0" w:rsidRDefault="001C40B0">
      <w:pPr>
        <w:jc w:val="both"/>
        <w:rPr>
          <w:rFonts w:ascii="Arial" w:eastAsia="Arial" w:hAnsi="Arial" w:cs="Arial"/>
          <w:sz w:val="22"/>
          <w:szCs w:val="22"/>
        </w:rPr>
      </w:pPr>
    </w:p>
    <w:p w14:paraId="00000161" w14:textId="77777777" w:rsidR="001C40B0" w:rsidRDefault="00291712">
      <w:pPr>
        <w:jc w:val="both"/>
        <w:rPr>
          <w:rFonts w:ascii="Arial" w:eastAsia="Arial" w:hAnsi="Arial" w:cs="Arial"/>
          <w:b/>
          <w:bCs/>
          <w:sz w:val="22"/>
          <w:szCs w:val="22"/>
        </w:rPr>
      </w:pPr>
      <w:r>
        <w:rPr>
          <w:rFonts w:ascii="Arial" w:eastAsia="Arial" w:hAnsi="Arial" w:cs="Arial"/>
          <w:b/>
          <w:bCs/>
          <w:sz w:val="22"/>
          <w:szCs w:val="22"/>
        </w:rPr>
        <w:t>2.1 MARCO NORMATIVO</w:t>
      </w:r>
    </w:p>
    <w:p w14:paraId="00000162" w14:textId="77777777" w:rsidR="001C40B0" w:rsidRDefault="001C40B0">
      <w:pPr>
        <w:jc w:val="both"/>
        <w:rPr>
          <w:rFonts w:ascii="Arial" w:eastAsia="Arial" w:hAnsi="Arial" w:cs="Arial"/>
          <w:sz w:val="22"/>
          <w:szCs w:val="22"/>
        </w:rPr>
      </w:pPr>
    </w:p>
    <w:p w14:paraId="00000163" w14:textId="77777777" w:rsidR="001C40B0" w:rsidRDefault="00291712">
      <w:pPr>
        <w:jc w:val="both"/>
        <w:rPr>
          <w:rFonts w:ascii="Arial" w:eastAsia="Arial" w:hAnsi="Arial" w:cs="Arial"/>
          <w:sz w:val="22"/>
          <w:szCs w:val="22"/>
        </w:rPr>
      </w:pPr>
      <w:r>
        <w:rPr>
          <w:rFonts w:ascii="Arial" w:eastAsia="Arial" w:hAnsi="Arial" w:cs="Arial"/>
          <w:sz w:val="22"/>
          <w:szCs w:val="22"/>
        </w:rPr>
        <w:t>En el ordenamiento jurídico colombiano existe un marco legal que regula la donación y trasplante de órganos humanos relativamente sólido. Desde la misma Constitución Política de 1991 se consagra el reconocimiento de derechos y libertades fundamentales y se contemplan mecanismos para garantizar su efectividad. Sobre esta base se reconoce que las personas son titulares de derechos inherentes a la persona los cuales son inalienables e indivisibles, dentro de los que se destacan el derecho a la vida en condiciones dignas (artículo 11), a la integridad personal (artículo 12), a la igualdad y a no sufrir ningún tipo de discriminación (artículo 13), al libre desarrollo de la personalidad (artículo 16), a la salud y a la seguridad social (artículo 48), entre otros.</w:t>
      </w:r>
    </w:p>
    <w:p w14:paraId="00000164" w14:textId="77777777" w:rsidR="001C40B0" w:rsidRDefault="001C40B0">
      <w:pPr>
        <w:jc w:val="both"/>
        <w:rPr>
          <w:rFonts w:ascii="Arial" w:eastAsia="Arial" w:hAnsi="Arial" w:cs="Arial"/>
          <w:sz w:val="22"/>
          <w:szCs w:val="22"/>
        </w:rPr>
      </w:pPr>
    </w:p>
    <w:p w14:paraId="00000165" w14:textId="77777777" w:rsidR="001C40B0" w:rsidRDefault="00291712">
      <w:pPr>
        <w:jc w:val="both"/>
        <w:rPr>
          <w:rFonts w:ascii="Arial" w:eastAsia="Arial" w:hAnsi="Arial" w:cs="Arial"/>
          <w:sz w:val="22"/>
          <w:szCs w:val="22"/>
        </w:rPr>
      </w:pPr>
      <w:r>
        <w:rPr>
          <w:rFonts w:ascii="Arial" w:eastAsia="Arial" w:hAnsi="Arial" w:cs="Arial"/>
          <w:sz w:val="22"/>
          <w:szCs w:val="22"/>
        </w:rPr>
        <w:t>En primera instancia, se encuentra el Código Sanitario, Ley 9 de 1979, que consagró los primeros lineamientos sobre la donación, el traspaso y la recepción de órganos, tejidos o líquidos orgánicos utilizables con fines terapéuticos, y endilgó al Ministerio de Salud la obligación de establecer las normas sobre preservación, transporte almacenamiento y disposición final de órganos, tejidos y líquidos orgánicos o de seres vivos para trasplantes en otros usos terapéuticos, para eliminar cualquier riesgo para la salud o el bienestar de la comunidad. Sin embargo, acorde al desarrollo científico de ese tiempo, la ley acogió como momento para la donación la muerte encefálica, y no consideró la muerte por parada circulatoria.</w:t>
      </w:r>
    </w:p>
    <w:p w14:paraId="00000166" w14:textId="77777777" w:rsidR="001C40B0" w:rsidRDefault="001C40B0">
      <w:pPr>
        <w:jc w:val="both"/>
        <w:rPr>
          <w:rFonts w:ascii="Arial" w:eastAsia="Arial" w:hAnsi="Arial" w:cs="Arial"/>
          <w:sz w:val="22"/>
          <w:szCs w:val="22"/>
        </w:rPr>
      </w:pPr>
    </w:p>
    <w:p w14:paraId="00000167"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Luego vendría la Ley 73 de 1988 “Por la cual se adiciona la Ley 09 de 1979 y se dictan otras disposiciones en materia de donación y trasplante de órganos y componentes anatómicos para fines de trasplantes u otros usos terapéuticos”, que estableció disposiciones básicas respecto al proceso de donación y trasplante de componentes anatómicos, y consagró la presunción legal de donación cuando una persona durante su vida no ejerció el derecho a oponerse a que se extrajeran órganos o componentes anatómicos después de su fallecimiento, si dentro de las seis (6) horas siguientes a la ocurrencia de la muerte cerebral o antes de la iniciación de una autopsia médico-legal sus deudos no acreditaban su condición de tales ni expresaban su oposición en el mismo sentido. </w:t>
      </w:r>
    </w:p>
    <w:p w14:paraId="00000168" w14:textId="77777777" w:rsidR="001C40B0" w:rsidRDefault="001C40B0">
      <w:pPr>
        <w:jc w:val="both"/>
        <w:rPr>
          <w:rFonts w:ascii="Arial" w:eastAsia="Arial" w:hAnsi="Arial" w:cs="Arial"/>
          <w:sz w:val="22"/>
          <w:szCs w:val="22"/>
        </w:rPr>
      </w:pPr>
    </w:p>
    <w:p w14:paraId="00000169"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También prohibió de manera expresa el ánimo de lucro en la donación o suministro de componentes anatómicos, señaló quiénes están facultados para actuar como deudos de un paciente. A su vez, el Decreto 2493 de 2004 “Por el cual se reglamentan parcialmente las Leyes 9ª de 1979 y 73 de 1988, en relación con los componentes anatómicos”, reguló de manera integral y detallada la donación, obtención, preservación, almacenamiento, transporte, destino y disposición final de órganos y tejidos (exceptuando la sangre o componentes sanguíneos), así como los procedimientos de trasplante o implante en seres humanos. </w:t>
      </w:r>
    </w:p>
    <w:p w14:paraId="0000016A" w14:textId="77777777" w:rsidR="001C40B0" w:rsidRDefault="001C40B0">
      <w:pPr>
        <w:jc w:val="both"/>
        <w:rPr>
          <w:rFonts w:ascii="Arial" w:eastAsia="Arial" w:hAnsi="Arial" w:cs="Arial"/>
          <w:sz w:val="22"/>
          <w:szCs w:val="22"/>
        </w:rPr>
      </w:pPr>
    </w:p>
    <w:p w14:paraId="0000016B"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Si bien esta norma definió al donante fallecido como “aquel que ha fallecido  bien  sea  por  muerte encefálica o por  cese irreversible de  las  funciones cardiorrespiratorias y a quien se le pretende extraer componentes anatómicos con fines de trasplantes o implantes”, lo cierto es que en ningún otro aparte del Decreto se expresa específicamente la viabilidad de la misma ni de los criterios para definirla. Sumado a lo anterior, en el estado actual de la ciencia el término preciso es la muerte por cese irreversible de las funciones circulatorias. </w:t>
      </w:r>
    </w:p>
    <w:p w14:paraId="0000016C" w14:textId="77777777" w:rsidR="001C40B0" w:rsidRDefault="001C40B0">
      <w:pPr>
        <w:jc w:val="both"/>
        <w:rPr>
          <w:rFonts w:ascii="Arial" w:eastAsia="Arial" w:hAnsi="Arial" w:cs="Arial"/>
          <w:sz w:val="22"/>
          <w:szCs w:val="22"/>
        </w:rPr>
      </w:pPr>
    </w:p>
    <w:p w14:paraId="0000016D"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En igual sentido, el capítulo III, artículo 12, únicamente regula los criterios para diagnosticar la muerte encefálica y señala que cuando no sea posible corroborar alguno de los siete signos establecidos, se deberá aplicar un  “test  de  certeza”.  </w:t>
      </w:r>
    </w:p>
    <w:p w14:paraId="0000016E" w14:textId="77777777" w:rsidR="001C40B0" w:rsidRDefault="001C40B0">
      <w:pPr>
        <w:jc w:val="both"/>
        <w:rPr>
          <w:rFonts w:ascii="Arial" w:eastAsia="Arial" w:hAnsi="Arial" w:cs="Arial"/>
          <w:sz w:val="22"/>
          <w:szCs w:val="22"/>
        </w:rPr>
      </w:pPr>
    </w:p>
    <w:p w14:paraId="0000016F" w14:textId="77777777" w:rsidR="001C40B0" w:rsidRDefault="00291712">
      <w:pPr>
        <w:jc w:val="both"/>
        <w:rPr>
          <w:rFonts w:ascii="Arial" w:eastAsia="Arial" w:hAnsi="Arial" w:cs="Arial"/>
          <w:sz w:val="22"/>
          <w:szCs w:val="22"/>
        </w:rPr>
      </w:pPr>
      <w:r>
        <w:rPr>
          <w:rFonts w:ascii="Arial" w:eastAsia="Arial" w:hAnsi="Arial" w:cs="Arial"/>
          <w:sz w:val="22"/>
          <w:szCs w:val="22"/>
        </w:rPr>
        <w:t>En ninguno  de  sus  apartes contempla expresamente la opción de donación en parada circulatoria, lo cual se presta a diferentes interpretaciones.</w:t>
      </w:r>
    </w:p>
    <w:p w14:paraId="00000170" w14:textId="77777777" w:rsidR="001C40B0" w:rsidRDefault="001C40B0">
      <w:pPr>
        <w:jc w:val="both"/>
        <w:rPr>
          <w:rFonts w:ascii="Arial" w:eastAsia="Arial" w:hAnsi="Arial" w:cs="Arial"/>
          <w:sz w:val="22"/>
          <w:szCs w:val="22"/>
        </w:rPr>
      </w:pPr>
    </w:p>
    <w:p w14:paraId="00000171" w14:textId="77777777" w:rsidR="001C40B0" w:rsidRDefault="00291712">
      <w:pPr>
        <w:jc w:val="both"/>
        <w:rPr>
          <w:rFonts w:ascii="Arial" w:eastAsia="Arial" w:hAnsi="Arial" w:cs="Arial"/>
          <w:sz w:val="22"/>
          <w:szCs w:val="22"/>
        </w:rPr>
      </w:pPr>
      <w:r>
        <w:rPr>
          <w:rFonts w:ascii="Arial" w:eastAsia="Arial" w:hAnsi="Arial" w:cs="Arial"/>
          <w:sz w:val="22"/>
          <w:szCs w:val="22"/>
        </w:rPr>
        <w:t>Posteriormente, la Ley 919 de 2004 “por medio de la cual se prohíbe la comercialización de componentes anatómicos humanos para trasplante y se tipifica como delito su tráfico”, exaltó que la donación de órganos deberá hacerse siempre por razones humanitarias y estableció la prohibición de comercializar componentes anatómicos por cualquier forma de compensación, pago en dinero o en especie. También tipifica el tráfico, compra, venta o comercialización de componentes anatómicos humanos como delito, con una pena de prisión de tres (3) a seis (6) años.</w:t>
      </w:r>
    </w:p>
    <w:p w14:paraId="00000172" w14:textId="77777777" w:rsidR="001C40B0" w:rsidRDefault="001C40B0">
      <w:pPr>
        <w:jc w:val="both"/>
        <w:rPr>
          <w:rFonts w:ascii="Arial" w:eastAsia="Arial" w:hAnsi="Arial" w:cs="Arial"/>
          <w:sz w:val="22"/>
          <w:szCs w:val="22"/>
        </w:rPr>
      </w:pPr>
    </w:p>
    <w:p w14:paraId="00000173" w14:textId="77777777" w:rsidR="001C40B0" w:rsidRDefault="00291712">
      <w:pPr>
        <w:jc w:val="both"/>
        <w:rPr>
          <w:rFonts w:ascii="Arial" w:eastAsia="Arial" w:hAnsi="Arial" w:cs="Arial"/>
          <w:sz w:val="22"/>
          <w:szCs w:val="22"/>
        </w:rPr>
      </w:pPr>
      <w:r>
        <w:rPr>
          <w:rFonts w:ascii="Arial" w:eastAsia="Arial" w:hAnsi="Arial" w:cs="Arial"/>
          <w:sz w:val="22"/>
          <w:szCs w:val="22"/>
        </w:rPr>
        <w:t>A partir de la puesta en marcha de la creación del Grupo Red de Donación y Trasplantes del INS mediante la Resolución 214 de 2005 del Instituto Nacional de Salud, el número de donaciones aumentó, pasando de 273 donantes de órganos en el año 2005 a 428 en el año 2008. Sin embargo, desde el año 2009 se experimentó un descenso dramático en el número de donaciones de órganos y tejidos lo que condujo en gran medida a que en el año 2016 se expidiera una nueva norma.</w:t>
      </w:r>
    </w:p>
    <w:p w14:paraId="00000174" w14:textId="77777777" w:rsidR="001C40B0" w:rsidRDefault="001C40B0">
      <w:pPr>
        <w:jc w:val="both"/>
        <w:rPr>
          <w:rFonts w:ascii="Arial" w:eastAsia="Arial" w:hAnsi="Arial" w:cs="Arial"/>
          <w:sz w:val="22"/>
          <w:szCs w:val="22"/>
        </w:rPr>
      </w:pPr>
    </w:p>
    <w:p w14:paraId="00000175" w14:textId="77777777" w:rsidR="001C40B0" w:rsidRDefault="00291712">
      <w:pPr>
        <w:jc w:val="both"/>
        <w:rPr>
          <w:rFonts w:ascii="Arial" w:eastAsia="Arial" w:hAnsi="Arial" w:cs="Arial"/>
          <w:sz w:val="22"/>
          <w:szCs w:val="22"/>
        </w:rPr>
      </w:pPr>
      <w:r>
        <w:rPr>
          <w:rFonts w:ascii="Arial" w:eastAsia="Arial" w:hAnsi="Arial" w:cs="Arial"/>
          <w:sz w:val="22"/>
          <w:szCs w:val="22"/>
        </w:rPr>
        <w:t>Sería entonces la Ley 1805 de 2016 “Por medio de la cual se modifican la Ley 73 de 1988 y la Ley 919 de 2004 en materia de donación de componentes anatómicos y se dictan otras disposiciones” la norma con la cual se mantuvo la presunción legal de donación de componentes anatómicos para fines de trasplantes y demás usos terapéuticos, y se eliminó el consentimiento de los familiares para el rescate de órganos. También abrió la posibilidad a quienes no deseen ser donantes de expresar su voluntad mediante documento escrito que deberá autenticarse ante Notario Público y radicarse ante el Instituto Nacional de Salud o al momento de realizar el trámite de afiliación a una Empresa Promotora de Salud (EPS), la cual deberá informar al Instituto Nacional de Salud (INS) al respecto.</w:t>
      </w:r>
    </w:p>
    <w:p w14:paraId="00000176" w14:textId="77777777" w:rsidR="001C40B0" w:rsidRDefault="001C40B0">
      <w:pPr>
        <w:jc w:val="both"/>
        <w:rPr>
          <w:rFonts w:ascii="Arial" w:eastAsia="Arial" w:hAnsi="Arial" w:cs="Arial"/>
          <w:sz w:val="22"/>
          <w:szCs w:val="22"/>
        </w:rPr>
      </w:pPr>
    </w:p>
    <w:p w14:paraId="00000177"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Ahora bien, al igual que ocurre con el artículo 542 de la ley 9ª de 1979, la Ley 1508 de 2016 en sus artículos 8 y 15 introdujo una distinción limitada a la muerte encefálica, lo que origina dudas sobre la donación por parada circulatoria. De acuerdo a lo establecido en la norma, correspondería entonces al intérprete distinguir el escenario, pero un asunto tan sensible como la posibilidad de que se realice la donación de órganos como consecuencia de la muerte por parada circulatoria, no puede dejarse a la interpretación analógica de algún intérprete. De hecho, existen normas claras, como la contenida en el artículo 94 del Código Civil (Ley 84 de 1873) conforme al cual “La existencia de las personas termina con la muerte”. Como se </w:t>
      </w:r>
      <w:r>
        <w:rPr>
          <w:rFonts w:ascii="Arial" w:eastAsia="Arial" w:hAnsi="Arial" w:cs="Arial"/>
          <w:sz w:val="22"/>
          <w:szCs w:val="22"/>
        </w:rPr>
        <w:lastRenderedPageBreak/>
        <w:t>observa, esta ley del año 1873 no condiciona a si se trata de muerte cerebral o por parada circulatoria, como ocurrió en los artículos objeto de modificación. Por lo anterior, corresponde al legislador dar claridad sobre el asunto regulado por estas leyes y requerir al Gobierno para que se expida la reglamentación respectiva sobre la materia.</w:t>
      </w:r>
    </w:p>
    <w:p w14:paraId="00000178" w14:textId="77777777" w:rsidR="001C40B0" w:rsidRDefault="001C40B0">
      <w:pPr>
        <w:jc w:val="both"/>
        <w:rPr>
          <w:rFonts w:ascii="Arial" w:eastAsia="Arial" w:hAnsi="Arial" w:cs="Arial"/>
          <w:sz w:val="22"/>
          <w:szCs w:val="22"/>
        </w:rPr>
      </w:pPr>
    </w:p>
    <w:p w14:paraId="00000179" w14:textId="77777777" w:rsidR="001C40B0" w:rsidRDefault="00291712">
      <w:pPr>
        <w:jc w:val="both"/>
        <w:rPr>
          <w:rFonts w:ascii="Arial" w:eastAsia="Arial" w:hAnsi="Arial" w:cs="Arial"/>
          <w:sz w:val="22"/>
          <w:szCs w:val="22"/>
        </w:rPr>
      </w:pPr>
      <w:r>
        <w:rPr>
          <w:rFonts w:ascii="Arial" w:eastAsia="Arial" w:hAnsi="Arial" w:cs="Arial"/>
          <w:sz w:val="22"/>
          <w:szCs w:val="22"/>
        </w:rPr>
        <w:t>Posteriormente, se destaca la Ley 2294 de 2023 - Plan Nacional de Desarrollo 2022- 2026, que en su artículo 162 creó el Instituto Nacional de Donación y Trasplante de Órganos y Tejidos (INDTOT), como una entidad adscrita al Ministerio de Salud y Protección Social, que tiene por objeto coordinar y operar el Sistema Nacional de Donación y Trasplante de Órganos y Tejidos de Colombia, así como la dirigir e integrar a los diferentes actores que participan en los procesos de donación y trasplante. Luego, mediante Decreto 0076 de 2024 "Por el cual se establece la estructura del Instituto Nacional de Donación y Trasplante de Órganos y Tejidos -INDTOT, sus funciones y se dictan otras disposiciones" se definió su objeto, funciones, estructura, constitución del patrimonio, así como un régimen de transición para su entrada en funcionamiento.</w:t>
      </w:r>
    </w:p>
    <w:p w14:paraId="0000017A" w14:textId="77777777" w:rsidR="001C40B0" w:rsidRDefault="001C40B0">
      <w:pPr>
        <w:jc w:val="both"/>
        <w:rPr>
          <w:rFonts w:ascii="Arial" w:eastAsia="Arial" w:hAnsi="Arial" w:cs="Arial"/>
          <w:sz w:val="22"/>
          <w:szCs w:val="22"/>
        </w:rPr>
      </w:pPr>
    </w:p>
    <w:p w14:paraId="0000017B" w14:textId="77777777" w:rsidR="001C40B0" w:rsidRDefault="00291712">
      <w:pPr>
        <w:jc w:val="both"/>
        <w:rPr>
          <w:rFonts w:ascii="Arial" w:eastAsia="Arial" w:hAnsi="Arial" w:cs="Arial"/>
          <w:sz w:val="22"/>
          <w:szCs w:val="22"/>
        </w:rPr>
      </w:pPr>
      <w:r>
        <w:rPr>
          <w:rFonts w:ascii="Arial" w:eastAsia="Arial" w:hAnsi="Arial" w:cs="Arial"/>
          <w:sz w:val="22"/>
          <w:szCs w:val="22"/>
        </w:rPr>
        <w:t>Sin embargo, la H. Corte Constitucional, mediante Sentencia C-489 de 20241, declaró la inexequibilidad del mencionado artículo 162 de la Ley 2294 de 2023 que creó el Instituto Nacional de Donación y Trasplante de Órganos y Tejidos (INDTOT), ya que dicho artículo no estaba contemplado en el texto original del proyecto de ley y no fue discutido ni aprobado durante las sesiones conjuntas de las comisiones tercera y cuarta del Senado y la Cámara de Representantes. La creación del INDTOT fue incluida como un artículo nuevo en las ponencias para segundo debate en las plenarias del Senado y la Cámara de Representantes, pero no fue objeto de discusión específica, no tenía conexidad con los temas discutidos en comisiones conjuntas, y tampoco tenía una relación estrecha, inmediata y directa con los objetivos generales del Plan Nacional de Desarrollo. Durante el debate no se abordó la necesidad de crear una nueva entidad encargada de la donación y el trasplante de órganos y tejidos, que no revestía un carácter instrumental para alcanzar las metas del PND, sino que implicaba una transformación institucional que iba más allá del período del Gobierno.</w:t>
      </w:r>
    </w:p>
    <w:p w14:paraId="0000017C" w14:textId="77777777" w:rsidR="001C40B0" w:rsidRDefault="001C40B0">
      <w:pPr>
        <w:jc w:val="both"/>
        <w:rPr>
          <w:rFonts w:ascii="Arial" w:eastAsia="Arial" w:hAnsi="Arial" w:cs="Arial"/>
          <w:sz w:val="22"/>
          <w:szCs w:val="22"/>
        </w:rPr>
      </w:pPr>
    </w:p>
    <w:p w14:paraId="0000017D" w14:textId="77777777" w:rsidR="001C40B0" w:rsidRDefault="00291712">
      <w:pPr>
        <w:jc w:val="both"/>
        <w:rPr>
          <w:rFonts w:ascii="Arial" w:eastAsia="Arial" w:hAnsi="Arial" w:cs="Arial"/>
          <w:sz w:val="22"/>
          <w:szCs w:val="22"/>
        </w:rPr>
      </w:pPr>
      <w:r>
        <w:rPr>
          <w:rFonts w:ascii="Arial" w:eastAsia="Arial" w:hAnsi="Arial" w:cs="Arial"/>
          <w:sz w:val="22"/>
          <w:szCs w:val="22"/>
        </w:rPr>
        <w:t>Así las cosas, la Corte concluyó que en el trámite del proyecto de ley se desconocieron los principios de consecutividad e identidad flexible, y procedió a declarar su inexequibilidad, como puede verse a continuación:</w:t>
      </w:r>
    </w:p>
    <w:p w14:paraId="0000017E" w14:textId="77777777" w:rsidR="001C40B0" w:rsidRDefault="001C40B0">
      <w:pPr>
        <w:jc w:val="both"/>
        <w:rPr>
          <w:rFonts w:ascii="Arial" w:eastAsia="Arial" w:hAnsi="Arial" w:cs="Arial"/>
          <w:sz w:val="22"/>
          <w:szCs w:val="22"/>
        </w:rPr>
      </w:pPr>
    </w:p>
    <w:p w14:paraId="0000017F" w14:textId="77777777" w:rsidR="001C40B0" w:rsidRDefault="00291712">
      <w:pPr>
        <w:ind w:left="708"/>
        <w:jc w:val="both"/>
        <w:rPr>
          <w:rFonts w:ascii="Arial" w:eastAsia="Arial" w:hAnsi="Arial" w:cs="Arial"/>
          <w:sz w:val="22"/>
          <w:szCs w:val="22"/>
        </w:rPr>
      </w:pPr>
      <w:r>
        <w:rPr>
          <w:rFonts w:ascii="Arial" w:eastAsia="Arial" w:hAnsi="Arial" w:cs="Arial"/>
          <w:sz w:val="22"/>
          <w:szCs w:val="22"/>
        </w:rPr>
        <w:t>“105.  Por lo tanto, siguiendo la jurisprudencia reiterada en esta oportunidad, la Sala constata que la creación del INDTOT es una modificación que se refiere a una materia autónoma e independiente frente a lo discutido en sesiones conjuntas], al punto que podría plasmarse en un proyecto separado. Por todo lo anterior, es claro que las discusiones que se presentaron en las comisiones económicas conjuntas del Senado y la Cámara no tienen una conexidad clara, específica, estrecha, necesaria y evidente con el artículo 162 de la Ley 2294 de 2023.</w:t>
      </w:r>
    </w:p>
    <w:p w14:paraId="00000180" w14:textId="77777777" w:rsidR="001C40B0" w:rsidRDefault="00291712">
      <w:pPr>
        <w:ind w:left="708"/>
        <w:jc w:val="both"/>
        <w:rPr>
          <w:rFonts w:ascii="Arial" w:eastAsia="Arial" w:hAnsi="Arial" w:cs="Arial"/>
          <w:sz w:val="22"/>
          <w:szCs w:val="22"/>
        </w:rPr>
      </w:pPr>
      <w:r>
        <w:rPr>
          <w:rFonts w:ascii="Arial" w:eastAsia="Arial" w:hAnsi="Arial" w:cs="Arial"/>
          <w:sz w:val="22"/>
          <w:szCs w:val="22"/>
        </w:rPr>
        <w:t>(…)</w:t>
      </w:r>
    </w:p>
    <w:p w14:paraId="00000181" w14:textId="77777777" w:rsidR="001C40B0" w:rsidRDefault="001C40B0">
      <w:pPr>
        <w:ind w:left="708"/>
        <w:jc w:val="both"/>
        <w:rPr>
          <w:rFonts w:ascii="Arial" w:eastAsia="Arial" w:hAnsi="Arial" w:cs="Arial"/>
          <w:sz w:val="22"/>
          <w:szCs w:val="22"/>
        </w:rPr>
      </w:pPr>
    </w:p>
    <w:p w14:paraId="00000182" w14:textId="77777777" w:rsidR="001C40B0" w:rsidRDefault="00291712">
      <w:pPr>
        <w:ind w:left="708"/>
        <w:jc w:val="both"/>
        <w:rPr>
          <w:rFonts w:ascii="Arial" w:eastAsia="Arial" w:hAnsi="Arial" w:cs="Arial"/>
          <w:sz w:val="22"/>
          <w:szCs w:val="22"/>
        </w:rPr>
      </w:pPr>
      <w:r>
        <w:rPr>
          <w:rFonts w:ascii="Arial" w:eastAsia="Arial" w:hAnsi="Arial" w:cs="Arial"/>
          <w:sz w:val="22"/>
          <w:szCs w:val="22"/>
        </w:rPr>
        <w:t xml:space="preserve">128 .  En este orden de ideas, tomando también en consideración el momento del trámite legislativo en el cual apareció la norma cuestionada, y tras verificar que no existe una conexión estrecha, directa y estrecha entre esta y la parte general del plan, sino una eventual, hipotética y a lo sumo indirecta, debido a que no existe ninguna justificación acerca de cómo la creación de un instituto que asuma las funciones que </w:t>
      </w:r>
      <w:r>
        <w:rPr>
          <w:rFonts w:ascii="Arial" w:eastAsia="Arial" w:hAnsi="Arial" w:cs="Arial"/>
          <w:sz w:val="22"/>
          <w:szCs w:val="22"/>
        </w:rPr>
        <w:lastRenderedPageBreak/>
        <w:t>ahora tiene la Red Nacional de Trasplantes de Órganos y Tejidos del Instituto Nacional de Salud favorece la modernización y la gobernanza del sector salud, la Sala concluye que la norma analizada viola el principio de unidad de materia.</w:t>
      </w:r>
    </w:p>
    <w:p w14:paraId="00000183" w14:textId="77777777" w:rsidR="001C40B0" w:rsidRDefault="001C40B0">
      <w:pPr>
        <w:ind w:left="708"/>
        <w:jc w:val="both"/>
        <w:rPr>
          <w:rFonts w:ascii="Arial" w:eastAsia="Arial" w:hAnsi="Arial" w:cs="Arial"/>
          <w:sz w:val="22"/>
          <w:szCs w:val="22"/>
        </w:rPr>
      </w:pPr>
    </w:p>
    <w:p w14:paraId="00000184" w14:textId="77777777" w:rsidR="001C40B0" w:rsidRDefault="00291712">
      <w:pPr>
        <w:ind w:left="708"/>
        <w:jc w:val="both"/>
        <w:rPr>
          <w:rFonts w:ascii="Arial" w:eastAsia="Arial" w:hAnsi="Arial" w:cs="Arial"/>
          <w:sz w:val="22"/>
          <w:szCs w:val="22"/>
        </w:rPr>
      </w:pPr>
      <w:r>
        <w:rPr>
          <w:rFonts w:ascii="Arial" w:eastAsia="Arial" w:hAnsi="Arial" w:cs="Arial"/>
          <w:sz w:val="22"/>
          <w:szCs w:val="22"/>
        </w:rPr>
        <w:t>129. Además, (i) como la creación de un nuevo instituto encargado de manera autónoma de los asuntos relevantes para la política pública de salud en manejo de trasplantes tiene una vocación de permanencia y supera el horizonte misional de cuatro años del Gobierno; y (ii) no se demostró su carácter instrumental para la consecución de los objetivos, metas y propósitos del plan nacional de desarrollo, la Sala confirma que deberá declararse su inexequibilidad.” (Subraya y negrilla fuera del texto original).</w:t>
      </w:r>
    </w:p>
    <w:p w14:paraId="00000185" w14:textId="77777777" w:rsidR="001C40B0" w:rsidRDefault="001C40B0">
      <w:pPr>
        <w:jc w:val="both"/>
        <w:rPr>
          <w:rFonts w:ascii="Arial" w:eastAsia="Arial" w:hAnsi="Arial" w:cs="Arial"/>
          <w:sz w:val="22"/>
          <w:szCs w:val="22"/>
        </w:rPr>
      </w:pPr>
    </w:p>
    <w:p w14:paraId="00000186" w14:textId="77777777" w:rsidR="001C40B0" w:rsidRDefault="00291712">
      <w:pPr>
        <w:jc w:val="both"/>
        <w:rPr>
          <w:rFonts w:ascii="Arial" w:eastAsia="Arial" w:hAnsi="Arial" w:cs="Arial"/>
          <w:b/>
          <w:bCs/>
          <w:sz w:val="22"/>
          <w:szCs w:val="22"/>
        </w:rPr>
      </w:pPr>
      <w:r>
        <w:rPr>
          <w:rFonts w:ascii="Arial" w:eastAsia="Arial" w:hAnsi="Arial" w:cs="Arial"/>
          <w:b/>
          <w:bCs/>
          <w:sz w:val="22"/>
          <w:szCs w:val="22"/>
        </w:rPr>
        <w:t>2.2 Derecho Comparado</w:t>
      </w:r>
    </w:p>
    <w:p w14:paraId="00000187" w14:textId="77777777" w:rsidR="001C40B0" w:rsidRDefault="001C40B0">
      <w:pPr>
        <w:jc w:val="both"/>
        <w:rPr>
          <w:rFonts w:ascii="Arial" w:eastAsia="Arial" w:hAnsi="Arial" w:cs="Arial"/>
          <w:b/>
          <w:bCs/>
          <w:sz w:val="22"/>
          <w:szCs w:val="22"/>
        </w:rPr>
      </w:pPr>
    </w:p>
    <w:p w14:paraId="00000188"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Debido al continuo aumento de pacientes en listas de espera de diferentes órganos sólidos, la donación en parada circulatoria cada vez es más aceptada, realizada y regulada a nivel internacional ya sea en forma de reglamentación o como programa. De forma general, la donación y trasplante de órganos como consecuencia de la muerte circulatoria se practica en 18 países: Austria, Bélgica, República Checa, Francia, Irlanda, Israel, Italia, Latvia, Lituania, Países Bajos, Noruega, Polonia, Portugal, Rusia, España, Suecia, Suiza y el Reino Unido. Todos estos países cuentan con textos jurídicamente vinculantes y/o no vinculantes para regular la práctica de la donación después de la muerte circulatoria. Concretamente de los 18 países europeos, 12 cuentan con disposiciones legales relacionadas con la práctica de la donación tras la muerte cardiaca y 16 se basan en textos no vinculantes que proporcionan recomendaciones para el desarrollo de la práctica de la donación como consecuencia de la muerte circulatoria en cada país. </w:t>
      </w:r>
    </w:p>
    <w:p w14:paraId="00000189" w14:textId="77777777" w:rsidR="001C40B0" w:rsidRDefault="001C40B0">
      <w:pPr>
        <w:jc w:val="both"/>
        <w:rPr>
          <w:rFonts w:ascii="Arial" w:eastAsia="Arial" w:hAnsi="Arial" w:cs="Arial"/>
          <w:sz w:val="22"/>
          <w:szCs w:val="22"/>
        </w:rPr>
      </w:pPr>
    </w:p>
    <w:p w14:paraId="0000018A" w14:textId="77777777" w:rsidR="001C40B0" w:rsidRDefault="00291712">
      <w:pPr>
        <w:jc w:val="both"/>
        <w:rPr>
          <w:rFonts w:ascii="Arial" w:eastAsia="Arial" w:hAnsi="Arial" w:cs="Arial"/>
          <w:sz w:val="22"/>
          <w:szCs w:val="22"/>
        </w:rPr>
      </w:pPr>
      <w:r>
        <w:rPr>
          <w:rFonts w:ascii="Arial" w:eastAsia="Arial" w:hAnsi="Arial" w:cs="Arial"/>
          <w:sz w:val="22"/>
          <w:szCs w:val="22"/>
        </w:rPr>
        <w:t>En materia de reglamentación, España fue uno de los primeros países en publicar una norma para la donación después de muerte circulatoria (cuyas siglas en inglés son DCD - Donation after Circulatory Death) a través de la expedición del Real Decreto 2079 de 1999. El origen de esta normatividad se remonta a que la Ley 30/1979 señala que la extracción de órganos u otras piezas anatómicas de fallecidos podrá hacerse previa comprobación de la muerte y el Real Decreto 426/1980 reglamentaba tan sólo la obtención de órganos viables para trasplante por fallecimiento en situación de muerte cerebral. Mediante el Real Decreto 2070 de 1999 determinaron la validez de los órganos obtenidos por fallecimiento en situación de parada cardíaca, siempre que se pudieran aplicar procedimientos de preservación de órganos en la persona fallecida. La posibilidad de esta modalidad de obtención de órganos se soportó en el hecho de que la misma estaba validada por la realidad clínica y ampliamente admitida por los profesionales del trasplante de órganos, tanto a nivel nacional como internacional como se había ratificado en la Conferencia sobre donantes en asistolia de Maastrich (Holanda) en marzo de 1995 y en el Documento de Consenso Español sobre donación de órganos en asistolia, de 27 de noviembre de 1995. Si bien en España son conscientes de que el término más preciso para hablar de la donación en asistolia es el usado en el mundo anglosajón como “Donation after the Circulatory Determination of Death”, aún no han formalizar un cambio en la denominación y continúan hablando de donación en asistolia.</w:t>
      </w:r>
    </w:p>
    <w:p w14:paraId="0000018B" w14:textId="77777777" w:rsidR="001C40B0" w:rsidRDefault="001C40B0">
      <w:pPr>
        <w:jc w:val="both"/>
        <w:rPr>
          <w:rFonts w:ascii="Arial" w:eastAsia="Arial" w:hAnsi="Arial" w:cs="Arial"/>
          <w:sz w:val="22"/>
          <w:szCs w:val="22"/>
        </w:rPr>
      </w:pPr>
    </w:p>
    <w:p w14:paraId="0000018C"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La clasificación de Maastricht sigue siendo ampliamente utilizada en el ámbito internacional. Sin embargo, en España se generó un consenso en 2011 dado que dicha clasificación no </w:t>
      </w:r>
      <w:r>
        <w:rPr>
          <w:rFonts w:ascii="Arial" w:eastAsia="Arial" w:hAnsi="Arial" w:cs="Arial"/>
          <w:sz w:val="22"/>
          <w:szCs w:val="22"/>
        </w:rPr>
        <w:lastRenderedPageBreak/>
        <w:t>captaba con precisión y claridad la realidad del tipo de DA llevada a cabo en España de manera mayoritaria. Los equipos clasificaron de manera heterogénea a sus donantes en asistolia, a pesar de tratarse de donantes idénticos en cuanto a sus circunstancias de fallecimiento. De acuerdo a la clasificación de Maastricht, modificada de Madrid hace referencia a la donación de órganos que acontece en un espacio controlado y en uno no controlado como se muestra en la siguiente tabla:</w:t>
      </w:r>
    </w:p>
    <w:p w14:paraId="0000018D" w14:textId="77777777" w:rsidR="001C40B0" w:rsidRDefault="001C40B0">
      <w:pPr>
        <w:jc w:val="both"/>
        <w:rPr>
          <w:rFonts w:ascii="Arial" w:eastAsia="Arial" w:hAnsi="Arial" w:cs="Arial"/>
          <w:sz w:val="22"/>
          <w:szCs w:val="22"/>
        </w:rPr>
      </w:pPr>
    </w:p>
    <w:p w14:paraId="0000018E" w14:textId="77777777" w:rsidR="001C40B0" w:rsidRDefault="00291712">
      <w:pPr>
        <w:jc w:val="both"/>
        <w:rPr>
          <w:rFonts w:ascii="Arial" w:eastAsia="Arial" w:hAnsi="Arial" w:cs="Arial"/>
          <w:sz w:val="22"/>
          <w:szCs w:val="22"/>
        </w:rPr>
      </w:pPr>
      <w:r>
        <w:rPr>
          <w:rFonts w:ascii="Arial" w:eastAsia="Arial" w:hAnsi="Arial" w:cs="Arial"/>
          <w:noProof/>
          <w:sz w:val="22"/>
          <w:szCs w:val="22"/>
        </w:rPr>
        <w:drawing>
          <wp:inline distT="0" distB="0" distL="0" distR="0">
            <wp:extent cx="5521225" cy="6286500"/>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521225" cy="6286500"/>
                    </a:xfrm>
                    <a:prstGeom prst="rect">
                      <a:avLst/>
                    </a:prstGeom>
                    <a:ln/>
                  </pic:spPr>
                </pic:pic>
              </a:graphicData>
            </a:graphic>
          </wp:inline>
        </w:drawing>
      </w:r>
    </w:p>
    <w:p w14:paraId="0000018F" w14:textId="77777777" w:rsidR="001C40B0" w:rsidRDefault="001C40B0">
      <w:pPr>
        <w:jc w:val="both"/>
        <w:rPr>
          <w:rFonts w:ascii="Arial" w:eastAsia="Arial" w:hAnsi="Arial" w:cs="Arial"/>
          <w:sz w:val="22"/>
          <w:szCs w:val="22"/>
        </w:rPr>
      </w:pPr>
    </w:p>
    <w:p w14:paraId="00000190" w14:textId="77777777" w:rsidR="001C40B0" w:rsidRDefault="00291712">
      <w:pPr>
        <w:jc w:val="both"/>
        <w:rPr>
          <w:rFonts w:ascii="Arial" w:eastAsia="Arial" w:hAnsi="Arial" w:cs="Arial"/>
          <w:sz w:val="22"/>
          <w:szCs w:val="22"/>
        </w:rPr>
      </w:pPr>
      <w:r>
        <w:rPr>
          <w:rFonts w:ascii="Arial" w:eastAsia="Arial" w:hAnsi="Arial" w:cs="Arial"/>
          <w:sz w:val="22"/>
          <w:szCs w:val="22"/>
        </w:rPr>
        <w:lastRenderedPageBreak/>
        <w:t xml:space="preserve">Dado que la DA mayoritaria en España es aquella que se produce en personas fallecidas tras considerarse infructuosas las maniobras de reanimación cardiopulmonar (RCP) aplicadas, consideraron apropiado incluir a todos estos donantes en la categoría II. Dentro de la categoría II, se establecieron a su vez dos subcategorías, atendiendo a si la PCR ha acontecido en el ámbito extrahospitalario (II.a.) o intrahospitalario (II.b.). </w:t>
      </w:r>
    </w:p>
    <w:p w14:paraId="00000191" w14:textId="77777777" w:rsidR="001C40B0" w:rsidRDefault="001C40B0">
      <w:pPr>
        <w:jc w:val="both"/>
        <w:rPr>
          <w:rFonts w:ascii="Arial" w:eastAsia="Arial" w:hAnsi="Arial" w:cs="Arial"/>
          <w:sz w:val="22"/>
          <w:szCs w:val="22"/>
        </w:rPr>
      </w:pPr>
    </w:p>
    <w:p w14:paraId="00000192" w14:textId="77777777" w:rsidR="001C40B0" w:rsidRDefault="00291712">
      <w:pPr>
        <w:jc w:val="both"/>
        <w:rPr>
          <w:rFonts w:ascii="Arial" w:eastAsia="Arial" w:hAnsi="Arial" w:cs="Arial"/>
          <w:sz w:val="22"/>
          <w:szCs w:val="22"/>
        </w:rPr>
      </w:pPr>
      <w:r>
        <w:rPr>
          <w:rFonts w:ascii="Arial" w:eastAsia="Arial" w:hAnsi="Arial" w:cs="Arial"/>
          <w:sz w:val="22"/>
          <w:szCs w:val="22"/>
        </w:rPr>
        <w:t>El doctor Rafael Matesanz, siendo director de la ONT, y varios de sus colaboradores escribieron un artículo en 2016 para el American Journal of Transplantation, donde se señala que los sorprendentes resultados del modelo español pueden ser atribuidos al fomento de la donación en asistolia (cuando los componentes proceden de una persona fallecida por el cese irreversible de las funciones circulatorias).</w:t>
      </w:r>
    </w:p>
    <w:p w14:paraId="00000193" w14:textId="77777777" w:rsidR="001C40B0" w:rsidRDefault="001C40B0">
      <w:pPr>
        <w:jc w:val="both"/>
        <w:rPr>
          <w:rFonts w:ascii="Arial" w:eastAsia="Arial" w:hAnsi="Arial" w:cs="Arial"/>
          <w:sz w:val="22"/>
          <w:szCs w:val="22"/>
        </w:rPr>
      </w:pPr>
    </w:p>
    <w:p w14:paraId="00000194" w14:textId="77777777" w:rsidR="001C40B0" w:rsidRDefault="00291712">
      <w:pPr>
        <w:jc w:val="both"/>
        <w:rPr>
          <w:rFonts w:ascii="Arial" w:eastAsia="Arial" w:hAnsi="Arial" w:cs="Arial"/>
          <w:sz w:val="22"/>
          <w:szCs w:val="22"/>
        </w:rPr>
      </w:pPr>
      <w:r>
        <w:rPr>
          <w:rFonts w:ascii="Arial" w:eastAsia="Arial" w:hAnsi="Arial" w:cs="Arial"/>
          <w:sz w:val="22"/>
          <w:szCs w:val="22"/>
        </w:rPr>
        <w:t>En países como Australia, Estados Unidos, Suiza, el Reino Unido y los países bajos se han desarrollado protocolos por orden de los gobiernos para establecer los lineamientos de la extracción y la conservación de los órganos en donación después de muerte por parada cardíaca.</w:t>
      </w:r>
    </w:p>
    <w:p w14:paraId="00000195" w14:textId="77777777" w:rsidR="001C40B0" w:rsidRDefault="001C40B0">
      <w:pPr>
        <w:jc w:val="both"/>
        <w:rPr>
          <w:rFonts w:ascii="Arial" w:eastAsia="Arial" w:hAnsi="Arial" w:cs="Arial"/>
          <w:sz w:val="22"/>
          <w:szCs w:val="22"/>
        </w:rPr>
      </w:pPr>
    </w:p>
    <w:p w14:paraId="00000196" w14:textId="77777777" w:rsidR="001C40B0" w:rsidRDefault="00291712">
      <w:pPr>
        <w:jc w:val="both"/>
        <w:rPr>
          <w:rFonts w:ascii="Arial" w:eastAsia="Arial" w:hAnsi="Arial" w:cs="Arial"/>
          <w:sz w:val="22"/>
          <w:szCs w:val="22"/>
        </w:rPr>
      </w:pPr>
      <w:r>
        <w:rPr>
          <w:rFonts w:ascii="Arial" w:eastAsia="Arial" w:hAnsi="Arial" w:cs="Arial"/>
          <w:sz w:val="22"/>
          <w:szCs w:val="22"/>
        </w:rPr>
        <w:t>Francia por su parte, reglamentó la donación en estas condiciones mediante la Orden 2 emitida el 2 de agosto de 2005 el Ministro de Sanidad y Solidaridad, en la cual, se establecieron los órganos que se podían extraer de una persona fallecida por paro cardíaco y respiratorio persistente.</w:t>
      </w:r>
    </w:p>
    <w:p w14:paraId="00000197" w14:textId="77777777" w:rsidR="001C40B0" w:rsidRDefault="001C40B0">
      <w:pPr>
        <w:jc w:val="both"/>
        <w:rPr>
          <w:rFonts w:ascii="Arial" w:eastAsia="Arial" w:hAnsi="Arial" w:cs="Arial"/>
          <w:sz w:val="22"/>
          <w:szCs w:val="22"/>
        </w:rPr>
      </w:pPr>
    </w:p>
    <w:p w14:paraId="00000198" w14:textId="77777777" w:rsidR="001C40B0" w:rsidRDefault="00291712">
      <w:pPr>
        <w:jc w:val="both"/>
        <w:rPr>
          <w:rFonts w:ascii="Arial" w:eastAsia="Arial" w:hAnsi="Arial" w:cs="Arial"/>
          <w:sz w:val="22"/>
          <w:szCs w:val="22"/>
        </w:rPr>
      </w:pPr>
      <w:r>
        <w:rPr>
          <w:rFonts w:ascii="Arial" w:eastAsia="Arial" w:hAnsi="Arial" w:cs="Arial"/>
          <w:sz w:val="22"/>
          <w:szCs w:val="22"/>
        </w:rPr>
        <w:t>De otra parte, en una publicación del Servicio Nacional de Salud del Reino Unida (cuya siglas en inglés son NHS - National Health Service) se compartieron las estadísticas de donaciones tras muerte cerebral (cuyas siglas en inglés son DBD - Donation after Brain Death) y aquellas producto de parada cardíaca (DCD) en diferentes países:</w:t>
      </w:r>
    </w:p>
    <w:p w14:paraId="00000199" w14:textId="77777777" w:rsidR="001C40B0" w:rsidRDefault="001C40B0">
      <w:pPr>
        <w:jc w:val="both"/>
        <w:rPr>
          <w:rFonts w:ascii="Arial" w:eastAsia="Arial" w:hAnsi="Arial" w:cs="Arial"/>
          <w:sz w:val="22"/>
          <w:szCs w:val="22"/>
        </w:rPr>
      </w:pPr>
    </w:p>
    <w:p w14:paraId="0000019A" w14:textId="77777777" w:rsidR="001C40B0" w:rsidRDefault="00291712" w:rsidP="00DF5C34">
      <w:pPr>
        <w:jc w:val="center"/>
        <w:rPr>
          <w:rFonts w:ascii="Arial" w:eastAsia="Arial" w:hAnsi="Arial" w:cs="Arial"/>
          <w:sz w:val="22"/>
          <w:szCs w:val="22"/>
        </w:rPr>
      </w:pPr>
      <w:r>
        <w:rPr>
          <w:rFonts w:ascii="Arial" w:eastAsia="Arial" w:hAnsi="Arial" w:cs="Arial"/>
          <w:noProof/>
          <w:sz w:val="22"/>
          <w:szCs w:val="22"/>
        </w:rPr>
        <w:drawing>
          <wp:inline distT="0" distB="0" distL="0" distR="0" wp14:editId="499DFDE8">
            <wp:extent cx="5048410" cy="3116580"/>
            <wp:effectExtent l="0" t="0" r="0" b="762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053359" cy="3119635"/>
                    </a:xfrm>
                    <a:prstGeom prst="rect">
                      <a:avLst/>
                    </a:prstGeom>
                    <a:ln/>
                  </pic:spPr>
                </pic:pic>
              </a:graphicData>
            </a:graphic>
          </wp:inline>
        </w:drawing>
      </w:r>
    </w:p>
    <w:p w14:paraId="0000019B" w14:textId="77777777" w:rsidR="001C40B0" w:rsidRDefault="001C40B0">
      <w:pPr>
        <w:jc w:val="both"/>
        <w:rPr>
          <w:rFonts w:ascii="Arial" w:eastAsia="Arial" w:hAnsi="Arial" w:cs="Arial"/>
          <w:sz w:val="22"/>
          <w:szCs w:val="22"/>
        </w:rPr>
      </w:pPr>
    </w:p>
    <w:p w14:paraId="0000019C"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19D" w14:textId="77777777" w:rsidR="001C40B0" w:rsidRDefault="001C40B0">
      <w:pPr>
        <w:jc w:val="both"/>
        <w:rPr>
          <w:rFonts w:ascii="Arial" w:eastAsia="Arial" w:hAnsi="Arial" w:cs="Arial"/>
          <w:sz w:val="22"/>
          <w:szCs w:val="22"/>
        </w:rPr>
      </w:pPr>
    </w:p>
    <w:p w14:paraId="0000019E" w14:textId="77777777" w:rsidR="001C40B0" w:rsidRDefault="00291712">
      <w:pPr>
        <w:jc w:val="both"/>
        <w:rPr>
          <w:rFonts w:ascii="Arial" w:eastAsia="Arial" w:hAnsi="Arial" w:cs="Arial"/>
          <w:sz w:val="22"/>
          <w:szCs w:val="22"/>
        </w:rPr>
      </w:pPr>
      <w:r>
        <w:rPr>
          <w:rFonts w:ascii="Arial" w:eastAsia="Arial" w:hAnsi="Arial" w:cs="Arial"/>
          <w:sz w:val="22"/>
          <w:szCs w:val="22"/>
        </w:rPr>
        <w:t>Como se observa en la gráfica, en 2021, la proporción de DCD fue significativa en Australia, Suiza, el Reino Unido, España y Estados Unidos frente a aquella producto de DBD, lo cual, repercutió positivamente en la posibilidad de atender pacientes que se encontraban en lista de espera. En Australia y Estados Unidos, a 2021 se estimaba que la DCD comprendía cerca del 30% de la donación cadavérica de órganos. En Inglaterra, la DCD ha incrementado sustancialmente en los últimos 20 años como puede observarse en la gráfica adjunta:</w:t>
      </w:r>
    </w:p>
    <w:p w14:paraId="0000019F" w14:textId="77777777" w:rsidR="001C40B0" w:rsidRDefault="001C40B0">
      <w:pPr>
        <w:jc w:val="both"/>
        <w:rPr>
          <w:rFonts w:ascii="Arial" w:eastAsia="Arial" w:hAnsi="Arial" w:cs="Arial"/>
          <w:sz w:val="22"/>
          <w:szCs w:val="22"/>
        </w:rPr>
      </w:pPr>
    </w:p>
    <w:p w14:paraId="000001A0" w14:textId="77777777" w:rsidR="001C40B0" w:rsidRDefault="00291712">
      <w:pPr>
        <w:jc w:val="both"/>
        <w:rPr>
          <w:rFonts w:ascii="Arial" w:eastAsia="Arial" w:hAnsi="Arial" w:cs="Arial"/>
          <w:sz w:val="22"/>
          <w:szCs w:val="22"/>
        </w:rPr>
      </w:pPr>
      <w:r>
        <w:rPr>
          <w:rFonts w:ascii="Arial" w:eastAsia="Arial" w:hAnsi="Arial" w:cs="Arial"/>
          <w:noProof/>
          <w:sz w:val="22"/>
          <w:szCs w:val="22"/>
        </w:rPr>
        <w:drawing>
          <wp:inline distT="0" distB="0" distL="0" distR="0">
            <wp:extent cx="5936959" cy="3562175"/>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936959" cy="3562175"/>
                    </a:xfrm>
                    <a:prstGeom prst="rect">
                      <a:avLst/>
                    </a:prstGeom>
                    <a:ln/>
                  </pic:spPr>
                </pic:pic>
              </a:graphicData>
            </a:graphic>
          </wp:inline>
        </w:drawing>
      </w:r>
    </w:p>
    <w:p w14:paraId="000001A1"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1A2" w14:textId="77777777" w:rsidR="001C40B0" w:rsidRDefault="001C40B0">
      <w:pPr>
        <w:jc w:val="both"/>
        <w:rPr>
          <w:rFonts w:ascii="Arial" w:eastAsia="Arial" w:hAnsi="Arial" w:cs="Arial"/>
          <w:sz w:val="22"/>
          <w:szCs w:val="22"/>
        </w:rPr>
      </w:pPr>
    </w:p>
    <w:p w14:paraId="000001A3" w14:textId="77777777" w:rsidR="001C40B0" w:rsidRDefault="00291712">
      <w:pPr>
        <w:jc w:val="both"/>
        <w:rPr>
          <w:rFonts w:ascii="Arial" w:eastAsia="Arial" w:hAnsi="Arial" w:cs="Arial"/>
          <w:sz w:val="22"/>
          <w:szCs w:val="22"/>
        </w:rPr>
      </w:pPr>
      <w:r>
        <w:rPr>
          <w:rFonts w:ascii="Arial" w:eastAsia="Arial" w:hAnsi="Arial" w:cs="Arial"/>
          <w:sz w:val="22"/>
          <w:szCs w:val="22"/>
        </w:rPr>
        <w:t>El éxito en el programa de DCD se atribuye a la resolución de restricciones legales, éticas y profesionales. El principio que sustenta el programa consiste en que en muchas ocasiones la donación puede ser legítimamente considerada como parte del cuidado que una persona desearía recibir al final de su vida.</w:t>
      </w:r>
    </w:p>
    <w:p w14:paraId="000001A4" w14:textId="77777777" w:rsidR="001C40B0" w:rsidRDefault="001C40B0">
      <w:pPr>
        <w:jc w:val="both"/>
        <w:rPr>
          <w:rFonts w:ascii="Arial" w:eastAsia="Arial" w:hAnsi="Arial" w:cs="Arial"/>
          <w:sz w:val="22"/>
          <w:szCs w:val="22"/>
        </w:rPr>
      </w:pPr>
    </w:p>
    <w:p w14:paraId="000001A5" w14:textId="77777777" w:rsidR="001C40B0" w:rsidRDefault="00291712">
      <w:pPr>
        <w:jc w:val="both"/>
        <w:rPr>
          <w:rFonts w:ascii="Arial" w:eastAsia="Arial" w:hAnsi="Arial" w:cs="Arial"/>
          <w:b/>
          <w:bCs/>
          <w:sz w:val="22"/>
          <w:szCs w:val="22"/>
        </w:rPr>
      </w:pPr>
      <w:r>
        <w:rPr>
          <w:rFonts w:ascii="Arial" w:eastAsia="Arial" w:hAnsi="Arial" w:cs="Arial"/>
          <w:b/>
          <w:bCs/>
          <w:sz w:val="22"/>
          <w:szCs w:val="22"/>
        </w:rPr>
        <w:t>2.3 Contexto Actual sobre Trasplantes de Órganos en Colombia</w:t>
      </w:r>
    </w:p>
    <w:p w14:paraId="000001A6" w14:textId="77777777" w:rsidR="001C40B0" w:rsidRDefault="001C40B0">
      <w:pPr>
        <w:jc w:val="both"/>
        <w:rPr>
          <w:rFonts w:ascii="Arial" w:eastAsia="Arial" w:hAnsi="Arial" w:cs="Arial"/>
          <w:sz w:val="22"/>
          <w:szCs w:val="22"/>
        </w:rPr>
      </w:pPr>
    </w:p>
    <w:p w14:paraId="000001A7" w14:textId="77777777" w:rsidR="001C40B0" w:rsidRDefault="00291712">
      <w:pPr>
        <w:jc w:val="both"/>
        <w:rPr>
          <w:rFonts w:ascii="Arial" w:eastAsia="Arial" w:hAnsi="Arial" w:cs="Arial"/>
          <w:sz w:val="22"/>
          <w:szCs w:val="22"/>
        </w:rPr>
      </w:pPr>
      <w:r>
        <w:rPr>
          <w:rFonts w:ascii="Arial" w:eastAsia="Arial" w:hAnsi="Arial" w:cs="Arial"/>
          <w:sz w:val="22"/>
          <w:szCs w:val="22"/>
        </w:rPr>
        <w:t>El trasplante de órganos puede ser definido como un acto, por medio del cual, se dona uno o más órganos, tejidos y/o células para ser trasplantadas en el cuerpo de otra persona. Se trata de un procedimiento que puede cambiar y mejorar la calidad de vida de quienes permanecen en lista de espera. Se estima que cada persona puede donar hasta 55 componentes anatómicos entre órganos y tejidos, por ende, un donante puede beneficiar a 55 personas.</w:t>
      </w:r>
    </w:p>
    <w:p w14:paraId="000001A8" w14:textId="77777777" w:rsidR="001C40B0" w:rsidRDefault="001C40B0">
      <w:pPr>
        <w:jc w:val="both"/>
        <w:rPr>
          <w:rFonts w:ascii="Arial" w:eastAsia="Arial" w:hAnsi="Arial" w:cs="Arial"/>
          <w:sz w:val="22"/>
          <w:szCs w:val="22"/>
        </w:rPr>
      </w:pPr>
    </w:p>
    <w:p w14:paraId="000001A9"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Existen dos tipos de donación de órganos y/o tejidos con fines de trasplante: donación de un donante vivo o donación de un donante fallecido. Dentro del donante fallecido se pueden distinguir dos categorías según el mecanismo de muerte: i) aquella que ocurre como </w:t>
      </w:r>
      <w:r>
        <w:rPr>
          <w:rFonts w:ascii="Arial" w:eastAsia="Arial" w:hAnsi="Arial" w:cs="Arial"/>
          <w:sz w:val="22"/>
          <w:szCs w:val="22"/>
        </w:rPr>
        <w:lastRenderedPageBreak/>
        <w:t>consecuencia de la muerte encefálica, y, ii) aquella que ocurre tras la muerte circulatoria. Como se explicará en el presente documento, en Colombia se encuentra ampliamente regulada la muerte encefálica. Sin embargo, en el caso de la muerte circulatoria no se encuentra regulado.</w:t>
      </w:r>
    </w:p>
    <w:p w14:paraId="000001AA" w14:textId="77777777" w:rsidR="001C40B0" w:rsidRDefault="001C40B0">
      <w:pPr>
        <w:jc w:val="both"/>
        <w:rPr>
          <w:rFonts w:ascii="Arial" w:eastAsia="Arial" w:hAnsi="Arial" w:cs="Arial"/>
          <w:sz w:val="22"/>
          <w:szCs w:val="22"/>
        </w:rPr>
      </w:pPr>
    </w:p>
    <w:p w14:paraId="000001AB" w14:textId="77777777" w:rsidR="001C40B0" w:rsidRDefault="00291712">
      <w:pPr>
        <w:jc w:val="both"/>
        <w:rPr>
          <w:rFonts w:ascii="Arial" w:eastAsia="Arial" w:hAnsi="Arial" w:cs="Arial"/>
          <w:sz w:val="22"/>
          <w:szCs w:val="22"/>
        </w:rPr>
      </w:pPr>
      <w:r>
        <w:rPr>
          <w:rFonts w:ascii="Arial" w:eastAsia="Arial" w:hAnsi="Arial" w:cs="Arial"/>
          <w:sz w:val="22"/>
          <w:szCs w:val="22"/>
        </w:rPr>
        <w:t>En Colombia, desde la promulgación de la Ley 1805 de 2016 se estableció una presunción legal de donación bajo la cual se presume que una persona es donante cuando durante su vida se ha abstenido de ejercer el derecho que tiene a oponerse a que de su cuerpo se extraigan órganos, tejidos o componentes anatómicos después de su fallecimiento. La presunción de donación no significa que sea obligatorio ser donante de órganos pues esto obedece a una decisión enteramente voluntaria.</w:t>
      </w:r>
    </w:p>
    <w:p w14:paraId="000001AC" w14:textId="77777777" w:rsidR="001C40B0" w:rsidRDefault="001C40B0">
      <w:pPr>
        <w:jc w:val="both"/>
        <w:rPr>
          <w:rFonts w:ascii="Arial" w:eastAsia="Arial" w:hAnsi="Arial" w:cs="Arial"/>
          <w:sz w:val="22"/>
          <w:szCs w:val="22"/>
        </w:rPr>
      </w:pPr>
    </w:p>
    <w:p w14:paraId="000001AD" w14:textId="77777777" w:rsidR="001C40B0" w:rsidRDefault="00291712">
      <w:pPr>
        <w:jc w:val="both"/>
        <w:rPr>
          <w:rFonts w:ascii="Arial" w:eastAsia="Arial" w:hAnsi="Arial" w:cs="Arial"/>
          <w:sz w:val="22"/>
          <w:szCs w:val="22"/>
        </w:rPr>
      </w:pPr>
      <w:r>
        <w:rPr>
          <w:rFonts w:ascii="Arial" w:eastAsia="Arial" w:hAnsi="Arial" w:cs="Arial"/>
          <w:sz w:val="22"/>
          <w:szCs w:val="22"/>
        </w:rPr>
        <w:t>Entre 2008 y 2023 hubo 3,7 millones de muertes en Colombia dónde el 1,1% podían ser posibles donantes, es decir, cerca de 42 mil personas. Sin embargo, solo el 35% de estos últimos (15 mil) pueden ser “potenciales donantes” dado que los cuellos de botellas del actual sistema han hecho perder más de 27 mil personas. La falta de personal disponible y la poca coordinación nacional es el principal problema. Según el INS, solo 7 ciudades tienen equipo técnico encargado del tema; y en todo el país solo hay cerca de 60 personas dedicadas a la donación. Esto sumado a que instituciones con cuidados incentivos son cerca de 400. El mal manejo de los donantes ocasiona que cuando la Red llega, los órganos o componentes anatómicos ya no cuentan con los requerimientos técnicos necesarios para llevar a cabo un trasplante.</w:t>
      </w:r>
    </w:p>
    <w:p w14:paraId="000001AE" w14:textId="77777777" w:rsidR="001C40B0" w:rsidRDefault="001C40B0">
      <w:pPr>
        <w:jc w:val="both"/>
        <w:rPr>
          <w:rFonts w:ascii="Arial" w:eastAsia="Arial" w:hAnsi="Arial" w:cs="Arial"/>
          <w:sz w:val="22"/>
          <w:szCs w:val="22"/>
        </w:rPr>
      </w:pPr>
    </w:p>
    <w:p w14:paraId="000001AF" w14:textId="77777777" w:rsidR="001C40B0" w:rsidRDefault="00291712">
      <w:pPr>
        <w:jc w:val="both"/>
        <w:rPr>
          <w:rFonts w:ascii="Arial" w:eastAsia="Arial" w:hAnsi="Arial" w:cs="Arial"/>
          <w:sz w:val="22"/>
          <w:szCs w:val="22"/>
        </w:rPr>
      </w:pPr>
      <w:r>
        <w:rPr>
          <w:rFonts w:ascii="Arial" w:eastAsia="Arial" w:hAnsi="Arial" w:cs="Arial"/>
          <w:sz w:val="22"/>
          <w:szCs w:val="22"/>
        </w:rPr>
        <w:t>Por último, de los 15 mil potenciales el 87% (13 mil) pudo ser “elegible” dado que diferentes negativas por parte de los familiares ocasionan que el doctor no pueda llevar a cabo el trasplante. Al final, de estos solo 5,9 mil son los donantes reales del sistema.</w:t>
      </w:r>
    </w:p>
    <w:p w14:paraId="000001B0" w14:textId="77777777" w:rsidR="001C40B0" w:rsidRDefault="001C40B0">
      <w:pPr>
        <w:jc w:val="both"/>
        <w:rPr>
          <w:rFonts w:ascii="Arial" w:eastAsia="Arial" w:hAnsi="Arial" w:cs="Arial"/>
          <w:sz w:val="22"/>
          <w:szCs w:val="22"/>
        </w:rPr>
      </w:pPr>
    </w:p>
    <w:p w14:paraId="000001B1" w14:textId="77777777" w:rsidR="001C40B0" w:rsidRDefault="00291712">
      <w:pPr>
        <w:jc w:val="center"/>
        <w:rPr>
          <w:rFonts w:ascii="Arial" w:eastAsia="Arial" w:hAnsi="Arial" w:cs="Arial"/>
          <w:b/>
          <w:bCs/>
          <w:sz w:val="22"/>
          <w:szCs w:val="22"/>
        </w:rPr>
      </w:pPr>
      <w:r>
        <w:rPr>
          <w:rFonts w:ascii="Arial" w:eastAsia="Arial" w:hAnsi="Arial" w:cs="Arial"/>
          <w:b/>
          <w:bCs/>
          <w:sz w:val="22"/>
          <w:szCs w:val="22"/>
        </w:rPr>
        <w:t>Ruta Crítica de Donación de Órganos 2008-2023</w:t>
      </w:r>
    </w:p>
    <w:p w14:paraId="000001B2" w14:textId="77777777" w:rsidR="001C40B0" w:rsidRDefault="001C40B0">
      <w:pPr>
        <w:jc w:val="center"/>
        <w:rPr>
          <w:rFonts w:ascii="Arial" w:eastAsia="Arial" w:hAnsi="Arial" w:cs="Arial"/>
          <w:b/>
          <w:bCs/>
          <w:sz w:val="22"/>
          <w:szCs w:val="22"/>
        </w:rPr>
      </w:pPr>
    </w:p>
    <w:p w14:paraId="000001B3" w14:textId="77777777" w:rsidR="001C40B0" w:rsidRDefault="00291712">
      <w:pPr>
        <w:jc w:val="both"/>
        <w:rPr>
          <w:rFonts w:ascii="Arial" w:eastAsia="Arial" w:hAnsi="Arial" w:cs="Arial"/>
          <w:sz w:val="22"/>
          <w:szCs w:val="22"/>
        </w:rPr>
      </w:pPr>
      <w:r>
        <w:rPr>
          <w:rFonts w:ascii="Arial" w:eastAsia="Arial" w:hAnsi="Arial" w:cs="Arial"/>
          <w:sz w:val="22"/>
          <w:szCs w:val="22"/>
        </w:rPr>
        <w:t>Fuente: Elaboración propia con datos del Instituto Nacional de Salud.</w:t>
      </w:r>
      <w:r>
        <w:rPr>
          <w:noProof/>
        </w:rPr>
        <w:drawing>
          <wp:anchor distT="0" distB="0" distL="0" distR="0" simplePos="0" relativeHeight="251658240" behindDoc="0" locked="0" layoutInCell="1" hidden="0" allowOverlap="1">
            <wp:simplePos x="0" y="0"/>
            <wp:positionH relativeFrom="column">
              <wp:posOffset>0</wp:posOffset>
            </wp:positionH>
            <wp:positionV relativeFrom="paragraph">
              <wp:posOffset>1284</wp:posOffset>
            </wp:positionV>
            <wp:extent cx="4894795" cy="2639549"/>
            <wp:effectExtent l="0" t="0" r="0" b="0"/>
            <wp:wrapTopAndBottom distT="0" dist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894795" cy="2639549"/>
                    </a:xfrm>
                    <a:prstGeom prst="rect">
                      <a:avLst/>
                    </a:prstGeom>
                    <a:ln/>
                  </pic:spPr>
                </pic:pic>
              </a:graphicData>
            </a:graphic>
          </wp:anchor>
        </w:drawing>
      </w:r>
    </w:p>
    <w:p w14:paraId="000001B4"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1B5" w14:textId="77777777" w:rsidR="001C40B0" w:rsidRDefault="001C40B0">
      <w:pPr>
        <w:jc w:val="both"/>
        <w:rPr>
          <w:rFonts w:ascii="Arial" w:eastAsia="Arial" w:hAnsi="Arial" w:cs="Arial"/>
          <w:sz w:val="22"/>
          <w:szCs w:val="22"/>
        </w:rPr>
      </w:pPr>
    </w:p>
    <w:p w14:paraId="000001B6" w14:textId="77777777" w:rsidR="001C40B0" w:rsidRDefault="001C40B0">
      <w:pPr>
        <w:jc w:val="both"/>
        <w:rPr>
          <w:rFonts w:ascii="Arial" w:eastAsia="Arial" w:hAnsi="Arial" w:cs="Arial"/>
          <w:sz w:val="22"/>
          <w:szCs w:val="22"/>
        </w:rPr>
      </w:pPr>
    </w:p>
    <w:p w14:paraId="000001B7" w14:textId="77777777" w:rsidR="001C40B0" w:rsidRDefault="00291712">
      <w:pPr>
        <w:jc w:val="center"/>
        <w:rPr>
          <w:rFonts w:ascii="Arial" w:eastAsia="Arial" w:hAnsi="Arial" w:cs="Arial"/>
          <w:b/>
          <w:bCs/>
          <w:sz w:val="22"/>
          <w:szCs w:val="22"/>
        </w:rPr>
      </w:pPr>
      <w:r>
        <w:rPr>
          <w:rFonts w:ascii="Arial" w:eastAsia="Arial" w:hAnsi="Arial" w:cs="Arial"/>
          <w:b/>
          <w:bCs/>
          <w:sz w:val="22"/>
          <w:szCs w:val="22"/>
        </w:rPr>
        <w:t>Ruta Crítica de Donación de Órganos 2008-2023 por año</w:t>
      </w:r>
    </w:p>
    <w:p w14:paraId="000001B8" w14:textId="77777777" w:rsidR="001C40B0" w:rsidRDefault="001C40B0">
      <w:pPr>
        <w:jc w:val="both"/>
        <w:rPr>
          <w:rFonts w:ascii="Arial" w:eastAsia="Arial" w:hAnsi="Arial" w:cs="Arial"/>
          <w:sz w:val="22"/>
          <w:szCs w:val="22"/>
        </w:rPr>
      </w:pPr>
    </w:p>
    <w:p w14:paraId="000001B9" w14:textId="77777777" w:rsidR="001C40B0" w:rsidRDefault="00291712">
      <w:pPr>
        <w:jc w:val="both"/>
        <w:rPr>
          <w:rFonts w:ascii="Arial" w:eastAsia="Arial" w:hAnsi="Arial" w:cs="Arial"/>
          <w:sz w:val="22"/>
          <w:szCs w:val="22"/>
        </w:rPr>
      </w:pPr>
      <w:r>
        <w:rPr>
          <w:rFonts w:ascii="Arial" w:eastAsia="Arial" w:hAnsi="Arial" w:cs="Arial"/>
          <w:sz w:val="22"/>
          <w:szCs w:val="22"/>
        </w:rPr>
        <w:tab/>
      </w:r>
    </w:p>
    <w:tbl>
      <w:tblPr>
        <w:tblStyle w:val="a1"/>
        <w:tblW w:w="88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74"/>
        <w:gridCol w:w="1469"/>
        <w:gridCol w:w="1474"/>
        <w:gridCol w:w="1474"/>
        <w:gridCol w:w="1474"/>
        <w:gridCol w:w="1474"/>
      </w:tblGrid>
      <w:tr w:rsidR="001C40B0" w14:paraId="322D397F" w14:textId="77777777">
        <w:trPr>
          <w:trHeight w:val="306"/>
        </w:trPr>
        <w:tc>
          <w:tcPr>
            <w:tcW w:w="1474" w:type="dxa"/>
            <w:shd w:val="clear" w:color="auto" w:fill="D9D9D9"/>
          </w:tcPr>
          <w:p w14:paraId="000001BA" w14:textId="77777777" w:rsidR="001C40B0" w:rsidRDefault="001C40B0">
            <w:pPr>
              <w:pBdr>
                <w:top w:val="nil"/>
                <w:left w:val="nil"/>
                <w:bottom w:val="nil"/>
                <w:right w:val="nil"/>
                <w:between w:val="nil"/>
              </w:pBdr>
              <w:rPr>
                <w:rFonts w:ascii="Arial" w:eastAsia="Arial" w:hAnsi="Arial" w:cs="Arial"/>
                <w:color w:val="000000"/>
              </w:rPr>
            </w:pPr>
          </w:p>
        </w:tc>
        <w:tc>
          <w:tcPr>
            <w:tcW w:w="1469" w:type="dxa"/>
            <w:shd w:val="clear" w:color="auto" w:fill="D9D9D9"/>
          </w:tcPr>
          <w:p w14:paraId="000001BB" w14:textId="77777777" w:rsidR="001C40B0" w:rsidRDefault="00291712">
            <w:pPr>
              <w:pBdr>
                <w:top w:val="nil"/>
                <w:left w:val="nil"/>
                <w:bottom w:val="nil"/>
                <w:right w:val="nil"/>
                <w:between w:val="nil"/>
              </w:pBdr>
              <w:spacing w:before="1"/>
              <w:ind w:left="351"/>
              <w:rPr>
                <w:rFonts w:ascii="Arial" w:eastAsia="Arial" w:hAnsi="Arial" w:cs="Arial"/>
                <w:b/>
                <w:bCs/>
                <w:color w:val="000000"/>
              </w:rPr>
            </w:pPr>
            <w:r>
              <w:rPr>
                <w:rFonts w:ascii="Arial" w:eastAsia="Arial" w:hAnsi="Arial" w:cs="Arial"/>
                <w:b/>
                <w:bCs/>
                <w:color w:val="000000"/>
              </w:rPr>
              <w:t>Muertes</w:t>
            </w:r>
          </w:p>
        </w:tc>
        <w:tc>
          <w:tcPr>
            <w:tcW w:w="1474" w:type="dxa"/>
            <w:shd w:val="clear" w:color="auto" w:fill="D9D9D9"/>
          </w:tcPr>
          <w:p w14:paraId="000001BC" w14:textId="77777777" w:rsidR="001C40B0" w:rsidRDefault="00291712">
            <w:pPr>
              <w:pBdr>
                <w:top w:val="nil"/>
                <w:left w:val="nil"/>
                <w:bottom w:val="nil"/>
                <w:right w:val="nil"/>
                <w:between w:val="nil"/>
              </w:pBdr>
              <w:spacing w:before="1"/>
              <w:ind w:right="339"/>
              <w:jc w:val="right"/>
              <w:rPr>
                <w:rFonts w:ascii="Arial" w:eastAsia="Arial" w:hAnsi="Arial" w:cs="Arial"/>
                <w:b/>
                <w:bCs/>
                <w:color w:val="000000"/>
              </w:rPr>
            </w:pPr>
            <w:r>
              <w:rPr>
                <w:rFonts w:ascii="Arial" w:eastAsia="Arial" w:hAnsi="Arial" w:cs="Arial"/>
                <w:b/>
                <w:bCs/>
                <w:color w:val="000000"/>
              </w:rPr>
              <w:t>Posibles</w:t>
            </w:r>
          </w:p>
        </w:tc>
        <w:tc>
          <w:tcPr>
            <w:tcW w:w="1474" w:type="dxa"/>
            <w:shd w:val="clear" w:color="auto" w:fill="D9D9D9"/>
          </w:tcPr>
          <w:p w14:paraId="000001BD" w14:textId="77777777" w:rsidR="001C40B0" w:rsidRDefault="00291712">
            <w:pPr>
              <w:pBdr>
                <w:top w:val="nil"/>
                <w:left w:val="nil"/>
                <w:bottom w:val="nil"/>
                <w:right w:val="nil"/>
                <w:between w:val="nil"/>
              </w:pBdr>
              <w:spacing w:before="1"/>
              <w:ind w:left="219"/>
              <w:rPr>
                <w:rFonts w:ascii="Arial" w:eastAsia="Arial" w:hAnsi="Arial" w:cs="Arial"/>
                <w:b/>
                <w:bCs/>
                <w:color w:val="000000"/>
              </w:rPr>
            </w:pPr>
            <w:r>
              <w:rPr>
                <w:rFonts w:ascii="Arial" w:eastAsia="Arial" w:hAnsi="Arial" w:cs="Arial"/>
                <w:b/>
                <w:bCs/>
                <w:color w:val="000000"/>
              </w:rPr>
              <w:t>Potenciales</w:t>
            </w:r>
          </w:p>
        </w:tc>
        <w:tc>
          <w:tcPr>
            <w:tcW w:w="1474" w:type="dxa"/>
            <w:shd w:val="clear" w:color="auto" w:fill="D9D9D9"/>
          </w:tcPr>
          <w:p w14:paraId="000001BE" w14:textId="77777777" w:rsidR="001C40B0" w:rsidRDefault="00291712">
            <w:pPr>
              <w:pBdr>
                <w:top w:val="nil"/>
                <w:left w:val="nil"/>
                <w:bottom w:val="nil"/>
                <w:right w:val="nil"/>
                <w:between w:val="nil"/>
              </w:pBdr>
              <w:spacing w:before="1"/>
              <w:ind w:right="317"/>
              <w:jc w:val="right"/>
              <w:rPr>
                <w:rFonts w:ascii="Arial" w:eastAsia="Arial" w:hAnsi="Arial" w:cs="Arial"/>
                <w:b/>
                <w:bCs/>
                <w:color w:val="000000"/>
              </w:rPr>
            </w:pPr>
            <w:r>
              <w:rPr>
                <w:rFonts w:ascii="Arial" w:eastAsia="Arial" w:hAnsi="Arial" w:cs="Arial"/>
                <w:b/>
                <w:bCs/>
                <w:color w:val="000000"/>
              </w:rPr>
              <w:t>Elegibles</w:t>
            </w:r>
          </w:p>
        </w:tc>
        <w:tc>
          <w:tcPr>
            <w:tcW w:w="1474" w:type="dxa"/>
            <w:shd w:val="clear" w:color="auto" w:fill="D9D9D9"/>
          </w:tcPr>
          <w:p w14:paraId="000001BF" w14:textId="77777777" w:rsidR="001C40B0" w:rsidRDefault="00291712">
            <w:pPr>
              <w:pBdr>
                <w:top w:val="nil"/>
                <w:left w:val="nil"/>
                <w:bottom w:val="nil"/>
                <w:right w:val="nil"/>
                <w:between w:val="nil"/>
              </w:pBdr>
              <w:spacing w:before="1"/>
              <w:ind w:left="299"/>
              <w:rPr>
                <w:rFonts w:ascii="Arial" w:eastAsia="Arial" w:hAnsi="Arial" w:cs="Arial"/>
                <w:b/>
                <w:bCs/>
                <w:color w:val="000000"/>
              </w:rPr>
            </w:pPr>
            <w:r>
              <w:rPr>
                <w:rFonts w:ascii="Arial" w:eastAsia="Arial" w:hAnsi="Arial" w:cs="Arial"/>
                <w:b/>
                <w:bCs/>
                <w:color w:val="000000"/>
              </w:rPr>
              <w:t>Donantes</w:t>
            </w:r>
          </w:p>
        </w:tc>
      </w:tr>
      <w:tr w:rsidR="001C40B0" w14:paraId="0C038393" w14:textId="77777777">
        <w:trPr>
          <w:trHeight w:val="311"/>
        </w:trPr>
        <w:tc>
          <w:tcPr>
            <w:tcW w:w="1474" w:type="dxa"/>
            <w:shd w:val="clear" w:color="auto" w:fill="D9D9D9"/>
          </w:tcPr>
          <w:p w14:paraId="000001C0" w14:textId="77777777" w:rsidR="001C40B0" w:rsidRDefault="00291712">
            <w:pPr>
              <w:pBdr>
                <w:top w:val="nil"/>
                <w:left w:val="nil"/>
                <w:bottom w:val="nil"/>
                <w:right w:val="nil"/>
                <w:between w:val="nil"/>
              </w:pBdr>
              <w:spacing w:before="6"/>
              <w:ind w:right="81"/>
              <w:jc w:val="right"/>
              <w:rPr>
                <w:rFonts w:ascii="Arial" w:eastAsia="Arial" w:hAnsi="Arial" w:cs="Arial"/>
                <w:b/>
                <w:bCs/>
                <w:color w:val="000000"/>
              </w:rPr>
            </w:pPr>
            <w:r>
              <w:rPr>
                <w:rFonts w:ascii="Arial" w:eastAsia="Arial" w:hAnsi="Arial" w:cs="Arial"/>
                <w:b/>
                <w:bCs/>
                <w:color w:val="000000"/>
              </w:rPr>
              <w:t>2008</w:t>
            </w:r>
          </w:p>
        </w:tc>
        <w:tc>
          <w:tcPr>
            <w:tcW w:w="1469" w:type="dxa"/>
          </w:tcPr>
          <w:p w14:paraId="000001C1" w14:textId="77777777" w:rsidR="001C40B0" w:rsidRDefault="00291712">
            <w:pPr>
              <w:pBdr>
                <w:top w:val="nil"/>
                <w:left w:val="nil"/>
                <w:bottom w:val="nil"/>
                <w:right w:val="nil"/>
                <w:between w:val="nil"/>
              </w:pBdr>
              <w:spacing w:before="5"/>
              <w:ind w:left="491"/>
              <w:rPr>
                <w:rFonts w:ascii="Arial" w:eastAsia="Arial" w:hAnsi="Arial" w:cs="Arial"/>
                <w:color w:val="000000"/>
              </w:rPr>
            </w:pPr>
            <w:r>
              <w:rPr>
                <w:rFonts w:ascii="Arial" w:eastAsia="Arial" w:hAnsi="Arial" w:cs="Arial"/>
                <w:color w:val="000000"/>
              </w:rPr>
              <w:t>196,943</w:t>
            </w:r>
          </w:p>
        </w:tc>
        <w:tc>
          <w:tcPr>
            <w:tcW w:w="1474" w:type="dxa"/>
          </w:tcPr>
          <w:p w14:paraId="000001C2" w14:textId="77777777" w:rsidR="001C40B0" w:rsidRDefault="00291712">
            <w:pPr>
              <w:pBdr>
                <w:top w:val="nil"/>
                <w:left w:val="nil"/>
                <w:bottom w:val="nil"/>
                <w:right w:val="nil"/>
                <w:between w:val="nil"/>
              </w:pBdr>
              <w:spacing w:before="5"/>
              <w:ind w:right="355"/>
              <w:jc w:val="right"/>
              <w:rPr>
                <w:rFonts w:ascii="Arial" w:eastAsia="Arial" w:hAnsi="Arial" w:cs="Arial"/>
                <w:color w:val="000000"/>
              </w:rPr>
            </w:pPr>
            <w:r>
              <w:rPr>
                <w:rFonts w:ascii="Arial" w:eastAsia="Arial" w:hAnsi="Arial" w:cs="Arial"/>
                <w:color w:val="000000"/>
              </w:rPr>
              <w:t>2,053</w:t>
            </w:r>
          </w:p>
        </w:tc>
        <w:tc>
          <w:tcPr>
            <w:tcW w:w="1474" w:type="dxa"/>
          </w:tcPr>
          <w:p w14:paraId="000001C3" w14:textId="77777777" w:rsidR="001C40B0" w:rsidRDefault="00291712">
            <w:pPr>
              <w:pBdr>
                <w:top w:val="nil"/>
                <w:left w:val="nil"/>
                <w:bottom w:val="nil"/>
                <w:right w:val="nil"/>
                <w:between w:val="nil"/>
              </w:pBdr>
              <w:spacing w:before="5"/>
              <w:ind w:left="605"/>
              <w:rPr>
                <w:rFonts w:ascii="Arial" w:eastAsia="Arial" w:hAnsi="Arial" w:cs="Arial"/>
                <w:color w:val="000000"/>
              </w:rPr>
            </w:pPr>
            <w:r>
              <w:rPr>
                <w:rFonts w:ascii="Arial" w:eastAsia="Arial" w:hAnsi="Arial" w:cs="Arial"/>
                <w:color w:val="000000"/>
              </w:rPr>
              <w:t>1,016</w:t>
            </w:r>
          </w:p>
        </w:tc>
        <w:tc>
          <w:tcPr>
            <w:tcW w:w="1474" w:type="dxa"/>
          </w:tcPr>
          <w:p w14:paraId="000001C4" w14:textId="77777777" w:rsidR="001C40B0" w:rsidRDefault="00291712">
            <w:pPr>
              <w:pBdr>
                <w:top w:val="nil"/>
                <w:left w:val="nil"/>
                <w:bottom w:val="nil"/>
                <w:right w:val="nil"/>
                <w:between w:val="nil"/>
              </w:pBdr>
              <w:spacing w:before="5"/>
              <w:ind w:right="445"/>
              <w:jc w:val="right"/>
              <w:rPr>
                <w:rFonts w:ascii="Arial" w:eastAsia="Arial" w:hAnsi="Arial" w:cs="Arial"/>
                <w:color w:val="000000"/>
              </w:rPr>
            </w:pPr>
            <w:r>
              <w:rPr>
                <w:rFonts w:ascii="Arial" w:eastAsia="Arial" w:hAnsi="Arial" w:cs="Arial"/>
                <w:color w:val="000000"/>
              </w:rPr>
              <w:t>698</w:t>
            </w:r>
          </w:p>
        </w:tc>
        <w:tc>
          <w:tcPr>
            <w:tcW w:w="1474" w:type="dxa"/>
          </w:tcPr>
          <w:p w14:paraId="000001C5" w14:textId="77777777" w:rsidR="001C40B0" w:rsidRDefault="00291712">
            <w:pPr>
              <w:pBdr>
                <w:top w:val="nil"/>
                <w:left w:val="nil"/>
                <w:bottom w:val="nil"/>
                <w:right w:val="nil"/>
                <w:between w:val="nil"/>
              </w:pBdr>
              <w:spacing w:before="5"/>
              <w:ind w:left="682"/>
              <w:rPr>
                <w:rFonts w:ascii="Arial" w:eastAsia="Arial" w:hAnsi="Arial" w:cs="Arial"/>
                <w:color w:val="000000"/>
              </w:rPr>
            </w:pPr>
            <w:r>
              <w:rPr>
                <w:rFonts w:ascii="Arial" w:eastAsia="Arial" w:hAnsi="Arial" w:cs="Arial"/>
                <w:color w:val="000000"/>
              </w:rPr>
              <w:t>363</w:t>
            </w:r>
          </w:p>
        </w:tc>
      </w:tr>
      <w:tr w:rsidR="001C40B0" w14:paraId="7DDB47FC" w14:textId="77777777">
        <w:trPr>
          <w:trHeight w:val="306"/>
        </w:trPr>
        <w:tc>
          <w:tcPr>
            <w:tcW w:w="1474" w:type="dxa"/>
            <w:shd w:val="clear" w:color="auto" w:fill="D9D9D9"/>
          </w:tcPr>
          <w:p w14:paraId="000001C6" w14:textId="77777777" w:rsidR="001C40B0" w:rsidRDefault="00291712">
            <w:pPr>
              <w:pBdr>
                <w:top w:val="nil"/>
                <w:left w:val="nil"/>
                <w:bottom w:val="nil"/>
                <w:right w:val="nil"/>
                <w:between w:val="nil"/>
              </w:pBdr>
              <w:spacing w:before="1"/>
              <w:ind w:right="81"/>
              <w:jc w:val="right"/>
              <w:rPr>
                <w:rFonts w:ascii="Arial" w:eastAsia="Arial" w:hAnsi="Arial" w:cs="Arial"/>
                <w:b/>
                <w:bCs/>
                <w:color w:val="000000"/>
              </w:rPr>
            </w:pPr>
            <w:r>
              <w:rPr>
                <w:rFonts w:ascii="Arial" w:eastAsia="Arial" w:hAnsi="Arial" w:cs="Arial"/>
                <w:b/>
                <w:bCs/>
                <w:color w:val="000000"/>
              </w:rPr>
              <w:t>2009</w:t>
            </w:r>
          </w:p>
        </w:tc>
        <w:tc>
          <w:tcPr>
            <w:tcW w:w="1469" w:type="dxa"/>
          </w:tcPr>
          <w:p w14:paraId="000001C7" w14:textId="77777777" w:rsidR="001C40B0" w:rsidRDefault="00291712">
            <w:pPr>
              <w:pBdr>
                <w:top w:val="nil"/>
                <w:left w:val="nil"/>
                <w:bottom w:val="nil"/>
                <w:right w:val="nil"/>
                <w:between w:val="nil"/>
              </w:pBdr>
              <w:ind w:left="491"/>
              <w:rPr>
                <w:rFonts w:ascii="Arial" w:eastAsia="Arial" w:hAnsi="Arial" w:cs="Arial"/>
                <w:color w:val="000000"/>
              </w:rPr>
            </w:pPr>
            <w:r>
              <w:rPr>
                <w:rFonts w:ascii="Arial" w:eastAsia="Arial" w:hAnsi="Arial" w:cs="Arial"/>
                <w:color w:val="000000"/>
              </w:rPr>
              <w:t>196,933</w:t>
            </w:r>
          </w:p>
        </w:tc>
        <w:tc>
          <w:tcPr>
            <w:tcW w:w="1474" w:type="dxa"/>
          </w:tcPr>
          <w:p w14:paraId="000001C8" w14:textId="77777777" w:rsidR="001C40B0" w:rsidRDefault="00291712">
            <w:pPr>
              <w:pBdr>
                <w:top w:val="nil"/>
                <w:left w:val="nil"/>
                <w:bottom w:val="nil"/>
                <w:right w:val="nil"/>
                <w:between w:val="nil"/>
              </w:pBdr>
              <w:ind w:right="355"/>
              <w:jc w:val="right"/>
              <w:rPr>
                <w:rFonts w:ascii="Arial" w:eastAsia="Arial" w:hAnsi="Arial" w:cs="Arial"/>
                <w:color w:val="000000"/>
              </w:rPr>
            </w:pPr>
            <w:r>
              <w:rPr>
                <w:rFonts w:ascii="Arial" w:eastAsia="Arial" w:hAnsi="Arial" w:cs="Arial"/>
                <w:color w:val="000000"/>
              </w:rPr>
              <w:t>2,108</w:t>
            </w:r>
          </w:p>
        </w:tc>
        <w:tc>
          <w:tcPr>
            <w:tcW w:w="1474" w:type="dxa"/>
          </w:tcPr>
          <w:p w14:paraId="000001C9" w14:textId="77777777" w:rsidR="001C40B0" w:rsidRDefault="00291712">
            <w:pPr>
              <w:pBdr>
                <w:top w:val="nil"/>
                <w:left w:val="nil"/>
                <w:bottom w:val="nil"/>
                <w:right w:val="nil"/>
                <w:between w:val="nil"/>
              </w:pBdr>
              <w:ind w:left="605"/>
              <w:rPr>
                <w:rFonts w:ascii="Arial" w:eastAsia="Arial" w:hAnsi="Arial" w:cs="Arial"/>
                <w:color w:val="000000"/>
              </w:rPr>
            </w:pPr>
            <w:r>
              <w:rPr>
                <w:rFonts w:ascii="Arial" w:eastAsia="Arial" w:hAnsi="Arial" w:cs="Arial"/>
                <w:color w:val="000000"/>
              </w:rPr>
              <w:t>1,187</w:t>
            </w:r>
          </w:p>
        </w:tc>
        <w:tc>
          <w:tcPr>
            <w:tcW w:w="1474" w:type="dxa"/>
          </w:tcPr>
          <w:p w14:paraId="000001CA" w14:textId="77777777" w:rsidR="001C40B0" w:rsidRDefault="00291712">
            <w:pPr>
              <w:pBdr>
                <w:top w:val="nil"/>
                <w:left w:val="nil"/>
                <w:bottom w:val="nil"/>
                <w:right w:val="nil"/>
                <w:between w:val="nil"/>
              </w:pBdr>
              <w:ind w:right="361"/>
              <w:jc w:val="right"/>
              <w:rPr>
                <w:rFonts w:ascii="Arial" w:eastAsia="Arial" w:hAnsi="Arial" w:cs="Arial"/>
                <w:color w:val="000000"/>
              </w:rPr>
            </w:pPr>
            <w:r>
              <w:rPr>
                <w:rFonts w:ascii="Arial" w:eastAsia="Arial" w:hAnsi="Arial" w:cs="Arial"/>
                <w:color w:val="000000"/>
              </w:rPr>
              <w:t>1,227</w:t>
            </w:r>
          </w:p>
        </w:tc>
        <w:tc>
          <w:tcPr>
            <w:tcW w:w="1474" w:type="dxa"/>
          </w:tcPr>
          <w:p w14:paraId="000001CB" w14:textId="77777777" w:rsidR="001C40B0" w:rsidRDefault="00291712">
            <w:pPr>
              <w:pBdr>
                <w:top w:val="nil"/>
                <w:left w:val="nil"/>
                <w:bottom w:val="nil"/>
                <w:right w:val="nil"/>
                <w:between w:val="nil"/>
              </w:pBdr>
              <w:ind w:left="682"/>
              <w:rPr>
                <w:rFonts w:ascii="Arial" w:eastAsia="Arial" w:hAnsi="Arial" w:cs="Arial"/>
                <w:color w:val="000000"/>
              </w:rPr>
            </w:pPr>
            <w:r>
              <w:rPr>
                <w:rFonts w:ascii="Arial" w:eastAsia="Arial" w:hAnsi="Arial" w:cs="Arial"/>
                <w:color w:val="000000"/>
              </w:rPr>
              <w:t>449</w:t>
            </w:r>
          </w:p>
        </w:tc>
      </w:tr>
      <w:tr w:rsidR="001C40B0" w14:paraId="6065877B" w14:textId="77777777">
        <w:trPr>
          <w:trHeight w:val="311"/>
        </w:trPr>
        <w:tc>
          <w:tcPr>
            <w:tcW w:w="1474" w:type="dxa"/>
            <w:shd w:val="clear" w:color="auto" w:fill="D9D9D9"/>
          </w:tcPr>
          <w:p w14:paraId="000001CC" w14:textId="77777777" w:rsidR="001C40B0" w:rsidRDefault="00291712">
            <w:pPr>
              <w:pBdr>
                <w:top w:val="nil"/>
                <w:left w:val="nil"/>
                <w:bottom w:val="nil"/>
                <w:right w:val="nil"/>
                <w:between w:val="nil"/>
              </w:pBdr>
              <w:spacing w:before="1"/>
              <w:ind w:right="81"/>
              <w:jc w:val="right"/>
              <w:rPr>
                <w:rFonts w:ascii="Arial" w:eastAsia="Arial" w:hAnsi="Arial" w:cs="Arial"/>
                <w:b/>
                <w:bCs/>
                <w:color w:val="000000"/>
              </w:rPr>
            </w:pPr>
            <w:r>
              <w:rPr>
                <w:rFonts w:ascii="Arial" w:eastAsia="Arial" w:hAnsi="Arial" w:cs="Arial"/>
                <w:b/>
                <w:bCs/>
                <w:color w:val="000000"/>
              </w:rPr>
              <w:t>2010</w:t>
            </w:r>
          </w:p>
        </w:tc>
        <w:tc>
          <w:tcPr>
            <w:tcW w:w="1469" w:type="dxa"/>
          </w:tcPr>
          <w:p w14:paraId="000001CD" w14:textId="77777777" w:rsidR="001C40B0" w:rsidRDefault="00291712">
            <w:pPr>
              <w:pBdr>
                <w:top w:val="nil"/>
                <w:left w:val="nil"/>
                <w:bottom w:val="nil"/>
                <w:right w:val="nil"/>
                <w:between w:val="nil"/>
              </w:pBdr>
              <w:ind w:left="491"/>
              <w:rPr>
                <w:rFonts w:ascii="Arial" w:eastAsia="Arial" w:hAnsi="Arial" w:cs="Arial"/>
                <w:color w:val="000000"/>
              </w:rPr>
            </w:pPr>
            <w:r>
              <w:rPr>
                <w:rFonts w:ascii="Arial" w:eastAsia="Arial" w:hAnsi="Arial" w:cs="Arial"/>
                <w:color w:val="000000"/>
              </w:rPr>
              <w:t>200,522</w:t>
            </w:r>
          </w:p>
        </w:tc>
        <w:tc>
          <w:tcPr>
            <w:tcW w:w="1474" w:type="dxa"/>
          </w:tcPr>
          <w:p w14:paraId="000001CE" w14:textId="77777777" w:rsidR="001C40B0" w:rsidRDefault="00291712">
            <w:pPr>
              <w:pBdr>
                <w:top w:val="nil"/>
                <w:left w:val="nil"/>
                <w:bottom w:val="nil"/>
                <w:right w:val="nil"/>
                <w:between w:val="nil"/>
              </w:pBdr>
              <w:ind w:right="355"/>
              <w:jc w:val="right"/>
              <w:rPr>
                <w:rFonts w:ascii="Arial" w:eastAsia="Arial" w:hAnsi="Arial" w:cs="Arial"/>
                <w:color w:val="000000"/>
              </w:rPr>
            </w:pPr>
            <w:r>
              <w:rPr>
                <w:rFonts w:ascii="Arial" w:eastAsia="Arial" w:hAnsi="Arial" w:cs="Arial"/>
                <w:color w:val="000000"/>
              </w:rPr>
              <w:t>2,411</w:t>
            </w:r>
          </w:p>
        </w:tc>
        <w:tc>
          <w:tcPr>
            <w:tcW w:w="1474" w:type="dxa"/>
          </w:tcPr>
          <w:p w14:paraId="000001CF" w14:textId="77777777" w:rsidR="001C40B0" w:rsidRDefault="00291712">
            <w:pPr>
              <w:pBdr>
                <w:top w:val="nil"/>
                <w:left w:val="nil"/>
                <w:bottom w:val="nil"/>
                <w:right w:val="nil"/>
                <w:between w:val="nil"/>
              </w:pBdr>
              <w:ind w:left="605"/>
              <w:rPr>
                <w:rFonts w:ascii="Arial" w:eastAsia="Arial" w:hAnsi="Arial" w:cs="Arial"/>
                <w:color w:val="000000"/>
              </w:rPr>
            </w:pPr>
            <w:r>
              <w:rPr>
                <w:rFonts w:ascii="Arial" w:eastAsia="Arial" w:hAnsi="Arial" w:cs="Arial"/>
                <w:color w:val="000000"/>
              </w:rPr>
              <w:t>1,182</w:t>
            </w:r>
          </w:p>
        </w:tc>
        <w:tc>
          <w:tcPr>
            <w:tcW w:w="1474" w:type="dxa"/>
          </w:tcPr>
          <w:p w14:paraId="000001D0" w14:textId="77777777" w:rsidR="001C40B0" w:rsidRDefault="00291712">
            <w:pPr>
              <w:pBdr>
                <w:top w:val="nil"/>
                <w:left w:val="nil"/>
                <w:bottom w:val="nil"/>
                <w:right w:val="nil"/>
                <w:between w:val="nil"/>
              </w:pBdr>
              <w:ind w:right="361"/>
              <w:jc w:val="right"/>
              <w:rPr>
                <w:rFonts w:ascii="Arial" w:eastAsia="Arial" w:hAnsi="Arial" w:cs="Arial"/>
                <w:color w:val="000000"/>
              </w:rPr>
            </w:pPr>
            <w:r>
              <w:rPr>
                <w:rFonts w:ascii="Arial" w:eastAsia="Arial" w:hAnsi="Arial" w:cs="Arial"/>
                <w:color w:val="000000"/>
              </w:rPr>
              <w:t>1,297</w:t>
            </w:r>
          </w:p>
        </w:tc>
        <w:tc>
          <w:tcPr>
            <w:tcW w:w="1474" w:type="dxa"/>
          </w:tcPr>
          <w:p w14:paraId="000001D1" w14:textId="77777777" w:rsidR="001C40B0" w:rsidRDefault="00291712">
            <w:pPr>
              <w:pBdr>
                <w:top w:val="nil"/>
                <w:left w:val="nil"/>
                <w:bottom w:val="nil"/>
                <w:right w:val="nil"/>
                <w:between w:val="nil"/>
              </w:pBdr>
              <w:ind w:left="682"/>
              <w:rPr>
                <w:rFonts w:ascii="Arial" w:eastAsia="Arial" w:hAnsi="Arial" w:cs="Arial"/>
                <w:color w:val="000000"/>
              </w:rPr>
            </w:pPr>
            <w:r>
              <w:rPr>
                <w:rFonts w:ascii="Arial" w:eastAsia="Arial" w:hAnsi="Arial" w:cs="Arial"/>
                <w:color w:val="000000"/>
              </w:rPr>
              <w:t>439</w:t>
            </w:r>
          </w:p>
        </w:tc>
      </w:tr>
      <w:tr w:rsidR="001C40B0" w14:paraId="320B5A1E" w14:textId="77777777">
        <w:trPr>
          <w:trHeight w:val="306"/>
        </w:trPr>
        <w:tc>
          <w:tcPr>
            <w:tcW w:w="1474" w:type="dxa"/>
            <w:shd w:val="clear" w:color="auto" w:fill="D9D9D9"/>
          </w:tcPr>
          <w:p w14:paraId="000001D2" w14:textId="77777777" w:rsidR="001C40B0" w:rsidRDefault="00291712">
            <w:pPr>
              <w:pBdr>
                <w:top w:val="nil"/>
                <w:left w:val="nil"/>
                <w:bottom w:val="nil"/>
                <w:right w:val="nil"/>
                <w:between w:val="nil"/>
              </w:pBdr>
              <w:spacing w:before="1"/>
              <w:ind w:right="81"/>
              <w:jc w:val="right"/>
              <w:rPr>
                <w:rFonts w:ascii="Arial" w:eastAsia="Arial" w:hAnsi="Arial" w:cs="Arial"/>
                <w:b/>
                <w:bCs/>
                <w:color w:val="000000"/>
              </w:rPr>
            </w:pPr>
            <w:r>
              <w:rPr>
                <w:rFonts w:ascii="Arial" w:eastAsia="Arial" w:hAnsi="Arial" w:cs="Arial"/>
                <w:b/>
                <w:bCs/>
                <w:color w:val="000000"/>
              </w:rPr>
              <w:t>2011</w:t>
            </w:r>
          </w:p>
        </w:tc>
        <w:tc>
          <w:tcPr>
            <w:tcW w:w="1469" w:type="dxa"/>
          </w:tcPr>
          <w:p w14:paraId="000001D3" w14:textId="77777777" w:rsidR="001C40B0" w:rsidRDefault="00291712">
            <w:pPr>
              <w:pBdr>
                <w:top w:val="nil"/>
                <w:left w:val="nil"/>
                <w:bottom w:val="nil"/>
                <w:right w:val="nil"/>
                <w:between w:val="nil"/>
              </w:pBdr>
              <w:ind w:left="491"/>
              <w:rPr>
                <w:rFonts w:ascii="Arial" w:eastAsia="Arial" w:hAnsi="Arial" w:cs="Arial"/>
                <w:color w:val="000000"/>
              </w:rPr>
            </w:pPr>
            <w:r>
              <w:rPr>
                <w:rFonts w:ascii="Arial" w:eastAsia="Arial" w:hAnsi="Arial" w:cs="Arial"/>
                <w:color w:val="000000"/>
              </w:rPr>
              <w:t>195,823</w:t>
            </w:r>
          </w:p>
        </w:tc>
        <w:tc>
          <w:tcPr>
            <w:tcW w:w="1474" w:type="dxa"/>
          </w:tcPr>
          <w:p w14:paraId="000001D4" w14:textId="77777777" w:rsidR="001C40B0" w:rsidRDefault="00291712">
            <w:pPr>
              <w:pBdr>
                <w:top w:val="nil"/>
                <w:left w:val="nil"/>
                <w:bottom w:val="nil"/>
                <w:right w:val="nil"/>
                <w:between w:val="nil"/>
              </w:pBdr>
              <w:ind w:right="355"/>
              <w:jc w:val="right"/>
              <w:rPr>
                <w:rFonts w:ascii="Arial" w:eastAsia="Arial" w:hAnsi="Arial" w:cs="Arial"/>
                <w:color w:val="000000"/>
              </w:rPr>
            </w:pPr>
            <w:r>
              <w:rPr>
                <w:rFonts w:ascii="Arial" w:eastAsia="Arial" w:hAnsi="Arial" w:cs="Arial"/>
                <w:color w:val="000000"/>
              </w:rPr>
              <w:t>2,250</w:t>
            </w:r>
          </w:p>
        </w:tc>
        <w:tc>
          <w:tcPr>
            <w:tcW w:w="1474" w:type="dxa"/>
          </w:tcPr>
          <w:p w14:paraId="000001D5" w14:textId="77777777" w:rsidR="001C40B0" w:rsidRDefault="00291712">
            <w:pPr>
              <w:pBdr>
                <w:top w:val="nil"/>
                <w:left w:val="nil"/>
                <w:bottom w:val="nil"/>
                <w:right w:val="nil"/>
                <w:between w:val="nil"/>
              </w:pBdr>
              <w:ind w:left="605"/>
              <w:rPr>
                <w:rFonts w:ascii="Arial" w:eastAsia="Arial" w:hAnsi="Arial" w:cs="Arial"/>
                <w:color w:val="000000"/>
              </w:rPr>
            </w:pPr>
            <w:r>
              <w:rPr>
                <w:rFonts w:ascii="Arial" w:eastAsia="Arial" w:hAnsi="Arial" w:cs="Arial"/>
                <w:color w:val="000000"/>
              </w:rPr>
              <w:t>1,061</w:t>
            </w:r>
          </w:p>
        </w:tc>
        <w:tc>
          <w:tcPr>
            <w:tcW w:w="1474" w:type="dxa"/>
          </w:tcPr>
          <w:p w14:paraId="000001D6" w14:textId="77777777" w:rsidR="001C40B0" w:rsidRDefault="00291712">
            <w:pPr>
              <w:pBdr>
                <w:top w:val="nil"/>
                <w:left w:val="nil"/>
                <w:bottom w:val="nil"/>
                <w:right w:val="nil"/>
                <w:between w:val="nil"/>
              </w:pBdr>
              <w:ind w:right="361"/>
              <w:jc w:val="right"/>
              <w:rPr>
                <w:rFonts w:ascii="Arial" w:eastAsia="Arial" w:hAnsi="Arial" w:cs="Arial"/>
                <w:color w:val="000000"/>
              </w:rPr>
            </w:pPr>
            <w:r>
              <w:rPr>
                <w:rFonts w:ascii="Arial" w:eastAsia="Arial" w:hAnsi="Arial" w:cs="Arial"/>
                <w:color w:val="000000"/>
              </w:rPr>
              <w:t>1,218</w:t>
            </w:r>
          </w:p>
        </w:tc>
        <w:tc>
          <w:tcPr>
            <w:tcW w:w="1474" w:type="dxa"/>
          </w:tcPr>
          <w:p w14:paraId="000001D7" w14:textId="77777777" w:rsidR="001C40B0" w:rsidRDefault="00291712">
            <w:pPr>
              <w:pBdr>
                <w:top w:val="nil"/>
                <w:left w:val="nil"/>
                <w:bottom w:val="nil"/>
                <w:right w:val="nil"/>
                <w:between w:val="nil"/>
              </w:pBdr>
              <w:ind w:left="682"/>
              <w:rPr>
                <w:rFonts w:ascii="Arial" w:eastAsia="Arial" w:hAnsi="Arial" w:cs="Arial"/>
                <w:color w:val="000000"/>
              </w:rPr>
            </w:pPr>
            <w:r>
              <w:rPr>
                <w:rFonts w:ascii="Arial" w:eastAsia="Arial" w:hAnsi="Arial" w:cs="Arial"/>
                <w:color w:val="000000"/>
              </w:rPr>
              <w:t>392</w:t>
            </w:r>
          </w:p>
        </w:tc>
      </w:tr>
      <w:tr w:rsidR="001C40B0" w14:paraId="788D01F8" w14:textId="77777777">
        <w:trPr>
          <w:trHeight w:val="311"/>
        </w:trPr>
        <w:tc>
          <w:tcPr>
            <w:tcW w:w="1474" w:type="dxa"/>
            <w:shd w:val="clear" w:color="auto" w:fill="D9D9D9"/>
          </w:tcPr>
          <w:p w14:paraId="000001D8" w14:textId="77777777" w:rsidR="001C40B0" w:rsidRDefault="00291712">
            <w:pPr>
              <w:pBdr>
                <w:top w:val="nil"/>
                <w:left w:val="nil"/>
                <w:bottom w:val="nil"/>
                <w:right w:val="nil"/>
                <w:between w:val="nil"/>
              </w:pBdr>
              <w:spacing w:before="1"/>
              <w:ind w:right="81"/>
              <w:jc w:val="right"/>
              <w:rPr>
                <w:rFonts w:ascii="Arial" w:eastAsia="Arial" w:hAnsi="Arial" w:cs="Arial"/>
                <w:b/>
                <w:bCs/>
                <w:color w:val="000000"/>
              </w:rPr>
            </w:pPr>
            <w:r>
              <w:rPr>
                <w:rFonts w:ascii="Arial" w:eastAsia="Arial" w:hAnsi="Arial" w:cs="Arial"/>
                <w:b/>
                <w:bCs/>
                <w:color w:val="000000"/>
              </w:rPr>
              <w:t>2012</w:t>
            </w:r>
          </w:p>
        </w:tc>
        <w:tc>
          <w:tcPr>
            <w:tcW w:w="1469" w:type="dxa"/>
          </w:tcPr>
          <w:p w14:paraId="000001D9" w14:textId="77777777" w:rsidR="001C40B0" w:rsidRDefault="00291712">
            <w:pPr>
              <w:pBdr>
                <w:top w:val="nil"/>
                <w:left w:val="nil"/>
                <w:bottom w:val="nil"/>
                <w:right w:val="nil"/>
                <w:between w:val="nil"/>
              </w:pBdr>
              <w:ind w:left="491"/>
              <w:rPr>
                <w:rFonts w:ascii="Arial" w:eastAsia="Arial" w:hAnsi="Arial" w:cs="Arial"/>
                <w:color w:val="000000"/>
              </w:rPr>
            </w:pPr>
            <w:r>
              <w:rPr>
                <w:rFonts w:ascii="Arial" w:eastAsia="Arial" w:hAnsi="Arial" w:cs="Arial"/>
                <w:color w:val="000000"/>
              </w:rPr>
              <w:t>199,756</w:t>
            </w:r>
          </w:p>
        </w:tc>
        <w:tc>
          <w:tcPr>
            <w:tcW w:w="1474" w:type="dxa"/>
          </w:tcPr>
          <w:p w14:paraId="000001DA" w14:textId="77777777" w:rsidR="001C40B0" w:rsidRDefault="00291712">
            <w:pPr>
              <w:pBdr>
                <w:top w:val="nil"/>
                <w:left w:val="nil"/>
                <w:bottom w:val="nil"/>
                <w:right w:val="nil"/>
                <w:between w:val="nil"/>
              </w:pBdr>
              <w:ind w:right="355"/>
              <w:jc w:val="right"/>
              <w:rPr>
                <w:rFonts w:ascii="Arial" w:eastAsia="Arial" w:hAnsi="Arial" w:cs="Arial"/>
                <w:color w:val="000000"/>
              </w:rPr>
            </w:pPr>
            <w:r>
              <w:rPr>
                <w:rFonts w:ascii="Arial" w:eastAsia="Arial" w:hAnsi="Arial" w:cs="Arial"/>
                <w:color w:val="000000"/>
              </w:rPr>
              <w:t>2,347</w:t>
            </w:r>
          </w:p>
        </w:tc>
        <w:tc>
          <w:tcPr>
            <w:tcW w:w="1474" w:type="dxa"/>
          </w:tcPr>
          <w:p w14:paraId="000001DB" w14:textId="77777777" w:rsidR="001C40B0" w:rsidRDefault="00291712">
            <w:pPr>
              <w:pBdr>
                <w:top w:val="nil"/>
                <w:left w:val="nil"/>
                <w:bottom w:val="nil"/>
                <w:right w:val="nil"/>
                <w:between w:val="nil"/>
              </w:pBdr>
              <w:ind w:left="605"/>
              <w:rPr>
                <w:rFonts w:ascii="Arial" w:eastAsia="Arial" w:hAnsi="Arial" w:cs="Arial"/>
                <w:color w:val="000000"/>
              </w:rPr>
            </w:pPr>
            <w:r>
              <w:rPr>
                <w:rFonts w:ascii="Arial" w:eastAsia="Arial" w:hAnsi="Arial" w:cs="Arial"/>
                <w:color w:val="000000"/>
              </w:rPr>
              <w:t>1,087</w:t>
            </w:r>
          </w:p>
        </w:tc>
        <w:tc>
          <w:tcPr>
            <w:tcW w:w="1474" w:type="dxa"/>
          </w:tcPr>
          <w:p w14:paraId="000001DC" w14:textId="77777777" w:rsidR="001C40B0" w:rsidRDefault="00291712">
            <w:pPr>
              <w:pBdr>
                <w:top w:val="nil"/>
                <w:left w:val="nil"/>
                <w:bottom w:val="nil"/>
                <w:right w:val="nil"/>
                <w:between w:val="nil"/>
              </w:pBdr>
              <w:ind w:right="445"/>
              <w:jc w:val="right"/>
              <w:rPr>
                <w:rFonts w:ascii="Arial" w:eastAsia="Arial" w:hAnsi="Arial" w:cs="Arial"/>
                <w:color w:val="000000"/>
              </w:rPr>
            </w:pPr>
            <w:r>
              <w:rPr>
                <w:rFonts w:ascii="Arial" w:eastAsia="Arial" w:hAnsi="Arial" w:cs="Arial"/>
                <w:color w:val="000000"/>
              </w:rPr>
              <w:t>995</w:t>
            </w:r>
          </w:p>
        </w:tc>
        <w:tc>
          <w:tcPr>
            <w:tcW w:w="1474" w:type="dxa"/>
          </w:tcPr>
          <w:p w14:paraId="000001DD" w14:textId="77777777" w:rsidR="001C40B0" w:rsidRDefault="00291712">
            <w:pPr>
              <w:pBdr>
                <w:top w:val="nil"/>
                <w:left w:val="nil"/>
                <w:bottom w:val="nil"/>
                <w:right w:val="nil"/>
                <w:between w:val="nil"/>
              </w:pBdr>
              <w:ind w:left="682"/>
              <w:rPr>
                <w:rFonts w:ascii="Arial" w:eastAsia="Arial" w:hAnsi="Arial" w:cs="Arial"/>
                <w:color w:val="000000"/>
              </w:rPr>
            </w:pPr>
            <w:r>
              <w:rPr>
                <w:rFonts w:ascii="Arial" w:eastAsia="Arial" w:hAnsi="Arial" w:cs="Arial"/>
                <w:color w:val="000000"/>
              </w:rPr>
              <w:t>373</w:t>
            </w:r>
          </w:p>
        </w:tc>
      </w:tr>
      <w:tr w:rsidR="001C40B0" w14:paraId="54917576" w14:textId="77777777">
        <w:trPr>
          <w:trHeight w:val="306"/>
        </w:trPr>
        <w:tc>
          <w:tcPr>
            <w:tcW w:w="1474" w:type="dxa"/>
            <w:shd w:val="clear" w:color="auto" w:fill="D9D9D9"/>
          </w:tcPr>
          <w:p w14:paraId="000001DE" w14:textId="77777777" w:rsidR="001C40B0" w:rsidRDefault="00291712">
            <w:pPr>
              <w:pBdr>
                <w:top w:val="nil"/>
                <w:left w:val="nil"/>
                <w:bottom w:val="nil"/>
                <w:right w:val="nil"/>
                <w:between w:val="nil"/>
              </w:pBdr>
              <w:spacing w:before="1"/>
              <w:ind w:right="81"/>
              <w:jc w:val="right"/>
              <w:rPr>
                <w:rFonts w:ascii="Arial" w:eastAsia="Arial" w:hAnsi="Arial" w:cs="Arial"/>
                <w:b/>
                <w:bCs/>
                <w:color w:val="000000"/>
              </w:rPr>
            </w:pPr>
            <w:r>
              <w:rPr>
                <w:rFonts w:ascii="Arial" w:eastAsia="Arial" w:hAnsi="Arial" w:cs="Arial"/>
                <w:b/>
                <w:bCs/>
                <w:color w:val="000000"/>
              </w:rPr>
              <w:t>2013</w:t>
            </w:r>
          </w:p>
        </w:tc>
        <w:tc>
          <w:tcPr>
            <w:tcW w:w="1469" w:type="dxa"/>
          </w:tcPr>
          <w:p w14:paraId="000001DF" w14:textId="77777777" w:rsidR="001C40B0" w:rsidRDefault="00291712">
            <w:pPr>
              <w:pBdr>
                <w:top w:val="nil"/>
                <w:left w:val="nil"/>
                <w:bottom w:val="nil"/>
                <w:right w:val="nil"/>
                <w:between w:val="nil"/>
              </w:pBdr>
              <w:ind w:left="491"/>
              <w:rPr>
                <w:rFonts w:ascii="Arial" w:eastAsia="Arial" w:hAnsi="Arial" w:cs="Arial"/>
                <w:color w:val="000000"/>
              </w:rPr>
            </w:pPr>
            <w:r>
              <w:rPr>
                <w:rFonts w:ascii="Arial" w:eastAsia="Arial" w:hAnsi="Arial" w:cs="Arial"/>
                <w:color w:val="000000"/>
              </w:rPr>
              <w:t>203,071</w:t>
            </w:r>
          </w:p>
        </w:tc>
        <w:tc>
          <w:tcPr>
            <w:tcW w:w="1474" w:type="dxa"/>
          </w:tcPr>
          <w:p w14:paraId="000001E0" w14:textId="77777777" w:rsidR="001C40B0" w:rsidRDefault="00291712">
            <w:pPr>
              <w:pBdr>
                <w:top w:val="nil"/>
                <w:left w:val="nil"/>
                <w:bottom w:val="nil"/>
                <w:right w:val="nil"/>
                <w:between w:val="nil"/>
              </w:pBdr>
              <w:ind w:right="355"/>
              <w:jc w:val="right"/>
              <w:rPr>
                <w:rFonts w:ascii="Arial" w:eastAsia="Arial" w:hAnsi="Arial" w:cs="Arial"/>
                <w:color w:val="000000"/>
              </w:rPr>
            </w:pPr>
            <w:r>
              <w:rPr>
                <w:rFonts w:ascii="Arial" w:eastAsia="Arial" w:hAnsi="Arial" w:cs="Arial"/>
                <w:color w:val="000000"/>
              </w:rPr>
              <w:t>2,616</w:t>
            </w:r>
          </w:p>
        </w:tc>
        <w:tc>
          <w:tcPr>
            <w:tcW w:w="1474" w:type="dxa"/>
          </w:tcPr>
          <w:p w14:paraId="000001E1" w14:textId="77777777" w:rsidR="001C40B0" w:rsidRDefault="00291712">
            <w:pPr>
              <w:pBdr>
                <w:top w:val="nil"/>
                <w:left w:val="nil"/>
                <w:bottom w:val="nil"/>
                <w:right w:val="nil"/>
                <w:between w:val="nil"/>
              </w:pBdr>
              <w:ind w:left="688"/>
              <w:rPr>
                <w:rFonts w:ascii="Arial" w:eastAsia="Arial" w:hAnsi="Arial" w:cs="Arial"/>
                <w:color w:val="000000"/>
              </w:rPr>
            </w:pPr>
            <w:r>
              <w:rPr>
                <w:rFonts w:ascii="Arial" w:eastAsia="Arial" w:hAnsi="Arial" w:cs="Arial"/>
                <w:color w:val="000000"/>
              </w:rPr>
              <w:t>908</w:t>
            </w:r>
          </w:p>
        </w:tc>
        <w:tc>
          <w:tcPr>
            <w:tcW w:w="1474" w:type="dxa"/>
          </w:tcPr>
          <w:p w14:paraId="000001E2" w14:textId="77777777" w:rsidR="001C40B0" w:rsidRDefault="00291712">
            <w:pPr>
              <w:pBdr>
                <w:top w:val="nil"/>
                <w:left w:val="nil"/>
                <w:bottom w:val="nil"/>
                <w:right w:val="nil"/>
                <w:between w:val="nil"/>
              </w:pBdr>
              <w:ind w:right="445"/>
              <w:jc w:val="right"/>
              <w:rPr>
                <w:rFonts w:ascii="Arial" w:eastAsia="Arial" w:hAnsi="Arial" w:cs="Arial"/>
                <w:color w:val="000000"/>
              </w:rPr>
            </w:pPr>
            <w:r>
              <w:rPr>
                <w:rFonts w:ascii="Arial" w:eastAsia="Arial" w:hAnsi="Arial" w:cs="Arial"/>
                <w:color w:val="000000"/>
              </w:rPr>
              <w:t>904</w:t>
            </w:r>
          </w:p>
        </w:tc>
        <w:tc>
          <w:tcPr>
            <w:tcW w:w="1474" w:type="dxa"/>
          </w:tcPr>
          <w:p w14:paraId="000001E3" w14:textId="77777777" w:rsidR="001C40B0" w:rsidRDefault="00291712">
            <w:pPr>
              <w:pBdr>
                <w:top w:val="nil"/>
                <w:left w:val="nil"/>
                <w:bottom w:val="nil"/>
                <w:right w:val="nil"/>
                <w:between w:val="nil"/>
              </w:pBdr>
              <w:ind w:left="682"/>
              <w:rPr>
                <w:rFonts w:ascii="Arial" w:eastAsia="Arial" w:hAnsi="Arial" w:cs="Arial"/>
                <w:color w:val="000000"/>
              </w:rPr>
            </w:pPr>
            <w:r>
              <w:rPr>
                <w:rFonts w:ascii="Arial" w:eastAsia="Arial" w:hAnsi="Arial" w:cs="Arial"/>
                <w:color w:val="000000"/>
              </w:rPr>
              <w:t>329</w:t>
            </w:r>
          </w:p>
        </w:tc>
      </w:tr>
      <w:tr w:rsidR="001C40B0" w14:paraId="6B541F22" w14:textId="77777777">
        <w:trPr>
          <w:trHeight w:val="311"/>
        </w:trPr>
        <w:tc>
          <w:tcPr>
            <w:tcW w:w="1474" w:type="dxa"/>
            <w:shd w:val="clear" w:color="auto" w:fill="D9D9D9"/>
          </w:tcPr>
          <w:p w14:paraId="000001E4" w14:textId="77777777" w:rsidR="001C40B0" w:rsidRDefault="00291712">
            <w:pPr>
              <w:pBdr>
                <w:top w:val="nil"/>
                <w:left w:val="nil"/>
                <w:bottom w:val="nil"/>
                <w:right w:val="nil"/>
                <w:between w:val="nil"/>
              </w:pBdr>
              <w:spacing w:before="1"/>
              <w:ind w:right="81"/>
              <w:jc w:val="right"/>
              <w:rPr>
                <w:rFonts w:ascii="Arial" w:eastAsia="Arial" w:hAnsi="Arial" w:cs="Arial"/>
                <w:b/>
                <w:bCs/>
                <w:color w:val="000000"/>
              </w:rPr>
            </w:pPr>
            <w:r>
              <w:rPr>
                <w:rFonts w:ascii="Arial" w:eastAsia="Arial" w:hAnsi="Arial" w:cs="Arial"/>
                <w:b/>
                <w:bCs/>
                <w:color w:val="000000"/>
              </w:rPr>
              <w:t>2014</w:t>
            </w:r>
          </w:p>
        </w:tc>
        <w:tc>
          <w:tcPr>
            <w:tcW w:w="1469" w:type="dxa"/>
          </w:tcPr>
          <w:p w14:paraId="000001E5" w14:textId="77777777" w:rsidR="001C40B0" w:rsidRDefault="00291712">
            <w:pPr>
              <w:pBdr>
                <w:top w:val="nil"/>
                <w:left w:val="nil"/>
                <w:bottom w:val="nil"/>
                <w:right w:val="nil"/>
                <w:between w:val="nil"/>
              </w:pBdr>
              <w:ind w:left="491"/>
              <w:rPr>
                <w:rFonts w:ascii="Arial" w:eastAsia="Arial" w:hAnsi="Arial" w:cs="Arial"/>
                <w:color w:val="000000"/>
              </w:rPr>
            </w:pPr>
            <w:r>
              <w:rPr>
                <w:rFonts w:ascii="Arial" w:eastAsia="Arial" w:hAnsi="Arial" w:cs="Arial"/>
                <w:color w:val="000000"/>
              </w:rPr>
              <w:t>210,051</w:t>
            </w:r>
          </w:p>
        </w:tc>
        <w:tc>
          <w:tcPr>
            <w:tcW w:w="1474" w:type="dxa"/>
          </w:tcPr>
          <w:p w14:paraId="000001E6" w14:textId="77777777" w:rsidR="001C40B0" w:rsidRDefault="00291712">
            <w:pPr>
              <w:pBdr>
                <w:top w:val="nil"/>
                <w:left w:val="nil"/>
                <w:bottom w:val="nil"/>
                <w:right w:val="nil"/>
                <w:between w:val="nil"/>
              </w:pBdr>
              <w:ind w:right="355"/>
              <w:jc w:val="right"/>
              <w:rPr>
                <w:rFonts w:ascii="Arial" w:eastAsia="Arial" w:hAnsi="Arial" w:cs="Arial"/>
                <w:color w:val="000000"/>
              </w:rPr>
            </w:pPr>
            <w:r>
              <w:rPr>
                <w:rFonts w:ascii="Arial" w:eastAsia="Arial" w:hAnsi="Arial" w:cs="Arial"/>
                <w:color w:val="000000"/>
              </w:rPr>
              <w:t>2,735</w:t>
            </w:r>
          </w:p>
        </w:tc>
        <w:tc>
          <w:tcPr>
            <w:tcW w:w="1474" w:type="dxa"/>
          </w:tcPr>
          <w:p w14:paraId="000001E7" w14:textId="77777777" w:rsidR="001C40B0" w:rsidRDefault="00291712">
            <w:pPr>
              <w:pBdr>
                <w:top w:val="nil"/>
                <w:left w:val="nil"/>
                <w:bottom w:val="nil"/>
                <w:right w:val="nil"/>
                <w:between w:val="nil"/>
              </w:pBdr>
              <w:ind w:left="688"/>
              <w:rPr>
                <w:rFonts w:ascii="Arial" w:eastAsia="Arial" w:hAnsi="Arial" w:cs="Arial"/>
                <w:color w:val="000000"/>
              </w:rPr>
            </w:pPr>
            <w:r>
              <w:rPr>
                <w:rFonts w:ascii="Arial" w:eastAsia="Arial" w:hAnsi="Arial" w:cs="Arial"/>
                <w:color w:val="000000"/>
              </w:rPr>
              <w:t>978</w:t>
            </w:r>
          </w:p>
        </w:tc>
        <w:tc>
          <w:tcPr>
            <w:tcW w:w="1474" w:type="dxa"/>
          </w:tcPr>
          <w:p w14:paraId="000001E8" w14:textId="77777777" w:rsidR="001C40B0" w:rsidRDefault="00291712">
            <w:pPr>
              <w:pBdr>
                <w:top w:val="nil"/>
                <w:left w:val="nil"/>
                <w:bottom w:val="nil"/>
                <w:right w:val="nil"/>
                <w:between w:val="nil"/>
              </w:pBdr>
              <w:ind w:right="445"/>
              <w:jc w:val="right"/>
              <w:rPr>
                <w:rFonts w:ascii="Arial" w:eastAsia="Arial" w:hAnsi="Arial" w:cs="Arial"/>
                <w:color w:val="000000"/>
              </w:rPr>
            </w:pPr>
            <w:r>
              <w:rPr>
                <w:rFonts w:ascii="Arial" w:eastAsia="Arial" w:hAnsi="Arial" w:cs="Arial"/>
                <w:color w:val="000000"/>
              </w:rPr>
              <w:t>943</w:t>
            </w:r>
          </w:p>
        </w:tc>
        <w:tc>
          <w:tcPr>
            <w:tcW w:w="1474" w:type="dxa"/>
          </w:tcPr>
          <w:p w14:paraId="000001E9" w14:textId="77777777" w:rsidR="001C40B0" w:rsidRDefault="00291712">
            <w:pPr>
              <w:pBdr>
                <w:top w:val="nil"/>
                <w:left w:val="nil"/>
                <w:bottom w:val="nil"/>
                <w:right w:val="nil"/>
                <w:between w:val="nil"/>
              </w:pBdr>
              <w:ind w:left="682"/>
              <w:rPr>
                <w:rFonts w:ascii="Arial" w:eastAsia="Arial" w:hAnsi="Arial" w:cs="Arial"/>
                <w:color w:val="000000"/>
              </w:rPr>
            </w:pPr>
            <w:r>
              <w:rPr>
                <w:rFonts w:ascii="Arial" w:eastAsia="Arial" w:hAnsi="Arial" w:cs="Arial"/>
                <w:color w:val="000000"/>
              </w:rPr>
              <w:t>346</w:t>
            </w:r>
          </w:p>
        </w:tc>
      </w:tr>
      <w:tr w:rsidR="001C40B0" w14:paraId="153B5171" w14:textId="77777777">
        <w:trPr>
          <w:trHeight w:val="306"/>
        </w:trPr>
        <w:tc>
          <w:tcPr>
            <w:tcW w:w="1474" w:type="dxa"/>
            <w:shd w:val="clear" w:color="auto" w:fill="D9D9D9"/>
          </w:tcPr>
          <w:p w14:paraId="000001EA" w14:textId="77777777" w:rsidR="001C40B0" w:rsidRDefault="00291712">
            <w:pPr>
              <w:pBdr>
                <w:top w:val="nil"/>
                <w:left w:val="nil"/>
                <w:bottom w:val="nil"/>
                <w:right w:val="nil"/>
                <w:between w:val="nil"/>
              </w:pBdr>
              <w:spacing w:before="1"/>
              <w:ind w:right="81"/>
              <w:jc w:val="right"/>
              <w:rPr>
                <w:rFonts w:ascii="Arial" w:eastAsia="Arial" w:hAnsi="Arial" w:cs="Arial"/>
                <w:b/>
                <w:bCs/>
                <w:color w:val="000000"/>
              </w:rPr>
            </w:pPr>
            <w:r>
              <w:rPr>
                <w:rFonts w:ascii="Arial" w:eastAsia="Arial" w:hAnsi="Arial" w:cs="Arial"/>
                <w:b/>
                <w:bCs/>
                <w:color w:val="000000"/>
              </w:rPr>
              <w:t>2015</w:t>
            </w:r>
          </w:p>
        </w:tc>
        <w:tc>
          <w:tcPr>
            <w:tcW w:w="1469" w:type="dxa"/>
          </w:tcPr>
          <w:p w14:paraId="000001EB" w14:textId="77777777" w:rsidR="001C40B0" w:rsidRDefault="00291712">
            <w:pPr>
              <w:pBdr>
                <w:top w:val="nil"/>
                <w:left w:val="nil"/>
                <w:bottom w:val="nil"/>
                <w:right w:val="nil"/>
                <w:between w:val="nil"/>
              </w:pBdr>
              <w:ind w:left="491"/>
              <w:rPr>
                <w:rFonts w:ascii="Arial" w:eastAsia="Arial" w:hAnsi="Arial" w:cs="Arial"/>
                <w:color w:val="000000"/>
              </w:rPr>
            </w:pPr>
            <w:r>
              <w:rPr>
                <w:rFonts w:ascii="Arial" w:eastAsia="Arial" w:hAnsi="Arial" w:cs="Arial"/>
                <w:color w:val="000000"/>
              </w:rPr>
              <w:t>219,472</w:t>
            </w:r>
          </w:p>
        </w:tc>
        <w:tc>
          <w:tcPr>
            <w:tcW w:w="1474" w:type="dxa"/>
          </w:tcPr>
          <w:p w14:paraId="000001EC" w14:textId="77777777" w:rsidR="001C40B0" w:rsidRDefault="00291712">
            <w:pPr>
              <w:pBdr>
                <w:top w:val="nil"/>
                <w:left w:val="nil"/>
                <w:bottom w:val="nil"/>
                <w:right w:val="nil"/>
                <w:between w:val="nil"/>
              </w:pBdr>
              <w:ind w:right="355"/>
              <w:jc w:val="right"/>
              <w:rPr>
                <w:rFonts w:ascii="Arial" w:eastAsia="Arial" w:hAnsi="Arial" w:cs="Arial"/>
                <w:color w:val="000000"/>
              </w:rPr>
            </w:pPr>
            <w:r>
              <w:rPr>
                <w:rFonts w:ascii="Arial" w:eastAsia="Arial" w:hAnsi="Arial" w:cs="Arial"/>
                <w:color w:val="000000"/>
              </w:rPr>
              <w:t>3,043</w:t>
            </w:r>
          </w:p>
        </w:tc>
        <w:tc>
          <w:tcPr>
            <w:tcW w:w="1474" w:type="dxa"/>
          </w:tcPr>
          <w:p w14:paraId="000001ED" w14:textId="77777777" w:rsidR="001C40B0" w:rsidRDefault="00291712">
            <w:pPr>
              <w:pBdr>
                <w:top w:val="nil"/>
                <w:left w:val="nil"/>
                <w:bottom w:val="nil"/>
                <w:right w:val="nil"/>
                <w:between w:val="nil"/>
              </w:pBdr>
              <w:ind w:left="605"/>
              <w:rPr>
                <w:rFonts w:ascii="Arial" w:eastAsia="Arial" w:hAnsi="Arial" w:cs="Arial"/>
                <w:color w:val="000000"/>
              </w:rPr>
            </w:pPr>
            <w:r>
              <w:rPr>
                <w:rFonts w:ascii="Arial" w:eastAsia="Arial" w:hAnsi="Arial" w:cs="Arial"/>
                <w:color w:val="000000"/>
              </w:rPr>
              <w:t>1,133</w:t>
            </w:r>
          </w:p>
        </w:tc>
        <w:tc>
          <w:tcPr>
            <w:tcW w:w="1474" w:type="dxa"/>
          </w:tcPr>
          <w:p w14:paraId="000001EE" w14:textId="77777777" w:rsidR="001C40B0" w:rsidRDefault="00291712">
            <w:pPr>
              <w:pBdr>
                <w:top w:val="nil"/>
                <w:left w:val="nil"/>
                <w:bottom w:val="nil"/>
                <w:right w:val="nil"/>
                <w:between w:val="nil"/>
              </w:pBdr>
              <w:ind w:right="445"/>
              <w:jc w:val="right"/>
              <w:rPr>
                <w:rFonts w:ascii="Arial" w:eastAsia="Arial" w:hAnsi="Arial" w:cs="Arial"/>
                <w:color w:val="000000"/>
              </w:rPr>
            </w:pPr>
            <w:r>
              <w:rPr>
                <w:rFonts w:ascii="Arial" w:eastAsia="Arial" w:hAnsi="Arial" w:cs="Arial"/>
                <w:color w:val="000000"/>
              </w:rPr>
              <w:t>823</w:t>
            </w:r>
          </w:p>
        </w:tc>
        <w:tc>
          <w:tcPr>
            <w:tcW w:w="1474" w:type="dxa"/>
          </w:tcPr>
          <w:p w14:paraId="000001EF" w14:textId="77777777" w:rsidR="001C40B0" w:rsidRDefault="00291712">
            <w:pPr>
              <w:pBdr>
                <w:top w:val="nil"/>
                <w:left w:val="nil"/>
                <w:bottom w:val="nil"/>
                <w:right w:val="nil"/>
                <w:between w:val="nil"/>
              </w:pBdr>
              <w:ind w:left="682"/>
              <w:rPr>
                <w:rFonts w:ascii="Arial" w:eastAsia="Arial" w:hAnsi="Arial" w:cs="Arial"/>
                <w:color w:val="000000"/>
              </w:rPr>
            </w:pPr>
            <w:r>
              <w:rPr>
                <w:rFonts w:ascii="Arial" w:eastAsia="Arial" w:hAnsi="Arial" w:cs="Arial"/>
                <w:color w:val="000000"/>
              </w:rPr>
              <w:t>405</w:t>
            </w:r>
          </w:p>
        </w:tc>
      </w:tr>
      <w:tr w:rsidR="001C40B0" w14:paraId="1FB019B8" w14:textId="77777777">
        <w:trPr>
          <w:trHeight w:val="311"/>
        </w:trPr>
        <w:tc>
          <w:tcPr>
            <w:tcW w:w="1474" w:type="dxa"/>
            <w:shd w:val="clear" w:color="auto" w:fill="D9D9D9"/>
          </w:tcPr>
          <w:p w14:paraId="000001F0" w14:textId="77777777" w:rsidR="001C40B0" w:rsidRDefault="00291712">
            <w:pPr>
              <w:pBdr>
                <w:top w:val="nil"/>
                <w:left w:val="nil"/>
                <w:bottom w:val="nil"/>
                <w:right w:val="nil"/>
                <w:between w:val="nil"/>
              </w:pBdr>
              <w:spacing w:before="1"/>
              <w:ind w:right="81"/>
              <w:jc w:val="right"/>
              <w:rPr>
                <w:rFonts w:ascii="Arial" w:eastAsia="Arial" w:hAnsi="Arial" w:cs="Arial"/>
                <w:b/>
                <w:bCs/>
                <w:color w:val="000000"/>
              </w:rPr>
            </w:pPr>
            <w:r>
              <w:rPr>
                <w:rFonts w:ascii="Arial" w:eastAsia="Arial" w:hAnsi="Arial" w:cs="Arial"/>
                <w:b/>
                <w:bCs/>
                <w:color w:val="000000"/>
              </w:rPr>
              <w:t>2016</w:t>
            </w:r>
          </w:p>
        </w:tc>
        <w:tc>
          <w:tcPr>
            <w:tcW w:w="1469" w:type="dxa"/>
          </w:tcPr>
          <w:p w14:paraId="000001F1" w14:textId="77777777" w:rsidR="001C40B0" w:rsidRDefault="00291712">
            <w:pPr>
              <w:pBdr>
                <w:top w:val="nil"/>
                <w:left w:val="nil"/>
                <w:bottom w:val="nil"/>
                <w:right w:val="nil"/>
                <w:between w:val="nil"/>
              </w:pBdr>
              <w:ind w:left="491"/>
              <w:rPr>
                <w:rFonts w:ascii="Arial" w:eastAsia="Arial" w:hAnsi="Arial" w:cs="Arial"/>
                <w:color w:val="000000"/>
              </w:rPr>
            </w:pPr>
            <w:r>
              <w:rPr>
                <w:rFonts w:ascii="Arial" w:eastAsia="Arial" w:hAnsi="Arial" w:cs="Arial"/>
                <w:color w:val="000000"/>
              </w:rPr>
              <w:t>223,078</w:t>
            </w:r>
          </w:p>
        </w:tc>
        <w:tc>
          <w:tcPr>
            <w:tcW w:w="1474" w:type="dxa"/>
          </w:tcPr>
          <w:p w14:paraId="000001F2" w14:textId="77777777" w:rsidR="001C40B0" w:rsidRDefault="00291712">
            <w:pPr>
              <w:pBdr>
                <w:top w:val="nil"/>
                <w:left w:val="nil"/>
                <w:bottom w:val="nil"/>
                <w:right w:val="nil"/>
                <w:between w:val="nil"/>
              </w:pBdr>
              <w:ind w:right="355"/>
              <w:jc w:val="right"/>
              <w:rPr>
                <w:rFonts w:ascii="Arial" w:eastAsia="Arial" w:hAnsi="Arial" w:cs="Arial"/>
                <w:color w:val="000000"/>
              </w:rPr>
            </w:pPr>
            <w:r>
              <w:rPr>
                <w:rFonts w:ascii="Arial" w:eastAsia="Arial" w:hAnsi="Arial" w:cs="Arial"/>
                <w:color w:val="000000"/>
              </w:rPr>
              <w:t>2,815</w:t>
            </w:r>
          </w:p>
        </w:tc>
        <w:tc>
          <w:tcPr>
            <w:tcW w:w="1474" w:type="dxa"/>
          </w:tcPr>
          <w:p w14:paraId="000001F3" w14:textId="77777777" w:rsidR="001C40B0" w:rsidRDefault="00291712">
            <w:pPr>
              <w:pBdr>
                <w:top w:val="nil"/>
                <w:left w:val="nil"/>
                <w:bottom w:val="nil"/>
                <w:right w:val="nil"/>
                <w:between w:val="nil"/>
              </w:pBdr>
              <w:ind w:left="688"/>
              <w:rPr>
                <w:rFonts w:ascii="Arial" w:eastAsia="Arial" w:hAnsi="Arial" w:cs="Arial"/>
                <w:color w:val="000000"/>
              </w:rPr>
            </w:pPr>
            <w:r>
              <w:rPr>
                <w:rFonts w:ascii="Arial" w:eastAsia="Arial" w:hAnsi="Arial" w:cs="Arial"/>
                <w:color w:val="000000"/>
              </w:rPr>
              <w:t>966</w:t>
            </w:r>
          </w:p>
        </w:tc>
        <w:tc>
          <w:tcPr>
            <w:tcW w:w="1474" w:type="dxa"/>
          </w:tcPr>
          <w:p w14:paraId="000001F4" w14:textId="77777777" w:rsidR="001C40B0" w:rsidRDefault="00291712">
            <w:pPr>
              <w:pBdr>
                <w:top w:val="nil"/>
                <w:left w:val="nil"/>
                <w:bottom w:val="nil"/>
                <w:right w:val="nil"/>
                <w:between w:val="nil"/>
              </w:pBdr>
              <w:ind w:right="445"/>
              <w:jc w:val="right"/>
              <w:rPr>
                <w:rFonts w:ascii="Arial" w:eastAsia="Arial" w:hAnsi="Arial" w:cs="Arial"/>
                <w:color w:val="000000"/>
              </w:rPr>
            </w:pPr>
            <w:r>
              <w:rPr>
                <w:rFonts w:ascii="Arial" w:eastAsia="Arial" w:hAnsi="Arial" w:cs="Arial"/>
                <w:color w:val="000000"/>
              </w:rPr>
              <w:t>715</w:t>
            </w:r>
          </w:p>
        </w:tc>
        <w:tc>
          <w:tcPr>
            <w:tcW w:w="1474" w:type="dxa"/>
          </w:tcPr>
          <w:p w14:paraId="000001F5" w14:textId="77777777" w:rsidR="001C40B0" w:rsidRDefault="00291712">
            <w:pPr>
              <w:pBdr>
                <w:top w:val="nil"/>
                <w:left w:val="nil"/>
                <w:bottom w:val="nil"/>
                <w:right w:val="nil"/>
                <w:between w:val="nil"/>
              </w:pBdr>
              <w:ind w:left="682"/>
              <w:rPr>
                <w:rFonts w:ascii="Arial" w:eastAsia="Arial" w:hAnsi="Arial" w:cs="Arial"/>
                <w:color w:val="000000"/>
              </w:rPr>
            </w:pPr>
            <w:r>
              <w:rPr>
                <w:rFonts w:ascii="Arial" w:eastAsia="Arial" w:hAnsi="Arial" w:cs="Arial"/>
                <w:color w:val="000000"/>
              </w:rPr>
              <w:t>343</w:t>
            </w:r>
          </w:p>
        </w:tc>
      </w:tr>
      <w:tr w:rsidR="001C40B0" w14:paraId="41D76E20" w14:textId="77777777">
        <w:trPr>
          <w:trHeight w:val="306"/>
        </w:trPr>
        <w:tc>
          <w:tcPr>
            <w:tcW w:w="1474" w:type="dxa"/>
            <w:shd w:val="clear" w:color="auto" w:fill="D9D9D9"/>
          </w:tcPr>
          <w:p w14:paraId="000001F6" w14:textId="77777777" w:rsidR="001C40B0" w:rsidRDefault="00291712">
            <w:pPr>
              <w:pBdr>
                <w:top w:val="nil"/>
                <w:left w:val="nil"/>
                <w:bottom w:val="nil"/>
                <w:right w:val="nil"/>
                <w:between w:val="nil"/>
              </w:pBdr>
              <w:spacing w:before="1"/>
              <w:ind w:right="81"/>
              <w:jc w:val="right"/>
              <w:rPr>
                <w:rFonts w:ascii="Arial" w:eastAsia="Arial" w:hAnsi="Arial" w:cs="Arial"/>
                <w:b/>
                <w:bCs/>
                <w:color w:val="000000"/>
              </w:rPr>
            </w:pPr>
            <w:r>
              <w:rPr>
                <w:rFonts w:ascii="Arial" w:eastAsia="Arial" w:hAnsi="Arial" w:cs="Arial"/>
                <w:b/>
                <w:bCs/>
                <w:color w:val="000000"/>
              </w:rPr>
              <w:t>2017</w:t>
            </w:r>
          </w:p>
        </w:tc>
        <w:tc>
          <w:tcPr>
            <w:tcW w:w="1469" w:type="dxa"/>
          </w:tcPr>
          <w:p w14:paraId="000001F7" w14:textId="77777777" w:rsidR="001C40B0" w:rsidRDefault="00291712">
            <w:pPr>
              <w:pBdr>
                <w:top w:val="nil"/>
                <w:left w:val="nil"/>
                <w:bottom w:val="nil"/>
                <w:right w:val="nil"/>
                <w:between w:val="nil"/>
              </w:pBdr>
              <w:ind w:left="491"/>
              <w:rPr>
                <w:rFonts w:ascii="Arial" w:eastAsia="Arial" w:hAnsi="Arial" w:cs="Arial"/>
                <w:color w:val="000000"/>
              </w:rPr>
            </w:pPr>
            <w:r>
              <w:rPr>
                <w:rFonts w:ascii="Arial" w:eastAsia="Arial" w:hAnsi="Arial" w:cs="Arial"/>
                <w:color w:val="000000"/>
              </w:rPr>
              <w:t>227,624</w:t>
            </w:r>
          </w:p>
        </w:tc>
        <w:tc>
          <w:tcPr>
            <w:tcW w:w="1474" w:type="dxa"/>
          </w:tcPr>
          <w:p w14:paraId="000001F8" w14:textId="77777777" w:rsidR="001C40B0" w:rsidRDefault="00291712">
            <w:pPr>
              <w:pBdr>
                <w:top w:val="nil"/>
                <w:left w:val="nil"/>
                <w:bottom w:val="nil"/>
                <w:right w:val="nil"/>
                <w:between w:val="nil"/>
              </w:pBdr>
              <w:ind w:right="355"/>
              <w:jc w:val="right"/>
              <w:rPr>
                <w:rFonts w:ascii="Arial" w:eastAsia="Arial" w:hAnsi="Arial" w:cs="Arial"/>
                <w:color w:val="000000"/>
              </w:rPr>
            </w:pPr>
            <w:r>
              <w:rPr>
                <w:rFonts w:ascii="Arial" w:eastAsia="Arial" w:hAnsi="Arial" w:cs="Arial"/>
                <w:color w:val="000000"/>
              </w:rPr>
              <w:t>3,090</w:t>
            </w:r>
          </w:p>
        </w:tc>
        <w:tc>
          <w:tcPr>
            <w:tcW w:w="1474" w:type="dxa"/>
          </w:tcPr>
          <w:p w14:paraId="000001F9" w14:textId="77777777" w:rsidR="001C40B0" w:rsidRDefault="00291712">
            <w:pPr>
              <w:pBdr>
                <w:top w:val="nil"/>
                <w:left w:val="nil"/>
                <w:bottom w:val="nil"/>
                <w:right w:val="nil"/>
                <w:between w:val="nil"/>
              </w:pBdr>
              <w:ind w:left="688"/>
              <w:rPr>
                <w:rFonts w:ascii="Arial" w:eastAsia="Arial" w:hAnsi="Arial" w:cs="Arial"/>
                <w:color w:val="000000"/>
              </w:rPr>
            </w:pPr>
            <w:r>
              <w:rPr>
                <w:rFonts w:ascii="Arial" w:eastAsia="Arial" w:hAnsi="Arial" w:cs="Arial"/>
                <w:color w:val="000000"/>
              </w:rPr>
              <w:t>921</w:t>
            </w:r>
          </w:p>
        </w:tc>
        <w:tc>
          <w:tcPr>
            <w:tcW w:w="1474" w:type="dxa"/>
          </w:tcPr>
          <w:p w14:paraId="000001FA" w14:textId="77777777" w:rsidR="001C40B0" w:rsidRDefault="00291712">
            <w:pPr>
              <w:pBdr>
                <w:top w:val="nil"/>
                <w:left w:val="nil"/>
                <w:bottom w:val="nil"/>
                <w:right w:val="nil"/>
                <w:between w:val="nil"/>
              </w:pBdr>
              <w:ind w:right="445"/>
              <w:jc w:val="right"/>
              <w:rPr>
                <w:rFonts w:ascii="Arial" w:eastAsia="Arial" w:hAnsi="Arial" w:cs="Arial"/>
                <w:color w:val="000000"/>
              </w:rPr>
            </w:pPr>
            <w:r>
              <w:rPr>
                <w:rFonts w:ascii="Arial" w:eastAsia="Arial" w:hAnsi="Arial" w:cs="Arial"/>
                <w:color w:val="000000"/>
              </w:rPr>
              <w:t>755</w:t>
            </w:r>
          </w:p>
        </w:tc>
        <w:tc>
          <w:tcPr>
            <w:tcW w:w="1474" w:type="dxa"/>
          </w:tcPr>
          <w:p w14:paraId="000001FB" w14:textId="77777777" w:rsidR="001C40B0" w:rsidRDefault="00291712">
            <w:pPr>
              <w:pBdr>
                <w:top w:val="nil"/>
                <w:left w:val="nil"/>
                <w:bottom w:val="nil"/>
                <w:right w:val="nil"/>
                <w:between w:val="nil"/>
              </w:pBdr>
              <w:ind w:left="682"/>
              <w:rPr>
                <w:rFonts w:ascii="Arial" w:eastAsia="Arial" w:hAnsi="Arial" w:cs="Arial"/>
                <w:color w:val="000000"/>
              </w:rPr>
            </w:pPr>
            <w:r>
              <w:rPr>
                <w:rFonts w:ascii="Arial" w:eastAsia="Arial" w:hAnsi="Arial" w:cs="Arial"/>
                <w:color w:val="000000"/>
              </w:rPr>
              <w:t>437</w:t>
            </w:r>
          </w:p>
        </w:tc>
      </w:tr>
      <w:tr w:rsidR="001C40B0" w14:paraId="00A8AA01" w14:textId="77777777">
        <w:trPr>
          <w:trHeight w:val="311"/>
        </w:trPr>
        <w:tc>
          <w:tcPr>
            <w:tcW w:w="1474" w:type="dxa"/>
            <w:shd w:val="clear" w:color="auto" w:fill="D9D9D9"/>
          </w:tcPr>
          <w:p w14:paraId="000001FC" w14:textId="77777777" w:rsidR="001C40B0" w:rsidRDefault="00291712">
            <w:pPr>
              <w:pBdr>
                <w:top w:val="nil"/>
                <w:left w:val="nil"/>
                <w:bottom w:val="nil"/>
                <w:right w:val="nil"/>
                <w:between w:val="nil"/>
              </w:pBdr>
              <w:spacing w:before="1"/>
              <w:ind w:right="81"/>
              <w:jc w:val="right"/>
              <w:rPr>
                <w:rFonts w:ascii="Arial" w:eastAsia="Arial" w:hAnsi="Arial" w:cs="Arial"/>
                <w:b/>
                <w:bCs/>
                <w:color w:val="000000"/>
              </w:rPr>
            </w:pPr>
            <w:r>
              <w:rPr>
                <w:rFonts w:ascii="Arial" w:eastAsia="Arial" w:hAnsi="Arial" w:cs="Arial"/>
                <w:b/>
                <w:bCs/>
                <w:color w:val="000000"/>
              </w:rPr>
              <w:t>2018</w:t>
            </w:r>
          </w:p>
        </w:tc>
        <w:tc>
          <w:tcPr>
            <w:tcW w:w="1469" w:type="dxa"/>
          </w:tcPr>
          <w:p w14:paraId="000001FD" w14:textId="77777777" w:rsidR="001C40B0" w:rsidRDefault="00291712">
            <w:pPr>
              <w:pBdr>
                <w:top w:val="nil"/>
                <w:left w:val="nil"/>
                <w:bottom w:val="nil"/>
                <w:right w:val="nil"/>
                <w:between w:val="nil"/>
              </w:pBdr>
              <w:ind w:left="491"/>
              <w:rPr>
                <w:rFonts w:ascii="Arial" w:eastAsia="Arial" w:hAnsi="Arial" w:cs="Arial"/>
                <w:color w:val="000000"/>
              </w:rPr>
            </w:pPr>
            <w:r>
              <w:rPr>
                <w:rFonts w:ascii="Arial" w:eastAsia="Arial" w:hAnsi="Arial" w:cs="Arial"/>
                <w:color w:val="000000"/>
              </w:rPr>
              <w:t>236,932</w:t>
            </w:r>
          </w:p>
        </w:tc>
        <w:tc>
          <w:tcPr>
            <w:tcW w:w="1474" w:type="dxa"/>
          </w:tcPr>
          <w:p w14:paraId="000001FE" w14:textId="77777777" w:rsidR="001C40B0" w:rsidRDefault="00291712">
            <w:pPr>
              <w:pBdr>
                <w:top w:val="nil"/>
                <w:left w:val="nil"/>
                <w:bottom w:val="nil"/>
                <w:right w:val="nil"/>
                <w:between w:val="nil"/>
              </w:pBdr>
              <w:ind w:right="355"/>
              <w:jc w:val="right"/>
              <w:rPr>
                <w:rFonts w:ascii="Arial" w:eastAsia="Arial" w:hAnsi="Arial" w:cs="Arial"/>
                <w:color w:val="000000"/>
              </w:rPr>
            </w:pPr>
            <w:r>
              <w:rPr>
                <w:rFonts w:ascii="Arial" w:eastAsia="Arial" w:hAnsi="Arial" w:cs="Arial"/>
                <w:color w:val="000000"/>
              </w:rPr>
              <w:t>3,400</w:t>
            </w:r>
          </w:p>
        </w:tc>
        <w:tc>
          <w:tcPr>
            <w:tcW w:w="1474" w:type="dxa"/>
          </w:tcPr>
          <w:p w14:paraId="000001FF" w14:textId="77777777" w:rsidR="001C40B0" w:rsidRDefault="00291712">
            <w:pPr>
              <w:pBdr>
                <w:top w:val="nil"/>
                <w:left w:val="nil"/>
                <w:bottom w:val="nil"/>
                <w:right w:val="nil"/>
                <w:between w:val="nil"/>
              </w:pBdr>
              <w:ind w:left="688"/>
              <w:rPr>
                <w:rFonts w:ascii="Arial" w:eastAsia="Arial" w:hAnsi="Arial" w:cs="Arial"/>
                <w:color w:val="000000"/>
              </w:rPr>
            </w:pPr>
            <w:r>
              <w:rPr>
                <w:rFonts w:ascii="Arial" w:eastAsia="Arial" w:hAnsi="Arial" w:cs="Arial"/>
                <w:color w:val="000000"/>
              </w:rPr>
              <w:t>997</w:t>
            </w:r>
          </w:p>
        </w:tc>
        <w:tc>
          <w:tcPr>
            <w:tcW w:w="1474" w:type="dxa"/>
          </w:tcPr>
          <w:p w14:paraId="00000200" w14:textId="77777777" w:rsidR="001C40B0" w:rsidRDefault="00291712">
            <w:pPr>
              <w:pBdr>
                <w:top w:val="nil"/>
                <w:left w:val="nil"/>
                <w:bottom w:val="nil"/>
                <w:right w:val="nil"/>
                <w:between w:val="nil"/>
              </w:pBdr>
              <w:ind w:right="445"/>
              <w:jc w:val="right"/>
              <w:rPr>
                <w:rFonts w:ascii="Arial" w:eastAsia="Arial" w:hAnsi="Arial" w:cs="Arial"/>
                <w:color w:val="000000"/>
              </w:rPr>
            </w:pPr>
            <w:r>
              <w:rPr>
                <w:rFonts w:ascii="Arial" w:eastAsia="Arial" w:hAnsi="Arial" w:cs="Arial"/>
                <w:color w:val="000000"/>
              </w:rPr>
              <w:t>766</w:t>
            </w:r>
          </w:p>
        </w:tc>
        <w:tc>
          <w:tcPr>
            <w:tcW w:w="1474" w:type="dxa"/>
          </w:tcPr>
          <w:p w14:paraId="00000201" w14:textId="77777777" w:rsidR="001C40B0" w:rsidRDefault="00291712">
            <w:pPr>
              <w:pBdr>
                <w:top w:val="nil"/>
                <w:left w:val="nil"/>
                <w:bottom w:val="nil"/>
                <w:right w:val="nil"/>
                <w:between w:val="nil"/>
              </w:pBdr>
              <w:ind w:left="682"/>
              <w:rPr>
                <w:rFonts w:ascii="Arial" w:eastAsia="Arial" w:hAnsi="Arial" w:cs="Arial"/>
                <w:color w:val="000000"/>
              </w:rPr>
            </w:pPr>
            <w:r>
              <w:rPr>
                <w:rFonts w:ascii="Arial" w:eastAsia="Arial" w:hAnsi="Arial" w:cs="Arial"/>
                <w:color w:val="000000"/>
              </w:rPr>
              <w:t>398</w:t>
            </w:r>
          </w:p>
        </w:tc>
      </w:tr>
      <w:tr w:rsidR="001C40B0" w14:paraId="618E9CD0" w14:textId="77777777">
        <w:trPr>
          <w:trHeight w:val="306"/>
        </w:trPr>
        <w:tc>
          <w:tcPr>
            <w:tcW w:w="1474" w:type="dxa"/>
            <w:shd w:val="clear" w:color="auto" w:fill="D9D9D9"/>
          </w:tcPr>
          <w:p w14:paraId="00000202" w14:textId="77777777" w:rsidR="001C40B0" w:rsidRDefault="00291712">
            <w:pPr>
              <w:pBdr>
                <w:top w:val="nil"/>
                <w:left w:val="nil"/>
                <w:bottom w:val="nil"/>
                <w:right w:val="nil"/>
                <w:between w:val="nil"/>
              </w:pBdr>
              <w:spacing w:before="1"/>
              <w:ind w:right="81"/>
              <w:jc w:val="right"/>
              <w:rPr>
                <w:rFonts w:ascii="Arial" w:eastAsia="Arial" w:hAnsi="Arial" w:cs="Arial"/>
                <w:b/>
                <w:bCs/>
                <w:color w:val="000000"/>
              </w:rPr>
            </w:pPr>
            <w:r>
              <w:rPr>
                <w:rFonts w:ascii="Arial" w:eastAsia="Arial" w:hAnsi="Arial" w:cs="Arial"/>
                <w:b/>
                <w:bCs/>
                <w:color w:val="000000"/>
              </w:rPr>
              <w:t>2019</w:t>
            </w:r>
          </w:p>
        </w:tc>
        <w:tc>
          <w:tcPr>
            <w:tcW w:w="1469" w:type="dxa"/>
          </w:tcPr>
          <w:p w14:paraId="00000203" w14:textId="77777777" w:rsidR="001C40B0" w:rsidRDefault="00291712">
            <w:pPr>
              <w:pBdr>
                <w:top w:val="nil"/>
                <w:left w:val="nil"/>
                <w:bottom w:val="nil"/>
                <w:right w:val="nil"/>
                <w:between w:val="nil"/>
              </w:pBdr>
              <w:ind w:left="491"/>
              <w:rPr>
                <w:rFonts w:ascii="Arial" w:eastAsia="Arial" w:hAnsi="Arial" w:cs="Arial"/>
                <w:color w:val="000000"/>
              </w:rPr>
            </w:pPr>
            <w:r>
              <w:rPr>
                <w:rFonts w:ascii="Arial" w:eastAsia="Arial" w:hAnsi="Arial" w:cs="Arial"/>
                <w:color w:val="000000"/>
              </w:rPr>
              <w:t>244,355</w:t>
            </w:r>
          </w:p>
        </w:tc>
        <w:tc>
          <w:tcPr>
            <w:tcW w:w="1474" w:type="dxa"/>
          </w:tcPr>
          <w:p w14:paraId="00000204" w14:textId="77777777" w:rsidR="001C40B0" w:rsidRDefault="00291712">
            <w:pPr>
              <w:pBdr>
                <w:top w:val="nil"/>
                <w:left w:val="nil"/>
                <w:bottom w:val="nil"/>
                <w:right w:val="nil"/>
                <w:between w:val="nil"/>
              </w:pBdr>
              <w:ind w:right="355"/>
              <w:jc w:val="right"/>
              <w:rPr>
                <w:rFonts w:ascii="Arial" w:eastAsia="Arial" w:hAnsi="Arial" w:cs="Arial"/>
                <w:color w:val="000000"/>
              </w:rPr>
            </w:pPr>
            <w:r>
              <w:rPr>
                <w:rFonts w:ascii="Arial" w:eastAsia="Arial" w:hAnsi="Arial" w:cs="Arial"/>
                <w:color w:val="000000"/>
              </w:rPr>
              <w:t>3,484</w:t>
            </w:r>
          </w:p>
        </w:tc>
        <w:tc>
          <w:tcPr>
            <w:tcW w:w="1474" w:type="dxa"/>
          </w:tcPr>
          <w:p w14:paraId="00000205" w14:textId="77777777" w:rsidR="001C40B0" w:rsidRDefault="00291712">
            <w:pPr>
              <w:pBdr>
                <w:top w:val="nil"/>
                <w:left w:val="nil"/>
                <w:bottom w:val="nil"/>
                <w:right w:val="nil"/>
                <w:between w:val="nil"/>
              </w:pBdr>
              <w:ind w:left="605"/>
              <w:rPr>
                <w:rFonts w:ascii="Arial" w:eastAsia="Arial" w:hAnsi="Arial" w:cs="Arial"/>
                <w:color w:val="000000"/>
              </w:rPr>
            </w:pPr>
            <w:r>
              <w:rPr>
                <w:rFonts w:ascii="Arial" w:eastAsia="Arial" w:hAnsi="Arial" w:cs="Arial"/>
                <w:color w:val="000000"/>
              </w:rPr>
              <w:t>1,063</w:t>
            </w:r>
          </w:p>
        </w:tc>
        <w:tc>
          <w:tcPr>
            <w:tcW w:w="1474" w:type="dxa"/>
          </w:tcPr>
          <w:p w14:paraId="00000206" w14:textId="77777777" w:rsidR="001C40B0" w:rsidRDefault="00291712">
            <w:pPr>
              <w:pBdr>
                <w:top w:val="nil"/>
                <w:left w:val="nil"/>
                <w:bottom w:val="nil"/>
                <w:right w:val="nil"/>
                <w:between w:val="nil"/>
              </w:pBdr>
              <w:ind w:right="445"/>
              <w:jc w:val="right"/>
              <w:rPr>
                <w:rFonts w:ascii="Arial" w:eastAsia="Arial" w:hAnsi="Arial" w:cs="Arial"/>
                <w:color w:val="000000"/>
              </w:rPr>
            </w:pPr>
            <w:r>
              <w:rPr>
                <w:rFonts w:ascii="Arial" w:eastAsia="Arial" w:hAnsi="Arial" w:cs="Arial"/>
                <w:color w:val="000000"/>
              </w:rPr>
              <w:t>781</w:t>
            </w:r>
          </w:p>
        </w:tc>
        <w:tc>
          <w:tcPr>
            <w:tcW w:w="1474" w:type="dxa"/>
          </w:tcPr>
          <w:p w14:paraId="00000207" w14:textId="77777777" w:rsidR="001C40B0" w:rsidRDefault="00291712">
            <w:pPr>
              <w:pBdr>
                <w:top w:val="nil"/>
                <w:left w:val="nil"/>
                <w:bottom w:val="nil"/>
                <w:right w:val="nil"/>
                <w:between w:val="nil"/>
              </w:pBdr>
              <w:ind w:left="682"/>
              <w:rPr>
                <w:rFonts w:ascii="Arial" w:eastAsia="Arial" w:hAnsi="Arial" w:cs="Arial"/>
                <w:color w:val="000000"/>
              </w:rPr>
            </w:pPr>
            <w:r>
              <w:rPr>
                <w:rFonts w:ascii="Arial" w:eastAsia="Arial" w:hAnsi="Arial" w:cs="Arial"/>
                <w:color w:val="000000"/>
              </w:rPr>
              <w:t>417</w:t>
            </w:r>
          </w:p>
        </w:tc>
      </w:tr>
      <w:tr w:rsidR="001C40B0" w14:paraId="3722B719" w14:textId="77777777">
        <w:trPr>
          <w:trHeight w:val="306"/>
        </w:trPr>
        <w:tc>
          <w:tcPr>
            <w:tcW w:w="1474" w:type="dxa"/>
            <w:shd w:val="clear" w:color="auto" w:fill="D9D9D9"/>
          </w:tcPr>
          <w:p w14:paraId="00000208" w14:textId="77777777" w:rsidR="001C40B0" w:rsidRDefault="00291712">
            <w:pPr>
              <w:pBdr>
                <w:top w:val="nil"/>
                <w:left w:val="nil"/>
                <w:bottom w:val="nil"/>
                <w:right w:val="nil"/>
                <w:between w:val="nil"/>
              </w:pBdr>
              <w:spacing w:before="1"/>
              <w:ind w:right="81"/>
              <w:jc w:val="right"/>
              <w:rPr>
                <w:rFonts w:ascii="Arial" w:eastAsia="Arial" w:hAnsi="Arial" w:cs="Arial"/>
                <w:b/>
                <w:bCs/>
                <w:color w:val="000000"/>
              </w:rPr>
            </w:pPr>
            <w:r>
              <w:rPr>
                <w:rFonts w:ascii="Arial" w:eastAsia="Arial" w:hAnsi="Arial" w:cs="Arial"/>
                <w:b/>
                <w:bCs/>
                <w:color w:val="000000"/>
              </w:rPr>
              <w:t>2020</w:t>
            </w:r>
          </w:p>
        </w:tc>
        <w:tc>
          <w:tcPr>
            <w:tcW w:w="1469" w:type="dxa"/>
          </w:tcPr>
          <w:p w14:paraId="00000209" w14:textId="77777777" w:rsidR="001C40B0" w:rsidRDefault="00291712">
            <w:pPr>
              <w:pBdr>
                <w:top w:val="nil"/>
                <w:left w:val="nil"/>
                <w:bottom w:val="nil"/>
                <w:right w:val="nil"/>
                <w:between w:val="nil"/>
              </w:pBdr>
              <w:ind w:left="491"/>
              <w:rPr>
                <w:rFonts w:ascii="Arial" w:eastAsia="Arial" w:hAnsi="Arial" w:cs="Arial"/>
                <w:color w:val="000000"/>
              </w:rPr>
            </w:pPr>
            <w:r>
              <w:rPr>
                <w:rFonts w:ascii="Arial" w:eastAsia="Arial" w:hAnsi="Arial" w:cs="Arial"/>
                <w:color w:val="000000"/>
              </w:rPr>
              <w:t>300,853</w:t>
            </w:r>
          </w:p>
        </w:tc>
        <w:tc>
          <w:tcPr>
            <w:tcW w:w="1474" w:type="dxa"/>
          </w:tcPr>
          <w:p w14:paraId="0000020A" w14:textId="77777777" w:rsidR="001C40B0" w:rsidRDefault="00291712">
            <w:pPr>
              <w:pBdr>
                <w:top w:val="nil"/>
                <w:left w:val="nil"/>
                <w:bottom w:val="nil"/>
                <w:right w:val="nil"/>
                <w:between w:val="nil"/>
              </w:pBdr>
              <w:ind w:right="355"/>
              <w:jc w:val="right"/>
              <w:rPr>
                <w:rFonts w:ascii="Arial" w:eastAsia="Arial" w:hAnsi="Arial" w:cs="Arial"/>
                <w:color w:val="000000"/>
              </w:rPr>
            </w:pPr>
            <w:r>
              <w:rPr>
                <w:rFonts w:ascii="Arial" w:eastAsia="Arial" w:hAnsi="Arial" w:cs="Arial"/>
                <w:color w:val="000000"/>
              </w:rPr>
              <w:t>2,416</w:t>
            </w:r>
          </w:p>
        </w:tc>
        <w:tc>
          <w:tcPr>
            <w:tcW w:w="1474" w:type="dxa"/>
          </w:tcPr>
          <w:p w14:paraId="0000020B" w14:textId="77777777" w:rsidR="001C40B0" w:rsidRDefault="00291712">
            <w:pPr>
              <w:pBdr>
                <w:top w:val="nil"/>
                <w:left w:val="nil"/>
                <w:bottom w:val="nil"/>
                <w:right w:val="nil"/>
                <w:between w:val="nil"/>
              </w:pBdr>
              <w:ind w:left="688"/>
              <w:rPr>
                <w:rFonts w:ascii="Arial" w:eastAsia="Arial" w:hAnsi="Arial" w:cs="Arial"/>
                <w:color w:val="000000"/>
              </w:rPr>
            </w:pPr>
            <w:r>
              <w:rPr>
                <w:rFonts w:ascii="Arial" w:eastAsia="Arial" w:hAnsi="Arial" w:cs="Arial"/>
                <w:color w:val="000000"/>
              </w:rPr>
              <w:t>602</w:t>
            </w:r>
          </w:p>
        </w:tc>
        <w:tc>
          <w:tcPr>
            <w:tcW w:w="1474" w:type="dxa"/>
          </w:tcPr>
          <w:p w14:paraId="0000020C" w14:textId="77777777" w:rsidR="001C40B0" w:rsidRDefault="00291712">
            <w:pPr>
              <w:pBdr>
                <w:top w:val="nil"/>
                <w:left w:val="nil"/>
                <w:bottom w:val="nil"/>
                <w:right w:val="nil"/>
                <w:between w:val="nil"/>
              </w:pBdr>
              <w:ind w:right="445"/>
              <w:jc w:val="right"/>
              <w:rPr>
                <w:rFonts w:ascii="Arial" w:eastAsia="Arial" w:hAnsi="Arial" w:cs="Arial"/>
                <w:color w:val="000000"/>
              </w:rPr>
            </w:pPr>
            <w:r>
              <w:rPr>
                <w:rFonts w:ascii="Arial" w:eastAsia="Arial" w:hAnsi="Arial" w:cs="Arial"/>
                <w:color w:val="000000"/>
              </w:rPr>
              <w:t>411</w:t>
            </w:r>
          </w:p>
        </w:tc>
        <w:tc>
          <w:tcPr>
            <w:tcW w:w="1474" w:type="dxa"/>
          </w:tcPr>
          <w:p w14:paraId="0000020D" w14:textId="77777777" w:rsidR="001C40B0" w:rsidRDefault="00291712">
            <w:pPr>
              <w:pBdr>
                <w:top w:val="nil"/>
                <w:left w:val="nil"/>
                <w:bottom w:val="nil"/>
                <w:right w:val="nil"/>
                <w:between w:val="nil"/>
              </w:pBdr>
              <w:ind w:left="682"/>
              <w:rPr>
                <w:rFonts w:ascii="Arial" w:eastAsia="Arial" w:hAnsi="Arial" w:cs="Arial"/>
                <w:color w:val="000000"/>
              </w:rPr>
            </w:pPr>
            <w:r>
              <w:rPr>
                <w:rFonts w:ascii="Arial" w:eastAsia="Arial" w:hAnsi="Arial" w:cs="Arial"/>
                <w:color w:val="000000"/>
              </w:rPr>
              <w:t>222</w:t>
            </w:r>
          </w:p>
        </w:tc>
      </w:tr>
      <w:tr w:rsidR="001C40B0" w14:paraId="49D70FBA" w14:textId="77777777">
        <w:trPr>
          <w:trHeight w:val="311"/>
        </w:trPr>
        <w:tc>
          <w:tcPr>
            <w:tcW w:w="1474" w:type="dxa"/>
            <w:shd w:val="clear" w:color="auto" w:fill="D9D9D9"/>
          </w:tcPr>
          <w:p w14:paraId="0000020E" w14:textId="77777777" w:rsidR="001C40B0" w:rsidRDefault="00291712">
            <w:pPr>
              <w:pBdr>
                <w:top w:val="nil"/>
                <w:left w:val="nil"/>
                <w:bottom w:val="nil"/>
                <w:right w:val="nil"/>
                <w:between w:val="nil"/>
              </w:pBdr>
              <w:spacing w:before="6"/>
              <w:ind w:right="81"/>
              <w:jc w:val="right"/>
              <w:rPr>
                <w:rFonts w:ascii="Arial" w:eastAsia="Arial" w:hAnsi="Arial" w:cs="Arial"/>
                <w:b/>
                <w:bCs/>
                <w:color w:val="000000"/>
              </w:rPr>
            </w:pPr>
            <w:r>
              <w:rPr>
                <w:rFonts w:ascii="Arial" w:eastAsia="Arial" w:hAnsi="Arial" w:cs="Arial"/>
                <w:b/>
                <w:bCs/>
                <w:color w:val="000000"/>
              </w:rPr>
              <w:t>2021</w:t>
            </w:r>
          </w:p>
        </w:tc>
        <w:tc>
          <w:tcPr>
            <w:tcW w:w="1469" w:type="dxa"/>
          </w:tcPr>
          <w:p w14:paraId="0000020F" w14:textId="77777777" w:rsidR="001C40B0" w:rsidRDefault="00291712">
            <w:pPr>
              <w:pBdr>
                <w:top w:val="nil"/>
                <w:left w:val="nil"/>
                <w:bottom w:val="nil"/>
                <w:right w:val="nil"/>
                <w:between w:val="nil"/>
              </w:pBdr>
              <w:spacing w:before="5"/>
              <w:ind w:left="491"/>
              <w:rPr>
                <w:rFonts w:ascii="Arial" w:eastAsia="Arial" w:hAnsi="Arial" w:cs="Arial"/>
                <w:color w:val="000000"/>
              </w:rPr>
            </w:pPr>
            <w:r>
              <w:rPr>
                <w:rFonts w:ascii="Arial" w:eastAsia="Arial" w:hAnsi="Arial" w:cs="Arial"/>
                <w:color w:val="000000"/>
              </w:rPr>
              <w:t>363,089</w:t>
            </w:r>
          </w:p>
        </w:tc>
        <w:tc>
          <w:tcPr>
            <w:tcW w:w="1474" w:type="dxa"/>
          </w:tcPr>
          <w:p w14:paraId="00000210" w14:textId="77777777" w:rsidR="001C40B0" w:rsidRDefault="00291712">
            <w:pPr>
              <w:pBdr>
                <w:top w:val="nil"/>
                <w:left w:val="nil"/>
                <w:bottom w:val="nil"/>
                <w:right w:val="nil"/>
                <w:between w:val="nil"/>
              </w:pBdr>
              <w:spacing w:before="5"/>
              <w:ind w:right="355"/>
              <w:jc w:val="right"/>
              <w:rPr>
                <w:rFonts w:ascii="Arial" w:eastAsia="Arial" w:hAnsi="Arial" w:cs="Arial"/>
                <w:color w:val="000000"/>
              </w:rPr>
            </w:pPr>
            <w:r>
              <w:rPr>
                <w:rFonts w:ascii="Arial" w:eastAsia="Arial" w:hAnsi="Arial" w:cs="Arial"/>
                <w:color w:val="000000"/>
              </w:rPr>
              <w:t>2,613</w:t>
            </w:r>
          </w:p>
        </w:tc>
        <w:tc>
          <w:tcPr>
            <w:tcW w:w="1474" w:type="dxa"/>
          </w:tcPr>
          <w:p w14:paraId="00000211" w14:textId="77777777" w:rsidR="001C40B0" w:rsidRDefault="00291712">
            <w:pPr>
              <w:pBdr>
                <w:top w:val="nil"/>
                <w:left w:val="nil"/>
                <w:bottom w:val="nil"/>
                <w:right w:val="nil"/>
                <w:between w:val="nil"/>
              </w:pBdr>
              <w:spacing w:before="5"/>
              <w:ind w:left="688"/>
              <w:rPr>
                <w:rFonts w:ascii="Arial" w:eastAsia="Arial" w:hAnsi="Arial" w:cs="Arial"/>
                <w:color w:val="000000"/>
              </w:rPr>
            </w:pPr>
            <w:r>
              <w:rPr>
                <w:rFonts w:ascii="Arial" w:eastAsia="Arial" w:hAnsi="Arial" w:cs="Arial"/>
                <w:color w:val="000000"/>
              </w:rPr>
              <w:t>710</w:t>
            </w:r>
          </w:p>
        </w:tc>
        <w:tc>
          <w:tcPr>
            <w:tcW w:w="1474" w:type="dxa"/>
          </w:tcPr>
          <w:p w14:paraId="00000212" w14:textId="77777777" w:rsidR="001C40B0" w:rsidRDefault="00291712">
            <w:pPr>
              <w:pBdr>
                <w:top w:val="nil"/>
                <w:left w:val="nil"/>
                <w:bottom w:val="nil"/>
                <w:right w:val="nil"/>
                <w:between w:val="nil"/>
              </w:pBdr>
              <w:spacing w:before="5"/>
              <w:ind w:right="445"/>
              <w:jc w:val="right"/>
              <w:rPr>
                <w:rFonts w:ascii="Arial" w:eastAsia="Arial" w:hAnsi="Arial" w:cs="Arial"/>
                <w:color w:val="000000"/>
              </w:rPr>
            </w:pPr>
            <w:r>
              <w:rPr>
                <w:rFonts w:ascii="Arial" w:eastAsia="Arial" w:hAnsi="Arial" w:cs="Arial"/>
                <w:color w:val="000000"/>
              </w:rPr>
              <w:t>524</w:t>
            </w:r>
          </w:p>
        </w:tc>
        <w:tc>
          <w:tcPr>
            <w:tcW w:w="1474" w:type="dxa"/>
          </w:tcPr>
          <w:p w14:paraId="00000213" w14:textId="77777777" w:rsidR="001C40B0" w:rsidRDefault="00291712">
            <w:pPr>
              <w:pBdr>
                <w:top w:val="nil"/>
                <w:left w:val="nil"/>
                <w:bottom w:val="nil"/>
                <w:right w:val="nil"/>
                <w:between w:val="nil"/>
              </w:pBdr>
              <w:spacing w:before="5"/>
              <w:ind w:left="682"/>
              <w:rPr>
                <w:rFonts w:ascii="Arial" w:eastAsia="Arial" w:hAnsi="Arial" w:cs="Arial"/>
                <w:color w:val="000000"/>
              </w:rPr>
            </w:pPr>
            <w:r>
              <w:rPr>
                <w:rFonts w:ascii="Arial" w:eastAsia="Arial" w:hAnsi="Arial" w:cs="Arial"/>
                <w:color w:val="000000"/>
              </w:rPr>
              <w:t>268</w:t>
            </w:r>
          </w:p>
        </w:tc>
      </w:tr>
      <w:tr w:rsidR="001C40B0" w14:paraId="5A831DA6" w14:textId="77777777">
        <w:trPr>
          <w:trHeight w:val="306"/>
        </w:trPr>
        <w:tc>
          <w:tcPr>
            <w:tcW w:w="1474" w:type="dxa"/>
            <w:shd w:val="clear" w:color="auto" w:fill="D9D9D9"/>
          </w:tcPr>
          <w:p w14:paraId="00000214" w14:textId="77777777" w:rsidR="001C40B0" w:rsidRDefault="00291712">
            <w:pPr>
              <w:pBdr>
                <w:top w:val="nil"/>
                <w:left w:val="nil"/>
                <w:bottom w:val="nil"/>
                <w:right w:val="nil"/>
                <w:between w:val="nil"/>
              </w:pBdr>
              <w:spacing w:before="1"/>
              <w:ind w:right="81"/>
              <w:jc w:val="right"/>
              <w:rPr>
                <w:rFonts w:ascii="Arial" w:eastAsia="Arial" w:hAnsi="Arial" w:cs="Arial"/>
                <w:b/>
                <w:bCs/>
                <w:color w:val="000000"/>
              </w:rPr>
            </w:pPr>
            <w:r>
              <w:rPr>
                <w:rFonts w:ascii="Arial" w:eastAsia="Arial" w:hAnsi="Arial" w:cs="Arial"/>
                <w:b/>
                <w:bCs/>
                <w:color w:val="000000"/>
              </w:rPr>
              <w:t>2022</w:t>
            </w:r>
          </w:p>
        </w:tc>
        <w:tc>
          <w:tcPr>
            <w:tcW w:w="1469" w:type="dxa"/>
          </w:tcPr>
          <w:p w14:paraId="00000215" w14:textId="77777777" w:rsidR="001C40B0" w:rsidRDefault="00291712">
            <w:pPr>
              <w:pBdr>
                <w:top w:val="nil"/>
                <w:left w:val="nil"/>
                <w:bottom w:val="nil"/>
                <w:right w:val="nil"/>
                <w:between w:val="nil"/>
              </w:pBdr>
              <w:ind w:left="491"/>
              <w:rPr>
                <w:rFonts w:ascii="Arial" w:eastAsia="Arial" w:hAnsi="Arial" w:cs="Arial"/>
                <w:color w:val="000000"/>
              </w:rPr>
            </w:pPr>
            <w:r>
              <w:rPr>
                <w:rFonts w:ascii="Arial" w:eastAsia="Arial" w:hAnsi="Arial" w:cs="Arial"/>
                <w:color w:val="000000"/>
              </w:rPr>
              <w:t>287,251</w:t>
            </w:r>
          </w:p>
        </w:tc>
        <w:tc>
          <w:tcPr>
            <w:tcW w:w="1474" w:type="dxa"/>
          </w:tcPr>
          <w:p w14:paraId="00000216" w14:textId="77777777" w:rsidR="001C40B0" w:rsidRDefault="00291712">
            <w:pPr>
              <w:pBdr>
                <w:top w:val="nil"/>
                <w:left w:val="nil"/>
                <w:bottom w:val="nil"/>
                <w:right w:val="nil"/>
                <w:between w:val="nil"/>
              </w:pBdr>
              <w:ind w:right="355"/>
              <w:jc w:val="right"/>
              <w:rPr>
                <w:rFonts w:ascii="Arial" w:eastAsia="Arial" w:hAnsi="Arial" w:cs="Arial"/>
                <w:color w:val="000000"/>
              </w:rPr>
            </w:pPr>
            <w:r>
              <w:rPr>
                <w:rFonts w:ascii="Arial" w:eastAsia="Arial" w:hAnsi="Arial" w:cs="Arial"/>
                <w:color w:val="000000"/>
              </w:rPr>
              <w:t>2,979</w:t>
            </w:r>
          </w:p>
        </w:tc>
        <w:tc>
          <w:tcPr>
            <w:tcW w:w="1474" w:type="dxa"/>
          </w:tcPr>
          <w:p w14:paraId="00000217" w14:textId="77777777" w:rsidR="001C40B0" w:rsidRDefault="00291712">
            <w:pPr>
              <w:pBdr>
                <w:top w:val="nil"/>
                <w:left w:val="nil"/>
                <w:bottom w:val="nil"/>
                <w:right w:val="nil"/>
                <w:between w:val="nil"/>
              </w:pBdr>
              <w:ind w:left="688"/>
              <w:rPr>
                <w:rFonts w:ascii="Arial" w:eastAsia="Arial" w:hAnsi="Arial" w:cs="Arial"/>
                <w:color w:val="000000"/>
              </w:rPr>
            </w:pPr>
            <w:r>
              <w:rPr>
                <w:rFonts w:ascii="Arial" w:eastAsia="Arial" w:hAnsi="Arial" w:cs="Arial"/>
                <w:color w:val="000000"/>
              </w:rPr>
              <w:t>817</w:t>
            </w:r>
          </w:p>
        </w:tc>
        <w:tc>
          <w:tcPr>
            <w:tcW w:w="1474" w:type="dxa"/>
          </w:tcPr>
          <w:p w14:paraId="00000218" w14:textId="77777777" w:rsidR="001C40B0" w:rsidRDefault="00291712">
            <w:pPr>
              <w:pBdr>
                <w:top w:val="nil"/>
                <w:left w:val="nil"/>
                <w:bottom w:val="nil"/>
                <w:right w:val="nil"/>
                <w:between w:val="nil"/>
              </w:pBdr>
              <w:ind w:right="445"/>
              <w:jc w:val="right"/>
              <w:rPr>
                <w:rFonts w:ascii="Arial" w:eastAsia="Arial" w:hAnsi="Arial" w:cs="Arial"/>
                <w:color w:val="000000"/>
              </w:rPr>
            </w:pPr>
            <w:r>
              <w:rPr>
                <w:rFonts w:ascii="Arial" w:eastAsia="Arial" w:hAnsi="Arial" w:cs="Arial"/>
                <w:color w:val="000000"/>
              </w:rPr>
              <w:t>615</w:t>
            </w:r>
          </w:p>
        </w:tc>
        <w:tc>
          <w:tcPr>
            <w:tcW w:w="1474" w:type="dxa"/>
          </w:tcPr>
          <w:p w14:paraId="00000219" w14:textId="77777777" w:rsidR="001C40B0" w:rsidRDefault="00291712">
            <w:pPr>
              <w:pBdr>
                <w:top w:val="nil"/>
                <w:left w:val="nil"/>
                <w:bottom w:val="nil"/>
                <w:right w:val="nil"/>
                <w:between w:val="nil"/>
              </w:pBdr>
              <w:ind w:left="682"/>
              <w:rPr>
                <w:rFonts w:ascii="Arial" w:eastAsia="Arial" w:hAnsi="Arial" w:cs="Arial"/>
                <w:color w:val="000000"/>
              </w:rPr>
            </w:pPr>
            <w:r>
              <w:rPr>
                <w:rFonts w:ascii="Arial" w:eastAsia="Arial" w:hAnsi="Arial" w:cs="Arial"/>
                <w:color w:val="000000"/>
              </w:rPr>
              <w:t>332</w:t>
            </w:r>
          </w:p>
        </w:tc>
      </w:tr>
      <w:tr w:rsidR="001C40B0" w14:paraId="7315434A" w14:textId="77777777">
        <w:trPr>
          <w:trHeight w:val="311"/>
        </w:trPr>
        <w:tc>
          <w:tcPr>
            <w:tcW w:w="1474" w:type="dxa"/>
            <w:shd w:val="clear" w:color="auto" w:fill="D9D9D9"/>
          </w:tcPr>
          <w:p w14:paraId="0000021A" w14:textId="77777777" w:rsidR="001C40B0" w:rsidRDefault="00291712">
            <w:pPr>
              <w:pBdr>
                <w:top w:val="nil"/>
                <w:left w:val="nil"/>
                <w:bottom w:val="nil"/>
                <w:right w:val="nil"/>
                <w:between w:val="nil"/>
              </w:pBdr>
              <w:spacing w:before="6"/>
              <w:ind w:right="81"/>
              <w:jc w:val="right"/>
              <w:rPr>
                <w:rFonts w:ascii="Arial" w:eastAsia="Arial" w:hAnsi="Arial" w:cs="Arial"/>
                <w:b/>
                <w:bCs/>
                <w:color w:val="000000"/>
              </w:rPr>
            </w:pPr>
            <w:r>
              <w:rPr>
                <w:rFonts w:ascii="Arial" w:eastAsia="Arial" w:hAnsi="Arial" w:cs="Arial"/>
                <w:b/>
                <w:bCs/>
                <w:color w:val="000000"/>
              </w:rPr>
              <w:t>2023</w:t>
            </w:r>
          </w:p>
        </w:tc>
        <w:tc>
          <w:tcPr>
            <w:tcW w:w="1469" w:type="dxa"/>
          </w:tcPr>
          <w:p w14:paraId="0000021B" w14:textId="77777777" w:rsidR="001C40B0" w:rsidRDefault="00291712">
            <w:pPr>
              <w:pBdr>
                <w:top w:val="nil"/>
                <w:left w:val="nil"/>
                <w:bottom w:val="nil"/>
                <w:right w:val="nil"/>
                <w:between w:val="nil"/>
              </w:pBdr>
              <w:spacing w:before="5"/>
              <w:ind w:left="491"/>
              <w:rPr>
                <w:rFonts w:ascii="Arial" w:eastAsia="Arial" w:hAnsi="Arial" w:cs="Arial"/>
                <w:color w:val="000000"/>
              </w:rPr>
            </w:pPr>
            <w:r>
              <w:rPr>
                <w:rFonts w:ascii="Arial" w:eastAsia="Arial" w:hAnsi="Arial" w:cs="Arial"/>
                <w:color w:val="000000"/>
              </w:rPr>
              <w:t>265,047</w:t>
            </w:r>
          </w:p>
        </w:tc>
        <w:tc>
          <w:tcPr>
            <w:tcW w:w="1474" w:type="dxa"/>
          </w:tcPr>
          <w:p w14:paraId="0000021C" w14:textId="77777777" w:rsidR="001C40B0" w:rsidRDefault="00291712">
            <w:pPr>
              <w:pBdr>
                <w:top w:val="nil"/>
                <w:left w:val="nil"/>
                <w:bottom w:val="nil"/>
                <w:right w:val="nil"/>
                <w:between w:val="nil"/>
              </w:pBdr>
              <w:spacing w:before="5"/>
              <w:ind w:right="355"/>
              <w:jc w:val="right"/>
              <w:rPr>
                <w:rFonts w:ascii="Arial" w:eastAsia="Arial" w:hAnsi="Arial" w:cs="Arial"/>
                <w:color w:val="000000"/>
              </w:rPr>
            </w:pPr>
            <w:r>
              <w:rPr>
                <w:rFonts w:ascii="Arial" w:eastAsia="Arial" w:hAnsi="Arial" w:cs="Arial"/>
                <w:color w:val="000000"/>
              </w:rPr>
              <w:t>2,636</w:t>
            </w:r>
          </w:p>
        </w:tc>
        <w:tc>
          <w:tcPr>
            <w:tcW w:w="1474" w:type="dxa"/>
          </w:tcPr>
          <w:p w14:paraId="0000021D" w14:textId="77777777" w:rsidR="001C40B0" w:rsidRDefault="00291712">
            <w:pPr>
              <w:pBdr>
                <w:top w:val="nil"/>
                <w:left w:val="nil"/>
                <w:bottom w:val="nil"/>
                <w:right w:val="nil"/>
                <w:between w:val="nil"/>
              </w:pBdr>
              <w:spacing w:before="5"/>
              <w:ind w:left="688"/>
              <w:rPr>
                <w:rFonts w:ascii="Arial" w:eastAsia="Arial" w:hAnsi="Arial" w:cs="Arial"/>
                <w:color w:val="000000"/>
              </w:rPr>
            </w:pPr>
            <w:r>
              <w:rPr>
                <w:rFonts w:ascii="Arial" w:eastAsia="Arial" w:hAnsi="Arial" w:cs="Arial"/>
                <w:color w:val="000000"/>
              </w:rPr>
              <w:t>609</w:t>
            </w:r>
          </w:p>
        </w:tc>
        <w:tc>
          <w:tcPr>
            <w:tcW w:w="1474" w:type="dxa"/>
          </w:tcPr>
          <w:p w14:paraId="0000021E" w14:textId="77777777" w:rsidR="001C40B0" w:rsidRDefault="00291712">
            <w:pPr>
              <w:pBdr>
                <w:top w:val="nil"/>
                <w:left w:val="nil"/>
                <w:bottom w:val="nil"/>
                <w:right w:val="nil"/>
                <w:between w:val="nil"/>
              </w:pBdr>
              <w:spacing w:before="5"/>
              <w:ind w:right="445"/>
              <w:jc w:val="right"/>
              <w:rPr>
                <w:rFonts w:ascii="Arial" w:eastAsia="Arial" w:hAnsi="Arial" w:cs="Arial"/>
                <w:color w:val="000000"/>
              </w:rPr>
            </w:pPr>
            <w:r>
              <w:rPr>
                <w:rFonts w:ascii="Arial" w:eastAsia="Arial" w:hAnsi="Arial" w:cs="Arial"/>
                <w:color w:val="000000"/>
              </w:rPr>
              <w:t>573</w:t>
            </w:r>
          </w:p>
        </w:tc>
        <w:tc>
          <w:tcPr>
            <w:tcW w:w="1474" w:type="dxa"/>
          </w:tcPr>
          <w:p w14:paraId="0000021F" w14:textId="77777777" w:rsidR="001C40B0" w:rsidRDefault="00291712">
            <w:pPr>
              <w:pBdr>
                <w:top w:val="nil"/>
                <w:left w:val="nil"/>
                <w:bottom w:val="nil"/>
                <w:right w:val="nil"/>
                <w:between w:val="nil"/>
              </w:pBdr>
              <w:spacing w:before="5"/>
              <w:ind w:left="682"/>
              <w:rPr>
                <w:rFonts w:ascii="Arial" w:eastAsia="Arial" w:hAnsi="Arial" w:cs="Arial"/>
                <w:color w:val="000000"/>
              </w:rPr>
            </w:pPr>
            <w:r>
              <w:rPr>
                <w:rFonts w:ascii="Arial" w:eastAsia="Arial" w:hAnsi="Arial" w:cs="Arial"/>
                <w:color w:val="000000"/>
              </w:rPr>
              <w:t>388</w:t>
            </w:r>
          </w:p>
        </w:tc>
      </w:tr>
      <w:tr w:rsidR="001C40B0" w14:paraId="11C373DC" w14:textId="77777777">
        <w:trPr>
          <w:trHeight w:val="306"/>
        </w:trPr>
        <w:tc>
          <w:tcPr>
            <w:tcW w:w="1474" w:type="dxa"/>
            <w:shd w:val="clear" w:color="auto" w:fill="D9D9D9"/>
          </w:tcPr>
          <w:p w14:paraId="00000220" w14:textId="77777777" w:rsidR="001C40B0" w:rsidRDefault="00291712">
            <w:pPr>
              <w:pBdr>
                <w:top w:val="nil"/>
                <w:left w:val="nil"/>
                <w:bottom w:val="nil"/>
                <w:right w:val="nil"/>
                <w:between w:val="nil"/>
              </w:pBdr>
              <w:spacing w:before="1"/>
              <w:ind w:left="442"/>
              <w:rPr>
                <w:rFonts w:ascii="Arial" w:eastAsia="Arial" w:hAnsi="Arial" w:cs="Arial"/>
                <w:b/>
                <w:bCs/>
                <w:color w:val="000000"/>
              </w:rPr>
            </w:pPr>
            <w:r>
              <w:rPr>
                <w:rFonts w:ascii="Arial" w:eastAsia="Arial" w:hAnsi="Arial" w:cs="Arial"/>
                <w:b/>
                <w:bCs/>
                <w:color w:val="000000"/>
              </w:rPr>
              <w:t>TOTAL</w:t>
            </w:r>
          </w:p>
        </w:tc>
        <w:tc>
          <w:tcPr>
            <w:tcW w:w="1469" w:type="dxa"/>
          </w:tcPr>
          <w:p w14:paraId="00000221" w14:textId="77777777" w:rsidR="001C40B0" w:rsidRDefault="00291712">
            <w:pPr>
              <w:pBdr>
                <w:top w:val="nil"/>
                <w:left w:val="nil"/>
                <w:bottom w:val="nil"/>
                <w:right w:val="nil"/>
                <w:between w:val="nil"/>
              </w:pBdr>
              <w:ind w:left="408"/>
              <w:rPr>
                <w:rFonts w:ascii="Arial" w:eastAsia="Arial" w:hAnsi="Arial" w:cs="Arial"/>
                <w:color w:val="000000"/>
              </w:rPr>
            </w:pPr>
            <w:r>
              <w:rPr>
                <w:rFonts w:ascii="Arial" w:eastAsia="Arial" w:hAnsi="Arial" w:cs="Arial"/>
                <w:color w:val="000000"/>
              </w:rPr>
              <w:t>3,770,800</w:t>
            </w:r>
          </w:p>
        </w:tc>
        <w:tc>
          <w:tcPr>
            <w:tcW w:w="1474" w:type="dxa"/>
          </w:tcPr>
          <w:p w14:paraId="00000222" w14:textId="77777777" w:rsidR="001C40B0" w:rsidRDefault="00291712">
            <w:pPr>
              <w:pBdr>
                <w:top w:val="nil"/>
                <w:left w:val="nil"/>
                <w:bottom w:val="nil"/>
                <w:right w:val="nil"/>
                <w:between w:val="nil"/>
              </w:pBdr>
              <w:ind w:right="300"/>
              <w:jc w:val="right"/>
              <w:rPr>
                <w:rFonts w:ascii="Arial" w:eastAsia="Arial" w:hAnsi="Arial" w:cs="Arial"/>
                <w:color w:val="000000"/>
              </w:rPr>
            </w:pPr>
            <w:r>
              <w:rPr>
                <w:rFonts w:ascii="Arial" w:eastAsia="Arial" w:hAnsi="Arial" w:cs="Arial"/>
                <w:color w:val="000000"/>
              </w:rPr>
              <w:t>42,996</w:t>
            </w:r>
          </w:p>
        </w:tc>
        <w:tc>
          <w:tcPr>
            <w:tcW w:w="1474" w:type="dxa"/>
          </w:tcPr>
          <w:p w14:paraId="00000223" w14:textId="77777777" w:rsidR="001C40B0" w:rsidRDefault="00291712">
            <w:pPr>
              <w:pBdr>
                <w:top w:val="nil"/>
                <w:left w:val="nil"/>
                <w:bottom w:val="nil"/>
                <w:right w:val="nil"/>
                <w:between w:val="nil"/>
              </w:pBdr>
              <w:ind w:left="550"/>
              <w:rPr>
                <w:rFonts w:ascii="Arial" w:eastAsia="Arial" w:hAnsi="Arial" w:cs="Arial"/>
                <w:color w:val="000000"/>
              </w:rPr>
            </w:pPr>
            <w:r>
              <w:rPr>
                <w:rFonts w:ascii="Arial" w:eastAsia="Arial" w:hAnsi="Arial" w:cs="Arial"/>
                <w:color w:val="000000"/>
              </w:rPr>
              <w:t>15,237</w:t>
            </w:r>
          </w:p>
        </w:tc>
        <w:tc>
          <w:tcPr>
            <w:tcW w:w="1474" w:type="dxa"/>
          </w:tcPr>
          <w:p w14:paraId="00000224" w14:textId="77777777" w:rsidR="001C40B0" w:rsidRDefault="00291712">
            <w:pPr>
              <w:pBdr>
                <w:top w:val="nil"/>
                <w:left w:val="nil"/>
                <w:bottom w:val="nil"/>
                <w:right w:val="nil"/>
                <w:between w:val="nil"/>
              </w:pBdr>
              <w:ind w:right="306"/>
              <w:jc w:val="right"/>
              <w:rPr>
                <w:rFonts w:ascii="Arial" w:eastAsia="Arial" w:hAnsi="Arial" w:cs="Arial"/>
                <w:color w:val="000000"/>
              </w:rPr>
            </w:pPr>
            <w:r>
              <w:rPr>
                <w:rFonts w:ascii="Arial" w:eastAsia="Arial" w:hAnsi="Arial" w:cs="Arial"/>
                <w:color w:val="000000"/>
              </w:rPr>
              <w:t>13,245</w:t>
            </w:r>
          </w:p>
        </w:tc>
        <w:tc>
          <w:tcPr>
            <w:tcW w:w="1474" w:type="dxa"/>
          </w:tcPr>
          <w:p w14:paraId="00000225" w14:textId="77777777" w:rsidR="001C40B0" w:rsidRDefault="00291712">
            <w:pPr>
              <w:pBdr>
                <w:top w:val="nil"/>
                <w:left w:val="nil"/>
                <w:bottom w:val="nil"/>
                <w:right w:val="nil"/>
                <w:between w:val="nil"/>
              </w:pBdr>
              <w:ind w:left="600"/>
              <w:rPr>
                <w:rFonts w:ascii="Arial" w:eastAsia="Arial" w:hAnsi="Arial" w:cs="Arial"/>
                <w:color w:val="000000"/>
              </w:rPr>
            </w:pPr>
            <w:r>
              <w:rPr>
                <w:rFonts w:ascii="Arial" w:eastAsia="Arial" w:hAnsi="Arial" w:cs="Arial"/>
                <w:color w:val="000000"/>
              </w:rPr>
              <w:t>5,901</w:t>
            </w:r>
          </w:p>
        </w:tc>
      </w:tr>
      <w:tr w:rsidR="001C40B0" w14:paraId="124069B6" w14:textId="77777777">
        <w:trPr>
          <w:trHeight w:val="311"/>
        </w:trPr>
        <w:tc>
          <w:tcPr>
            <w:tcW w:w="1474" w:type="dxa"/>
            <w:shd w:val="clear" w:color="auto" w:fill="D9D9D9"/>
          </w:tcPr>
          <w:p w14:paraId="00000226" w14:textId="77777777" w:rsidR="001C40B0" w:rsidRDefault="00291712">
            <w:pPr>
              <w:pBdr>
                <w:top w:val="nil"/>
                <w:left w:val="nil"/>
                <w:bottom w:val="nil"/>
                <w:right w:val="nil"/>
                <w:between w:val="nil"/>
              </w:pBdr>
              <w:spacing w:before="1"/>
              <w:ind w:left="349"/>
              <w:rPr>
                <w:rFonts w:ascii="Arial" w:eastAsia="Arial" w:hAnsi="Arial" w:cs="Arial"/>
                <w:b/>
                <w:bCs/>
                <w:color w:val="000000"/>
              </w:rPr>
            </w:pPr>
            <w:r>
              <w:rPr>
                <w:rFonts w:ascii="Arial" w:eastAsia="Arial" w:hAnsi="Arial" w:cs="Arial"/>
                <w:b/>
                <w:bCs/>
                <w:color w:val="000000"/>
              </w:rPr>
              <w:t>Relación</w:t>
            </w:r>
          </w:p>
        </w:tc>
        <w:tc>
          <w:tcPr>
            <w:tcW w:w="1469" w:type="dxa"/>
          </w:tcPr>
          <w:p w14:paraId="00000227" w14:textId="77777777" w:rsidR="001C40B0" w:rsidRDefault="001C40B0">
            <w:pPr>
              <w:pBdr>
                <w:top w:val="nil"/>
                <w:left w:val="nil"/>
                <w:bottom w:val="nil"/>
                <w:right w:val="nil"/>
                <w:between w:val="nil"/>
              </w:pBdr>
              <w:rPr>
                <w:rFonts w:ascii="Arial" w:eastAsia="Arial" w:hAnsi="Arial" w:cs="Arial"/>
                <w:color w:val="000000"/>
              </w:rPr>
            </w:pPr>
          </w:p>
        </w:tc>
        <w:tc>
          <w:tcPr>
            <w:tcW w:w="1474" w:type="dxa"/>
          </w:tcPr>
          <w:p w14:paraId="00000228" w14:textId="77777777" w:rsidR="001C40B0" w:rsidRDefault="00291712">
            <w:pPr>
              <w:pBdr>
                <w:top w:val="nil"/>
                <w:left w:val="nil"/>
                <w:bottom w:val="nil"/>
                <w:right w:val="nil"/>
                <w:between w:val="nil"/>
              </w:pBdr>
              <w:ind w:left="496"/>
              <w:rPr>
                <w:rFonts w:ascii="Arial" w:eastAsia="Arial" w:hAnsi="Arial" w:cs="Arial"/>
                <w:b/>
                <w:bCs/>
                <w:color w:val="000000"/>
              </w:rPr>
            </w:pPr>
            <w:r>
              <w:rPr>
                <w:rFonts w:ascii="Arial" w:eastAsia="Arial" w:hAnsi="Arial" w:cs="Arial"/>
                <w:b/>
                <w:bCs/>
                <w:color w:val="000000"/>
              </w:rPr>
              <w:t>1.1%</w:t>
            </w:r>
          </w:p>
        </w:tc>
        <w:tc>
          <w:tcPr>
            <w:tcW w:w="1474" w:type="dxa"/>
          </w:tcPr>
          <w:p w14:paraId="00000229" w14:textId="77777777" w:rsidR="001C40B0" w:rsidRDefault="00291712">
            <w:pPr>
              <w:pBdr>
                <w:top w:val="nil"/>
                <w:left w:val="nil"/>
                <w:bottom w:val="nil"/>
                <w:right w:val="nil"/>
                <w:between w:val="nil"/>
              </w:pBdr>
              <w:ind w:left="440"/>
              <w:rPr>
                <w:rFonts w:ascii="Arial" w:eastAsia="Arial" w:hAnsi="Arial" w:cs="Arial"/>
                <w:b/>
                <w:bCs/>
                <w:color w:val="000000"/>
              </w:rPr>
            </w:pPr>
            <w:r>
              <w:rPr>
                <w:rFonts w:ascii="Arial" w:eastAsia="Arial" w:hAnsi="Arial" w:cs="Arial"/>
                <w:b/>
                <w:bCs/>
                <w:color w:val="000000"/>
              </w:rPr>
              <w:t>35.4%</w:t>
            </w:r>
          </w:p>
        </w:tc>
        <w:tc>
          <w:tcPr>
            <w:tcW w:w="1474" w:type="dxa"/>
          </w:tcPr>
          <w:p w14:paraId="0000022A" w14:textId="77777777" w:rsidR="001C40B0" w:rsidRDefault="00291712">
            <w:pPr>
              <w:pBdr>
                <w:top w:val="nil"/>
                <w:left w:val="nil"/>
                <w:bottom w:val="nil"/>
                <w:right w:val="nil"/>
                <w:between w:val="nil"/>
              </w:pBdr>
              <w:ind w:left="435"/>
              <w:rPr>
                <w:rFonts w:ascii="Arial" w:eastAsia="Arial" w:hAnsi="Arial" w:cs="Arial"/>
                <w:b/>
                <w:bCs/>
                <w:color w:val="000000"/>
              </w:rPr>
            </w:pPr>
            <w:r>
              <w:rPr>
                <w:rFonts w:ascii="Arial" w:eastAsia="Arial" w:hAnsi="Arial" w:cs="Arial"/>
                <w:b/>
                <w:bCs/>
                <w:color w:val="000000"/>
              </w:rPr>
              <w:t>86.9%</w:t>
            </w:r>
          </w:p>
        </w:tc>
        <w:tc>
          <w:tcPr>
            <w:tcW w:w="1474" w:type="dxa"/>
          </w:tcPr>
          <w:p w14:paraId="0000022B" w14:textId="77777777" w:rsidR="001C40B0" w:rsidRDefault="00291712">
            <w:pPr>
              <w:pBdr>
                <w:top w:val="nil"/>
                <w:left w:val="nil"/>
                <w:bottom w:val="nil"/>
                <w:right w:val="nil"/>
                <w:between w:val="nil"/>
              </w:pBdr>
              <w:ind w:left="435"/>
              <w:rPr>
                <w:rFonts w:ascii="Arial" w:eastAsia="Arial" w:hAnsi="Arial" w:cs="Arial"/>
                <w:b/>
                <w:bCs/>
                <w:color w:val="000000"/>
              </w:rPr>
            </w:pPr>
            <w:r>
              <w:rPr>
                <w:rFonts w:ascii="Arial" w:eastAsia="Arial" w:hAnsi="Arial" w:cs="Arial"/>
                <w:b/>
                <w:bCs/>
                <w:color w:val="000000"/>
              </w:rPr>
              <w:t>44.6%</w:t>
            </w:r>
          </w:p>
        </w:tc>
      </w:tr>
    </w:tbl>
    <w:p w14:paraId="0000022C" w14:textId="77777777" w:rsidR="001C40B0" w:rsidRDefault="001C40B0">
      <w:pPr>
        <w:jc w:val="both"/>
        <w:rPr>
          <w:rFonts w:ascii="Arial" w:eastAsia="Arial" w:hAnsi="Arial" w:cs="Arial"/>
          <w:sz w:val="22"/>
          <w:szCs w:val="22"/>
        </w:rPr>
      </w:pPr>
    </w:p>
    <w:p w14:paraId="0000022D" w14:textId="77777777" w:rsidR="001C40B0" w:rsidRDefault="00291712">
      <w:pPr>
        <w:jc w:val="center"/>
        <w:rPr>
          <w:rFonts w:ascii="Arial" w:eastAsia="Arial" w:hAnsi="Arial" w:cs="Arial"/>
          <w:sz w:val="22"/>
          <w:szCs w:val="22"/>
        </w:rPr>
      </w:pPr>
      <w:r>
        <w:rPr>
          <w:rFonts w:ascii="Arial" w:eastAsia="Arial" w:hAnsi="Arial" w:cs="Arial"/>
          <w:sz w:val="22"/>
          <w:szCs w:val="22"/>
        </w:rPr>
        <w:t>Fuente: Elaboración propia con datos del Instituto Nacional de Salud</w:t>
      </w:r>
    </w:p>
    <w:p w14:paraId="0000022E" w14:textId="77777777" w:rsidR="001C40B0" w:rsidRDefault="001C40B0">
      <w:pPr>
        <w:jc w:val="both"/>
        <w:rPr>
          <w:rFonts w:ascii="Arial" w:eastAsia="Arial" w:hAnsi="Arial" w:cs="Arial"/>
          <w:sz w:val="22"/>
          <w:szCs w:val="22"/>
        </w:rPr>
      </w:pPr>
    </w:p>
    <w:p w14:paraId="0000022F" w14:textId="77777777" w:rsidR="001C40B0" w:rsidRDefault="00291712">
      <w:pPr>
        <w:jc w:val="both"/>
        <w:rPr>
          <w:rFonts w:ascii="Arial" w:eastAsia="Arial" w:hAnsi="Arial" w:cs="Arial"/>
          <w:sz w:val="22"/>
          <w:szCs w:val="22"/>
        </w:rPr>
      </w:pPr>
      <w:r>
        <w:rPr>
          <w:rFonts w:ascii="Arial" w:eastAsia="Arial" w:hAnsi="Arial" w:cs="Arial"/>
          <w:sz w:val="22"/>
          <w:szCs w:val="22"/>
        </w:rPr>
        <w:t>La tasa de donación de órganos en Colombia es muy baja. Desde el año 2006 se ha mantenido por debajo de 10 personas por cada millón de habitantes. Aunque la ley 1806 de 2016 buscó generar un aumento en la tasa de donación, errores en la coordinación nacional han generado que este indicador no haya cambiado en los últimos tres años. Incluso la pandemia perjudicó los niveles de donación y ni siquiera la creación del Instituto Nacional de Salud ha logrado volver a niveles pre pandemia. Para 2023 la tasa fue de 7,4 por cada millón de habitantes.</w:t>
      </w:r>
    </w:p>
    <w:p w14:paraId="00000230"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231" w14:textId="77777777" w:rsidR="001C40B0" w:rsidRDefault="00291712">
      <w:pPr>
        <w:jc w:val="center"/>
        <w:rPr>
          <w:rFonts w:ascii="Arial" w:eastAsia="Arial" w:hAnsi="Arial" w:cs="Arial"/>
          <w:b/>
          <w:bCs/>
          <w:sz w:val="22"/>
          <w:szCs w:val="22"/>
        </w:rPr>
      </w:pPr>
      <w:r>
        <w:rPr>
          <w:rFonts w:ascii="Arial" w:eastAsia="Arial" w:hAnsi="Arial" w:cs="Arial"/>
          <w:b/>
          <w:bCs/>
          <w:sz w:val="22"/>
          <w:szCs w:val="22"/>
        </w:rPr>
        <w:t>Tasa de donación de órganos por millón de habitantes</w:t>
      </w:r>
    </w:p>
    <w:p w14:paraId="00000232" w14:textId="77777777" w:rsidR="001C40B0" w:rsidRDefault="00291712">
      <w:pPr>
        <w:jc w:val="center"/>
        <w:rPr>
          <w:rFonts w:ascii="Arial" w:eastAsia="Arial" w:hAnsi="Arial" w:cs="Arial"/>
          <w:b/>
          <w:bCs/>
          <w:sz w:val="22"/>
          <w:szCs w:val="22"/>
        </w:rPr>
      </w:pPr>
      <w:r>
        <w:rPr>
          <w:noProof/>
        </w:rPr>
        <w:lastRenderedPageBreak/>
        <w:drawing>
          <wp:anchor distT="0" distB="0" distL="0" distR="0" simplePos="0" relativeHeight="251659264" behindDoc="0" locked="0" layoutInCell="1" hidden="0" allowOverlap="1">
            <wp:simplePos x="0" y="0"/>
            <wp:positionH relativeFrom="column">
              <wp:posOffset>0</wp:posOffset>
            </wp:positionH>
            <wp:positionV relativeFrom="paragraph">
              <wp:posOffset>162560</wp:posOffset>
            </wp:positionV>
            <wp:extent cx="5627772" cy="2953512"/>
            <wp:effectExtent l="0" t="0" r="0" b="0"/>
            <wp:wrapTopAndBottom distT="0" dist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627772" cy="2953512"/>
                    </a:xfrm>
                    <a:prstGeom prst="rect">
                      <a:avLst/>
                    </a:prstGeom>
                    <a:ln/>
                  </pic:spPr>
                </pic:pic>
              </a:graphicData>
            </a:graphic>
          </wp:anchor>
        </w:drawing>
      </w:r>
    </w:p>
    <w:p w14:paraId="00000233" w14:textId="77777777" w:rsidR="001C40B0" w:rsidRDefault="001C40B0">
      <w:pPr>
        <w:jc w:val="both"/>
        <w:rPr>
          <w:rFonts w:ascii="Arial" w:eastAsia="Arial" w:hAnsi="Arial" w:cs="Arial"/>
          <w:sz w:val="22"/>
          <w:szCs w:val="22"/>
        </w:rPr>
      </w:pPr>
    </w:p>
    <w:p w14:paraId="00000234" w14:textId="77777777" w:rsidR="001C40B0" w:rsidRDefault="00291712">
      <w:pPr>
        <w:jc w:val="both"/>
        <w:rPr>
          <w:rFonts w:ascii="Arial" w:eastAsia="Arial" w:hAnsi="Arial" w:cs="Arial"/>
          <w:sz w:val="22"/>
          <w:szCs w:val="22"/>
        </w:rPr>
      </w:pPr>
      <w:r>
        <w:rPr>
          <w:rFonts w:ascii="Arial" w:eastAsia="Arial" w:hAnsi="Arial" w:cs="Arial"/>
          <w:sz w:val="22"/>
          <w:szCs w:val="22"/>
        </w:rPr>
        <w:t>Fuente: Instituto Nacional de Salud.</w:t>
      </w:r>
    </w:p>
    <w:p w14:paraId="00000235" w14:textId="77777777" w:rsidR="001C40B0" w:rsidRDefault="001C40B0">
      <w:pPr>
        <w:jc w:val="both"/>
        <w:rPr>
          <w:rFonts w:ascii="Arial" w:eastAsia="Arial" w:hAnsi="Arial" w:cs="Arial"/>
          <w:sz w:val="22"/>
          <w:szCs w:val="22"/>
        </w:rPr>
      </w:pPr>
    </w:p>
    <w:p w14:paraId="00000236" w14:textId="77777777" w:rsidR="001C40B0" w:rsidRDefault="00291712">
      <w:pPr>
        <w:jc w:val="both"/>
        <w:rPr>
          <w:rFonts w:ascii="Arial" w:eastAsia="Arial" w:hAnsi="Arial" w:cs="Arial"/>
          <w:sz w:val="22"/>
          <w:szCs w:val="22"/>
        </w:rPr>
      </w:pPr>
      <w:r>
        <w:rPr>
          <w:rFonts w:ascii="Arial" w:eastAsia="Arial" w:hAnsi="Arial" w:cs="Arial"/>
          <w:sz w:val="22"/>
          <w:szCs w:val="22"/>
        </w:rPr>
        <w:t>Según informe del Instituto Nacional de Salud, a partir de la entrada en vigencia de la Ley 1805 de 2016 se evidenció un aumento importante en la donación, es decir, hubo un incremento en la intención de donar componentes anatómicos con fines terapéuticos, que en 2017 correspondió a 2023 donantes registrados. Sin embargo, lo que continúa siendo fluctuante es el número de extracciones debido a diversas razones, motivo por el que sólo se presentaron 1291 trasplantes de órganos registrados. Sin embargo, las cifras no han tenido un crecimiento acelerado ni correspondiente al crecimiento poblacional. Tasa de trasplantes por millón de habitantes se mantiene en el promedio histórico sin presentar ninguna variación significativa por cambios legales. El sistema necesita coordinación efectiva en todo el sistema de salud para funcionar.</w:t>
      </w:r>
    </w:p>
    <w:p w14:paraId="00000237"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238" w14:textId="77777777" w:rsidR="001C40B0" w:rsidRDefault="00291712">
      <w:pPr>
        <w:jc w:val="center"/>
        <w:rPr>
          <w:rFonts w:ascii="Arial" w:eastAsia="Arial" w:hAnsi="Arial" w:cs="Arial"/>
          <w:b/>
          <w:bCs/>
          <w:sz w:val="22"/>
          <w:szCs w:val="22"/>
        </w:rPr>
      </w:pPr>
      <w:r>
        <w:rPr>
          <w:rFonts w:ascii="Arial" w:eastAsia="Arial" w:hAnsi="Arial" w:cs="Arial"/>
          <w:b/>
          <w:bCs/>
          <w:sz w:val="22"/>
          <w:szCs w:val="22"/>
        </w:rPr>
        <w:t>Histórico número de Trasplantes</w:t>
      </w:r>
    </w:p>
    <w:p w14:paraId="00000239" w14:textId="77777777" w:rsidR="001C40B0" w:rsidRDefault="00291712">
      <w:pPr>
        <w:jc w:val="center"/>
        <w:rPr>
          <w:rFonts w:ascii="Arial" w:eastAsia="Arial" w:hAnsi="Arial" w:cs="Arial"/>
          <w:b/>
          <w:bCs/>
          <w:sz w:val="22"/>
          <w:szCs w:val="22"/>
        </w:rPr>
      </w:pPr>
      <w:r>
        <w:rPr>
          <w:rFonts w:ascii="Arial" w:eastAsia="Arial" w:hAnsi="Arial" w:cs="Arial"/>
          <w:noProof/>
          <w:sz w:val="22"/>
          <w:szCs w:val="22"/>
        </w:rPr>
        <w:lastRenderedPageBreak/>
        <w:drawing>
          <wp:inline distT="0" distB="0" distL="0" distR="0" wp14:editId="357F350E">
            <wp:extent cx="5076825" cy="2657475"/>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076825" cy="2657475"/>
                    </a:xfrm>
                    <a:prstGeom prst="rect">
                      <a:avLst/>
                    </a:prstGeom>
                    <a:ln/>
                  </pic:spPr>
                </pic:pic>
              </a:graphicData>
            </a:graphic>
          </wp:inline>
        </w:drawing>
      </w:r>
    </w:p>
    <w:p w14:paraId="0000023A" w14:textId="77777777" w:rsidR="001C40B0" w:rsidRDefault="00291712">
      <w:pPr>
        <w:jc w:val="both"/>
        <w:rPr>
          <w:rFonts w:ascii="Arial" w:eastAsia="Arial" w:hAnsi="Arial" w:cs="Arial"/>
          <w:sz w:val="22"/>
          <w:szCs w:val="22"/>
        </w:rPr>
      </w:pPr>
      <w:r>
        <w:rPr>
          <w:rFonts w:ascii="Arial" w:eastAsia="Arial" w:hAnsi="Arial" w:cs="Arial"/>
          <w:sz w:val="22"/>
          <w:szCs w:val="22"/>
        </w:rPr>
        <w:t>Fuente: Elaboración propia con datos del Instituto Nacional de Salud</w:t>
      </w:r>
    </w:p>
    <w:p w14:paraId="0000023B" w14:textId="77777777" w:rsidR="001C40B0" w:rsidRDefault="001C40B0">
      <w:pPr>
        <w:jc w:val="both"/>
        <w:rPr>
          <w:rFonts w:ascii="Arial" w:eastAsia="Arial" w:hAnsi="Arial" w:cs="Arial"/>
          <w:sz w:val="22"/>
          <w:szCs w:val="22"/>
        </w:rPr>
      </w:pPr>
    </w:p>
    <w:p w14:paraId="0000023C" w14:textId="77777777" w:rsidR="001C40B0" w:rsidRDefault="00291712">
      <w:pPr>
        <w:jc w:val="center"/>
        <w:rPr>
          <w:rFonts w:ascii="Arial" w:eastAsia="Arial" w:hAnsi="Arial" w:cs="Arial"/>
          <w:b/>
          <w:bCs/>
          <w:sz w:val="22"/>
          <w:szCs w:val="22"/>
        </w:rPr>
      </w:pPr>
      <w:r>
        <w:rPr>
          <w:rFonts w:ascii="Arial" w:eastAsia="Arial" w:hAnsi="Arial" w:cs="Arial"/>
          <w:b/>
          <w:bCs/>
          <w:sz w:val="22"/>
          <w:szCs w:val="22"/>
        </w:rPr>
        <w:t>Tasa de trasplantes por millón de habitantes (p.m.p.)</w:t>
      </w:r>
    </w:p>
    <w:p w14:paraId="0000023D" w14:textId="77777777" w:rsidR="001C40B0" w:rsidRDefault="00291712">
      <w:pPr>
        <w:rPr>
          <w:rFonts w:ascii="Arial" w:eastAsia="Arial" w:hAnsi="Arial" w:cs="Arial"/>
          <w:b/>
          <w:bCs/>
          <w:sz w:val="22"/>
          <w:szCs w:val="22"/>
        </w:rPr>
      </w:pPr>
      <w:r>
        <w:rPr>
          <w:noProof/>
        </w:rPr>
        <w:drawing>
          <wp:anchor distT="0" distB="0" distL="0" distR="0" simplePos="0" relativeHeight="251660288" behindDoc="0" locked="0" layoutInCell="1" hidden="0" allowOverlap="1">
            <wp:simplePos x="0" y="0"/>
            <wp:positionH relativeFrom="column">
              <wp:posOffset>0</wp:posOffset>
            </wp:positionH>
            <wp:positionV relativeFrom="paragraph">
              <wp:posOffset>161925</wp:posOffset>
            </wp:positionV>
            <wp:extent cx="5335029" cy="2831389"/>
            <wp:effectExtent l="0" t="0" r="0" b="0"/>
            <wp:wrapTopAndBottom distT="0" dist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335029" cy="2831389"/>
                    </a:xfrm>
                    <a:prstGeom prst="rect">
                      <a:avLst/>
                    </a:prstGeom>
                    <a:ln/>
                  </pic:spPr>
                </pic:pic>
              </a:graphicData>
            </a:graphic>
          </wp:anchor>
        </w:drawing>
      </w:r>
    </w:p>
    <w:p w14:paraId="0000023E" w14:textId="77777777" w:rsidR="001C40B0" w:rsidRDefault="001C40B0">
      <w:pPr>
        <w:jc w:val="center"/>
        <w:rPr>
          <w:rFonts w:ascii="Arial" w:eastAsia="Arial" w:hAnsi="Arial" w:cs="Arial"/>
          <w:b/>
          <w:bCs/>
          <w:sz w:val="22"/>
          <w:szCs w:val="22"/>
        </w:rPr>
      </w:pPr>
    </w:p>
    <w:p w14:paraId="0000023F" w14:textId="77777777" w:rsidR="001C40B0" w:rsidRDefault="00291712">
      <w:pPr>
        <w:jc w:val="both"/>
        <w:rPr>
          <w:rFonts w:ascii="Arial" w:eastAsia="Arial" w:hAnsi="Arial" w:cs="Arial"/>
          <w:sz w:val="22"/>
          <w:szCs w:val="22"/>
        </w:rPr>
      </w:pPr>
      <w:r>
        <w:rPr>
          <w:rFonts w:ascii="Arial" w:eastAsia="Arial" w:hAnsi="Arial" w:cs="Arial"/>
          <w:sz w:val="22"/>
          <w:szCs w:val="22"/>
        </w:rPr>
        <w:t>Fuente: Instituto Nacional de Salud</w:t>
      </w:r>
    </w:p>
    <w:p w14:paraId="00000240" w14:textId="77777777" w:rsidR="001C40B0" w:rsidRDefault="001C40B0">
      <w:pPr>
        <w:jc w:val="both"/>
        <w:rPr>
          <w:rFonts w:ascii="Arial" w:eastAsia="Arial" w:hAnsi="Arial" w:cs="Arial"/>
          <w:sz w:val="22"/>
          <w:szCs w:val="22"/>
        </w:rPr>
      </w:pPr>
    </w:p>
    <w:p w14:paraId="00000241"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Los datos expuestos en las tablas 1 y 2 confirman la acuciante situación que atraviesan los receptores de tejidos. Al analizar el número efectivo de donantes reales y compararlo con el número de personas en lista de espera (personas que se encuentran esperando un trasplante), se encuentra que existe una gran disparidad entre la oferta y la demanda de órganos y tejidos en el país. En promedio, el número de donantes es apenas una tercera parte del número de personas que se encuentran esperando algún tipo de órgano. Sumado a esto, las cifras muestran que pese a pico de donación evidenciado tras la entrada en vigencia de la </w:t>
      </w:r>
      <w:r>
        <w:rPr>
          <w:rFonts w:ascii="Arial" w:eastAsia="Arial" w:hAnsi="Arial" w:cs="Arial"/>
          <w:sz w:val="22"/>
          <w:szCs w:val="22"/>
        </w:rPr>
        <w:lastRenderedPageBreak/>
        <w:t>Ley 1805 de 2016, el número de personas con necesidad de trasplantes ha aumentado en un desde el año 2010.</w:t>
      </w:r>
    </w:p>
    <w:p w14:paraId="00000242" w14:textId="77777777" w:rsidR="001C40B0" w:rsidRDefault="001C40B0">
      <w:pPr>
        <w:jc w:val="both"/>
        <w:rPr>
          <w:rFonts w:ascii="Arial" w:eastAsia="Arial" w:hAnsi="Arial" w:cs="Arial"/>
          <w:sz w:val="22"/>
          <w:szCs w:val="22"/>
        </w:rPr>
      </w:pPr>
    </w:p>
    <w:p w14:paraId="00000243" w14:textId="77777777" w:rsidR="001C40B0" w:rsidRDefault="00291712">
      <w:pPr>
        <w:jc w:val="center"/>
        <w:rPr>
          <w:rFonts w:ascii="Arial" w:eastAsia="Arial" w:hAnsi="Arial" w:cs="Arial"/>
          <w:b/>
          <w:bCs/>
          <w:sz w:val="22"/>
          <w:szCs w:val="22"/>
        </w:rPr>
      </w:pPr>
      <w:r>
        <w:rPr>
          <w:rFonts w:ascii="Arial" w:eastAsia="Arial" w:hAnsi="Arial" w:cs="Arial"/>
          <w:b/>
          <w:bCs/>
          <w:sz w:val="22"/>
          <w:szCs w:val="22"/>
        </w:rPr>
        <w:t>Tabla 1: Donantes reales en Colombia</w:t>
      </w:r>
    </w:p>
    <w:p w14:paraId="00000244" w14:textId="77777777" w:rsidR="001C40B0" w:rsidRDefault="001C40B0">
      <w:pPr>
        <w:jc w:val="center"/>
        <w:rPr>
          <w:rFonts w:ascii="Arial" w:eastAsia="Arial" w:hAnsi="Arial" w:cs="Arial"/>
          <w:b/>
          <w:bCs/>
          <w:sz w:val="22"/>
          <w:szCs w:val="22"/>
        </w:rPr>
      </w:pPr>
    </w:p>
    <w:tbl>
      <w:tblPr>
        <w:tblStyle w:val="a2"/>
        <w:tblW w:w="7602" w:type="dxa"/>
        <w:tblInd w:w="7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26"/>
        <w:gridCol w:w="1531"/>
        <w:gridCol w:w="1531"/>
        <w:gridCol w:w="1531"/>
        <w:gridCol w:w="1483"/>
      </w:tblGrid>
      <w:tr w:rsidR="001C40B0" w14:paraId="4C2413BA" w14:textId="77777777">
        <w:trPr>
          <w:trHeight w:val="826"/>
        </w:trPr>
        <w:tc>
          <w:tcPr>
            <w:tcW w:w="1526" w:type="dxa"/>
            <w:shd w:val="clear" w:color="auto" w:fill="D9D9D9"/>
          </w:tcPr>
          <w:p w14:paraId="00000245" w14:textId="77777777" w:rsidR="001C40B0" w:rsidRDefault="001C40B0">
            <w:pPr>
              <w:pBdr>
                <w:top w:val="nil"/>
                <w:left w:val="nil"/>
                <w:bottom w:val="nil"/>
                <w:right w:val="nil"/>
                <w:between w:val="nil"/>
              </w:pBdr>
              <w:rPr>
                <w:rFonts w:ascii="Arial" w:eastAsia="Arial" w:hAnsi="Arial" w:cs="Arial"/>
                <w:color w:val="000000"/>
              </w:rPr>
            </w:pPr>
          </w:p>
        </w:tc>
        <w:tc>
          <w:tcPr>
            <w:tcW w:w="1531" w:type="dxa"/>
            <w:shd w:val="clear" w:color="auto" w:fill="D9D9D9"/>
          </w:tcPr>
          <w:p w14:paraId="00000246" w14:textId="77777777" w:rsidR="001C40B0" w:rsidRDefault="00291712">
            <w:pPr>
              <w:pBdr>
                <w:top w:val="nil"/>
                <w:left w:val="nil"/>
                <w:bottom w:val="nil"/>
                <w:right w:val="nil"/>
                <w:between w:val="nil"/>
              </w:pBdr>
              <w:spacing w:before="1"/>
              <w:ind w:left="334" w:right="306" w:hanging="5"/>
              <w:rPr>
                <w:rFonts w:ascii="Arial" w:eastAsia="Arial" w:hAnsi="Arial" w:cs="Arial"/>
                <w:b/>
                <w:bCs/>
                <w:color w:val="000000"/>
              </w:rPr>
            </w:pPr>
            <w:r>
              <w:rPr>
                <w:rFonts w:ascii="Arial" w:eastAsia="Arial" w:hAnsi="Arial" w:cs="Arial"/>
                <w:b/>
                <w:bCs/>
                <w:color w:val="000000"/>
              </w:rPr>
              <w:t>Donantes fallecidos</w:t>
            </w:r>
          </w:p>
        </w:tc>
        <w:tc>
          <w:tcPr>
            <w:tcW w:w="1531" w:type="dxa"/>
            <w:shd w:val="clear" w:color="auto" w:fill="D9D9D9"/>
          </w:tcPr>
          <w:p w14:paraId="00000247" w14:textId="77777777" w:rsidR="001C40B0" w:rsidRDefault="00291712">
            <w:pPr>
              <w:pBdr>
                <w:top w:val="nil"/>
                <w:left w:val="nil"/>
                <w:bottom w:val="nil"/>
                <w:right w:val="nil"/>
                <w:between w:val="nil"/>
              </w:pBdr>
              <w:spacing w:before="1"/>
              <w:ind w:left="493" w:right="306" w:hanging="164"/>
              <w:rPr>
                <w:rFonts w:ascii="Arial" w:eastAsia="Arial" w:hAnsi="Arial" w:cs="Arial"/>
                <w:b/>
                <w:bCs/>
                <w:color w:val="000000"/>
              </w:rPr>
            </w:pPr>
            <w:r>
              <w:rPr>
                <w:rFonts w:ascii="Arial" w:eastAsia="Arial" w:hAnsi="Arial" w:cs="Arial"/>
                <w:b/>
                <w:bCs/>
                <w:color w:val="000000"/>
              </w:rPr>
              <w:t>Donantes reales</w:t>
            </w:r>
          </w:p>
        </w:tc>
        <w:tc>
          <w:tcPr>
            <w:tcW w:w="1531" w:type="dxa"/>
            <w:shd w:val="clear" w:color="auto" w:fill="D9D9D9"/>
          </w:tcPr>
          <w:p w14:paraId="00000248" w14:textId="77777777" w:rsidR="001C40B0" w:rsidRDefault="00291712">
            <w:pPr>
              <w:pBdr>
                <w:top w:val="nil"/>
                <w:left w:val="nil"/>
                <w:bottom w:val="nil"/>
                <w:right w:val="nil"/>
                <w:between w:val="nil"/>
              </w:pBdr>
              <w:spacing w:before="1"/>
              <w:ind w:left="493" w:right="306" w:hanging="164"/>
              <w:rPr>
                <w:rFonts w:ascii="Arial" w:eastAsia="Arial" w:hAnsi="Arial" w:cs="Arial"/>
                <w:b/>
                <w:bCs/>
                <w:color w:val="000000"/>
              </w:rPr>
            </w:pPr>
            <w:r>
              <w:rPr>
                <w:rFonts w:ascii="Arial" w:eastAsia="Arial" w:hAnsi="Arial" w:cs="Arial"/>
                <w:b/>
                <w:bCs/>
                <w:color w:val="000000"/>
              </w:rPr>
              <w:t>Donantes reales</w:t>
            </w:r>
          </w:p>
        </w:tc>
        <w:tc>
          <w:tcPr>
            <w:tcW w:w="1483" w:type="dxa"/>
            <w:shd w:val="clear" w:color="auto" w:fill="D9D9D9"/>
          </w:tcPr>
          <w:p w14:paraId="00000249" w14:textId="77777777" w:rsidR="001C40B0" w:rsidRDefault="00291712">
            <w:pPr>
              <w:pBdr>
                <w:top w:val="nil"/>
                <w:left w:val="nil"/>
                <w:bottom w:val="nil"/>
                <w:right w:val="nil"/>
                <w:between w:val="nil"/>
              </w:pBdr>
              <w:spacing w:before="1"/>
              <w:ind w:left="318" w:hanging="3"/>
              <w:rPr>
                <w:rFonts w:ascii="Arial" w:eastAsia="Arial" w:hAnsi="Arial" w:cs="Arial"/>
                <w:b/>
                <w:bCs/>
                <w:color w:val="000000"/>
              </w:rPr>
            </w:pPr>
            <w:r>
              <w:rPr>
                <w:rFonts w:ascii="Arial" w:eastAsia="Arial" w:hAnsi="Arial" w:cs="Arial"/>
                <w:b/>
                <w:bCs/>
                <w:color w:val="000000"/>
              </w:rPr>
              <w:t>Variación donantes</w:t>
            </w:r>
          </w:p>
          <w:p w14:paraId="0000024A" w14:textId="77777777" w:rsidR="001C40B0" w:rsidRDefault="00291712">
            <w:pPr>
              <w:pBdr>
                <w:top w:val="nil"/>
                <w:left w:val="nil"/>
                <w:bottom w:val="nil"/>
                <w:right w:val="nil"/>
                <w:between w:val="nil"/>
              </w:pBdr>
              <w:spacing w:before="1"/>
              <w:ind w:left="297"/>
              <w:rPr>
                <w:rFonts w:ascii="Arial" w:eastAsia="Arial" w:hAnsi="Arial" w:cs="Arial"/>
                <w:b/>
                <w:bCs/>
                <w:color w:val="000000"/>
              </w:rPr>
            </w:pPr>
            <w:r>
              <w:rPr>
                <w:rFonts w:ascii="Arial" w:eastAsia="Arial" w:hAnsi="Arial" w:cs="Arial"/>
                <w:b/>
                <w:bCs/>
                <w:color w:val="000000"/>
              </w:rPr>
              <w:t>reales (%)</w:t>
            </w:r>
          </w:p>
        </w:tc>
      </w:tr>
      <w:tr w:rsidR="001C40B0" w14:paraId="1F15B1A5" w14:textId="77777777">
        <w:trPr>
          <w:trHeight w:val="402"/>
        </w:trPr>
        <w:tc>
          <w:tcPr>
            <w:tcW w:w="1526" w:type="dxa"/>
            <w:shd w:val="clear" w:color="auto" w:fill="D9D9D9"/>
          </w:tcPr>
          <w:p w14:paraId="0000024B" w14:textId="77777777" w:rsidR="001C40B0" w:rsidRDefault="00291712">
            <w:pPr>
              <w:pBdr>
                <w:top w:val="nil"/>
                <w:left w:val="nil"/>
                <w:bottom w:val="nil"/>
                <w:right w:val="nil"/>
                <w:between w:val="nil"/>
              </w:pBdr>
              <w:spacing w:before="1"/>
              <w:ind w:left="24"/>
              <w:jc w:val="center"/>
              <w:rPr>
                <w:rFonts w:ascii="Arial" w:eastAsia="Arial" w:hAnsi="Arial" w:cs="Arial"/>
                <w:b/>
                <w:bCs/>
                <w:color w:val="000000"/>
              </w:rPr>
            </w:pPr>
            <w:r>
              <w:rPr>
                <w:rFonts w:ascii="Arial" w:eastAsia="Arial" w:hAnsi="Arial" w:cs="Arial"/>
                <w:b/>
                <w:bCs/>
                <w:color w:val="000000"/>
              </w:rPr>
              <w:t>2008</w:t>
            </w:r>
          </w:p>
        </w:tc>
        <w:tc>
          <w:tcPr>
            <w:tcW w:w="1531" w:type="dxa"/>
          </w:tcPr>
          <w:p w14:paraId="0000024C" w14:textId="77777777" w:rsidR="001C40B0" w:rsidRDefault="00291712">
            <w:pPr>
              <w:pBdr>
                <w:top w:val="nil"/>
                <w:left w:val="nil"/>
                <w:bottom w:val="nil"/>
                <w:right w:val="nil"/>
                <w:between w:val="nil"/>
              </w:pBdr>
              <w:spacing w:before="1"/>
              <w:ind w:left="21" w:right="1"/>
              <w:jc w:val="center"/>
              <w:rPr>
                <w:rFonts w:ascii="Arial" w:eastAsia="Arial" w:hAnsi="Arial" w:cs="Arial"/>
                <w:color w:val="000000"/>
              </w:rPr>
            </w:pPr>
            <w:r>
              <w:rPr>
                <w:rFonts w:ascii="Arial" w:eastAsia="Arial" w:hAnsi="Arial" w:cs="Arial"/>
                <w:color w:val="000000"/>
              </w:rPr>
              <w:t>425</w:t>
            </w:r>
          </w:p>
        </w:tc>
        <w:tc>
          <w:tcPr>
            <w:tcW w:w="1531" w:type="dxa"/>
          </w:tcPr>
          <w:p w14:paraId="0000024D" w14:textId="77777777" w:rsidR="001C40B0" w:rsidRDefault="00291712">
            <w:pPr>
              <w:pBdr>
                <w:top w:val="nil"/>
                <w:left w:val="nil"/>
                <w:bottom w:val="nil"/>
                <w:right w:val="nil"/>
                <w:between w:val="nil"/>
              </w:pBdr>
              <w:spacing w:before="1"/>
              <w:ind w:left="21"/>
              <w:jc w:val="center"/>
              <w:rPr>
                <w:rFonts w:ascii="Arial" w:eastAsia="Arial" w:hAnsi="Arial" w:cs="Arial"/>
                <w:color w:val="000000"/>
              </w:rPr>
            </w:pPr>
            <w:r>
              <w:rPr>
                <w:rFonts w:ascii="Arial" w:eastAsia="Arial" w:hAnsi="Arial" w:cs="Arial"/>
                <w:color w:val="000000"/>
              </w:rPr>
              <w:t>67</w:t>
            </w:r>
          </w:p>
        </w:tc>
        <w:tc>
          <w:tcPr>
            <w:tcW w:w="1531" w:type="dxa"/>
          </w:tcPr>
          <w:p w14:paraId="0000024E" w14:textId="77777777" w:rsidR="001C40B0" w:rsidRDefault="00291712">
            <w:pPr>
              <w:pBdr>
                <w:top w:val="nil"/>
                <w:left w:val="nil"/>
                <w:bottom w:val="nil"/>
                <w:right w:val="nil"/>
                <w:between w:val="nil"/>
              </w:pBdr>
              <w:ind w:left="21"/>
              <w:jc w:val="center"/>
              <w:rPr>
                <w:rFonts w:ascii="Arial" w:eastAsia="Arial" w:hAnsi="Arial" w:cs="Arial"/>
                <w:color w:val="000000"/>
              </w:rPr>
            </w:pPr>
            <w:r>
              <w:rPr>
                <w:rFonts w:ascii="Arial" w:eastAsia="Arial" w:hAnsi="Arial" w:cs="Arial"/>
                <w:color w:val="000000"/>
              </w:rPr>
              <w:t>363</w:t>
            </w:r>
          </w:p>
        </w:tc>
        <w:tc>
          <w:tcPr>
            <w:tcW w:w="1483" w:type="dxa"/>
          </w:tcPr>
          <w:p w14:paraId="0000024F" w14:textId="77777777" w:rsidR="001C40B0" w:rsidRDefault="001C40B0">
            <w:pPr>
              <w:pBdr>
                <w:top w:val="nil"/>
                <w:left w:val="nil"/>
                <w:bottom w:val="nil"/>
                <w:right w:val="nil"/>
                <w:between w:val="nil"/>
              </w:pBdr>
              <w:rPr>
                <w:rFonts w:ascii="Arial" w:eastAsia="Arial" w:hAnsi="Arial" w:cs="Arial"/>
                <w:color w:val="000000"/>
              </w:rPr>
            </w:pPr>
          </w:p>
        </w:tc>
      </w:tr>
      <w:tr w:rsidR="001C40B0" w14:paraId="1E4CD013" w14:textId="77777777">
        <w:trPr>
          <w:trHeight w:val="402"/>
        </w:trPr>
        <w:tc>
          <w:tcPr>
            <w:tcW w:w="1526" w:type="dxa"/>
            <w:shd w:val="clear" w:color="auto" w:fill="D9D9D9"/>
          </w:tcPr>
          <w:p w14:paraId="00000250" w14:textId="77777777" w:rsidR="001C40B0" w:rsidRDefault="00291712">
            <w:pPr>
              <w:pBdr>
                <w:top w:val="nil"/>
                <w:left w:val="nil"/>
                <w:bottom w:val="nil"/>
                <w:right w:val="nil"/>
                <w:between w:val="nil"/>
              </w:pBdr>
              <w:spacing w:before="1"/>
              <w:ind w:left="24"/>
              <w:jc w:val="center"/>
              <w:rPr>
                <w:rFonts w:ascii="Arial" w:eastAsia="Arial" w:hAnsi="Arial" w:cs="Arial"/>
                <w:b/>
                <w:bCs/>
                <w:color w:val="000000"/>
              </w:rPr>
            </w:pPr>
            <w:r>
              <w:rPr>
                <w:rFonts w:ascii="Arial" w:eastAsia="Arial" w:hAnsi="Arial" w:cs="Arial"/>
                <w:b/>
                <w:bCs/>
                <w:color w:val="000000"/>
              </w:rPr>
              <w:t>2009</w:t>
            </w:r>
          </w:p>
        </w:tc>
        <w:tc>
          <w:tcPr>
            <w:tcW w:w="1531" w:type="dxa"/>
          </w:tcPr>
          <w:p w14:paraId="00000251" w14:textId="77777777" w:rsidR="001C40B0" w:rsidRDefault="00291712">
            <w:pPr>
              <w:pBdr>
                <w:top w:val="nil"/>
                <w:left w:val="nil"/>
                <w:bottom w:val="nil"/>
                <w:right w:val="nil"/>
                <w:between w:val="nil"/>
              </w:pBdr>
              <w:spacing w:before="1"/>
              <w:ind w:left="21" w:right="1"/>
              <w:jc w:val="center"/>
              <w:rPr>
                <w:rFonts w:ascii="Arial" w:eastAsia="Arial" w:hAnsi="Arial" w:cs="Arial"/>
                <w:color w:val="000000"/>
              </w:rPr>
            </w:pPr>
            <w:r>
              <w:rPr>
                <w:rFonts w:ascii="Arial" w:eastAsia="Arial" w:hAnsi="Arial" w:cs="Arial"/>
                <w:color w:val="000000"/>
              </w:rPr>
              <w:t>554</w:t>
            </w:r>
          </w:p>
        </w:tc>
        <w:tc>
          <w:tcPr>
            <w:tcW w:w="1531" w:type="dxa"/>
          </w:tcPr>
          <w:p w14:paraId="00000252" w14:textId="77777777" w:rsidR="001C40B0" w:rsidRDefault="00291712">
            <w:pPr>
              <w:pBdr>
                <w:top w:val="nil"/>
                <w:left w:val="nil"/>
                <w:bottom w:val="nil"/>
                <w:right w:val="nil"/>
                <w:between w:val="nil"/>
              </w:pBdr>
              <w:spacing w:before="1"/>
              <w:ind w:left="21"/>
              <w:jc w:val="center"/>
              <w:rPr>
                <w:rFonts w:ascii="Arial" w:eastAsia="Arial" w:hAnsi="Arial" w:cs="Arial"/>
                <w:color w:val="000000"/>
              </w:rPr>
            </w:pPr>
            <w:r>
              <w:rPr>
                <w:rFonts w:ascii="Arial" w:eastAsia="Arial" w:hAnsi="Arial" w:cs="Arial"/>
                <w:color w:val="000000"/>
              </w:rPr>
              <w:t>78</w:t>
            </w:r>
          </w:p>
        </w:tc>
        <w:tc>
          <w:tcPr>
            <w:tcW w:w="1531" w:type="dxa"/>
          </w:tcPr>
          <w:p w14:paraId="00000253" w14:textId="77777777" w:rsidR="001C40B0" w:rsidRDefault="00291712">
            <w:pPr>
              <w:pBdr>
                <w:top w:val="nil"/>
                <w:left w:val="nil"/>
                <w:bottom w:val="nil"/>
                <w:right w:val="nil"/>
                <w:between w:val="nil"/>
              </w:pBdr>
              <w:ind w:left="21"/>
              <w:jc w:val="center"/>
              <w:rPr>
                <w:rFonts w:ascii="Arial" w:eastAsia="Arial" w:hAnsi="Arial" w:cs="Arial"/>
                <w:color w:val="000000"/>
              </w:rPr>
            </w:pPr>
            <w:r>
              <w:rPr>
                <w:rFonts w:ascii="Arial" w:eastAsia="Arial" w:hAnsi="Arial" w:cs="Arial"/>
                <w:color w:val="000000"/>
              </w:rPr>
              <w:t>449</w:t>
            </w:r>
          </w:p>
        </w:tc>
        <w:tc>
          <w:tcPr>
            <w:tcW w:w="1483" w:type="dxa"/>
          </w:tcPr>
          <w:p w14:paraId="00000254" w14:textId="77777777" w:rsidR="001C40B0" w:rsidRDefault="00291712">
            <w:pPr>
              <w:pBdr>
                <w:top w:val="nil"/>
                <w:left w:val="nil"/>
                <w:bottom w:val="nil"/>
                <w:right w:val="nil"/>
                <w:between w:val="nil"/>
              </w:pBdr>
              <w:spacing w:before="1"/>
              <w:ind w:left="25"/>
              <w:jc w:val="center"/>
              <w:rPr>
                <w:rFonts w:ascii="Arial" w:eastAsia="Arial" w:hAnsi="Arial" w:cs="Arial"/>
                <w:color w:val="000000"/>
              </w:rPr>
            </w:pPr>
            <w:r>
              <w:rPr>
                <w:rFonts w:ascii="Arial" w:eastAsia="Arial" w:hAnsi="Arial" w:cs="Arial"/>
                <w:color w:val="000000"/>
              </w:rPr>
              <w:t>23.7</w:t>
            </w:r>
          </w:p>
        </w:tc>
      </w:tr>
      <w:tr w:rsidR="001C40B0" w14:paraId="03D7272C" w14:textId="77777777">
        <w:trPr>
          <w:trHeight w:val="402"/>
        </w:trPr>
        <w:tc>
          <w:tcPr>
            <w:tcW w:w="1526" w:type="dxa"/>
            <w:shd w:val="clear" w:color="auto" w:fill="D9D9D9"/>
          </w:tcPr>
          <w:p w14:paraId="00000255" w14:textId="77777777" w:rsidR="001C40B0" w:rsidRDefault="00291712">
            <w:pPr>
              <w:pBdr>
                <w:top w:val="nil"/>
                <w:left w:val="nil"/>
                <w:bottom w:val="nil"/>
                <w:right w:val="nil"/>
                <w:between w:val="nil"/>
              </w:pBdr>
              <w:spacing w:before="1"/>
              <w:ind w:left="24"/>
              <w:jc w:val="center"/>
              <w:rPr>
                <w:rFonts w:ascii="Arial" w:eastAsia="Arial" w:hAnsi="Arial" w:cs="Arial"/>
                <w:b/>
                <w:bCs/>
                <w:color w:val="000000"/>
              </w:rPr>
            </w:pPr>
            <w:r>
              <w:rPr>
                <w:rFonts w:ascii="Arial" w:eastAsia="Arial" w:hAnsi="Arial" w:cs="Arial"/>
                <w:b/>
                <w:bCs/>
                <w:color w:val="000000"/>
              </w:rPr>
              <w:t>2010</w:t>
            </w:r>
          </w:p>
        </w:tc>
        <w:tc>
          <w:tcPr>
            <w:tcW w:w="1531" w:type="dxa"/>
          </w:tcPr>
          <w:p w14:paraId="00000256" w14:textId="77777777" w:rsidR="001C40B0" w:rsidRDefault="00291712">
            <w:pPr>
              <w:pBdr>
                <w:top w:val="nil"/>
                <w:left w:val="nil"/>
                <w:bottom w:val="nil"/>
                <w:right w:val="nil"/>
                <w:between w:val="nil"/>
              </w:pBdr>
              <w:spacing w:before="1"/>
              <w:ind w:left="21" w:right="1"/>
              <w:jc w:val="center"/>
              <w:rPr>
                <w:rFonts w:ascii="Arial" w:eastAsia="Arial" w:hAnsi="Arial" w:cs="Arial"/>
                <w:color w:val="000000"/>
              </w:rPr>
            </w:pPr>
            <w:r>
              <w:rPr>
                <w:rFonts w:ascii="Arial" w:eastAsia="Arial" w:hAnsi="Arial" w:cs="Arial"/>
                <w:color w:val="000000"/>
              </w:rPr>
              <w:t>569</w:t>
            </w:r>
          </w:p>
        </w:tc>
        <w:tc>
          <w:tcPr>
            <w:tcW w:w="1531" w:type="dxa"/>
          </w:tcPr>
          <w:p w14:paraId="00000257" w14:textId="77777777" w:rsidR="001C40B0" w:rsidRDefault="00291712">
            <w:pPr>
              <w:pBdr>
                <w:top w:val="nil"/>
                <w:left w:val="nil"/>
                <w:bottom w:val="nil"/>
                <w:right w:val="nil"/>
                <w:between w:val="nil"/>
              </w:pBdr>
              <w:spacing w:before="1"/>
              <w:ind w:left="21"/>
              <w:jc w:val="center"/>
              <w:rPr>
                <w:rFonts w:ascii="Arial" w:eastAsia="Arial" w:hAnsi="Arial" w:cs="Arial"/>
                <w:color w:val="000000"/>
              </w:rPr>
            </w:pPr>
            <w:r>
              <w:rPr>
                <w:rFonts w:ascii="Arial" w:eastAsia="Arial" w:hAnsi="Arial" w:cs="Arial"/>
                <w:color w:val="000000"/>
              </w:rPr>
              <w:t>73</w:t>
            </w:r>
          </w:p>
        </w:tc>
        <w:tc>
          <w:tcPr>
            <w:tcW w:w="1531" w:type="dxa"/>
          </w:tcPr>
          <w:p w14:paraId="00000258" w14:textId="77777777" w:rsidR="001C40B0" w:rsidRDefault="00291712">
            <w:pPr>
              <w:pBdr>
                <w:top w:val="nil"/>
                <w:left w:val="nil"/>
                <w:bottom w:val="nil"/>
                <w:right w:val="nil"/>
                <w:between w:val="nil"/>
              </w:pBdr>
              <w:ind w:left="21"/>
              <w:jc w:val="center"/>
              <w:rPr>
                <w:rFonts w:ascii="Arial" w:eastAsia="Arial" w:hAnsi="Arial" w:cs="Arial"/>
                <w:color w:val="000000"/>
              </w:rPr>
            </w:pPr>
            <w:r>
              <w:rPr>
                <w:rFonts w:ascii="Arial" w:eastAsia="Arial" w:hAnsi="Arial" w:cs="Arial"/>
                <w:color w:val="000000"/>
              </w:rPr>
              <w:t>439</w:t>
            </w:r>
          </w:p>
        </w:tc>
        <w:tc>
          <w:tcPr>
            <w:tcW w:w="1483" w:type="dxa"/>
          </w:tcPr>
          <w:p w14:paraId="00000259" w14:textId="77777777" w:rsidR="001C40B0" w:rsidRDefault="00291712">
            <w:pPr>
              <w:pBdr>
                <w:top w:val="nil"/>
                <w:left w:val="nil"/>
                <w:bottom w:val="nil"/>
                <w:right w:val="nil"/>
                <w:between w:val="nil"/>
              </w:pBdr>
              <w:spacing w:before="1"/>
              <w:ind w:left="25"/>
              <w:jc w:val="center"/>
              <w:rPr>
                <w:rFonts w:ascii="Arial" w:eastAsia="Arial" w:hAnsi="Arial" w:cs="Arial"/>
                <w:color w:val="000000"/>
              </w:rPr>
            </w:pPr>
            <w:r>
              <w:rPr>
                <w:rFonts w:ascii="Arial" w:eastAsia="Arial" w:hAnsi="Arial" w:cs="Arial"/>
                <w:color w:val="000000"/>
              </w:rPr>
              <w:t>-2.2</w:t>
            </w:r>
          </w:p>
        </w:tc>
      </w:tr>
      <w:tr w:rsidR="001C40B0" w14:paraId="70067449" w14:textId="77777777">
        <w:trPr>
          <w:trHeight w:val="402"/>
        </w:trPr>
        <w:tc>
          <w:tcPr>
            <w:tcW w:w="1526" w:type="dxa"/>
            <w:shd w:val="clear" w:color="auto" w:fill="D9D9D9"/>
          </w:tcPr>
          <w:p w14:paraId="0000025A" w14:textId="77777777" w:rsidR="001C40B0" w:rsidRDefault="00291712">
            <w:pPr>
              <w:pBdr>
                <w:top w:val="nil"/>
                <w:left w:val="nil"/>
                <w:bottom w:val="nil"/>
                <w:right w:val="nil"/>
                <w:between w:val="nil"/>
              </w:pBdr>
              <w:spacing w:before="1"/>
              <w:ind w:left="24"/>
              <w:jc w:val="center"/>
              <w:rPr>
                <w:rFonts w:ascii="Arial" w:eastAsia="Arial" w:hAnsi="Arial" w:cs="Arial"/>
                <w:b/>
                <w:bCs/>
                <w:color w:val="000000"/>
              </w:rPr>
            </w:pPr>
            <w:r>
              <w:rPr>
                <w:rFonts w:ascii="Arial" w:eastAsia="Arial" w:hAnsi="Arial" w:cs="Arial"/>
                <w:b/>
                <w:bCs/>
                <w:color w:val="000000"/>
              </w:rPr>
              <w:t>2011</w:t>
            </w:r>
          </w:p>
        </w:tc>
        <w:tc>
          <w:tcPr>
            <w:tcW w:w="1531" w:type="dxa"/>
          </w:tcPr>
          <w:p w14:paraId="0000025B" w14:textId="77777777" w:rsidR="001C40B0" w:rsidRDefault="00291712">
            <w:pPr>
              <w:pBdr>
                <w:top w:val="nil"/>
                <w:left w:val="nil"/>
                <w:bottom w:val="nil"/>
                <w:right w:val="nil"/>
                <w:between w:val="nil"/>
              </w:pBdr>
              <w:spacing w:before="1"/>
              <w:ind w:left="21" w:right="1"/>
              <w:jc w:val="center"/>
              <w:rPr>
                <w:rFonts w:ascii="Arial" w:eastAsia="Arial" w:hAnsi="Arial" w:cs="Arial"/>
                <w:color w:val="000000"/>
              </w:rPr>
            </w:pPr>
            <w:r>
              <w:rPr>
                <w:rFonts w:ascii="Arial" w:eastAsia="Arial" w:hAnsi="Arial" w:cs="Arial"/>
                <w:color w:val="000000"/>
              </w:rPr>
              <w:t>1007</w:t>
            </w:r>
          </w:p>
        </w:tc>
        <w:tc>
          <w:tcPr>
            <w:tcW w:w="1531" w:type="dxa"/>
          </w:tcPr>
          <w:p w14:paraId="0000025C" w14:textId="77777777" w:rsidR="001C40B0" w:rsidRDefault="00291712">
            <w:pPr>
              <w:pBdr>
                <w:top w:val="nil"/>
                <w:left w:val="nil"/>
                <w:bottom w:val="nil"/>
                <w:right w:val="nil"/>
                <w:between w:val="nil"/>
              </w:pBdr>
              <w:spacing w:before="1"/>
              <w:ind w:left="21"/>
              <w:jc w:val="center"/>
              <w:rPr>
                <w:rFonts w:ascii="Arial" w:eastAsia="Arial" w:hAnsi="Arial" w:cs="Arial"/>
                <w:color w:val="000000"/>
              </w:rPr>
            </w:pPr>
            <w:r>
              <w:rPr>
                <w:rFonts w:ascii="Arial" w:eastAsia="Arial" w:hAnsi="Arial" w:cs="Arial"/>
                <w:color w:val="000000"/>
              </w:rPr>
              <w:t>78</w:t>
            </w:r>
          </w:p>
        </w:tc>
        <w:tc>
          <w:tcPr>
            <w:tcW w:w="1531" w:type="dxa"/>
          </w:tcPr>
          <w:p w14:paraId="0000025D" w14:textId="77777777" w:rsidR="001C40B0" w:rsidRDefault="00291712">
            <w:pPr>
              <w:pBdr>
                <w:top w:val="nil"/>
                <w:left w:val="nil"/>
                <w:bottom w:val="nil"/>
                <w:right w:val="nil"/>
                <w:between w:val="nil"/>
              </w:pBdr>
              <w:ind w:left="21"/>
              <w:jc w:val="center"/>
              <w:rPr>
                <w:rFonts w:ascii="Arial" w:eastAsia="Arial" w:hAnsi="Arial" w:cs="Arial"/>
                <w:color w:val="000000"/>
              </w:rPr>
            </w:pPr>
            <w:r>
              <w:rPr>
                <w:rFonts w:ascii="Arial" w:eastAsia="Arial" w:hAnsi="Arial" w:cs="Arial"/>
                <w:color w:val="000000"/>
              </w:rPr>
              <w:t>392</w:t>
            </w:r>
          </w:p>
        </w:tc>
        <w:tc>
          <w:tcPr>
            <w:tcW w:w="1483" w:type="dxa"/>
          </w:tcPr>
          <w:p w14:paraId="0000025E" w14:textId="77777777" w:rsidR="001C40B0" w:rsidRDefault="00291712">
            <w:pPr>
              <w:pBdr>
                <w:top w:val="nil"/>
                <w:left w:val="nil"/>
                <w:bottom w:val="nil"/>
                <w:right w:val="nil"/>
                <w:between w:val="nil"/>
              </w:pBdr>
              <w:spacing w:before="1"/>
              <w:ind w:left="25"/>
              <w:jc w:val="center"/>
              <w:rPr>
                <w:rFonts w:ascii="Arial" w:eastAsia="Arial" w:hAnsi="Arial" w:cs="Arial"/>
                <w:color w:val="000000"/>
              </w:rPr>
            </w:pPr>
            <w:r>
              <w:rPr>
                <w:rFonts w:ascii="Arial" w:eastAsia="Arial" w:hAnsi="Arial" w:cs="Arial"/>
                <w:color w:val="000000"/>
              </w:rPr>
              <w:t>-10.7</w:t>
            </w:r>
          </w:p>
        </w:tc>
      </w:tr>
      <w:tr w:rsidR="001C40B0" w14:paraId="42A8024A" w14:textId="77777777">
        <w:trPr>
          <w:trHeight w:val="402"/>
        </w:trPr>
        <w:tc>
          <w:tcPr>
            <w:tcW w:w="1526" w:type="dxa"/>
            <w:shd w:val="clear" w:color="auto" w:fill="D9D9D9"/>
          </w:tcPr>
          <w:p w14:paraId="0000025F" w14:textId="77777777" w:rsidR="001C40B0" w:rsidRDefault="00291712">
            <w:pPr>
              <w:pBdr>
                <w:top w:val="nil"/>
                <w:left w:val="nil"/>
                <w:bottom w:val="nil"/>
                <w:right w:val="nil"/>
                <w:between w:val="nil"/>
              </w:pBdr>
              <w:spacing w:before="1"/>
              <w:ind w:left="24"/>
              <w:jc w:val="center"/>
              <w:rPr>
                <w:rFonts w:ascii="Arial" w:eastAsia="Arial" w:hAnsi="Arial" w:cs="Arial"/>
                <w:b/>
                <w:bCs/>
                <w:color w:val="000000"/>
              </w:rPr>
            </w:pPr>
            <w:r>
              <w:rPr>
                <w:rFonts w:ascii="Arial" w:eastAsia="Arial" w:hAnsi="Arial" w:cs="Arial"/>
                <w:b/>
                <w:bCs/>
                <w:color w:val="000000"/>
              </w:rPr>
              <w:t>2012</w:t>
            </w:r>
          </w:p>
        </w:tc>
        <w:tc>
          <w:tcPr>
            <w:tcW w:w="1531" w:type="dxa"/>
          </w:tcPr>
          <w:p w14:paraId="00000260" w14:textId="77777777" w:rsidR="001C40B0" w:rsidRDefault="00291712">
            <w:pPr>
              <w:pBdr>
                <w:top w:val="nil"/>
                <w:left w:val="nil"/>
                <w:bottom w:val="nil"/>
                <w:right w:val="nil"/>
                <w:between w:val="nil"/>
              </w:pBdr>
              <w:spacing w:before="1"/>
              <w:ind w:left="21" w:right="1"/>
              <w:jc w:val="center"/>
              <w:rPr>
                <w:rFonts w:ascii="Arial" w:eastAsia="Arial" w:hAnsi="Arial" w:cs="Arial"/>
                <w:color w:val="000000"/>
              </w:rPr>
            </w:pPr>
            <w:r>
              <w:rPr>
                <w:rFonts w:ascii="Arial" w:eastAsia="Arial" w:hAnsi="Arial" w:cs="Arial"/>
                <w:color w:val="000000"/>
              </w:rPr>
              <w:t>1014</w:t>
            </w:r>
          </w:p>
        </w:tc>
        <w:tc>
          <w:tcPr>
            <w:tcW w:w="1531" w:type="dxa"/>
          </w:tcPr>
          <w:p w14:paraId="00000261" w14:textId="77777777" w:rsidR="001C40B0" w:rsidRDefault="00291712">
            <w:pPr>
              <w:pBdr>
                <w:top w:val="nil"/>
                <w:left w:val="nil"/>
                <w:bottom w:val="nil"/>
                <w:right w:val="nil"/>
                <w:between w:val="nil"/>
              </w:pBdr>
              <w:spacing w:before="1"/>
              <w:ind w:left="21"/>
              <w:jc w:val="center"/>
              <w:rPr>
                <w:rFonts w:ascii="Arial" w:eastAsia="Arial" w:hAnsi="Arial" w:cs="Arial"/>
                <w:color w:val="000000"/>
              </w:rPr>
            </w:pPr>
            <w:r>
              <w:rPr>
                <w:rFonts w:ascii="Arial" w:eastAsia="Arial" w:hAnsi="Arial" w:cs="Arial"/>
                <w:color w:val="000000"/>
              </w:rPr>
              <w:t>94</w:t>
            </w:r>
          </w:p>
        </w:tc>
        <w:tc>
          <w:tcPr>
            <w:tcW w:w="1531" w:type="dxa"/>
          </w:tcPr>
          <w:p w14:paraId="00000262" w14:textId="77777777" w:rsidR="001C40B0" w:rsidRDefault="00291712">
            <w:pPr>
              <w:pBdr>
                <w:top w:val="nil"/>
                <w:left w:val="nil"/>
                <w:bottom w:val="nil"/>
                <w:right w:val="nil"/>
                <w:between w:val="nil"/>
              </w:pBdr>
              <w:ind w:left="21"/>
              <w:jc w:val="center"/>
              <w:rPr>
                <w:rFonts w:ascii="Arial" w:eastAsia="Arial" w:hAnsi="Arial" w:cs="Arial"/>
                <w:color w:val="000000"/>
              </w:rPr>
            </w:pPr>
            <w:r>
              <w:rPr>
                <w:rFonts w:ascii="Arial" w:eastAsia="Arial" w:hAnsi="Arial" w:cs="Arial"/>
                <w:color w:val="000000"/>
              </w:rPr>
              <w:t>373</w:t>
            </w:r>
          </w:p>
        </w:tc>
        <w:tc>
          <w:tcPr>
            <w:tcW w:w="1483" w:type="dxa"/>
          </w:tcPr>
          <w:p w14:paraId="00000263" w14:textId="77777777" w:rsidR="001C40B0" w:rsidRDefault="00291712">
            <w:pPr>
              <w:pBdr>
                <w:top w:val="nil"/>
                <w:left w:val="nil"/>
                <w:bottom w:val="nil"/>
                <w:right w:val="nil"/>
                <w:between w:val="nil"/>
              </w:pBdr>
              <w:spacing w:before="1"/>
              <w:ind w:left="25"/>
              <w:jc w:val="center"/>
              <w:rPr>
                <w:rFonts w:ascii="Arial" w:eastAsia="Arial" w:hAnsi="Arial" w:cs="Arial"/>
                <w:color w:val="000000"/>
              </w:rPr>
            </w:pPr>
            <w:r>
              <w:rPr>
                <w:rFonts w:ascii="Arial" w:eastAsia="Arial" w:hAnsi="Arial" w:cs="Arial"/>
                <w:color w:val="000000"/>
              </w:rPr>
              <w:t>-4.8</w:t>
            </w:r>
          </w:p>
        </w:tc>
      </w:tr>
      <w:tr w:rsidR="001C40B0" w14:paraId="426CAEC5" w14:textId="77777777">
        <w:trPr>
          <w:trHeight w:val="402"/>
        </w:trPr>
        <w:tc>
          <w:tcPr>
            <w:tcW w:w="1526" w:type="dxa"/>
            <w:shd w:val="clear" w:color="auto" w:fill="D9D9D9"/>
          </w:tcPr>
          <w:p w14:paraId="00000264" w14:textId="77777777" w:rsidR="001C40B0" w:rsidRDefault="00291712">
            <w:pPr>
              <w:pBdr>
                <w:top w:val="nil"/>
                <w:left w:val="nil"/>
                <w:bottom w:val="nil"/>
                <w:right w:val="nil"/>
                <w:between w:val="nil"/>
              </w:pBdr>
              <w:spacing w:before="1"/>
              <w:ind w:left="24"/>
              <w:jc w:val="center"/>
              <w:rPr>
                <w:rFonts w:ascii="Arial" w:eastAsia="Arial" w:hAnsi="Arial" w:cs="Arial"/>
                <w:b/>
                <w:bCs/>
                <w:color w:val="000000"/>
              </w:rPr>
            </w:pPr>
            <w:r>
              <w:rPr>
                <w:rFonts w:ascii="Arial" w:eastAsia="Arial" w:hAnsi="Arial" w:cs="Arial"/>
                <w:b/>
                <w:bCs/>
                <w:color w:val="000000"/>
              </w:rPr>
              <w:t>2013</w:t>
            </w:r>
          </w:p>
        </w:tc>
        <w:tc>
          <w:tcPr>
            <w:tcW w:w="1531" w:type="dxa"/>
          </w:tcPr>
          <w:p w14:paraId="00000265" w14:textId="77777777" w:rsidR="001C40B0" w:rsidRDefault="00291712">
            <w:pPr>
              <w:pBdr>
                <w:top w:val="nil"/>
                <w:left w:val="nil"/>
                <w:bottom w:val="nil"/>
                <w:right w:val="nil"/>
                <w:between w:val="nil"/>
              </w:pBdr>
              <w:spacing w:before="1"/>
              <w:ind w:left="21" w:right="1"/>
              <w:jc w:val="center"/>
              <w:rPr>
                <w:rFonts w:ascii="Arial" w:eastAsia="Arial" w:hAnsi="Arial" w:cs="Arial"/>
                <w:color w:val="000000"/>
              </w:rPr>
            </w:pPr>
            <w:r>
              <w:rPr>
                <w:rFonts w:ascii="Arial" w:eastAsia="Arial" w:hAnsi="Arial" w:cs="Arial"/>
                <w:color w:val="000000"/>
              </w:rPr>
              <w:t>843</w:t>
            </w:r>
          </w:p>
        </w:tc>
        <w:tc>
          <w:tcPr>
            <w:tcW w:w="1531" w:type="dxa"/>
          </w:tcPr>
          <w:p w14:paraId="00000266" w14:textId="77777777" w:rsidR="001C40B0" w:rsidRDefault="00291712">
            <w:pPr>
              <w:pBdr>
                <w:top w:val="nil"/>
                <w:left w:val="nil"/>
                <w:bottom w:val="nil"/>
                <w:right w:val="nil"/>
                <w:between w:val="nil"/>
              </w:pBdr>
              <w:spacing w:before="1"/>
              <w:ind w:left="21"/>
              <w:jc w:val="center"/>
              <w:rPr>
                <w:rFonts w:ascii="Arial" w:eastAsia="Arial" w:hAnsi="Arial" w:cs="Arial"/>
                <w:color w:val="000000"/>
              </w:rPr>
            </w:pPr>
            <w:r>
              <w:rPr>
                <w:rFonts w:ascii="Arial" w:eastAsia="Arial" w:hAnsi="Arial" w:cs="Arial"/>
                <w:color w:val="000000"/>
              </w:rPr>
              <w:t>118</w:t>
            </w:r>
          </w:p>
        </w:tc>
        <w:tc>
          <w:tcPr>
            <w:tcW w:w="1531" w:type="dxa"/>
          </w:tcPr>
          <w:p w14:paraId="00000267" w14:textId="77777777" w:rsidR="001C40B0" w:rsidRDefault="00291712">
            <w:pPr>
              <w:pBdr>
                <w:top w:val="nil"/>
                <w:left w:val="nil"/>
                <w:bottom w:val="nil"/>
                <w:right w:val="nil"/>
                <w:between w:val="nil"/>
              </w:pBdr>
              <w:ind w:left="21"/>
              <w:jc w:val="center"/>
              <w:rPr>
                <w:rFonts w:ascii="Arial" w:eastAsia="Arial" w:hAnsi="Arial" w:cs="Arial"/>
                <w:color w:val="000000"/>
              </w:rPr>
            </w:pPr>
            <w:r>
              <w:rPr>
                <w:rFonts w:ascii="Arial" w:eastAsia="Arial" w:hAnsi="Arial" w:cs="Arial"/>
                <w:color w:val="000000"/>
              </w:rPr>
              <w:t>329</w:t>
            </w:r>
          </w:p>
        </w:tc>
        <w:tc>
          <w:tcPr>
            <w:tcW w:w="1483" w:type="dxa"/>
          </w:tcPr>
          <w:p w14:paraId="00000268" w14:textId="77777777" w:rsidR="001C40B0" w:rsidRDefault="00291712">
            <w:pPr>
              <w:pBdr>
                <w:top w:val="nil"/>
                <w:left w:val="nil"/>
                <w:bottom w:val="nil"/>
                <w:right w:val="nil"/>
                <w:between w:val="nil"/>
              </w:pBdr>
              <w:spacing w:before="1"/>
              <w:ind w:left="25"/>
              <w:jc w:val="center"/>
              <w:rPr>
                <w:rFonts w:ascii="Arial" w:eastAsia="Arial" w:hAnsi="Arial" w:cs="Arial"/>
                <w:color w:val="000000"/>
              </w:rPr>
            </w:pPr>
            <w:r>
              <w:rPr>
                <w:rFonts w:ascii="Arial" w:eastAsia="Arial" w:hAnsi="Arial" w:cs="Arial"/>
                <w:color w:val="000000"/>
              </w:rPr>
              <w:t>-11.8</w:t>
            </w:r>
          </w:p>
        </w:tc>
      </w:tr>
      <w:tr w:rsidR="001C40B0" w14:paraId="5E7985E5" w14:textId="77777777">
        <w:trPr>
          <w:trHeight w:val="402"/>
        </w:trPr>
        <w:tc>
          <w:tcPr>
            <w:tcW w:w="1526" w:type="dxa"/>
            <w:shd w:val="clear" w:color="auto" w:fill="D9D9D9"/>
          </w:tcPr>
          <w:p w14:paraId="00000269" w14:textId="77777777" w:rsidR="001C40B0" w:rsidRDefault="00291712">
            <w:pPr>
              <w:pBdr>
                <w:top w:val="nil"/>
                <w:left w:val="nil"/>
                <w:bottom w:val="nil"/>
                <w:right w:val="nil"/>
                <w:between w:val="nil"/>
              </w:pBdr>
              <w:spacing w:before="1"/>
              <w:ind w:left="24"/>
              <w:jc w:val="center"/>
              <w:rPr>
                <w:rFonts w:ascii="Arial" w:eastAsia="Arial" w:hAnsi="Arial" w:cs="Arial"/>
                <w:b/>
                <w:bCs/>
                <w:color w:val="000000"/>
              </w:rPr>
            </w:pPr>
            <w:r>
              <w:rPr>
                <w:rFonts w:ascii="Arial" w:eastAsia="Arial" w:hAnsi="Arial" w:cs="Arial"/>
                <w:b/>
                <w:bCs/>
                <w:color w:val="000000"/>
              </w:rPr>
              <w:t>2014</w:t>
            </w:r>
          </w:p>
        </w:tc>
        <w:tc>
          <w:tcPr>
            <w:tcW w:w="1531" w:type="dxa"/>
          </w:tcPr>
          <w:p w14:paraId="0000026A" w14:textId="77777777" w:rsidR="001C40B0" w:rsidRDefault="00291712">
            <w:pPr>
              <w:pBdr>
                <w:top w:val="nil"/>
                <w:left w:val="nil"/>
                <w:bottom w:val="nil"/>
                <w:right w:val="nil"/>
                <w:between w:val="nil"/>
              </w:pBdr>
              <w:spacing w:before="1"/>
              <w:ind w:left="21" w:right="1"/>
              <w:jc w:val="center"/>
              <w:rPr>
                <w:rFonts w:ascii="Arial" w:eastAsia="Arial" w:hAnsi="Arial" w:cs="Arial"/>
                <w:color w:val="000000"/>
              </w:rPr>
            </w:pPr>
            <w:r>
              <w:rPr>
                <w:rFonts w:ascii="Arial" w:eastAsia="Arial" w:hAnsi="Arial" w:cs="Arial"/>
                <w:color w:val="000000"/>
              </w:rPr>
              <w:t>820</w:t>
            </w:r>
          </w:p>
        </w:tc>
        <w:tc>
          <w:tcPr>
            <w:tcW w:w="1531" w:type="dxa"/>
          </w:tcPr>
          <w:p w14:paraId="0000026B" w14:textId="77777777" w:rsidR="001C40B0" w:rsidRDefault="00291712">
            <w:pPr>
              <w:pBdr>
                <w:top w:val="nil"/>
                <w:left w:val="nil"/>
                <w:bottom w:val="nil"/>
                <w:right w:val="nil"/>
                <w:between w:val="nil"/>
              </w:pBdr>
              <w:spacing w:before="1"/>
              <w:ind w:left="21"/>
              <w:jc w:val="center"/>
              <w:rPr>
                <w:rFonts w:ascii="Arial" w:eastAsia="Arial" w:hAnsi="Arial" w:cs="Arial"/>
                <w:color w:val="000000"/>
              </w:rPr>
            </w:pPr>
            <w:r>
              <w:rPr>
                <w:rFonts w:ascii="Arial" w:eastAsia="Arial" w:hAnsi="Arial" w:cs="Arial"/>
                <w:color w:val="000000"/>
              </w:rPr>
              <w:t>139</w:t>
            </w:r>
          </w:p>
        </w:tc>
        <w:tc>
          <w:tcPr>
            <w:tcW w:w="1531" w:type="dxa"/>
          </w:tcPr>
          <w:p w14:paraId="0000026C" w14:textId="77777777" w:rsidR="001C40B0" w:rsidRDefault="00291712">
            <w:pPr>
              <w:pBdr>
                <w:top w:val="nil"/>
                <w:left w:val="nil"/>
                <w:bottom w:val="nil"/>
                <w:right w:val="nil"/>
                <w:between w:val="nil"/>
              </w:pBdr>
              <w:ind w:left="21"/>
              <w:jc w:val="center"/>
              <w:rPr>
                <w:rFonts w:ascii="Arial" w:eastAsia="Arial" w:hAnsi="Arial" w:cs="Arial"/>
                <w:color w:val="000000"/>
              </w:rPr>
            </w:pPr>
            <w:r>
              <w:rPr>
                <w:rFonts w:ascii="Arial" w:eastAsia="Arial" w:hAnsi="Arial" w:cs="Arial"/>
                <w:color w:val="000000"/>
              </w:rPr>
              <w:t>346</w:t>
            </w:r>
          </w:p>
        </w:tc>
        <w:tc>
          <w:tcPr>
            <w:tcW w:w="1483" w:type="dxa"/>
          </w:tcPr>
          <w:p w14:paraId="0000026D" w14:textId="77777777" w:rsidR="001C40B0" w:rsidRDefault="00291712">
            <w:pPr>
              <w:pBdr>
                <w:top w:val="nil"/>
                <w:left w:val="nil"/>
                <w:bottom w:val="nil"/>
                <w:right w:val="nil"/>
                <w:between w:val="nil"/>
              </w:pBdr>
              <w:spacing w:before="1"/>
              <w:ind w:left="25"/>
              <w:jc w:val="center"/>
              <w:rPr>
                <w:rFonts w:ascii="Arial" w:eastAsia="Arial" w:hAnsi="Arial" w:cs="Arial"/>
                <w:color w:val="000000"/>
              </w:rPr>
            </w:pPr>
            <w:r>
              <w:rPr>
                <w:rFonts w:ascii="Arial" w:eastAsia="Arial" w:hAnsi="Arial" w:cs="Arial"/>
                <w:color w:val="000000"/>
              </w:rPr>
              <w:t>5.2</w:t>
            </w:r>
          </w:p>
        </w:tc>
      </w:tr>
      <w:tr w:rsidR="001C40B0" w14:paraId="77128338" w14:textId="77777777">
        <w:trPr>
          <w:trHeight w:val="402"/>
        </w:trPr>
        <w:tc>
          <w:tcPr>
            <w:tcW w:w="1526" w:type="dxa"/>
            <w:shd w:val="clear" w:color="auto" w:fill="D9D9D9"/>
          </w:tcPr>
          <w:p w14:paraId="0000026E" w14:textId="77777777" w:rsidR="001C40B0" w:rsidRDefault="00291712">
            <w:pPr>
              <w:pBdr>
                <w:top w:val="nil"/>
                <w:left w:val="nil"/>
                <w:bottom w:val="nil"/>
                <w:right w:val="nil"/>
                <w:between w:val="nil"/>
              </w:pBdr>
              <w:spacing w:before="1"/>
              <w:ind w:left="24"/>
              <w:jc w:val="center"/>
              <w:rPr>
                <w:rFonts w:ascii="Arial" w:eastAsia="Arial" w:hAnsi="Arial" w:cs="Arial"/>
                <w:b/>
                <w:bCs/>
                <w:color w:val="000000"/>
              </w:rPr>
            </w:pPr>
            <w:r>
              <w:rPr>
                <w:rFonts w:ascii="Arial" w:eastAsia="Arial" w:hAnsi="Arial" w:cs="Arial"/>
                <w:b/>
                <w:bCs/>
                <w:color w:val="000000"/>
              </w:rPr>
              <w:t>2015</w:t>
            </w:r>
          </w:p>
        </w:tc>
        <w:tc>
          <w:tcPr>
            <w:tcW w:w="1531" w:type="dxa"/>
          </w:tcPr>
          <w:p w14:paraId="0000026F" w14:textId="77777777" w:rsidR="001C40B0" w:rsidRDefault="00291712">
            <w:pPr>
              <w:pBdr>
                <w:top w:val="nil"/>
                <w:left w:val="nil"/>
                <w:bottom w:val="nil"/>
                <w:right w:val="nil"/>
                <w:between w:val="nil"/>
              </w:pBdr>
              <w:spacing w:before="1"/>
              <w:ind w:left="21" w:right="1"/>
              <w:jc w:val="center"/>
              <w:rPr>
                <w:rFonts w:ascii="Arial" w:eastAsia="Arial" w:hAnsi="Arial" w:cs="Arial"/>
                <w:color w:val="000000"/>
              </w:rPr>
            </w:pPr>
            <w:r>
              <w:rPr>
                <w:rFonts w:ascii="Arial" w:eastAsia="Arial" w:hAnsi="Arial" w:cs="Arial"/>
                <w:color w:val="000000"/>
              </w:rPr>
              <w:t>1038</w:t>
            </w:r>
          </w:p>
        </w:tc>
        <w:tc>
          <w:tcPr>
            <w:tcW w:w="1531" w:type="dxa"/>
          </w:tcPr>
          <w:p w14:paraId="00000270" w14:textId="77777777" w:rsidR="001C40B0" w:rsidRDefault="00291712">
            <w:pPr>
              <w:pBdr>
                <w:top w:val="nil"/>
                <w:left w:val="nil"/>
                <w:bottom w:val="nil"/>
                <w:right w:val="nil"/>
                <w:between w:val="nil"/>
              </w:pBdr>
              <w:spacing w:before="1"/>
              <w:ind w:left="21"/>
              <w:jc w:val="center"/>
              <w:rPr>
                <w:rFonts w:ascii="Arial" w:eastAsia="Arial" w:hAnsi="Arial" w:cs="Arial"/>
                <w:color w:val="000000"/>
              </w:rPr>
            </w:pPr>
            <w:r>
              <w:rPr>
                <w:rFonts w:ascii="Arial" w:eastAsia="Arial" w:hAnsi="Arial" w:cs="Arial"/>
                <w:color w:val="000000"/>
              </w:rPr>
              <w:t>166</w:t>
            </w:r>
          </w:p>
        </w:tc>
        <w:tc>
          <w:tcPr>
            <w:tcW w:w="1531" w:type="dxa"/>
          </w:tcPr>
          <w:p w14:paraId="00000271" w14:textId="77777777" w:rsidR="001C40B0" w:rsidRDefault="00291712">
            <w:pPr>
              <w:pBdr>
                <w:top w:val="nil"/>
                <w:left w:val="nil"/>
                <w:bottom w:val="nil"/>
                <w:right w:val="nil"/>
                <w:between w:val="nil"/>
              </w:pBdr>
              <w:ind w:left="21"/>
              <w:jc w:val="center"/>
              <w:rPr>
                <w:rFonts w:ascii="Arial" w:eastAsia="Arial" w:hAnsi="Arial" w:cs="Arial"/>
                <w:color w:val="000000"/>
              </w:rPr>
            </w:pPr>
            <w:r>
              <w:rPr>
                <w:rFonts w:ascii="Arial" w:eastAsia="Arial" w:hAnsi="Arial" w:cs="Arial"/>
                <w:color w:val="000000"/>
              </w:rPr>
              <w:t>405</w:t>
            </w:r>
          </w:p>
        </w:tc>
        <w:tc>
          <w:tcPr>
            <w:tcW w:w="1483" w:type="dxa"/>
          </w:tcPr>
          <w:p w14:paraId="00000272" w14:textId="77777777" w:rsidR="001C40B0" w:rsidRDefault="00291712">
            <w:pPr>
              <w:pBdr>
                <w:top w:val="nil"/>
                <w:left w:val="nil"/>
                <w:bottom w:val="nil"/>
                <w:right w:val="nil"/>
                <w:between w:val="nil"/>
              </w:pBdr>
              <w:spacing w:before="1"/>
              <w:ind w:left="25"/>
              <w:jc w:val="center"/>
              <w:rPr>
                <w:rFonts w:ascii="Arial" w:eastAsia="Arial" w:hAnsi="Arial" w:cs="Arial"/>
                <w:color w:val="000000"/>
              </w:rPr>
            </w:pPr>
            <w:r>
              <w:rPr>
                <w:rFonts w:ascii="Arial" w:eastAsia="Arial" w:hAnsi="Arial" w:cs="Arial"/>
                <w:color w:val="000000"/>
              </w:rPr>
              <w:t>17.1</w:t>
            </w:r>
          </w:p>
        </w:tc>
      </w:tr>
      <w:tr w:rsidR="001C40B0" w14:paraId="1C41042A" w14:textId="77777777">
        <w:trPr>
          <w:trHeight w:val="402"/>
        </w:trPr>
        <w:tc>
          <w:tcPr>
            <w:tcW w:w="1526" w:type="dxa"/>
            <w:shd w:val="clear" w:color="auto" w:fill="D9D9D9"/>
          </w:tcPr>
          <w:p w14:paraId="00000273" w14:textId="77777777" w:rsidR="001C40B0" w:rsidRDefault="00291712">
            <w:pPr>
              <w:pBdr>
                <w:top w:val="nil"/>
                <w:left w:val="nil"/>
                <w:bottom w:val="nil"/>
                <w:right w:val="nil"/>
                <w:between w:val="nil"/>
              </w:pBdr>
              <w:spacing w:before="1"/>
              <w:ind w:left="24"/>
              <w:jc w:val="center"/>
              <w:rPr>
                <w:rFonts w:ascii="Arial" w:eastAsia="Arial" w:hAnsi="Arial" w:cs="Arial"/>
                <w:b/>
                <w:bCs/>
                <w:color w:val="000000"/>
              </w:rPr>
            </w:pPr>
            <w:r>
              <w:rPr>
                <w:rFonts w:ascii="Arial" w:eastAsia="Arial" w:hAnsi="Arial" w:cs="Arial"/>
                <w:b/>
                <w:bCs/>
                <w:color w:val="000000"/>
              </w:rPr>
              <w:t>2016</w:t>
            </w:r>
          </w:p>
        </w:tc>
        <w:tc>
          <w:tcPr>
            <w:tcW w:w="1531" w:type="dxa"/>
          </w:tcPr>
          <w:p w14:paraId="00000274" w14:textId="77777777" w:rsidR="001C40B0" w:rsidRDefault="00291712">
            <w:pPr>
              <w:pBdr>
                <w:top w:val="nil"/>
                <w:left w:val="nil"/>
                <w:bottom w:val="nil"/>
                <w:right w:val="nil"/>
                <w:between w:val="nil"/>
              </w:pBdr>
              <w:spacing w:before="1"/>
              <w:ind w:left="21" w:right="1"/>
              <w:jc w:val="center"/>
              <w:rPr>
                <w:rFonts w:ascii="Arial" w:eastAsia="Arial" w:hAnsi="Arial" w:cs="Arial"/>
                <w:color w:val="000000"/>
              </w:rPr>
            </w:pPr>
            <w:r>
              <w:rPr>
                <w:rFonts w:ascii="Arial" w:eastAsia="Arial" w:hAnsi="Arial" w:cs="Arial"/>
                <w:color w:val="000000"/>
              </w:rPr>
              <w:t>902</w:t>
            </w:r>
          </w:p>
        </w:tc>
        <w:tc>
          <w:tcPr>
            <w:tcW w:w="1531" w:type="dxa"/>
          </w:tcPr>
          <w:p w14:paraId="00000275" w14:textId="77777777" w:rsidR="001C40B0" w:rsidRDefault="00291712">
            <w:pPr>
              <w:pBdr>
                <w:top w:val="nil"/>
                <w:left w:val="nil"/>
                <w:bottom w:val="nil"/>
                <w:right w:val="nil"/>
                <w:between w:val="nil"/>
              </w:pBdr>
              <w:spacing w:before="1"/>
              <w:ind w:left="21"/>
              <w:jc w:val="center"/>
              <w:rPr>
                <w:rFonts w:ascii="Arial" w:eastAsia="Arial" w:hAnsi="Arial" w:cs="Arial"/>
                <w:color w:val="000000"/>
              </w:rPr>
            </w:pPr>
            <w:r>
              <w:rPr>
                <w:rFonts w:ascii="Arial" w:eastAsia="Arial" w:hAnsi="Arial" w:cs="Arial"/>
                <w:color w:val="000000"/>
              </w:rPr>
              <w:t>166</w:t>
            </w:r>
          </w:p>
        </w:tc>
        <w:tc>
          <w:tcPr>
            <w:tcW w:w="1531" w:type="dxa"/>
          </w:tcPr>
          <w:p w14:paraId="00000276" w14:textId="77777777" w:rsidR="001C40B0" w:rsidRDefault="00291712">
            <w:pPr>
              <w:pBdr>
                <w:top w:val="nil"/>
                <w:left w:val="nil"/>
                <w:bottom w:val="nil"/>
                <w:right w:val="nil"/>
                <w:between w:val="nil"/>
              </w:pBdr>
              <w:ind w:left="21"/>
              <w:jc w:val="center"/>
              <w:rPr>
                <w:rFonts w:ascii="Arial" w:eastAsia="Arial" w:hAnsi="Arial" w:cs="Arial"/>
                <w:color w:val="000000"/>
              </w:rPr>
            </w:pPr>
            <w:r>
              <w:rPr>
                <w:rFonts w:ascii="Arial" w:eastAsia="Arial" w:hAnsi="Arial" w:cs="Arial"/>
                <w:color w:val="000000"/>
              </w:rPr>
              <w:t>343</w:t>
            </w:r>
          </w:p>
        </w:tc>
        <w:tc>
          <w:tcPr>
            <w:tcW w:w="1483" w:type="dxa"/>
          </w:tcPr>
          <w:p w14:paraId="00000277" w14:textId="77777777" w:rsidR="001C40B0" w:rsidRDefault="00291712">
            <w:pPr>
              <w:pBdr>
                <w:top w:val="nil"/>
                <w:left w:val="nil"/>
                <w:bottom w:val="nil"/>
                <w:right w:val="nil"/>
                <w:between w:val="nil"/>
              </w:pBdr>
              <w:spacing w:before="1"/>
              <w:ind w:left="25"/>
              <w:jc w:val="center"/>
              <w:rPr>
                <w:rFonts w:ascii="Arial" w:eastAsia="Arial" w:hAnsi="Arial" w:cs="Arial"/>
                <w:color w:val="000000"/>
              </w:rPr>
            </w:pPr>
            <w:r>
              <w:rPr>
                <w:rFonts w:ascii="Arial" w:eastAsia="Arial" w:hAnsi="Arial" w:cs="Arial"/>
                <w:color w:val="000000"/>
              </w:rPr>
              <w:t>-15.3</w:t>
            </w:r>
          </w:p>
        </w:tc>
      </w:tr>
      <w:tr w:rsidR="001C40B0" w14:paraId="05498CD0" w14:textId="77777777">
        <w:trPr>
          <w:trHeight w:val="402"/>
        </w:trPr>
        <w:tc>
          <w:tcPr>
            <w:tcW w:w="1526" w:type="dxa"/>
            <w:shd w:val="clear" w:color="auto" w:fill="D9D9D9"/>
          </w:tcPr>
          <w:p w14:paraId="00000278" w14:textId="77777777" w:rsidR="001C40B0" w:rsidRDefault="00291712">
            <w:pPr>
              <w:pBdr>
                <w:top w:val="nil"/>
                <w:left w:val="nil"/>
                <w:bottom w:val="nil"/>
                <w:right w:val="nil"/>
                <w:between w:val="nil"/>
              </w:pBdr>
              <w:spacing w:before="1"/>
              <w:ind w:left="24"/>
              <w:jc w:val="center"/>
              <w:rPr>
                <w:rFonts w:ascii="Arial" w:eastAsia="Arial" w:hAnsi="Arial" w:cs="Arial"/>
                <w:b/>
                <w:bCs/>
                <w:color w:val="000000"/>
              </w:rPr>
            </w:pPr>
            <w:r>
              <w:rPr>
                <w:rFonts w:ascii="Arial" w:eastAsia="Arial" w:hAnsi="Arial" w:cs="Arial"/>
                <w:b/>
                <w:bCs/>
                <w:color w:val="000000"/>
              </w:rPr>
              <w:t>2017</w:t>
            </w:r>
          </w:p>
        </w:tc>
        <w:tc>
          <w:tcPr>
            <w:tcW w:w="1531" w:type="dxa"/>
          </w:tcPr>
          <w:p w14:paraId="00000279" w14:textId="77777777" w:rsidR="001C40B0" w:rsidRDefault="00291712">
            <w:pPr>
              <w:pBdr>
                <w:top w:val="nil"/>
                <w:left w:val="nil"/>
                <w:bottom w:val="nil"/>
                <w:right w:val="nil"/>
                <w:between w:val="nil"/>
              </w:pBdr>
              <w:spacing w:before="1"/>
              <w:ind w:left="21" w:right="1"/>
              <w:jc w:val="center"/>
              <w:rPr>
                <w:rFonts w:ascii="Arial" w:eastAsia="Arial" w:hAnsi="Arial" w:cs="Arial"/>
                <w:color w:val="000000"/>
              </w:rPr>
            </w:pPr>
            <w:r>
              <w:rPr>
                <w:rFonts w:ascii="Arial" w:eastAsia="Arial" w:hAnsi="Arial" w:cs="Arial"/>
                <w:color w:val="000000"/>
              </w:rPr>
              <w:t>1165</w:t>
            </w:r>
          </w:p>
        </w:tc>
        <w:tc>
          <w:tcPr>
            <w:tcW w:w="1531" w:type="dxa"/>
          </w:tcPr>
          <w:p w14:paraId="0000027A" w14:textId="77777777" w:rsidR="001C40B0" w:rsidRDefault="00291712">
            <w:pPr>
              <w:pBdr>
                <w:top w:val="nil"/>
                <w:left w:val="nil"/>
                <w:bottom w:val="nil"/>
                <w:right w:val="nil"/>
                <w:between w:val="nil"/>
              </w:pBdr>
              <w:spacing w:before="1"/>
              <w:ind w:left="21"/>
              <w:jc w:val="center"/>
              <w:rPr>
                <w:rFonts w:ascii="Arial" w:eastAsia="Arial" w:hAnsi="Arial" w:cs="Arial"/>
                <w:color w:val="000000"/>
              </w:rPr>
            </w:pPr>
            <w:r>
              <w:rPr>
                <w:rFonts w:ascii="Arial" w:eastAsia="Arial" w:hAnsi="Arial" w:cs="Arial"/>
                <w:color w:val="000000"/>
              </w:rPr>
              <w:t>177</w:t>
            </w:r>
          </w:p>
        </w:tc>
        <w:tc>
          <w:tcPr>
            <w:tcW w:w="1531" w:type="dxa"/>
          </w:tcPr>
          <w:p w14:paraId="0000027B" w14:textId="77777777" w:rsidR="001C40B0" w:rsidRDefault="00291712">
            <w:pPr>
              <w:pBdr>
                <w:top w:val="nil"/>
                <w:left w:val="nil"/>
                <w:bottom w:val="nil"/>
                <w:right w:val="nil"/>
                <w:between w:val="nil"/>
              </w:pBdr>
              <w:ind w:left="21"/>
              <w:jc w:val="center"/>
              <w:rPr>
                <w:rFonts w:ascii="Arial" w:eastAsia="Arial" w:hAnsi="Arial" w:cs="Arial"/>
                <w:color w:val="000000"/>
              </w:rPr>
            </w:pPr>
            <w:r>
              <w:rPr>
                <w:rFonts w:ascii="Arial" w:eastAsia="Arial" w:hAnsi="Arial" w:cs="Arial"/>
                <w:color w:val="000000"/>
              </w:rPr>
              <w:t>437</w:t>
            </w:r>
          </w:p>
        </w:tc>
        <w:tc>
          <w:tcPr>
            <w:tcW w:w="1483" w:type="dxa"/>
          </w:tcPr>
          <w:p w14:paraId="0000027C" w14:textId="77777777" w:rsidR="001C40B0" w:rsidRDefault="00291712">
            <w:pPr>
              <w:pBdr>
                <w:top w:val="nil"/>
                <w:left w:val="nil"/>
                <w:bottom w:val="nil"/>
                <w:right w:val="nil"/>
                <w:between w:val="nil"/>
              </w:pBdr>
              <w:spacing w:before="1"/>
              <w:ind w:left="25"/>
              <w:jc w:val="center"/>
              <w:rPr>
                <w:rFonts w:ascii="Arial" w:eastAsia="Arial" w:hAnsi="Arial" w:cs="Arial"/>
                <w:color w:val="000000"/>
              </w:rPr>
            </w:pPr>
            <w:r>
              <w:rPr>
                <w:rFonts w:ascii="Arial" w:eastAsia="Arial" w:hAnsi="Arial" w:cs="Arial"/>
                <w:color w:val="000000"/>
              </w:rPr>
              <w:t>27.4</w:t>
            </w:r>
          </w:p>
        </w:tc>
      </w:tr>
      <w:tr w:rsidR="001C40B0" w14:paraId="71ABBAF6" w14:textId="77777777">
        <w:trPr>
          <w:trHeight w:val="402"/>
        </w:trPr>
        <w:tc>
          <w:tcPr>
            <w:tcW w:w="1526" w:type="dxa"/>
            <w:shd w:val="clear" w:color="auto" w:fill="D9D9D9"/>
          </w:tcPr>
          <w:p w14:paraId="0000027D" w14:textId="77777777" w:rsidR="001C40B0" w:rsidRDefault="00291712">
            <w:pPr>
              <w:pBdr>
                <w:top w:val="nil"/>
                <w:left w:val="nil"/>
                <w:bottom w:val="nil"/>
                <w:right w:val="nil"/>
                <w:between w:val="nil"/>
              </w:pBdr>
              <w:spacing w:before="1"/>
              <w:ind w:left="24"/>
              <w:jc w:val="center"/>
              <w:rPr>
                <w:rFonts w:ascii="Arial" w:eastAsia="Arial" w:hAnsi="Arial" w:cs="Arial"/>
                <w:b/>
                <w:bCs/>
                <w:color w:val="000000"/>
              </w:rPr>
            </w:pPr>
            <w:r>
              <w:rPr>
                <w:rFonts w:ascii="Arial" w:eastAsia="Arial" w:hAnsi="Arial" w:cs="Arial"/>
                <w:b/>
                <w:bCs/>
                <w:color w:val="000000"/>
              </w:rPr>
              <w:t>2018</w:t>
            </w:r>
          </w:p>
        </w:tc>
        <w:tc>
          <w:tcPr>
            <w:tcW w:w="1531" w:type="dxa"/>
          </w:tcPr>
          <w:p w14:paraId="0000027E" w14:textId="77777777" w:rsidR="001C40B0" w:rsidRDefault="00291712">
            <w:pPr>
              <w:pBdr>
                <w:top w:val="nil"/>
                <w:left w:val="nil"/>
                <w:bottom w:val="nil"/>
                <w:right w:val="nil"/>
                <w:between w:val="nil"/>
              </w:pBdr>
              <w:spacing w:before="1"/>
              <w:ind w:left="21" w:right="1"/>
              <w:jc w:val="center"/>
              <w:rPr>
                <w:rFonts w:ascii="Arial" w:eastAsia="Arial" w:hAnsi="Arial" w:cs="Arial"/>
                <w:color w:val="000000"/>
              </w:rPr>
            </w:pPr>
            <w:r>
              <w:rPr>
                <w:rFonts w:ascii="Arial" w:eastAsia="Arial" w:hAnsi="Arial" w:cs="Arial"/>
                <w:color w:val="000000"/>
              </w:rPr>
              <w:t>398</w:t>
            </w:r>
          </w:p>
        </w:tc>
        <w:tc>
          <w:tcPr>
            <w:tcW w:w="1531" w:type="dxa"/>
          </w:tcPr>
          <w:p w14:paraId="0000027F" w14:textId="77777777" w:rsidR="001C40B0" w:rsidRDefault="00291712">
            <w:pPr>
              <w:pBdr>
                <w:top w:val="nil"/>
                <w:left w:val="nil"/>
                <w:bottom w:val="nil"/>
                <w:right w:val="nil"/>
                <w:between w:val="nil"/>
              </w:pBdr>
              <w:spacing w:before="1"/>
              <w:ind w:left="21"/>
              <w:jc w:val="center"/>
              <w:rPr>
                <w:rFonts w:ascii="Arial" w:eastAsia="Arial" w:hAnsi="Arial" w:cs="Arial"/>
                <w:color w:val="000000"/>
              </w:rPr>
            </w:pPr>
            <w:r>
              <w:rPr>
                <w:rFonts w:ascii="Arial" w:eastAsia="Arial" w:hAnsi="Arial" w:cs="Arial"/>
                <w:color w:val="000000"/>
              </w:rPr>
              <w:t>58</w:t>
            </w:r>
          </w:p>
        </w:tc>
        <w:tc>
          <w:tcPr>
            <w:tcW w:w="1531" w:type="dxa"/>
          </w:tcPr>
          <w:p w14:paraId="00000280" w14:textId="77777777" w:rsidR="001C40B0" w:rsidRDefault="00291712">
            <w:pPr>
              <w:pBdr>
                <w:top w:val="nil"/>
                <w:left w:val="nil"/>
                <w:bottom w:val="nil"/>
                <w:right w:val="nil"/>
                <w:between w:val="nil"/>
              </w:pBdr>
              <w:ind w:left="21"/>
              <w:jc w:val="center"/>
              <w:rPr>
                <w:rFonts w:ascii="Arial" w:eastAsia="Arial" w:hAnsi="Arial" w:cs="Arial"/>
                <w:color w:val="000000"/>
              </w:rPr>
            </w:pPr>
            <w:r>
              <w:rPr>
                <w:rFonts w:ascii="Arial" w:eastAsia="Arial" w:hAnsi="Arial" w:cs="Arial"/>
                <w:color w:val="000000"/>
              </w:rPr>
              <w:t>398</w:t>
            </w:r>
          </w:p>
        </w:tc>
        <w:tc>
          <w:tcPr>
            <w:tcW w:w="1483" w:type="dxa"/>
          </w:tcPr>
          <w:p w14:paraId="00000281" w14:textId="77777777" w:rsidR="001C40B0" w:rsidRDefault="00291712">
            <w:pPr>
              <w:pBdr>
                <w:top w:val="nil"/>
                <w:left w:val="nil"/>
                <w:bottom w:val="nil"/>
                <w:right w:val="nil"/>
                <w:between w:val="nil"/>
              </w:pBdr>
              <w:spacing w:before="1"/>
              <w:ind w:left="25"/>
              <w:jc w:val="center"/>
              <w:rPr>
                <w:rFonts w:ascii="Arial" w:eastAsia="Arial" w:hAnsi="Arial" w:cs="Arial"/>
                <w:color w:val="000000"/>
              </w:rPr>
            </w:pPr>
            <w:r>
              <w:rPr>
                <w:rFonts w:ascii="Arial" w:eastAsia="Arial" w:hAnsi="Arial" w:cs="Arial"/>
                <w:color w:val="000000"/>
              </w:rPr>
              <w:t>-8.9</w:t>
            </w:r>
          </w:p>
        </w:tc>
      </w:tr>
      <w:tr w:rsidR="001C40B0" w14:paraId="6430606F" w14:textId="77777777">
        <w:trPr>
          <w:trHeight w:val="402"/>
        </w:trPr>
        <w:tc>
          <w:tcPr>
            <w:tcW w:w="1526" w:type="dxa"/>
            <w:shd w:val="clear" w:color="auto" w:fill="D9D9D9"/>
          </w:tcPr>
          <w:p w14:paraId="00000282" w14:textId="77777777" w:rsidR="001C40B0" w:rsidRDefault="00291712">
            <w:pPr>
              <w:pBdr>
                <w:top w:val="nil"/>
                <w:left w:val="nil"/>
                <w:bottom w:val="nil"/>
                <w:right w:val="nil"/>
                <w:between w:val="nil"/>
              </w:pBdr>
              <w:spacing w:before="1"/>
              <w:ind w:left="24"/>
              <w:jc w:val="center"/>
              <w:rPr>
                <w:rFonts w:ascii="Arial" w:eastAsia="Arial" w:hAnsi="Arial" w:cs="Arial"/>
                <w:b/>
                <w:bCs/>
                <w:color w:val="000000"/>
              </w:rPr>
            </w:pPr>
            <w:r>
              <w:rPr>
                <w:rFonts w:ascii="Arial" w:eastAsia="Arial" w:hAnsi="Arial" w:cs="Arial"/>
                <w:b/>
                <w:bCs/>
                <w:color w:val="000000"/>
              </w:rPr>
              <w:t>2019</w:t>
            </w:r>
          </w:p>
        </w:tc>
        <w:tc>
          <w:tcPr>
            <w:tcW w:w="1531" w:type="dxa"/>
          </w:tcPr>
          <w:p w14:paraId="00000283" w14:textId="77777777" w:rsidR="001C40B0" w:rsidRDefault="00291712">
            <w:pPr>
              <w:pBdr>
                <w:top w:val="nil"/>
                <w:left w:val="nil"/>
                <w:bottom w:val="nil"/>
                <w:right w:val="nil"/>
                <w:between w:val="nil"/>
              </w:pBdr>
              <w:spacing w:before="1"/>
              <w:ind w:left="21" w:right="1"/>
              <w:jc w:val="center"/>
              <w:rPr>
                <w:rFonts w:ascii="Arial" w:eastAsia="Arial" w:hAnsi="Arial" w:cs="Arial"/>
                <w:color w:val="000000"/>
              </w:rPr>
            </w:pPr>
            <w:r>
              <w:rPr>
                <w:rFonts w:ascii="Arial" w:eastAsia="Arial" w:hAnsi="Arial" w:cs="Arial"/>
                <w:color w:val="000000"/>
              </w:rPr>
              <w:t>413</w:t>
            </w:r>
          </w:p>
        </w:tc>
        <w:tc>
          <w:tcPr>
            <w:tcW w:w="1531" w:type="dxa"/>
          </w:tcPr>
          <w:p w14:paraId="00000284" w14:textId="77777777" w:rsidR="001C40B0" w:rsidRDefault="00291712">
            <w:pPr>
              <w:pBdr>
                <w:top w:val="nil"/>
                <w:left w:val="nil"/>
                <w:bottom w:val="nil"/>
                <w:right w:val="nil"/>
                <w:between w:val="nil"/>
              </w:pBdr>
              <w:spacing w:before="1"/>
              <w:ind w:left="21"/>
              <w:jc w:val="center"/>
              <w:rPr>
                <w:rFonts w:ascii="Arial" w:eastAsia="Arial" w:hAnsi="Arial" w:cs="Arial"/>
                <w:color w:val="000000"/>
              </w:rPr>
            </w:pPr>
            <w:r>
              <w:rPr>
                <w:rFonts w:ascii="Arial" w:eastAsia="Arial" w:hAnsi="Arial" w:cs="Arial"/>
                <w:color w:val="000000"/>
              </w:rPr>
              <w:t>228</w:t>
            </w:r>
          </w:p>
        </w:tc>
        <w:tc>
          <w:tcPr>
            <w:tcW w:w="1531" w:type="dxa"/>
          </w:tcPr>
          <w:p w14:paraId="00000285" w14:textId="77777777" w:rsidR="001C40B0" w:rsidRDefault="00291712">
            <w:pPr>
              <w:pBdr>
                <w:top w:val="nil"/>
                <w:left w:val="nil"/>
                <w:bottom w:val="nil"/>
                <w:right w:val="nil"/>
                <w:between w:val="nil"/>
              </w:pBdr>
              <w:ind w:left="21"/>
              <w:jc w:val="center"/>
              <w:rPr>
                <w:rFonts w:ascii="Arial" w:eastAsia="Arial" w:hAnsi="Arial" w:cs="Arial"/>
                <w:color w:val="000000"/>
              </w:rPr>
            </w:pPr>
            <w:r>
              <w:rPr>
                <w:rFonts w:ascii="Arial" w:eastAsia="Arial" w:hAnsi="Arial" w:cs="Arial"/>
                <w:color w:val="000000"/>
              </w:rPr>
              <w:t>417</w:t>
            </w:r>
          </w:p>
        </w:tc>
        <w:tc>
          <w:tcPr>
            <w:tcW w:w="1483" w:type="dxa"/>
          </w:tcPr>
          <w:p w14:paraId="00000286" w14:textId="77777777" w:rsidR="001C40B0" w:rsidRDefault="00291712">
            <w:pPr>
              <w:pBdr>
                <w:top w:val="nil"/>
                <w:left w:val="nil"/>
                <w:bottom w:val="nil"/>
                <w:right w:val="nil"/>
                <w:between w:val="nil"/>
              </w:pBdr>
              <w:spacing w:before="1"/>
              <w:ind w:left="25"/>
              <w:jc w:val="center"/>
              <w:rPr>
                <w:rFonts w:ascii="Arial" w:eastAsia="Arial" w:hAnsi="Arial" w:cs="Arial"/>
                <w:color w:val="000000"/>
              </w:rPr>
            </w:pPr>
            <w:r>
              <w:rPr>
                <w:rFonts w:ascii="Arial" w:eastAsia="Arial" w:hAnsi="Arial" w:cs="Arial"/>
                <w:color w:val="000000"/>
              </w:rPr>
              <w:t>4.8</w:t>
            </w:r>
          </w:p>
        </w:tc>
      </w:tr>
      <w:tr w:rsidR="001C40B0" w14:paraId="2EF05FE9" w14:textId="77777777">
        <w:trPr>
          <w:trHeight w:val="402"/>
        </w:trPr>
        <w:tc>
          <w:tcPr>
            <w:tcW w:w="1526" w:type="dxa"/>
            <w:shd w:val="clear" w:color="auto" w:fill="D9D9D9"/>
          </w:tcPr>
          <w:p w14:paraId="00000287" w14:textId="77777777" w:rsidR="001C40B0" w:rsidRDefault="00291712">
            <w:pPr>
              <w:pBdr>
                <w:top w:val="nil"/>
                <w:left w:val="nil"/>
                <w:bottom w:val="nil"/>
                <w:right w:val="nil"/>
                <w:between w:val="nil"/>
              </w:pBdr>
              <w:spacing w:before="1"/>
              <w:ind w:left="24"/>
              <w:jc w:val="center"/>
              <w:rPr>
                <w:rFonts w:ascii="Arial" w:eastAsia="Arial" w:hAnsi="Arial" w:cs="Arial"/>
                <w:b/>
                <w:bCs/>
                <w:color w:val="000000"/>
              </w:rPr>
            </w:pPr>
            <w:r>
              <w:rPr>
                <w:rFonts w:ascii="Arial" w:eastAsia="Arial" w:hAnsi="Arial" w:cs="Arial"/>
                <w:b/>
                <w:bCs/>
                <w:color w:val="000000"/>
              </w:rPr>
              <w:t>2020</w:t>
            </w:r>
          </w:p>
        </w:tc>
        <w:tc>
          <w:tcPr>
            <w:tcW w:w="1531" w:type="dxa"/>
          </w:tcPr>
          <w:p w14:paraId="00000288" w14:textId="77777777" w:rsidR="001C40B0" w:rsidRDefault="00291712">
            <w:pPr>
              <w:pBdr>
                <w:top w:val="nil"/>
                <w:left w:val="nil"/>
                <w:bottom w:val="nil"/>
                <w:right w:val="nil"/>
                <w:between w:val="nil"/>
              </w:pBdr>
              <w:spacing w:before="1"/>
              <w:ind w:left="21" w:right="1"/>
              <w:jc w:val="center"/>
              <w:rPr>
                <w:rFonts w:ascii="Arial" w:eastAsia="Arial" w:hAnsi="Arial" w:cs="Arial"/>
                <w:color w:val="000000"/>
              </w:rPr>
            </w:pPr>
            <w:r>
              <w:rPr>
                <w:rFonts w:ascii="Arial" w:eastAsia="Arial" w:hAnsi="Arial" w:cs="Arial"/>
                <w:color w:val="000000"/>
              </w:rPr>
              <w:t>222</w:t>
            </w:r>
          </w:p>
        </w:tc>
        <w:tc>
          <w:tcPr>
            <w:tcW w:w="1531" w:type="dxa"/>
          </w:tcPr>
          <w:p w14:paraId="00000289" w14:textId="77777777" w:rsidR="001C40B0" w:rsidRDefault="00291712">
            <w:pPr>
              <w:pBdr>
                <w:top w:val="nil"/>
                <w:left w:val="nil"/>
                <w:bottom w:val="nil"/>
                <w:right w:val="nil"/>
                <w:between w:val="nil"/>
              </w:pBdr>
              <w:spacing w:before="1"/>
              <w:ind w:left="21"/>
              <w:jc w:val="center"/>
              <w:rPr>
                <w:rFonts w:ascii="Arial" w:eastAsia="Arial" w:hAnsi="Arial" w:cs="Arial"/>
                <w:color w:val="000000"/>
              </w:rPr>
            </w:pPr>
            <w:r>
              <w:rPr>
                <w:rFonts w:ascii="Arial" w:eastAsia="Arial" w:hAnsi="Arial" w:cs="Arial"/>
                <w:color w:val="000000"/>
              </w:rPr>
              <w:t>192</w:t>
            </w:r>
          </w:p>
        </w:tc>
        <w:tc>
          <w:tcPr>
            <w:tcW w:w="1531" w:type="dxa"/>
          </w:tcPr>
          <w:p w14:paraId="0000028A" w14:textId="77777777" w:rsidR="001C40B0" w:rsidRDefault="00291712">
            <w:pPr>
              <w:pBdr>
                <w:top w:val="nil"/>
                <w:left w:val="nil"/>
                <w:bottom w:val="nil"/>
                <w:right w:val="nil"/>
                <w:between w:val="nil"/>
              </w:pBdr>
              <w:ind w:left="21"/>
              <w:jc w:val="center"/>
              <w:rPr>
                <w:rFonts w:ascii="Arial" w:eastAsia="Arial" w:hAnsi="Arial" w:cs="Arial"/>
                <w:color w:val="000000"/>
              </w:rPr>
            </w:pPr>
            <w:r>
              <w:rPr>
                <w:rFonts w:ascii="Arial" w:eastAsia="Arial" w:hAnsi="Arial" w:cs="Arial"/>
                <w:color w:val="000000"/>
              </w:rPr>
              <w:t>222</w:t>
            </w:r>
          </w:p>
        </w:tc>
        <w:tc>
          <w:tcPr>
            <w:tcW w:w="1483" w:type="dxa"/>
          </w:tcPr>
          <w:p w14:paraId="0000028B" w14:textId="77777777" w:rsidR="001C40B0" w:rsidRDefault="00291712">
            <w:pPr>
              <w:pBdr>
                <w:top w:val="nil"/>
                <w:left w:val="nil"/>
                <w:bottom w:val="nil"/>
                <w:right w:val="nil"/>
                <w:between w:val="nil"/>
              </w:pBdr>
              <w:spacing w:before="1"/>
              <w:ind w:left="25"/>
              <w:jc w:val="center"/>
              <w:rPr>
                <w:rFonts w:ascii="Arial" w:eastAsia="Arial" w:hAnsi="Arial" w:cs="Arial"/>
                <w:color w:val="000000"/>
              </w:rPr>
            </w:pPr>
            <w:r>
              <w:rPr>
                <w:rFonts w:ascii="Arial" w:eastAsia="Arial" w:hAnsi="Arial" w:cs="Arial"/>
                <w:color w:val="000000"/>
              </w:rPr>
              <w:t>-46.8</w:t>
            </w:r>
          </w:p>
        </w:tc>
      </w:tr>
      <w:tr w:rsidR="001C40B0" w14:paraId="569C4276" w14:textId="77777777">
        <w:trPr>
          <w:trHeight w:val="402"/>
        </w:trPr>
        <w:tc>
          <w:tcPr>
            <w:tcW w:w="1526" w:type="dxa"/>
            <w:shd w:val="clear" w:color="auto" w:fill="D9D9D9"/>
          </w:tcPr>
          <w:p w14:paraId="0000028C" w14:textId="77777777" w:rsidR="001C40B0" w:rsidRDefault="00291712">
            <w:pPr>
              <w:pBdr>
                <w:top w:val="nil"/>
                <w:left w:val="nil"/>
                <w:bottom w:val="nil"/>
                <w:right w:val="nil"/>
                <w:between w:val="nil"/>
              </w:pBdr>
              <w:spacing w:before="6"/>
              <w:ind w:left="24"/>
              <w:jc w:val="center"/>
              <w:rPr>
                <w:rFonts w:ascii="Arial" w:eastAsia="Arial" w:hAnsi="Arial" w:cs="Arial"/>
                <w:b/>
                <w:bCs/>
                <w:color w:val="000000"/>
              </w:rPr>
            </w:pPr>
            <w:r>
              <w:rPr>
                <w:rFonts w:ascii="Arial" w:eastAsia="Arial" w:hAnsi="Arial" w:cs="Arial"/>
                <w:b/>
                <w:bCs/>
                <w:color w:val="000000"/>
              </w:rPr>
              <w:t>2021</w:t>
            </w:r>
          </w:p>
        </w:tc>
        <w:tc>
          <w:tcPr>
            <w:tcW w:w="1531" w:type="dxa"/>
          </w:tcPr>
          <w:p w14:paraId="0000028D" w14:textId="77777777" w:rsidR="001C40B0" w:rsidRDefault="00291712">
            <w:pPr>
              <w:pBdr>
                <w:top w:val="nil"/>
                <w:left w:val="nil"/>
                <w:bottom w:val="nil"/>
                <w:right w:val="nil"/>
                <w:between w:val="nil"/>
              </w:pBdr>
              <w:spacing w:before="6"/>
              <w:ind w:left="21" w:right="1"/>
              <w:jc w:val="center"/>
              <w:rPr>
                <w:rFonts w:ascii="Arial" w:eastAsia="Arial" w:hAnsi="Arial" w:cs="Arial"/>
                <w:color w:val="000000"/>
              </w:rPr>
            </w:pPr>
            <w:r>
              <w:rPr>
                <w:rFonts w:ascii="Arial" w:eastAsia="Arial" w:hAnsi="Arial" w:cs="Arial"/>
                <w:color w:val="000000"/>
              </w:rPr>
              <w:t>269</w:t>
            </w:r>
          </w:p>
        </w:tc>
        <w:tc>
          <w:tcPr>
            <w:tcW w:w="1531" w:type="dxa"/>
          </w:tcPr>
          <w:p w14:paraId="0000028E" w14:textId="77777777" w:rsidR="001C40B0" w:rsidRDefault="00291712">
            <w:pPr>
              <w:pBdr>
                <w:top w:val="nil"/>
                <w:left w:val="nil"/>
                <w:bottom w:val="nil"/>
                <w:right w:val="nil"/>
                <w:between w:val="nil"/>
              </w:pBdr>
              <w:spacing w:before="6"/>
              <w:ind w:left="21"/>
              <w:jc w:val="center"/>
              <w:rPr>
                <w:rFonts w:ascii="Arial" w:eastAsia="Arial" w:hAnsi="Arial" w:cs="Arial"/>
                <w:color w:val="000000"/>
              </w:rPr>
            </w:pPr>
            <w:r>
              <w:rPr>
                <w:rFonts w:ascii="Arial" w:eastAsia="Arial" w:hAnsi="Arial" w:cs="Arial"/>
                <w:color w:val="000000"/>
              </w:rPr>
              <w:t>214</w:t>
            </w:r>
          </w:p>
        </w:tc>
        <w:tc>
          <w:tcPr>
            <w:tcW w:w="1531" w:type="dxa"/>
          </w:tcPr>
          <w:p w14:paraId="0000028F" w14:textId="77777777" w:rsidR="001C40B0" w:rsidRDefault="00291712">
            <w:pPr>
              <w:pBdr>
                <w:top w:val="nil"/>
                <w:left w:val="nil"/>
                <w:bottom w:val="nil"/>
                <w:right w:val="nil"/>
                <w:between w:val="nil"/>
              </w:pBdr>
              <w:spacing w:before="5"/>
              <w:ind w:left="21"/>
              <w:jc w:val="center"/>
              <w:rPr>
                <w:rFonts w:ascii="Arial" w:eastAsia="Arial" w:hAnsi="Arial" w:cs="Arial"/>
                <w:color w:val="000000"/>
              </w:rPr>
            </w:pPr>
            <w:r>
              <w:rPr>
                <w:rFonts w:ascii="Arial" w:eastAsia="Arial" w:hAnsi="Arial" w:cs="Arial"/>
                <w:color w:val="000000"/>
              </w:rPr>
              <w:t>268</w:t>
            </w:r>
          </w:p>
        </w:tc>
        <w:tc>
          <w:tcPr>
            <w:tcW w:w="1483" w:type="dxa"/>
          </w:tcPr>
          <w:p w14:paraId="00000290" w14:textId="77777777" w:rsidR="001C40B0" w:rsidRDefault="00291712">
            <w:pPr>
              <w:pBdr>
                <w:top w:val="nil"/>
                <w:left w:val="nil"/>
                <w:bottom w:val="nil"/>
                <w:right w:val="nil"/>
                <w:between w:val="nil"/>
              </w:pBdr>
              <w:spacing w:before="6"/>
              <w:ind w:left="25"/>
              <w:jc w:val="center"/>
              <w:rPr>
                <w:rFonts w:ascii="Arial" w:eastAsia="Arial" w:hAnsi="Arial" w:cs="Arial"/>
                <w:color w:val="000000"/>
              </w:rPr>
            </w:pPr>
            <w:r>
              <w:rPr>
                <w:rFonts w:ascii="Arial" w:eastAsia="Arial" w:hAnsi="Arial" w:cs="Arial"/>
                <w:color w:val="000000"/>
              </w:rPr>
              <w:t>20.7</w:t>
            </w:r>
          </w:p>
        </w:tc>
      </w:tr>
      <w:tr w:rsidR="001C40B0" w14:paraId="43AE9A62" w14:textId="77777777">
        <w:trPr>
          <w:trHeight w:val="407"/>
        </w:trPr>
        <w:tc>
          <w:tcPr>
            <w:tcW w:w="1526" w:type="dxa"/>
            <w:shd w:val="clear" w:color="auto" w:fill="D9D9D9"/>
          </w:tcPr>
          <w:p w14:paraId="00000291" w14:textId="77777777" w:rsidR="001C40B0" w:rsidRDefault="00291712">
            <w:pPr>
              <w:pBdr>
                <w:top w:val="nil"/>
                <w:left w:val="nil"/>
                <w:bottom w:val="nil"/>
                <w:right w:val="nil"/>
                <w:between w:val="nil"/>
              </w:pBdr>
              <w:spacing w:before="6"/>
              <w:ind w:left="24"/>
              <w:jc w:val="center"/>
              <w:rPr>
                <w:rFonts w:ascii="Arial" w:eastAsia="Arial" w:hAnsi="Arial" w:cs="Arial"/>
                <w:b/>
                <w:bCs/>
                <w:color w:val="000000"/>
              </w:rPr>
            </w:pPr>
            <w:r>
              <w:rPr>
                <w:rFonts w:ascii="Arial" w:eastAsia="Arial" w:hAnsi="Arial" w:cs="Arial"/>
                <w:b/>
                <w:bCs/>
                <w:color w:val="000000"/>
              </w:rPr>
              <w:t>2022</w:t>
            </w:r>
          </w:p>
        </w:tc>
        <w:tc>
          <w:tcPr>
            <w:tcW w:w="1531" w:type="dxa"/>
          </w:tcPr>
          <w:p w14:paraId="00000292" w14:textId="77777777" w:rsidR="001C40B0" w:rsidRDefault="00291712">
            <w:pPr>
              <w:pBdr>
                <w:top w:val="nil"/>
                <w:left w:val="nil"/>
                <w:bottom w:val="nil"/>
                <w:right w:val="nil"/>
                <w:between w:val="nil"/>
              </w:pBdr>
              <w:spacing w:before="6"/>
              <w:ind w:left="21" w:right="1"/>
              <w:jc w:val="center"/>
              <w:rPr>
                <w:rFonts w:ascii="Arial" w:eastAsia="Arial" w:hAnsi="Arial" w:cs="Arial"/>
                <w:color w:val="000000"/>
              </w:rPr>
            </w:pPr>
            <w:r>
              <w:rPr>
                <w:rFonts w:ascii="Arial" w:eastAsia="Arial" w:hAnsi="Arial" w:cs="Arial"/>
                <w:color w:val="000000"/>
              </w:rPr>
              <w:t>332</w:t>
            </w:r>
          </w:p>
        </w:tc>
        <w:tc>
          <w:tcPr>
            <w:tcW w:w="1531" w:type="dxa"/>
          </w:tcPr>
          <w:p w14:paraId="00000293" w14:textId="77777777" w:rsidR="001C40B0" w:rsidRDefault="00291712">
            <w:pPr>
              <w:pBdr>
                <w:top w:val="nil"/>
                <w:left w:val="nil"/>
                <w:bottom w:val="nil"/>
                <w:right w:val="nil"/>
                <w:between w:val="nil"/>
              </w:pBdr>
              <w:spacing w:before="6"/>
              <w:ind w:left="21"/>
              <w:jc w:val="center"/>
              <w:rPr>
                <w:rFonts w:ascii="Arial" w:eastAsia="Arial" w:hAnsi="Arial" w:cs="Arial"/>
                <w:color w:val="000000"/>
              </w:rPr>
            </w:pPr>
            <w:r>
              <w:rPr>
                <w:rFonts w:ascii="Arial" w:eastAsia="Arial" w:hAnsi="Arial" w:cs="Arial"/>
                <w:color w:val="000000"/>
              </w:rPr>
              <w:t>309</w:t>
            </w:r>
          </w:p>
        </w:tc>
        <w:tc>
          <w:tcPr>
            <w:tcW w:w="1531" w:type="dxa"/>
          </w:tcPr>
          <w:p w14:paraId="00000294" w14:textId="77777777" w:rsidR="001C40B0" w:rsidRDefault="00291712">
            <w:pPr>
              <w:pBdr>
                <w:top w:val="nil"/>
                <w:left w:val="nil"/>
                <w:bottom w:val="nil"/>
                <w:right w:val="nil"/>
                <w:between w:val="nil"/>
              </w:pBdr>
              <w:spacing w:before="5"/>
              <w:ind w:left="21"/>
              <w:jc w:val="center"/>
              <w:rPr>
                <w:rFonts w:ascii="Arial" w:eastAsia="Arial" w:hAnsi="Arial" w:cs="Arial"/>
                <w:color w:val="000000"/>
              </w:rPr>
            </w:pPr>
            <w:r>
              <w:rPr>
                <w:rFonts w:ascii="Arial" w:eastAsia="Arial" w:hAnsi="Arial" w:cs="Arial"/>
                <w:color w:val="000000"/>
              </w:rPr>
              <w:t>332</w:t>
            </w:r>
          </w:p>
        </w:tc>
        <w:tc>
          <w:tcPr>
            <w:tcW w:w="1483" w:type="dxa"/>
          </w:tcPr>
          <w:p w14:paraId="00000295" w14:textId="77777777" w:rsidR="001C40B0" w:rsidRDefault="00291712">
            <w:pPr>
              <w:pBdr>
                <w:top w:val="nil"/>
                <w:left w:val="nil"/>
                <w:bottom w:val="nil"/>
                <w:right w:val="nil"/>
                <w:between w:val="nil"/>
              </w:pBdr>
              <w:spacing w:before="6"/>
              <w:ind w:left="25"/>
              <w:jc w:val="center"/>
              <w:rPr>
                <w:rFonts w:ascii="Arial" w:eastAsia="Arial" w:hAnsi="Arial" w:cs="Arial"/>
                <w:color w:val="000000"/>
              </w:rPr>
            </w:pPr>
            <w:r>
              <w:rPr>
                <w:rFonts w:ascii="Arial" w:eastAsia="Arial" w:hAnsi="Arial" w:cs="Arial"/>
                <w:color w:val="000000"/>
              </w:rPr>
              <w:t>23.9</w:t>
            </w:r>
          </w:p>
        </w:tc>
      </w:tr>
      <w:tr w:rsidR="001C40B0" w14:paraId="1C658290" w14:textId="77777777">
        <w:trPr>
          <w:trHeight w:val="402"/>
        </w:trPr>
        <w:tc>
          <w:tcPr>
            <w:tcW w:w="1526" w:type="dxa"/>
            <w:shd w:val="clear" w:color="auto" w:fill="D9D9D9"/>
          </w:tcPr>
          <w:p w14:paraId="00000296" w14:textId="77777777" w:rsidR="001C40B0" w:rsidRDefault="00291712">
            <w:pPr>
              <w:pBdr>
                <w:top w:val="nil"/>
                <w:left w:val="nil"/>
                <w:bottom w:val="nil"/>
                <w:right w:val="nil"/>
                <w:between w:val="nil"/>
              </w:pBdr>
              <w:spacing w:before="1"/>
              <w:ind w:left="24"/>
              <w:jc w:val="center"/>
              <w:rPr>
                <w:rFonts w:ascii="Arial" w:eastAsia="Arial" w:hAnsi="Arial" w:cs="Arial"/>
                <w:b/>
                <w:bCs/>
                <w:color w:val="000000"/>
              </w:rPr>
            </w:pPr>
            <w:r>
              <w:rPr>
                <w:rFonts w:ascii="Arial" w:eastAsia="Arial" w:hAnsi="Arial" w:cs="Arial"/>
                <w:b/>
                <w:bCs/>
                <w:color w:val="000000"/>
              </w:rPr>
              <w:t>2023</w:t>
            </w:r>
          </w:p>
        </w:tc>
        <w:tc>
          <w:tcPr>
            <w:tcW w:w="1531" w:type="dxa"/>
          </w:tcPr>
          <w:p w14:paraId="00000297" w14:textId="77777777" w:rsidR="001C40B0" w:rsidRDefault="00291712">
            <w:pPr>
              <w:pBdr>
                <w:top w:val="nil"/>
                <w:left w:val="nil"/>
                <w:bottom w:val="nil"/>
                <w:right w:val="nil"/>
                <w:between w:val="nil"/>
              </w:pBdr>
              <w:spacing w:before="1"/>
              <w:ind w:left="21" w:right="1"/>
              <w:jc w:val="center"/>
              <w:rPr>
                <w:rFonts w:ascii="Arial" w:eastAsia="Arial" w:hAnsi="Arial" w:cs="Arial"/>
                <w:color w:val="000000"/>
              </w:rPr>
            </w:pPr>
            <w:r>
              <w:rPr>
                <w:rFonts w:ascii="Arial" w:eastAsia="Arial" w:hAnsi="Arial" w:cs="Arial"/>
                <w:color w:val="000000"/>
              </w:rPr>
              <w:t>338</w:t>
            </w:r>
          </w:p>
        </w:tc>
        <w:tc>
          <w:tcPr>
            <w:tcW w:w="1531" w:type="dxa"/>
          </w:tcPr>
          <w:p w14:paraId="00000298" w14:textId="77777777" w:rsidR="001C40B0" w:rsidRDefault="00291712">
            <w:pPr>
              <w:pBdr>
                <w:top w:val="nil"/>
                <w:left w:val="nil"/>
                <w:bottom w:val="nil"/>
                <w:right w:val="nil"/>
                <w:between w:val="nil"/>
              </w:pBdr>
              <w:spacing w:before="1"/>
              <w:ind w:left="21"/>
              <w:jc w:val="center"/>
              <w:rPr>
                <w:rFonts w:ascii="Arial" w:eastAsia="Arial" w:hAnsi="Arial" w:cs="Arial"/>
                <w:color w:val="000000"/>
              </w:rPr>
            </w:pPr>
            <w:r>
              <w:rPr>
                <w:rFonts w:ascii="Arial" w:eastAsia="Arial" w:hAnsi="Arial" w:cs="Arial"/>
                <w:color w:val="000000"/>
              </w:rPr>
              <w:t>304</w:t>
            </w:r>
          </w:p>
        </w:tc>
        <w:tc>
          <w:tcPr>
            <w:tcW w:w="1531" w:type="dxa"/>
          </w:tcPr>
          <w:p w14:paraId="00000299" w14:textId="77777777" w:rsidR="001C40B0" w:rsidRDefault="00291712">
            <w:pPr>
              <w:pBdr>
                <w:top w:val="nil"/>
                <w:left w:val="nil"/>
                <w:bottom w:val="nil"/>
                <w:right w:val="nil"/>
                <w:between w:val="nil"/>
              </w:pBdr>
              <w:ind w:left="21"/>
              <w:jc w:val="center"/>
              <w:rPr>
                <w:rFonts w:ascii="Arial" w:eastAsia="Arial" w:hAnsi="Arial" w:cs="Arial"/>
                <w:color w:val="000000"/>
              </w:rPr>
            </w:pPr>
            <w:r>
              <w:rPr>
                <w:rFonts w:ascii="Arial" w:eastAsia="Arial" w:hAnsi="Arial" w:cs="Arial"/>
                <w:color w:val="000000"/>
              </w:rPr>
              <w:t>388</w:t>
            </w:r>
          </w:p>
        </w:tc>
        <w:tc>
          <w:tcPr>
            <w:tcW w:w="1483" w:type="dxa"/>
          </w:tcPr>
          <w:p w14:paraId="0000029A" w14:textId="77777777" w:rsidR="001C40B0" w:rsidRDefault="00291712">
            <w:pPr>
              <w:pBdr>
                <w:top w:val="nil"/>
                <w:left w:val="nil"/>
                <w:bottom w:val="nil"/>
                <w:right w:val="nil"/>
                <w:between w:val="nil"/>
              </w:pBdr>
              <w:spacing w:before="1"/>
              <w:ind w:left="25"/>
              <w:jc w:val="center"/>
              <w:rPr>
                <w:rFonts w:ascii="Arial" w:eastAsia="Arial" w:hAnsi="Arial" w:cs="Arial"/>
                <w:color w:val="000000"/>
              </w:rPr>
            </w:pPr>
            <w:r>
              <w:rPr>
                <w:rFonts w:ascii="Arial" w:eastAsia="Arial" w:hAnsi="Arial" w:cs="Arial"/>
                <w:color w:val="000000"/>
              </w:rPr>
              <w:t>16.9</w:t>
            </w:r>
          </w:p>
        </w:tc>
      </w:tr>
    </w:tbl>
    <w:p w14:paraId="0000029B" w14:textId="77777777" w:rsidR="001C40B0" w:rsidRDefault="001C40B0">
      <w:pPr>
        <w:jc w:val="both"/>
        <w:rPr>
          <w:rFonts w:ascii="Arial" w:eastAsia="Arial" w:hAnsi="Arial" w:cs="Arial"/>
          <w:b/>
          <w:bCs/>
          <w:sz w:val="22"/>
          <w:szCs w:val="22"/>
        </w:rPr>
      </w:pPr>
    </w:p>
    <w:p w14:paraId="0000029C" w14:textId="77777777" w:rsidR="001C40B0" w:rsidRDefault="00291712">
      <w:pPr>
        <w:jc w:val="both"/>
        <w:rPr>
          <w:rFonts w:ascii="Arial" w:eastAsia="Arial" w:hAnsi="Arial" w:cs="Arial"/>
          <w:sz w:val="22"/>
          <w:szCs w:val="22"/>
        </w:rPr>
      </w:pPr>
      <w:r>
        <w:rPr>
          <w:rFonts w:ascii="Arial" w:eastAsia="Arial" w:hAnsi="Arial" w:cs="Arial"/>
          <w:sz w:val="22"/>
          <w:szCs w:val="22"/>
        </w:rPr>
        <w:tab/>
        <w:t>Fuente: Sistema Nacional de Información en Donación y Trasplantes.</w:t>
      </w:r>
    </w:p>
    <w:p w14:paraId="0000029D"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29E"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En cuanto al tipo de componentes anatómicos más solicitados, los datos del Sistema Nacional de Información en Donación y Trasplantes evidencian que, por mucho, el riñón es el órgano más requerido por los pacientes en Colombia, ocupando más del 90% del total de necesidades. A éste le siguen el hígado y corazón con valores promedio del 5% y 1% respectivamente. Este comportamiento es constante a lo largo de los años estudiados. (Ver tabla 2). Para 2023 hubo 4 mil personas en lista de espera para trasplante de órganos pero solo se hicieron 1.186 trasplantes. Este </w:t>
      </w:r>
      <w:r>
        <w:rPr>
          <w:rFonts w:ascii="Arial" w:eastAsia="Arial" w:hAnsi="Arial" w:cs="Arial"/>
          <w:sz w:val="22"/>
          <w:szCs w:val="22"/>
          <w:highlight w:val="white"/>
        </w:rPr>
        <w:t>déficit es otro</w:t>
      </w:r>
      <w:r>
        <w:rPr>
          <w:rFonts w:ascii="Arial" w:eastAsia="Arial" w:hAnsi="Arial" w:cs="Arial"/>
          <w:sz w:val="22"/>
          <w:szCs w:val="22"/>
        </w:rPr>
        <w:t xml:space="preserve"> de los grandes retos.</w:t>
      </w:r>
    </w:p>
    <w:p w14:paraId="0000029F" w14:textId="77777777" w:rsidR="001C40B0" w:rsidRDefault="001C40B0">
      <w:pPr>
        <w:jc w:val="both"/>
        <w:rPr>
          <w:rFonts w:ascii="Arial" w:eastAsia="Arial" w:hAnsi="Arial" w:cs="Arial"/>
          <w:sz w:val="22"/>
          <w:szCs w:val="22"/>
        </w:rPr>
      </w:pPr>
    </w:p>
    <w:p w14:paraId="000002A0" w14:textId="77777777" w:rsidR="001C40B0" w:rsidRDefault="001C40B0">
      <w:pPr>
        <w:jc w:val="both"/>
        <w:rPr>
          <w:rFonts w:ascii="Arial" w:eastAsia="Arial" w:hAnsi="Arial" w:cs="Arial"/>
          <w:sz w:val="22"/>
          <w:szCs w:val="22"/>
        </w:rPr>
      </w:pPr>
    </w:p>
    <w:p w14:paraId="000002A1" w14:textId="77777777" w:rsidR="001C40B0" w:rsidRDefault="00291712">
      <w:pPr>
        <w:jc w:val="center"/>
        <w:rPr>
          <w:rFonts w:ascii="Arial" w:eastAsia="Arial" w:hAnsi="Arial" w:cs="Arial"/>
          <w:b/>
          <w:bCs/>
          <w:sz w:val="22"/>
          <w:szCs w:val="22"/>
        </w:rPr>
      </w:pPr>
      <w:r>
        <w:rPr>
          <w:rFonts w:ascii="Arial" w:eastAsia="Arial" w:hAnsi="Arial" w:cs="Arial"/>
          <w:b/>
          <w:bCs/>
          <w:sz w:val="22"/>
          <w:szCs w:val="22"/>
        </w:rPr>
        <w:t>Tabla 2: Personas en lista de espera para trasplante por órgano</w:t>
      </w:r>
    </w:p>
    <w:p w14:paraId="000002A2" w14:textId="77777777" w:rsidR="001C40B0" w:rsidRDefault="001C40B0">
      <w:pPr>
        <w:jc w:val="both"/>
        <w:rPr>
          <w:rFonts w:ascii="Arial" w:eastAsia="Arial" w:hAnsi="Arial" w:cs="Arial"/>
          <w:sz w:val="22"/>
          <w:szCs w:val="22"/>
        </w:rPr>
      </w:pPr>
    </w:p>
    <w:tbl>
      <w:tblPr>
        <w:tblStyle w:val="a3"/>
        <w:tblW w:w="882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35"/>
        <w:gridCol w:w="660"/>
        <w:gridCol w:w="585"/>
        <w:gridCol w:w="585"/>
        <w:gridCol w:w="600"/>
        <w:gridCol w:w="645"/>
        <w:gridCol w:w="615"/>
        <w:gridCol w:w="900"/>
        <w:gridCol w:w="840"/>
        <w:gridCol w:w="945"/>
        <w:gridCol w:w="795"/>
        <w:gridCol w:w="615"/>
      </w:tblGrid>
      <w:tr w:rsidR="001C40B0" w14:paraId="7D4E836F" w14:textId="77777777">
        <w:trPr>
          <w:trHeight w:val="301"/>
        </w:trPr>
        <w:tc>
          <w:tcPr>
            <w:tcW w:w="1035" w:type="dxa"/>
            <w:shd w:val="clear" w:color="auto" w:fill="D9D9D9"/>
          </w:tcPr>
          <w:p w14:paraId="000002A3" w14:textId="77777777" w:rsidR="001C40B0" w:rsidRDefault="00291712">
            <w:pPr>
              <w:pBdr>
                <w:top w:val="nil"/>
                <w:left w:val="nil"/>
                <w:bottom w:val="nil"/>
                <w:right w:val="nil"/>
                <w:between w:val="nil"/>
              </w:pBdr>
              <w:ind w:left="22"/>
              <w:jc w:val="center"/>
              <w:rPr>
                <w:rFonts w:ascii="Arial" w:eastAsia="Arial" w:hAnsi="Arial" w:cs="Arial"/>
                <w:b/>
                <w:bCs/>
                <w:color w:val="000000"/>
              </w:rPr>
            </w:pPr>
            <w:r>
              <w:rPr>
                <w:rFonts w:ascii="Arial" w:eastAsia="Arial" w:hAnsi="Arial" w:cs="Arial"/>
                <w:b/>
                <w:bCs/>
                <w:color w:val="000000"/>
              </w:rPr>
              <w:t>AÑO</w:t>
            </w:r>
          </w:p>
        </w:tc>
        <w:tc>
          <w:tcPr>
            <w:tcW w:w="660" w:type="dxa"/>
            <w:shd w:val="clear" w:color="auto" w:fill="D9D9D9"/>
          </w:tcPr>
          <w:p w14:paraId="000002A4" w14:textId="77777777" w:rsidR="001C40B0" w:rsidRDefault="00291712">
            <w:pPr>
              <w:pBdr>
                <w:top w:val="nil"/>
                <w:left w:val="nil"/>
                <w:bottom w:val="nil"/>
                <w:right w:val="nil"/>
                <w:between w:val="nil"/>
              </w:pBdr>
              <w:ind w:left="22"/>
              <w:jc w:val="center"/>
              <w:rPr>
                <w:rFonts w:ascii="Arial" w:eastAsia="Arial" w:hAnsi="Arial" w:cs="Arial"/>
                <w:b/>
                <w:bCs/>
                <w:color w:val="000000"/>
              </w:rPr>
            </w:pPr>
            <w:r>
              <w:rPr>
                <w:rFonts w:ascii="Arial" w:eastAsia="Arial" w:hAnsi="Arial" w:cs="Arial"/>
                <w:b/>
                <w:bCs/>
                <w:color w:val="000000"/>
              </w:rPr>
              <w:t>Riñón</w:t>
            </w:r>
          </w:p>
        </w:tc>
        <w:tc>
          <w:tcPr>
            <w:tcW w:w="585" w:type="dxa"/>
            <w:shd w:val="clear" w:color="auto" w:fill="D9D9D9"/>
          </w:tcPr>
          <w:p w14:paraId="000002A5" w14:textId="77777777" w:rsidR="001C40B0" w:rsidRDefault="00291712">
            <w:pPr>
              <w:pBdr>
                <w:top w:val="nil"/>
                <w:left w:val="nil"/>
                <w:bottom w:val="nil"/>
                <w:right w:val="nil"/>
                <w:between w:val="nil"/>
              </w:pBdr>
              <w:ind w:left="25"/>
              <w:jc w:val="center"/>
              <w:rPr>
                <w:rFonts w:ascii="Arial" w:eastAsia="Arial" w:hAnsi="Arial" w:cs="Arial"/>
                <w:b/>
                <w:bCs/>
                <w:color w:val="000000"/>
              </w:rPr>
            </w:pPr>
            <w:r>
              <w:rPr>
                <w:rFonts w:ascii="Arial" w:eastAsia="Arial" w:hAnsi="Arial" w:cs="Arial"/>
                <w:b/>
                <w:bCs/>
                <w:color w:val="000000"/>
              </w:rPr>
              <w:t>Hígado</w:t>
            </w:r>
          </w:p>
        </w:tc>
        <w:tc>
          <w:tcPr>
            <w:tcW w:w="585" w:type="dxa"/>
            <w:shd w:val="clear" w:color="auto" w:fill="D9D9D9"/>
          </w:tcPr>
          <w:p w14:paraId="000002A6" w14:textId="77777777" w:rsidR="001C40B0" w:rsidRDefault="00291712">
            <w:pPr>
              <w:pBdr>
                <w:top w:val="nil"/>
                <w:left w:val="nil"/>
                <w:bottom w:val="nil"/>
                <w:right w:val="nil"/>
                <w:between w:val="nil"/>
              </w:pBdr>
              <w:ind w:left="19"/>
              <w:jc w:val="center"/>
              <w:rPr>
                <w:rFonts w:ascii="Arial" w:eastAsia="Arial" w:hAnsi="Arial" w:cs="Arial"/>
                <w:b/>
                <w:bCs/>
                <w:color w:val="000000"/>
              </w:rPr>
            </w:pPr>
            <w:r>
              <w:rPr>
                <w:rFonts w:ascii="Arial" w:eastAsia="Arial" w:hAnsi="Arial" w:cs="Arial"/>
                <w:b/>
                <w:bCs/>
                <w:color w:val="000000"/>
              </w:rPr>
              <w:t>Pulmón</w:t>
            </w:r>
          </w:p>
        </w:tc>
        <w:tc>
          <w:tcPr>
            <w:tcW w:w="600" w:type="dxa"/>
            <w:shd w:val="clear" w:color="auto" w:fill="D9D9D9"/>
          </w:tcPr>
          <w:p w14:paraId="000002A7" w14:textId="77777777" w:rsidR="001C40B0" w:rsidRDefault="00291712">
            <w:pPr>
              <w:pBdr>
                <w:top w:val="nil"/>
                <w:left w:val="nil"/>
                <w:bottom w:val="nil"/>
                <w:right w:val="nil"/>
                <w:between w:val="nil"/>
              </w:pBdr>
              <w:ind w:left="17"/>
              <w:jc w:val="center"/>
              <w:rPr>
                <w:rFonts w:ascii="Arial" w:eastAsia="Arial" w:hAnsi="Arial" w:cs="Arial"/>
                <w:b/>
                <w:bCs/>
                <w:color w:val="000000"/>
              </w:rPr>
            </w:pPr>
            <w:r>
              <w:rPr>
                <w:rFonts w:ascii="Arial" w:eastAsia="Arial" w:hAnsi="Arial" w:cs="Arial"/>
                <w:b/>
                <w:bCs/>
                <w:color w:val="000000"/>
              </w:rPr>
              <w:t>Corazón</w:t>
            </w:r>
          </w:p>
        </w:tc>
        <w:tc>
          <w:tcPr>
            <w:tcW w:w="645" w:type="dxa"/>
            <w:shd w:val="clear" w:color="auto" w:fill="D9D9D9"/>
          </w:tcPr>
          <w:p w14:paraId="000002A8" w14:textId="77777777" w:rsidR="001C40B0" w:rsidRDefault="00291712">
            <w:pPr>
              <w:pBdr>
                <w:top w:val="nil"/>
                <w:left w:val="nil"/>
                <w:bottom w:val="nil"/>
                <w:right w:val="nil"/>
                <w:between w:val="nil"/>
              </w:pBdr>
              <w:ind w:left="17"/>
              <w:jc w:val="center"/>
              <w:rPr>
                <w:rFonts w:ascii="Arial" w:eastAsia="Arial" w:hAnsi="Arial" w:cs="Arial"/>
                <w:b/>
                <w:bCs/>
                <w:color w:val="000000"/>
              </w:rPr>
            </w:pPr>
            <w:r>
              <w:rPr>
                <w:rFonts w:ascii="Arial" w:eastAsia="Arial" w:hAnsi="Arial" w:cs="Arial"/>
                <w:b/>
                <w:bCs/>
                <w:color w:val="000000"/>
              </w:rPr>
              <w:t>Intestino</w:t>
            </w:r>
          </w:p>
        </w:tc>
        <w:tc>
          <w:tcPr>
            <w:tcW w:w="615" w:type="dxa"/>
            <w:shd w:val="clear" w:color="auto" w:fill="D9D9D9"/>
          </w:tcPr>
          <w:p w14:paraId="000002A9" w14:textId="77777777" w:rsidR="001C40B0" w:rsidRDefault="00291712">
            <w:pPr>
              <w:pBdr>
                <w:top w:val="nil"/>
                <w:left w:val="nil"/>
                <w:bottom w:val="nil"/>
                <w:right w:val="nil"/>
                <w:between w:val="nil"/>
              </w:pBdr>
              <w:ind w:left="20"/>
              <w:jc w:val="center"/>
              <w:rPr>
                <w:rFonts w:ascii="Arial" w:eastAsia="Arial" w:hAnsi="Arial" w:cs="Arial"/>
                <w:b/>
                <w:bCs/>
                <w:color w:val="000000"/>
              </w:rPr>
            </w:pPr>
            <w:r>
              <w:rPr>
                <w:rFonts w:ascii="Arial" w:eastAsia="Arial" w:hAnsi="Arial" w:cs="Arial"/>
                <w:b/>
                <w:bCs/>
                <w:color w:val="000000"/>
              </w:rPr>
              <w:t>Páncreas</w:t>
            </w:r>
          </w:p>
        </w:tc>
        <w:tc>
          <w:tcPr>
            <w:tcW w:w="900" w:type="dxa"/>
            <w:shd w:val="clear" w:color="auto" w:fill="D9D9D9"/>
          </w:tcPr>
          <w:p w14:paraId="000002AA" w14:textId="77777777" w:rsidR="001C40B0" w:rsidRDefault="00291712">
            <w:pPr>
              <w:pBdr>
                <w:top w:val="nil"/>
                <w:left w:val="nil"/>
                <w:bottom w:val="nil"/>
                <w:right w:val="nil"/>
                <w:between w:val="nil"/>
              </w:pBdr>
              <w:ind w:left="20"/>
              <w:jc w:val="center"/>
              <w:rPr>
                <w:rFonts w:ascii="Arial" w:eastAsia="Arial" w:hAnsi="Arial" w:cs="Arial"/>
                <w:b/>
                <w:bCs/>
                <w:color w:val="000000"/>
              </w:rPr>
            </w:pPr>
            <w:r>
              <w:rPr>
                <w:rFonts w:ascii="Arial" w:eastAsia="Arial" w:hAnsi="Arial" w:cs="Arial"/>
                <w:b/>
                <w:bCs/>
                <w:color w:val="000000"/>
              </w:rPr>
              <w:t>Riñón-Corazón</w:t>
            </w:r>
          </w:p>
        </w:tc>
        <w:tc>
          <w:tcPr>
            <w:tcW w:w="840" w:type="dxa"/>
            <w:shd w:val="clear" w:color="auto" w:fill="D9D9D9"/>
          </w:tcPr>
          <w:p w14:paraId="000002AB" w14:textId="77777777" w:rsidR="001C40B0" w:rsidRDefault="00291712">
            <w:pPr>
              <w:pBdr>
                <w:top w:val="nil"/>
                <w:left w:val="nil"/>
                <w:bottom w:val="nil"/>
                <w:right w:val="nil"/>
                <w:between w:val="nil"/>
              </w:pBdr>
              <w:ind w:left="25"/>
              <w:jc w:val="center"/>
              <w:rPr>
                <w:rFonts w:ascii="Arial" w:eastAsia="Arial" w:hAnsi="Arial" w:cs="Arial"/>
                <w:b/>
                <w:bCs/>
                <w:color w:val="000000"/>
              </w:rPr>
            </w:pPr>
            <w:r>
              <w:rPr>
                <w:rFonts w:ascii="Arial" w:eastAsia="Arial" w:hAnsi="Arial" w:cs="Arial"/>
                <w:b/>
                <w:bCs/>
                <w:color w:val="000000"/>
              </w:rPr>
              <w:t>Riñón-hígado</w:t>
            </w:r>
          </w:p>
        </w:tc>
        <w:tc>
          <w:tcPr>
            <w:tcW w:w="945" w:type="dxa"/>
            <w:shd w:val="clear" w:color="auto" w:fill="D9D9D9"/>
          </w:tcPr>
          <w:p w14:paraId="000002AC" w14:textId="77777777" w:rsidR="001C40B0" w:rsidRDefault="00291712">
            <w:pPr>
              <w:pBdr>
                <w:top w:val="nil"/>
                <w:left w:val="nil"/>
                <w:bottom w:val="nil"/>
                <w:right w:val="nil"/>
                <w:between w:val="nil"/>
              </w:pBdr>
              <w:ind w:left="21" w:right="1"/>
              <w:jc w:val="center"/>
              <w:rPr>
                <w:rFonts w:ascii="Arial" w:eastAsia="Arial" w:hAnsi="Arial" w:cs="Arial"/>
                <w:b/>
                <w:bCs/>
                <w:color w:val="000000"/>
              </w:rPr>
            </w:pPr>
            <w:r>
              <w:rPr>
                <w:rFonts w:ascii="Arial" w:eastAsia="Arial" w:hAnsi="Arial" w:cs="Arial"/>
                <w:b/>
                <w:bCs/>
                <w:color w:val="000000"/>
              </w:rPr>
              <w:t>Riñon-páncreas</w:t>
            </w:r>
          </w:p>
        </w:tc>
        <w:tc>
          <w:tcPr>
            <w:tcW w:w="795" w:type="dxa"/>
            <w:shd w:val="clear" w:color="auto" w:fill="D9D9D9"/>
          </w:tcPr>
          <w:p w14:paraId="000002AD" w14:textId="77777777" w:rsidR="001C40B0" w:rsidRDefault="00291712">
            <w:pPr>
              <w:pBdr>
                <w:top w:val="nil"/>
                <w:left w:val="nil"/>
                <w:bottom w:val="nil"/>
                <w:right w:val="nil"/>
                <w:between w:val="nil"/>
              </w:pBdr>
              <w:ind w:left="17"/>
              <w:jc w:val="center"/>
              <w:rPr>
                <w:rFonts w:ascii="Arial" w:eastAsia="Arial" w:hAnsi="Arial" w:cs="Arial"/>
                <w:b/>
                <w:bCs/>
                <w:color w:val="000000"/>
              </w:rPr>
            </w:pPr>
            <w:r>
              <w:rPr>
                <w:rFonts w:ascii="Arial" w:eastAsia="Arial" w:hAnsi="Arial" w:cs="Arial"/>
                <w:b/>
                <w:bCs/>
                <w:color w:val="000000"/>
              </w:rPr>
              <w:t>Multivisceral</w:t>
            </w:r>
          </w:p>
        </w:tc>
        <w:tc>
          <w:tcPr>
            <w:tcW w:w="615" w:type="dxa"/>
            <w:shd w:val="clear" w:color="auto" w:fill="D9D9D9"/>
          </w:tcPr>
          <w:p w14:paraId="000002AE" w14:textId="77777777" w:rsidR="001C40B0" w:rsidRDefault="00291712">
            <w:pPr>
              <w:pBdr>
                <w:top w:val="nil"/>
                <w:left w:val="nil"/>
                <w:bottom w:val="nil"/>
                <w:right w:val="nil"/>
                <w:between w:val="nil"/>
              </w:pBdr>
              <w:ind w:left="16"/>
              <w:jc w:val="center"/>
              <w:rPr>
                <w:rFonts w:ascii="Arial" w:eastAsia="Arial" w:hAnsi="Arial" w:cs="Arial"/>
                <w:b/>
                <w:bCs/>
                <w:color w:val="000000"/>
              </w:rPr>
            </w:pPr>
            <w:r>
              <w:rPr>
                <w:rFonts w:ascii="Arial" w:eastAsia="Arial" w:hAnsi="Arial" w:cs="Arial"/>
                <w:b/>
                <w:bCs/>
                <w:color w:val="000000"/>
              </w:rPr>
              <w:t>Total</w:t>
            </w:r>
          </w:p>
        </w:tc>
      </w:tr>
      <w:tr w:rsidR="001C40B0" w14:paraId="48153136" w14:textId="77777777">
        <w:trPr>
          <w:trHeight w:val="301"/>
        </w:trPr>
        <w:tc>
          <w:tcPr>
            <w:tcW w:w="1035" w:type="dxa"/>
          </w:tcPr>
          <w:p w14:paraId="000002AF" w14:textId="77777777" w:rsidR="001C40B0" w:rsidRDefault="00291712">
            <w:pPr>
              <w:pBdr>
                <w:top w:val="nil"/>
                <w:left w:val="nil"/>
                <w:bottom w:val="nil"/>
                <w:right w:val="nil"/>
                <w:between w:val="nil"/>
              </w:pBdr>
              <w:spacing w:before="1"/>
              <w:ind w:left="22" w:right="1"/>
              <w:jc w:val="center"/>
              <w:rPr>
                <w:rFonts w:ascii="Arial" w:eastAsia="Arial" w:hAnsi="Arial" w:cs="Arial"/>
                <w:b/>
                <w:bCs/>
                <w:color w:val="000000"/>
              </w:rPr>
            </w:pPr>
            <w:r>
              <w:rPr>
                <w:rFonts w:ascii="Arial" w:eastAsia="Arial" w:hAnsi="Arial" w:cs="Arial"/>
                <w:b/>
                <w:bCs/>
                <w:color w:val="000000"/>
              </w:rPr>
              <w:t>2008</w:t>
            </w:r>
          </w:p>
        </w:tc>
        <w:tc>
          <w:tcPr>
            <w:tcW w:w="660" w:type="dxa"/>
          </w:tcPr>
          <w:p w14:paraId="000002B0" w14:textId="77777777" w:rsidR="001C40B0" w:rsidRDefault="00291712">
            <w:pPr>
              <w:pBdr>
                <w:top w:val="nil"/>
                <w:left w:val="nil"/>
                <w:bottom w:val="nil"/>
                <w:right w:val="nil"/>
                <w:between w:val="nil"/>
              </w:pBdr>
              <w:spacing w:before="1"/>
              <w:ind w:left="22" w:right="1"/>
              <w:jc w:val="center"/>
              <w:rPr>
                <w:rFonts w:ascii="Arial" w:eastAsia="Arial" w:hAnsi="Arial" w:cs="Arial"/>
                <w:b/>
                <w:bCs/>
                <w:color w:val="000000"/>
              </w:rPr>
            </w:pPr>
            <w:r>
              <w:rPr>
                <w:rFonts w:ascii="Arial" w:eastAsia="Arial" w:hAnsi="Arial" w:cs="Arial"/>
                <w:b/>
                <w:bCs/>
                <w:color w:val="000000"/>
              </w:rPr>
              <w:t>949</w:t>
            </w:r>
          </w:p>
        </w:tc>
        <w:tc>
          <w:tcPr>
            <w:tcW w:w="585" w:type="dxa"/>
          </w:tcPr>
          <w:p w14:paraId="000002B1" w14:textId="77777777" w:rsidR="001C40B0" w:rsidRDefault="00291712">
            <w:pPr>
              <w:pBdr>
                <w:top w:val="nil"/>
                <w:left w:val="nil"/>
                <w:bottom w:val="nil"/>
                <w:right w:val="nil"/>
                <w:between w:val="nil"/>
              </w:pBdr>
              <w:spacing w:before="1"/>
              <w:ind w:left="25"/>
              <w:jc w:val="center"/>
              <w:rPr>
                <w:rFonts w:ascii="Arial" w:eastAsia="Arial" w:hAnsi="Arial" w:cs="Arial"/>
                <w:b/>
                <w:bCs/>
                <w:color w:val="000000"/>
              </w:rPr>
            </w:pPr>
            <w:r>
              <w:rPr>
                <w:rFonts w:ascii="Arial" w:eastAsia="Arial" w:hAnsi="Arial" w:cs="Arial"/>
                <w:b/>
                <w:bCs/>
                <w:color w:val="000000"/>
              </w:rPr>
              <w:t>144</w:t>
            </w:r>
          </w:p>
        </w:tc>
        <w:tc>
          <w:tcPr>
            <w:tcW w:w="585" w:type="dxa"/>
          </w:tcPr>
          <w:p w14:paraId="000002B2" w14:textId="77777777" w:rsidR="001C40B0" w:rsidRDefault="00291712">
            <w:pPr>
              <w:pBdr>
                <w:top w:val="nil"/>
                <w:left w:val="nil"/>
                <w:bottom w:val="nil"/>
                <w:right w:val="nil"/>
                <w:between w:val="nil"/>
              </w:pBdr>
              <w:spacing w:before="1"/>
              <w:ind w:left="19" w:right="1"/>
              <w:jc w:val="center"/>
              <w:rPr>
                <w:rFonts w:ascii="Arial" w:eastAsia="Arial" w:hAnsi="Arial" w:cs="Arial"/>
                <w:b/>
                <w:bCs/>
                <w:color w:val="000000"/>
              </w:rPr>
            </w:pPr>
            <w:r>
              <w:rPr>
                <w:rFonts w:ascii="Arial" w:eastAsia="Arial" w:hAnsi="Arial" w:cs="Arial"/>
                <w:b/>
                <w:bCs/>
                <w:color w:val="000000"/>
              </w:rPr>
              <w:t>8</w:t>
            </w:r>
          </w:p>
        </w:tc>
        <w:tc>
          <w:tcPr>
            <w:tcW w:w="600" w:type="dxa"/>
          </w:tcPr>
          <w:p w14:paraId="000002B3" w14:textId="77777777" w:rsidR="001C40B0" w:rsidRDefault="00291712">
            <w:pPr>
              <w:pBdr>
                <w:top w:val="nil"/>
                <w:left w:val="nil"/>
                <w:bottom w:val="nil"/>
                <w:right w:val="nil"/>
                <w:between w:val="nil"/>
              </w:pBdr>
              <w:spacing w:before="1"/>
              <w:ind w:left="17" w:right="1"/>
              <w:jc w:val="center"/>
              <w:rPr>
                <w:rFonts w:ascii="Arial" w:eastAsia="Arial" w:hAnsi="Arial" w:cs="Arial"/>
                <w:b/>
                <w:bCs/>
                <w:color w:val="000000"/>
              </w:rPr>
            </w:pPr>
            <w:r>
              <w:rPr>
                <w:rFonts w:ascii="Arial" w:eastAsia="Arial" w:hAnsi="Arial" w:cs="Arial"/>
                <w:b/>
                <w:bCs/>
                <w:color w:val="000000"/>
              </w:rPr>
              <w:t>7</w:t>
            </w:r>
          </w:p>
        </w:tc>
        <w:tc>
          <w:tcPr>
            <w:tcW w:w="645" w:type="dxa"/>
          </w:tcPr>
          <w:p w14:paraId="000002B4" w14:textId="77777777" w:rsidR="001C40B0" w:rsidRDefault="00291712">
            <w:pPr>
              <w:pBdr>
                <w:top w:val="nil"/>
                <w:left w:val="nil"/>
                <w:bottom w:val="nil"/>
                <w:right w:val="nil"/>
                <w:between w:val="nil"/>
              </w:pBdr>
              <w:spacing w:before="1"/>
              <w:ind w:left="17" w:right="1"/>
              <w:jc w:val="center"/>
              <w:rPr>
                <w:rFonts w:ascii="Arial" w:eastAsia="Arial" w:hAnsi="Arial" w:cs="Arial"/>
                <w:b/>
                <w:bCs/>
                <w:color w:val="000000"/>
              </w:rPr>
            </w:pPr>
            <w:r>
              <w:rPr>
                <w:rFonts w:ascii="Arial" w:eastAsia="Arial" w:hAnsi="Arial" w:cs="Arial"/>
                <w:b/>
                <w:bCs/>
                <w:color w:val="000000"/>
              </w:rPr>
              <w:t>1</w:t>
            </w:r>
          </w:p>
        </w:tc>
        <w:tc>
          <w:tcPr>
            <w:tcW w:w="615" w:type="dxa"/>
          </w:tcPr>
          <w:p w14:paraId="000002B5" w14:textId="77777777" w:rsidR="001C40B0" w:rsidRDefault="00291712">
            <w:pPr>
              <w:pBdr>
                <w:top w:val="nil"/>
                <w:left w:val="nil"/>
                <w:bottom w:val="nil"/>
                <w:right w:val="nil"/>
                <w:between w:val="nil"/>
              </w:pBdr>
              <w:spacing w:before="1"/>
              <w:ind w:left="20" w:right="1"/>
              <w:jc w:val="center"/>
              <w:rPr>
                <w:rFonts w:ascii="Arial" w:eastAsia="Arial" w:hAnsi="Arial" w:cs="Arial"/>
                <w:b/>
                <w:bCs/>
                <w:color w:val="000000"/>
              </w:rPr>
            </w:pPr>
            <w:r>
              <w:rPr>
                <w:rFonts w:ascii="Arial" w:eastAsia="Arial" w:hAnsi="Arial" w:cs="Arial"/>
                <w:b/>
                <w:bCs/>
                <w:color w:val="000000"/>
              </w:rPr>
              <w:t>0</w:t>
            </w:r>
          </w:p>
        </w:tc>
        <w:tc>
          <w:tcPr>
            <w:tcW w:w="900" w:type="dxa"/>
          </w:tcPr>
          <w:p w14:paraId="000002B6" w14:textId="77777777" w:rsidR="001C40B0" w:rsidRDefault="00291712">
            <w:pPr>
              <w:pBdr>
                <w:top w:val="nil"/>
                <w:left w:val="nil"/>
                <w:bottom w:val="nil"/>
                <w:right w:val="nil"/>
                <w:between w:val="nil"/>
              </w:pBdr>
              <w:spacing w:before="1"/>
              <w:ind w:left="20" w:right="1"/>
              <w:jc w:val="center"/>
              <w:rPr>
                <w:rFonts w:ascii="Arial" w:eastAsia="Arial" w:hAnsi="Arial" w:cs="Arial"/>
                <w:b/>
                <w:bCs/>
                <w:color w:val="000000"/>
              </w:rPr>
            </w:pPr>
            <w:r>
              <w:rPr>
                <w:rFonts w:ascii="Arial" w:eastAsia="Arial" w:hAnsi="Arial" w:cs="Arial"/>
                <w:b/>
                <w:bCs/>
                <w:color w:val="000000"/>
              </w:rPr>
              <w:t>0</w:t>
            </w:r>
          </w:p>
        </w:tc>
        <w:tc>
          <w:tcPr>
            <w:tcW w:w="840" w:type="dxa"/>
          </w:tcPr>
          <w:p w14:paraId="000002B7" w14:textId="77777777" w:rsidR="001C40B0" w:rsidRDefault="00291712">
            <w:pPr>
              <w:pBdr>
                <w:top w:val="nil"/>
                <w:left w:val="nil"/>
                <w:bottom w:val="nil"/>
                <w:right w:val="nil"/>
                <w:between w:val="nil"/>
              </w:pBdr>
              <w:spacing w:before="1"/>
              <w:ind w:left="25" w:right="1"/>
              <w:jc w:val="center"/>
              <w:rPr>
                <w:rFonts w:ascii="Arial" w:eastAsia="Arial" w:hAnsi="Arial" w:cs="Arial"/>
                <w:b/>
                <w:bCs/>
                <w:color w:val="000000"/>
              </w:rPr>
            </w:pPr>
            <w:r>
              <w:rPr>
                <w:rFonts w:ascii="Arial" w:eastAsia="Arial" w:hAnsi="Arial" w:cs="Arial"/>
                <w:b/>
                <w:bCs/>
                <w:color w:val="000000"/>
              </w:rPr>
              <w:t>0</w:t>
            </w:r>
          </w:p>
        </w:tc>
        <w:tc>
          <w:tcPr>
            <w:tcW w:w="945" w:type="dxa"/>
          </w:tcPr>
          <w:p w14:paraId="000002B8" w14:textId="77777777" w:rsidR="001C40B0" w:rsidRDefault="00291712">
            <w:pPr>
              <w:pBdr>
                <w:top w:val="nil"/>
                <w:left w:val="nil"/>
                <w:bottom w:val="nil"/>
                <w:right w:val="nil"/>
                <w:between w:val="nil"/>
              </w:pBdr>
              <w:spacing w:before="1"/>
              <w:ind w:left="21" w:right="1"/>
              <w:jc w:val="center"/>
              <w:rPr>
                <w:rFonts w:ascii="Arial" w:eastAsia="Arial" w:hAnsi="Arial" w:cs="Arial"/>
                <w:b/>
                <w:bCs/>
                <w:color w:val="000000"/>
              </w:rPr>
            </w:pPr>
            <w:r>
              <w:rPr>
                <w:rFonts w:ascii="Arial" w:eastAsia="Arial" w:hAnsi="Arial" w:cs="Arial"/>
                <w:b/>
                <w:bCs/>
                <w:color w:val="000000"/>
              </w:rPr>
              <w:t>5</w:t>
            </w:r>
          </w:p>
        </w:tc>
        <w:tc>
          <w:tcPr>
            <w:tcW w:w="795" w:type="dxa"/>
          </w:tcPr>
          <w:p w14:paraId="000002B9" w14:textId="77777777" w:rsidR="001C40B0" w:rsidRDefault="00291712">
            <w:pPr>
              <w:pBdr>
                <w:top w:val="nil"/>
                <w:left w:val="nil"/>
                <w:bottom w:val="nil"/>
                <w:right w:val="nil"/>
                <w:between w:val="nil"/>
              </w:pBdr>
              <w:spacing w:before="1"/>
              <w:ind w:left="17" w:right="1"/>
              <w:jc w:val="center"/>
              <w:rPr>
                <w:rFonts w:ascii="Arial" w:eastAsia="Arial" w:hAnsi="Arial" w:cs="Arial"/>
                <w:b/>
                <w:bCs/>
                <w:color w:val="000000"/>
              </w:rPr>
            </w:pPr>
            <w:r>
              <w:rPr>
                <w:rFonts w:ascii="Arial" w:eastAsia="Arial" w:hAnsi="Arial" w:cs="Arial"/>
                <w:b/>
                <w:bCs/>
                <w:color w:val="000000"/>
              </w:rPr>
              <w:t>1</w:t>
            </w:r>
          </w:p>
        </w:tc>
        <w:tc>
          <w:tcPr>
            <w:tcW w:w="615" w:type="dxa"/>
          </w:tcPr>
          <w:p w14:paraId="000002BA" w14:textId="77777777" w:rsidR="001C40B0" w:rsidRDefault="00291712">
            <w:pPr>
              <w:pBdr>
                <w:top w:val="nil"/>
                <w:left w:val="nil"/>
                <w:bottom w:val="nil"/>
                <w:right w:val="nil"/>
                <w:between w:val="nil"/>
              </w:pBdr>
              <w:spacing w:before="1"/>
              <w:ind w:left="16"/>
              <w:jc w:val="center"/>
              <w:rPr>
                <w:rFonts w:ascii="Arial" w:eastAsia="Arial" w:hAnsi="Arial" w:cs="Arial"/>
                <w:b/>
                <w:bCs/>
                <w:color w:val="000000"/>
              </w:rPr>
            </w:pPr>
            <w:r>
              <w:rPr>
                <w:rFonts w:ascii="Arial" w:eastAsia="Arial" w:hAnsi="Arial" w:cs="Arial"/>
                <w:b/>
                <w:bCs/>
                <w:color w:val="000000"/>
              </w:rPr>
              <w:t>1,115</w:t>
            </w:r>
          </w:p>
        </w:tc>
      </w:tr>
      <w:tr w:rsidR="001C40B0" w14:paraId="700DB011" w14:textId="77777777">
        <w:trPr>
          <w:trHeight w:val="297"/>
        </w:trPr>
        <w:tc>
          <w:tcPr>
            <w:tcW w:w="1035" w:type="dxa"/>
          </w:tcPr>
          <w:p w14:paraId="000002BB" w14:textId="77777777" w:rsidR="001C40B0" w:rsidRDefault="00291712">
            <w:pPr>
              <w:pBdr>
                <w:top w:val="nil"/>
                <w:left w:val="nil"/>
                <w:bottom w:val="nil"/>
                <w:right w:val="nil"/>
                <w:between w:val="nil"/>
              </w:pBdr>
              <w:spacing w:before="1"/>
              <w:ind w:left="22" w:right="1"/>
              <w:jc w:val="center"/>
              <w:rPr>
                <w:rFonts w:ascii="Arial" w:eastAsia="Arial" w:hAnsi="Arial" w:cs="Arial"/>
                <w:b/>
                <w:bCs/>
                <w:color w:val="000000"/>
              </w:rPr>
            </w:pPr>
            <w:r>
              <w:rPr>
                <w:rFonts w:ascii="Arial" w:eastAsia="Arial" w:hAnsi="Arial" w:cs="Arial"/>
                <w:b/>
                <w:bCs/>
                <w:color w:val="000000"/>
              </w:rPr>
              <w:t>2009</w:t>
            </w:r>
          </w:p>
        </w:tc>
        <w:tc>
          <w:tcPr>
            <w:tcW w:w="660" w:type="dxa"/>
          </w:tcPr>
          <w:p w14:paraId="000002BC" w14:textId="77777777" w:rsidR="001C40B0" w:rsidRDefault="00291712">
            <w:pPr>
              <w:pBdr>
                <w:top w:val="nil"/>
                <w:left w:val="nil"/>
                <w:bottom w:val="nil"/>
                <w:right w:val="nil"/>
                <w:between w:val="nil"/>
              </w:pBdr>
              <w:spacing w:before="1"/>
              <w:ind w:left="22" w:right="1"/>
              <w:jc w:val="center"/>
              <w:rPr>
                <w:rFonts w:ascii="Arial" w:eastAsia="Arial" w:hAnsi="Arial" w:cs="Arial"/>
                <w:b/>
                <w:bCs/>
                <w:color w:val="000000"/>
              </w:rPr>
            </w:pPr>
            <w:r>
              <w:rPr>
                <w:rFonts w:ascii="Arial" w:eastAsia="Arial" w:hAnsi="Arial" w:cs="Arial"/>
                <w:b/>
                <w:bCs/>
                <w:color w:val="000000"/>
              </w:rPr>
              <w:t>743</w:t>
            </w:r>
          </w:p>
        </w:tc>
        <w:tc>
          <w:tcPr>
            <w:tcW w:w="585" w:type="dxa"/>
          </w:tcPr>
          <w:p w14:paraId="000002BD" w14:textId="77777777" w:rsidR="001C40B0" w:rsidRDefault="00291712">
            <w:pPr>
              <w:pBdr>
                <w:top w:val="nil"/>
                <w:left w:val="nil"/>
                <w:bottom w:val="nil"/>
                <w:right w:val="nil"/>
                <w:between w:val="nil"/>
              </w:pBdr>
              <w:spacing w:before="1"/>
              <w:ind w:left="25"/>
              <w:jc w:val="center"/>
              <w:rPr>
                <w:rFonts w:ascii="Arial" w:eastAsia="Arial" w:hAnsi="Arial" w:cs="Arial"/>
                <w:b/>
                <w:bCs/>
                <w:color w:val="000000"/>
              </w:rPr>
            </w:pPr>
            <w:r>
              <w:rPr>
                <w:rFonts w:ascii="Arial" w:eastAsia="Arial" w:hAnsi="Arial" w:cs="Arial"/>
                <w:b/>
                <w:bCs/>
                <w:color w:val="000000"/>
              </w:rPr>
              <w:t>74</w:t>
            </w:r>
          </w:p>
        </w:tc>
        <w:tc>
          <w:tcPr>
            <w:tcW w:w="585" w:type="dxa"/>
          </w:tcPr>
          <w:p w14:paraId="000002BE" w14:textId="77777777" w:rsidR="001C40B0" w:rsidRDefault="00291712">
            <w:pPr>
              <w:pBdr>
                <w:top w:val="nil"/>
                <w:left w:val="nil"/>
                <w:bottom w:val="nil"/>
                <w:right w:val="nil"/>
                <w:between w:val="nil"/>
              </w:pBdr>
              <w:spacing w:before="1"/>
              <w:ind w:left="19" w:right="1"/>
              <w:jc w:val="center"/>
              <w:rPr>
                <w:rFonts w:ascii="Arial" w:eastAsia="Arial" w:hAnsi="Arial" w:cs="Arial"/>
                <w:b/>
                <w:bCs/>
                <w:color w:val="000000"/>
              </w:rPr>
            </w:pPr>
            <w:r>
              <w:rPr>
                <w:rFonts w:ascii="Arial" w:eastAsia="Arial" w:hAnsi="Arial" w:cs="Arial"/>
                <w:b/>
                <w:bCs/>
                <w:color w:val="000000"/>
              </w:rPr>
              <w:t>4</w:t>
            </w:r>
          </w:p>
        </w:tc>
        <w:tc>
          <w:tcPr>
            <w:tcW w:w="600" w:type="dxa"/>
          </w:tcPr>
          <w:p w14:paraId="000002BF" w14:textId="77777777" w:rsidR="001C40B0" w:rsidRDefault="00291712">
            <w:pPr>
              <w:pBdr>
                <w:top w:val="nil"/>
                <w:left w:val="nil"/>
                <w:bottom w:val="nil"/>
                <w:right w:val="nil"/>
                <w:between w:val="nil"/>
              </w:pBdr>
              <w:spacing w:before="1"/>
              <w:ind w:left="17" w:right="1"/>
              <w:jc w:val="center"/>
              <w:rPr>
                <w:rFonts w:ascii="Arial" w:eastAsia="Arial" w:hAnsi="Arial" w:cs="Arial"/>
                <w:b/>
                <w:bCs/>
                <w:color w:val="000000"/>
              </w:rPr>
            </w:pPr>
            <w:r>
              <w:rPr>
                <w:rFonts w:ascii="Arial" w:eastAsia="Arial" w:hAnsi="Arial" w:cs="Arial"/>
                <w:b/>
                <w:bCs/>
                <w:color w:val="000000"/>
              </w:rPr>
              <w:t>5</w:t>
            </w:r>
          </w:p>
        </w:tc>
        <w:tc>
          <w:tcPr>
            <w:tcW w:w="645" w:type="dxa"/>
          </w:tcPr>
          <w:p w14:paraId="000002C0" w14:textId="77777777" w:rsidR="001C40B0" w:rsidRDefault="00291712">
            <w:pPr>
              <w:pBdr>
                <w:top w:val="nil"/>
                <w:left w:val="nil"/>
                <w:bottom w:val="nil"/>
                <w:right w:val="nil"/>
                <w:between w:val="nil"/>
              </w:pBdr>
              <w:spacing w:before="1"/>
              <w:ind w:left="17" w:right="1"/>
              <w:jc w:val="center"/>
              <w:rPr>
                <w:rFonts w:ascii="Arial" w:eastAsia="Arial" w:hAnsi="Arial" w:cs="Arial"/>
                <w:b/>
                <w:bCs/>
                <w:color w:val="000000"/>
              </w:rPr>
            </w:pPr>
            <w:r>
              <w:rPr>
                <w:rFonts w:ascii="Arial" w:eastAsia="Arial" w:hAnsi="Arial" w:cs="Arial"/>
                <w:b/>
                <w:bCs/>
                <w:color w:val="000000"/>
              </w:rPr>
              <w:t>2</w:t>
            </w:r>
          </w:p>
        </w:tc>
        <w:tc>
          <w:tcPr>
            <w:tcW w:w="615" w:type="dxa"/>
          </w:tcPr>
          <w:p w14:paraId="000002C1" w14:textId="77777777" w:rsidR="001C40B0" w:rsidRDefault="00291712">
            <w:pPr>
              <w:pBdr>
                <w:top w:val="nil"/>
                <w:left w:val="nil"/>
                <w:bottom w:val="nil"/>
                <w:right w:val="nil"/>
                <w:between w:val="nil"/>
              </w:pBdr>
              <w:spacing w:before="1"/>
              <w:ind w:left="20" w:right="1"/>
              <w:jc w:val="center"/>
              <w:rPr>
                <w:rFonts w:ascii="Arial" w:eastAsia="Arial" w:hAnsi="Arial" w:cs="Arial"/>
                <w:b/>
                <w:bCs/>
                <w:color w:val="000000"/>
              </w:rPr>
            </w:pPr>
            <w:r>
              <w:rPr>
                <w:rFonts w:ascii="Arial" w:eastAsia="Arial" w:hAnsi="Arial" w:cs="Arial"/>
                <w:b/>
                <w:bCs/>
                <w:color w:val="000000"/>
              </w:rPr>
              <w:t>0</w:t>
            </w:r>
          </w:p>
        </w:tc>
        <w:tc>
          <w:tcPr>
            <w:tcW w:w="900" w:type="dxa"/>
          </w:tcPr>
          <w:p w14:paraId="000002C2" w14:textId="77777777" w:rsidR="001C40B0" w:rsidRDefault="00291712">
            <w:pPr>
              <w:pBdr>
                <w:top w:val="nil"/>
                <w:left w:val="nil"/>
                <w:bottom w:val="nil"/>
                <w:right w:val="nil"/>
                <w:between w:val="nil"/>
              </w:pBdr>
              <w:spacing w:before="1"/>
              <w:ind w:left="20" w:right="1"/>
              <w:jc w:val="center"/>
              <w:rPr>
                <w:rFonts w:ascii="Arial" w:eastAsia="Arial" w:hAnsi="Arial" w:cs="Arial"/>
                <w:b/>
                <w:bCs/>
                <w:color w:val="000000"/>
              </w:rPr>
            </w:pPr>
            <w:r>
              <w:rPr>
                <w:rFonts w:ascii="Arial" w:eastAsia="Arial" w:hAnsi="Arial" w:cs="Arial"/>
                <w:b/>
                <w:bCs/>
                <w:color w:val="000000"/>
              </w:rPr>
              <w:t>0</w:t>
            </w:r>
          </w:p>
        </w:tc>
        <w:tc>
          <w:tcPr>
            <w:tcW w:w="840" w:type="dxa"/>
          </w:tcPr>
          <w:p w14:paraId="000002C3" w14:textId="77777777" w:rsidR="001C40B0" w:rsidRDefault="00291712">
            <w:pPr>
              <w:pBdr>
                <w:top w:val="nil"/>
                <w:left w:val="nil"/>
                <w:bottom w:val="nil"/>
                <w:right w:val="nil"/>
                <w:between w:val="nil"/>
              </w:pBdr>
              <w:spacing w:before="1"/>
              <w:ind w:left="25" w:right="1"/>
              <w:jc w:val="center"/>
              <w:rPr>
                <w:rFonts w:ascii="Arial" w:eastAsia="Arial" w:hAnsi="Arial" w:cs="Arial"/>
                <w:b/>
                <w:bCs/>
                <w:color w:val="000000"/>
              </w:rPr>
            </w:pPr>
            <w:r>
              <w:rPr>
                <w:rFonts w:ascii="Arial" w:eastAsia="Arial" w:hAnsi="Arial" w:cs="Arial"/>
                <w:b/>
                <w:bCs/>
                <w:color w:val="000000"/>
              </w:rPr>
              <w:t>2</w:t>
            </w:r>
          </w:p>
        </w:tc>
        <w:tc>
          <w:tcPr>
            <w:tcW w:w="945" w:type="dxa"/>
          </w:tcPr>
          <w:p w14:paraId="000002C4" w14:textId="77777777" w:rsidR="001C40B0" w:rsidRDefault="00291712">
            <w:pPr>
              <w:pBdr>
                <w:top w:val="nil"/>
                <w:left w:val="nil"/>
                <w:bottom w:val="nil"/>
                <w:right w:val="nil"/>
                <w:between w:val="nil"/>
              </w:pBdr>
              <w:spacing w:before="1"/>
              <w:ind w:left="21" w:right="1"/>
              <w:jc w:val="center"/>
              <w:rPr>
                <w:rFonts w:ascii="Arial" w:eastAsia="Arial" w:hAnsi="Arial" w:cs="Arial"/>
                <w:b/>
                <w:bCs/>
                <w:color w:val="000000"/>
              </w:rPr>
            </w:pPr>
            <w:r>
              <w:rPr>
                <w:rFonts w:ascii="Arial" w:eastAsia="Arial" w:hAnsi="Arial" w:cs="Arial"/>
                <w:b/>
                <w:bCs/>
                <w:color w:val="000000"/>
              </w:rPr>
              <w:t>4</w:t>
            </w:r>
          </w:p>
        </w:tc>
        <w:tc>
          <w:tcPr>
            <w:tcW w:w="795" w:type="dxa"/>
          </w:tcPr>
          <w:p w14:paraId="000002C5" w14:textId="77777777" w:rsidR="001C40B0" w:rsidRDefault="00291712">
            <w:pPr>
              <w:pBdr>
                <w:top w:val="nil"/>
                <w:left w:val="nil"/>
                <w:bottom w:val="nil"/>
                <w:right w:val="nil"/>
                <w:between w:val="nil"/>
              </w:pBdr>
              <w:spacing w:before="1"/>
              <w:ind w:left="17" w:right="1"/>
              <w:jc w:val="center"/>
              <w:rPr>
                <w:rFonts w:ascii="Arial" w:eastAsia="Arial" w:hAnsi="Arial" w:cs="Arial"/>
                <w:b/>
                <w:bCs/>
                <w:color w:val="000000"/>
              </w:rPr>
            </w:pPr>
            <w:r>
              <w:rPr>
                <w:rFonts w:ascii="Arial" w:eastAsia="Arial" w:hAnsi="Arial" w:cs="Arial"/>
                <w:b/>
                <w:bCs/>
                <w:color w:val="000000"/>
              </w:rPr>
              <w:t>0</w:t>
            </w:r>
          </w:p>
        </w:tc>
        <w:tc>
          <w:tcPr>
            <w:tcW w:w="615" w:type="dxa"/>
          </w:tcPr>
          <w:p w14:paraId="000002C6" w14:textId="77777777" w:rsidR="001C40B0" w:rsidRDefault="00291712">
            <w:pPr>
              <w:pBdr>
                <w:top w:val="nil"/>
                <w:left w:val="nil"/>
                <w:bottom w:val="nil"/>
                <w:right w:val="nil"/>
                <w:between w:val="nil"/>
              </w:pBdr>
              <w:spacing w:before="1"/>
              <w:ind w:left="16"/>
              <w:jc w:val="center"/>
              <w:rPr>
                <w:rFonts w:ascii="Arial" w:eastAsia="Arial" w:hAnsi="Arial" w:cs="Arial"/>
                <w:b/>
                <w:bCs/>
                <w:color w:val="000000"/>
              </w:rPr>
            </w:pPr>
            <w:r>
              <w:rPr>
                <w:rFonts w:ascii="Arial" w:eastAsia="Arial" w:hAnsi="Arial" w:cs="Arial"/>
                <w:b/>
                <w:bCs/>
                <w:color w:val="000000"/>
              </w:rPr>
              <w:t>834</w:t>
            </w:r>
          </w:p>
        </w:tc>
      </w:tr>
      <w:tr w:rsidR="001C40B0" w14:paraId="58287901" w14:textId="77777777">
        <w:trPr>
          <w:trHeight w:val="301"/>
        </w:trPr>
        <w:tc>
          <w:tcPr>
            <w:tcW w:w="1035" w:type="dxa"/>
          </w:tcPr>
          <w:p w14:paraId="000002C7" w14:textId="77777777" w:rsidR="001C40B0" w:rsidRDefault="00291712">
            <w:pPr>
              <w:pBdr>
                <w:top w:val="nil"/>
                <w:left w:val="nil"/>
                <w:bottom w:val="nil"/>
                <w:right w:val="nil"/>
                <w:between w:val="nil"/>
              </w:pBdr>
              <w:spacing w:before="1"/>
              <w:ind w:left="22" w:right="1"/>
              <w:jc w:val="center"/>
              <w:rPr>
                <w:rFonts w:ascii="Arial" w:eastAsia="Arial" w:hAnsi="Arial" w:cs="Arial"/>
                <w:b/>
                <w:bCs/>
                <w:color w:val="000000"/>
              </w:rPr>
            </w:pPr>
            <w:r>
              <w:rPr>
                <w:rFonts w:ascii="Arial" w:eastAsia="Arial" w:hAnsi="Arial" w:cs="Arial"/>
                <w:b/>
                <w:bCs/>
                <w:color w:val="000000"/>
              </w:rPr>
              <w:t>2010</w:t>
            </w:r>
          </w:p>
        </w:tc>
        <w:tc>
          <w:tcPr>
            <w:tcW w:w="660" w:type="dxa"/>
          </w:tcPr>
          <w:p w14:paraId="000002C8" w14:textId="77777777" w:rsidR="001C40B0" w:rsidRDefault="00291712">
            <w:pPr>
              <w:pBdr>
                <w:top w:val="nil"/>
                <w:left w:val="nil"/>
                <w:bottom w:val="nil"/>
                <w:right w:val="nil"/>
                <w:between w:val="nil"/>
              </w:pBdr>
              <w:spacing w:before="1"/>
              <w:ind w:left="22" w:right="1"/>
              <w:jc w:val="center"/>
              <w:rPr>
                <w:rFonts w:ascii="Arial" w:eastAsia="Arial" w:hAnsi="Arial" w:cs="Arial"/>
                <w:b/>
                <w:bCs/>
                <w:color w:val="000000"/>
              </w:rPr>
            </w:pPr>
            <w:r>
              <w:rPr>
                <w:rFonts w:ascii="Arial" w:eastAsia="Arial" w:hAnsi="Arial" w:cs="Arial"/>
                <w:b/>
                <w:bCs/>
                <w:color w:val="000000"/>
              </w:rPr>
              <w:t>932</w:t>
            </w:r>
          </w:p>
        </w:tc>
        <w:tc>
          <w:tcPr>
            <w:tcW w:w="585" w:type="dxa"/>
          </w:tcPr>
          <w:p w14:paraId="000002C9" w14:textId="77777777" w:rsidR="001C40B0" w:rsidRDefault="00291712">
            <w:pPr>
              <w:pBdr>
                <w:top w:val="nil"/>
                <w:left w:val="nil"/>
                <w:bottom w:val="nil"/>
                <w:right w:val="nil"/>
                <w:between w:val="nil"/>
              </w:pBdr>
              <w:spacing w:before="1"/>
              <w:ind w:left="25"/>
              <w:jc w:val="center"/>
              <w:rPr>
                <w:rFonts w:ascii="Arial" w:eastAsia="Arial" w:hAnsi="Arial" w:cs="Arial"/>
                <w:b/>
                <w:bCs/>
                <w:color w:val="000000"/>
              </w:rPr>
            </w:pPr>
            <w:r>
              <w:rPr>
                <w:rFonts w:ascii="Arial" w:eastAsia="Arial" w:hAnsi="Arial" w:cs="Arial"/>
                <w:b/>
                <w:bCs/>
                <w:color w:val="000000"/>
              </w:rPr>
              <w:t>62</w:t>
            </w:r>
          </w:p>
        </w:tc>
        <w:tc>
          <w:tcPr>
            <w:tcW w:w="585" w:type="dxa"/>
          </w:tcPr>
          <w:p w14:paraId="000002CA" w14:textId="77777777" w:rsidR="001C40B0" w:rsidRDefault="00291712">
            <w:pPr>
              <w:pBdr>
                <w:top w:val="nil"/>
                <w:left w:val="nil"/>
                <w:bottom w:val="nil"/>
                <w:right w:val="nil"/>
                <w:between w:val="nil"/>
              </w:pBdr>
              <w:spacing w:before="1"/>
              <w:ind w:left="19" w:right="1"/>
              <w:jc w:val="center"/>
              <w:rPr>
                <w:rFonts w:ascii="Arial" w:eastAsia="Arial" w:hAnsi="Arial" w:cs="Arial"/>
                <w:b/>
                <w:bCs/>
                <w:color w:val="000000"/>
              </w:rPr>
            </w:pPr>
            <w:r>
              <w:rPr>
                <w:rFonts w:ascii="Arial" w:eastAsia="Arial" w:hAnsi="Arial" w:cs="Arial"/>
                <w:b/>
                <w:bCs/>
                <w:color w:val="000000"/>
              </w:rPr>
              <w:t>2</w:t>
            </w:r>
          </w:p>
        </w:tc>
        <w:tc>
          <w:tcPr>
            <w:tcW w:w="600" w:type="dxa"/>
          </w:tcPr>
          <w:p w14:paraId="000002CB" w14:textId="77777777" w:rsidR="001C40B0" w:rsidRDefault="00291712">
            <w:pPr>
              <w:pBdr>
                <w:top w:val="nil"/>
                <w:left w:val="nil"/>
                <w:bottom w:val="nil"/>
                <w:right w:val="nil"/>
                <w:between w:val="nil"/>
              </w:pBdr>
              <w:spacing w:before="1"/>
              <w:ind w:left="17" w:right="1"/>
              <w:jc w:val="center"/>
              <w:rPr>
                <w:rFonts w:ascii="Arial" w:eastAsia="Arial" w:hAnsi="Arial" w:cs="Arial"/>
                <w:b/>
                <w:bCs/>
                <w:color w:val="000000"/>
              </w:rPr>
            </w:pPr>
            <w:r>
              <w:rPr>
                <w:rFonts w:ascii="Arial" w:eastAsia="Arial" w:hAnsi="Arial" w:cs="Arial"/>
                <w:b/>
                <w:bCs/>
                <w:color w:val="000000"/>
              </w:rPr>
              <w:t>9</w:t>
            </w:r>
          </w:p>
        </w:tc>
        <w:tc>
          <w:tcPr>
            <w:tcW w:w="645" w:type="dxa"/>
          </w:tcPr>
          <w:p w14:paraId="000002CC" w14:textId="77777777" w:rsidR="001C40B0" w:rsidRDefault="00291712">
            <w:pPr>
              <w:pBdr>
                <w:top w:val="nil"/>
                <w:left w:val="nil"/>
                <w:bottom w:val="nil"/>
                <w:right w:val="nil"/>
                <w:between w:val="nil"/>
              </w:pBdr>
              <w:spacing w:before="1"/>
              <w:ind w:left="17" w:right="1"/>
              <w:jc w:val="center"/>
              <w:rPr>
                <w:rFonts w:ascii="Arial" w:eastAsia="Arial" w:hAnsi="Arial" w:cs="Arial"/>
                <w:b/>
                <w:bCs/>
                <w:color w:val="000000"/>
              </w:rPr>
            </w:pPr>
            <w:r>
              <w:rPr>
                <w:rFonts w:ascii="Arial" w:eastAsia="Arial" w:hAnsi="Arial" w:cs="Arial"/>
                <w:b/>
                <w:bCs/>
                <w:color w:val="000000"/>
              </w:rPr>
              <w:t>0</w:t>
            </w:r>
          </w:p>
        </w:tc>
        <w:tc>
          <w:tcPr>
            <w:tcW w:w="615" w:type="dxa"/>
          </w:tcPr>
          <w:p w14:paraId="000002CD" w14:textId="77777777" w:rsidR="001C40B0" w:rsidRDefault="00291712">
            <w:pPr>
              <w:pBdr>
                <w:top w:val="nil"/>
                <w:left w:val="nil"/>
                <w:bottom w:val="nil"/>
                <w:right w:val="nil"/>
                <w:between w:val="nil"/>
              </w:pBdr>
              <w:spacing w:before="1"/>
              <w:ind w:left="20" w:right="1"/>
              <w:jc w:val="center"/>
              <w:rPr>
                <w:rFonts w:ascii="Arial" w:eastAsia="Arial" w:hAnsi="Arial" w:cs="Arial"/>
                <w:b/>
                <w:bCs/>
                <w:color w:val="000000"/>
              </w:rPr>
            </w:pPr>
            <w:r>
              <w:rPr>
                <w:rFonts w:ascii="Arial" w:eastAsia="Arial" w:hAnsi="Arial" w:cs="Arial"/>
                <w:b/>
                <w:bCs/>
                <w:color w:val="000000"/>
              </w:rPr>
              <w:t>0</w:t>
            </w:r>
          </w:p>
        </w:tc>
        <w:tc>
          <w:tcPr>
            <w:tcW w:w="900" w:type="dxa"/>
          </w:tcPr>
          <w:p w14:paraId="000002CE" w14:textId="77777777" w:rsidR="001C40B0" w:rsidRDefault="00291712">
            <w:pPr>
              <w:pBdr>
                <w:top w:val="nil"/>
                <w:left w:val="nil"/>
                <w:bottom w:val="nil"/>
                <w:right w:val="nil"/>
                <w:between w:val="nil"/>
              </w:pBdr>
              <w:spacing w:before="1"/>
              <w:ind w:left="20" w:right="1"/>
              <w:jc w:val="center"/>
              <w:rPr>
                <w:rFonts w:ascii="Arial" w:eastAsia="Arial" w:hAnsi="Arial" w:cs="Arial"/>
                <w:b/>
                <w:bCs/>
                <w:color w:val="000000"/>
              </w:rPr>
            </w:pPr>
            <w:r>
              <w:rPr>
                <w:rFonts w:ascii="Arial" w:eastAsia="Arial" w:hAnsi="Arial" w:cs="Arial"/>
                <w:b/>
                <w:bCs/>
                <w:color w:val="000000"/>
              </w:rPr>
              <w:t>0</w:t>
            </w:r>
          </w:p>
        </w:tc>
        <w:tc>
          <w:tcPr>
            <w:tcW w:w="840" w:type="dxa"/>
          </w:tcPr>
          <w:p w14:paraId="000002CF" w14:textId="77777777" w:rsidR="001C40B0" w:rsidRDefault="00291712">
            <w:pPr>
              <w:pBdr>
                <w:top w:val="nil"/>
                <w:left w:val="nil"/>
                <w:bottom w:val="nil"/>
                <w:right w:val="nil"/>
                <w:between w:val="nil"/>
              </w:pBdr>
              <w:spacing w:before="1"/>
              <w:ind w:left="25" w:right="1"/>
              <w:jc w:val="center"/>
              <w:rPr>
                <w:rFonts w:ascii="Arial" w:eastAsia="Arial" w:hAnsi="Arial" w:cs="Arial"/>
                <w:b/>
                <w:bCs/>
                <w:color w:val="000000"/>
              </w:rPr>
            </w:pPr>
            <w:r>
              <w:rPr>
                <w:rFonts w:ascii="Arial" w:eastAsia="Arial" w:hAnsi="Arial" w:cs="Arial"/>
                <w:b/>
                <w:bCs/>
                <w:color w:val="000000"/>
              </w:rPr>
              <w:t>0</w:t>
            </w:r>
          </w:p>
        </w:tc>
        <w:tc>
          <w:tcPr>
            <w:tcW w:w="945" w:type="dxa"/>
          </w:tcPr>
          <w:p w14:paraId="000002D0" w14:textId="77777777" w:rsidR="001C40B0" w:rsidRDefault="00291712">
            <w:pPr>
              <w:pBdr>
                <w:top w:val="nil"/>
                <w:left w:val="nil"/>
                <w:bottom w:val="nil"/>
                <w:right w:val="nil"/>
                <w:between w:val="nil"/>
              </w:pBdr>
              <w:spacing w:before="1"/>
              <w:ind w:left="21" w:right="1"/>
              <w:jc w:val="center"/>
              <w:rPr>
                <w:rFonts w:ascii="Arial" w:eastAsia="Arial" w:hAnsi="Arial" w:cs="Arial"/>
                <w:b/>
                <w:bCs/>
                <w:color w:val="000000"/>
              </w:rPr>
            </w:pPr>
            <w:r>
              <w:rPr>
                <w:rFonts w:ascii="Arial" w:eastAsia="Arial" w:hAnsi="Arial" w:cs="Arial"/>
                <w:b/>
                <w:bCs/>
                <w:color w:val="000000"/>
              </w:rPr>
              <w:t>2</w:t>
            </w:r>
          </w:p>
        </w:tc>
        <w:tc>
          <w:tcPr>
            <w:tcW w:w="795" w:type="dxa"/>
          </w:tcPr>
          <w:p w14:paraId="000002D1" w14:textId="77777777" w:rsidR="001C40B0" w:rsidRDefault="00291712">
            <w:pPr>
              <w:pBdr>
                <w:top w:val="nil"/>
                <w:left w:val="nil"/>
                <w:bottom w:val="nil"/>
                <w:right w:val="nil"/>
                <w:between w:val="nil"/>
              </w:pBdr>
              <w:spacing w:before="1"/>
              <w:ind w:left="17" w:right="1"/>
              <w:jc w:val="center"/>
              <w:rPr>
                <w:rFonts w:ascii="Arial" w:eastAsia="Arial" w:hAnsi="Arial" w:cs="Arial"/>
                <w:b/>
                <w:bCs/>
                <w:color w:val="000000"/>
              </w:rPr>
            </w:pPr>
            <w:r>
              <w:rPr>
                <w:rFonts w:ascii="Arial" w:eastAsia="Arial" w:hAnsi="Arial" w:cs="Arial"/>
                <w:b/>
                <w:bCs/>
                <w:color w:val="000000"/>
              </w:rPr>
              <w:t>0</w:t>
            </w:r>
          </w:p>
        </w:tc>
        <w:tc>
          <w:tcPr>
            <w:tcW w:w="615" w:type="dxa"/>
          </w:tcPr>
          <w:p w14:paraId="000002D2" w14:textId="77777777" w:rsidR="001C40B0" w:rsidRDefault="00291712">
            <w:pPr>
              <w:pBdr>
                <w:top w:val="nil"/>
                <w:left w:val="nil"/>
                <w:bottom w:val="nil"/>
                <w:right w:val="nil"/>
                <w:between w:val="nil"/>
              </w:pBdr>
              <w:spacing w:before="1"/>
              <w:ind w:left="16"/>
              <w:jc w:val="center"/>
              <w:rPr>
                <w:rFonts w:ascii="Arial" w:eastAsia="Arial" w:hAnsi="Arial" w:cs="Arial"/>
                <w:b/>
                <w:bCs/>
                <w:color w:val="000000"/>
              </w:rPr>
            </w:pPr>
            <w:r>
              <w:rPr>
                <w:rFonts w:ascii="Arial" w:eastAsia="Arial" w:hAnsi="Arial" w:cs="Arial"/>
                <w:b/>
                <w:bCs/>
                <w:color w:val="000000"/>
              </w:rPr>
              <w:t>1,007</w:t>
            </w:r>
          </w:p>
        </w:tc>
      </w:tr>
      <w:tr w:rsidR="001C40B0" w14:paraId="23B70CE2" w14:textId="77777777">
        <w:trPr>
          <w:trHeight w:val="296"/>
        </w:trPr>
        <w:tc>
          <w:tcPr>
            <w:tcW w:w="1035" w:type="dxa"/>
          </w:tcPr>
          <w:p w14:paraId="000002D3" w14:textId="77777777" w:rsidR="001C40B0" w:rsidRDefault="00291712">
            <w:pPr>
              <w:pBdr>
                <w:top w:val="nil"/>
                <w:left w:val="nil"/>
                <w:bottom w:val="nil"/>
                <w:right w:val="nil"/>
                <w:between w:val="nil"/>
              </w:pBdr>
              <w:spacing w:before="1"/>
              <w:ind w:left="22" w:right="1"/>
              <w:jc w:val="center"/>
              <w:rPr>
                <w:rFonts w:ascii="Arial" w:eastAsia="Arial" w:hAnsi="Arial" w:cs="Arial"/>
                <w:b/>
                <w:bCs/>
                <w:color w:val="000000"/>
              </w:rPr>
            </w:pPr>
            <w:r>
              <w:rPr>
                <w:rFonts w:ascii="Arial" w:eastAsia="Arial" w:hAnsi="Arial" w:cs="Arial"/>
                <w:b/>
                <w:bCs/>
                <w:color w:val="000000"/>
              </w:rPr>
              <w:t>2011</w:t>
            </w:r>
          </w:p>
        </w:tc>
        <w:tc>
          <w:tcPr>
            <w:tcW w:w="660" w:type="dxa"/>
          </w:tcPr>
          <w:p w14:paraId="000002D4" w14:textId="77777777" w:rsidR="001C40B0" w:rsidRDefault="00291712">
            <w:pPr>
              <w:pBdr>
                <w:top w:val="nil"/>
                <w:left w:val="nil"/>
                <w:bottom w:val="nil"/>
                <w:right w:val="nil"/>
                <w:between w:val="nil"/>
              </w:pBdr>
              <w:spacing w:before="1"/>
              <w:ind w:left="22" w:right="1"/>
              <w:jc w:val="center"/>
              <w:rPr>
                <w:rFonts w:ascii="Arial" w:eastAsia="Arial" w:hAnsi="Arial" w:cs="Arial"/>
                <w:b/>
                <w:bCs/>
                <w:color w:val="000000"/>
              </w:rPr>
            </w:pPr>
            <w:r>
              <w:rPr>
                <w:rFonts w:ascii="Arial" w:eastAsia="Arial" w:hAnsi="Arial" w:cs="Arial"/>
                <w:b/>
                <w:bCs/>
                <w:color w:val="000000"/>
              </w:rPr>
              <w:t>997</w:t>
            </w:r>
          </w:p>
        </w:tc>
        <w:tc>
          <w:tcPr>
            <w:tcW w:w="585" w:type="dxa"/>
          </w:tcPr>
          <w:p w14:paraId="000002D5" w14:textId="77777777" w:rsidR="001C40B0" w:rsidRDefault="00291712">
            <w:pPr>
              <w:pBdr>
                <w:top w:val="nil"/>
                <w:left w:val="nil"/>
                <w:bottom w:val="nil"/>
                <w:right w:val="nil"/>
                <w:between w:val="nil"/>
              </w:pBdr>
              <w:spacing w:before="1"/>
              <w:ind w:left="25"/>
              <w:jc w:val="center"/>
              <w:rPr>
                <w:rFonts w:ascii="Arial" w:eastAsia="Arial" w:hAnsi="Arial" w:cs="Arial"/>
                <w:b/>
                <w:bCs/>
                <w:color w:val="000000"/>
              </w:rPr>
            </w:pPr>
            <w:r>
              <w:rPr>
                <w:rFonts w:ascii="Arial" w:eastAsia="Arial" w:hAnsi="Arial" w:cs="Arial"/>
                <w:b/>
                <w:bCs/>
                <w:color w:val="000000"/>
              </w:rPr>
              <w:t>50</w:t>
            </w:r>
          </w:p>
        </w:tc>
        <w:tc>
          <w:tcPr>
            <w:tcW w:w="585" w:type="dxa"/>
          </w:tcPr>
          <w:p w14:paraId="000002D6" w14:textId="77777777" w:rsidR="001C40B0" w:rsidRDefault="00291712">
            <w:pPr>
              <w:pBdr>
                <w:top w:val="nil"/>
                <w:left w:val="nil"/>
                <w:bottom w:val="nil"/>
                <w:right w:val="nil"/>
                <w:between w:val="nil"/>
              </w:pBdr>
              <w:spacing w:before="1"/>
              <w:ind w:left="19" w:right="1"/>
              <w:jc w:val="center"/>
              <w:rPr>
                <w:rFonts w:ascii="Arial" w:eastAsia="Arial" w:hAnsi="Arial" w:cs="Arial"/>
                <w:b/>
                <w:bCs/>
                <w:color w:val="000000"/>
              </w:rPr>
            </w:pPr>
            <w:r>
              <w:rPr>
                <w:rFonts w:ascii="Arial" w:eastAsia="Arial" w:hAnsi="Arial" w:cs="Arial"/>
                <w:b/>
                <w:bCs/>
                <w:color w:val="000000"/>
              </w:rPr>
              <w:t>8</w:t>
            </w:r>
          </w:p>
        </w:tc>
        <w:tc>
          <w:tcPr>
            <w:tcW w:w="600" w:type="dxa"/>
          </w:tcPr>
          <w:p w14:paraId="000002D7" w14:textId="77777777" w:rsidR="001C40B0" w:rsidRDefault="00291712">
            <w:pPr>
              <w:pBdr>
                <w:top w:val="nil"/>
                <w:left w:val="nil"/>
                <w:bottom w:val="nil"/>
                <w:right w:val="nil"/>
                <w:between w:val="nil"/>
              </w:pBdr>
              <w:spacing w:before="1"/>
              <w:ind w:left="17"/>
              <w:jc w:val="center"/>
              <w:rPr>
                <w:rFonts w:ascii="Arial" w:eastAsia="Arial" w:hAnsi="Arial" w:cs="Arial"/>
                <w:b/>
                <w:bCs/>
                <w:color w:val="000000"/>
              </w:rPr>
            </w:pPr>
            <w:r>
              <w:rPr>
                <w:rFonts w:ascii="Arial" w:eastAsia="Arial" w:hAnsi="Arial" w:cs="Arial"/>
                <w:b/>
                <w:bCs/>
                <w:color w:val="000000"/>
              </w:rPr>
              <w:t>12</w:t>
            </w:r>
          </w:p>
        </w:tc>
        <w:tc>
          <w:tcPr>
            <w:tcW w:w="645" w:type="dxa"/>
          </w:tcPr>
          <w:p w14:paraId="000002D8" w14:textId="77777777" w:rsidR="001C40B0" w:rsidRDefault="00291712">
            <w:pPr>
              <w:pBdr>
                <w:top w:val="nil"/>
                <w:left w:val="nil"/>
                <w:bottom w:val="nil"/>
                <w:right w:val="nil"/>
                <w:between w:val="nil"/>
              </w:pBdr>
              <w:spacing w:before="1"/>
              <w:ind w:left="17" w:right="1"/>
              <w:jc w:val="center"/>
              <w:rPr>
                <w:rFonts w:ascii="Arial" w:eastAsia="Arial" w:hAnsi="Arial" w:cs="Arial"/>
                <w:b/>
                <w:bCs/>
                <w:color w:val="000000"/>
              </w:rPr>
            </w:pPr>
            <w:r>
              <w:rPr>
                <w:rFonts w:ascii="Arial" w:eastAsia="Arial" w:hAnsi="Arial" w:cs="Arial"/>
                <w:b/>
                <w:bCs/>
                <w:color w:val="000000"/>
              </w:rPr>
              <w:t>2</w:t>
            </w:r>
          </w:p>
        </w:tc>
        <w:tc>
          <w:tcPr>
            <w:tcW w:w="615" w:type="dxa"/>
          </w:tcPr>
          <w:p w14:paraId="000002D9" w14:textId="77777777" w:rsidR="001C40B0" w:rsidRDefault="00291712">
            <w:pPr>
              <w:pBdr>
                <w:top w:val="nil"/>
                <w:left w:val="nil"/>
                <w:bottom w:val="nil"/>
                <w:right w:val="nil"/>
                <w:between w:val="nil"/>
              </w:pBdr>
              <w:spacing w:before="1"/>
              <w:ind w:left="20" w:right="1"/>
              <w:jc w:val="center"/>
              <w:rPr>
                <w:rFonts w:ascii="Arial" w:eastAsia="Arial" w:hAnsi="Arial" w:cs="Arial"/>
                <w:b/>
                <w:bCs/>
                <w:color w:val="000000"/>
              </w:rPr>
            </w:pPr>
            <w:r>
              <w:rPr>
                <w:rFonts w:ascii="Arial" w:eastAsia="Arial" w:hAnsi="Arial" w:cs="Arial"/>
                <w:b/>
                <w:bCs/>
                <w:color w:val="000000"/>
              </w:rPr>
              <w:t>0</w:t>
            </w:r>
          </w:p>
        </w:tc>
        <w:tc>
          <w:tcPr>
            <w:tcW w:w="900" w:type="dxa"/>
          </w:tcPr>
          <w:p w14:paraId="000002DA" w14:textId="77777777" w:rsidR="001C40B0" w:rsidRDefault="00291712">
            <w:pPr>
              <w:pBdr>
                <w:top w:val="nil"/>
                <w:left w:val="nil"/>
                <w:bottom w:val="nil"/>
                <w:right w:val="nil"/>
                <w:between w:val="nil"/>
              </w:pBdr>
              <w:spacing w:before="1"/>
              <w:ind w:left="20" w:right="1"/>
              <w:jc w:val="center"/>
              <w:rPr>
                <w:rFonts w:ascii="Arial" w:eastAsia="Arial" w:hAnsi="Arial" w:cs="Arial"/>
                <w:b/>
                <w:bCs/>
                <w:color w:val="000000"/>
              </w:rPr>
            </w:pPr>
            <w:r>
              <w:rPr>
                <w:rFonts w:ascii="Arial" w:eastAsia="Arial" w:hAnsi="Arial" w:cs="Arial"/>
                <w:b/>
                <w:bCs/>
                <w:color w:val="000000"/>
              </w:rPr>
              <w:t>0</w:t>
            </w:r>
          </w:p>
        </w:tc>
        <w:tc>
          <w:tcPr>
            <w:tcW w:w="840" w:type="dxa"/>
          </w:tcPr>
          <w:p w14:paraId="000002DB" w14:textId="77777777" w:rsidR="001C40B0" w:rsidRDefault="00291712">
            <w:pPr>
              <w:pBdr>
                <w:top w:val="nil"/>
                <w:left w:val="nil"/>
                <w:bottom w:val="nil"/>
                <w:right w:val="nil"/>
                <w:between w:val="nil"/>
              </w:pBdr>
              <w:spacing w:before="1"/>
              <w:ind w:left="25" w:right="1"/>
              <w:jc w:val="center"/>
              <w:rPr>
                <w:rFonts w:ascii="Arial" w:eastAsia="Arial" w:hAnsi="Arial" w:cs="Arial"/>
                <w:b/>
                <w:bCs/>
                <w:color w:val="000000"/>
              </w:rPr>
            </w:pPr>
            <w:r>
              <w:rPr>
                <w:rFonts w:ascii="Arial" w:eastAsia="Arial" w:hAnsi="Arial" w:cs="Arial"/>
                <w:b/>
                <w:bCs/>
                <w:color w:val="000000"/>
              </w:rPr>
              <w:t>0</w:t>
            </w:r>
          </w:p>
        </w:tc>
        <w:tc>
          <w:tcPr>
            <w:tcW w:w="945" w:type="dxa"/>
          </w:tcPr>
          <w:p w14:paraId="000002DC" w14:textId="77777777" w:rsidR="001C40B0" w:rsidRDefault="00291712">
            <w:pPr>
              <w:pBdr>
                <w:top w:val="nil"/>
                <w:left w:val="nil"/>
                <w:bottom w:val="nil"/>
                <w:right w:val="nil"/>
                <w:between w:val="nil"/>
              </w:pBdr>
              <w:spacing w:before="1"/>
              <w:ind w:left="21" w:right="1"/>
              <w:jc w:val="center"/>
              <w:rPr>
                <w:rFonts w:ascii="Arial" w:eastAsia="Arial" w:hAnsi="Arial" w:cs="Arial"/>
                <w:b/>
                <w:bCs/>
                <w:color w:val="000000"/>
              </w:rPr>
            </w:pPr>
            <w:r>
              <w:rPr>
                <w:rFonts w:ascii="Arial" w:eastAsia="Arial" w:hAnsi="Arial" w:cs="Arial"/>
                <w:b/>
                <w:bCs/>
                <w:color w:val="000000"/>
              </w:rPr>
              <w:t>4</w:t>
            </w:r>
          </w:p>
        </w:tc>
        <w:tc>
          <w:tcPr>
            <w:tcW w:w="795" w:type="dxa"/>
          </w:tcPr>
          <w:p w14:paraId="000002DD" w14:textId="77777777" w:rsidR="001C40B0" w:rsidRDefault="00291712">
            <w:pPr>
              <w:pBdr>
                <w:top w:val="nil"/>
                <w:left w:val="nil"/>
                <w:bottom w:val="nil"/>
                <w:right w:val="nil"/>
                <w:between w:val="nil"/>
              </w:pBdr>
              <w:spacing w:before="1"/>
              <w:ind w:left="17" w:right="1"/>
              <w:jc w:val="center"/>
              <w:rPr>
                <w:rFonts w:ascii="Arial" w:eastAsia="Arial" w:hAnsi="Arial" w:cs="Arial"/>
                <w:b/>
                <w:bCs/>
                <w:color w:val="000000"/>
              </w:rPr>
            </w:pPr>
            <w:r>
              <w:rPr>
                <w:rFonts w:ascii="Arial" w:eastAsia="Arial" w:hAnsi="Arial" w:cs="Arial"/>
                <w:b/>
                <w:bCs/>
                <w:color w:val="000000"/>
              </w:rPr>
              <w:t>1</w:t>
            </w:r>
          </w:p>
        </w:tc>
        <w:tc>
          <w:tcPr>
            <w:tcW w:w="615" w:type="dxa"/>
          </w:tcPr>
          <w:p w14:paraId="000002DE" w14:textId="77777777" w:rsidR="001C40B0" w:rsidRDefault="00291712">
            <w:pPr>
              <w:pBdr>
                <w:top w:val="nil"/>
                <w:left w:val="nil"/>
                <w:bottom w:val="nil"/>
                <w:right w:val="nil"/>
                <w:between w:val="nil"/>
              </w:pBdr>
              <w:spacing w:before="1"/>
              <w:ind w:left="16"/>
              <w:jc w:val="center"/>
              <w:rPr>
                <w:rFonts w:ascii="Arial" w:eastAsia="Arial" w:hAnsi="Arial" w:cs="Arial"/>
                <w:b/>
                <w:bCs/>
                <w:color w:val="000000"/>
              </w:rPr>
            </w:pPr>
            <w:r>
              <w:rPr>
                <w:rFonts w:ascii="Arial" w:eastAsia="Arial" w:hAnsi="Arial" w:cs="Arial"/>
                <w:b/>
                <w:bCs/>
                <w:color w:val="000000"/>
              </w:rPr>
              <w:t>1,074</w:t>
            </w:r>
          </w:p>
        </w:tc>
      </w:tr>
      <w:tr w:rsidR="001C40B0" w14:paraId="4075F4B2" w14:textId="77777777">
        <w:trPr>
          <w:trHeight w:val="301"/>
        </w:trPr>
        <w:tc>
          <w:tcPr>
            <w:tcW w:w="1035" w:type="dxa"/>
          </w:tcPr>
          <w:p w14:paraId="000002DF" w14:textId="77777777" w:rsidR="001C40B0" w:rsidRDefault="00291712">
            <w:pPr>
              <w:pBdr>
                <w:top w:val="nil"/>
                <w:left w:val="nil"/>
                <w:bottom w:val="nil"/>
                <w:right w:val="nil"/>
                <w:between w:val="nil"/>
              </w:pBdr>
              <w:spacing w:before="5"/>
              <w:ind w:left="22" w:right="1"/>
              <w:jc w:val="center"/>
              <w:rPr>
                <w:rFonts w:ascii="Arial" w:eastAsia="Arial" w:hAnsi="Arial" w:cs="Arial"/>
                <w:b/>
                <w:bCs/>
                <w:color w:val="000000"/>
              </w:rPr>
            </w:pPr>
            <w:r>
              <w:rPr>
                <w:rFonts w:ascii="Arial" w:eastAsia="Arial" w:hAnsi="Arial" w:cs="Arial"/>
                <w:b/>
                <w:bCs/>
                <w:color w:val="000000"/>
              </w:rPr>
              <w:t>2012</w:t>
            </w:r>
          </w:p>
        </w:tc>
        <w:tc>
          <w:tcPr>
            <w:tcW w:w="660" w:type="dxa"/>
          </w:tcPr>
          <w:p w14:paraId="000002E0" w14:textId="77777777" w:rsidR="001C40B0" w:rsidRDefault="00291712">
            <w:pPr>
              <w:pBdr>
                <w:top w:val="nil"/>
                <w:left w:val="nil"/>
                <w:bottom w:val="nil"/>
                <w:right w:val="nil"/>
                <w:between w:val="nil"/>
              </w:pBdr>
              <w:spacing w:before="5"/>
              <w:ind w:left="22" w:right="1"/>
              <w:jc w:val="center"/>
              <w:rPr>
                <w:rFonts w:ascii="Arial" w:eastAsia="Arial" w:hAnsi="Arial" w:cs="Arial"/>
                <w:b/>
                <w:bCs/>
                <w:color w:val="000000"/>
              </w:rPr>
            </w:pPr>
            <w:r>
              <w:rPr>
                <w:rFonts w:ascii="Arial" w:eastAsia="Arial" w:hAnsi="Arial" w:cs="Arial"/>
                <w:b/>
                <w:bCs/>
                <w:color w:val="000000"/>
              </w:rPr>
              <w:t>1,220</w:t>
            </w:r>
          </w:p>
        </w:tc>
        <w:tc>
          <w:tcPr>
            <w:tcW w:w="585" w:type="dxa"/>
          </w:tcPr>
          <w:p w14:paraId="000002E1" w14:textId="77777777" w:rsidR="001C40B0" w:rsidRDefault="00291712">
            <w:pPr>
              <w:pBdr>
                <w:top w:val="nil"/>
                <w:left w:val="nil"/>
                <w:bottom w:val="nil"/>
                <w:right w:val="nil"/>
                <w:between w:val="nil"/>
              </w:pBdr>
              <w:spacing w:before="5"/>
              <w:ind w:left="25"/>
              <w:jc w:val="center"/>
              <w:rPr>
                <w:rFonts w:ascii="Arial" w:eastAsia="Arial" w:hAnsi="Arial" w:cs="Arial"/>
                <w:b/>
                <w:bCs/>
                <w:color w:val="000000"/>
              </w:rPr>
            </w:pPr>
            <w:r>
              <w:rPr>
                <w:rFonts w:ascii="Arial" w:eastAsia="Arial" w:hAnsi="Arial" w:cs="Arial"/>
                <w:b/>
                <w:bCs/>
                <w:color w:val="000000"/>
              </w:rPr>
              <w:t>72</w:t>
            </w:r>
          </w:p>
        </w:tc>
        <w:tc>
          <w:tcPr>
            <w:tcW w:w="585" w:type="dxa"/>
          </w:tcPr>
          <w:p w14:paraId="000002E2" w14:textId="77777777" w:rsidR="001C40B0" w:rsidRDefault="00291712">
            <w:pPr>
              <w:pBdr>
                <w:top w:val="nil"/>
                <w:left w:val="nil"/>
                <w:bottom w:val="nil"/>
                <w:right w:val="nil"/>
                <w:between w:val="nil"/>
              </w:pBdr>
              <w:spacing w:before="5"/>
              <w:ind w:left="19" w:right="1"/>
              <w:jc w:val="center"/>
              <w:rPr>
                <w:rFonts w:ascii="Arial" w:eastAsia="Arial" w:hAnsi="Arial" w:cs="Arial"/>
                <w:b/>
                <w:bCs/>
                <w:color w:val="000000"/>
              </w:rPr>
            </w:pPr>
            <w:r>
              <w:rPr>
                <w:rFonts w:ascii="Arial" w:eastAsia="Arial" w:hAnsi="Arial" w:cs="Arial"/>
                <w:b/>
                <w:bCs/>
                <w:color w:val="000000"/>
              </w:rPr>
              <w:t>6</w:t>
            </w:r>
          </w:p>
        </w:tc>
        <w:tc>
          <w:tcPr>
            <w:tcW w:w="600" w:type="dxa"/>
          </w:tcPr>
          <w:p w14:paraId="000002E3" w14:textId="77777777" w:rsidR="001C40B0" w:rsidRDefault="00291712">
            <w:pPr>
              <w:pBdr>
                <w:top w:val="nil"/>
                <w:left w:val="nil"/>
                <w:bottom w:val="nil"/>
                <w:right w:val="nil"/>
                <w:between w:val="nil"/>
              </w:pBdr>
              <w:spacing w:before="5"/>
              <w:ind w:left="17"/>
              <w:jc w:val="center"/>
              <w:rPr>
                <w:rFonts w:ascii="Arial" w:eastAsia="Arial" w:hAnsi="Arial" w:cs="Arial"/>
                <w:b/>
                <w:bCs/>
                <w:color w:val="000000"/>
              </w:rPr>
            </w:pPr>
            <w:r>
              <w:rPr>
                <w:rFonts w:ascii="Arial" w:eastAsia="Arial" w:hAnsi="Arial" w:cs="Arial"/>
                <w:b/>
                <w:bCs/>
                <w:color w:val="000000"/>
              </w:rPr>
              <w:t>24</w:t>
            </w:r>
          </w:p>
        </w:tc>
        <w:tc>
          <w:tcPr>
            <w:tcW w:w="645" w:type="dxa"/>
          </w:tcPr>
          <w:p w14:paraId="000002E4" w14:textId="77777777" w:rsidR="001C40B0" w:rsidRDefault="00291712">
            <w:pPr>
              <w:pBdr>
                <w:top w:val="nil"/>
                <w:left w:val="nil"/>
                <w:bottom w:val="nil"/>
                <w:right w:val="nil"/>
                <w:between w:val="nil"/>
              </w:pBdr>
              <w:spacing w:before="5"/>
              <w:ind w:left="17" w:right="1"/>
              <w:jc w:val="center"/>
              <w:rPr>
                <w:rFonts w:ascii="Arial" w:eastAsia="Arial" w:hAnsi="Arial" w:cs="Arial"/>
                <w:b/>
                <w:bCs/>
                <w:color w:val="000000"/>
              </w:rPr>
            </w:pPr>
            <w:r>
              <w:rPr>
                <w:rFonts w:ascii="Arial" w:eastAsia="Arial" w:hAnsi="Arial" w:cs="Arial"/>
                <w:b/>
                <w:bCs/>
                <w:color w:val="000000"/>
              </w:rPr>
              <w:t>3</w:t>
            </w:r>
          </w:p>
        </w:tc>
        <w:tc>
          <w:tcPr>
            <w:tcW w:w="615" w:type="dxa"/>
          </w:tcPr>
          <w:p w14:paraId="000002E5" w14:textId="77777777" w:rsidR="001C40B0" w:rsidRDefault="00291712">
            <w:pPr>
              <w:pBdr>
                <w:top w:val="nil"/>
                <w:left w:val="nil"/>
                <w:bottom w:val="nil"/>
                <w:right w:val="nil"/>
                <w:between w:val="nil"/>
              </w:pBdr>
              <w:spacing w:before="5"/>
              <w:ind w:left="20" w:right="1"/>
              <w:jc w:val="center"/>
              <w:rPr>
                <w:rFonts w:ascii="Arial" w:eastAsia="Arial" w:hAnsi="Arial" w:cs="Arial"/>
                <w:b/>
                <w:bCs/>
                <w:color w:val="000000"/>
              </w:rPr>
            </w:pPr>
            <w:r>
              <w:rPr>
                <w:rFonts w:ascii="Arial" w:eastAsia="Arial" w:hAnsi="Arial" w:cs="Arial"/>
                <w:b/>
                <w:bCs/>
                <w:color w:val="000000"/>
              </w:rPr>
              <w:t>0</w:t>
            </w:r>
          </w:p>
        </w:tc>
        <w:tc>
          <w:tcPr>
            <w:tcW w:w="900" w:type="dxa"/>
          </w:tcPr>
          <w:p w14:paraId="000002E6" w14:textId="77777777" w:rsidR="001C40B0" w:rsidRDefault="00291712">
            <w:pPr>
              <w:pBdr>
                <w:top w:val="nil"/>
                <w:left w:val="nil"/>
                <w:bottom w:val="nil"/>
                <w:right w:val="nil"/>
                <w:between w:val="nil"/>
              </w:pBdr>
              <w:spacing w:before="5"/>
              <w:ind w:left="20" w:right="1"/>
              <w:jc w:val="center"/>
              <w:rPr>
                <w:rFonts w:ascii="Arial" w:eastAsia="Arial" w:hAnsi="Arial" w:cs="Arial"/>
                <w:b/>
                <w:bCs/>
                <w:color w:val="000000"/>
              </w:rPr>
            </w:pPr>
            <w:r>
              <w:rPr>
                <w:rFonts w:ascii="Arial" w:eastAsia="Arial" w:hAnsi="Arial" w:cs="Arial"/>
                <w:b/>
                <w:bCs/>
                <w:color w:val="000000"/>
              </w:rPr>
              <w:t>0</w:t>
            </w:r>
          </w:p>
        </w:tc>
        <w:tc>
          <w:tcPr>
            <w:tcW w:w="840" w:type="dxa"/>
          </w:tcPr>
          <w:p w14:paraId="000002E7" w14:textId="77777777" w:rsidR="001C40B0" w:rsidRDefault="00291712">
            <w:pPr>
              <w:pBdr>
                <w:top w:val="nil"/>
                <w:left w:val="nil"/>
                <w:bottom w:val="nil"/>
                <w:right w:val="nil"/>
                <w:between w:val="nil"/>
              </w:pBdr>
              <w:spacing w:before="5"/>
              <w:ind w:left="25" w:right="1"/>
              <w:jc w:val="center"/>
              <w:rPr>
                <w:rFonts w:ascii="Arial" w:eastAsia="Arial" w:hAnsi="Arial" w:cs="Arial"/>
                <w:b/>
                <w:bCs/>
                <w:color w:val="000000"/>
              </w:rPr>
            </w:pPr>
            <w:r>
              <w:rPr>
                <w:rFonts w:ascii="Arial" w:eastAsia="Arial" w:hAnsi="Arial" w:cs="Arial"/>
                <w:b/>
                <w:bCs/>
                <w:color w:val="000000"/>
              </w:rPr>
              <w:t>0</w:t>
            </w:r>
          </w:p>
        </w:tc>
        <w:tc>
          <w:tcPr>
            <w:tcW w:w="945" w:type="dxa"/>
          </w:tcPr>
          <w:p w14:paraId="000002E8" w14:textId="77777777" w:rsidR="001C40B0" w:rsidRDefault="00291712">
            <w:pPr>
              <w:pBdr>
                <w:top w:val="nil"/>
                <w:left w:val="nil"/>
                <w:bottom w:val="nil"/>
                <w:right w:val="nil"/>
                <w:between w:val="nil"/>
              </w:pBdr>
              <w:spacing w:before="5"/>
              <w:ind w:left="21" w:right="1"/>
              <w:jc w:val="center"/>
              <w:rPr>
                <w:rFonts w:ascii="Arial" w:eastAsia="Arial" w:hAnsi="Arial" w:cs="Arial"/>
                <w:b/>
                <w:bCs/>
                <w:color w:val="000000"/>
              </w:rPr>
            </w:pPr>
            <w:r>
              <w:rPr>
                <w:rFonts w:ascii="Arial" w:eastAsia="Arial" w:hAnsi="Arial" w:cs="Arial"/>
                <w:b/>
                <w:bCs/>
                <w:color w:val="000000"/>
              </w:rPr>
              <w:t>8</w:t>
            </w:r>
          </w:p>
        </w:tc>
        <w:tc>
          <w:tcPr>
            <w:tcW w:w="795" w:type="dxa"/>
          </w:tcPr>
          <w:p w14:paraId="000002E9" w14:textId="77777777" w:rsidR="001C40B0" w:rsidRDefault="00291712">
            <w:pPr>
              <w:pBdr>
                <w:top w:val="nil"/>
                <w:left w:val="nil"/>
                <w:bottom w:val="nil"/>
                <w:right w:val="nil"/>
                <w:between w:val="nil"/>
              </w:pBdr>
              <w:spacing w:before="5"/>
              <w:ind w:left="17" w:right="1"/>
              <w:jc w:val="center"/>
              <w:rPr>
                <w:rFonts w:ascii="Arial" w:eastAsia="Arial" w:hAnsi="Arial" w:cs="Arial"/>
                <w:b/>
                <w:bCs/>
                <w:color w:val="000000"/>
              </w:rPr>
            </w:pPr>
            <w:r>
              <w:rPr>
                <w:rFonts w:ascii="Arial" w:eastAsia="Arial" w:hAnsi="Arial" w:cs="Arial"/>
                <w:b/>
                <w:bCs/>
                <w:color w:val="000000"/>
              </w:rPr>
              <w:t>1</w:t>
            </w:r>
          </w:p>
        </w:tc>
        <w:tc>
          <w:tcPr>
            <w:tcW w:w="615" w:type="dxa"/>
          </w:tcPr>
          <w:p w14:paraId="000002EA" w14:textId="77777777" w:rsidR="001C40B0" w:rsidRDefault="00291712">
            <w:pPr>
              <w:pBdr>
                <w:top w:val="nil"/>
                <w:left w:val="nil"/>
                <w:bottom w:val="nil"/>
                <w:right w:val="nil"/>
                <w:between w:val="nil"/>
              </w:pBdr>
              <w:spacing w:before="5"/>
              <w:ind w:left="16"/>
              <w:jc w:val="center"/>
              <w:rPr>
                <w:rFonts w:ascii="Arial" w:eastAsia="Arial" w:hAnsi="Arial" w:cs="Arial"/>
                <w:b/>
                <w:bCs/>
                <w:color w:val="000000"/>
              </w:rPr>
            </w:pPr>
            <w:r>
              <w:rPr>
                <w:rFonts w:ascii="Arial" w:eastAsia="Arial" w:hAnsi="Arial" w:cs="Arial"/>
                <w:b/>
                <w:bCs/>
                <w:color w:val="000000"/>
              </w:rPr>
              <w:t>1,334</w:t>
            </w:r>
          </w:p>
        </w:tc>
      </w:tr>
      <w:tr w:rsidR="001C40B0" w14:paraId="08392C28" w14:textId="77777777">
        <w:trPr>
          <w:trHeight w:val="301"/>
        </w:trPr>
        <w:tc>
          <w:tcPr>
            <w:tcW w:w="1035" w:type="dxa"/>
          </w:tcPr>
          <w:p w14:paraId="000002EB" w14:textId="77777777" w:rsidR="001C40B0" w:rsidRDefault="00291712">
            <w:pPr>
              <w:pBdr>
                <w:top w:val="nil"/>
                <w:left w:val="nil"/>
                <w:bottom w:val="nil"/>
                <w:right w:val="nil"/>
                <w:between w:val="nil"/>
              </w:pBdr>
              <w:spacing w:before="1"/>
              <w:ind w:left="22" w:right="1"/>
              <w:jc w:val="center"/>
              <w:rPr>
                <w:rFonts w:ascii="Arial" w:eastAsia="Arial" w:hAnsi="Arial" w:cs="Arial"/>
                <w:b/>
                <w:bCs/>
                <w:color w:val="000000"/>
              </w:rPr>
            </w:pPr>
            <w:r>
              <w:rPr>
                <w:rFonts w:ascii="Arial" w:eastAsia="Arial" w:hAnsi="Arial" w:cs="Arial"/>
                <w:b/>
                <w:bCs/>
                <w:color w:val="000000"/>
              </w:rPr>
              <w:t>2013</w:t>
            </w:r>
          </w:p>
        </w:tc>
        <w:tc>
          <w:tcPr>
            <w:tcW w:w="660" w:type="dxa"/>
          </w:tcPr>
          <w:p w14:paraId="000002EC" w14:textId="77777777" w:rsidR="001C40B0" w:rsidRDefault="00291712">
            <w:pPr>
              <w:pBdr>
                <w:top w:val="nil"/>
                <w:left w:val="nil"/>
                <w:bottom w:val="nil"/>
                <w:right w:val="nil"/>
                <w:between w:val="nil"/>
              </w:pBdr>
              <w:spacing w:before="1"/>
              <w:ind w:left="22" w:right="1"/>
              <w:jc w:val="center"/>
              <w:rPr>
                <w:rFonts w:ascii="Arial" w:eastAsia="Arial" w:hAnsi="Arial" w:cs="Arial"/>
                <w:b/>
                <w:bCs/>
                <w:color w:val="000000"/>
              </w:rPr>
            </w:pPr>
            <w:r>
              <w:rPr>
                <w:rFonts w:ascii="Arial" w:eastAsia="Arial" w:hAnsi="Arial" w:cs="Arial"/>
                <w:b/>
                <w:bCs/>
                <w:color w:val="000000"/>
              </w:rPr>
              <w:t>1,604</w:t>
            </w:r>
          </w:p>
        </w:tc>
        <w:tc>
          <w:tcPr>
            <w:tcW w:w="585" w:type="dxa"/>
          </w:tcPr>
          <w:p w14:paraId="000002ED" w14:textId="77777777" w:rsidR="001C40B0" w:rsidRDefault="00291712">
            <w:pPr>
              <w:pBdr>
                <w:top w:val="nil"/>
                <w:left w:val="nil"/>
                <w:bottom w:val="nil"/>
                <w:right w:val="nil"/>
                <w:between w:val="nil"/>
              </w:pBdr>
              <w:spacing w:before="1"/>
              <w:ind w:left="25"/>
              <w:jc w:val="center"/>
              <w:rPr>
                <w:rFonts w:ascii="Arial" w:eastAsia="Arial" w:hAnsi="Arial" w:cs="Arial"/>
                <w:b/>
                <w:bCs/>
                <w:color w:val="000000"/>
              </w:rPr>
            </w:pPr>
            <w:r>
              <w:rPr>
                <w:rFonts w:ascii="Arial" w:eastAsia="Arial" w:hAnsi="Arial" w:cs="Arial"/>
                <w:b/>
                <w:bCs/>
                <w:color w:val="000000"/>
              </w:rPr>
              <w:t>103</w:t>
            </w:r>
          </w:p>
        </w:tc>
        <w:tc>
          <w:tcPr>
            <w:tcW w:w="585" w:type="dxa"/>
          </w:tcPr>
          <w:p w14:paraId="000002EE" w14:textId="77777777" w:rsidR="001C40B0" w:rsidRDefault="00291712">
            <w:pPr>
              <w:pBdr>
                <w:top w:val="nil"/>
                <w:left w:val="nil"/>
                <w:bottom w:val="nil"/>
                <w:right w:val="nil"/>
                <w:between w:val="nil"/>
              </w:pBdr>
              <w:spacing w:before="1"/>
              <w:ind w:left="19" w:right="1"/>
              <w:jc w:val="center"/>
              <w:rPr>
                <w:rFonts w:ascii="Arial" w:eastAsia="Arial" w:hAnsi="Arial" w:cs="Arial"/>
                <w:b/>
                <w:bCs/>
                <w:color w:val="000000"/>
              </w:rPr>
            </w:pPr>
            <w:r>
              <w:rPr>
                <w:rFonts w:ascii="Arial" w:eastAsia="Arial" w:hAnsi="Arial" w:cs="Arial"/>
                <w:b/>
                <w:bCs/>
                <w:color w:val="000000"/>
              </w:rPr>
              <w:t>1</w:t>
            </w:r>
          </w:p>
        </w:tc>
        <w:tc>
          <w:tcPr>
            <w:tcW w:w="600" w:type="dxa"/>
          </w:tcPr>
          <w:p w14:paraId="000002EF" w14:textId="77777777" w:rsidR="001C40B0" w:rsidRDefault="00291712">
            <w:pPr>
              <w:pBdr>
                <w:top w:val="nil"/>
                <w:left w:val="nil"/>
                <w:bottom w:val="nil"/>
                <w:right w:val="nil"/>
                <w:between w:val="nil"/>
              </w:pBdr>
              <w:spacing w:before="1"/>
              <w:ind w:left="17"/>
              <w:jc w:val="center"/>
              <w:rPr>
                <w:rFonts w:ascii="Arial" w:eastAsia="Arial" w:hAnsi="Arial" w:cs="Arial"/>
                <w:b/>
                <w:bCs/>
                <w:color w:val="000000"/>
              </w:rPr>
            </w:pPr>
            <w:r>
              <w:rPr>
                <w:rFonts w:ascii="Arial" w:eastAsia="Arial" w:hAnsi="Arial" w:cs="Arial"/>
                <w:b/>
                <w:bCs/>
                <w:color w:val="000000"/>
              </w:rPr>
              <w:t>31</w:t>
            </w:r>
          </w:p>
        </w:tc>
        <w:tc>
          <w:tcPr>
            <w:tcW w:w="645" w:type="dxa"/>
          </w:tcPr>
          <w:p w14:paraId="000002F0" w14:textId="77777777" w:rsidR="001C40B0" w:rsidRDefault="00291712">
            <w:pPr>
              <w:pBdr>
                <w:top w:val="nil"/>
                <w:left w:val="nil"/>
                <w:bottom w:val="nil"/>
                <w:right w:val="nil"/>
                <w:between w:val="nil"/>
              </w:pBdr>
              <w:spacing w:before="1"/>
              <w:ind w:left="17" w:right="1"/>
              <w:jc w:val="center"/>
              <w:rPr>
                <w:rFonts w:ascii="Arial" w:eastAsia="Arial" w:hAnsi="Arial" w:cs="Arial"/>
                <w:b/>
                <w:bCs/>
                <w:color w:val="000000"/>
              </w:rPr>
            </w:pPr>
            <w:r>
              <w:rPr>
                <w:rFonts w:ascii="Arial" w:eastAsia="Arial" w:hAnsi="Arial" w:cs="Arial"/>
                <w:b/>
                <w:bCs/>
                <w:color w:val="000000"/>
              </w:rPr>
              <w:t>1</w:t>
            </w:r>
          </w:p>
        </w:tc>
        <w:tc>
          <w:tcPr>
            <w:tcW w:w="615" w:type="dxa"/>
          </w:tcPr>
          <w:p w14:paraId="000002F1" w14:textId="77777777" w:rsidR="001C40B0" w:rsidRDefault="00291712">
            <w:pPr>
              <w:pBdr>
                <w:top w:val="nil"/>
                <w:left w:val="nil"/>
                <w:bottom w:val="nil"/>
                <w:right w:val="nil"/>
                <w:between w:val="nil"/>
              </w:pBdr>
              <w:spacing w:before="1"/>
              <w:ind w:left="20" w:right="1"/>
              <w:jc w:val="center"/>
              <w:rPr>
                <w:rFonts w:ascii="Arial" w:eastAsia="Arial" w:hAnsi="Arial" w:cs="Arial"/>
                <w:b/>
                <w:bCs/>
                <w:color w:val="000000"/>
              </w:rPr>
            </w:pPr>
            <w:r>
              <w:rPr>
                <w:rFonts w:ascii="Arial" w:eastAsia="Arial" w:hAnsi="Arial" w:cs="Arial"/>
                <w:b/>
                <w:bCs/>
                <w:color w:val="000000"/>
              </w:rPr>
              <w:t>0</w:t>
            </w:r>
          </w:p>
        </w:tc>
        <w:tc>
          <w:tcPr>
            <w:tcW w:w="900" w:type="dxa"/>
          </w:tcPr>
          <w:p w14:paraId="000002F2" w14:textId="77777777" w:rsidR="001C40B0" w:rsidRDefault="00291712">
            <w:pPr>
              <w:pBdr>
                <w:top w:val="nil"/>
                <w:left w:val="nil"/>
                <w:bottom w:val="nil"/>
                <w:right w:val="nil"/>
                <w:between w:val="nil"/>
              </w:pBdr>
              <w:spacing w:before="1"/>
              <w:ind w:left="20" w:right="1"/>
              <w:jc w:val="center"/>
              <w:rPr>
                <w:rFonts w:ascii="Arial" w:eastAsia="Arial" w:hAnsi="Arial" w:cs="Arial"/>
                <w:b/>
                <w:bCs/>
                <w:color w:val="000000"/>
              </w:rPr>
            </w:pPr>
            <w:r>
              <w:rPr>
                <w:rFonts w:ascii="Arial" w:eastAsia="Arial" w:hAnsi="Arial" w:cs="Arial"/>
                <w:b/>
                <w:bCs/>
                <w:color w:val="000000"/>
              </w:rPr>
              <w:t>3</w:t>
            </w:r>
          </w:p>
        </w:tc>
        <w:tc>
          <w:tcPr>
            <w:tcW w:w="840" w:type="dxa"/>
          </w:tcPr>
          <w:p w14:paraId="000002F3" w14:textId="77777777" w:rsidR="001C40B0" w:rsidRDefault="00291712">
            <w:pPr>
              <w:pBdr>
                <w:top w:val="nil"/>
                <w:left w:val="nil"/>
                <w:bottom w:val="nil"/>
                <w:right w:val="nil"/>
                <w:between w:val="nil"/>
              </w:pBdr>
              <w:spacing w:before="1"/>
              <w:ind w:left="25" w:right="1"/>
              <w:jc w:val="center"/>
              <w:rPr>
                <w:rFonts w:ascii="Arial" w:eastAsia="Arial" w:hAnsi="Arial" w:cs="Arial"/>
                <w:b/>
                <w:bCs/>
                <w:color w:val="000000"/>
              </w:rPr>
            </w:pPr>
            <w:r>
              <w:rPr>
                <w:rFonts w:ascii="Arial" w:eastAsia="Arial" w:hAnsi="Arial" w:cs="Arial"/>
                <w:b/>
                <w:bCs/>
                <w:color w:val="000000"/>
              </w:rPr>
              <w:t>8</w:t>
            </w:r>
          </w:p>
        </w:tc>
        <w:tc>
          <w:tcPr>
            <w:tcW w:w="945" w:type="dxa"/>
          </w:tcPr>
          <w:p w14:paraId="000002F4" w14:textId="77777777" w:rsidR="001C40B0" w:rsidRDefault="00291712">
            <w:pPr>
              <w:pBdr>
                <w:top w:val="nil"/>
                <w:left w:val="nil"/>
                <w:bottom w:val="nil"/>
                <w:right w:val="nil"/>
                <w:between w:val="nil"/>
              </w:pBdr>
              <w:spacing w:before="1"/>
              <w:ind w:left="21"/>
              <w:jc w:val="center"/>
              <w:rPr>
                <w:rFonts w:ascii="Arial" w:eastAsia="Arial" w:hAnsi="Arial" w:cs="Arial"/>
                <w:b/>
                <w:bCs/>
                <w:color w:val="000000"/>
              </w:rPr>
            </w:pPr>
            <w:r>
              <w:rPr>
                <w:rFonts w:ascii="Arial" w:eastAsia="Arial" w:hAnsi="Arial" w:cs="Arial"/>
                <w:b/>
                <w:bCs/>
                <w:color w:val="000000"/>
              </w:rPr>
              <w:t>16</w:t>
            </w:r>
          </w:p>
        </w:tc>
        <w:tc>
          <w:tcPr>
            <w:tcW w:w="795" w:type="dxa"/>
          </w:tcPr>
          <w:p w14:paraId="000002F5" w14:textId="77777777" w:rsidR="001C40B0" w:rsidRDefault="00291712">
            <w:pPr>
              <w:pBdr>
                <w:top w:val="nil"/>
                <w:left w:val="nil"/>
                <w:bottom w:val="nil"/>
                <w:right w:val="nil"/>
                <w:between w:val="nil"/>
              </w:pBdr>
              <w:spacing w:before="1"/>
              <w:ind w:left="17" w:right="1"/>
              <w:jc w:val="center"/>
              <w:rPr>
                <w:rFonts w:ascii="Arial" w:eastAsia="Arial" w:hAnsi="Arial" w:cs="Arial"/>
                <w:b/>
                <w:bCs/>
                <w:color w:val="000000"/>
              </w:rPr>
            </w:pPr>
            <w:r>
              <w:rPr>
                <w:rFonts w:ascii="Arial" w:eastAsia="Arial" w:hAnsi="Arial" w:cs="Arial"/>
                <w:b/>
                <w:bCs/>
                <w:color w:val="000000"/>
              </w:rPr>
              <w:t>0</w:t>
            </w:r>
          </w:p>
        </w:tc>
        <w:tc>
          <w:tcPr>
            <w:tcW w:w="615" w:type="dxa"/>
          </w:tcPr>
          <w:p w14:paraId="000002F6" w14:textId="77777777" w:rsidR="001C40B0" w:rsidRDefault="00291712">
            <w:pPr>
              <w:pBdr>
                <w:top w:val="nil"/>
                <w:left w:val="nil"/>
                <w:bottom w:val="nil"/>
                <w:right w:val="nil"/>
                <w:between w:val="nil"/>
              </w:pBdr>
              <w:spacing w:before="1"/>
              <w:ind w:left="16"/>
              <w:jc w:val="center"/>
              <w:rPr>
                <w:rFonts w:ascii="Arial" w:eastAsia="Arial" w:hAnsi="Arial" w:cs="Arial"/>
                <w:b/>
                <w:bCs/>
                <w:color w:val="000000"/>
              </w:rPr>
            </w:pPr>
            <w:r>
              <w:rPr>
                <w:rFonts w:ascii="Arial" w:eastAsia="Arial" w:hAnsi="Arial" w:cs="Arial"/>
                <w:b/>
                <w:bCs/>
                <w:color w:val="000000"/>
              </w:rPr>
              <w:t>1,767</w:t>
            </w:r>
          </w:p>
        </w:tc>
      </w:tr>
      <w:tr w:rsidR="001C40B0" w14:paraId="145FA5B1" w14:textId="77777777">
        <w:trPr>
          <w:trHeight w:val="296"/>
        </w:trPr>
        <w:tc>
          <w:tcPr>
            <w:tcW w:w="1035" w:type="dxa"/>
          </w:tcPr>
          <w:p w14:paraId="000002F7" w14:textId="77777777" w:rsidR="001C40B0" w:rsidRDefault="00291712">
            <w:pPr>
              <w:pBdr>
                <w:top w:val="nil"/>
                <w:left w:val="nil"/>
                <w:bottom w:val="nil"/>
                <w:right w:val="nil"/>
                <w:between w:val="nil"/>
              </w:pBdr>
              <w:spacing w:before="1"/>
              <w:ind w:left="22" w:right="1"/>
              <w:jc w:val="center"/>
              <w:rPr>
                <w:rFonts w:ascii="Arial" w:eastAsia="Arial" w:hAnsi="Arial" w:cs="Arial"/>
                <w:b/>
                <w:bCs/>
                <w:color w:val="000000"/>
              </w:rPr>
            </w:pPr>
            <w:r>
              <w:rPr>
                <w:rFonts w:ascii="Arial" w:eastAsia="Arial" w:hAnsi="Arial" w:cs="Arial"/>
                <w:b/>
                <w:bCs/>
                <w:color w:val="000000"/>
              </w:rPr>
              <w:t>2014</w:t>
            </w:r>
          </w:p>
        </w:tc>
        <w:tc>
          <w:tcPr>
            <w:tcW w:w="660" w:type="dxa"/>
          </w:tcPr>
          <w:p w14:paraId="000002F8" w14:textId="77777777" w:rsidR="001C40B0" w:rsidRDefault="00291712">
            <w:pPr>
              <w:pBdr>
                <w:top w:val="nil"/>
                <w:left w:val="nil"/>
                <w:bottom w:val="nil"/>
                <w:right w:val="nil"/>
                <w:between w:val="nil"/>
              </w:pBdr>
              <w:spacing w:before="1"/>
              <w:ind w:left="22" w:right="1"/>
              <w:jc w:val="center"/>
              <w:rPr>
                <w:rFonts w:ascii="Arial" w:eastAsia="Arial" w:hAnsi="Arial" w:cs="Arial"/>
                <w:b/>
                <w:bCs/>
                <w:color w:val="000000"/>
              </w:rPr>
            </w:pPr>
            <w:r>
              <w:rPr>
                <w:rFonts w:ascii="Arial" w:eastAsia="Arial" w:hAnsi="Arial" w:cs="Arial"/>
                <w:b/>
                <w:bCs/>
                <w:color w:val="000000"/>
              </w:rPr>
              <w:t>1,991</w:t>
            </w:r>
          </w:p>
        </w:tc>
        <w:tc>
          <w:tcPr>
            <w:tcW w:w="585" w:type="dxa"/>
          </w:tcPr>
          <w:p w14:paraId="000002F9" w14:textId="77777777" w:rsidR="001C40B0" w:rsidRDefault="00291712">
            <w:pPr>
              <w:pBdr>
                <w:top w:val="nil"/>
                <w:left w:val="nil"/>
                <w:bottom w:val="nil"/>
                <w:right w:val="nil"/>
                <w:between w:val="nil"/>
              </w:pBdr>
              <w:spacing w:before="1"/>
              <w:ind w:left="25"/>
              <w:jc w:val="center"/>
              <w:rPr>
                <w:rFonts w:ascii="Arial" w:eastAsia="Arial" w:hAnsi="Arial" w:cs="Arial"/>
                <w:b/>
                <w:bCs/>
                <w:color w:val="000000"/>
              </w:rPr>
            </w:pPr>
            <w:r>
              <w:rPr>
                <w:rFonts w:ascii="Arial" w:eastAsia="Arial" w:hAnsi="Arial" w:cs="Arial"/>
                <w:b/>
                <w:bCs/>
                <w:color w:val="000000"/>
              </w:rPr>
              <w:t>118</w:t>
            </w:r>
          </w:p>
        </w:tc>
        <w:tc>
          <w:tcPr>
            <w:tcW w:w="585" w:type="dxa"/>
          </w:tcPr>
          <w:p w14:paraId="000002FA" w14:textId="77777777" w:rsidR="001C40B0" w:rsidRDefault="00291712">
            <w:pPr>
              <w:pBdr>
                <w:top w:val="nil"/>
                <w:left w:val="nil"/>
                <w:bottom w:val="nil"/>
                <w:right w:val="nil"/>
                <w:between w:val="nil"/>
              </w:pBdr>
              <w:spacing w:before="1"/>
              <w:ind w:left="19"/>
              <w:jc w:val="center"/>
              <w:rPr>
                <w:rFonts w:ascii="Arial" w:eastAsia="Arial" w:hAnsi="Arial" w:cs="Arial"/>
                <w:b/>
                <w:bCs/>
                <w:color w:val="000000"/>
              </w:rPr>
            </w:pPr>
            <w:r>
              <w:rPr>
                <w:rFonts w:ascii="Arial" w:eastAsia="Arial" w:hAnsi="Arial" w:cs="Arial"/>
                <w:b/>
                <w:bCs/>
                <w:color w:val="000000"/>
              </w:rPr>
              <w:t>16</w:t>
            </w:r>
          </w:p>
        </w:tc>
        <w:tc>
          <w:tcPr>
            <w:tcW w:w="600" w:type="dxa"/>
          </w:tcPr>
          <w:p w14:paraId="000002FB" w14:textId="77777777" w:rsidR="001C40B0" w:rsidRDefault="00291712">
            <w:pPr>
              <w:pBdr>
                <w:top w:val="nil"/>
                <w:left w:val="nil"/>
                <w:bottom w:val="nil"/>
                <w:right w:val="nil"/>
                <w:between w:val="nil"/>
              </w:pBdr>
              <w:spacing w:before="1"/>
              <w:ind w:left="17"/>
              <w:jc w:val="center"/>
              <w:rPr>
                <w:rFonts w:ascii="Arial" w:eastAsia="Arial" w:hAnsi="Arial" w:cs="Arial"/>
                <w:b/>
                <w:bCs/>
                <w:color w:val="000000"/>
              </w:rPr>
            </w:pPr>
            <w:r>
              <w:rPr>
                <w:rFonts w:ascii="Arial" w:eastAsia="Arial" w:hAnsi="Arial" w:cs="Arial"/>
                <w:b/>
                <w:bCs/>
                <w:color w:val="000000"/>
              </w:rPr>
              <w:t>27</w:t>
            </w:r>
          </w:p>
        </w:tc>
        <w:tc>
          <w:tcPr>
            <w:tcW w:w="645" w:type="dxa"/>
          </w:tcPr>
          <w:p w14:paraId="000002FC" w14:textId="77777777" w:rsidR="001C40B0" w:rsidRDefault="00291712">
            <w:pPr>
              <w:pBdr>
                <w:top w:val="nil"/>
                <w:left w:val="nil"/>
                <w:bottom w:val="nil"/>
                <w:right w:val="nil"/>
                <w:between w:val="nil"/>
              </w:pBdr>
              <w:spacing w:before="1"/>
              <w:ind w:left="17" w:right="1"/>
              <w:jc w:val="center"/>
              <w:rPr>
                <w:rFonts w:ascii="Arial" w:eastAsia="Arial" w:hAnsi="Arial" w:cs="Arial"/>
                <w:b/>
                <w:bCs/>
                <w:color w:val="000000"/>
              </w:rPr>
            </w:pPr>
            <w:r>
              <w:rPr>
                <w:rFonts w:ascii="Arial" w:eastAsia="Arial" w:hAnsi="Arial" w:cs="Arial"/>
                <w:b/>
                <w:bCs/>
                <w:color w:val="000000"/>
              </w:rPr>
              <w:t>1</w:t>
            </w:r>
          </w:p>
        </w:tc>
        <w:tc>
          <w:tcPr>
            <w:tcW w:w="615" w:type="dxa"/>
          </w:tcPr>
          <w:p w14:paraId="000002FD" w14:textId="77777777" w:rsidR="001C40B0" w:rsidRDefault="00291712">
            <w:pPr>
              <w:pBdr>
                <w:top w:val="nil"/>
                <w:left w:val="nil"/>
                <w:bottom w:val="nil"/>
                <w:right w:val="nil"/>
                <w:between w:val="nil"/>
              </w:pBdr>
              <w:spacing w:before="1"/>
              <w:ind w:left="20" w:right="1"/>
              <w:jc w:val="center"/>
              <w:rPr>
                <w:rFonts w:ascii="Arial" w:eastAsia="Arial" w:hAnsi="Arial" w:cs="Arial"/>
                <w:b/>
                <w:bCs/>
                <w:color w:val="000000"/>
              </w:rPr>
            </w:pPr>
            <w:r>
              <w:rPr>
                <w:rFonts w:ascii="Arial" w:eastAsia="Arial" w:hAnsi="Arial" w:cs="Arial"/>
                <w:b/>
                <w:bCs/>
                <w:color w:val="000000"/>
              </w:rPr>
              <w:t>0</w:t>
            </w:r>
          </w:p>
        </w:tc>
        <w:tc>
          <w:tcPr>
            <w:tcW w:w="900" w:type="dxa"/>
          </w:tcPr>
          <w:p w14:paraId="000002FE" w14:textId="77777777" w:rsidR="001C40B0" w:rsidRDefault="00291712">
            <w:pPr>
              <w:pBdr>
                <w:top w:val="nil"/>
                <w:left w:val="nil"/>
                <w:bottom w:val="nil"/>
                <w:right w:val="nil"/>
                <w:between w:val="nil"/>
              </w:pBdr>
              <w:spacing w:before="1"/>
              <w:ind w:left="20" w:right="1"/>
              <w:jc w:val="center"/>
              <w:rPr>
                <w:rFonts w:ascii="Arial" w:eastAsia="Arial" w:hAnsi="Arial" w:cs="Arial"/>
                <w:b/>
                <w:bCs/>
                <w:color w:val="000000"/>
              </w:rPr>
            </w:pPr>
            <w:r>
              <w:rPr>
                <w:rFonts w:ascii="Arial" w:eastAsia="Arial" w:hAnsi="Arial" w:cs="Arial"/>
                <w:b/>
                <w:bCs/>
                <w:color w:val="000000"/>
              </w:rPr>
              <w:t>2</w:t>
            </w:r>
          </w:p>
        </w:tc>
        <w:tc>
          <w:tcPr>
            <w:tcW w:w="840" w:type="dxa"/>
          </w:tcPr>
          <w:p w14:paraId="000002FF" w14:textId="77777777" w:rsidR="001C40B0" w:rsidRDefault="00291712">
            <w:pPr>
              <w:pBdr>
                <w:top w:val="nil"/>
                <w:left w:val="nil"/>
                <w:bottom w:val="nil"/>
                <w:right w:val="nil"/>
                <w:between w:val="nil"/>
              </w:pBdr>
              <w:spacing w:before="1"/>
              <w:ind w:left="25"/>
              <w:jc w:val="center"/>
              <w:rPr>
                <w:rFonts w:ascii="Arial" w:eastAsia="Arial" w:hAnsi="Arial" w:cs="Arial"/>
                <w:b/>
                <w:bCs/>
                <w:color w:val="000000"/>
              </w:rPr>
            </w:pPr>
            <w:r>
              <w:rPr>
                <w:rFonts w:ascii="Arial" w:eastAsia="Arial" w:hAnsi="Arial" w:cs="Arial"/>
                <w:b/>
                <w:bCs/>
                <w:color w:val="000000"/>
              </w:rPr>
              <w:t>10</w:t>
            </w:r>
          </w:p>
        </w:tc>
        <w:tc>
          <w:tcPr>
            <w:tcW w:w="945" w:type="dxa"/>
          </w:tcPr>
          <w:p w14:paraId="00000300" w14:textId="77777777" w:rsidR="001C40B0" w:rsidRDefault="00291712">
            <w:pPr>
              <w:pBdr>
                <w:top w:val="nil"/>
                <w:left w:val="nil"/>
                <w:bottom w:val="nil"/>
                <w:right w:val="nil"/>
                <w:between w:val="nil"/>
              </w:pBdr>
              <w:spacing w:before="1"/>
              <w:ind w:left="21"/>
              <w:jc w:val="center"/>
              <w:rPr>
                <w:rFonts w:ascii="Arial" w:eastAsia="Arial" w:hAnsi="Arial" w:cs="Arial"/>
                <w:b/>
                <w:bCs/>
                <w:color w:val="000000"/>
              </w:rPr>
            </w:pPr>
            <w:r>
              <w:rPr>
                <w:rFonts w:ascii="Arial" w:eastAsia="Arial" w:hAnsi="Arial" w:cs="Arial"/>
                <w:b/>
                <w:bCs/>
                <w:color w:val="000000"/>
              </w:rPr>
              <w:t>14</w:t>
            </w:r>
          </w:p>
        </w:tc>
        <w:tc>
          <w:tcPr>
            <w:tcW w:w="795" w:type="dxa"/>
          </w:tcPr>
          <w:p w14:paraId="00000301" w14:textId="77777777" w:rsidR="001C40B0" w:rsidRDefault="00291712">
            <w:pPr>
              <w:pBdr>
                <w:top w:val="nil"/>
                <w:left w:val="nil"/>
                <w:bottom w:val="nil"/>
                <w:right w:val="nil"/>
                <w:between w:val="nil"/>
              </w:pBdr>
              <w:spacing w:before="1"/>
              <w:ind w:left="17" w:right="1"/>
              <w:jc w:val="center"/>
              <w:rPr>
                <w:rFonts w:ascii="Arial" w:eastAsia="Arial" w:hAnsi="Arial" w:cs="Arial"/>
                <w:b/>
                <w:bCs/>
                <w:color w:val="000000"/>
              </w:rPr>
            </w:pPr>
            <w:r>
              <w:rPr>
                <w:rFonts w:ascii="Arial" w:eastAsia="Arial" w:hAnsi="Arial" w:cs="Arial"/>
                <w:b/>
                <w:bCs/>
                <w:color w:val="000000"/>
              </w:rPr>
              <w:t>0</w:t>
            </w:r>
          </w:p>
        </w:tc>
        <w:tc>
          <w:tcPr>
            <w:tcW w:w="615" w:type="dxa"/>
          </w:tcPr>
          <w:p w14:paraId="00000302" w14:textId="77777777" w:rsidR="001C40B0" w:rsidRDefault="00291712">
            <w:pPr>
              <w:pBdr>
                <w:top w:val="nil"/>
                <w:left w:val="nil"/>
                <w:bottom w:val="nil"/>
                <w:right w:val="nil"/>
                <w:between w:val="nil"/>
              </w:pBdr>
              <w:spacing w:before="1"/>
              <w:ind w:left="16"/>
              <w:jc w:val="center"/>
              <w:rPr>
                <w:rFonts w:ascii="Arial" w:eastAsia="Arial" w:hAnsi="Arial" w:cs="Arial"/>
                <w:b/>
                <w:bCs/>
                <w:color w:val="000000"/>
              </w:rPr>
            </w:pPr>
            <w:r>
              <w:rPr>
                <w:rFonts w:ascii="Arial" w:eastAsia="Arial" w:hAnsi="Arial" w:cs="Arial"/>
                <w:b/>
                <w:bCs/>
                <w:color w:val="000000"/>
              </w:rPr>
              <w:t>2,179</w:t>
            </w:r>
          </w:p>
        </w:tc>
      </w:tr>
      <w:tr w:rsidR="001C40B0" w14:paraId="346442C1" w14:textId="77777777">
        <w:trPr>
          <w:trHeight w:val="301"/>
        </w:trPr>
        <w:tc>
          <w:tcPr>
            <w:tcW w:w="1035" w:type="dxa"/>
          </w:tcPr>
          <w:p w14:paraId="00000303" w14:textId="77777777" w:rsidR="001C40B0" w:rsidRDefault="00291712">
            <w:pPr>
              <w:pBdr>
                <w:top w:val="nil"/>
                <w:left w:val="nil"/>
                <w:bottom w:val="nil"/>
                <w:right w:val="nil"/>
                <w:between w:val="nil"/>
              </w:pBdr>
              <w:spacing w:before="1"/>
              <w:ind w:left="22" w:right="1"/>
              <w:jc w:val="center"/>
              <w:rPr>
                <w:rFonts w:ascii="Arial" w:eastAsia="Arial" w:hAnsi="Arial" w:cs="Arial"/>
                <w:b/>
                <w:bCs/>
                <w:color w:val="000000"/>
              </w:rPr>
            </w:pPr>
            <w:r>
              <w:rPr>
                <w:rFonts w:ascii="Arial" w:eastAsia="Arial" w:hAnsi="Arial" w:cs="Arial"/>
                <w:b/>
                <w:bCs/>
                <w:color w:val="000000"/>
              </w:rPr>
              <w:t>2015</w:t>
            </w:r>
          </w:p>
        </w:tc>
        <w:tc>
          <w:tcPr>
            <w:tcW w:w="660" w:type="dxa"/>
          </w:tcPr>
          <w:p w14:paraId="00000304" w14:textId="77777777" w:rsidR="001C40B0" w:rsidRDefault="00291712">
            <w:pPr>
              <w:pBdr>
                <w:top w:val="nil"/>
                <w:left w:val="nil"/>
                <w:bottom w:val="nil"/>
                <w:right w:val="nil"/>
                <w:between w:val="nil"/>
              </w:pBdr>
              <w:spacing w:before="1"/>
              <w:ind w:left="22" w:right="1"/>
              <w:jc w:val="center"/>
              <w:rPr>
                <w:rFonts w:ascii="Arial" w:eastAsia="Arial" w:hAnsi="Arial" w:cs="Arial"/>
                <w:b/>
                <w:bCs/>
                <w:color w:val="000000"/>
              </w:rPr>
            </w:pPr>
            <w:r>
              <w:rPr>
                <w:rFonts w:ascii="Arial" w:eastAsia="Arial" w:hAnsi="Arial" w:cs="Arial"/>
                <w:b/>
                <w:bCs/>
                <w:color w:val="000000"/>
              </w:rPr>
              <w:t>2,015</w:t>
            </w:r>
          </w:p>
        </w:tc>
        <w:tc>
          <w:tcPr>
            <w:tcW w:w="585" w:type="dxa"/>
          </w:tcPr>
          <w:p w14:paraId="00000305" w14:textId="77777777" w:rsidR="001C40B0" w:rsidRDefault="00291712">
            <w:pPr>
              <w:pBdr>
                <w:top w:val="nil"/>
                <w:left w:val="nil"/>
                <w:bottom w:val="nil"/>
                <w:right w:val="nil"/>
                <w:between w:val="nil"/>
              </w:pBdr>
              <w:spacing w:before="1"/>
              <w:ind w:left="25"/>
              <w:jc w:val="center"/>
              <w:rPr>
                <w:rFonts w:ascii="Arial" w:eastAsia="Arial" w:hAnsi="Arial" w:cs="Arial"/>
                <w:b/>
                <w:bCs/>
                <w:color w:val="000000"/>
              </w:rPr>
            </w:pPr>
            <w:r>
              <w:rPr>
                <w:rFonts w:ascii="Arial" w:eastAsia="Arial" w:hAnsi="Arial" w:cs="Arial"/>
                <w:b/>
                <w:bCs/>
                <w:color w:val="000000"/>
              </w:rPr>
              <w:t>82</w:t>
            </w:r>
          </w:p>
        </w:tc>
        <w:tc>
          <w:tcPr>
            <w:tcW w:w="585" w:type="dxa"/>
          </w:tcPr>
          <w:p w14:paraId="00000306" w14:textId="77777777" w:rsidR="001C40B0" w:rsidRDefault="00291712">
            <w:pPr>
              <w:pBdr>
                <w:top w:val="nil"/>
                <w:left w:val="nil"/>
                <w:bottom w:val="nil"/>
                <w:right w:val="nil"/>
                <w:between w:val="nil"/>
              </w:pBdr>
              <w:spacing w:before="1"/>
              <w:ind w:left="19"/>
              <w:jc w:val="center"/>
              <w:rPr>
                <w:rFonts w:ascii="Arial" w:eastAsia="Arial" w:hAnsi="Arial" w:cs="Arial"/>
                <w:b/>
                <w:bCs/>
                <w:color w:val="000000"/>
              </w:rPr>
            </w:pPr>
            <w:r>
              <w:rPr>
                <w:rFonts w:ascii="Arial" w:eastAsia="Arial" w:hAnsi="Arial" w:cs="Arial"/>
                <w:b/>
                <w:bCs/>
                <w:color w:val="000000"/>
              </w:rPr>
              <w:t>14</w:t>
            </w:r>
          </w:p>
        </w:tc>
        <w:tc>
          <w:tcPr>
            <w:tcW w:w="600" w:type="dxa"/>
          </w:tcPr>
          <w:p w14:paraId="00000307" w14:textId="77777777" w:rsidR="001C40B0" w:rsidRDefault="00291712">
            <w:pPr>
              <w:pBdr>
                <w:top w:val="nil"/>
                <w:left w:val="nil"/>
                <w:bottom w:val="nil"/>
                <w:right w:val="nil"/>
                <w:between w:val="nil"/>
              </w:pBdr>
              <w:spacing w:before="1"/>
              <w:ind w:left="17"/>
              <w:jc w:val="center"/>
              <w:rPr>
                <w:rFonts w:ascii="Arial" w:eastAsia="Arial" w:hAnsi="Arial" w:cs="Arial"/>
                <w:b/>
                <w:bCs/>
                <w:color w:val="000000"/>
              </w:rPr>
            </w:pPr>
            <w:r>
              <w:rPr>
                <w:rFonts w:ascii="Arial" w:eastAsia="Arial" w:hAnsi="Arial" w:cs="Arial"/>
                <w:b/>
                <w:bCs/>
                <w:color w:val="000000"/>
              </w:rPr>
              <w:t>20</w:t>
            </w:r>
          </w:p>
        </w:tc>
        <w:tc>
          <w:tcPr>
            <w:tcW w:w="645" w:type="dxa"/>
          </w:tcPr>
          <w:p w14:paraId="00000308" w14:textId="77777777" w:rsidR="001C40B0" w:rsidRDefault="00291712">
            <w:pPr>
              <w:pBdr>
                <w:top w:val="nil"/>
                <w:left w:val="nil"/>
                <w:bottom w:val="nil"/>
                <w:right w:val="nil"/>
                <w:between w:val="nil"/>
              </w:pBdr>
              <w:spacing w:before="1"/>
              <w:ind w:left="17" w:right="1"/>
              <w:jc w:val="center"/>
              <w:rPr>
                <w:rFonts w:ascii="Arial" w:eastAsia="Arial" w:hAnsi="Arial" w:cs="Arial"/>
                <w:b/>
                <w:bCs/>
                <w:color w:val="000000"/>
              </w:rPr>
            </w:pPr>
            <w:r>
              <w:rPr>
                <w:rFonts w:ascii="Arial" w:eastAsia="Arial" w:hAnsi="Arial" w:cs="Arial"/>
                <w:b/>
                <w:bCs/>
                <w:color w:val="000000"/>
              </w:rPr>
              <w:t>3</w:t>
            </w:r>
          </w:p>
        </w:tc>
        <w:tc>
          <w:tcPr>
            <w:tcW w:w="615" w:type="dxa"/>
          </w:tcPr>
          <w:p w14:paraId="00000309" w14:textId="77777777" w:rsidR="001C40B0" w:rsidRDefault="00291712">
            <w:pPr>
              <w:pBdr>
                <w:top w:val="nil"/>
                <w:left w:val="nil"/>
                <w:bottom w:val="nil"/>
                <w:right w:val="nil"/>
                <w:between w:val="nil"/>
              </w:pBdr>
              <w:spacing w:before="1"/>
              <w:ind w:left="20" w:right="1"/>
              <w:jc w:val="center"/>
              <w:rPr>
                <w:rFonts w:ascii="Arial" w:eastAsia="Arial" w:hAnsi="Arial" w:cs="Arial"/>
                <w:b/>
                <w:bCs/>
                <w:color w:val="000000"/>
              </w:rPr>
            </w:pPr>
            <w:r>
              <w:rPr>
                <w:rFonts w:ascii="Arial" w:eastAsia="Arial" w:hAnsi="Arial" w:cs="Arial"/>
                <w:b/>
                <w:bCs/>
                <w:color w:val="000000"/>
              </w:rPr>
              <w:t>6</w:t>
            </w:r>
          </w:p>
        </w:tc>
        <w:tc>
          <w:tcPr>
            <w:tcW w:w="900" w:type="dxa"/>
          </w:tcPr>
          <w:p w14:paraId="0000030A" w14:textId="77777777" w:rsidR="001C40B0" w:rsidRDefault="00291712">
            <w:pPr>
              <w:pBdr>
                <w:top w:val="nil"/>
                <w:left w:val="nil"/>
                <w:bottom w:val="nil"/>
                <w:right w:val="nil"/>
                <w:between w:val="nil"/>
              </w:pBdr>
              <w:spacing w:before="1"/>
              <w:ind w:left="20" w:right="1"/>
              <w:jc w:val="center"/>
              <w:rPr>
                <w:rFonts w:ascii="Arial" w:eastAsia="Arial" w:hAnsi="Arial" w:cs="Arial"/>
                <w:b/>
                <w:bCs/>
                <w:color w:val="000000"/>
              </w:rPr>
            </w:pPr>
            <w:r>
              <w:rPr>
                <w:rFonts w:ascii="Arial" w:eastAsia="Arial" w:hAnsi="Arial" w:cs="Arial"/>
                <w:b/>
                <w:bCs/>
                <w:color w:val="000000"/>
              </w:rPr>
              <w:t>0</w:t>
            </w:r>
          </w:p>
        </w:tc>
        <w:tc>
          <w:tcPr>
            <w:tcW w:w="840" w:type="dxa"/>
          </w:tcPr>
          <w:p w14:paraId="0000030B" w14:textId="77777777" w:rsidR="001C40B0" w:rsidRDefault="00291712">
            <w:pPr>
              <w:pBdr>
                <w:top w:val="nil"/>
                <w:left w:val="nil"/>
                <w:bottom w:val="nil"/>
                <w:right w:val="nil"/>
                <w:between w:val="nil"/>
              </w:pBdr>
              <w:spacing w:before="1"/>
              <w:ind w:left="25" w:right="1"/>
              <w:jc w:val="center"/>
              <w:rPr>
                <w:rFonts w:ascii="Arial" w:eastAsia="Arial" w:hAnsi="Arial" w:cs="Arial"/>
                <w:b/>
                <w:bCs/>
                <w:color w:val="000000"/>
              </w:rPr>
            </w:pPr>
            <w:r>
              <w:rPr>
                <w:rFonts w:ascii="Arial" w:eastAsia="Arial" w:hAnsi="Arial" w:cs="Arial"/>
                <w:b/>
                <w:bCs/>
                <w:color w:val="000000"/>
              </w:rPr>
              <w:t>0</w:t>
            </w:r>
          </w:p>
        </w:tc>
        <w:tc>
          <w:tcPr>
            <w:tcW w:w="945" w:type="dxa"/>
          </w:tcPr>
          <w:p w14:paraId="0000030C" w14:textId="77777777" w:rsidR="001C40B0" w:rsidRDefault="00291712">
            <w:pPr>
              <w:pBdr>
                <w:top w:val="nil"/>
                <w:left w:val="nil"/>
                <w:bottom w:val="nil"/>
                <w:right w:val="nil"/>
                <w:between w:val="nil"/>
              </w:pBdr>
              <w:spacing w:before="1"/>
              <w:ind w:left="21" w:right="1"/>
              <w:jc w:val="center"/>
              <w:rPr>
                <w:rFonts w:ascii="Arial" w:eastAsia="Arial" w:hAnsi="Arial" w:cs="Arial"/>
                <w:b/>
                <w:bCs/>
                <w:color w:val="000000"/>
              </w:rPr>
            </w:pPr>
            <w:r>
              <w:rPr>
                <w:rFonts w:ascii="Arial" w:eastAsia="Arial" w:hAnsi="Arial" w:cs="Arial"/>
                <w:b/>
                <w:bCs/>
                <w:color w:val="000000"/>
              </w:rPr>
              <w:t>7</w:t>
            </w:r>
          </w:p>
        </w:tc>
        <w:tc>
          <w:tcPr>
            <w:tcW w:w="795" w:type="dxa"/>
          </w:tcPr>
          <w:p w14:paraId="0000030D" w14:textId="77777777" w:rsidR="001C40B0" w:rsidRDefault="00291712">
            <w:pPr>
              <w:pBdr>
                <w:top w:val="nil"/>
                <w:left w:val="nil"/>
                <w:bottom w:val="nil"/>
                <w:right w:val="nil"/>
                <w:between w:val="nil"/>
              </w:pBdr>
              <w:spacing w:before="1"/>
              <w:ind w:left="17" w:right="1"/>
              <w:jc w:val="center"/>
              <w:rPr>
                <w:rFonts w:ascii="Arial" w:eastAsia="Arial" w:hAnsi="Arial" w:cs="Arial"/>
                <w:b/>
                <w:bCs/>
                <w:color w:val="000000"/>
              </w:rPr>
            </w:pPr>
            <w:r>
              <w:rPr>
                <w:rFonts w:ascii="Arial" w:eastAsia="Arial" w:hAnsi="Arial" w:cs="Arial"/>
                <w:b/>
                <w:bCs/>
                <w:color w:val="000000"/>
              </w:rPr>
              <w:t>0</w:t>
            </w:r>
          </w:p>
        </w:tc>
        <w:tc>
          <w:tcPr>
            <w:tcW w:w="615" w:type="dxa"/>
          </w:tcPr>
          <w:p w14:paraId="0000030E" w14:textId="77777777" w:rsidR="001C40B0" w:rsidRDefault="00291712">
            <w:pPr>
              <w:pBdr>
                <w:top w:val="nil"/>
                <w:left w:val="nil"/>
                <w:bottom w:val="nil"/>
                <w:right w:val="nil"/>
                <w:between w:val="nil"/>
              </w:pBdr>
              <w:spacing w:before="1"/>
              <w:ind w:left="16"/>
              <w:jc w:val="center"/>
              <w:rPr>
                <w:rFonts w:ascii="Arial" w:eastAsia="Arial" w:hAnsi="Arial" w:cs="Arial"/>
                <w:b/>
                <w:bCs/>
                <w:color w:val="000000"/>
              </w:rPr>
            </w:pPr>
            <w:r>
              <w:rPr>
                <w:rFonts w:ascii="Arial" w:eastAsia="Arial" w:hAnsi="Arial" w:cs="Arial"/>
                <w:b/>
                <w:bCs/>
                <w:color w:val="000000"/>
              </w:rPr>
              <w:t>2,147</w:t>
            </w:r>
          </w:p>
        </w:tc>
      </w:tr>
      <w:tr w:rsidR="001C40B0" w14:paraId="0561BC96" w14:textId="77777777">
        <w:trPr>
          <w:trHeight w:val="301"/>
        </w:trPr>
        <w:tc>
          <w:tcPr>
            <w:tcW w:w="1035" w:type="dxa"/>
          </w:tcPr>
          <w:p w14:paraId="0000030F" w14:textId="77777777" w:rsidR="001C40B0" w:rsidRDefault="00291712">
            <w:pPr>
              <w:pBdr>
                <w:top w:val="nil"/>
                <w:left w:val="nil"/>
                <w:bottom w:val="nil"/>
                <w:right w:val="nil"/>
                <w:between w:val="nil"/>
              </w:pBdr>
              <w:spacing w:before="1"/>
              <w:ind w:left="22" w:right="1"/>
              <w:jc w:val="center"/>
              <w:rPr>
                <w:rFonts w:ascii="Arial" w:eastAsia="Arial" w:hAnsi="Arial" w:cs="Arial"/>
                <w:b/>
                <w:bCs/>
                <w:color w:val="000000"/>
              </w:rPr>
            </w:pPr>
            <w:r>
              <w:rPr>
                <w:rFonts w:ascii="Arial" w:eastAsia="Arial" w:hAnsi="Arial" w:cs="Arial"/>
                <w:b/>
                <w:bCs/>
                <w:color w:val="000000"/>
              </w:rPr>
              <w:t>2016</w:t>
            </w:r>
          </w:p>
        </w:tc>
        <w:tc>
          <w:tcPr>
            <w:tcW w:w="660" w:type="dxa"/>
          </w:tcPr>
          <w:p w14:paraId="00000310" w14:textId="77777777" w:rsidR="001C40B0" w:rsidRDefault="00291712">
            <w:pPr>
              <w:pBdr>
                <w:top w:val="nil"/>
                <w:left w:val="nil"/>
                <w:bottom w:val="nil"/>
                <w:right w:val="nil"/>
                <w:between w:val="nil"/>
              </w:pBdr>
              <w:spacing w:before="1"/>
              <w:ind w:left="22" w:right="1"/>
              <w:jc w:val="center"/>
              <w:rPr>
                <w:rFonts w:ascii="Arial" w:eastAsia="Arial" w:hAnsi="Arial" w:cs="Arial"/>
                <w:b/>
                <w:bCs/>
                <w:color w:val="000000"/>
              </w:rPr>
            </w:pPr>
            <w:r>
              <w:rPr>
                <w:rFonts w:ascii="Arial" w:eastAsia="Arial" w:hAnsi="Arial" w:cs="Arial"/>
                <w:b/>
                <w:bCs/>
                <w:color w:val="000000"/>
              </w:rPr>
              <w:t>2,368</w:t>
            </w:r>
          </w:p>
        </w:tc>
        <w:tc>
          <w:tcPr>
            <w:tcW w:w="585" w:type="dxa"/>
          </w:tcPr>
          <w:p w14:paraId="00000311" w14:textId="77777777" w:rsidR="001C40B0" w:rsidRDefault="00291712">
            <w:pPr>
              <w:pBdr>
                <w:top w:val="nil"/>
                <w:left w:val="nil"/>
                <w:bottom w:val="nil"/>
                <w:right w:val="nil"/>
                <w:between w:val="nil"/>
              </w:pBdr>
              <w:spacing w:before="1"/>
              <w:ind w:left="25"/>
              <w:jc w:val="center"/>
              <w:rPr>
                <w:rFonts w:ascii="Arial" w:eastAsia="Arial" w:hAnsi="Arial" w:cs="Arial"/>
                <w:b/>
                <w:bCs/>
                <w:color w:val="000000"/>
              </w:rPr>
            </w:pPr>
            <w:r>
              <w:rPr>
                <w:rFonts w:ascii="Arial" w:eastAsia="Arial" w:hAnsi="Arial" w:cs="Arial"/>
                <w:b/>
                <w:bCs/>
                <w:color w:val="000000"/>
              </w:rPr>
              <w:t>130</w:t>
            </w:r>
          </w:p>
        </w:tc>
        <w:tc>
          <w:tcPr>
            <w:tcW w:w="585" w:type="dxa"/>
          </w:tcPr>
          <w:p w14:paraId="00000312" w14:textId="77777777" w:rsidR="001C40B0" w:rsidRDefault="00291712">
            <w:pPr>
              <w:pBdr>
                <w:top w:val="nil"/>
                <w:left w:val="nil"/>
                <w:bottom w:val="nil"/>
                <w:right w:val="nil"/>
                <w:between w:val="nil"/>
              </w:pBdr>
              <w:spacing w:before="1"/>
              <w:ind w:left="19"/>
              <w:jc w:val="center"/>
              <w:rPr>
                <w:rFonts w:ascii="Arial" w:eastAsia="Arial" w:hAnsi="Arial" w:cs="Arial"/>
                <w:b/>
                <w:bCs/>
                <w:color w:val="000000"/>
              </w:rPr>
            </w:pPr>
            <w:r>
              <w:rPr>
                <w:rFonts w:ascii="Arial" w:eastAsia="Arial" w:hAnsi="Arial" w:cs="Arial"/>
                <w:b/>
                <w:bCs/>
                <w:color w:val="000000"/>
              </w:rPr>
              <w:t>28</w:t>
            </w:r>
          </w:p>
        </w:tc>
        <w:tc>
          <w:tcPr>
            <w:tcW w:w="600" w:type="dxa"/>
          </w:tcPr>
          <w:p w14:paraId="00000313" w14:textId="77777777" w:rsidR="001C40B0" w:rsidRDefault="00291712">
            <w:pPr>
              <w:pBdr>
                <w:top w:val="nil"/>
                <w:left w:val="nil"/>
                <w:bottom w:val="nil"/>
                <w:right w:val="nil"/>
                <w:between w:val="nil"/>
              </w:pBdr>
              <w:spacing w:before="1"/>
              <w:ind w:left="17"/>
              <w:jc w:val="center"/>
              <w:rPr>
                <w:rFonts w:ascii="Arial" w:eastAsia="Arial" w:hAnsi="Arial" w:cs="Arial"/>
                <w:b/>
                <w:bCs/>
                <w:color w:val="000000"/>
              </w:rPr>
            </w:pPr>
            <w:r>
              <w:rPr>
                <w:rFonts w:ascii="Arial" w:eastAsia="Arial" w:hAnsi="Arial" w:cs="Arial"/>
                <w:b/>
                <w:bCs/>
                <w:color w:val="000000"/>
              </w:rPr>
              <w:t>23</w:t>
            </w:r>
          </w:p>
        </w:tc>
        <w:tc>
          <w:tcPr>
            <w:tcW w:w="645" w:type="dxa"/>
          </w:tcPr>
          <w:p w14:paraId="00000314" w14:textId="77777777" w:rsidR="001C40B0" w:rsidRDefault="00291712">
            <w:pPr>
              <w:pBdr>
                <w:top w:val="nil"/>
                <w:left w:val="nil"/>
                <w:bottom w:val="nil"/>
                <w:right w:val="nil"/>
                <w:between w:val="nil"/>
              </w:pBdr>
              <w:spacing w:before="1"/>
              <w:ind w:left="17" w:right="1"/>
              <w:jc w:val="center"/>
              <w:rPr>
                <w:rFonts w:ascii="Arial" w:eastAsia="Arial" w:hAnsi="Arial" w:cs="Arial"/>
                <w:b/>
                <w:bCs/>
                <w:color w:val="000000"/>
              </w:rPr>
            </w:pPr>
            <w:r>
              <w:rPr>
                <w:rFonts w:ascii="Arial" w:eastAsia="Arial" w:hAnsi="Arial" w:cs="Arial"/>
                <w:b/>
                <w:bCs/>
                <w:color w:val="000000"/>
              </w:rPr>
              <w:t>3</w:t>
            </w:r>
          </w:p>
        </w:tc>
        <w:tc>
          <w:tcPr>
            <w:tcW w:w="615" w:type="dxa"/>
          </w:tcPr>
          <w:p w14:paraId="00000315" w14:textId="77777777" w:rsidR="001C40B0" w:rsidRDefault="00291712">
            <w:pPr>
              <w:pBdr>
                <w:top w:val="nil"/>
                <w:left w:val="nil"/>
                <w:bottom w:val="nil"/>
                <w:right w:val="nil"/>
                <w:between w:val="nil"/>
              </w:pBdr>
              <w:spacing w:before="1"/>
              <w:ind w:left="20" w:right="1"/>
              <w:jc w:val="center"/>
              <w:rPr>
                <w:rFonts w:ascii="Arial" w:eastAsia="Arial" w:hAnsi="Arial" w:cs="Arial"/>
                <w:b/>
                <w:bCs/>
                <w:color w:val="000000"/>
              </w:rPr>
            </w:pPr>
            <w:r>
              <w:rPr>
                <w:rFonts w:ascii="Arial" w:eastAsia="Arial" w:hAnsi="Arial" w:cs="Arial"/>
                <w:b/>
                <w:bCs/>
                <w:color w:val="000000"/>
              </w:rPr>
              <w:t>0</w:t>
            </w:r>
          </w:p>
        </w:tc>
        <w:tc>
          <w:tcPr>
            <w:tcW w:w="900" w:type="dxa"/>
          </w:tcPr>
          <w:p w14:paraId="00000316" w14:textId="77777777" w:rsidR="001C40B0" w:rsidRDefault="00291712">
            <w:pPr>
              <w:pBdr>
                <w:top w:val="nil"/>
                <w:left w:val="nil"/>
                <w:bottom w:val="nil"/>
                <w:right w:val="nil"/>
                <w:between w:val="nil"/>
              </w:pBdr>
              <w:spacing w:before="1"/>
              <w:ind w:left="20" w:right="1"/>
              <w:jc w:val="center"/>
              <w:rPr>
                <w:rFonts w:ascii="Arial" w:eastAsia="Arial" w:hAnsi="Arial" w:cs="Arial"/>
                <w:b/>
                <w:bCs/>
                <w:color w:val="000000"/>
              </w:rPr>
            </w:pPr>
            <w:r>
              <w:rPr>
                <w:rFonts w:ascii="Arial" w:eastAsia="Arial" w:hAnsi="Arial" w:cs="Arial"/>
                <w:b/>
                <w:bCs/>
                <w:color w:val="000000"/>
              </w:rPr>
              <w:t>0</w:t>
            </w:r>
          </w:p>
        </w:tc>
        <w:tc>
          <w:tcPr>
            <w:tcW w:w="840" w:type="dxa"/>
          </w:tcPr>
          <w:p w14:paraId="00000317" w14:textId="77777777" w:rsidR="001C40B0" w:rsidRDefault="00291712">
            <w:pPr>
              <w:pBdr>
                <w:top w:val="nil"/>
                <w:left w:val="nil"/>
                <w:bottom w:val="nil"/>
                <w:right w:val="nil"/>
                <w:between w:val="nil"/>
              </w:pBdr>
              <w:spacing w:before="1"/>
              <w:ind w:left="25" w:right="1"/>
              <w:jc w:val="center"/>
              <w:rPr>
                <w:rFonts w:ascii="Arial" w:eastAsia="Arial" w:hAnsi="Arial" w:cs="Arial"/>
                <w:b/>
                <w:bCs/>
                <w:color w:val="000000"/>
              </w:rPr>
            </w:pPr>
            <w:r>
              <w:rPr>
                <w:rFonts w:ascii="Arial" w:eastAsia="Arial" w:hAnsi="Arial" w:cs="Arial"/>
                <w:b/>
                <w:bCs/>
                <w:color w:val="000000"/>
              </w:rPr>
              <w:t>4</w:t>
            </w:r>
          </w:p>
        </w:tc>
        <w:tc>
          <w:tcPr>
            <w:tcW w:w="945" w:type="dxa"/>
          </w:tcPr>
          <w:p w14:paraId="00000318" w14:textId="77777777" w:rsidR="001C40B0" w:rsidRDefault="00291712">
            <w:pPr>
              <w:pBdr>
                <w:top w:val="nil"/>
                <w:left w:val="nil"/>
                <w:bottom w:val="nil"/>
                <w:right w:val="nil"/>
                <w:between w:val="nil"/>
              </w:pBdr>
              <w:spacing w:before="1"/>
              <w:ind w:left="21" w:right="1"/>
              <w:jc w:val="center"/>
              <w:rPr>
                <w:rFonts w:ascii="Arial" w:eastAsia="Arial" w:hAnsi="Arial" w:cs="Arial"/>
                <w:b/>
                <w:bCs/>
                <w:color w:val="000000"/>
              </w:rPr>
            </w:pPr>
            <w:r>
              <w:rPr>
                <w:rFonts w:ascii="Arial" w:eastAsia="Arial" w:hAnsi="Arial" w:cs="Arial"/>
                <w:b/>
                <w:bCs/>
                <w:color w:val="000000"/>
              </w:rPr>
              <w:t>5</w:t>
            </w:r>
          </w:p>
        </w:tc>
        <w:tc>
          <w:tcPr>
            <w:tcW w:w="795" w:type="dxa"/>
          </w:tcPr>
          <w:p w14:paraId="00000319" w14:textId="77777777" w:rsidR="001C40B0" w:rsidRDefault="00291712">
            <w:pPr>
              <w:pBdr>
                <w:top w:val="nil"/>
                <w:left w:val="nil"/>
                <w:bottom w:val="nil"/>
                <w:right w:val="nil"/>
                <w:between w:val="nil"/>
              </w:pBdr>
              <w:spacing w:before="1"/>
              <w:ind w:left="17" w:right="1"/>
              <w:jc w:val="center"/>
              <w:rPr>
                <w:rFonts w:ascii="Arial" w:eastAsia="Arial" w:hAnsi="Arial" w:cs="Arial"/>
                <w:b/>
                <w:bCs/>
                <w:color w:val="000000"/>
              </w:rPr>
            </w:pPr>
            <w:r>
              <w:rPr>
                <w:rFonts w:ascii="Arial" w:eastAsia="Arial" w:hAnsi="Arial" w:cs="Arial"/>
                <w:b/>
                <w:bCs/>
                <w:color w:val="000000"/>
              </w:rPr>
              <w:t>0</w:t>
            </w:r>
          </w:p>
        </w:tc>
        <w:tc>
          <w:tcPr>
            <w:tcW w:w="615" w:type="dxa"/>
          </w:tcPr>
          <w:p w14:paraId="0000031A" w14:textId="77777777" w:rsidR="001C40B0" w:rsidRDefault="00291712">
            <w:pPr>
              <w:pBdr>
                <w:top w:val="nil"/>
                <w:left w:val="nil"/>
                <w:bottom w:val="nil"/>
                <w:right w:val="nil"/>
                <w:between w:val="nil"/>
              </w:pBdr>
              <w:spacing w:before="1"/>
              <w:ind w:left="16"/>
              <w:jc w:val="center"/>
              <w:rPr>
                <w:rFonts w:ascii="Arial" w:eastAsia="Arial" w:hAnsi="Arial" w:cs="Arial"/>
                <w:b/>
                <w:bCs/>
                <w:color w:val="000000"/>
              </w:rPr>
            </w:pPr>
            <w:r>
              <w:rPr>
                <w:rFonts w:ascii="Arial" w:eastAsia="Arial" w:hAnsi="Arial" w:cs="Arial"/>
                <w:b/>
                <w:bCs/>
                <w:color w:val="000000"/>
              </w:rPr>
              <w:t>2,561</w:t>
            </w:r>
          </w:p>
        </w:tc>
      </w:tr>
      <w:tr w:rsidR="001C40B0" w14:paraId="118C6B23" w14:textId="77777777">
        <w:trPr>
          <w:trHeight w:val="297"/>
        </w:trPr>
        <w:tc>
          <w:tcPr>
            <w:tcW w:w="1035" w:type="dxa"/>
          </w:tcPr>
          <w:p w14:paraId="0000031B" w14:textId="77777777" w:rsidR="001C40B0" w:rsidRDefault="00291712">
            <w:pPr>
              <w:pBdr>
                <w:top w:val="nil"/>
                <w:left w:val="nil"/>
                <w:bottom w:val="nil"/>
                <w:right w:val="nil"/>
                <w:between w:val="nil"/>
              </w:pBdr>
              <w:spacing w:before="1"/>
              <w:ind w:left="22" w:right="1"/>
              <w:jc w:val="center"/>
              <w:rPr>
                <w:rFonts w:ascii="Arial" w:eastAsia="Arial" w:hAnsi="Arial" w:cs="Arial"/>
                <w:b/>
                <w:bCs/>
                <w:color w:val="000000"/>
              </w:rPr>
            </w:pPr>
            <w:r>
              <w:rPr>
                <w:rFonts w:ascii="Arial" w:eastAsia="Arial" w:hAnsi="Arial" w:cs="Arial"/>
                <w:b/>
                <w:bCs/>
                <w:color w:val="000000"/>
              </w:rPr>
              <w:t>2017</w:t>
            </w:r>
          </w:p>
        </w:tc>
        <w:tc>
          <w:tcPr>
            <w:tcW w:w="660" w:type="dxa"/>
          </w:tcPr>
          <w:p w14:paraId="0000031C" w14:textId="77777777" w:rsidR="001C40B0" w:rsidRDefault="00291712">
            <w:pPr>
              <w:pBdr>
                <w:top w:val="nil"/>
                <w:left w:val="nil"/>
                <w:bottom w:val="nil"/>
                <w:right w:val="nil"/>
                <w:between w:val="nil"/>
              </w:pBdr>
              <w:spacing w:before="1"/>
              <w:ind w:left="22" w:right="1"/>
              <w:jc w:val="center"/>
              <w:rPr>
                <w:rFonts w:ascii="Arial" w:eastAsia="Arial" w:hAnsi="Arial" w:cs="Arial"/>
                <w:b/>
                <w:bCs/>
                <w:color w:val="000000"/>
              </w:rPr>
            </w:pPr>
            <w:r>
              <w:rPr>
                <w:rFonts w:ascii="Arial" w:eastAsia="Arial" w:hAnsi="Arial" w:cs="Arial"/>
                <w:b/>
                <w:bCs/>
                <w:color w:val="000000"/>
              </w:rPr>
              <w:t>2,316</w:t>
            </w:r>
          </w:p>
        </w:tc>
        <w:tc>
          <w:tcPr>
            <w:tcW w:w="585" w:type="dxa"/>
          </w:tcPr>
          <w:p w14:paraId="0000031D" w14:textId="77777777" w:rsidR="001C40B0" w:rsidRDefault="00291712">
            <w:pPr>
              <w:pBdr>
                <w:top w:val="nil"/>
                <w:left w:val="nil"/>
                <w:bottom w:val="nil"/>
                <w:right w:val="nil"/>
                <w:between w:val="nil"/>
              </w:pBdr>
              <w:spacing w:before="1"/>
              <w:ind w:left="25"/>
              <w:jc w:val="center"/>
              <w:rPr>
                <w:rFonts w:ascii="Arial" w:eastAsia="Arial" w:hAnsi="Arial" w:cs="Arial"/>
                <w:b/>
                <w:bCs/>
                <w:color w:val="000000"/>
              </w:rPr>
            </w:pPr>
            <w:r>
              <w:rPr>
                <w:rFonts w:ascii="Arial" w:eastAsia="Arial" w:hAnsi="Arial" w:cs="Arial"/>
                <w:b/>
                <w:bCs/>
                <w:color w:val="000000"/>
              </w:rPr>
              <w:t>133</w:t>
            </w:r>
          </w:p>
        </w:tc>
        <w:tc>
          <w:tcPr>
            <w:tcW w:w="585" w:type="dxa"/>
          </w:tcPr>
          <w:p w14:paraId="0000031E" w14:textId="77777777" w:rsidR="001C40B0" w:rsidRDefault="00291712">
            <w:pPr>
              <w:pBdr>
                <w:top w:val="nil"/>
                <w:left w:val="nil"/>
                <w:bottom w:val="nil"/>
                <w:right w:val="nil"/>
                <w:between w:val="nil"/>
              </w:pBdr>
              <w:spacing w:before="1"/>
              <w:ind w:left="19"/>
              <w:jc w:val="center"/>
              <w:rPr>
                <w:rFonts w:ascii="Arial" w:eastAsia="Arial" w:hAnsi="Arial" w:cs="Arial"/>
                <w:b/>
                <w:bCs/>
                <w:color w:val="000000"/>
              </w:rPr>
            </w:pPr>
            <w:r>
              <w:rPr>
                <w:rFonts w:ascii="Arial" w:eastAsia="Arial" w:hAnsi="Arial" w:cs="Arial"/>
                <w:b/>
                <w:bCs/>
                <w:color w:val="000000"/>
              </w:rPr>
              <w:t>23</w:t>
            </w:r>
          </w:p>
        </w:tc>
        <w:tc>
          <w:tcPr>
            <w:tcW w:w="600" w:type="dxa"/>
          </w:tcPr>
          <w:p w14:paraId="0000031F" w14:textId="77777777" w:rsidR="001C40B0" w:rsidRDefault="00291712">
            <w:pPr>
              <w:pBdr>
                <w:top w:val="nil"/>
                <w:left w:val="nil"/>
                <w:bottom w:val="nil"/>
                <w:right w:val="nil"/>
                <w:between w:val="nil"/>
              </w:pBdr>
              <w:spacing w:before="1"/>
              <w:ind w:left="17"/>
              <w:jc w:val="center"/>
              <w:rPr>
                <w:rFonts w:ascii="Arial" w:eastAsia="Arial" w:hAnsi="Arial" w:cs="Arial"/>
                <w:b/>
                <w:bCs/>
                <w:color w:val="000000"/>
              </w:rPr>
            </w:pPr>
            <w:r>
              <w:rPr>
                <w:rFonts w:ascii="Arial" w:eastAsia="Arial" w:hAnsi="Arial" w:cs="Arial"/>
                <w:b/>
                <w:bCs/>
                <w:color w:val="000000"/>
              </w:rPr>
              <w:t>16</w:t>
            </w:r>
          </w:p>
        </w:tc>
        <w:tc>
          <w:tcPr>
            <w:tcW w:w="645" w:type="dxa"/>
          </w:tcPr>
          <w:p w14:paraId="00000320" w14:textId="77777777" w:rsidR="001C40B0" w:rsidRDefault="00291712">
            <w:pPr>
              <w:pBdr>
                <w:top w:val="nil"/>
                <w:left w:val="nil"/>
                <w:bottom w:val="nil"/>
                <w:right w:val="nil"/>
                <w:between w:val="nil"/>
              </w:pBdr>
              <w:spacing w:before="1"/>
              <w:ind w:left="17" w:right="1"/>
              <w:jc w:val="center"/>
              <w:rPr>
                <w:rFonts w:ascii="Arial" w:eastAsia="Arial" w:hAnsi="Arial" w:cs="Arial"/>
                <w:b/>
                <w:bCs/>
                <w:color w:val="000000"/>
              </w:rPr>
            </w:pPr>
            <w:r>
              <w:rPr>
                <w:rFonts w:ascii="Arial" w:eastAsia="Arial" w:hAnsi="Arial" w:cs="Arial"/>
                <w:b/>
                <w:bCs/>
                <w:color w:val="000000"/>
              </w:rPr>
              <w:t>0</w:t>
            </w:r>
          </w:p>
        </w:tc>
        <w:tc>
          <w:tcPr>
            <w:tcW w:w="615" w:type="dxa"/>
          </w:tcPr>
          <w:p w14:paraId="00000321" w14:textId="77777777" w:rsidR="001C40B0" w:rsidRDefault="00291712">
            <w:pPr>
              <w:pBdr>
                <w:top w:val="nil"/>
                <w:left w:val="nil"/>
                <w:bottom w:val="nil"/>
                <w:right w:val="nil"/>
                <w:between w:val="nil"/>
              </w:pBdr>
              <w:spacing w:before="1"/>
              <w:ind w:left="20" w:right="1"/>
              <w:jc w:val="center"/>
              <w:rPr>
                <w:rFonts w:ascii="Arial" w:eastAsia="Arial" w:hAnsi="Arial" w:cs="Arial"/>
                <w:b/>
                <w:bCs/>
                <w:color w:val="000000"/>
              </w:rPr>
            </w:pPr>
            <w:r>
              <w:rPr>
                <w:rFonts w:ascii="Arial" w:eastAsia="Arial" w:hAnsi="Arial" w:cs="Arial"/>
                <w:b/>
                <w:bCs/>
                <w:color w:val="000000"/>
              </w:rPr>
              <w:t>0</w:t>
            </w:r>
          </w:p>
        </w:tc>
        <w:tc>
          <w:tcPr>
            <w:tcW w:w="900" w:type="dxa"/>
          </w:tcPr>
          <w:p w14:paraId="00000322" w14:textId="77777777" w:rsidR="001C40B0" w:rsidRDefault="00291712">
            <w:pPr>
              <w:pBdr>
                <w:top w:val="nil"/>
                <w:left w:val="nil"/>
                <w:bottom w:val="nil"/>
                <w:right w:val="nil"/>
                <w:between w:val="nil"/>
              </w:pBdr>
              <w:spacing w:before="1"/>
              <w:ind w:left="20" w:right="1"/>
              <w:jc w:val="center"/>
              <w:rPr>
                <w:rFonts w:ascii="Arial" w:eastAsia="Arial" w:hAnsi="Arial" w:cs="Arial"/>
                <w:b/>
                <w:bCs/>
                <w:color w:val="000000"/>
              </w:rPr>
            </w:pPr>
            <w:r>
              <w:rPr>
                <w:rFonts w:ascii="Arial" w:eastAsia="Arial" w:hAnsi="Arial" w:cs="Arial"/>
                <w:b/>
                <w:bCs/>
                <w:color w:val="000000"/>
              </w:rPr>
              <w:t>0</w:t>
            </w:r>
          </w:p>
        </w:tc>
        <w:tc>
          <w:tcPr>
            <w:tcW w:w="840" w:type="dxa"/>
          </w:tcPr>
          <w:p w14:paraId="00000323" w14:textId="77777777" w:rsidR="001C40B0" w:rsidRDefault="00291712">
            <w:pPr>
              <w:pBdr>
                <w:top w:val="nil"/>
                <w:left w:val="nil"/>
                <w:bottom w:val="nil"/>
                <w:right w:val="nil"/>
                <w:between w:val="nil"/>
              </w:pBdr>
              <w:spacing w:before="1"/>
              <w:ind w:left="25" w:right="1"/>
              <w:jc w:val="center"/>
              <w:rPr>
                <w:rFonts w:ascii="Arial" w:eastAsia="Arial" w:hAnsi="Arial" w:cs="Arial"/>
                <w:b/>
                <w:bCs/>
                <w:color w:val="000000"/>
              </w:rPr>
            </w:pPr>
            <w:r>
              <w:rPr>
                <w:rFonts w:ascii="Arial" w:eastAsia="Arial" w:hAnsi="Arial" w:cs="Arial"/>
                <w:b/>
                <w:bCs/>
                <w:color w:val="000000"/>
              </w:rPr>
              <w:t>0</w:t>
            </w:r>
          </w:p>
        </w:tc>
        <w:tc>
          <w:tcPr>
            <w:tcW w:w="945" w:type="dxa"/>
          </w:tcPr>
          <w:p w14:paraId="00000324" w14:textId="77777777" w:rsidR="001C40B0" w:rsidRDefault="00291712">
            <w:pPr>
              <w:pBdr>
                <w:top w:val="nil"/>
                <w:left w:val="nil"/>
                <w:bottom w:val="nil"/>
                <w:right w:val="nil"/>
                <w:between w:val="nil"/>
              </w:pBdr>
              <w:spacing w:before="1"/>
              <w:ind w:left="21" w:right="1"/>
              <w:jc w:val="center"/>
              <w:rPr>
                <w:rFonts w:ascii="Arial" w:eastAsia="Arial" w:hAnsi="Arial" w:cs="Arial"/>
                <w:b/>
                <w:bCs/>
                <w:color w:val="000000"/>
              </w:rPr>
            </w:pPr>
            <w:r>
              <w:rPr>
                <w:rFonts w:ascii="Arial" w:eastAsia="Arial" w:hAnsi="Arial" w:cs="Arial"/>
                <w:b/>
                <w:bCs/>
                <w:color w:val="000000"/>
              </w:rPr>
              <w:t>0</w:t>
            </w:r>
          </w:p>
        </w:tc>
        <w:tc>
          <w:tcPr>
            <w:tcW w:w="795" w:type="dxa"/>
          </w:tcPr>
          <w:p w14:paraId="00000325" w14:textId="77777777" w:rsidR="001C40B0" w:rsidRDefault="00291712">
            <w:pPr>
              <w:pBdr>
                <w:top w:val="nil"/>
                <w:left w:val="nil"/>
                <w:bottom w:val="nil"/>
                <w:right w:val="nil"/>
                <w:between w:val="nil"/>
              </w:pBdr>
              <w:spacing w:before="1"/>
              <w:ind w:left="17" w:right="1"/>
              <w:jc w:val="center"/>
              <w:rPr>
                <w:rFonts w:ascii="Arial" w:eastAsia="Arial" w:hAnsi="Arial" w:cs="Arial"/>
                <w:b/>
                <w:bCs/>
                <w:color w:val="000000"/>
              </w:rPr>
            </w:pPr>
            <w:r>
              <w:rPr>
                <w:rFonts w:ascii="Arial" w:eastAsia="Arial" w:hAnsi="Arial" w:cs="Arial"/>
                <w:b/>
                <w:bCs/>
                <w:color w:val="000000"/>
              </w:rPr>
              <w:t>0</w:t>
            </w:r>
          </w:p>
        </w:tc>
        <w:tc>
          <w:tcPr>
            <w:tcW w:w="615" w:type="dxa"/>
          </w:tcPr>
          <w:p w14:paraId="00000326" w14:textId="77777777" w:rsidR="001C40B0" w:rsidRDefault="00291712">
            <w:pPr>
              <w:pBdr>
                <w:top w:val="nil"/>
                <w:left w:val="nil"/>
                <w:bottom w:val="nil"/>
                <w:right w:val="nil"/>
                <w:between w:val="nil"/>
              </w:pBdr>
              <w:spacing w:before="1"/>
              <w:ind w:left="16"/>
              <w:jc w:val="center"/>
              <w:rPr>
                <w:rFonts w:ascii="Arial" w:eastAsia="Arial" w:hAnsi="Arial" w:cs="Arial"/>
                <w:b/>
                <w:bCs/>
                <w:color w:val="000000"/>
              </w:rPr>
            </w:pPr>
            <w:r>
              <w:rPr>
                <w:rFonts w:ascii="Arial" w:eastAsia="Arial" w:hAnsi="Arial" w:cs="Arial"/>
                <w:b/>
                <w:bCs/>
                <w:color w:val="000000"/>
              </w:rPr>
              <w:t>2,488</w:t>
            </w:r>
          </w:p>
        </w:tc>
      </w:tr>
      <w:tr w:rsidR="001C40B0" w14:paraId="52F6CA5F" w14:textId="77777777">
        <w:trPr>
          <w:trHeight w:val="301"/>
        </w:trPr>
        <w:tc>
          <w:tcPr>
            <w:tcW w:w="1035" w:type="dxa"/>
          </w:tcPr>
          <w:p w14:paraId="00000327" w14:textId="77777777" w:rsidR="001C40B0" w:rsidRDefault="00291712">
            <w:pPr>
              <w:pBdr>
                <w:top w:val="nil"/>
                <w:left w:val="nil"/>
                <w:bottom w:val="nil"/>
                <w:right w:val="nil"/>
                <w:between w:val="nil"/>
              </w:pBdr>
              <w:spacing w:before="1"/>
              <w:ind w:left="22" w:right="1"/>
              <w:jc w:val="center"/>
              <w:rPr>
                <w:rFonts w:ascii="Arial" w:eastAsia="Arial" w:hAnsi="Arial" w:cs="Arial"/>
                <w:b/>
                <w:bCs/>
                <w:color w:val="000000"/>
              </w:rPr>
            </w:pPr>
            <w:r>
              <w:rPr>
                <w:rFonts w:ascii="Arial" w:eastAsia="Arial" w:hAnsi="Arial" w:cs="Arial"/>
                <w:b/>
                <w:bCs/>
                <w:color w:val="000000"/>
              </w:rPr>
              <w:t>2018</w:t>
            </w:r>
          </w:p>
        </w:tc>
        <w:tc>
          <w:tcPr>
            <w:tcW w:w="660" w:type="dxa"/>
          </w:tcPr>
          <w:p w14:paraId="00000328" w14:textId="77777777" w:rsidR="001C40B0" w:rsidRDefault="00291712">
            <w:pPr>
              <w:pBdr>
                <w:top w:val="nil"/>
                <w:left w:val="nil"/>
                <w:bottom w:val="nil"/>
                <w:right w:val="nil"/>
                <w:between w:val="nil"/>
              </w:pBdr>
              <w:spacing w:before="1"/>
              <w:ind w:left="22" w:right="1"/>
              <w:jc w:val="center"/>
              <w:rPr>
                <w:rFonts w:ascii="Arial" w:eastAsia="Arial" w:hAnsi="Arial" w:cs="Arial"/>
                <w:b/>
                <w:bCs/>
                <w:color w:val="000000"/>
              </w:rPr>
            </w:pPr>
            <w:r>
              <w:rPr>
                <w:rFonts w:ascii="Arial" w:eastAsia="Arial" w:hAnsi="Arial" w:cs="Arial"/>
                <w:b/>
                <w:bCs/>
                <w:color w:val="000000"/>
              </w:rPr>
              <w:t>2,576</w:t>
            </w:r>
          </w:p>
        </w:tc>
        <w:tc>
          <w:tcPr>
            <w:tcW w:w="585" w:type="dxa"/>
          </w:tcPr>
          <w:p w14:paraId="00000329" w14:textId="77777777" w:rsidR="001C40B0" w:rsidRDefault="00291712">
            <w:pPr>
              <w:pBdr>
                <w:top w:val="nil"/>
                <w:left w:val="nil"/>
                <w:bottom w:val="nil"/>
                <w:right w:val="nil"/>
                <w:between w:val="nil"/>
              </w:pBdr>
              <w:spacing w:before="1"/>
              <w:ind w:left="25"/>
              <w:jc w:val="center"/>
              <w:rPr>
                <w:rFonts w:ascii="Arial" w:eastAsia="Arial" w:hAnsi="Arial" w:cs="Arial"/>
                <w:b/>
                <w:bCs/>
                <w:color w:val="000000"/>
              </w:rPr>
            </w:pPr>
            <w:r>
              <w:rPr>
                <w:rFonts w:ascii="Arial" w:eastAsia="Arial" w:hAnsi="Arial" w:cs="Arial"/>
                <w:b/>
                <w:bCs/>
                <w:color w:val="000000"/>
              </w:rPr>
              <w:t>138</w:t>
            </w:r>
          </w:p>
        </w:tc>
        <w:tc>
          <w:tcPr>
            <w:tcW w:w="585" w:type="dxa"/>
          </w:tcPr>
          <w:p w14:paraId="0000032A" w14:textId="77777777" w:rsidR="001C40B0" w:rsidRDefault="00291712">
            <w:pPr>
              <w:pBdr>
                <w:top w:val="nil"/>
                <w:left w:val="nil"/>
                <w:bottom w:val="nil"/>
                <w:right w:val="nil"/>
                <w:between w:val="nil"/>
              </w:pBdr>
              <w:spacing w:before="1"/>
              <w:ind w:left="19"/>
              <w:jc w:val="center"/>
              <w:rPr>
                <w:rFonts w:ascii="Arial" w:eastAsia="Arial" w:hAnsi="Arial" w:cs="Arial"/>
                <w:b/>
                <w:bCs/>
                <w:color w:val="000000"/>
              </w:rPr>
            </w:pPr>
            <w:r>
              <w:rPr>
                <w:rFonts w:ascii="Arial" w:eastAsia="Arial" w:hAnsi="Arial" w:cs="Arial"/>
                <w:b/>
                <w:bCs/>
                <w:color w:val="000000"/>
              </w:rPr>
              <w:t>32</w:t>
            </w:r>
          </w:p>
        </w:tc>
        <w:tc>
          <w:tcPr>
            <w:tcW w:w="600" w:type="dxa"/>
          </w:tcPr>
          <w:p w14:paraId="0000032B" w14:textId="77777777" w:rsidR="001C40B0" w:rsidRDefault="00291712">
            <w:pPr>
              <w:pBdr>
                <w:top w:val="nil"/>
                <w:left w:val="nil"/>
                <w:bottom w:val="nil"/>
                <w:right w:val="nil"/>
                <w:between w:val="nil"/>
              </w:pBdr>
              <w:spacing w:before="1"/>
              <w:ind w:left="17"/>
              <w:jc w:val="center"/>
              <w:rPr>
                <w:rFonts w:ascii="Arial" w:eastAsia="Arial" w:hAnsi="Arial" w:cs="Arial"/>
                <w:b/>
                <w:bCs/>
                <w:color w:val="000000"/>
              </w:rPr>
            </w:pPr>
            <w:r>
              <w:rPr>
                <w:rFonts w:ascii="Arial" w:eastAsia="Arial" w:hAnsi="Arial" w:cs="Arial"/>
                <w:b/>
                <w:bCs/>
                <w:color w:val="000000"/>
              </w:rPr>
              <w:t>22</w:t>
            </w:r>
          </w:p>
        </w:tc>
        <w:tc>
          <w:tcPr>
            <w:tcW w:w="645" w:type="dxa"/>
          </w:tcPr>
          <w:p w14:paraId="0000032C" w14:textId="77777777" w:rsidR="001C40B0" w:rsidRDefault="00291712">
            <w:pPr>
              <w:pBdr>
                <w:top w:val="nil"/>
                <w:left w:val="nil"/>
                <w:bottom w:val="nil"/>
                <w:right w:val="nil"/>
                <w:between w:val="nil"/>
              </w:pBdr>
              <w:spacing w:before="1"/>
              <w:ind w:left="17" w:right="1"/>
              <w:jc w:val="center"/>
              <w:rPr>
                <w:rFonts w:ascii="Arial" w:eastAsia="Arial" w:hAnsi="Arial" w:cs="Arial"/>
                <w:b/>
                <w:bCs/>
                <w:color w:val="000000"/>
              </w:rPr>
            </w:pPr>
            <w:r>
              <w:rPr>
                <w:rFonts w:ascii="Arial" w:eastAsia="Arial" w:hAnsi="Arial" w:cs="Arial"/>
                <w:b/>
                <w:bCs/>
                <w:color w:val="000000"/>
              </w:rPr>
              <w:t>1</w:t>
            </w:r>
          </w:p>
        </w:tc>
        <w:tc>
          <w:tcPr>
            <w:tcW w:w="615" w:type="dxa"/>
          </w:tcPr>
          <w:p w14:paraId="0000032D" w14:textId="77777777" w:rsidR="001C40B0" w:rsidRDefault="00291712">
            <w:pPr>
              <w:pBdr>
                <w:top w:val="nil"/>
                <w:left w:val="nil"/>
                <w:bottom w:val="nil"/>
                <w:right w:val="nil"/>
                <w:between w:val="nil"/>
              </w:pBdr>
              <w:spacing w:before="1"/>
              <w:ind w:left="20" w:right="1"/>
              <w:jc w:val="center"/>
              <w:rPr>
                <w:rFonts w:ascii="Arial" w:eastAsia="Arial" w:hAnsi="Arial" w:cs="Arial"/>
                <w:b/>
                <w:bCs/>
                <w:color w:val="000000"/>
              </w:rPr>
            </w:pPr>
            <w:r>
              <w:rPr>
                <w:rFonts w:ascii="Arial" w:eastAsia="Arial" w:hAnsi="Arial" w:cs="Arial"/>
                <w:b/>
                <w:bCs/>
                <w:color w:val="000000"/>
              </w:rPr>
              <w:t>3</w:t>
            </w:r>
          </w:p>
        </w:tc>
        <w:tc>
          <w:tcPr>
            <w:tcW w:w="900" w:type="dxa"/>
          </w:tcPr>
          <w:p w14:paraId="0000032E" w14:textId="77777777" w:rsidR="001C40B0" w:rsidRDefault="00291712">
            <w:pPr>
              <w:pBdr>
                <w:top w:val="nil"/>
                <w:left w:val="nil"/>
                <w:bottom w:val="nil"/>
                <w:right w:val="nil"/>
                <w:between w:val="nil"/>
              </w:pBdr>
              <w:spacing w:before="1"/>
              <w:ind w:left="20" w:right="1"/>
              <w:jc w:val="center"/>
              <w:rPr>
                <w:rFonts w:ascii="Arial" w:eastAsia="Arial" w:hAnsi="Arial" w:cs="Arial"/>
                <w:b/>
                <w:bCs/>
                <w:color w:val="000000"/>
              </w:rPr>
            </w:pPr>
            <w:r>
              <w:rPr>
                <w:rFonts w:ascii="Arial" w:eastAsia="Arial" w:hAnsi="Arial" w:cs="Arial"/>
                <w:b/>
                <w:bCs/>
                <w:color w:val="000000"/>
              </w:rPr>
              <w:t>0</w:t>
            </w:r>
          </w:p>
        </w:tc>
        <w:tc>
          <w:tcPr>
            <w:tcW w:w="840" w:type="dxa"/>
          </w:tcPr>
          <w:p w14:paraId="0000032F" w14:textId="77777777" w:rsidR="001C40B0" w:rsidRDefault="00291712">
            <w:pPr>
              <w:pBdr>
                <w:top w:val="nil"/>
                <w:left w:val="nil"/>
                <w:bottom w:val="nil"/>
                <w:right w:val="nil"/>
                <w:between w:val="nil"/>
              </w:pBdr>
              <w:spacing w:before="1"/>
              <w:ind w:left="25" w:right="1"/>
              <w:jc w:val="center"/>
              <w:rPr>
                <w:rFonts w:ascii="Arial" w:eastAsia="Arial" w:hAnsi="Arial" w:cs="Arial"/>
                <w:b/>
                <w:bCs/>
                <w:color w:val="000000"/>
              </w:rPr>
            </w:pPr>
            <w:r>
              <w:rPr>
                <w:rFonts w:ascii="Arial" w:eastAsia="Arial" w:hAnsi="Arial" w:cs="Arial"/>
                <w:b/>
                <w:bCs/>
                <w:color w:val="000000"/>
              </w:rPr>
              <w:t>2</w:t>
            </w:r>
          </w:p>
        </w:tc>
        <w:tc>
          <w:tcPr>
            <w:tcW w:w="945" w:type="dxa"/>
          </w:tcPr>
          <w:p w14:paraId="00000330" w14:textId="77777777" w:rsidR="001C40B0" w:rsidRDefault="00291712">
            <w:pPr>
              <w:pBdr>
                <w:top w:val="nil"/>
                <w:left w:val="nil"/>
                <w:bottom w:val="nil"/>
                <w:right w:val="nil"/>
                <w:between w:val="nil"/>
              </w:pBdr>
              <w:spacing w:before="1"/>
              <w:ind w:left="21" w:right="1"/>
              <w:jc w:val="center"/>
              <w:rPr>
                <w:rFonts w:ascii="Arial" w:eastAsia="Arial" w:hAnsi="Arial" w:cs="Arial"/>
                <w:b/>
                <w:bCs/>
                <w:color w:val="000000"/>
              </w:rPr>
            </w:pPr>
            <w:r>
              <w:rPr>
                <w:rFonts w:ascii="Arial" w:eastAsia="Arial" w:hAnsi="Arial" w:cs="Arial"/>
                <w:b/>
                <w:bCs/>
                <w:color w:val="000000"/>
              </w:rPr>
              <w:t>4</w:t>
            </w:r>
          </w:p>
        </w:tc>
        <w:tc>
          <w:tcPr>
            <w:tcW w:w="795" w:type="dxa"/>
          </w:tcPr>
          <w:p w14:paraId="00000331" w14:textId="77777777" w:rsidR="001C40B0" w:rsidRDefault="00291712">
            <w:pPr>
              <w:pBdr>
                <w:top w:val="nil"/>
                <w:left w:val="nil"/>
                <w:bottom w:val="nil"/>
                <w:right w:val="nil"/>
                <w:between w:val="nil"/>
              </w:pBdr>
              <w:spacing w:before="1"/>
              <w:ind w:left="17" w:right="1"/>
              <w:jc w:val="center"/>
              <w:rPr>
                <w:rFonts w:ascii="Arial" w:eastAsia="Arial" w:hAnsi="Arial" w:cs="Arial"/>
                <w:b/>
                <w:bCs/>
                <w:color w:val="000000"/>
              </w:rPr>
            </w:pPr>
            <w:r>
              <w:rPr>
                <w:rFonts w:ascii="Arial" w:eastAsia="Arial" w:hAnsi="Arial" w:cs="Arial"/>
                <w:b/>
                <w:bCs/>
                <w:color w:val="000000"/>
              </w:rPr>
              <w:t>0</w:t>
            </w:r>
          </w:p>
        </w:tc>
        <w:tc>
          <w:tcPr>
            <w:tcW w:w="615" w:type="dxa"/>
          </w:tcPr>
          <w:p w14:paraId="00000332" w14:textId="77777777" w:rsidR="001C40B0" w:rsidRDefault="00291712">
            <w:pPr>
              <w:pBdr>
                <w:top w:val="nil"/>
                <w:left w:val="nil"/>
                <w:bottom w:val="nil"/>
                <w:right w:val="nil"/>
                <w:between w:val="nil"/>
              </w:pBdr>
              <w:spacing w:before="1"/>
              <w:ind w:left="16"/>
              <w:jc w:val="center"/>
              <w:rPr>
                <w:rFonts w:ascii="Arial" w:eastAsia="Arial" w:hAnsi="Arial" w:cs="Arial"/>
                <w:b/>
                <w:bCs/>
                <w:color w:val="000000"/>
              </w:rPr>
            </w:pPr>
            <w:r>
              <w:rPr>
                <w:rFonts w:ascii="Arial" w:eastAsia="Arial" w:hAnsi="Arial" w:cs="Arial"/>
                <w:b/>
                <w:bCs/>
                <w:color w:val="000000"/>
              </w:rPr>
              <w:t>2,778</w:t>
            </w:r>
          </w:p>
        </w:tc>
      </w:tr>
      <w:tr w:rsidR="001C40B0" w14:paraId="60BE823D" w14:textId="77777777">
        <w:trPr>
          <w:trHeight w:val="296"/>
        </w:trPr>
        <w:tc>
          <w:tcPr>
            <w:tcW w:w="1035" w:type="dxa"/>
          </w:tcPr>
          <w:p w14:paraId="00000333" w14:textId="77777777" w:rsidR="001C40B0" w:rsidRDefault="00291712">
            <w:pPr>
              <w:pBdr>
                <w:top w:val="nil"/>
                <w:left w:val="nil"/>
                <w:bottom w:val="nil"/>
                <w:right w:val="nil"/>
                <w:between w:val="nil"/>
              </w:pBdr>
              <w:spacing w:before="1"/>
              <w:ind w:left="22" w:right="1"/>
              <w:jc w:val="center"/>
              <w:rPr>
                <w:rFonts w:ascii="Arial" w:eastAsia="Arial" w:hAnsi="Arial" w:cs="Arial"/>
                <w:b/>
                <w:bCs/>
                <w:color w:val="000000"/>
              </w:rPr>
            </w:pPr>
            <w:r>
              <w:rPr>
                <w:rFonts w:ascii="Arial" w:eastAsia="Arial" w:hAnsi="Arial" w:cs="Arial"/>
                <w:b/>
                <w:bCs/>
                <w:color w:val="000000"/>
              </w:rPr>
              <w:t>2019</w:t>
            </w:r>
          </w:p>
        </w:tc>
        <w:tc>
          <w:tcPr>
            <w:tcW w:w="660" w:type="dxa"/>
          </w:tcPr>
          <w:p w14:paraId="00000334" w14:textId="77777777" w:rsidR="001C40B0" w:rsidRDefault="00291712">
            <w:pPr>
              <w:pBdr>
                <w:top w:val="nil"/>
                <w:left w:val="nil"/>
                <w:bottom w:val="nil"/>
                <w:right w:val="nil"/>
                <w:between w:val="nil"/>
              </w:pBdr>
              <w:spacing w:before="1"/>
              <w:ind w:left="22" w:right="1"/>
              <w:jc w:val="center"/>
              <w:rPr>
                <w:rFonts w:ascii="Arial" w:eastAsia="Arial" w:hAnsi="Arial" w:cs="Arial"/>
                <w:b/>
                <w:bCs/>
                <w:color w:val="000000"/>
              </w:rPr>
            </w:pPr>
            <w:r>
              <w:rPr>
                <w:rFonts w:ascii="Arial" w:eastAsia="Arial" w:hAnsi="Arial" w:cs="Arial"/>
                <w:b/>
                <w:bCs/>
                <w:color w:val="000000"/>
              </w:rPr>
              <w:t>2,822</w:t>
            </w:r>
          </w:p>
        </w:tc>
        <w:tc>
          <w:tcPr>
            <w:tcW w:w="585" w:type="dxa"/>
          </w:tcPr>
          <w:p w14:paraId="00000335" w14:textId="77777777" w:rsidR="001C40B0" w:rsidRDefault="00291712">
            <w:pPr>
              <w:pBdr>
                <w:top w:val="nil"/>
                <w:left w:val="nil"/>
                <w:bottom w:val="nil"/>
                <w:right w:val="nil"/>
                <w:between w:val="nil"/>
              </w:pBdr>
              <w:spacing w:before="1"/>
              <w:ind w:left="25"/>
              <w:jc w:val="center"/>
              <w:rPr>
                <w:rFonts w:ascii="Arial" w:eastAsia="Arial" w:hAnsi="Arial" w:cs="Arial"/>
                <w:b/>
                <w:bCs/>
                <w:color w:val="000000"/>
              </w:rPr>
            </w:pPr>
            <w:r>
              <w:rPr>
                <w:rFonts w:ascii="Arial" w:eastAsia="Arial" w:hAnsi="Arial" w:cs="Arial"/>
                <w:b/>
                <w:bCs/>
                <w:color w:val="000000"/>
              </w:rPr>
              <w:t>130</w:t>
            </w:r>
          </w:p>
        </w:tc>
        <w:tc>
          <w:tcPr>
            <w:tcW w:w="585" w:type="dxa"/>
          </w:tcPr>
          <w:p w14:paraId="00000336" w14:textId="77777777" w:rsidR="001C40B0" w:rsidRDefault="00291712">
            <w:pPr>
              <w:pBdr>
                <w:top w:val="nil"/>
                <w:left w:val="nil"/>
                <w:bottom w:val="nil"/>
                <w:right w:val="nil"/>
                <w:between w:val="nil"/>
              </w:pBdr>
              <w:spacing w:before="1"/>
              <w:ind w:left="19"/>
              <w:jc w:val="center"/>
              <w:rPr>
                <w:rFonts w:ascii="Arial" w:eastAsia="Arial" w:hAnsi="Arial" w:cs="Arial"/>
                <w:b/>
                <w:bCs/>
                <w:color w:val="000000"/>
              </w:rPr>
            </w:pPr>
            <w:r>
              <w:rPr>
                <w:rFonts w:ascii="Arial" w:eastAsia="Arial" w:hAnsi="Arial" w:cs="Arial"/>
                <w:b/>
                <w:bCs/>
                <w:color w:val="000000"/>
              </w:rPr>
              <w:t>37</w:t>
            </w:r>
          </w:p>
        </w:tc>
        <w:tc>
          <w:tcPr>
            <w:tcW w:w="600" w:type="dxa"/>
          </w:tcPr>
          <w:p w14:paraId="00000337" w14:textId="77777777" w:rsidR="001C40B0" w:rsidRDefault="00291712">
            <w:pPr>
              <w:pBdr>
                <w:top w:val="nil"/>
                <w:left w:val="nil"/>
                <w:bottom w:val="nil"/>
                <w:right w:val="nil"/>
                <w:between w:val="nil"/>
              </w:pBdr>
              <w:spacing w:before="1"/>
              <w:ind w:left="17"/>
              <w:jc w:val="center"/>
              <w:rPr>
                <w:rFonts w:ascii="Arial" w:eastAsia="Arial" w:hAnsi="Arial" w:cs="Arial"/>
                <w:b/>
                <w:bCs/>
                <w:color w:val="000000"/>
              </w:rPr>
            </w:pPr>
            <w:r>
              <w:rPr>
                <w:rFonts w:ascii="Arial" w:eastAsia="Arial" w:hAnsi="Arial" w:cs="Arial"/>
                <w:b/>
                <w:bCs/>
                <w:color w:val="000000"/>
              </w:rPr>
              <w:t>21</w:t>
            </w:r>
          </w:p>
        </w:tc>
        <w:tc>
          <w:tcPr>
            <w:tcW w:w="645" w:type="dxa"/>
          </w:tcPr>
          <w:p w14:paraId="00000338" w14:textId="77777777" w:rsidR="001C40B0" w:rsidRDefault="00291712">
            <w:pPr>
              <w:pBdr>
                <w:top w:val="nil"/>
                <w:left w:val="nil"/>
                <w:bottom w:val="nil"/>
                <w:right w:val="nil"/>
                <w:between w:val="nil"/>
              </w:pBdr>
              <w:spacing w:before="1"/>
              <w:ind w:left="17" w:right="1"/>
              <w:jc w:val="center"/>
              <w:rPr>
                <w:rFonts w:ascii="Arial" w:eastAsia="Arial" w:hAnsi="Arial" w:cs="Arial"/>
                <w:b/>
                <w:bCs/>
                <w:color w:val="000000"/>
              </w:rPr>
            </w:pPr>
            <w:r>
              <w:rPr>
                <w:rFonts w:ascii="Arial" w:eastAsia="Arial" w:hAnsi="Arial" w:cs="Arial"/>
                <w:b/>
                <w:bCs/>
                <w:color w:val="000000"/>
              </w:rPr>
              <w:t>1</w:t>
            </w:r>
          </w:p>
        </w:tc>
        <w:tc>
          <w:tcPr>
            <w:tcW w:w="615" w:type="dxa"/>
          </w:tcPr>
          <w:p w14:paraId="00000339" w14:textId="77777777" w:rsidR="001C40B0" w:rsidRDefault="00291712">
            <w:pPr>
              <w:pBdr>
                <w:top w:val="nil"/>
                <w:left w:val="nil"/>
                <w:bottom w:val="nil"/>
                <w:right w:val="nil"/>
                <w:between w:val="nil"/>
              </w:pBdr>
              <w:spacing w:before="1"/>
              <w:ind w:left="20" w:right="1"/>
              <w:jc w:val="center"/>
              <w:rPr>
                <w:rFonts w:ascii="Arial" w:eastAsia="Arial" w:hAnsi="Arial" w:cs="Arial"/>
                <w:b/>
                <w:bCs/>
                <w:color w:val="000000"/>
              </w:rPr>
            </w:pPr>
            <w:r>
              <w:rPr>
                <w:rFonts w:ascii="Arial" w:eastAsia="Arial" w:hAnsi="Arial" w:cs="Arial"/>
                <w:b/>
                <w:bCs/>
                <w:color w:val="000000"/>
              </w:rPr>
              <w:t>3</w:t>
            </w:r>
          </w:p>
        </w:tc>
        <w:tc>
          <w:tcPr>
            <w:tcW w:w="900" w:type="dxa"/>
          </w:tcPr>
          <w:p w14:paraId="0000033A" w14:textId="77777777" w:rsidR="001C40B0" w:rsidRDefault="00291712">
            <w:pPr>
              <w:pBdr>
                <w:top w:val="nil"/>
                <w:left w:val="nil"/>
                <w:bottom w:val="nil"/>
                <w:right w:val="nil"/>
                <w:between w:val="nil"/>
              </w:pBdr>
              <w:spacing w:before="1"/>
              <w:ind w:left="20" w:right="1"/>
              <w:jc w:val="center"/>
              <w:rPr>
                <w:rFonts w:ascii="Arial" w:eastAsia="Arial" w:hAnsi="Arial" w:cs="Arial"/>
                <w:b/>
                <w:bCs/>
                <w:color w:val="000000"/>
              </w:rPr>
            </w:pPr>
            <w:r>
              <w:rPr>
                <w:rFonts w:ascii="Arial" w:eastAsia="Arial" w:hAnsi="Arial" w:cs="Arial"/>
                <w:b/>
                <w:bCs/>
                <w:color w:val="000000"/>
              </w:rPr>
              <w:t>1</w:t>
            </w:r>
          </w:p>
        </w:tc>
        <w:tc>
          <w:tcPr>
            <w:tcW w:w="840" w:type="dxa"/>
          </w:tcPr>
          <w:p w14:paraId="0000033B" w14:textId="77777777" w:rsidR="001C40B0" w:rsidRDefault="00291712">
            <w:pPr>
              <w:pBdr>
                <w:top w:val="nil"/>
                <w:left w:val="nil"/>
                <w:bottom w:val="nil"/>
                <w:right w:val="nil"/>
                <w:between w:val="nil"/>
              </w:pBdr>
              <w:spacing w:before="1"/>
              <w:ind w:left="25" w:right="1"/>
              <w:jc w:val="center"/>
              <w:rPr>
                <w:rFonts w:ascii="Arial" w:eastAsia="Arial" w:hAnsi="Arial" w:cs="Arial"/>
                <w:b/>
                <w:bCs/>
                <w:color w:val="000000"/>
              </w:rPr>
            </w:pPr>
            <w:r>
              <w:rPr>
                <w:rFonts w:ascii="Arial" w:eastAsia="Arial" w:hAnsi="Arial" w:cs="Arial"/>
                <w:b/>
                <w:bCs/>
                <w:color w:val="000000"/>
              </w:rPr>
              <w:t>9</w:t>
            </w:r>
          </w:p>
        </w:tc>
        <w:tc>
          <w:tcPr>
            <w:tcW w:w="945" w:type="dxa"/>
          </w:tcPr>
          <w:p w14:paraId="0000033C" w14:textId="77777777" w:rsidR="001C40B0" w:rsidRDefault="00291712">
            <w:pPr>
              <w:pBdr>
                <w:top w:val="nil"/>
                <w:left w:val="nil"/>
                <w:bottom w:val="nil"/>
                <w:right w:val="nil"/>
                <w:between w:val="nil"/>
              </w:pBdr>
              <w:spacing w:before="1"/>
              <w:ind w:left="21"/>
              <w:jc w:val="center"/>
              <w:rPr>
                <w:rFonts w:ascii="Arial" w:eastAsia="Arial" w:hAnsi="Arial" w:cs="Arial"/>
                <w:b/>
                <w:bCs/>
                <w:color w:val="000000"/>
              </w:rPr>
            </w:pPr>
            <w:r>
              <w:rPr>
                <w:rFonts w:ascii="Arial" w:eastAsia="Arial" w:hAnsi="Arial" w:cs="Arial"/>
                <w:b/>
                <w:bCs/>
                <w:color w:val="000000"/>
              </w:rPr>
              <w:t>14</w:t>
            </w:r>
          </w:p>
        </w:tc>
        <w:tc>
          <w:tcPr>
            <w:tcW w:w="795" w:type="dxa"/>
          </w:tcPr>
          <w:p w14:paraId="0000033D" w14:textId="77777777" w:rsidR="001C40B0" w:rsidRDefault="00291712">
            <w:pPr>
              <w:pBdr>
                <w:top w:val="nil"/>
                <w:left w:val="nil"/>
                <w:bottom w:val="nil"/>
                <w:right w:val="nil"/>
                <w:between w:val="nil"/>
              </w:pBdr>
              <w:spacing w:before="1"/>
              <w:ind w:left="17" w:right="1"/>
              <w:jc w:val="center"/>
              <w:rPr>
                <w:rFonts w:ascii="Arial" w:eastAsia="Arial" w:hAnsi="Arial" w:cs="Arial"/>
                <w:b/>
                <w:bCs/>
                <w:color w:val="000000"/>
              </w:rPr>
            </w:pPr>
            <w:r>
              <w:rPr>
                <w:rFonts w:ascii="Arial" w:eastAsia="Arial" w:hAnsi="Arial" w:cs="Arial"/>
                <w:b/>
                <w:bCs/>
                <w:color w:val="000000"/>
              </w:rPr>
              <w:t>0</w:t>
            </w:r>
          </w:p>
        </w:tc>
        <w:tc>
          <w:tcPr>
            <w:tcW w:w="615" w:type="dxa"/>
          </w:tcPr>
          <w:p w14:paraId="0000033E" w14:textId="77777777" w:rsidR="001C40B0" w:rsidRDefault="00291712">
            <w:pPr>
              <w:pBdr>
                <w:top w:val="nil"/>
                <w:left w:val="nil"/>
                <w:bottom w:val="nil"/>
                <w:right w:val="nil"/>
                <w:between w:val="nil"/>
              </w:pBdr>
              <w:spacing w:before="1"/>
              <w:ind w:left="16"/>
              <w:jc w:val="center"/>
              <w:rPr>
                <w:rFonts w:ascii="Arial" w:eastAsia="Arial" w:hAnsi="Arial" w:cs="Arial"/>
                <w:b/>
                <w:bCs/>
                <w:color w:val="000000"/>
              </w:rPr>
            </w:pPr>
            <w:r>
              <w:rPr>
                <w:rFonts w:ascii="Arial" w:eastAsia="Arial" w:hAnsi="Arial" w:cs="Arial"/>
                <w:b/>
                <w:bCs/>
                <w:color w:val="000000"/>
              </w:rPr>
              <w:t>3,038</w:t>
            </w:r>
          </w:p>
        </w:tc>
      </w:tr>
      <w:tr w:rsidR="001C40B0" w14:paraId="0797554D" w14:textId="77777777">
        <w:trPr>
          <w:trHeight w:val="301"/>
        </w:trPr>
        <w:tc>
          <w:tcPr>
            <w:tcW w:w="1035" w:type="dxa"/>
          </w:tcPr>
          <w:p w14:paraId="0000033F" w14:textId="77777777" w:rsidR="001C40B0" w:rsidRDefault="00291712">
            <w:pPr>
              <w:pBdr>
                <w:top w:val="nil"/>
                <w:left w:val="nil"/>
                <w:bottom w:val="nil"/>
                <w:right w:val="nil"/>
                <w:between w:val="nil"/>
              </w:pBdr>
              <w:spacing w:before="5"/>
              <w:ind w:left="22" w:right="1"/>
              <w:jc w:val="center"/>
              <w:rPr>
                <w:rFonts w:ascii="Arial" w:eastAsia="Arial" w:hAnsi="Arial" w:cs="Arial"/>
                <w:b/>
                <w:bCs/>
                <w:color w:val="000000"/>
              </w:rPr>
            </w:pPr>
            <w:r>
              <w:rPr>
                <w:rFonts w:ascii="Arial" w:eastAsia="Arial" w:hAnsi="Arial" w:cs="Arial"/>
                <w:b/>
                <w:bCs/>
                <w:color w:val="000000"/>
              </w:rPr>
              <w:t>2020</w:t>
            </w:r>
          </w:p>
        </w:tc>
        <w:tc>
          <w:tcPr>
            <w:tcW w:w="660" w:type="dxa"/>
          </w:tcPr>
          <w:p w14:paraId="00000340" w14:textId="77777777" w:rsidR="001C40B0" w:rsidRDefault="00291712">
            <w:pPr>
              <w:pBdr>
                <w:top w:val="nil"/>
                <w:left w:val="nil"/>
                <w:bottom w:val="nil"/>
                <w:right w:val="nil"/>
                <w:between w:val="nil"/>
              </w:pBdr>
              <w:spacing w:before="5"/>
              <w:ind w:left="22" w:right="1"/>
              <w:jc w:val="center"/>
              <w:rPr>
                <w:rFonts w:ascii="Arial" w:eastAsia="Arial" w:hAnsi="Arial" w:cs="Arial"/>
                <w:b/>
                <w:bCs/>
                <w:color w:val="000000"/>
              </w:rPr>
            </w:pPr>
            <w:r>
              <w:rPr>
                <w:rFonts w:ascii="Arial" w:eastAsia="Arial" w:hAnsi="Arial" w:cs="Arial"/>
                <w:b/>
                <w:bCs/>
                <w:color w:val="000000"/>
              </w:rPr>
              <w:t>2,741</w:t>
            </w:r>
          </w:p>
        </w:tc>
        <w:tc>
          <w:tcPr>
            <w:tcW w:w="585" w:type="dxa"/>
          </w:tcPr>
          <w:p w14:paraId="00000341" w14:textId="77777777" w:rsidR="001C40B0" w:rsidRDefault="00291712">
            <w:pPr>
              <w:pBdr>
                <w:top w:val="nil"/>
                <w:left w:val="nil"/>
                <w:bottom w:val="nil"/>
                <w:right w:val="nil"/>
                <w:between w:val="nil"/>
              </w:pBdr>
              <w:spacing w:before="5"/>
              <w:ind w:left="25"/>
              <w:jc w:val="center"/>
              <w:rPr>
                <w:rFonts w:ascii="Arial" w:eastAsia="Arial" w:hAnsi="Arial" w:cs="Arial"/>
                <w:b/>
                <w:bCs/>
                <w:color w:val="000000"/>
              </w:rPr>
            </w:pPr>
            <w:r>
              <w:rPr>
                <w:rFonts w:ascii="Arial" w:eastAsia="Arial" w:hAnsi="Arial" w:cs="Arial"/>
                <w:b/>
                <w:bCs/>
                <w:color w:val="000000"/>
              </w:rPr>
              <w:t>160</w:t>
            </w:r>
          </w:p>
        </w:tc>
        <w:tc>
          <w:tcPr>
            <w:tcW w:w="585" w:type="dxa"/>
          </w:tcPr>
          <w:p w14:paraId="00000342" w14:textId="77777777" w:rsidR="001C40B0" w:rsidRDefault="00291712">
            <w:pPr>
              <w:pBdr>
                <w:top w:val="nil"/>
                <w:left w:val="nil"/>
                <w:bottom w:val="nil"/>
                <w:right w:val="nil"/>
                <w:between w:val="nil"/>
              </w:pBdr>
              <w:spacing w:before="5"/>
              <w:ind w:left="19"/>
              <w:jc w:val="center"/>
              <w:rPr>
                <w:rFonts w:ascii="Arial" w:eastAsia="Arial" w:hAnsi="Arial" w:cs="Arial"/>
                <w:b/>
                <w:bCs/>
                <w:color w:val="000000"/>
              </w:rPr>
            </w:pPr>
            <w:r>
              <w:rPr>
                <w:rFonts w:ascii="Arial" w:eastAsia="Arial" w:hAnsi="Arial" w:cs="Arial"/>
                <w:b/>
                <w:bCs/>
                <w:color w:val="000000"/>
              </w:rPr>
              <w:t>47</w:t>
            </w:r>
          </w:p>
        </w:tc>
        <w:tc>
          <w:tcPr>
            <w:tcW w:w="600" w:type="dxa"/>
          </w:tcPr>
          <w:p w14:paraId="00000343" w14:textId="77777777" w:rsidR="001C40B0" w:rsidRDefault="00291712">
            <w:pPr>
              <w:pBdr>
                <w:top w:val="nil"/>
                <w:left w:val="nil"/>
                <w:bottom w:val="nil"/>
                <w:right w:val="nil"/>
                <w:between w:val="nil"/>
              </w:pBdr>
              <w:spacing w:before="5"/>
              <w:ind w:left="17"/>
              <w:jc w:val="center"/>
              <w:rPr>
                <w:rFonts w:ascii="Arial" w:eastAsia="Arial" w:hAnsi="Arial" w:cs="Arial"/>
                <w:b/>
                <w:bCs/>
                <w:color w:val="000000"/>
              </w:rPr>
            </w:pPr>
            <w:r>
              <w:rPr>
                <w:rFonts w:ascii="Arial" w:eastAsia="Arial" w:hAnsi="Arial" w:cs="Arial"/>
                <w:b/>
                <w:bCs/>
                <w:color w:val="000000"/>
              </w:rPr>
              <w:t>25</w:t>
            </w:r>
          </w:p>
        </w:tc>
        <w:tc>
          <w:tcPr>
            <w:tcW w:w="645" w:type="dxa"/>
          </w:tcPr>
          <w:p w14:paraId="00000344" w14:textId="77777777" w:rsidR="001C40B0" w:rsidRDefault="00291712">
            <w:pPr>
              <w:pBdr>
                <w:top w:val="nil"/>
                <w:left w:val="nil"/>
                <w:bottom w:val="nil"/>
                <w:right w:val="nil"/>
                <w:between w:val="nil"/>
              </w:pBdr>
              <w:spacing w:before="5"/>
              <w:ind w:left="17" w:right="1"/>
              <w:jc w:val="center"/>
              <w:rPr>
                <w:rFonts w:ascii="Arial" w:eastAsia="Arial" w:hAnsi="Arial" w:cs="Arial"/>
                <w:b/>
                <w:bCs/>
                <w:color w:val="000000"/>
              </w:rPr>
            </w:pPr>
            <w:r>
              <w:rPr>
                <w:rFonts w:ascii="Arial" w:eastAsia="Arial" w:hAnsi="Arial" w:cs="Arial"/>
                <w:b/>
                <w:bCs/>
                <w:color w:val="000000"/>
              </w:rPr>
              <w:t>2</w:t>
            </w:r>
          </w:p>
        </w:tc>
        <w:tc>
          <w:tcPr>
            <w:tcW w:w="615" w:type="dxa"/>
          </w:tcPr>
          <w:p w14:paraId="00000345" w14:textId="77777777" w:rsidR="001C40B0" w:rsidRDefault="00291712">
            <w:pPr>
              <w:pBdr>
                <w:top w:val="nil"/>
                <w:left w:val="nil"/>
                <w:bottom w:val="nil"/>
                <w:right w:val="nil"/>
                <w:between w:val="nil"/>
              </w:pBdr>
              <w:spacing w:before="5"/>
              <w:ind w:left="20" w:right="1"/>
              <w:jc w:val="center"/>
              <w:rPr>
                <w:rFonts w:ascii="Arial" w:eastAsia="Arial" w:hAnsi="Arial" w:cs="Arial"/>
                <w:b/>
                <w:bCs/>
                <w:color w:val="000000"/>
              </w:rPr>
            </w:pPr>
            <w:r>
              <w:rPr>
                <w:rFonts w:ascii="Arial" w:eastAsia="Arial" w:hAnsi="Arial" w:cs="Arial"/>
                <w:b/>
                <w:bCs/>
                <w:color w:val="000000"/>
              </w:rPr>
              <w:t>3</w:t>
            </w:r>
          </w:p>
        </w:tc>
        <w:tc>
          <w:tcPr>
            <w:tcW w:w="900" w:type="dxa"/>
          </w:tcPr>
          <w:p w14:paraId="00000346" w14:textId="77777777" w:rsidR="001C40B0" w:rsidRDefault="00291712">
            <w:pPr>
              <w:pBdr>
                <w:top w:val="nil"/>
                <w:left w:val="nil"/>
                <w:bottom w:val="nil"/>
                <w:right w:val="nil"/>
                <w:between w:val="nil"/>
              </w:pBdr>
              <w:spacing w:before="5"/>
              <w:ind w:left="20" w:right="1"/>
              <w:jc w:val="center"/>
              <w:rPr>
                <w:rFonts w:ascii="Arial" w:eastAsia="Arial" w:hAnsi="Arial" w:cs="Arial"/>
                <w:b/>
                <w:bCs/>
                <w:color w:val="000000"/>
              </w:rPr>
            </w:pPr>
            <w:r>
              <w:rPr>
                <w:rFonts w:ascii="Arial" w:eastAsia="Arial" w:hAnsi="Arial" w:cs="Arial"/>
                <w:b/>
                <w:bCs/>
                <w:color w:val="000000"/>
              </w:rPr>
              <w:t>1</w:t>
            </w:r>
          </w:p>
        </w:tc>
        <w:tc>
          <w:tcPr>
            <w:tcW w:w="840" w:type="dxa"/>
          </w:tcPr>
          <w:p w14:paraId="00000347" w14:textId="77777777" w:rsidR="001C40B0" w:rsidRDefault="00291712">
            <w:pPr>
              <w:pBdr>
                <w:top w:val="nil"/>
                <w:left w:val="nil"/>
                <w:bottom w:val="nil"/>
                <w:right w:val="nil"/>
                <w:between w:val="nil"/>
              </w:pBdr>
              <w:spacing w:before="5"/>
              <w:ind w:left="25" w:right="1"/>
              <w:jc w:val="center"/>
              <w:rPr>
                <w:rFonts w:ascii="Arial" w:eastAsia="Arial" w:hAnsi="Arial" w:cs="Arial"/>
                <w:b/>
                <w:bCs/>
                <w:color w:val="000000"/>
              </w:rPr>
            </w:pPr>
            <w:r>
              <w:rPr>
                <w:rFonts w:ascii="Arial" w:eastAsia="Arial" w:hAnsi="Arial" w:cs="Arial"/>
                <w:b/>
                <w:bCs/>
                <w:color w:val="000000"/>
              </w:rPr>
              <w:t>9</w:t>
            </w:r>
          </w:p>
        </w:tc>
        <w:tc>
          <w:tcPr>
            <w:tcW w:w="945" w:type="dxa"/>
          </w:tcPr>
          <w:p w14:paraId="00000348" w14:textId="77777777" w:rsidR="001C40B0" w:rsidRDefault="00291712">
            <w:pPr>
              <w:pBdr>
                <w:top w:val="nil"/>
                <w:left w:val="nil"/>
                <w:bottom w:val="nil"/>
                <w:right w:val="nil"/>
                <w:between w:val="nil"/>
              </w:pBdr>
              <w:spacing w:before="5"/>
              <w:ind w:left="21"/>
              <w:jc w:val="center"/>
              <w:rPr>
                <w:rFonts w:ascii="Arial" w:eastAsia="Arial" w:hAnsi="Arial" w:cs="Arial"/>
                <w:b/>
                <w:bCs/>
                <w:color w:val="000000"/>
              </w:rPr>
            </w:pPr>
            <w:r>
              <w:rPr>
                <w:rFonts w:ascii="Arial" w:eastAsia="Arial" w:hAnsi="Arial" w:cs="Arial"/>
                <w:b/>
                <w:bCs/>
                <w:color w:val="000000"/>
              </w:rPr>
              <w:t>14</w:t>
            </w:r>
          </w:p>
        </w:tc>
        <w:tc>
          <w:tcPr>
            <w:tcW w:w="795" w:type="dxa"/>
          </w:tcPr>
          <w:p w14:paraId="00000349" w14:textId="77777777" w:rsidR="001C40B0" w:rsidRDefault="00291712">
            <w:pPr>
              <w:pBdr>
                <w:top w:val="nil"/>
                <w:left w:val="nil"/>
                <w:bottom w:val="nil"/>
                <w:right w:val="nil"/>
                <w:between w:val="nil"/>
              </w:pBdr>
              <w:spacing w:before="5"/>
              <w:ind w:left="17" w:right="1"/>
              <w:jc w:val="center"/>
              <w:rPr>
                <w:rFonts w:ascii="Arial" w:eastAsia="Arial" w:hAnsi="Arial" w:cs="Arial"/>
                <w:b/>
                <w:bCs/>
                <w:color w:val="000000"/>
              </w:rPr>
            </w:pPr>
            <w:r>
              <w:rPr>
                <w:rFonts w:ascii="Arial" w:eastAsia="Arial" w:hAnsi="Arial" w:cs="Arial"/>
                <w:b/>
                <w:bCs/>
                <w:color w:val="000000"/>
              </w:rPr>
              <w:t>0</w:t>
            </w:r>
          </w:p>
        </w:tc>
        <w:tc>
          <w:tcPr>
            <w:tcW w:w="615" w:type="dxa"/>
          </w:tcPr>
          <w:p w14:paraId="0000034A" w14:textId="77777777" w:rsidR="001C40B0" w:rsidRDefault="00291712">
            <w:pPr>
              <w:pBdr>
                <w:top w:val="nil"/>
                <w:left w:val="nil"/>
                <w:bottom w:val="nil"/>
                <w:right w:val="nil"/>
                <w:between w:val="nil"/>
              </w:pBdr>
              <w:spacing w:before="5"/>
              <w:ind w:left="16"/>
              <w:jc w:val="center"/>
              <w:rPr>
                <w:rFonts w:ascii="Arial" w:eastAsia="Arial" w:hAnsi="Arial" w:cs="Arial"/>
                <w:b/>
                <w:bCs/>
                <w:color w:val="000000"/>
              </w:rPr>
            </w:pPr>
            <w:r>
              <w:rPr>
                <w:rFonts w:ascii="Arial" w:eastAsia="Arial" w:hAnsi="Arial" w:cs="Arial"/>
                <w:b/>
                <w:bCs/>
                <w:color w:val="000000"/>
              </w:rPr>
              <w:t>3,002</w:t>
            </w:r>
          </w:p>
        </w:tc>
      </w:tr>
      <w:tr w:rsidR="001C40B0" w14:paraId="53B0171B" w14:textId="77777777">
        <w:trPr>
          <w:trHeight w:val="301"/>
        </w:trPr>
        <w:tc>
          <w:tcPr>
            <w:tcW w:w="1035" w:type="dxa"/>
          </w:tcPr>
          <w:p w14:paraId="0000034B" w14:textId="77777777" w:rsidR="001C40B0" w:rsidRDefault="00291712">
            <w:pPr>
              <w:pBdr>
                <w:top w:val="nil"/>
                <w:left w:val="nil"/>
                <w:bottom w:val="nil"/>
                <w:right w:val="nil"/>
                <w:between w:val="nil"/>
              </w:pBdr>
              <w:spacing w:before="1"/>
              <w:ind w:left="22" w:right="1"/>
              <w:jc w:val="center"/>
              <w:rPr>
                <w:rFonts w:ascii="Arial" w:eastAsia="Arial" w:hAnsi="Arial" w:cs="Arial"/>
                <w:b/>
                <w:bCs/>
                <w:color w:val="000000"/>
              </w:rPr>
            </w:pPr>
            <w:r>
              <w:rPr>
                <w:rFonts w:ascii="Arial" w:eastAsia="Arial" w:hAnsi="Arial" w:cs="Arial"/>
                <w:b/>
                <w:bCs/>
                <w:color w:val="000000"/>
              </w:rPr>
              <w:t>2021</w:t>
            </w:r>
          </w:p>
        </w:tc>
        <w:tc>
          <w:tcPr>
            <w:tcW w:w="660" w:type="dxa"/>
          </w:tcPr>
          <w:p w14:paraId="0000034C" w14:textId="77777777" w:rsidR="001C40B0" w:rsidRDefault="00291712">
            <w:pPr>
              <w:pBdr>
                <w:top w:val="nil"/>
                <w:left w:val="nil"/>
                <w:bottom w:val="nil"/>
                <w:right w:val="nil"/>
                <w:between w:val="nil"/>
              </w:pBdr>
              <w:spacing w:before="1"/>
              <w:ind w:left="22" w:right="1"/>
              <w:jc w:val="center"/>
              <w:rPr>
                <w:rFonts w:ascii="Arial" w:eastAsia="Arial" w:hAnsi="Arial" w:cs="Arial"/>
                <w:b/>
                <w:bCs/>
                <w:color w:val="000000"/>
              </w:rPr>
            </w:pPr>
            <w:r>
              <w:rPr>
                <w:rFonts w:ascii="Arial" w:eastAsia="Arial" w:hAnsi="Arial" w:cs="Arial"/>
                <w:b/>
                <w:bCs/>
                <w:color w:val="000000"/>
              </w:rPr>
              <w:t>2,839</w:t>
            </w:r>
          </w:p>
        </w:tc>
        <w:tc>
          <w:tcPr>
            <w:tcW w:w="585" w:type="dxa"/>
          </w:tcPr>
          <w:p w14:paraId="0000034D" w14:textId="77777777" w:rsidR="001C40B0" w:rsidRDefault="00291712">
            <w:pPr>
              <w:pBdr>
                <w:top w:val="nil"/>
                <w:left w:val="nil"/>
                <w:bottom w:val="nil"/>
                <w:right w:val="nil"/>
                <w:between w:val="nil"/>
              </w:pBdr>
              <w:spacing w:before="1"/>
              <w:ind w:left="25"/>
              <w:jc w:val="center"/>
              <w:rPr>
                <w:rFonts w:ascii="Arial" w:eastAsia="Arial" w:hAnsi="Arial" w:cs="Arial"/>
                <w:b/>
                <w:bCs/>
                <w:color w:val="000000"/>
              </w:rPr>
            </w:pPr>
            <w:r>
              <w:rPr>
                <w:rFonts w:ascii="Arial" w:eastAsia="Arial" w:hAnsi="Arial" w:cs="Arial"/>
                <w:b/>
                <w:bCs/>
                <w:color w:val="000000"/>
              </w:rPr>
              <w:t>143</w:t>
            </w:r>
          </w:p>
        </w:tc>
        <w:tc>
          <w:tcPr>
            <w:tcW w:w="585" w:type="dxa"/>
          </w:tcPr>
          <w:p w14:paraId="0000034E" w14:textId="77777777" w:rsidR="001C40B0" w:rsidRDefault="00291712">
            <w:pPr>
              <w:pBdr>
                <w:top w:val="nil"/>
                <w:left w:val="nil"/>
                <w:bottom w:val="nil"/>
                <w:right w:val="nil"/>
                <w:between w:val="nil"/>
              </w:pBdr>
              <w:spacing w:before="1"/>
              <w:ind w:left="19"/>
              <w:jc w:val="center"/>
              <w:rPr>
                <w:rFonts w:ascii="Arial" w:eastAsia="Arial" w:hAnsi="Arial" w:cs="Arial"/>
                <w:b/>
                <w:bCs/>
                <w:color w:val="000000"/>
              </w:rPr>
            </w:pPr>
            <w:r>
              <w:rPr>
                <w:rFonts w:ascii="Arial" w:eastAsia="Arial" w:hAnsi="Arial" w:cs="Arial"/>
                <w:b/>
                <w:bCs/>
                <w:color w:val="000000"/>
              </w:rPr>
              <w:t>48</w:t>
            </w:r>
          </w:p>
        </w:tc>
        <w:tc>
          <w:tcPr>
            <w:tcW w:w="600" w:type="dxa"/>
          </w:tcPr>
          <w:p w14:paraId="0000034F" w14:textId="77777777" w:rsidR="001C40B0" w:rsidRDefault="00291712">
            <w:pPr>
              <w:pBdr>
                <w:top w:val="nil"/>
                <w:left w:val="nil"/>
                <w:bottom w:val="nil"/>
                <w:right w:val="nil"/>
                <w:between w:val="nil"/>
              </w:pBdr>
              <w:spacing w:before="1"/>
              <w:ind w:left="17"/>
              <w:jc w:val="center"/>
              <w:rPr>
                <w:rFonts w:ascii="Arial" w:eastAsia="Arial" w:hAnsi="Arial" w:cs="Arial"/>
                <w:b/>
                <w:bCs/>
                <w:color w:val="000000"/>
              </w:rPr>
            </w:pPr>
            <w:r>
              <w:rPr>
                <w:rFonts w:ascii="Arial" w:eastAsia="Arial" w:hAnsi="Arial" w:cs="Arial"/>
                <w:b/>
                <w:bCs/>
                <w:color w:val="000000"/>
              </w:rPr>
              <w:t>49</w:t>
            </w:r>
          </w:p>
        </w:tc>
        <w:tc>
          <w:tcPr>
            <w:tcW w:w="645" w:type="dxa"/>
          </w:tcPr>
          <w:p w14:paraId="00000350" w14:textId="77777777" w:rsidR="001C40B0" w:rsidRDefault="00291712">
            <w:pPr>
              <w:pBdr>
                <w:top w:val="nil"/>
                <w:left w:val="nil"/>
                <w:bottom w:val="nil"/>
                <w:right w:val="nil"/>
                <w:between w:val="nil"/>
              </w:pBdr>
              <w:spacing w:before="1"/>
              <w:ind w:left="17" w:right="1"/>
              <w:jc w:val="center"/>
              <w:rPr>
                <w:rFonts w:ascii="Arial" w:eastAsia="Arial" w:hAnsi="Arial" w:cs="Arial"/>
                <w:b/>
                <w:bCs/>
                <w:color w:val="000000"/>
              </w:rPr>
            </w:pPr>
            <w:r>
              <w:rPr>
                <w:rFonts w:ascii="Arial" w:eastAsia="Arial" w:hAnsi="Arial" w:cs="Arial"/>
                <w:b/>
                <w:bCs/>
                <w:color w:val="000000"/>
              </w:rPr>
              <w:t>1</w:t>
            </w:r>
          </w:p>
        </w:tc>
        <w:tc>
          <w:tcPr>
            <w:tcW w:w="615" w:type="dxa"/>
          </w:tcPr>
          <w:p w14:paraId="00000351" w14:textId="77777777" w:rsidR="001C40B0" w:rsidRDefault="00291712">
            <w:pPr>
              <w:pBdr>
                <w:top w:val="nil"/>
                <w:left w:val="nil"/>
                <w:bottom w:val="nil"/>
                <w:right w:val="nil"/>
                <w:between w:val="nil"/>
              </w:pBdr>
              <w:spacing w:before="1"/>
              <w:ind w:left="20" w:right="1"/>
              <w:jc w:val="center"/>
              <w:rPr>
                <w:rFonts w:ascii="Arial" w:eastAsia="Arial" w:hAnsi="Arial" w:cs="Arial"/>
                <w:b/>
                <w:bCs/>
                <w:color w:val="000000"/>
              </w:rPr>
            </w:pPr>
            <w:r>
              <w:rPr>
                <w:rFonts w:ascii="Arial" w:eastAsia="Arial" w:hAnsi="Arial" w:cs="Arial"/>
                <w:b/>
                <w:bCs/>
                <w:color w:val="000000"/>
              </w:rPr>
              <w:t>1</w:t>
            </w:r>
          </w:p>
        </w:tc>
        <w:tc>
          <w:tcPr>
            <w:tcW w:w="900" w:type="dxa"/>
          </w:tcPr>
          <w:p w14:paraId="00000352" w14:textId="77777777" w:rsidR="001C40B0" w:rsidRDefault="00291712">
            <w:pPr>
              <w:pBdr>
                <w:top w:val="nil"/>
                <w:left w:val="nil"/>
                <w:bottom w:val="nil"/>
                <w:right w:val="nil"/>
                <w:between w:val="nil"/>
              </w:pBdr>
              <w:spacing w:before="1"/>
              <w:ind w:left="20" w:right="1"/>
              <w:jc w:val="center"/>
              <w:rPr>
                <w:rFonts w:ascii="Arial" w:eastAsia="Arial" w:hAnsi="Arial" w:cs="Arial"/>
                <w:b/>
                <w:bCs/>
                <w:color w:val="000000"/>
              </w:rPr>
            </w:pPr>
            <w:r>
              <w:rPr>
                <w:rFonts w:ascii="Arial" w:eastAsia="Arial" w:hAnsi="Arial" w:cs="Arial"/>
                <w:b/>
                <w:bCs/>
                <w:color w:val="000000"/>
              </w:rPr>
              <w:t>2</w:t>
            </w:r>
          </w:p>
        </w:tc>
        <w:tc>
          <w:tcPr>
            <w:tcW w:w="840" w:type="dxa"/>
          </w:tcPr>
          <w:p w14:paraId="00000353" w14:textId="77777777" w:rsidR="001C40B0" w:rsidRDefault="00291712">
            <w:pPr>
              <w:pBdr>
                <w:top w:val="nil"/>
                <w:left w:val="nil"/>
                <w:bottom w:val="nil"/>
                <w:right w:val="nil"/>
                <w:between w:val="nil"/>
              </w:pBdr>
              <w:spacing w:before="1"/>
              <w:ind w:left="25"/>
              <w:jc w:val="center"/>
              <w:rPr>
                <w:rFonts w:ascii="Arial" w:eastAsia="Arial" w:hAnsi="Arial" w:cs="Arial"/>
                <w:b/>
                <w:bCs/>
                <w:color w:val="000000"/>
              </w:rPr>
            </w:pPr>
            <w:r>
              <w:rPr>
                <w:rFonts w:ascii="Arial" w:eastAsia="Arial" w:hAnsi="Arial" w:cs="Arial"/>
                <w:b/>
                <w:bCs/>
                <w:color w:val="000000"/>
              </w:rPr>
              <w:t>10</w:t>
            </w:r>
          </w:p>
        </w:tc>
        <w:tc>
          <w:tcPr>
            <w:tcW w:w="945" w:type="dxa"/>
          </w:tcPr>
          <w:p w14:paraId="00000354" w14:textId="77777777" w:rsidR="001C40B0" w:rsidRDefault="00291712">
            <w:pPr>
              <w:pBdr>
                <w:top w:val="nil"/>
                <w:left w:val="nil"/>
                <w:bottom w:val="nil"/>
                <w:right w:val="nil"/>
                <w:between w:val="nil"/>
              </w:pBdr>
              <w:spacing w:before="1"/>
              <w:ind w:left="21"/>
              <w:jc w:val="center"/>
              <w:rPr>
                <w:rFonts w:ascii="Arial" w:eastAsia="Arial" w:hAnsi="Arial" w:cs="Arial"/>
                <w:b/>
                <w:bCs/>
                <w:color w:val="000000"/>
              </w:rPr>
            </w:pPr>
            <w:r>
              <w:rPr>
                <w:rFonts w:ascii="Arial" w:eastAsia="Arial" w:hAnsi="Arial" w:cs="Arial"/>
                <w:b/>
                <w:bCs/>
                <w:color w:val="000000"/>
              </w:rPr>
              <w:t>12</w:t>
            </w:r>
          </w:p>
        </w:tc>
        <w:tc>
          <w:tcPr>
            <w:tcW w:w="795" w:type="dxa"/>
          </w:tcPr>
          <w:p w14:paraId="00000355" w14:textId="77777777" w:rsidR="001C40B0" w:rsidRDefault="00291712">
            <w:pPr>
              <w:pBdr>
                <w:top w:val="nil"/>
                <w:left w:val="nil"/>
                <w:bottom w:val="nil"/>
                <w:right w:val="nil"/>
                <w:between w:val="nil"/>
              </w:pBdr>
              <w:spacing w:before="1"/>
              <w:ind w:left="17" w:right="1"/>
              <w:jc w:val="center"/>
              <w:rPr>
                <w:rFonts w:ascii="Arial" w:eastAsia="Arial" w:hAnsi="Arial" w:cs="Arial"/>
                <w:b/>
                <w:bCs/>
                <w:color w:val="000000"/>
              </w:rPr>
            </w:pPr>
            <w:r>
              <w:rPr>
                <w:rFonts w:ascii="Arial" w:eastAsia="Arial" w:hAnsi="Arial" w:cs="Arial"/>
                <w:b/>
                <w:bCs/>
                <w:color w:val="000000"/>
              </w:rPr>
              <w:t>1</w:t>
            </w:r>
          </w:p>
        </w:tc>
        <w:tc>
          <w:tcPr>
            <w:tcW w:w="615" w:type="dxa"/>
          </w:tcPr>
          <w:p w14:paraId="00000356" w14:textId="77777777" w:rsidR="001C40B0" w:rsidRDefault="00291712">
            <w:pPr>
              <w:pBdr>
                <w:top w:val="nil"/>
                <w:left w:val="nil"/>
                <w:bottom w:val="nil"/>
                <w:right w:val="nil"/>
                <w:between w:val="nil"/>
              </w:pBdr>
              <w:spacing w:before="1"/>
              <w:ind w:left="16"/>
              <w:jc w:val="center"/>
              <w:rPr>
                <w:rFonts w:ascii="Arial" w:eastAsia="Arial" w:hAnsi="Arial" w:cs="Arial"/>
                <w:b/>
                <w:bCs/>
                <w:color w:val="000000"/>
              </w:rPr>
            </w:pPr>
            <w:r>
              <w:rPr>
                <w:rFonts w:ascii="Arial" w:eastAsia="Arial" w:hAnsi="Arial" w:cs="Arial"/>
                <w:b/>
                <w:bCs/>
                <w:color w:val="000000"/>
              </w:rPr>
              <w:t>3,106</w:t>
            </w:r>
          </w:p>
        </w:tc>
      </w:tr>
      <w:tr w:rsidR="001C40B0" w14:paraId="25734020" w14:textId="77777777">
        <w:trPr>
          <w:trHeight w:val="296"/>
        </w:trPr>
        <w:tc>
          <w:tcPr>
            <w:tcW w:w="1035" w:type="dxa"/>
          </w:tcPr>
          <w:p w14:paraId="00000357" w14:textId="77777777" w:rsidR="001C40B0" w:rsidRDefault="00291712">
            <w:pPr>
              <w:pBdr>
                <w:top w:val="nil"/>
                <w:left w:val="nil"/>
                <w:bottom w:val="nil"/>
                <w:right w:val="nil"/>
                <w:between w:val="nil"/>
              </w:pBdr>
              <w:spacing w:before="1"/>
              <w:ind w:left="22" w:right="1"/>
              <w:jc w:val="center"/>
              <w:rPr>
                <w:rFonts w:ascii="Arial" w:eastAsia="Arial" w:hAnsi="Arial" w:cs="Arial"/>
                <w:b/>
                <w:bCs/>
                <w:color w:val="000000"/>
              </w:rPr>
            </w:pPr>
            <w:r>
              <w:rPr>
                <w:rFonts w:ascii="Arial" w:eastAsia="Arial" w:hAnsi="Arial" w:cs="Arial"/>
                <w:b/>
                <w:bCs/>
                <w:color w:val="000000"/>
              </w:rPr>
              <w:t>2022</w:t>
            </w:r>
          </w:p>
        </w:tc>
        <w:tc>
          <w:tcPr>
            <w:tcW w:w="660" w:type="dxa"/>
          </w:tcPr>
          <w:p w14:paraId="00000358" w14:textId="77777777" w:rsidR="001C40B0" w:rsidRDefault="00291712">
            <w:pPr>
              <w:pBdr>
                <w:top w:val="nil"/>
                <w:left w:val="nil"/>
                <w:bottom w:val="nil"/>
                <w:right w:val="nil"/>
                <w:between w:val="nil"/>
              </w:pBdr>
              <w:spacing w:before="1"/>
              <w:ind w:left="22" w:right="1"/>
              <w:jc w:val="center"/>
              <w:rPr>
                <w:rFonts w:ascii="Arial" w:eastAsia="Arial" w:hAnsi="Arial" w:cs="Arial"/>
                <w:b/>
                <w:bCs/>
                <w:color w:val="000000"/>
              </w:rPr>
            </w:pPr>
            <w:r>
              <w:rPr>
                <w:rFonts w:ascii="Arial" w:eastAsia="Arial" w:hAnsi="Arial" w:cs="Arial"/>
                <w:b/>
                <w:bCs/>
                <w:color w:val="000000"/>
              </w:rPr>
              <w:t>3,328</w:t>
            </w:r>
          </w:p>
        </w:tc>
        <w:tc>
          <w:tcPr>
            <w:tcW w:w="585" w:type="dxa"/>
          </w:tcPr>
          <w:p w14:paraId="00000359" w14:textId="77777777" w:rsidR="001C40B0" w:rsidRDefault="00291712">
            <w:pPr>
              <w:pBdr>
                <w:top w:val="nil"/>
                <w:left w:val="nil"/>
                <w:bottom w:val="nil"/>
                <w:right w:val="nil"/>
                <w:between w:val="nil"/>
              </w:pBdr>
              <w:spacing w:before="1"/>
              <w:ind w:left="25"/>
              <w:jc w:val="center"/>
              <w:rPr>
                <w:rFonts w:ascii="Arial" w:eastAsia="Arial" w:hAnsi="Arial" w:cs="Arial"/>
                <w:b/>
                <w:bCs/>
                <w:color w:val="000000"/>
              </w:rPr>
            </w:pPr>
            <w:r>
              <w:rPr>
                <w:rFonts w:ascii="Arial" w:eastAsia="Arial" w:hAnsi="Arial" w:cs="Arial"/>
                <w:b/>
                <w:bCs/>
                <w:color w:val="000000"/>
              </w:rPr>
              <w:t>177</w:t>
            </w:r>
          </w:p>
        </w:tc>
        <w:tc>
          <w:tcPr>
            <w:tcW w:w="585" w:type="dxa"/>
          </w:tcPr>
          <w:p w14:paraId="0000035A" w14:textId="77777777" w:rsidR="001C40B0" w:rsidRDefault="00291712">
            <w:pPr>
              <w:pBdr>
                <w:top w:val="nil"/>
                <w:left w:val="nil"/>
                <w:bottom w:val="nil"/>
                <w:right w:val="nil"/>
                <w:between w:val="nil"/>
              </w:pBdr>
              <w:spacing w:before="1"/>
              <w:ind w:left="19"/>
              <w:jc w:val="center"/>
              <w:rPr>
                <w:rFonts w:ascii="Arial" w:eastAsia="Arial" w:hAnsi="Arial" w:cs="Arial"/>
                <w:b/>
                <w:bCs/>
                <w:color w:val="000000"/>
              </w:rPr>
            </w:pPr>
            <w:r>
              <w:rPr>
                <w:rFonts w:ascii="Arial" w:eastAsia="Arial" w:hAnsi="Arial" w:cs="Arial"/>
                <w:b/>
                <w:bCs/>
                <w:color w:val="000000"/>
              </w:rPr>
              <w:t>55</w:t>
            </w:r>
          </w:p>
        </w:tc>
        <w:tc>
          <w:tcPr>
            <w:tcW w:w="600" w:type="dxa"/>
          </w:tcPr>
          <w:p w14:paraId="0000035B" w14:textId="77777777" w:rsidR="001C40B0" w:rsidRDefault="00291712">
            <w:pPr>
              <w:pBdr>
                <w:top w:val="nil"/>
                <w:left w:val="nil"/>
                <w:bottom w:val="nil"/>
                <w:right w:val="nil"/>
                <w:between w:val="nil"/>
              </w:pBdr>
              <w:spacing w:before="1"/>
              <w:ind w:left="17"/>
              <w:jc w:val="center"/>
              <w:rPr>
                <w:rFonts w:ascii="Arial" w:eastAsia="Arial" w:hAnsi="Arial" w:cs="Arial"/>
                <w:b/>
                <w:bCs/>
                <w:color w:val="000000"/>
              </w:rPr>
            </w:pPr>
            <w:r>
              <w:rPr>
                <w:rFonts w:ascii="Arial" w:eastAsia="Arial" w:hAnsi="Arial" w:cs="Arial"/>
                <w:b/>
                <w:bCs/>
                <w:color w:val="000000"/>
              </w:rPr>
              <w:t>48</w:t>
            </w:r>
          </w:p>
        </w:tc>
        <w:tc>
          <w:tcPr>
            <w:tcW w:w="645" w:type="dxa"/>
          </w:tcPr>
          <w:p w14:paraId="0000035C" w14:textId="77777777" w:rsidR="001C40B0" w:rsidRDefault="00291712">
            <w:pPr>
              <w:pBdr>
                <w:top w:val="nil"/>
                <w:left w:val="nil"/>
                <w:bottom w:val="nil"/>
                <w:right w:val="nil"/>
                <w:between w:val="nil"/>
              </w:pBdr>
              <w:spacing w:before="1"/>
              <w:ind w:left="17" w:right="1"/>
              <w:jc w:val="center"/>
              <w:rPr>
                <w:rFonts w:ascii="Arial" w:eastAsia="Arial" w:hAnsi="Arial" w:cs="Arial"/>
                <w:b/>
                <w:bCs/>
                <w:color w:val="000000"/>
              </w:rPr>
            </w:pPr>
            <w:r>
              <w:rPr>
                <w:rFonts w:ascii="Arial" w:eastAsia="Arial" w:hAnsi="Arial" w:cs="Arial"/>
                <w:b/>
                <w:bCs/>
                <w:color w:val="000000"/>
              </w:rPr>
              <w:t>1</w:t>
            </w:r>
          </w:p>
        </w:tc>
        <w:tc>
          <w:tcPr>
            <w:tcW w:w="615" w:type="dxa"/>
          </w:tcPr>
          <w:p w14:paraId="0000035D" w14:textId="77777777" w:rsidR="001C40B0" w:rsidRDefault="00291712">
            <w:pPr>
              <w:pBdr>
                <w:top w:val="nil"/>
                <w:left w:val="nil"/>
                <w:bottom w:val="nil"/>
                <w:right w:val="nil"/>
                <w:between w:val="nil"/>
              </w:pBdr>
              <w:spacing w:before="1"/>
              <w:ind w:left="20" w:right="1"/>
              <w:jc w:val="center"/>
              <w:rPr>
                <w:rFonts w:ascii="Arial" w:eastAsia="Arial" w:hAnsi="Arial" w:cs="Arial"/>
                <w:b/>
                <w:bCs/>
                <w:color w:val="000000"/>
              </w:rPr>
            </w:pPr>
            <w:r>
              <w:rPr>
                <w:rFonts w:ascii="Arial" w:eastAsia="Arial" w:hAnsi="Arial" w:cs="Arial"/>
                <w:b/>
                <w:bCs/>
                <w:color w:val="000000"/>
              </w:rPr>
              <w:t>1</w:t>
            </w:r>
          </w:p>
        </w:tc>
        <w:tc>
          <w:tcPr>
            <w:tcW w:w="900" w:type="dxa"/>
          </w:tcPr>
          <w:p w14:paraId="0000035E" w14:textId="77777777" w:rsidR="001C40B0" w:rsidRDefault="00291712">
            <w:pPr>
              <w:pBdr>
                <w:top w:val="nil"/>
                <w:left w:val="nil"/>
                <w:bottom w:val="nil"/>
                <w:right w:val="nil"/>
                <w:between w:val="nil"/>
              </w:pBdr>
              <w:spacing w:before="1"/>
              <w:ind w:left="20" w:right="1"/>
              <w:jc w:val="center"/>
              <w:rPr>
                <w:rFonts w:ascii="Arial" w:eastAsia="Arial" w:hAnsi="Arial" w:cs="Arial"/>
                <w:b/>
                <w:bCs/>
                <w:color w:val="000000"/>
              </w:rPr>
            </w:pPr>
            <w:r>
              <w:rPr>
                <w:rFonts w:ascii="Arial" w:eastAsia="Arial" w:hAnsi="Arial" w:cs="Arial"/>
                <w:b/>
                <w:bCs/>
                <w:color w:val="000000"/>
              </w:rPr>
              <w:t>3</w:t>
            </w:r>
          </w:p>
        </w:tc>
        <w:tc>
          <w:tcPr>
            <w:tcW w:w="840" w:type="dxa"/>
          </w:tcPr>
          <w:p w14:paraId="0000035F" w14:textId="77777777" w:rsidR="001C40B0" w:rsidRDefault="00291712">
            <w:pPr>
              <w:pBdr>
                <w:top w:val="nil"/>
                <w:left w:val="nil"/>
                <w:bottom w:val="nil"/>
                <w:right w:val="nil"/>
                <w:between w:val="nil"/>
              </w:pBdr>
              <w:spacing w:before="1"/>
              <w:ind w:left="25"/>
              <w:jc w:val="center"/>
              <w:rPr>
                <w:rFonts w:ascii="Arial" w:eastAsia="Arial" w:hAnsi="Arial" w:cs="Arial"/>
                <w:b/>
                <w:bCs/>
                <w:color w:val="000000"/>
              </w:rPr>
            </w:pPr>
            <w:r>
              <w:rPr>
                <w:rFonts w:ascii="Arial" w:eastAsia="Arial" w:hAnsi="Arial" w:cs="Arial"/>
                <w:b/>
                <w:bCs/>
                <w:color w:val="000000"/>
              </w:rPr>
              <w:t>15</w:t>
            </w:r>
          </w:p>
        </w:tc>
        <w:tc>
          <w:tcPr>
            <w:tcW w:w="945" w:type="dxa"/>
          </w:tcPr>
          <w:p w14:paraId="00000360" w14:textId="77777777" w:rsidR="001C40B0" w:rsidRDefault="00291712">
            <w:pPr>
              <w:pBdr>
                <w:top w:val="nil"/>
                <w:left w:val="nil"/>
                <w:bottom w:val="nil"/>
                <w:right w:val="nil"/>
                <w:between w:val="nil"/>
              </w:pBdr>
              <w:spacing w:before="1"/>
              <w:ind w:left="21"/>
              <w:jc w:val="center"/>
              <w:rPr>
                <w:rFonts w:ascii="Arial" w:eastAsia="Arial" w:hAnsi="Arial" w:cs="Arial"/>
                <w:b/>
                <w:bCs/>
                <w:color w:val="000000"/>
              </w:rPr>
            </w:pPr>
            <w:r>
              <w:rPr>
                <w:rFonts w:ascii="Arial" w:eastAsia="Arial" w:hAnsi="Arial" w:cs="Arial"/>
                <w:b/>
                <w:bCs/>
                <w:color w:val="000000"/>
              </w:rPr>
              <w:t>35</w:t>
            </w:r>
          </w:p>
        </w:tc>
        <w:tc>
          <w:tcPr>
            <w:tcW w:w="795" w:type="dxa"/>
          </w:tcPr>
          <w:p w14:paraId="00000361" w14:textId="77777777" w:rsidR="001C40B0" w:rsidRDefault="00291712">
            <w:pPr>
              <w:pBdr>
                <w:top w:val="nil"/>
                <w:left w:val="nil"/>
                <w:bottom w:val="nil"/>
                <w:right w:val="nil"/>
                <w:between w:val="nil"/>
              </w:pBdr>
              <w:spacing w:before="1"/>
              <w:ind w:left="17" w:right="1"/>
              <w:jc w:val="center"/>
              <w:rPr>
                <w:rFonts w:ascii="Arial" w:eastAsia="Arial" w:hAnsi="Arial" w:cs="Arial"/>
                <w:b/>
                <w:bCs/>
                <w:color w:val="000000"/>
              </w:rPr>
            </w:pPr>
            <w:r>
              <w:rPr>
                <w:rFonts w:ascii="Arial" w:eastAsia="Arial" w:hAnsi="Arial" w:cs="Arial"/>
                <w:b/>
                <w:bCs/>
                <w:color w:val="000000"/>
              </w:rPr>
              <w:t>0</w:t>
            </w:r>
          </w:p>
        </w:tc>
        <w:tc>
          <w:tcPr>
            <w:tcW w:w="615" w:type="dxa"/>
          </w:tcPr>
          <w:p w14:paraId="00000362" w14:textId="77777777" w:rsidR="001C40B0" w:rsidRDefault="00291712">
            <w:pPr>
              <w:pBdr>
                <w:top w:val="nil"/>
                <w:left w:val="nil"/>
                <w:bottom w:val="nil"/>
                <w:right w:val="nil"/>
                <w:between w:val="nil"/>
              </w:pBdr>
              <w:spacing w:before="1"/>
              <w:ind w:left="16"/>
              <w:jc w:val="center"/>
              <w:rPr>
                <w:rFonts w:ascii="Arial" w:eastAsia="Arial" w:hAnsi="Arial" w:cs="Arial"/>
                <w:b/>
                <w:bCs/>
                <w:color w:val="000000"/>
              </w:rPr>
            </w:pPr>
            <w:r>
              <w:rPr>
                <w:rFonts w:ascii="Arial" w:eastAsia="Arial" w:hAnsi="Arial" w:cs="Arial"/>
                <w:b/>
                <w:bCs/>
                <w:color w:val="000000"/>
              </w:rPr>
              <w:t>3,663</w:t>
            </w:r>
          </w:p>
        </w:tc>
      </w:tr>
      <w:tr w:rsidR="001C40B0" w14:paraId="516FD2E2" w14:textId="77777777">
        <w:trPr>
          <w:trHeight w:val="301"/>
        </w:trPr>
        <w:tc>
          <w:tcPr>
            <w:tcW w:w="1035" w:type="dxa"/>
          </w:tcPr>
          <w:p w14:paraId="00000363" w14:textId="77777777" w:rsidR="001C40B0" w:rsidRDefault="00291712">
            <w:pPr>
              <w:pBdr>
                <w:top w:val="nil"/>
                <w:left w:val="nil"/>
                <w:bottom w:val="nil"/>
                <w:right w:val="nil"/>
                <w:between w:val="nil"/>
              </w:pBdr>
              <w:spacing w:before="1"/>
              <w:ind w:left="22" w:right="1"/>
              <w:jc w:val="center"/>
              <w:rPr>
                <w:rFonts w:ascii="Arial" w:eastAsia="Arial" w:hAnsi="Arial" w:cs="Arial"/>
                <w:b/>
                <w:bCs/>
                <w:color w:val="000000"/>
              </w:rPr>
            </w:pPr>
            <w:r>
              <w:rPr>
                <w:rFonts w:ascii="Arial" w:eastAsia="Arial" w:hAnsi="Arial" w:cs="Arial"/>
                <w:b/>
                <w:bCs/>
                <w:color w:val="000000"/>
              </w:rPr>
              <w:t>2023</w:t>
            </w:r>
          </w:p>
        </w:tc>
        <w:tc>
          <w:tcPr>
            <w:tcW w:w="660" w:type="dxa"/>
          </w:tcPr>
          <w:p w14:paraId="00000364" w14:textId="77777777" w:rsidR="001C40B0" w:rsidRDefault="00291712">
            <w:pPr>
              <w:pBdr>
                <w:top w:val="nil"/>
                <w:left w:val="nil"/>
                <w:bottom w:val="nil"/>
                <w:right w:val="nil"/>
                <w:between w:val="nil"/>
              </w:pBdr>
              <w:spacing w:before="1"/>
              <w:ind w:left="22" w:right="1"/>
              <w:jc w:val="center"/>
              <w:rPr>
                <w:rFonts w:ascii="Arial" w:eastAsia="Arial" w:hAnsi="Arial" w:cs="Arial"/>
                <w:b/>
                <w:bCs/>
                <w:color w:val="000000"/>
              </w:rPr>
            </w:pPr>
            <w:r>
              <w:rPr>
                <w:rFonts w:ascii="Arial" w:eastAsia="Arial" w:hAnsi="Arial" w:cs="Arial"/>
                <w:b/>
                <w:bCs/>
                <w:color w:val="000000"/>
              </w:rPr>
              <w:t>3,696</w:t>
            </w:r>
          </w:p>
        </w:tc>
        <w:tc>
          <w:tcPr>
            <w:tcW w:w="585" w:type="dxa"/>
          </w:tcPr>
          <w:p w14:paraId="00000365" w14:textId="77777777" w:rsidR="001C40B0" w:rsidRDefault="00291712">
            <w:pPr>
              <w:pBdr>
                <w:top w:val="nil"/>
                <w:left w:val="nil"/>
                <w:bottom w:val="nil"/>
                <w:right w:val="nil"/>
                <w:between w:val="nil"/>
              </w:pBdr>
              <w:spacing w:before="1"/>
              <w:ind w:left="25"/>
              <w:jc w:val="center"/>
              <w:rPr>
                <w:rFonts w:ascii="Arial" w:eastAsia="Arial" w:hAnsi="Arial" w:cs="Arial"/>
                <w:b/>
                <w:bCs/>
                <w:color w:val="000000"/>
              </w:rPr>
            </w:pPr>
            <w:r>
              <w:rPr>
                <w:rFonts w:ascii="Arial" w:eastAsia="Arial" w:hAnsi="Arial" w:cs="Arial"/>
                <w:b/>
                <w:bCs/>
                <w:color w:val="000000"/>
              </w:rPr>
              <w:t>176</w:t>
            </w:r>
          </w:p>
        </w:tc>
        <w:tc>
          <w:tcPr>
            <w:tcW w:w="585" w:type="dxa"/>
          </w:tcPr>
          <w:p w14:paraId="00000366" w14:textId="77777777" w:rsidR="001C40B0" w:rsidRDefault="00291712">
            <w:pPr>
              <w:pBdr>
                <w:top w:val="nil"/>
                <w:left w:val="nil"/>
                <w:bottom w:val="nil"/>
                <w:right w:val="nil"/>
                <w:between w:val="nil"/>
              </w:pBdr>
              <w:spacing w:before="1"/>
              <w:ind w:left="19"/>
              <w:jc w:val="center"/>
              <w:rPr>
                <w:rFonts w:ascii="Arial" w:eastAsia="Arial" w:hAnsi="Arial" w:cs="Arial"/>
                <w:b/>
                <w:bCs/>
                <w:color w:val="000000"/>
              </w:rPr>
            </w:pPr>
            <w:r>
              <w:rPr>
                <w:rFonts w:ascii="Arial" w:eastAsia="Arial" w:hAnsi="Arial" w:cs="Arial"/>
                <w:b/>
                <w:bCs/>
                <w:color w:val="000000"/>
              </w:rPr>
              <w:t>60</w:t>
            </w:r>
          </w:p>
        </w:tc>
        <w:tc>
          <w:tcPr>
            <w:tcW w:w="600" w:type="dxa"/>
          </w:tcPr>
          <w:p w14:paraId="00000367" w14:textId="77777777" w:rsidR="001C40B0" w:rsidRDefault="00291712">
            <w:pPr>
              <w:pBdr>
                <w:top w:val="nil"/>
                <w:left w:val="nil"/>
                <w:bottom w:val="nil"/>
                <w:right w:val="nil"/>
                <w:between w:val="nil"/>
              </w:pBdr>
              <w:spacing w:before="1"/>
              <w:ind w:left="17"/>
              <w:jc w:val="center"/>
              <w:rPr>
                <w:rFonts w:ascii="Arial" w:eastAsia="Arial" w:hAnsi="Arial" w:cs="Arial"/>
                <w:b/>
                <w:bCs/>
                <w:color w:val="000000"/>
              </w:rPr>
            </w:pPr>
            <w:r>
              <w:rPr>
                <w:rFonts w:ascii="Arial" w:eastAsia="Arial" w:hAnsi="Arial" w:cs="Arial"/>
                <w:b/>
                <w:bCs/>
                <w:color w:val="000000"/>
              </w:rPr>
              <w:t>15</w:t>
            </w:r>
          </w:p>
        </w:tc>
        <w:tc>
          <w:tcPr>
            <w:tcW w:w="645" w:type="dxa"/>
          </w:tcPr>
          <w:p w14:paraId="00000368" w14:textId="77777777" w:rsidR="001C40B0" w:rsidRDefault="00291712">
            <w:pPr>
              <w:pBdr>
                <w:top w:val="nil"/>
                <w:left w:val="nil"/>
                <w:bottom w:val="nil"/>
                <w:right w:val="nil"/>
                <w:between w:val="nil"/>
              </w:pBdr>
              <w:spacing w:before="1"/>
              <w:ind w:left="17" w:right="1"/>
              <w:jc w:val="center"/>
              <w:rPr>
                <w:rFonts w:ascii="Arial" w:eastAsia="Arial" w:hAnsi="Arial" w:cs="Arial"/>
                <w:b/>
                <w:bCs/>
                <w:color w:val="000000"/>
              </w:rPr>
            </w:pPr>
            <w:r>
              <w:rPr>
                <w:rFonts w:ascii="Arial" w:eastAsia="Arial" w:hAnsi="Arial" w:cs="Arial"/>
                <w:b/>
                <w:bCs/>
                <w:color w:val="000000"/>
              </w:rPr>
              <w:t>1</w:t>
            </w:r>
          </w:p>
        </w:tc>
        <w:tc>
          <w:tcPr>
            <w:tcW w:w="615" w:type="dxa"/>
          </w:tcPr>
          <w:p w14:paraId="00000369" w14:textId="77777777" w:rsidR="001C40B0" w:rsidRDefault="00291712">
            <w:pPr>
              <w:pBdr>
                <w:top w:val="nil"/>
                <w:left w:val="nil"/>
                <w:bottom w:val="nil"/>
                <w:right w:val="nil"/>
                <w:between w:val="nil"/>
              </w:pBdr>
              <w:spacing w:before="1"/>
              <w:ind w:left="20" w:right="1"/>
              <w:jc w:val="center"/>
              <w:rPr>
                <w:rFonts w:ascii="Arial" w:eastAsia="Arial" w:hAnsi="Arial" w:cs="Arial"/>
                <w:b/>
                <w:bCs/>
                <w:color w:val="000000"/>
              </w:rPr>
            </w:pPr>
            <w:r>
              <w:rPr>
                <w:rFonts w:ascii="Arial" w:eastAsia="Arial" w:hAnsi="Arial" w:cs="Arial"/>
                <w:b/>
                <w:bCs/>
                <w:color w:val="000000"/>
              </w:rPr>
              <w:t>2</w:t>
            </w:r>
          </w:p>
        </w:tc>
        <w:tc>
          <w:tcPr>
            <w:tcW w:w="900" w:type="dxa"/>
          </w:tcPr>
          <w:p w14:paraId="0000036A" w14:textId="77777777" w:rsidR="001C40B0" w:rsidRDefault="00291712">
            <w:pPr>
              <w:pBdr>
                <w:top w:val="nil"/>
                <w:left w:val="nil"/>
                <w:bottom w:val="nil"/>
                <w:right w:val="nil"/>
                <w:between w:val="nil"/>
              </w:pBdr>
              <w:spacing w:before="1"/>
              <w:ind w:left="20" w:right="1"/>
              <w:jc w:val="center"/>
              <w:rPr>
                <w:rFonts w:ascii="Arial" w:eastAsia="Arial" w:hAnsi="Arial" w:cs="Arial"/>
                <w:b/>
                <w:bCs/>
                <w:color w:val="000000"/>
              </w:rPr>
            </w:pPr>
            <w:r>
              <w:rPr>
                <w:rFonts w:ascii="Arial" w:eastAsia="Arial" w:hAnsi="Arial" w:cs="Arial"/>
                <w:b/>
                <w:bCs/>
                <w:color w:val="000000"/>
              </w:rPr>
              <w:t>2</w:t>
            </w:r>
          </w:p>
        </w:tc>
        <w:tc>
          <w:tcPr>
            <w:tcW w:w="840" w:type="dxa"/>
          </w:tcPr>
          <w:p w14:paraId="0000036B" w14:textId="77777777" w:rsidR="001C40B0" w:rsidRDefault="00291712">
            <w:pPr>
              <w:pBdr>
                <w:top w:val="nil"/>
                <w:left w:val="nil"/>
                <w:bottom w:val="nil"/>
                <w:right w:val="nil"/>
                <w:between w:val="nil"/>
              </w:pBdr>
              <w:spacing w:before="1"/>
              <w:ind w:left="25" w:right="1"/>
              <w:jc w:val="center"/>
              <w:rPr>
                <w:rFonts w:ascii="Arial" w:eastAsia="Arial" w:hAnsi="Arial" w:cs="Arial"/>
                <w:b/>
                <w:bCs/>
                <w:color w:val="000000"/>
              </w:rPr>
            </w:pPr>
            <w:r>
              <w:rPr>
                <w:rFonts w:ascii="Arial" w:eastAsia="Arial" w:hAnsi="Arial" w:cs="Arial"/>
                <w:b/>
                <w:bCs/>
                <w:color w:val="000000"/>
              </w:rPr>
              <w:t>7</w:t>
            </w:r>
          </w:p>
        </w:tc>
        <w:tc>
          <w:tcPr>
            <w:tcW w:w="945" w:type="dxa"/>
          </w:tcPr>
          <w:p w14:paraId="0000036C" w14:textId="77777777" w:rsidR="001C40B0" w:rsidRDefault="00291712">
            <w:pPr>
              <w:pBdr>
                <w:top w:val="nil"/>
                <w:left w:val="nil"/>
                <w:bottom w:val="nil"/>
                <w:right w:val="nil"/>
                <w:between w:val="nil"/>
              </w:pBdr>
              <w:spacing w:before="1"/>
              <w:ind w:left="21"/>
              <w:jc w:val="center"/>
              <w:rPr>
                <w:rFonts w:ascii="Arial" w:eastAsia="Arial" w:hAnsi="Arial" w:cs="Arial"/>
                <w:b/>
                <w:bCs/>
                <w:color w:val="000000"/>
              </w:rPr>
            </w:pPr>
            <w:r>
              <w:rPr>
                <w:rFonts w:ascii="Arial" w:eastAsia="Arial" w:hAnsi="Arial" w:cs="Arial"/>
                <w:b/>
                <w:bCs/>
                <w:color w:val="000000"/>
              </w:rPr>
              <w:t>43</w:t>
            </w:r>
          </w:p>
        </w:tc>
        <w:tc>
          <w:tcPr>
            <w:tcW w:w="795" w:type="dxa"/>
          </w:tcPr>
          <w:p w14:paraId="0000036D" w14:textId="77777777" w:rsidR="001C40B0" w:rsidRDefault="00291712">
            <w:pPr>
              <w:pBdr>
                <w:top w:val="nil"/>
                <w:left w:val="nil"/>
                <w:bottom w:val="nil"/>
                <w:right w:val="nil"/>
                <w:between w:val="nil"/>
              </w:pBdr>
              <w:spacing w:before="1"/>
              <w:ind w:left="17" w:right="1"/>
              <w:jc w:val="center"/>
              <w:rPr>
                <w:rFonts w:ascii="Arial" w:eastAsia="Arial" w:hAnsi="Arial" w:cs="Arial"/>
                <w:b/>
                <w:bCs/>
                <w:color w:val="000000"/>
              </w:rPr>
            </w:pPr>
            <w:r>
              <w:rPr>
                <w:rFonts w:ascii="Arial" w:eastAsia="Arial" w:hAnsi="Arial" w:cs="Arial"/>
                <w:b/>
                <w:bCs/>
                <w:color w:val="000000"/>
              </w:rPr>
              <w:t>0</w:t>
            </w:r>
          </w:p>
        </w:tc>
        <w:tc>
          <w:tcPr>
            <w:tcW w:w="615" w:type="dxa"/>
          </w:tcPr>
          <w:p w14:paraId="0000036E" w14:textId="77777777" w:rsidR="001C40B0" w:rsidRDefault="00291712">
            <w:pPr>
              <w:pBdr>
                <w:top w:val="nil"/>
                <w:left w:val="nil"/>
                <w:bottom w:val="nil"/>
                <w:right w:val="nil"/>
                <w:between w:val="nil"/>
              </w:pBdr>
              <w:spacing w:before="1"/>
              <w:ind w:left="16"/>
              <w:jc w:val="center"/>
              <w:rPr>
                <w:rFonts w:ascii="Arial" w:eastAsia="Arial" w:hAnsi="Arial" w:cs="Arial"/>
                <w:b/>
                <w:bCs/>
                <w:color w:val="000000"/>
              </w:rPr>
            </w:pPr>
            <w:r>
              <w:rPr>
                <w:rFonts w:ascii="Arial" w:eastAsia="Arial" w:hAnsi="Arial" w:cs="Arial"/>
                <w:b/>
                <w:bCs/>
                <w:color w:val="000000"/>
              </w:rPr>
              <w:t>4,002</w:t>
            </w:r>
          </w:p>
        </w:tc>
      </w:tr>
      <w:tr w:rsidR="001C40B0" w14:paraId="49F9F7FA" w14:textId="77777777">
        <w:trPr>
          <w:trHeight w:val="551"/>
        </w:trPr>
        <w:tc>
          <w:tcPr>
            <w:tcW w:w="1035" w:type="dxa"/>
          </w:tcPr>
          <w:p w14:paraId="0000036F" w14:textId="77777777" w:rsidR="001C40B0" w:rsidRDefault="001C40B0">
            <w:pPr>
              <w:pBdr>
                <w:top w:val="nil"/>
                <w:left w:val="nil"/>
                <w:bottom w:val="nil"/>
                <w:right w:val="nil"/>
                <w:between w:val="nil"/>
              </w:pBdr>
              <w:spacing w:before="72"/>
              <w:rPr>
                <w:rFonts w:ascii="Arial" w:eastAsia="Arial" w:hAnsi="Arial" w:cs="Arial"/>
                <w:b/>
                <w:bCs/>
                <w:color w:val="000000"/>
              </w:rPr>
            </w:pPr>
          </w:p>
          <w:p w14:paraId="00000370" w14:textId="77777777" w:rsidR="001C40B0" w:rsidRDefault="00291712">
            <w:pPr>
              <w:pBdr>
                <w:top w:val="nil"/>
                <w:left w:val="nil"/>
                <w:bottom w:val="nil"/>
                <w:right w:val="nil"/>
                <w:between w:val="nil"/>
              </w:pBdr>
              <w:ind w:left="22"/>
              <w:jc w:val="center"/>
              <w:rPr>
                <w:rFonts w:ascii="Arial" w:eastAsia="Arial" w:hAnsi="Arial" w:cs="Arial"/>
                <w:b/>
                <w:bCs/>
                <w:color w:val="000000"/>
              </w:rPr>
            </w:pPr>
            <w:r>
              <w:rPr>
                <w:rFonts w:ascii="Arial" w:eastAsia="Arial" w:hAnsi="Arial" w:cs="Arial"/>
                <w:b/>
                <w:bCs/>
                <w:color w:val="000000"/>
              </w:rPr>
              <w:t>Total</w:t>
            </w:r>
          </w:p>
        </w:tc>
        <w:tc>
          <w:tcPr>
            <w:tcW w:w="660" w:type="dxa"/>
          </w:tcPr>
          <w:p w14:paraId="00000371" w14:textId="77777777" w:rsidR="001C40B0" w:rsidRDefault="00291712">
            <w:pPr>
              <w:pBdr>
                <w:top w:val="nil"/>
                <w:left w:val="nil"/>
                <w:bottom w:val="nil"/>
                <w:right w:val="nil"/>
                <w:between w:val="nil"/>
              </w:pBdr>
              <w:spacing w:before="1"/>
              <w:ind w:left="22" w:right="1"/>
              <w:jc w:val="center"/>
              <w:rPr>
                <w:rFonts w:ascii="Arial" w:eastAsia="Arial" w:hAnsi="Arial" w:cs="Arial"/>
                <w:b/>
                <w:bCs/>
                <w:color w:val="000000"/>
              </w:rPr>
            </w:pPr>
            <w:r>
              <w:rPr>
                <w:rFonts w:ascii="Arial" w:eastAsia="Arial" w:hAnsi="Arial" w:cs="Arial"/>
                <w:b/>
                <w:bCs/>
                <w:color w:val="000000"/>
              </w:rPr>
              <w:t>33,137</w:t>
            </w:r>
          </w:p>
        </w:tc>
        <w:tc>
          <w:tcPr>
            <w:tcW w:w="585" w:type="dxa"/>
          </w:tcPr>
          <w:p w14:paraId="00000372" w14:textId="77777777" w:rsidR="001C40B0" w:rsidRDefault="00291712">
            <w:pPr>
              <w:pBdr>
                <w:top w:val="nil"/>
                <w:left w:val="nil"/>
                <w:bottom w:val="nil"/>
                <w:right w:val="nil"/>
                <w:between w:val="nil"/>
              </w:pBdr>
              <w:spacing w:before="1"/>
              <w:ind w:left="25"/>
              <w:jc w:val="center"/>
              <w:rPr>
                <w:rFonts w:ascii="Arial" w:eastAsia="Arial" w:hAnsi="Arial" w:cs="Arial"/>
                <w:b/>
                <w:bCs/>
                <w:color w:val="000000"/>
              </w:rPr>
            </w:pPr>
            <w:r>
              <w:rPr>
                <w:rFonts w:ascii="Arial" w:eastAsia="Arial" w:hAnsi="Arial" w:cs="Arial"/>
                <w:b/>
                <w:bCs/>
                <w:color w:val="000000"/>
              </w:rPr>
              <w:t>1,892</w:t>
            </w:r>
          </w:p>
        </w:tc>
        <w:tc>
          <w:tcPr>
            <w:tcW w:w="585" w:type="dxa"/>
          </w:tcPr>
          <w:p w14:paraId="00000373" w14:textId="77777777" w:rsidR="001C40B0" w:rsidRDefault="00291712">
            <w:pPr>
              <w:pBdr>
                <w:top w:val="nil"/>
                <w:left w:val="nil"/>
                <w:bottom w:val="nil"/>
                <w:right w:val="nil"/>
                <w:between w:val="nil"/>
              </w:pBdr>
              <w:spacing w:before="1"/>
              <w:ind w:left="19"/>
              <w:jc w:val="center"/>
              <w:rPr>
                <w:rFonts w:ascii="Arial" w:eastAsia="Arial" w:hAnsi="Arial" w:cs="Arial"/>
                <w:b/>
                <w:bCs/>
                <w:color w:val="000000"/>
              </w:rPr>
            </w:pPr>
            <w:r>
              <w:rPr>
                <w:rFonts w:ascii="Arial" w:eastAsia="Arial" w:hAnsi="Arial" w:cs="Arial"/>
                <w:b/>
                <w:bCs/>
                <w:color w:val="000000"/>
              </w:rPr>
              <w:t>389</w:t>
            </w:r>
          </w:p>
        </w:tc>
        <w:tc>
          <w:tcPr>
            <w:tcW w:w="600" w:type="dxa"/>
          </w:tcPr>
          <w:p w14:paraId="00000374" w14:textId="77777777" w:rsidR="001C40B0" w:rsidRDefault="00291712">
            <w:pPr>
              <w:pBdr>
                <w:top w:val="nil"/>
                <w:left w:val="nil"/>
                <w:bottom w:val="nil"/>
                <w:right w:val="nil"/>
                <w:between w:val="nil"/>
              </w:pBdr>
              <w:spacing w:before="1"/>
              <w:ind w:left="17"/>
              <w:jc w:val="center"/>
              <w:rPr>
                <w:rFonts w:ascii="Arial" w:eastAsia="Arial" w:hAnsi="Arial" w:cs="Arial"/>
                <w:b/>
                <w:bCs/>
                <w:color w:val="000000"/>
              </w:rPr>
            </w:pPr>
            <w:r>
              <w:rPr>
                <w:rFonts w:ascii="Arial" w:eastAsia="Arial" w:hAnsi="Arial" w:cs="Arial"/>
                <w:b/>
                <w:bCs/>
                <w:color w:val="000000"/>
              </w:rPr>
              <w:t>354</w:t>
            </w:r>
          </w:p>
        </w:tc>
        <w:tc>
          <w:tcPr>
            <w:tcW w:w="645" w:type="dxa"/>
          </w:tcPr>
          <w:p w14:paraId="00000375" w14:textId="77777777" w:rsidR="001C40B0" w:rsidRDefault="00291712">
            <w:pPr>
              <w:pBdr>
                <w:top w:val="nil"/>
                <w:left w:val="nil"/>
                <w:bottom w:val="nil"/>
                <w:right w:val="nil"/>
                <w:between w:val="nil"/>
              </w:pBdr>
              <w:spacing w:before="1"/>
              <w:ind w:left="17"/>
              <w:jc w:val="center"/>
              <w:rPr>
                <w:rFonts w:ascii="Arial" w:eastAsia="Arial" w:hAnsi="Arial" w:cs="Arial"/>
                <w:b/>
                <w:bCs/>
                <w:color w:val="000000"/>
              </w:rPr>
            </w:pPr>
            <w:r>
              <w:rPr>
                <w:rFonts w:ascii="Arial" w:eastAsia="Arial" w:hAnsi="Arial" w:cs="Arial"/>
                <w:b/>
                <w:bCs/>
                <w:color w:val="000000"/>
              </w:rPr>
              <w:t>23</w:t>
            </w:r>
          </w:p>
        </w:tc>
        <w:tc>
          <w:tcPr>
            <w:tcW w:w="615" w:type="dxa"/>
          </w:tcPr>
          <w:p w14:paraId="00000376" w14:textId="77777777" w:rsidR="001C40B0" w:rsidRDefault="00291712">
            <w:pPr>
              <w:pBdr>
                <w:top w:val="nil"/>
                <w:left w:val="nil"/>
                <w:bottom w:val="nil"/>
                <w:right w:val="nil"/>
                <w:between w:val="nil"/>
              </w:pBdr>
              <w:spacing w:before="1"/>
              <w:ind w:left="20"/>
              <w:jc w:val="center"/>
              <w:rPr>
                <w:rFonts w:ascii="Arial" w:eastAsia="Arial" w:hAnsi="Arial" w:cs="Arial"/>
                <w:b/>
                <w:bCs/>
                <w:color w:val="000000"/>
              </w:rPr>
            </w:pPr>
            <w:r>
              <w:rPr>
                <w:rFonts w:ascii="Arial" w:eastAsia="Arial" w:hAnsi="Arial" w:cs="Arial"/>
                <w:b/>
                <w:bCs/>
                <w:color w:val="000000"/>
              </w:rPr>
              <w:t>19</w:t>
            </w:r>
          </w:p>
        </w:tc>
        <w:tc>
          <w:tcPr>
            <w:tcW w:w="900" w:type="dxa"/>
          </w:tcPr>
          <w:p w14:paraId="00000377" w14:textId="77777777" w:rsidR="001C40B0" w:rsidRDefault="00291712">
            <w:pPr>
              <w:pBdr>
                <w:top w:val="nil"/>
                <w:left w:val="nil"/>
                <w:bottom w:val="nil"/>
                <w:right w:val="nil"/>
                <w:between w:val="nil"/>
              </w:pBdr>
              <w:spacing w:before="1"/>
              <w:ind w:left="20"/>
              <w:jc w:val="center"/>
              <w:rPr>
                <w:rFonts w:ascii="Arial" w:eastAsia="Arial" w:hAnsi="Arial" w:cs="Arial"/>
                <w:b/>
                <w:bCs/>
                <w:color w:val="000000"/>
              </w:rPr>
            </w:pPr>
            <w:r>
              <w:rPr>
                <w:rFonts w:ascii="Arial" w:eastAsia="Arial" w:hAnsi="Arial" w:cs="Arial"/>
                <w:b/>
                <w:bCs/>
                <w:color w:val="000000"/>
              </w:rPr>
              <w:t>14</w:t>
            </w:r>
          </w:p>
        </w:tc>
        <w:tc>
          <w:tcPr>
            <w:tcW w:w="840" w:type="dxa"/>
          </w:tcPr>
          <w:p w14:paraId="00000378" w14:textId="77777777" w:rsidR="001C40B0" w:rsidRDefault="00291712">
            <w:pPr>
              <w:pBdr>
                <w:top w:val="nil"/>
                <w:left w:val="nil"/>
                <w:bottom w:val="nil"/>
                <w:right w:val="nil"/>
                <w:between w:val="nil"/>
              </w:pBdr>
              <w:spacing w:before="1"/>
              <w:ind w:left="25"/>
              <w:jc w:val="center"/>
              <w:rPr>
                <w:rFonts w:ascii="Arial" w:eastAsia="Arial" w:hAnsi="Arial" w:cs="Arial"/>
                <w:b/>
                <w:bCs/>
                <w:color w:val="000000"/>
              </w:rPr>
            </w:pPr>
            <w:r>
              <w:rPr>
                <w:rFonts w:ascii="Arial" w:eastAsia="Arial" w:hAnsi="Arial" w:cs="Arial"/>
                <w:b/>
                <w:bCs/>
                <w:color w:val="000000"/>
              </w:rPr>
              <w:t>76</w:t>
            </w:r>
          </w:p>
        </w:tc>
        <w:tc>
          <w:tcPr>
            <w:tcW w:w="945" w:type="dxa"/>
          </w:tcPr>
          <w:p w14:paraId="00000379" w14:textId="77777777" w:rsidR="001C40B0" w:rsidRDefault="00291712">
            <w:pPr>
              <w:pBdr>
                <w:top w:val="nil"/>
                <w:left w:val="nil"/>
                <w:bottom w:val="nil"/>
                <w:right w:val="nil"/>
                <w:between w:val="nil"/>
              </w:pBdr>
              <w:spacing w:before="1"/>
              <w:ind w:left="21"/>
              <w:jc w:val="center"/>
              <w:rPr>
                <w:rFonts w:ascii="Arial" w:eastAsia="Arial" w:hAnsi="Arial" w:cs="Arial"/>
                <w:b/>
                <w:bCs/>
                <w:color w:val="000000"/>
              </w:rPr>
            </w:pPr>
            <w:r>
              <w:rPr>
                <w:rFonts w:ascii="Arial" w:eastAsia="Arial" w:hAnsi="Arial" w:cs="Arial"/>
                <w:b/>
                <w:bCs/>
                <w:color w:val="000000"/>
              </w:rPr>
              <w:t>187</w:t>
            </w:r>
          </w:p>
        </w:tc>
        <w:tc>
          <w:tcPr>
            <w:tcW w:w="795" w:type="dxa"/>
          </w:tcPr>
          <w:p w14:paraId="0000037A" w14:textId="77777777" w:rsidR="001C40B0" w:rsidRDefault="00291712">
            <w:pPr>
              <w:pBdr>
                <w:top w:val="nil"/>
                <w:left w:val="nil"/>
                <w:bottom w:val="nil"/>
                <w:right w:val="nil"/>
                <w:between w:val="nil"/>
              </w:pBdr>
              <w:spacing w:before="1"/>
              <w:ind w:left="17" w:right="1"/>
              <w:jc w:val="center"/>
              <w:rPr>
                <w:rFonts w:ascii="Arial" w:eastAsia="Arial" w:hAnsi="Arial" w:cs="Arial"/>
                <w:b/>
                <w:bCs/>
                <w:color w:val="000000"/>
              </w:rPr>
            </w:pPr>
            <w:r>
              <w:rPr>
                <w:rFonts w:ascii="Arial" w:eastAsia="Arial" w:hAnsi="Arial" w:cs="Arial"/>
                <w:b/>
                <w:bCs/>
                <w:color w:val="000000"/>
              </w:rPr>
              <w:t>4</w:t>
            </w:r>
          </w:p>
        </w:tc>
        <w:tc>
          <w:tcPr>
            <w:tcW w:w="615" w:type="dxa"/>
          </w:tcPr>
          <w:p w14:paraId="0000037B" w14:textId="77777777" w:rsidR="001C40B0" w:rsidRDefault="00291712">
            <w:pPr>
              <w:pBdr>
                <w:top w:val="nil"/>
                <w:left w:val="nil"/>
                <w:bottom w:val="nil"/>
                <w:right w:val="nil"/>
                <w:between w:val="nil"/>
              </w:pBdr>
              <w:spacing w:before="1"/>
              <w:ind w:left="16"/>
              <w:jc w:val="center"/>
              <w:rPr>
                <w:rFonts w:ascii="Arial" w:eastAsia="Arial" w:hAnsi="Arial" w:cs="Arial"/>
                <w:b/>
                <w:bCs/>
                <w:color w:val="000000"/>
              </w:rPr>
            </w:pPr>
            <w:r>
              <w:rPr>
                <w:rFonts w:ascii="Arial" w:eastAsia="Arial" w:hAnsi="Arial" w:cs="Arial"/>
                <w:b/>
                <w:bCs/>
                <w:color w:val="000000"/>
              </w:rPr>
              <w:t>36,09</w:t>
            </w:r>
          </w:p>
          <w:p w14:paraId="0000037C" w14:textId="77777777" w:rsidR="001C40B0" w:rsidRDefault="00291712">
            <w:pPr>
              <w:pBdr>
                <w:top w:val="nil"/>
                <w:left w:val="nil"/>
                <w:bottom w:val="nil"/>
                <w:right w:val="nil"/>
                <w:between w:val="nil"/>
              </w:pBdr>
              <w:spacing w:before="90"/>
              <w:ind w:left="16" w:right="1"/>
              <w:jc w:val="center"/>
              <w:rPr>
                <w:rFonts w:ascii="Arial" w:eastAsia="Arial" w:hAnsi="Arial" w:cs="Arial"/>
                <w:b/>
                <w:bCs/>
                <w:color w:val="000000"/>
              </w:rPr>
            </w:pPr>
            <w:r>
              <w:rPr>
                <w:rFonts w:ascii="Arial" w:eastAsia="Arial" w:hAnsi="Arial" w:cs="Arial"/>
                <w:b/>
                <w:bCs/>
                <w:color w:val="000000"/>
              </w:rPr>
              <w:t>5</w:t>
            </w:r>
          </w:p>
        </w:tc>
      </w:tr>
      <w:tr w:rsidR="001C40B0" w14:paraId="15AAFD6D" w14:textId="77777777">
        <w:trPr>
          <w:trHeight w:val="297"/>
        </w:trPr>
        <w:tc>
          <w:tcPr>
            <w:tcW w:w="1035" w:type="dxa"/>
          </w:tcPr>
          <w:p w14:paraId="0000037D" w14:textId="77777777" w:rsidR="001C40B0" w:rsidRDefault="00291712">
            <w:pPr>
              <w:pBdr>
                <w:top w:val="nil"/>
                <w:left w:val="nil"/>
                <w:bottom w:val="nil"/>
                <w:right w:val="nil"/>
                <w:between w:val="nil"/>
              </w:pBdr>
              <w:spacing w:before="25"/>
              <w:ind w:left="22" w:right="2"/>
              <w:jc w:val="center"/>
              <w:rPr>
                <w:rFonts w:ascii="Arial" w:eastAsia="Arial" w:hAnsi="Arial" w:cs="Arial"/>
                <w:b/>
                <w:bCs/>
                <w:color w:val="000000"/>
              </w:rPr>
            </w:pPr>
            <w:r>
              <w:rPr>
                <w:rFonts w:ascii="Arial" w:eastAsia="Arial" w:hAnsi="Arial" w:cs="Arial"/>
                <w:b/>
                <w:bCs/>
                <w:color w:val="000000"/>
              </w:rPr>
              <w:t>Participación</w:t>
            </w:r>
          </w:p>
        </w:tc>
        <w:tc>
          <w:tcPr>
            <w:tcW w:w="660" w:type="dxa"/>
          </w:tcPr>
          <w:p w14:paraId="0000037E" w14:textId="77777777" w:rsidR="001C40B0" w:rsidRDefault="00291712">
            <w:pPr>
              <w:pBdr>
                <w:top w:val="nil"/>
                <w:left w:val="nil"/>
                <w:bottom w:val="nil"/>
                <w:right w:val="nil"/>
                <w:between w:val="nil"/>
              </w:pBdr>
              <w:spacing w:before="1"/>
              <w:ind w:left="22" w:right="1"/>
              <w:jc w:val="center"/>
              <w:rPr>
                <w:rFonts w:ascii="Arial" w:eastAsia="Arial" w:hAnsi="Arial" w:cs="Arial"/>
                <w:b/>
                <w:bCs/>
                <w:color w:val="000000"/>
              </w:rPr>
            </w:pPr>
            <w:r>
              <w:rPr>
                <w:rFonts w:ascii="Arial" w:eastAsia="Arial" w:hAnsi="Arial" w:cs="Arial"/>
                <w:b/>
                <w:bCs/>
                <w:color w:val="000000"/>
              </w:rPr>
              <w:t>91.8%</w:t>
            </w:r>
          </w:p>
        </w:tc>
        <w:tc>
          <w:tcPr>
            <w:tcW w:w="585" w:type="dxa"/>
          </w:tcPr>
          <w:p w14:paraId="0000037F" w14:textId="77777777" w:rsidR="001C40B0" w:rsidRDefault="00291712">
            <w:pPr>
              <w:pBdr>
                <w:top w:val="nil"/>
                <w:left w:val="nil"/>
                <w:bottom w:val="nil"/>
                <w:right w:val="nil"/>
                <w:between w:val="nil"/>
              </w:pBdr>
              <w:spacing w:before="1"/>
              <w:ind w:left="25" w:right="1"/>
              <w:jc w:val="center"/>
              <w:rPr>
                <w:rFonts w:ascii="Arial" w:eastAsia="Arial" w:hAnsi="Arial" w:cs="Arial"/>
                <w:b/>
                <w:bCs/>
                <w:color w:val="000000"/>
              </w:rPr>
            </w:pPr>
            <w:r>
              <w:rPr>
                <w:rFonts w:ascii="Arial" w:eastAsia="Arial" w:hAnsi="Arial" w:cs="Arial"/>
                <w:b/>
                <w:bCs/>
                <w:color w:val="000000"/>
              </w:rPr>
              <w:t>5.2%</w:t>
            </w:r>
          </w:p>
        </w:tc>
        <w:tc>
          <w:tcPr>
            <w:tcW w:w="585" w:type="dxa"/>
          </w:tcPr>
          <w:p w14:paraId="00000380" w14:textId="77777777" w:rsidR="001C40B0" w:rsidRDefault="00291712">
            <w:pPr>
              <w:pBdr>
                <w:top w:val="nil"/>
                <w:left w:val="nil"/>
                <w:bottom w:val="nil"/>
                <w:right w:val="nil"/>
                <w:between w:val="nil"/>
              </w:pBdr>
              <w:spacing w:before="1"/>
              <w:ind w:left="19" w:right="1"/>
              <w:jc w:val="center"/>
              <w:rPr>
                <w:rFonts w:ascii="Arial" w:eastAsia="Arial" w:hAnsi="Arial" w:cs="Arial"/>
                <w:b/>
                <w:bCs/>
                <w:color w:val="000000"/>
              </w:rPr>
            </w:pPr>
            <w:r>
              <w:rPr>
                <w:rFonts w:ascii="Arial" w:eastAsia="Arial" w:hAnsi="Arial" w:cs="Arial"/>
                <w:b/>
                <w:bCs/>
                <w:color w:val="000000"/>
              </w:rPr>
              <w:t>1.0%</w:t>
            </w:r>
          </w:p>
        </w:tc>
        <w:tc>
          <w:tcPr>
            <w:tcW w:w="600" w:type="dxa"/>
          </w:tcPr>
          <w:p w14:paraId="00000381" w14:textId="77777777" w:rsidR="001C40B0" w:rsidRDefault="00291712">
            <w:pPr>
              <w:pBdr>
                <w:top w:val="nil"/>
                <w:left w:val="nil"/>
                <w:bottom w:val="nil"/>
                <w:right w:val="nil"/>
                <w:between w:val="nil"/>
              </w:pBdr>
              <w:spacing w:before="1"/>
              <w:ind w:left="17"/>
              <w:jc w:val="center"/>
              <w:rPr>
                <w:rFonts w:ascii="Arial" w:eastAsia="Arial" w:hAnsi="Arial" w:cs="Arial"/>
                <w:b/>
                <w:bCs/>
                <w:color w:val="000000"/>
              </w:rPr>
            </w:pPr>
            <w:r>
              <w:rPr>
                <w:rFonts w:ascii="Arial" w:eastAsia="Arial" w:hAnsi="Arial" w:cs="Arial"/>
                <w:b/>
                <w:bCs/>
                <w:color w:val="000000"/>
              </w:rPr>
              <w:t>0.98%</w:t>
            </w:r>
          </w:p>
        </w:tc>
        <w:tc>
          <w:tcPr>
            <w:tcW w:w="645" w:type="dxa"/>
          </w:tcPr>
          <w:p w14:paraId="00000382" w14:textId="77777777" w:rsidR="001C40B0" w:rsidRDefault="00291712">
            <w:pPr>
              <w:pBdr>
                <w:top w:val="nil"/>
                <w:left w:val="nil"/>
                <w:bottom w:val="nil"/>
                <w:right w:val="nil"/>
                <w:between w:val="nil"/>
              </w:pBdr>
              <w:spacing w:before="1"/>
              <w:ind w:left="17"/>
              <w:jc w:val="center"/>
              <w:rPr>
                <w:rFonts w:ascii="Arial" w:eastAsia="Arial" w:hAnsi="Arial" w:cs="Arial"/>
                <w:b/>
                <w:bCs/>
                <w:color w:val="000000"/>
              </w:rPr>
            </w:pPr>
            <w:r>
              <w:rPr>
                <w:rFonts w:ascii="Arial" w:eastAsia="Arial" w:hAnsi="Arial" w:cs="Arial"/>
                <w:b/>
                <w:bCs/>
                <w:color w:val="000000"/>
              </w:rPr>
              <w:t>0.06%</w:t>
            </w:r>
          </w:p>
        </w:tc>
        <w:tc>
          <w:tcPr>
            <w:tcW w:w="615" w:type="dxa"/>
          </w:tcPr>
          <w:p w14:paraId="00000383" w14:textId="77777777" w:rsidR="001C40B0" w:rsidRDefault="00291712">
            <w:pPr>
              <w:pBdr>
                <w:top w:val="nil"/>
                <w:left w:val="nil"/>
                <w:bottom w:val="nil"/>
                <w:right w:val="nil"/>
                <w:between w:val="nil"/>
              </w:pBdr>
              <w:spacing w:before="1"/>
              <w:ind w:left="20" w:right="1"/>
              <w:jc w:val="center"/>
              <w:rPr>
                <w:rFonts w:ascii="Arial" w:eastAsia="Arial" w:hAnsi="Arial" w:cs="Arial"/>
                <w:b/>
                <w:bCs/>
                <w:color w:val="000000"/>
              </w:rPr>
            </w:pPr>
            <w:r>
              <w:rPr>
                <w:rFonts w:ascii="Arial" w:eastAsia="Arial" w:hAnsi="Arial" w:cs="Arial"/>
                <w:b/>
                <w:bCs/>
                <w:color w:val="000000"/>
              </w:rPr>
              <w:t>0.05%</w:t>
            </w:r>
          </w:p>
        </w:tc>
        <w:tc>
          <w:tcPr>
            <w:tcW w:w="900" w:type="dxa"/>
          </w:tcPr>
          <w:p w14:paraId="00000384" w14:textId="77777777" w:rsidR="001C40B0" w:rsidRDefault="00291712">
            <w:pPr>
              <w:pBdr>
                <w:top w:val="nil"/>
                <w:left w:val="nil"/>
                <w:bottom w:val="nil"/>
                <w:right w:val="nil"/>
                <w:between w:val="nil"/>
              </w:pBdr>
              <w:spacing w:before="1"/>
              <w:ind w:left="20" w:right="1"/>
              <w:jc w:val="center"/>
              <w:rPr>
                <w:rFonts w:ascii="Arial" w:eastAsia="Arial" w:hAnsi="Arial" w:cs="Arial"/>
                <w:b/>
                <w:bCs/>
                <w:color w:val="000000"/>
              </w:rPr>
            </w:pPr>
            <w:r>
              <w:rPr>
                <w:rFonts w:ascii="Arial" w:eastAsia="Arial" w:hAnsi="Arial" w:cs="Arial"/>
                <w:b/>
                <w:bCs/>
                <w:color w:val="000000"/>
              </w:rPr>
              <w:t>0.04%</w:t>
            </w:r>
          </w:p>
        </w:tc>
        <w:tc>
          <w:tcPr>
            <w:tcW w:w="840" w:type="dxa"/>
          </w:tcPr>
          <w:p w14:paraId="00000385" w14:textId="77777777" w:rsidR="001C40B0" w:rsidRDefault="00291712">
            <w:pPr>
              <w:pBdr>
                <w:top w:val="nil"/>
                <w:left w:val="nil"/>
                <w:bottom w:val="nil"/>
                <w:right w:val="nil"/>
                <w:between w:val="nil"/>
              </w:pBdr>
              <w:spacing w:before="1"/>
              <w:ind w:left="25" w:right="1"/>
              <w:jc w:val="center"/>
              <w:rPr>
                <w:rFonts w:ascii="Arial" w:eastAsia="Arial" w:hAnsi="Arial" w:cs="Arial"/>
                <w:b/>
                <w:bCs/>
                <w:color w:val="000000"/>
              </w:rPr>
            </w:pPr>
            <w:r>
              <w:rPr>
                <w:rFonts w:ascii="Arial" w:eastAsia="Arial" w:hAnsi="Arial" w:cs="Arial"/>
                <w:b/>
                <w:bCs/>
                <w:color w:val="000000"/>
              </w:rPr>
              <w:t>0.21%</w:t>
            </w:r>
          </w:p>
        </w:tc>
        <w:tc>
          <w:tcPr>
            <w:tcW w:w="945" w:type="dxa"/>
          </w:tcPr>
          <w:p w14:paraId="00000386" w14:textId="77777777" w:rsidR="001C40B0" w:rsidRDefault="00291712">
            <w:pPr>
              <w:pBdr>
                <w:top w:val="nil"/>
                <w:left w:val="nil"/>
                <w:bottom w:val="nil"/>
                <w:right w:val="nil"/>
                <w:between w:val="nil"/>
              </w:pBdr>
              <w:spacing w:before="1"/>
              <w:ind w:left="21" w:right="1"/>
              <w:jc w:val="center"/>
              <w:rPr>
                <w:rFonts w:ascii="Arial" w:eastAsia="Arial" w:hAnsi="Arial" w:cs="Arial"/>
                <w:b/>
                <w:bCs/>
                <w:color w:val="000000"/>
              </w:rPr>
            </w:pPr>
            <w:r>
              <w:rPr>
                <w:rFonts w:ascii="Arial" w:eastAsia="Arial" w:hAnsi="Arial" w:cs="Arial"/>
                <w:b/>
                <w:bCs/>
                <w:color w:val="000000"/>
              </w:rPr>
              <w:t>0.52%</w:t>
            </w:r>
          </w:p>
        </w:tc>
        <w:tc>
          <w:tcPr>
            <w:tcW w:w="795" w:type="dxa"/>
          </w:tcPr>
          <w:p w14:paraId="00000387" w14:textId="77777777" w:rsidR="001C40B0" w:rsidRDefault="00291712">
            <w:pPr>
              <w:pBdr>
                <w:top w:val="nil"/>
                <w:left w:val="nil"/>
                <w:bottom w:val="nil"/>
                <w:right w:val="nil"/>
                <w:between w:val="nil"/>
              </w:pBdr>
              <w:spacing w:before="1"/>
              <w:ind w:left="17" w:right="1"/>
              <w:jc w:val="center"/>
              <w:rPr>
                <w:rFonts w:ascii="Arial" w:eastAsia="Arial" w:hAnsi="Arial" w:cs="Arial"/>
                <w:b/>
                <w:bCs/>
                <w:color w:val="000000"/>
              </w:rPr>
            </w:pPr>
            <w:r>
              <w:rPr>
                <w:rFonts w:ascii="Arial" w:eastAsia="Arial" w:hAnsi="Arial" w:cs="Arial"/>
                <w:b/>
                <w:bCs/>
                <w:color w:val="000000"/>
              </w:rPr>
              <w:t>0.01%</w:t>
            </w:r>
          </w:p>
        </w:tc>
        <w:tc>
          <w:tcPr>
            <w:tcW w:w="615" w:type="dxa"/>
          </w:tcPr>
          <w:p w14:paraId="00000388" w14:textId="77777777" w:rsidR="001C40B0" w:rsidRDefault="001C40B0">
            <w:pPr>
              <w:pBdr>
                <w:top w:val="nil"/>
                <w:left w:val="nil"/>
                <w:bottom w:val="nil"/>
                <w:right w:val="nil"/>
                <w:between w:val="nil"/>
              </w:pBdr>
              <w:rPr>
                <w:rFonts w:ascii="Arial" w:eastAsia="Arial" w:hAnsi="Arial" w:cs="Arial"/>
                <w:color w:val="000000"/>
              </w:rPr>
            </w:pPr>
          </w:p>
        </w:tc>
      </w:tr>
    </w:tbl>
    <w:p w14:paraId="00000389" w14:textId="77777777" w:rsidR="001C40B0" w:rsidRDefault="00291712">
      <w:pPr>
        <w:jc w:val="both"/>
        <w:rPr>
          <w:rFonts w:ascii="Arial" w:eastAsia="Arial" w:hAnsi="Arial" w:cs="Arial"/>
          <w:sz w:val="22"/>
          <w:szCs w:val="22"/>
        </w:rPr>
      </w:pPr>
      <w:r>
        <w:rPr>
          <w:rFonts w:ascii="Arial" w:eastAsia="Arial" w:hAnsi="Arial" w:cs="Arial"/>
          <w:sz w:val="22"/>
          <w:szCs w:val="22"/>
        </w:rPr>
        <w:t>Fuente: INS - Sistema Nacional de Información en Donación y Trasplantes.</w:t>
      </w:r>
    </w:p>
    <w:p w14:paraId="0000038A" w14:textId="77777777" w:rsidR="001C40B0" w:rsidRDefault="001C40B0">
      <w:pPr>
        <w:jc w:val="both"/>
        <w:rPr>
          <w:rFonts w:ascii="Arial" w:eastAsia="Arial" w:hAnsi="Arial" w:cs="Arial"/>
          <w:sz w:val="22"/>
          <w:szCs w:val="22"/>
        </w:rPr>
      </w:pPr>
    </w:p>
    <w:p w14:paraId="0000038B" w14:textId="77777777" w:rsidR="001C40B0" w:rsidRDefault="00291712">
      <w:pPr>
        <w:jc w:val="both"/>
        <w:rPr>
          <w:rFonts w:ascii="Arial" w:eastAsia="Arial" w:hAnsi="Arial" w:cs="Arial"/>
          <w:sz w:val="22"/>
          <w:szCs w:val="22"/>
        </w:rPr>
      </w:pPr>
      <w:r>
        <w:rPr>
          <w:rFonts w:ascii="Arial" w:eastAsia="Arial" w:hAnsi="Arial" w:cs="Arial"/>
          <w:sz w:val="22"/>
          <w:szCs w:val="22"/>
        </w:rPr>
        <w:t>Ahora bien, para tener un panorama aún más completo, es necesario revisar el número de trasplantes por tipo de órgano reportados al Instituto Nacional de Salud, de los cuáles el 68,4% de los trasplantes realizados fueron de riñón, seguidos por el 20% de hígado, 7,3% de corazón, 2,9% de pulmón y 1,16 de trasplantes combinados. (Ver Tabla 3. Trasplantes realizados por tipo de órgano).</w:t>
      </w:r>
    </w:p>
    <w:p w14:paraId="0000038C"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38D" w14:textId="77777777" w:rsidR="001C40B0" w:rsidRDefault="001C40B0">
      <w:pPr>
        <w:jc w:val="both"/>
        <w:rPr>
          <w:rFonts w:ascii="Arial" w:eastAsia="Arial" w:hAnsi="Arial" w:cs="Arial"/>
          <w:sz w:val="22"/>
          <w:szCs w:val="22"/>
        </w:rPr>
      </w:pPr>
    </w:p>
    <w:p w14:paraId="0000038E" w14:textId="77777777" w:rsidR="001C40B0" w:rsidRDefault="00291712">
      <w:pPr>
        <w:jc w:val="center"/>
        <w:rPr>
          <w:rFonts w:ascii="Arial" w:eastAsia="Arial" w:hAnsi="Arial" w:cs="Arial"/>
          <w:b/>
          <w:bCs/>
          <w:sz w:val="22"/>
          <w:szCs w:val="22"/>
        </w:rPr>
      </w:pPr>
      <w:r>
        <w:rPr>
          <w:rFonts w:ascii="Arial" w:eastAsia="Arial" w:hAnsi="Arial" w:cs="Arial"/>
          <w:b/>
          <w:bCs/>
          <w:sz w:val="22"/>
          <w:szCs w:val="22"/>
        </w:rPr>
        <w:t>Tabla 3. Trasplantes realizados por tipo de órgano</w:t>
      </w:r>
    </w:p>
    <w:p w14:paraId="0000038F" w14:textId="77777777" w:rsidR="001C40B0" w:rsidRDefault="001C40B0">
      <w:pPr>
        <w:rPr>
          <w:rFonts w:ascii="Arial" w:eastAsia="Arial" w:hAnsi="Arial" w:cs="Arial"/>
          <w:b/>
          <w:bCs/>
          <w:sz w:val="22"/>
          <w:szCs w:val="22"/>
        </w:rPr>
      </w:pPr>
    </w:p>
    <w:tbl>
      <w:tblPr>
        <w:tblStyle w:val="a4"/>
        <w:tblW w:w="88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97"/>
        <w:gridCol w:w="1104"/>
        <w:gridCol w:w="970"/>
        <w:gridCol w:w="1148"/>
        <w:gridCol w:w="1215"/>
        <w:gridCol w:w="1028"/>
        <w:gridCol w:w="879"/>
        <w:gridCol w:w="898"/>
      </w:tblGrid>
      <w:tr w:rsidR="001C40B0" w14:paraId="5BC8FCA3" w14:textId="77777777">
        <w:trPr>
          <w:trHeight w:val="402"/>
        </w:trPr>
        <w:tc>
          <w:tcPr>
            <w:tcW w:w="1597" w:type="dxa"/>
            <w:shd w:val="clear" w:color="auto" w:fill="D9D9D9"/>
          </w:tcPr>
          <w:p w14:paraId="00000390" w14:textId="77777777" w:rsidR="001C40B0" w:rsidRDefault="001C40B0">
            <w:pPr>
              <w:pBdr>
                <w:top w:val="nil"/>
                <w:left w:val="nil"/>
                <w:bottom w:val="nil"/>
                <w:right w:val="nil"/>
                <w:between w:val="nil"/>
              </w:pBdr>
              <w:rPr>
                <w:rFonts w:ascii="Arial" w:eastAsia="Arial" w:hAnsi="Arial" w:cs="Arial"/>
                <w:color w:val="000000"/>
              </w:rPr>
            </w:pPr>
          </w:p>
        </w:tc>
        <w:tc>
          <w:tcPr>
            <w:tcW w:w="1104" w:type="dxa"/>
            <w:shd w:val="clear" w:color="auto" w:fill="D9D9D9"/>
          </w:tcPr>
          <w:p w14:paraId="00000391" w14:textId="77777777" w:rsidR="001C40B0" w:rsidRDefault="00291712">
            <w:pPr>
              <w:pBdr>
                <w:top w:val="nil"/>
                <w:left w:val="nil"/>
                <w:bottom w:val="nil"/>
                <w:right w:val="nil"/>
                <w:between w:val="nil"/>
              </w:pBdr>
              <w:spacing w:before="1"/>
              <w:ind w:left="22"/>
              <w:jc w:val="center"/>
              <w:rPr>
                <w:rFonts w:ascii="Arial" w:eastAsia="Arial" w:hAnsi="Arial" w:cs="Arial"/>
                <w:b/>
                <w:bCs/>
                <w:color w:val="000000"/>
              </w:rPr>
            </w:pPr>
            <w:r>
              <w:rPr>
                <w:rFonts w:ascii="Arial" w:eastAsia="Arial" w:hAnsi="Arial" w:cs="Arial"/>
                <w:b/>
                <w:bCs/>
                <w:color w:val="000000"/>
              </w:rPr>
              <w:t>Corazón</w:t>
            </w:r>
          </w:p>
        </w:tc>
        <w:tc>
          <w:tcPr>
            <w:tcW w:w="970" w:type="dxa"/>
            <w:shd w:val="clear" w:color="auto" w:fill="D9D9D9"/>
          </w:tcPr>
          <w:p w14:paraId="00000392" w14:textId="77777777" w:rsidR="001C40B0" w:rsidRDefault="00291712">
            <w:pPr>
              <w:pBdr>
                <w:top w:val="nil"/>
                <w:left w:val="nil"/>
                <w:bottom w:val="nil"/>
                <w:right w:val="nil"/>
                <w:between w:val="nil"/>
              </w:pBdr>
              <w:spacing w:before="1"/>
              <w:ind w:left="21"/>
              <w:jc w:val="center"/>
              <w:rPr>
                <w:rFonts w:ascii="Arial" w:eastAsia="Arial" w:hAnsi="Arial" w:cs="Arial"/>
                <w:b/>
                <w:bCs/>
                <w:color w:val="000000"/>
              </w:rPr>
            </w:pPr>
            <w:r>
              <w:rPr>
                <w:rFonts w:ascii="Arial" w:eastAsia="Arial" w:hAnsi="Arial" w:cs="Arial"/>
                <w:b/>
                <w:bCs/>
                <w:color w:val="000000"/>
              </w:rPr>
              <w:t>Hígado</w:t>
            </w:r>
          </w:p>
        </w:tc>
        <w:tc>
          <w:tcPr>
            <w:tcW w:w="1148" w:type="dxa"/>
            <w:shd w:val="clear" w:color="auto" w:fill="D9D9D9"/>
          </w:tcPr>
          <w:p w14:paraId="00000393" w14:textId="77777777" w:rsidR="001C40B0" w:rsidRDefault="00291712">
            <w:pPr>
              <w:pBdr>
                <w:top w:val="nil"/>
                <w:left w:val="nil"/>
                <w:bottom w:val="nil"/>
                <w:right w:val="nil"/>
                <w:between w:val="nil"/>
              </w:pBdr>
              <w:spacing w:before="1"/>
              <w:ind w:left="23"/>
              <w:jc w:val="center"/>
              <w:rPr>
                <w:rFonts w:ascii="Arial" w:eastAsia="Arial" w:hAnsi="Arial" w:cs="Arial"/>
                <w:b/>
                <w:bCs/>
                <w:color w:val="000000"/>
              </w:rPr>
            </w:pPr>
            <w:r>
              <w:rPr>
                <w:rFonts w:ascii="Arial" w:eastAsia="Arial" w:hAnsi="Arial" w:cs="Arial"/>
                <w:b/>
                <w:bCs/>
                <w:color w:val="000000"/>
              </w:rPr>
              <w:t>Intestino</w:t>
            </w:r>
          </w:p>
        </w:tc>
        <w:tc>
          <w:tcPr>
            <w:tcW w:w="1215" w:type="dxa"/>
            <w:shd w:val="clear" w:color="auto" w:fill="D9D9D9"/>
          </w:tcPr>
          <w:p w14:paraId="00000394" w14:textId="77777777" w:rsidR="001C40B0" w:rsidRDefault="00291712">
            <w:pPr>
              <w:pBdr>
                <w:top w:val="nil"/>
                <w:left w:val="nil"/>
                <w:bottom w:val="nil"/>
                <w:right w:val="nil"/>
                <w:between w:val="nil"/>
              </w:pBdr>
              <w:spacing w:before="1"/>
              <w:ind w:left="24"/>
              <w:jc w:val="center"/>
              <w:rPr>
                <w:rFonts w:ascii="Arial" w:eastAsia="Arial" w:hAnsi="Arial" w:cs="Arial"/>
                <w:b/>
                <w:bCs/>
                <w:color w:val="000000"/>
              </w:rPr>
            </w:pPr>
            <w:r>
              <w:rPr>
                <w:rFonts w:ascii="Arial" w:eastAsia="Arial" w:hAnsi="Arial" w:cs="Arial"/>
                <w:b/>
                <w:bCs/>
                <w:color w:val="000000"/>
              </w:rPr>
              <w:t>Páncreas</w:t>
            </w:r>
          </w:p>
        </w:tc>
        <w:tc>
          <w:tcPr>
            <w:tcW w:w="1028" w:type="dxa"/>
            <w:shd w:val="clear" w:color="auto" w:fill="D9D9D9"/>
          </w:tcPr>
          <w:p w14:paraId="00000395" w14:textId="77777777" w:rsidR="001C40B0" w:rsidRDefault="00291712">
            <w:pPr>
              <w:pBdr>
                <w:top w:val="nil"/>
                <w:left w:val="nil"/>
                <w:bottom w:val="nil"/>
                <w:right w:val="nil"/>
                <w:between w:val="nil"/>
              </w:pBdr>
              <w:spacing w:before="1"/>
              <w:ind w:left="20"/>
              <w:jc w:val="center"/>
              <w:rPr>
                <w:rFonts w:ascii="Arial" w:eastAsia="Arial" w:hAnsi="Arial" w:cs="Arial"/>
                <w:b/>
                <w:bCs/>
                <w:color w:val="000000"/>
              </w:rPr>
            </w:pPr>
            <w:r>
              <w:rPr>
                <w:rFonts w:ascii="Arial" w:eastAsia="Arial" w:hAnsi="Arial" w:cs="Arial"/>
                <w:b/>
                <w:bCs/>
                <w:color w:val="000000"/>
              </w:rPr>
              <w:t>Pulmón</w:t>
            </w:r>
          </w:p>
        </w:tc>
        <w:tc>
          <w:tcPr>
            <w:tcW w:w="879" w:type="dxa"/>
            <w:shd w:val="clear" w:color="auto" w:fill="D9D9D9"/>
          </w:tcPr>
          <w:p w14:paraId="00000396" w14:textId="77777777" w:rsidR="001C40B0" w:rsidRDefault="00291712">
            <w:pPr>
              <w:pBdr>
                <w:top w:val="nil"/>
                <w:left w:val="nil"/>
                <w:bottom w:val="nil"/>
                <w:right w:val="nil"/>
                <w:between w:val="nil"/>
              </w:pBdr>
              <w:spacing w:before="1"/>
              <w:ind w:left="17"/>
              <w:jc w:val="center"/>
              <w:rPr>
                <w:rFonts w:ascii="Arial" w:eastAsia="Arial" w:hAnsi="Arial" w:cs="Arial"/>
                <w:b/>
                <w:bCs/>
                <w:color w:val="000000"/>
              </w:rPr>
            </w:pPr>
            <w:r>
              <w:rPr>
                <w:rFonts w:ascii="Arial" w:eastAsia="Arial" w:hAnsi="Arial" w:cs="Arial"/>
                <w:b/>
                <w:bCs/>
                <w:color w:val="000000"/>
              </w:rPr>
              <w:t>Riñón</w:t>
            </w:r>
          </w:p>
        </w:tc>
        <w:tc>
          <w:tcPr>
            <w:tcW w:w="898" w:type="dxa"/>
            <w:shd w:val="clear" w:color="auto" w:fill="D9D9D9"/>
          </w:tcPr>
          <w:p w14:paraId="00000397" w14:textId="77777777" w:rsidR="001C40B0" w:rsidRDefault="00291712">
            <w:pPr>
              <w:pBdr>
                <w:top w:val="nil"/>
                <w:left w:val="nil"/>
                <w:bottom w:val="nil"/>
                <w:right w:val="nil"/>
                <w:between w:val="nil"/>
              </w:pBdr>
              <w:spacing w:before="1"/>
              <w:ind w:left="22" w:right="1"/>
              <w:jc w:val="center"/>
              <w:rPr>
                <w:rFonts w:ascii="Arial" w:eastAsia="Arial" w:hAnsi="Arial" w:cs="Arial"/>
                <w:b/>
                <w:bCs/>
                <w:color w:val="000000"/>
              </w:rPr>
            </w:pPr>
            <w:r>
              <w:rPr>
                <w:rFonts w:ascii="Arial" w:eastAsia="Arial" w:hAnsi="Arial" w:cs="Arial"/>
                <w:b/>
                <w:bCs/>
                <w:color w:val="000000"/>
              </w:rPr>
              <w:t>Total</w:t>
            </w:r>
          </w:p>
        </w:tc>
      </w:tr>
      <w:tr w:rsidR="001C40B0" w14:paraId="4890E257" w14:textId="77777777">
        <w:trPr>
          <w:trHeight w:val="402"/>
        </w:trPr>
        <w:tc>
          <w:tcPr>
            <w:tcW w:w="1597" w:type="dxa"/>
            <w:shd w:val="clear" w:color="auto" w:fill="D9D9D9"/>
          </w:tcPr>
          <w:p w14:paraId="00000398" w14:textId="77777777" w:rsidR="001C40B0" w:rsidRDefault="00291712">
            <w:pPr>
              <w:pBdr>
                <w:top w:val="nil"/>
                <w:left w:val="nil"/>
                <w:bottom w:val="nil"/>
                <w:right w:val="nil"/>
                <w:between w:val="nil"/>
              </w:pBdr>
              <w:spacing w:before="1"/>
              <w:ind w:left="21"/>
              <w:jc w:val="center"/>
              <w:rPr>
                <w:rFonts w:ascii="Arial" w:eastAsia="Arial" w:hAnsi="Arial" w:cs="Arial"/>
                <w:b/>
                <w:bCs/>
                <w:color w:val="000000"/>
              </w:rPr>
            </w:pPr>
            <w:r>
              <w:rPr>
                <w:rFonts w:ascii="Arial" w:eastAsia="Arial" w:hAnsi="Arial" w:cs="Arial"/>
                <w:b/>
                <w:bCs/>
                <w:color w:val="000000"/>
              </w:rPr>
              <w:t>2008</w:t>
            </w:r>
          </w:p>
        </w:tc>
        <w:tc>
          <w:tcPr>
            <w:tcW w:w="1104" w:type="dxa"/>
          </w:tcPr>
          <w:p w14:paraId="00000399" w14:textId="77777777" w:rsidR="001C40B0" w:rsidRDefault="00291712">
            <w:pPr>
              <w:pBdr>
                <w:top w:val="nil"/>
                <w:left w:val="nil"/>
                <w:bottom w:val="nil"/>
                <w:right w:val="nil"/>
                <w:between w:val="nil"/>
              </w:pBdr>
              <w:spacing w:before="1"/>
              <w:ind w:left="22" w:right="1"/>
              <w:jc w:val="center"/>
              <w:rPr>
                <w:rFonts w:ascii="Arial" w:eastAsia="Arial" w:hAnsi="Arial" w:cs="Arial"/>
                <w:color w:val="000000"/>
              </w:rPr>
            </w:pPr>
            <w:r>
              <w:rPr>
                <w:rFonts w:ascii="Arial" w:eastAsia="Arial" w:hAnsi="Arial" w:cs="Arial"/>
                <w:color w:val="000000"/>
              </w:rPr>
              <w:t>83</w:t>
            </w:r>
          </w:p>
        </w:tc>
        <w:tc>
          <w:tcPr>
            <w:tcW w:w="970" w:type="dxa"/>
          </w:tcPr>
          <w:p w14:paraId="0000039A" w14:textId="77777777" w:rsidR="001C40B0" w:rsidRDefault="00291712">
            <w:pPr>
              <w:pBdr>
                <w:top w:val="nil"/>
                <w:left w:val="nil"/>
                <w:bottom w:val="nil"/>
                <w:right w:val="nil"/>
                <w:between w:val="nil"/>
              </w:pBdr>
              <w:spacing w:before="1"/>
              <w:ind w:left="21"/>
              <w:jc w:val="center"/>
              <w:rPr>
                <w:rFonts w:ascii="Arial" w:eastAsia="Arial" w:hAnsi="Arial" w:cs="Arial"/>
                <w:color w:val="000000"/>
              </w:rPr>
            </w:pPr>
            <w:r>
              <w:rPr>
                <w:rFonts w:ascii="Arial" w:eastAsia="Arial" w:hAnsi="Arial" w:cs="Arial"/>
                <w:color w:val="000000"/>
              </w:rPr>
              <w:t>198</w:t>
            </w:r>
          </w:p>
        </w:tc>
        <w:tc>
          <w:tcPr>
            <w:tcW w:w="1148" w:type="dxa"/>
          </w:tcPr>
          <w:p w14:paraId="0000039B" w14:textId="77777777" w:rsidR="001C40B0" w:rsidRDefault="00291712">
            <w:pPr>
              <w:pBdr>
                <w:top w:val="nil"/>
                <w:left w:val="nil"/>
                <w:bottom w:val="nil"/>
                <w:right w:val="nil"/>
                <w:between w:val="nil"/>
              </w:pBdr>
              <w:spacing w:before="1"/>
              <w:ind w:left="23"/>
              <w:jc w:val="center"/>
              <w:rPr>
                <w:rFonts w:ascii="Arial" w:eastAsia="Arial" w:hAnsi="Arial" w:cs="Arial"/>
                <w:color w:val="000000"/>
              </w:rPr>
            </w:pPr>
            <w:r>
              <w:rPr>
                <w:rFonts w:ascii="Arial" w:eastAsia="Arial" w:hAnsi="Arial" w:cs="Arial"/>
                <w:color w:val="000000"/>
              </w:rPr>
              <w:t>2</w:t>
            </w:r>
          </w:p>
        </w:tc>
        <w:tc>
          <w:tcPr>
            <w:tcW w:w="1215" w:type="dxa"/>
          </w:tcPr>
          <w:p w14:paraId="0000039C" w14:textId="77777777" w:rsidR="001C40B0" w:rsidRDefault="00291712">
            <w:pPr>
              <w:pBdr>
                <w:top w:val="nil"/>
                <w:left w:val="nil"/>
                <w:bottom w:val="nil"/>
                <w:right w:val="nil"/>
                <w:between w:val="nil"/>
              </w:pBdr>
              <w:spacing w:before="1"/>
              <w:ind w:left="24"/>
              <w:jc w:val="center"/>
              <w:rPr>
                <w:rFonts w:ascii="Arial" w:eastAsia="Arial" w:hAnsi="Arial" w:cs="Arial"/>
                <w:color w:val="000000"/>
              </w:rPr>
            </w:pPr>
            <w:r>
              <w:rPr>
                <w:rFonts w:ascii="Arial" w:eastAsia="Arial" w:hAnsi="Arial" w:cs="Arial"/>
                <w:color w:val="000000"/>
              </w:rPr>
              <w:t>1</w:t>
            </w:r>
          </w:p>
        </w:tc>
        <w:tc>
          <w:tcPr>
            <w:tcW w:w="1028" w:type="dxa"/>
          </w:tcPr>
          <w:p w14:paraId="0000039D" w14:textId="77777777" w:rsidR="001C40B0" w:rsidRDefault="00291712">
            <w:pPr>
              <w:pBdr>
                <w:top w:val="nil"/>
                <w:left w:val="nil"/>
                <w:bottom w:val="nil"/>
                <w:right w:val="nil"/>
                <w:between w:val="nil"/>
              </w:pBdr>
              <w:spacing w:before="1"/>
              <w:ind w:left="20" w:right="1"/>
              <w:jc w:val="center"/>
              <w:rPr>
                <w:rFonts w:ascii="Arial" w:eastAsia="Arial" w:hAnsi="Arial" w:cs="Arial"/>
                <w:color w:val="000000"/>
              </w:rPr>
            </w:pPr>
            <w:r>
              <w:rPr>
                <w:rFonts w:ascii="Arial" w:eastAsia="Arial" w:hAnsi="Arial" w:cs="Arial"/>
                <w:color w:val="000000"/>
              </w:rPr>
              <w:t>14</w:t>
            </w:r>
          </w:p>
        </w:tc>
        <w:tc>
          <w:tcPr>
            <w:tcW w:w="879" w:type="dxa"/>
          </w:tcPr>
          <w:p w14:paraId="0000039E" w14:textId="77777777" w:rsidR="001C40B0" w:rsidRDefault="00291712">
            <w:pPr>
              <w:pBdr>
                <w:top w:val="nil"/>
                <w:left w:val="nil"/>
                <w:bottom w:val="nil"/>
                <w:right w:val="nil"/>
                <w:between w:val="nil"/>
              </w:pBdr>
              <w:spacing w:before="1"/>
              <w:ind w:left="17"/>
              <w:jc w:val="center"/>
              <w:rPr>
                <w:rFonts w:ascii="Arial" w:eastAsia="Arial" w:hAnsi="Arial" w:cs="Arial"/>
                <w:color w:val="000000"/>
              </w:rPr>
            </w:pPr>
            <w:r>
              <w:rPr>
                <w:rFonts w:ascii="Arial" w:eastAsia="Arial" w:hAnsi="Arial" w:cs="Arial"/>
                <w:color w:val="000000"/>
              </w:rPr>
              <w:t>705</w:t>
            </w:r>
          </w:p>
        </w:tc>
        <w:tc>
          <w:tcPr>
            <w:tcW w:w="898" w:type="dxa"/>
          </w:tcPr>
          <w:p w14:paraId="0000039F" w14:textId="77777777" w:rsidR="001C40B0" w:rsidRDefault="00291712">
            <w:pPr>
              <w:pBdr>
                <w:top w:val="nil"/>
                <w:left w:val="nil"/>
                <w:bottom w:val="nil"/>
                <w:right w:val="nil"/>
                <w:between w:val="nil"/>
              </w:pBdr>
              <w:spacing w:before="1"/>
              <w:ind w:left="22" w:right="1"/>
              <w:jc w:val="center"/>
              <w:rPr>
                <w:rFonts w:ascii="Arial" w:eastAsia="Arial" w:hAnsi="Arial" w:cs="Arial"/>
                <w:color w:val="000000"/>
              </w:rPr>
            </w:pPr>
            <w:r>
              <w:rPr>
                <w:rFonts w:ascii="Arial" w:eastAsia="Arial" w:hAnsi="Arial" w:cs="Arial"/>
                <w:color w:val="000000"/>
              </w:rPr>
              <w:t>1,003</w:t>
            </w:r>
          </w:p>
        </w:tc>
      </w:tr>
      <w:tr w:rsidR="001C40B0" w14:paraId="7947F75F" w14:textId="77777777">
        <w:trPr>
          <w:trHeight w:val="402"/>
        </w:trPr>
        <w:tc>
          <w:tcPr>
            <w:tcW w:w="1597" w:type="dxa"/>
            <w:shd w:val="clear" w:color="auto" w:fill="D9D9D9"/>
          </w:tcPr>
          <w:p w14:paraId="000003A0" w14:textId="77777777" w:rsidR="001C40B0" w:rsidRDefault="00291712">
            <w:pPr>
              <w:pBdr>
                <w:top w:val="nil"/>
                <w:left w:val="nil"/>
                <w:bottom w:val="nil"/>
                <w:right w:val="nil"/>
                <w:between w:val="nil"/>
              </w:pBdr>
              <w:spacing w:before="1"/>
              <w:ind w:left="21"/>
              <w:jc w:val="center"/>
              <w:rPr>
                <w:rFonts w:ascii="Arial" w:eastAsia="Arial" w:hAnsi="Arial" w:cs="Arial"/>
                <w:b/>
                <w:bCs/>
                <w:color w:val="000000"/>
              </w:rPr>
            </w:pPr>
            <w:r>
              <w:rPr>
                <w:rFonts w:ascii="Arial" w:eastAsia="Arial" w:hAnsi="Arial" w:cs="Arial"/>
                <w:b/>
                <w:bCs/>
                <w:color w:val="000000"/>
              </w:rPr>
              <w:t>2009</w:t>
            </w:r>
          </w:p>
        </w:tc>
        <w:tc>
          <w:tcPr>
            <w:tcW w:w="1104" w:type="dxa"/>
          </w:tcPr>
          <w:p w14:paraId="000003A1" w14:textId="77777777" w:rsidR="001C40B0" w:rsidRDefault="00291712">
            <w:pPr>
              <w:pBdr>
                <w:top w:val="nil"/>
                <w:left w:val="nil"/>
                <w:bottom w:val="nil"/>
                <w:right w:val="nil"/>
                <w:between w:val="nil"/>
              </w:pBdr>
              <w:spacing w:before="1"/>
              <w:ind w:left="22" w:right="1"/>
              <w:jc w:val="center"/>
              <w:rPr>
                <w:rFonts w:ascii="Arial" w:eastAsia="Arial" w:hAnsi="Arial" w:cs="Arial"/>
                <w:color w:val="000000"/>
              </w:rPr>
            </w:pPr>
            <w:r>
              <w:rPr>
                <w:rFonts w:ascii="Arial" w:eastAsia="Arial" w:hAnsi="Arial" w:cs="Arial"/>
                <w:color w:val="000000"/>
              </w:rPr>
              <w:t>59</w:t>
            </w:r>
          </w:p>
        </w:tc>
        <w:tc>
          <w:tcPr>
            <w:tcW w:w="970" w:type="dxa"/>
          </w:tcPr>
          <w:p w14:paraId="000003A2" w14:textId="77777777" w:rsidR="001C40B0" w:rsidRDefault="00291712">
            <w:pPr>
              <w:pBdr>
                <w:top w:val="nil"/>
                <w:left w:val="nil"/>
                <w:bottom w:val="nil"/>
                <w:right w:val="nil"/>
                <w:between w:val="nil"/>
              </w:pBdr>
              <w:spacing w:before="1"/>
              <w:ind w:left="21"/>
              <w:jc w:val="center"/>
              <w:rPr>
                <w:rFonts w:ascii="Arial" w:eastAsia="Arial" w:hAnsi="Arial" w:cs="Arial"/>
                <w:color w:val="000000"/>
              </w:rPr>
            </w:pPr>
            <w:r>
              <w:rPr>
                <w:rFonts w:ascii="Arial" w:eastAsia="Arial" w:hAnsi="Arial" w:cs="Arial"/>
                <w:color w:val="000000"/>
              </w:rPr>
              <w:t>255</w:t>
            </w:r>
          </w:p>
        </w:tc>
        <w:tc>
          <w:tcPr>
            <w:tcW w:w="1148" w:type="dxa"/>
          </w:tcPr>
          <w:p w14:paraId="000003A3" w14:textId="77777777" w:rsidR="001C40B0" w:rsidRDefault="00291712">
            <w:pPr>
              <w:pBdr>
                <w:top w:val="nil"/>
                <w:left w:val="nil"/>
                <w:bottom w:val="nil"/>
                <w:right w:val="nil"/>
                <w:between w:val="nil"/>
              </w:pBdr>
              <w:spacing w:before="1"/>
              <w:ind w:left="23"/>
              <w:jc w:val="center"/>
              <w:rPr>
                <w:rFonts w:ascii="Arial" w:eastAsia="Arial" w:hAnsi="Arial" w:cs="Arial"/>
                <w:color w:val="000000"/>
              </w:rPr>
            </w:pPr>
            <w:r>
              <w:rPr>
                <w:rFonts w:ascii="Arial" w:eastAsia="Arial" w:hAnsi="Arial" w:cs="Arial"/>
                <w:color w:val="000000"/>
              </w:rPr>
              <w:t>0</w:t>
            </w:r>
          </w:p>
        </w:tc>
        <w:tc>
          <w:tcPr>
            <w:tcW w:w="1215" w:type="dxa"/>
          </w:tcPr>
          <w:p w14:paraId="000003A4" w14:textId="77777777" w:rsidR="001C40B0" w:rsidRDefault="00291712">
            <w:pPr>
              <w:pBdr>
                <w:top w:val="nil"/>
                <w:left w:val="nil"/>
                <w:bottom w:val="nil"/>
                <w:right w:val="nil"/>
                <w:between w:val="nil"/>
              </w:pBdr>
              <w:spacing w:before="1"/>
              <w:ind w:left="24"/>
              <w:jc w:val="center"/>
              <w:rPr>
                <w:rFonts w:ascii="Arial" w:eastAsia="Arial" w:hAnsi="Arial" w:cs="Arial"/>
                <w:color w:val="000000"/>
              </w:rPr>
            </w:pPr>
            <w:r>
              <w:rPr>
                <w:rFonts w:ascii="Arial" w:eastAsia="Arial" w:hAnsi="Arial" w:cs="Arial"/>
                <w:color w:val="000000"/>
              </w:rPr>
              <w:t>0</w:t>
            </w:r>
          </w:p>
        </w:tc>
        <w:tc>
          <w:tcPr>
            <w:tcW w:w="1028" w:type="dxa"/>
          </w:tcPr>
          <w:p w14:paraId="000003A5" w14:textId="77777777" w:rsidR="001C40B0" w:rsidRDefault="00291712">
            <w:pPr>
              <w:pBdr>
                <w:top w:val="nil"/>
                <w:left w:val="nil"/>
                <w:bottom w:val="nil"/>
                <w:right w:val="nil"/>
                <w:between w:val="nil"/>
              </w:pBdr>
              <w:spacing w:before="1"/>
              <w:ind w:left="20" w:right="1"/>
              <w:jc w:val="center"/>
              <w:rPr>
                <w:rFonts w:ascii="Arial" w:eastAsia="Arial" w:hAnsi="Arial" w:cs="Arial"/>
                <w:color w:val="000000"/>
              </w:rPr>
            </w:pPr>
            <w:r>
              <w:rPr>
                <w:rFonts w:ascii="Arial" w:eastAsia="Arial" w:hAnsi="Arial" w:cs="Arial"/>
                <w:color w:val="000000"/>
              </w:rPr>
              <w:t>12</w:t>
            </w:r>
          </w:p>
        </w:tc>
        <w:tc>
          <w:tcPr>
            <w:tcW w:w="879" w:type="dxa"/>
          </w:tcPr>
          <w:p w14:paraId="000003A6" w14:textId="77777777" w:rsidR="001C40B0" w:rsidRDefault="00291712">
            <w:pPr>
              <w:pBdr>
                <w:top w:val="nil"/>
                <w:left w:val="nil"/>
                <w:bottom w:val="nil"/>
                <w:right w:val="nil"/>
                <w:between w:val="nil"/>
              </w:pBdr>
              <w:spacing w:before="1"/>
              <w:ind w:left="17"/>
              <w:jc w:val="center"/>
              <w:rPr>
                <w:rFonts w:ascii="Arial" w:eastAsia="Arial" w:hAnsi="Arial" w:cs="Arial"/>
                <w:color w:val="000000"/>
              </w:rPr>
            </w:pPr>
            <w:r>
              <w:rPr>
                <w:rFonts w:ascii="Arial" w:eastAsia="Arial" w:hAnsi="Arial" w:cs="Arial"/>
                <w:color w:val="000000"/>
              </w:rPr>
              <w:t>843</w:t>
            </w:r>
          </w:p>
        </w:tc>
        <w:tc>
          <w:tcPr>
            <w:tcW w:w="898" w:type="dxa"/>
          </w:tcPr>
          <w:p w14:paraId="000003A7" w14:textId="77777777" w:rsidR="001C40B0" w:rsidRDefault="00291712">
            <w:pPr>
              <w:pBdr>
                <w:top w:val="nil"/>
                <w:left w:val="nil"/>
                <w:bottom w:val="nil"/>
                <w:right w:val="nil"/>
                <w:between w:val="nil"/>
              </w:pBdr>
              <w:spacing w:before="1"/>
              <w:ind w:left="22" w:right="1"/>
              <w:jc w:val="center"/>
              <w:rPr>
                <w:rFonts w:ascii="Arial" w:eastAsia="Arial" w:hAnsi="Arial" w:cs="Arial"/>
                <w:color w:val="000000"/>
              </w:rPr>
            </w:pPr>
            <w:r>
              <w:rPr>
                <w:rFonts w:ascii="Arial" w:eastAsia="Arial" w:hAnsi="Arial" w:cs="Arial"/>
                <w:color w:val="000000"/>
              </w:rPr>
              <w:t>1,169</w:t>
            </w:r>
          </w:p>
        </w:tc>
      </w:tr>
      <w:tr w:rsidR="001C40B0" w14:paraId="58E9FA8F" w14:textId="77777777">
        <w:trPr>
          <w:trHeight w:val="402"/>
        </w:trPr>
        <w:tc>
          <w:tcPr>
            <w:tcW w:w="1597" w:type="dxa"/>
            <w:shd w:val="clear" w:color="auto" w:fill="D9D9D9"/>
          </w:tcPr>
          <w:p w14:paraId="000003A8" w14:textId="77777777" w:rsidR="001C40B0" w:rsidRDefault="00291712">
            <w:pPr>
              <w:pBdr>
                <w:top w:val="nil"/>
                <w:left w:val="nil"/>
                <w:bottom w:val="nil"/>
                <w:right w:val="nil"/>
                <w:between w:val="nil"/>
              </w:pBdr>
              <w:spacing w:before="1"/>
              <w:ind w:left="21"/>
              <w:jc w:val="center"/>
              <w:rPr>
                <w:rFonts w:ascii="Arial" w:eastAsia="Arial" w:hAnsi="Arial" w:cs="Arial"/>
                <w:b/>
                <w:bCs/>
                <w:color w:val="000000"/>
              </w:rPr>
            </w:pPr>
            <w:r>
              <w:rPr>
                <w:rFonts w:ascii="Arial" w:eastAsia="Arial" w:hAnsi="Arial" w:cs="Arial"/>
                <w:b/>
                <w:bCs/>
                <w:color w:val="000000"/>
              </w:rPr>
              <w:t>2010</w:t>
            </w:r>
          </w:p>
        </w:tc>
        <w:tc>
          <w:tcPr>
            <w:tcW w:w="1104" w:type="dxa"/>
          </w:tcPr>
          <w:p w14:paraId="000003A9" w14:textId="77777777" w:rsidR="001C40B0" w:rsidRDefault="00291712">
            <w:pPr>
              <w:pBdr>
                <w:top w:val="nil"/>
                <w:left w:val="nil"/>
                <w:bottom w:val="nil"/>
                <w:right w:val="nil"/>
                <w:between w:val="nil"/>
              </w:pBdr>
              <w:spacing w:before="1"/>
              <w:ind w:left="22" w:right="1"/>
              <w:jc w:val="center"/>
              <w:rPr>
                <w:rFonts w:ascii="Arial" w:eastAsia="Arial" w:hAnsi="Arial" w:cs="Arial"/>
                <w:color w:val="000000"/>
              </w:rPr>
            </w:pPr>
            <w:r>
              <w:rPr>
                <w:rFonts w:ascii="Arial" w:eastAsia="Arial" w:hAnsi="Arial" w:cs="Arial"/>
                <w:color w:val="000000"/>
              </w:rPr>
              <w:t>66</w:t>
            </w:r>
          </w:p>
        </w:tc>
        <w:tc>
          <w:tcPr>
            <w:tcW w:w="970" w:type="dxa"/>
          </w:tcPr>
          <w:p w14:paraId="000003AA" w14:textId="77777777" w:rsidR="001C40B0" w:rsidRDefault="00291712">
            <w:pPr>
              <w:pBdr>
                <w:top w:val="nil"/>
                <w:left w:val="nil"/>
                <w:bottom w:val="nil"/>
                <w:right w:val="nil"/>
                <w:between w:val="nil"/>
              </w:pBdr>
              <w:spacing w:before="1"/>
              <w:ind w:left="21"/>
              <w:jc w:val="center"/>
              <w:rPr>
                <w:rFonts w:ascii="Arial" w:eastAsia="Arial" w:hAnsi="Arial" w:cs="Arial"/>
                <w:color w:val="000000"/>
              </w:rPr>
            </w:pPr>
            <w:r>
              <w:rPr>
                <w:rFonts w:ascii="Arial" w:eastAsia="Arial" w:hAnsi="Arial" w:cs="Arial"/>
                <w:color w:val="000000"/>
              </w:rPr>
              <w:t>233</w:t>
            </w:r>
          </w:p>
        </w:tc>
        <w:tc>
          <w:tcPr>
            <w:tcW w:w="1148" w:type="dxa"/>
          </w:tcPr>
          <w:p w14:paraId="000003AB" w14:textId="77777777" w:rsidR="001C40B0" w:rsidRDefault="00291712">
            <w:pPr>
              <w:pBdr>
                <w:top w:val="nil"/>
                <w:left w:val="nil"/>
                <w:bottom w:val="nil"/>
                <w:right w:val="nil"/>
                <w:between w:val="nil"/>
              </w:pBdr>
              <w:spacing w:before="1"/>
              <w:ind w:left="23"/>
              <w:jc w:val="center"/>
              <w:rPr>
                <w:rFonts w:ascii="Arial" w:eastAsia="Arial" w:hAnsi="Arial" w:cs="Arial"/>
                <w:color w:val="000000"/>
              </w:rPr>
            </w:pPr>
            <w:r>
              <w:rPr>
                <w:rFonts w:ascii="Arial" w:eastAsia="Arial" w:hAnsi="Arial" w:cs="Arial"/>
                <w:color w:val="000000"/>
              </w:rPr>
              <w:t>6</w:t>
            </w:r>
          </w:p>
        </w:tc>
        <w:tc>
          <w:tcPr>
            <w:tcW w:w="1215" w:type="dxa"/>
          </w:tcPr>
          <w:p w14:paraId="000003AC" w14:textId="77777777" w:rsidR="001C40B0" w:rsidRDefault="00291712">
            <w:pPr>
              <w:pBdr>
                <w:top w:val="nil"/>
                <w:left w:val="nil"/>
                <w:bottom w:val="nil"/>
                <w:right w:val="nil"/>
                <w:between w:val="nil"/>
              </w:pBdr>
              <w:spacing w:before="1"/>
              <w:ind w:left="24" w:right="1"/>
              <w:jc w:val="center"/>
              <w:rPr>
                <w:rFonts w:ascii="Arial" w:eastAsia="Arial" w:hAnsi="Arial" w:cs="Arial"/>
                <w:color w:val="000000"/>
              </w:rPr>
            </w:pPr>
            <w:r>
              <w:rPr>
                <w:rFonts w:ascii="Arial" w:eastAsia="Arial" w:hAnsi="Arial" w:cs="Arial"/>
                <w:color w:val="000000"/>
              </w:rPr>
              <w:t>15</w:t>
            </w:r>
          </w:p>
        </w:tc>
        <w:tc>
          <w:tcPr>
            <w:tcW w:w="1028" w:type="dxa"/>
          </w:tcPr>
          <w:p w14:paraId="000003AD" w14:textId="77777777" w:rsidR="001C40B0" w:rsidRDefault="00291712">
            <w:pPr>
              <w:pBdr>
                <w:top w:val="nil"/>
                <w:left w:val="nil"/>
                <w:bottom w:val="nil"/>
                <w:right w:val="nil"/>
                <w:between w:val="nil"/>
              </w:pBdr>
              <w:spacing w:before="1"/>
              <w:ind w:left="20" w:right="1"/>
              <w:jc w:val="center"/>
              <w:rPr>
                <w:rFonts w:ascii="Arial" w:eastAsia="Arial" w:hAnsi="Arial" w:cs="Arial"/>
                <w:color w:val="000000"/>
              </w:rPr>
            </w:pPr>
            <w:r>
              <w:rPr>
                <w:rFonts w:ascii="Arial" w:eastAsia="Arial" w:hAnsi="Arial" w:cs="Arial"/>
                <w:color w:val="000000"/>
              </w:rPr>
              <w:t>12</w:t>
            </w:r>
          </w:p>
        </w:tc>
        <w:tc>
          <w:tcPr>
            <w:tcW w:w="879" w:type="dxa"/>
          </w:tcPr>
          <w:p w14:paraId="000003AE" w14:textId="77777777" w:rsidR="001C40B0" w:rsidRDefault="00291712">
            <w:pPr>
              <w:pBdr>
                <w:top w:val="nil"/>
                <w:left w:val="nil"/>
                <w:bottom w:val="nil"/>
                <w:right w:val="nil"/>
                <w:between w:val="nil"/>
              </w:pBdr>
              <w:spacing w:before="1"/>
              <w:ind w:left="17"/>
              <w:jc w:val="center"/>
              <w:rPr>
                <w:rFonts w:ascii="Arial" w:eastAsia="Arial" w:hAnsi="Arial" w:cs="Arial"/>
                <w:color w:val="000000"/>
              </w:rPr>
            </w:pPr>
            <w:r>
              <w:rPr>
                <w:rFonts w:ascii="Arial" w:eastAsia="Arial" w:hAnsi="Arial" w:cs="Arial"/>
                <w:color w:val="000000"/>
              </w:rPr>
              <w:t>848</w:t>
            </w:r>
          </w:p>
        </w:tc>
        <w:tc>
          <w:tcPr>
            <w:tcW w:w="898" w:type="dxa"/>
          </w:tcPr>
          <w:p w14:paraId="000003AF" w14:textId="77777777" w:rsidR="001C40B0" w:rsidRDefault="00291712">
            <w:pPr>
              <w:pBdr>
                <w:top w:val="nil"/>
                <w:left w:val="nil"/>
                <w:bottom w:val="nil"/>
                <w:right w:val="nil"/>
                <w:between w:val="nil"/>
              </w:pBdr>
              <w:spacing w:before="1"/>
              <w:ind w:left="22" w:right="1"/>
              <w:jc w:val="center"/>
              <w:rPr>
                <w:rFonts w:ascii="Arial" w:eastAsia="Arial" w:hAnsi="Arial" w:cs="Arial"/>
                <w:color w:val="000000"/>
              </w:rPr>
            </w:pPr>
            <w:r>
              <w:rPr>
                <w:rFonts w:ascii="Arial" w:eastAsia="Arial" w:hAnsi="Arial" w:cs="Arial"/>
                <w:color w:val="000000"/>
              </w:rPr>
              <w:t>1,180</w:t>
            </w:r>
          </w:p>
        </w:tc>
      </w:tr>
      <w:tr w:rsidR="001C40B0" w14:paraId="233E3451" w14:textId="77777777">
        <w:trPr>
          <w:trHeight w:val="402"/>
        </w:trPr>
        <w:tc>
          <w:tcPr>
            <w:tcW w:w="1597" w:type="dxa"/>
            <w:shd w:val="clear" w:color="auto" w:fill="D9D9D9"/>
          </w:tcPr>
          <w:p w14:paraId="000003B0" w14:textId="77777777" w:rsidR="001C40B0" w:rsidRDefault="00291712">
            <w:pPr>
              <w:pBdr>
                <w:top w:val="nil"/>
                <w:left w:val="nil"/>
                <w:bottom w:val="nil"/>
                <w:right w:val="nil"/>
                <w:between w:val="nil"/>
              </w:pBdr>
              <w:spacing w:before="1"/>
              <w:ind w:left="21"/>
              <w:jc w:val="center"/>
              <w:rPr>
                <w:rFonts w:ascii="Arial" w:eastAsia="Arial" w:hAnsi="Arial" w:cs="Arial"/>
                <w:b/>
                <w:bCs/>
                <w:color w:val="000000"/>
              </w:rPr>
            </w:pPr>
            <w:r>
              <w:rPr>
                <w:rFonts w:ascii="Arial" w:eastAsia="Arial" w:hAnsi="Arial" w:cs="Arial"/>
                <w:b/>
                <w:bCs/>
                <w:color w:val="000000"/>
              </w:rPr>
              <w:t>2011</w:t>
            </w:r>
          </w:p>
        </w:tc>
        <w:tc>
          <w:tcPr>
            <w:tcW w:w="1104" w:type="dxa"/>
          </w:tcPr>
          <w:p w14:paraId="000003B1" w14:textId="77777777" w:rsidR="001C40B0" w:rsidRDefault="00291712">
            <w:pPr>
              <w:pBdr>
                <w:top w:val="nil"/>
                <w:left w:val="nil"/>
                <w:bottom w:val="nil"/>
                <w:right w:val="nil"/>
                <w:between w:val="nil"/>
              </w:pBdr>
              <w:spacing w:before="1"/>
              <w:ind w:left="22" w:right="1"/>
              <w:jc w:val="center"/>
              <w:rPr>
                <w:rFonts w:ascii="Arial" w:eastAsia="Arial" w:hAnsi="Arial" w:cs="Arial"/>
                <w:color w:val="000000"/>
              </w:rPr>
            </w:pPr>
            <w:r>
              <w:rPr>
                <w:rFonts w:ascii="Arial" w:eastAsia="Arial" w:hAnsi="Arial" w:cs="Arial"/>
                <w:color w:val="000000"/>
              </w:rPr>
              <w:t>83</w:t>
            </w:r>
          </w:p>
        </w:tc>
        <w:tc>
          <w:tcPr>
            <w:tcW w:w="970" w:type="dxa"/>
          </w:tcPr>
          <w:p w14:paraId="000003B2" w14:textId="77777777" w:rsidR="001C40B0" w:rsidRDefault="00291712">
            <w:pPr>
              <w:pBdr>
                <w:top w:val="nil"/>
                <w:left w:val="nil"/>
                <w:bottom w:val="nil"/>
                <w:right w:val="nil"/>
                <w:between w:val="nil"/>
              </w:pBdr>
              <w:spacing w:before="1"/>
              <w:ind w:left="21"/>
              <w:jc w:val="center"/>
              <w:rPr>
                <w:rFonts w:ascii="Arial" w:eastAsia="Arial" w:hAnsi="Arial" w:cs="Arial"/>
                <w:color w:val="000000"/>
              </w:rPr>
            </w:pPr>
            <w:r>
              <w:rPr>
                <w:rFonts w:ascii="Arial" w:eastAsia="Arial" w:hAnsi="Arial" w:cs="Arial"/>
                <w:color w:val="000000"/>
              </w:rPr>
              <w:t>196</w:t>
            </w:r>
          </w:p>
        </w:tc>
        <w:tc>
          <w:tcPr>
            <w:tcW w:w="1148" w:type="dxa"/>
          </w:tcPr>
          <w:p w14:paraId="000003B3" w14:textId="77777777" w:rsidR="001C40B0" w:rsidRDefault="00291712">
            <w:pPr>
              <w:pBdr>
                <w:top w:val="nil"/>
                <w:left w:val="nil"/>
                <w:bottom w:val="nil"/>
                <w:right w:val="nil"/>
                <w:between w:val="nil"/>
              </w:pBdr>
              <w:spacing w:before="1"/>
              <w:ind w:left="23"/>
              <w:jc w:val="center"/>
              <w:rPr>
                <w:rFonts w:ascii="Arial" w:eastAsia="Arial" w:hAnsi="Arial" w:cs="Arial"/>
                <w:color w:val="000000"/>
              </w:rPr>
            </w:pPr>
            <w:r>
              <w:rPr>
                <w:rFonts w:ascii="Arial" w:eastAsia="Arial" w:hAnsi="Arial" w:cs="Arial"/>
                <w:color w:val="000000"/>
              </w:rPr>
              <w:t>2</w:t>
            </w:r>
          </w:p>
        </w:tc>
        <w:tc>
          <w:tcPr>
            <w:tcW w:w="1215" w:type="dxa"/>
          </w:tcPr>
          <w:p w14:paraId="000003B4" w14:textId="77777777" w:rsidR="001C40B0" w:rsidRDefault="00291712">
            <w:pPr>
              <w:pBdr>
                <w:top w:val="nil"/>
                <w:left w:val="nil"/>
                <w:bottom w:val="nil"/>
                <w:right w:val="nil"/>
                <w:between w:val="nil"/>
              </w:pBdr>
              <w:spacing w:before="1"/>
              <w:ind w:left="24"/>
              <w:jc w:val="center"/>
              <w:rPr>
                <w:rFonts w:ascii="Arial" w:eastAsia="Arial" w:hAnsi="Arial" w:cs="Arial"/>
                <w:color w:val="000000"/>
              </w:rPr>
            </w:pPr>
            <w:r>
              <w:rPr>
                <w:rFonts w:ascii="Arial" w:eastAsia="Arial" w:hAnsi="Arial" w:cs="Arial"/>
                <w:color w:val="000000"/>
              </w:rPr>
              <w:t>1</w:t>
            </w:r>
          </w:p>
        </w:tc>
        <w:tc>
          <w:tcPr>
            <w:tcW w:w="1028" w:type="dxa"/>
          </w:tcPr>
          <w:p w14:paraId="000003B5" w14:textId="77777777" w:rsidR="001C40B0" w:rsidRDefault="00291712">
            <w:pPr>
              <w:pBdr>
                <w:top w:val="nil"/>
                <w:left w:val="nil"/>
                <w:bottom w:val="nil"/>
                <w:right w:val="nil"/>
                <w:between w:val="nil"/>
              </w:pBdr>
              <w:spacing w:before="1"/>
              <w:ind w:left="20"/>
              <w:jc w:val="center"/>
              <w:rPr>
                <w:rFonts w:ascii="Arial" w:eastAsia="Arial" w:hAnsi="Arial" w:cs="Arial"/>
                <w:color w:val="000000"/>
              </w:rPr>
            </w:pPr>
            <w:r>
              <w:rPr>
                <w:rFonts w:ascii="Arial" w:eastAsia="Arial" w:hAnsi="Arial" w:cs="Arial"/>
                <w:color w:val="000000"/>
              </w:rPr>
              <w:t>8</w:t>
            </w:r>
          </w:p>
        </w:tc>
        <w:tc>
          <w:tcPr>
            <w:tcW w:w="879" w:type="dxa"/>
          </w:tcPr>
          <w:p w14:paraId="000003B6" w14:textId="77777777" w:rsidR="001C40B0" w:rsidRDefault="00291712">
            <w:pPr>
              <w:pBdr>
                <w:top w:val="nil"/>
                <w:left w:val="nil"/>
                <w:bottom w:val="nil"/>
                <w:right w:val="nil"/>
                <w:between w:val="nil"/>
              </w:pBdr>
              <w:spacing w:before="1"/>
              <w:ind w:left="17"/>
              <w:jc w:val="center"/>
              <w:rPr>
                <w:rFonts w:ascii="Arial" w:eastAsia="Arial" w:hAnsi="Arial" w:cs="Arial"/>
                <w:color w:val="000000"/>
              </w:rPr>
            </w:pPr>
            <w:r>
              <w:rPr>
                <w:rFonts w:ascii="Arial" w:eastAsia="Arial" w:hAnsi="Arial" w:cs="Arial"/>
                <w:color w:val="000000"/>
              </w:rPr>
              <w:t>759</w:t>
            </w:r>
          </w:p>
        </w:tc>
        <w:tc>
          <w:tcPr>
            <w:tcW w:w="898" w:type="dxa"/>
          </w:tcPr>
          <w:p w14:paraId="000003B7" w14:textId="77777777" w:rsidR="001C40B0" w:rsidRDefault="00291712">
            <w:pPr>
              <w:pBdr>
                <w:top w:val="nil"/>
                <w:left w:val="nil"/>
                <w:bottom w:val="nil"/>
                <w:right w:val="nil"/>
                <w:between w:val="nil"/>
              </w:pBdr>
              <w:spacing w:before="1"/>
              <w:ind w:left="22" w:right="1"/>
              <w:jc w:val="center"/>
              <w:rPr>
                <w:rFonts w:ascii="Arial" w:eastAsia="Arial" w:hAnsi="Arial" w:cs="Arial"/>
                <w:color w:val="000000"/>
              </w:rPr>
            </w:pPr>
            <w:r>
              <w:rPr>
                <w:rFonts w:ascii="Arial" w:eastAsia="Arial" w:hAnsi="Arial" w:cs="Arial"/>
                <w:color w:val="000000"/>
              </w:rPr>
              <w:t>1,049</w:t>
            </w:r>
          </w:p>
        </w:tc>
      </w:tr>
      <w:tr w:rsidR="001C40B0" w14:paraId="2469BE46" w14:textId="77777777">
        <w:trPr>
          <w:trHeight w:val="402"/>
        </w:trPr>
        <w:tc>
          <w:tcPr>
            <w:tcW w:w="1597" w:type="dxa"/>
            <w:shd w:val="clear" w:color="auto" w:fill="D9D9D9"/>
          </w:tcPr>
          <w:p w14:paraId="000003B8" w14:textId="77777777" w:rsidR="001C40B0" w:rsidRDefault="00291712">
            <w:pPr>
              <w:pBdr>
                <w:top w:val="nil"/>
                <w:left w:val="nil"/>
                <w:bottom w:val="nil"/>
                <w:right w:val="nil"/>
                <w:between w:val="nil"/>
              </w:pBdr>
              <w:spacing w:before="1"/>
              <w:ind w:left="21"/>
              <w:jc w:val="center"/>
              <w:rPr>
                <w:rFonts w:ascii="Arial" w:eastAsia="Arial" w:hAnsi="Arial" w:cs="Arial"/>
                <w:b/>
                <w:bCs/>
                <w:color w:val="000000"/>
              </w:rPr>
            </w:pPr>
            <w:r>
              <w:rPr>
                <w:rFonts w:ascii="Arial" w:eastAsia="Arial" w:hAnsi="Arial" w:cs="Arial"/>
                <w:b/>
                <w:bCs/>
                <w:color w:val="000000"/>
              </w:rPr>
              <w:lastRenderedPageBreak/>
              <w:t>2012</w:t>
            </w:r>
          </w:p>
        </w:tc>
        <w:tc>
          <w:tcPr>
            <w:tcW w:w="1104" w:type="dxa"/>
          </w:tcPr>
          <w:p w14:paraId="000003B9" w14:textId="77777777" w:rsidR="001C40B0" w:rsidRDefault="00291712">
            <w:pPr>
              <w:pBdr>
                <w:top w:val="nil"/>
                <w:left w:val="nil"/>
                <w:bottom w:val="nil"/>
                <w:right w:val="nil"/>
                <w:between w:val="nil"/>
              </w:pBdr>
              <w:spacing w:before="1"/>
              <w:ind w:left="22" w:right="1"/>
              <w:jc w:val="center"/>
              <w:rPr>
                <w:rFonts w:ascii="Arial" w:eastAsia="Arial" w:hAnsi="Arial" w:cs="Arial"/>
                <w:color w:val="000000"/>
              </w:rPr>
            </w:pPr>
            <w:r>
              <w:rPr>
                <w:rFonts w:ascii="Arial" w:eastAsia="Arial" w:hAnsi="Arial" w:cs="Arial"/>
                <w:color w:val="000000"/>
              </w:rPr>
              <w:t>101</w:t>
            </w:r>
          </w:p>
        </w:tc>
        <w:tc>
          <w:tcPr>
            <w:tcW w:w="970" w:type="dxa"/>
          </w:tcPr>
          <w:p w14:paraId="000003BA" w14:textId="77777777" w:rsidR="001C40B0" w:rsidRDefault="00291712">
            <w:pPr>
              <w:pBdr>
                <w:top w:val="nil"/>
                <w:left w:val="nil"/>
                <w:bottom w:val="nil"/>
                <w:right w:val="nil"/>
                <w:between w:val="nil"/>
              </w:pBdr>
              <w:spacing w:before="1"/>
              <w:ind w:left="21"/>
              <w:jc w:val="center"/>
              <w:rPr>
                <w:rFonts w:ascii="Arial" w:eastAsia="Arial" w:hAnsi="Arial" w:cs="Arial"/>
                <w:color w:val="000000"/>
              </w:rPr>
            </w:pPr>
            <w:r>
              <w:rPr>
                <w:rFonts w:ascii="Arial" w:eastAsia="Arial" w:hAnsi="Arial" w:cs="Arial"/>
                <w:color w:val="000000"/>
              </w:rPr>
              <w:t>217</w:t>
            </w:r>
          </w:p>
        </w:tc>
        <w:tc>
          <w:tcPr>
            <w:tcW w:w="1148" w:type="dxa"/>
          </w:tcPr>
          <w:p w14:paraId="000003BB" w14:textId="77777777" w:rsidR="001C40B0" w:rsidRDefault="00291712">
            <w:pPr>
              <w:pBdr>
                <w:top w:val="nil"/>
                <w:left w:val="nil"/>
                <w:bottom w:val="nil"/>
                <w:right w:val="nil"/>
                <w:between w:val="nil"/>
              </w:pBdr>
              <w:spacing w:before="1"/>
              <w:ind w:left="23"/>
              <w:jc w:val="center"/>
              <w:rPr>
                <w:rFonts w:ascii="Arial" w:eastAsia="Arial" w:hAnsi="Arial" w:cs="Arial"/>
                <w:color w:val="000000"/>
              </w:rPr>
            </w:pPr>
            <w:r>
              <w:rPr>
                <w:rFonts w:ascii="Arial" w:eastAsia="Arial" w:hAnsi="Arial" w:cs="Arial"/>
                <w:color w:val="000000"/>
              </w:rPr>
              <w:t>9</w:t>
            </w:r>
          </w:p>
        </w:tc>
        <w:tc>
          <w:tcPr>
            <w:tcW w:w="1215" w:type="dxa"/>
          </w:tcPr>
          <w:p w14:paraId="000003BC" w14:textId="77777777" w:rsidR="001C40B0" w:rsidRDefault="00291712">
            <w:pPr>
              <w:pBdr>
                <w:top w:val="nil"/>
                <w:left w:val="nil"/>
                <w:bottom w:val="nil"/>
                <w:right w:val="nil"/>
                <w:between w:val="nil"/>
              </w:pBdr>
              <w:spacing w:before="1"/>
              <w:ind w:left="24" w:right="1"/>
              <w:jc w:val="center"/>
              <w:rPr>
                <w:rFonts w:ascii="Arial" w:eastAsia="Arial" w:hAnsi="Arial" w:cs="Arial"/>
                <w:color w:val="000000"/>
              </w:rPr>
            </w:pPr>
            <w:r>
              <w:rPr>
                <w:rFonts w:ascii="Arial" w:eastAsia="Arial" w:hAnsi="Arial" w:cs="Arial"/>
                <w:color w:val="000000"/>
              </w:rPr>
              <w:t>10</w:t>
            </w:r>
          </w:p>
        </w:tc>
        <w:tc>
          <w:tcPr>
            <w:tcW w:w="1028" w:type="dxa"/>
          </w:tcPr>
          <w:p w14:paraId="000003BD" w14:textId="77777777" w:rsidR="001C40B0" w:rsidRDefault="00291712">
            <w:pPr>
              <w:pBdr>
                <w:top w:val="nil"/>
                <w:left w:val="nil"/>
                <w:bottom w:val="nil"/>
                <w:right w:val="nil"/>
                <w:between w:val="nil"/>
              </w:pBdr>
              <w:spacing w:before="1"/>
              <w:ind w:left="20" w:right="1"/>
              <w:jc w:val="center"/>
              <w:rPr>
                <w:rFonts w:ascii="Arial" w:eastAsia="Arial" w:hAnsi="Arial" w:cs="Arial"/>
                <w:color w:val="000000"/>
              </w:rPr>
            </w:pPr>
            <w:r>
              <w:rPr>
                <w:rFonts w:ascii="Arial" w:eastAsia="Arial" w:hAnsi="Arial" w:cs="Arial"/>
                <w:color w:val="000000"/>
              </w:rPr>
              <w:t>26</w:t>
            </w:r>
          </w:p>
        </w:tc>
        <w:tc>
          <w:tcPr>
            <w:tcW w:w="879" w:type="dxa"/>
          </w:tcPr>
          <w:p w14:paraId="000003BE" w14:textId="77777777" w:rsidR="001C40B0" w:rsidRDefault="00291712">
            <w:pPr>
              <w:pBdr>
                <w:top w:val="nil"/>
                <w:left w:val="nil"/>
                <w:bottom w:val="nil"/>
                <w:right w:val="nil"/>
                <w:between w:val="nil"/>
              </w:pBdr>
              <w:spacing w:before="1"/>
              <w:ind w:left="17"/>
              <w:jc w:val="center"/>
              <w:rPr>
                <w:rFonts w:ascii="Arial" w:eastAsia="Arial" w:hAnsi="Arial" w:cs="Arial"/>
                <w:color w:val="000000"/>
              </w:rPr>
            </w:pPr>
            <w:r>
              <w:rPr>
                <w:rFonts w:ascii="Arial" w:eastAsia="Arial" w:hAnsi="Arial" w:cs="Arial"/>
                <w:color w:val="000000"/>
              </w:rPr>
              <w:t>724</w:t>
            </w:r>
          </w:p>
        </w:tc>
        <w:tc>
          <w:tcPr>
            <w:tcW w:w="898" w:type="dxa"/>
          </w:tcPr>
          <w:p w14:paraId="000003BF" w14:textId="77777777" w:rsidR="001C40B0" w:rsidRDefault="00291712">
            <w:pPr>
              <w:pBdr>
                <w:top w:val="nil"/>
                <w:left w:val="nil"/>
                <w:bottom w:val="nil"/>
                <w:right w:val="nil"/>
                <w:between w:val="nil"/>
              </w:pBdr>
              <w:spacing w:before="1"/>
              <w:ind w:left="22" w:right="1"/>
              <w:jc w:val="center"/>
              <w:rPr>
                <w:rFonts w:ascii="Arial" w:eastAsia="Arial" w:hAnsi="Arial" w:cs="Arial"/>
                <w:color w:val="000000"/>
              </w:rPr>
            </w:pPr>
            <w:r>
              <w:rPr>
                <w:rFonts w:ascii="Arial" w:eastAsia="Arial" w:hAnsi="Arial" w:cs="Arial"/>
                <w:color w:val="000000"/>
              </w:rPr>
              <w:t>1,087</w:t>
            </w:r>
          </w:p>
        </w:tc>
      </w:tr>
      <w:tr w:rsidR="001C40B0" w14:paraId="07B55BC6" w14:textId="77777777">
        <w:trPr>
          <w:trHeight w:val="402"/>
        </w:trPr>
        <w:tc>
          <w:tcPr>
            <w:tcW w:w="1597" w:type="dxa"/>
            <w:shd w:val="clear" w:color="auto" w:fill="D9D9D9"/>
          </w:tcPr>
          <w:p w14:paraId="000003C0" w14:textId="77777777" w:rsidR="001C40B0" w:rsidRDefault="00291712">
            <w:pPr>
              <w:pBdr>
                <w:top w:val="nil"/>
                <w:left w:val="nil"/>
                <w:bottom w:val="nil"/>
                <w:right w:val="nil"/>
                <w:between w:val="nil"/>
              </w:pBdr>
              <w:spacing w:before="1"/>
              <w:ind w:left="21"/>
              <w:jc w:val="center"/>
              <w:rPr>
                <w:rFonts w:ascii="Arial" w:eastAsia="Arial" w:hAnsi="Arial" w:cs="Arial"/>
                <w:b/>
                <w:bCs/>
                <w:color w:val="000000"/>
              </w:rPr>
            </w:pPr>
            <w:r>
              <w:rPr>
                <w:rFonts w:ascii="Arial" w:eastAsia="Arial" w:hAnsi="Arial" w:cs="Arial"/>
                <w:b/>
                <w:bCs/>
                <w:color w:val="000000"/>
              </w:rPr>
              <w:t>2013</w:t>
            </w:r>
          </w:p>
        </w:tc>
        <w:tc>
          <w:tcPr>
            <w:tcW w:w="1104" w:type="dxa"/>
          </w:tcPr>
          <w:p w14:paraId="000003C1" w14:textId="77777777" w:rsidR="001C40B0" w:rsidRDefault="00291712">
            <w:pPr>
              <w:pBdr>
                <w:top w:val="nil"/>
                <w:left w:val="nil"/>
                <w:bottom w:val="nil"/>
                <w:right w:val="nil"/>
                <w:between w:val="nil"/>
              </w:pBdr>
              <w:spacing w:before="1"/>
              <w:ind w:left="22" w:right="1"/>
              <w:jc w:val="center"/>
              <w:rPr>
                <w:rFonts w:ascii="Arial" w:eastAsia="Arial" w:hAnsi="Arial" w:cs="Arial"/>
                <w:color w:val="000000"/>
              </w:rPr>
            </w:pPr>
            <w:r>
              <w:rPr>
                <w:rFonts w:ascii="Arial" w:eastAsia="Arial" w:hAnsi="Arial" w:cs="Arial"/>
                <w:color w:val="000000"/>
              </w:rPr>
              <w:t>83</w:t>
            </w:r>
          </w:p>
        </w:tc>
        <w:tc>
          <w:tcPr>
            <w:tcW w:w="970" w:type="dxa"/>
          </w:tcPr>
          <w:p w14:paraId="000003C2" w14:textId="77777777" w:rsidR="001C40B0" w:rsidRDefault="00291712">
            <w:pPr>
              <w:pBdr>
                <w:top w:val="nil"/>
                <w:left w:val="nil"/>
                <w:bottom w:val="nil"/>
                <w:right w:val="nil"/>
                <w:between w:val="nil"/>
              </w:pBdr>
              <w:spacing w:before="1"/>
              <w:ind w:left="21"/>
              <w:jc w:val="center"/>
              <w:rPr>
                <w:rFonts w:ascii="Arial" w:eastAsia="Arial" w:hAnsi="Arial" w:cs="Arial"/>
                <w:color w:val="000000"/>
              </w:rPr>
            </w:pPr>
            <w:r>
              <w:rPr>
                <w:rFonts w:ascii="Arial" w:eastAsia="Arial" w:hAnsi="Arial" w:cs="Arial"/>
                <w:color w:val="000000"/>
              </w:rPr>
              <w:t>187</w:t>
            </w:r>
          </w:p>
        </w:tc>
        <w:tc>
          <w:tcPr>
            <w:tcW w:w="1148" w:type="dxa"/>
          </w:tcPr>
          <w:p w14:paraId="000003C3" w14:textId="77777777" w:rsidR="001C40B0" w:rsidRDefault="00291712">
            <w:pPr>
              <w:pBdr>
                <w:top w:val="nil"/>
                <w:left w:val="nil"/>
                <w:bottom w:val="nil"/>
                <w:right w:val="nil"/>
                <w:between w:val="nil"/>
              </w:pBdr>
              <w:spacing w:before="1"/>
              <w:ind w:left="23"/>
              <w:jc w:val="center"/>
              <w:rPr>
                <w:rFonts w:ascii="Arial" w:eastAsia="Arial" w:hAnsi="Arial" w:cs="Arial"/>
                <w:color w:val="000000"/>
              </w:rPr>
            </w:pPr>
            <w:r>
              <w:rPr>
                <w:rFonts w:ascii="Arial" w:eastAsia="Arial" w:hAnsi="Arial" w:cs="Arial"/>
                <w:color w:val="000000"/>
              </w:rPr>
              <w:t>4</w:t>
            </w:r>
          </w:p>
        </w:tc>
        <w:tc>
          <w:tcPr>
            <w:tcW w:w="1215" w:type="dxa"/>
          </w:tcPr>
          <w:p w14:paraId="000003C4" w14:textId="77777777" w:rsidR="001C40B0" w:rsidRDefault="00291712">
            <w:pPr>
              <w:pBdr>
                <w:top w:val="nil"/>
                <w:left w:val="nil"/>
                <w:bottom w:val="nil"/>
                <w:right w:val="nil"/>
                <w:between w:val="nil"/>
              </w:pBdr>
              <w:spacing w:before="1"/>
              <w:ind w:left="24"/>
              <w:jc w:val="center"/>
              <w:rPr>
                <w:rFonts w:ascii="Arial" w:eastAsia="Arial" w:hAnsi="Arial" w:cs="Arial"/>
                <w:color w:val="000000"/>
              </w:rPr>
            </w:pPr>
            <w:r>
              <w:rPr>
                <w:rFonts w:ascii="Arial" w:eastAsia="Arial" w:hAnsi="Arial" w:cs="Arial"/>
                <w:color w:val="000000"/>
              </w:rPr>
              <w:t>2</w:t>
            </w:r>
          </w:p>
        </w:tc>
        <w:tc>
          <w:tcPr>
            <w:tcW w:w="1028" w:type="dxa"/>
          </w:tcPr>
          <w:p w14:paraId="000003C5" w14:textId="77777777" w:rsidR="001C40B0" w:rsidRDefault="00291712">
            <w:pPr>
              <w:pBdr>
                <w:top w:val="nil"/>
                <w:left w:val="nil"/>
                <w:bottom w:val="nil"/>
                <w:right w:val="nil"/>
                <w:between w:val="nil"/>
              </w:pBdr>
              <w:spacing w:before="1"/>
              <w:ind w:left="20" w:right="1"/>
              <w:jc w:val="center"/>
              <w:rPr>
                <w:rFonts w:ascii="Arial" w:eastAsia="Arial" w:hAnsi="Arial" w:cs="Arial"/>
                <w:color w:val="000000"/>
              </w:rPr>
            </w:pPr>
            <w:r>
              <w:rPr>
                <w:rFonts w:ascii="Arial" w:eastAsia="Arial" w:hAnsi="Arial" w:cs="Arial"/>
                <w:color w:val="000000"/>
              </w:rPr>
              <w:t>16</w:t>
            </w:r>
          </w:p>
        </w:tc>
        <w:tc>
          <w:tcPr>
            <w:tcW w:w="879" w:type="dxa"/>
          </w:tcPr>
          <w:p w14:paraId="000003C6" w14:textId="77777777" w:rsidR="001C40B0" w:rsidRDefault="00291712">
            <w:pPr>
              <w:pBdr>
                <w:top w:val="nil"/>
                <w:left w:val="nil"/>
                <w:bottom w:val="nil"/>
                <w:right w:val="nil"/>
                <w:between w:val="nil"/>
              </w:pBdr>
              <w:spacing w:before="1"/>
              <w:ind w:left="17"/>
              <w:jc w:val="center"/>
              <w:rPr>
                <w:rFonts w:ascii="Arial" w:eastAsia="Arial" w:hAnsi="Arial" w:cs="Arial"/>
                <w:color w:val="000000"/>
              </w:rPr>
            </w:pPr>
            <w:r>
              <w:rPr>
                <w:rFonts w:ascii="Arial" w:eastAsia="Arial" w:hAnsi="Arial" w:cs="Arial"/>
                <w:color w:val="000000"/>
              </w:rPr>
              <w:t>616</w:t>
            </w:r>
          </w:p>
        </w:tc>
        <w:tc>
          <w:tcPr>
            <w:tcW w:w="898" w:type="dxa"/>
          </w:tcPr>
          <w:p w14:paraId="000003C7" w14:textId="77777777" w:rsidR="001C40B0" w:rsidRDefault="00291712">
            <w:pPr>
              <w:pBdr>
                <w:top w:val="nil"/>
                <w:left w:val="nil"/>
                <w:bottom w:val="nil"/>
                <w:right w:val="nil"/>
                <w:between w:val="nil"/>
              </w:pBdr>
              <w:spacing w:before="1"/>
              <w:ind w:left="22" w:right="1"/>
              <w:jc w:val="center"/>
              <w:rPr>
                <w:rFonts w:ascii="Arial" w:eastAsia="Arial" w:hAnsi="Arial" w:cs="Arial"/>
                <w:color w:val="000000"/>
              </w:rPr>
            </w:pPr>
            <w:r>
              <w:rPr>
                <w:rFonts w:ascii="Arial" w:eastAsia="Arial" w:hAnsi="Arial" w:cs="Arial"/>
                <w:color w:val="000000"/>
              </w:rPr>
              <w:t>908</w:t>
            </w:r>
          </w:p>
        </w:tc>
      </w:tr>
      <w:tr w:rsidR="001C40B0" w14:paraId="538E7453" w14:textId="77777777">
        <w:trPr>
          <w:trHeight w:val="402"/>
        </w:trPr>
        <w:tc>
          <w:tcPr>
            <w:tcW w:w="1597" w:type="dxa"/>
            <w:shd w:val="clear" w:color="auto" w:fill="D9D9D9"/>
          </w:tcPr>
          <w:p w14:paraId="000003C8" w14:textId="77777777" w:rsidR="001C40B0" w:rsidRDefault="00291712">
            <w:pPr>
              <w:pBdr>
                <w:top w:val="nil"/>
                <w:left w:val="nil"/>
                <w:bottom w:val="nil"/>
                <w:right w:val="nil"/>
                <w:between w:val="nil"/>
              </w:pBdr>
              <w:spacing w:before="1"/>
              <w:ind w:left="21"/>
              <w:jc w:val="center"/>
              <w:rPr>
                <w:rFonts w:ascii="Arial" w:eastAsia="Arial" w:hAnsi="Arial" w:cs="Arial"/>
                <w:b/>
                <w:bCs/>
                <w:color w:val="000000"/>
              </w:rPr>
            </w:pPr>
            <w:r>
              <w:rPr>
                <w:rFonts w:ascii="Arial" w:eastAsia="Arial" w:hAnsi="Arial" w:cs="Arial"/>
                <w:b/>
                <w:bCs/>
                <w:color w:val="000000"/>
              </w:rPr>
              <w:t>2014</w:t>
            </w:r>
          </w:p>
        </w:tc>
        <w:tc>
          <w:tcPr>
            <w:tcW w:w="1104" w:type="dxa"/>
          </w:tcPr>
          <w:p w14:paraId="000003C9" w14:textId="77777777" w:rsidR="001C40B0" w:rsidRDefault="00291712">
            <w:pPr>
              <w:pBdr>
                <w:top w:val="nil"/>
                <w:left w:val="nil"/>
                <w:bottom w:val="nil"/>
                <w:right w:val="nil"/>
                <w:between w:val="nil"/>
              </w:pBdr>
              <w:spacing w:before="1"/>
              <w:ind w:left="22" w:right="1"/>
              <w:jc w:val="center"/>
              <w:rPr>
                <w:rFonts w:ascii="Arial" w:eastAsia="Arial" w:hAnsi="Arial" w:cs="Arial"/>
                <w:color w:val="000000"/>
              </w:rPr>
            </w:pPr>
            <w:r>
              <w:rPr>
                <w:rFonts w:ascii="Arial" w:eastAsia="Arial" w:hAnsi="Arial" w:cs="Arial"/>
                <w:color w:val="000000"/>
              </w:rPr>
              <w:t>77</w:t>
            </w:r>
          </w:p>
        </w:tc>
        <w:tc>
          <w:tcPr>
            <w:tcW w:w="970" w:type="dxa"/>
          </w:tcPr>
          <w:p w14:paraId="000003CA" w14:textId="77777777" w:rsidR="001C40B0" w:rsidRDefault="00291712">
            <w:pPr>
              <w:pBdr>
                <w:top w:val="nil"/>
                <w:left w:val="nil"/>
                <w:bottom w:val="nil"/>
                <w:right w:val="nil"/>
                <w:between w:val="nil"/>
              </w:pBdr>
              <w:spacing w:before="1"/>
              <w:ind w:left="21"/>
              <w:jc w:val="center"/>
              <w:rPr>
                <w:rFonts w:ascii="Arial" w:eastAsia="Arial" w:hAnsi="Arial" w:cs="Arial"/>
                <w:color w:val="000000"/>
              </w:rPr>
            </w:pPr>
            <w:r>
              <w:rPr>
                <w:rFonts w:ascii="Arial" w:eastAsia="Arial" w:hAnsi="Arial" w:cs="Arial"/>
                <w:color w:val="000000"/>
              </w:rPr>
              <w:t>209</w:t>
            </w:r>
          </w:p>
        </w:tc>
        <w:tc>
          <w:tcPr>
            <w:tcW w:w="1148" w:type="dxa"/>
          </w:tcPr>
          <w:p w14:paraId="000003CB" w14:textId="77777777" w:rsidR="001C40B0" w:rsidRDefault="00291712">
            <w:pPr>
              <w:pBdr>
                <w:top w:val="nil"/>
                <w:left w:val="nil"/>
                <w:bottom w:val="nil"/>
                <w:right w:val="nil"/>
                <w:between w:val="nil"/>
              </w:pBdr>
              <w:spacing w:before="1"/>
              <w:ind w:left="23"/>
              <w:jc w:val="center"/>
              <w:rPr>
                <w:rFonts w:ascii="Arial" w:eastAsia="Arial" w:hAnsi="Arial" w:cs="Arial"/>
                <w:color w:val="000000"/>
              </w:rPr>
            </w:pPr>
            <w:r>
              <w:rPr>
                <w:rFonts w:ascii="Arial" w:eastAsia="Arial" w:hAnsi="Arial" w:cs="Arial"/>
                <w:color w:val="000000"/>
              </w:rPr>
              <w:t>5</w:t>
            </w:r>
          </w:p>
        </w:tc>
        <w:tc>
          <w:tcPr>
            <w:tcW w:w="1215" w:type="dxa"/>
          </w:tcPr>
          <w:p w14:paraId="000003CC" w14:textId="77777777" w:rsidR="001C40B0" w:rsidRDefault="00291712">
            <w:pPr>
              <w:pBdr>
                <w:top w:val="nil"/>
                <w:left w:val="nil"/>
                <w:bottom w:val="nil"/>
                <w:right w:val="nil"/>
                <w:between w:val="nil"/>
              </w:pBdr>
              <w:spacing w:before="1"/>
              <w:ind w:left="24"/>
              <w:jc w:val="center"/>
              <w:rPr>
                <w:rFonts w:ascii="Arial" w:eastAsia="Arial" w:hAnsi="Arial" w:cs="Arial"/>
                <w:color w:val="000000"/>
              </w:rPr>
            </w:pPr>
            <w:r>
              <w:rPr>
                <w:rFonts w:ascii="Arial" w:eastAsia="Arial" w:hAnsi="Arial" w:cs="Arial"/>
                <w:color w:val="000000"/>
              </w:rPr>
              <w:t>4</w:t>
            </w:r>
          </w:p>
        </w:tc>
        <w:tc>
          <w:tcPr>
            <w:tcW w:w="1028" w:type="dxa"/>
          </w:tcPr>
          <w:p w14:paraId="000003CD" w14:textId="77777777" w:rsidR="001C40B0" w:rsidRDefault="00291712">
            <w:pPr>
              <w:pBdr>
                <w:top w:val="nil"/>
                <w:left w:val="nil"/>
                <w:bottom w:val="nil"/>
                <w:right w:val="nil"/>
                <w:between w:val="nil"/>
              </w:pBdr>
              <w:spacing w:before="1"/>
              <w:ind w:left="20" w:right="1"/>
              <w:jc w:val="center"/>
              <w:rPr>
                <w:rFonts w:ascii="Arial" w:eastAsia="Arial" w:hAnsi="Arial" w:cs="Arial"/>
                <w:color w:val="000000"/>
              </w:rPr>
            </w:pPr>
            <w:r>
              <w:rPr>
                <w:rFonts w:ascii="Arial" w:eastAsia="Arial" w:hAnsi="Arial" w:cs="Arial"/>
                <w:color w:val="000000"/>
              </w:rPr>
              <w:t>11</w:t>
            </w:r>
          </w:p>
        </w:tc>
        <w:tc>
          <w:tcPr>
            <w:tcW w:w="879" w:type="dxa"/>
          </w:tcPr>
          <w:p w14:paraId="000003CE" w14:textId="77777777" w:rsidR="001C40B0" w:rsidRDefault="00291712">
            <w:pPr>
              <w:pBdr>
                <w:top w:val="nil"/>
                <w:left w:val="nil"/>
                <w:bottom w:val="nil"/>
                <w:right w:val="nil"/>
                <w:between w:val="nil"/>
              </w:pBdr>
              <w:spacing w:before="1"/>
              <w:ind w:left="17"/>
              <w:jc w:val="center"/>
              <w:rPr>
                <w:rFonts w:ascii="Arial" w:eastAsia="Arial" w:hAnsi="Arial" w:cs="Arial"/>
                <w:color w:val="000000"/>
              </w:rPr>
            </w:pPr>
            <w:r>
              <w:rPr>
                <w:rFonts w:ascii="Arial" w:eastAsia="Arial" w:hAnsi="Arial" w:cs="Arial"/>
                <w:color w:val="000000"/>
              </w:rPr>
              <w:t>661</w:t>
            </w:r>
          </w:p>
        </w:tc>
        <w:tc>
          <w:tcPr>
            <w:tcW w:w="898" w:type="dxa"/>
          </w:tcPr>
          <w:p w14:paraId="000003CF" w14:textId="77777777" w:rsidR="001C40B0" w:rsidRDefault="00291712">
            <w:pPr>
              <w:pBdr>
                <w:top w:val="nil"/>
                <w:left w:val="nil"/>
                <w:bottom w:val="nil"/>
                <w:right w:val="nil"/>
                <w:between w:val="nil"/>
              </w:pBdr>
              <w:spacing w:before="1"/>
              <w:ind w:left="22" w:right="1"/>
              <w:jc w:val="center"/>
              <w:rPr>
                <w:rFonts w:ascii="Arial" w:eastAsia="Arial" w:hAnsi="Arial" w:cs="Arial"/>
                <w:color w:val="000000"/>
              </w:rPr>
            </w:pPr>
            <w:r>
              <w:rPr>
                <w:rFonts w:ascii="Arial" w:eastAsia="Arial" w:hAnsi="Arial" w:cs="Arial"/>
                <w:color w:val="000000"/>
              </w:rPr>
              <w:t>967</w:t>
            </w:r>
          </w:p>
        </w:tc>
      </w:tr>
      <w:tr w:rsidR="001C40B0" w14:paraId="1B11733D" w14:textId="77777777">
        <w:trPr>
          <w:trHeight w:val="402"/>
        </w:trPr>
        <w:tc>
          <w:tcPr>
            <w:tcW w:w="1597" w:type="dxa"/>
            <w:shd w:val="clear" w:color="auto" w:fill="D9D9D9"/>
          </w:tcPr>
          <w:p w14:paraId="000003D0" w14:textId="77777777" w:rsidR="001C40B0" w:rsidRDefault="00291712">
            <w:pPr>
              <w:pBdr>
                <w:top w:val="nil"/>
                <w:left w:val="nil"/>
                <w:bottom w:val="nil"/>
                <w:right w:val="nil"/>
                <w:between w:val="nil"/>
              </w:pBdr>
              <w:spacing w:before="1"/>
              <w:ind w:left="21"/>
              <w:jc w:val="center"/>
              <w:rPr>
                <w:rFonts w:ascii="Arial" w:eastAsia="Arial" w:hAnsi="Arial" w:cs="Arial"/>
                <w:b/>
                <w:bCs/>
                <w:color w:val="000000"/>
              </w:rPr>
            </w:pPr>
            <w:r>
              <w:rPr>
                <w:rFonts w:ascii="Arial" w:eastAsia="Arial" w:hAnsi="Arial" w:cs="Arial"/>
                <w:b/>
                <w:bCs/>
                <w:color w:val="000000"/>
              </w:rPr>
              <w:t>2015</w:t>
            </w:r>
          </w:p>
        </w:tc>
        <w:tc>
          <w:tcPr>
            <w:tcW w:w="1104" w:type="dxa"/>
          </w:tcPr>
          <w:p w14:paraId="000003D1" w14:textId="77777777" w:rsidR="001C40B0" w:rsidRDefault="00291712">
            <w:pPr>
              <w:pBdr>
                <w:top w:val="nil"/>
                <w:left w:val="nil"/>
                <w:bottom w:val="nil"/>
                <w:right w:val="nil"/>
                <w:between w:val="nil"/>
              </w:pBdr>
              <w:spacing w:before="1"/>
              <w:ind w:left="22" w:right="1"/>
              <w:jc w:val="center"/>
              <w:rPr>
                <w:rFonts w:ascii="Arial" w:eastAsia="Arial" w:hAnsi="Arial" w:cs="Arial"/>
                <w:color w:val="000000"/>
              </w:rPr>
            </w:pPr>
            <w:r>
              <w:rPr>
                <w:rFonts w:ascii="Arial" w:eastAsia="Arial" w:hAnsi="Arial" w:cs="Arial"/>
                <w:color w:val="000000"/>
              </w:rPr>
              <w:t>67</w:t>
            </w:r>
          </w:p>
        </w:tc>
        <w:tc>
          <w:tcPr>
            <w:tcW w:w="970" w:type="dxa"/>
          </w:tcPr>
          <w:p w14:paraId="000003D2" w14:textId="77777777" w:rsidR="001C40B0" w:rsidRDefault="00291712">
            <w:pPr>
              <w:pBdr>
                <w:top w:val="nil"/>
                <w:left w:val="nil"/>
                <w:bottom w:val="nil"/>
                <w:right w:val="nil"/>
                <w:between w:val="nil"/>
              </w:pBdr>
              <w:spacing w:before="1"/>
              <w:ind w:left="21"/>
              <w:jc w:val="center"/>
              <w:rPr>
                <w:rFonts w:ascii="Arial" w:eastAsia="Arial" w:hAnsi="Arial" w:cs="Arial"/>
                <w:color w:val="000000"/>
              </w:rPr>
            </w:pPr>
            <w:r>
              <w:rPr>
                <w:rFonts w:ascii="Arial" w:eastAsia="Arial" w:hAnsi="Arial" w:cs="Arial"/>
                <w:color w:val="000000"/>
              </w:rPr>
              <w:t>248</w:t>
            </w:r>
          </w:p>
        </w:tc>
        <w:tc>
          <w:tcPr>
            <w:tcW w:w="1148" w:type="dxa"/>
          </w:tcPr>
          <w:p w14:paraId="000003D3" w14:textId="77777777" w:rsidR="001C40B0" w:rsidRDefault="00291712">
            <w:pPr>
              <w:pBdr>
                <w:top w:val="nil"/>
                <w:left w:val="nil"/>
                <w:bottom w:val="nil"/>
                <w:right w:val="nil"/>
                <w:between w:val="nil"/>
              </w:pBdr>
              <w:spacing w:before="1"/>
              <w:ind w:left="23"/>
              <w:jc w:val="center"/>
              <w:rPr>
                <w:rFonts w:ascii="Arial" w:eastAsia="Arial" w:hAnsi="Arial" w:cs="Arial"/>
                <w:color w:val="000000"/>
              </w:rPr>
            </w:pPr>
            <w:r>
              <w:rPr>
                <w:rFonts w:ascii="Arial" w:eastAsia="Arial" w:hAnsi="Arial" w:cs="Arial"/>
                <w:color w:val="000000"/>
              </w:rPr>
              <w:t>4</w:t>
            </w:r>
          </w:p>
        </w:tc>
        <w:tc>
          <w:tcPr>
            <w:tcW w:w="1215" w:type="dxa"/>
          </w:tcPr>
          <w:p w14:paraId="000003D4" w14:textId="77777777" w:rsidR="001C40B0" w:rsidRDefault="00291712">
            <w:pPr>
              <w:pBdr>
                <w:top w:val="nil"/>
                <w:left w:val="nil"/>
                <w:bottom w:val="nil"/>
                <w:right w:val="nil"/>
                <w:between w:val="nil"/>
              </w:pBdr>
              <w:spacing w:before="1"/>
              <w:ind w:left="24" w:right="1"/>
              <w:jc w:val="center"/>
              <w:rPr>
                <w:rFonts w:ascii="Arial" w:eastAsia="Arial" w:hAnsi="Arial" w:cs="Arial"/>
                <w:color w:val="000000"/>
              </w:rPr>
            </w:pPr>
            <w:r>
              <w:rPr>
                <w:rFonts w:ascii="Arial" w:eastAsia="Arial" w:hAnsi="Arial" w:cs="Arial"/>
                <w:color w:val="000000"/>
              </w:rPr>
              <w:t>11</w:t>
            </w:r>
          </w:p>
        </w:tc>
        <w:tc>
          <w:tcPr>
            <w:tcW w:w="1028" w:type="dxa"/>
          </w:tcPr>
          <w:p w14:paraId="000003D5" w14:textId="77777777" w:rsidR="001C40B0" w:rsidRDefault="00291712">
            <w:pPr>
              <w:pBdr>
                <w:top w:val="nil"/>
                <w:left w:val="nil"/>
                <w:bottom w:val="nil"/>
                <w:right w:val="nil"/>
                <w:between w:val="nil"/>
              </w:pBdr>
              <w:spacing w:before="1"/>
              <w:ind w:left="20" w:right="1"/>
              <w:jc w:val="center"/>
              <w:rPr>
                <w:rFonts w:ascii="Arial" w:eastAsia="Arial" w:hAnsi="Arial" w:cs="Arial"/>
                <w:color w:val="000000"/>
              </w:rPr>
            </w:pPr>
            <w:r>
              <w:rPr>
                <w:rFonts w:ascii="Arial" w:eastAsia="Arial" w:hAnsi="Arial" w:cs="Arial"/>
                <w:color w:val="000000"/>
              </w:rPr>
              <w:t>28</w:t>
            </w:r>
          </w:p>
        </w:tc>
        <w:tc>
          <w:tcPr>
            <w:tcW w:w="879" w:type="dxa"/>
          </w:tcPr>
          <w:p w14:paraId="000003D6" w14:textId="77777777" w:rsidR="001C40B0" w:rsidRDefault="00291712">
            <w:pPr>
              <w:pBdr>
                <w:top w:val="nil"/>
                <w:left w:val="nil"/>
                <w:bottom w:val="nil"/>
                <w:right w:val="nil"/>
                <w:between w:val="nil"/>
              </w:pBdr>
              <w:spacing w:before="1"/>
              <w:ind w:left="17"/>
              <w:jc w:val="center"/>
              <w:rPr>
                <w:rFonts w:ascii="Arial" w:eastAsia="Arial" w:hAnsi="Arial" w:cs="Arial"/>
                <w:color w:val="000000"/>
              </w:rPr>
            </w:pPr>
            <w:r>
              <w:rPr>
                <w:rFonts w:ascii="Arial" w:eastAsia="Arial" w:hAnsi="Arial" w:cs="Arial"/>
                <w:color w:val="000000"/>
              </w:rPr>
              <w:t>775</w:t>
            </w:r>
          </w:p>
        </w:tc>
        <w:tc>
          <w:tcPr>
            <w:tcW w:w="898" w:type="dxa"/>
          </w:tcPr>
          <w:p w14:paraId="000003D7" w14:textId="77777777" w:rsidR="001C40B0" w:rsidRDefault="00291712">
            <w:pPr>
              <w:pBdr>
                <w:top w:val="nil"/>
                <w:left w:val="nil"/>
                <w:bottom w:val="nil"/>
                <w:right w:val="nil"/>
                <w:between w:val="nil"/>
              </w:pBdr>
              <w:spacing w:before="1"/>
              <w:ind w:left="22" w:right="1"/>
              <w:jc w:val="center"/>
              <w:rPr>
                <w:rFonts w:ascii="Arial" w:eastAsia="Arial" w:hAnsi="Arial" w:cs="Arial"/>
                <w:color w:val="000000"/>
              </w:rPr>
            </w:pPr>
            <w:r>
              <w:rPr>
                <w:rFonts w:ascii="Arial" w:eastAsia="Arial" w:hAnsi="Arial" w:cs="Arial"/>
                <w:color w:val="000000"/>
              </w:rPr>
              <w:t>1,133</w:t>
            </w:r>
          </w:p>
        </w:tc>
      </w:tr>
      <w:tr w:rsidR="001C40B0" w14:paraId="077EB1E5" w14:textId="77777777">
        <w:trPr>
          <w:trHeight w:val="402"/>
        </w:trPr>
        <w:tc>
          <w:tcPr>
            <w:tcW w:w="1597" w:type="dxa"/>
            <w:shd w:val="clear" w:color="auto" w:fill="D9D9D9"/>
          </w:tcPr>
          <w:p w14:paraId="000003D8" w14:textId="77777777" w:rsidR="001C40B0" w:rsidRDefault="00291712">
            <w:pPr>
              <w:pBdr>
                <w:top w:val="nil"/>
                <w:left w:val="nil"/>
                <w:bottom w:val="nil"/>
                <w:right w:val="nil"/>
                <w:between w:val="nil"/>
              </w:pBdr>
              <w:spacing w:before="1"/>
              <w:ind w:left="21"/>
              <w:jc w:val="center"/>
              <w:rPr>
                <w:rFonts w:ascii="Arial" w:eastAsia="Arial" w:hAnsi="Arial" w:cs="Arial"/>
                <w:b/>
                <w:bCs/>
                <w:color w:val="000000"/>
              </w:rPr>
            </w:pPr>
            <w:r>
              <w:rPr>
                <w:rFonts w:ascii="Arial" w:eastAsia="Arial" w:hAnsi="Arial" w:cs="Arial"/>
                <w:b/>
                <w:bCs/>
                <w:color w:val="000000"/>
              </w:rPr>
              <w:t>2016</w:t>
            </w:r>
          </w:p>
        </w:tc>
        <w:tc>
          <w:tcPr>
            <w:tcW w:w="1104" w:type="dxa"/>
          </w:tcPr>
          <w:p w14:paraId="000003D9" w14:textId="77777777" w:rsidR="001C40B0" w:rsidRDefault="00291712">
            <w:pPr>
              <w:pBdr>
                <w:top w:val="nil"/>
                <w:left w:val="nil"/>
                <w:bottom w:val="nil"/>
                <w:right w:val="nil"/>
                <w:between w:val="nil"/>
              </w:pBdr>
              <w:spacing w:before="1"/>
              <w:ind w:left="22" w:right="1"/>
              <w:jc w:val="center"/>
              <w:rPr>
                <w:rFonts w:ascii="Arial" w:eastAsia="Arial" w:hAnsi="Arial" w:cs="Arial"/>
                <w:color w:val="000000"/>
              </w:rPr>
            </w:pPr>
            <w:r>
              <w:rPr>
                <w:rFonts w:ascii="Arial" w:eastAsia="Arial" w:hAnsi="Arial" w:cs="Arial"/>
                <w:color w:val="000000"/>
              </w:rPr>
              <w:t>58</w:t>
            </w:r>
          </w:p>
        </w:tc>
        <w:tc>
          <w:tcPr>
            <w:tcW w:w="970" w:type="dxa"/>
          </w:tcPr>
          <w:p w14:paraId="000003DA" w14:textId="77777777" w:rsidR="001C40B0" w:rsidRDefault="00291712">
            <w:pPr>
              <w:pBdr>
                <w:top w:val="nil"/>
                <w:left w:val="nil"/>
                <w:bottom w:val="nil"/>
                <w:right w:val="nil"/>
                <w:between w:val="nil"/>
              </w:pBdr>
              <w:spacing w:before="1"/>
              <w:ind w:left="21"/>
              <w:jc w:val="center"/>
              <w:rPr>
                <w:rFonts w:ascii="Arial" w:eastAsia="Arial" w:hAnsi="Arial" w:cs="Arial"/>
                <w:color w:val="000000"/>
              </w:rPr>
            </w:pPr>
            <w:r>
              <w:rPr>
                <w:rFonts w:ascii="Arial" w:eastAsia="Arial" w:hAnsi="Arial" w:cs="Arial"/>
                <w:color w:val="000000"/>
              </w:rPr>
              <w:t>208</w:t>
            </w:r>
          </w:p>
        </w:tc>
        <w:tc>
          <w:tcPr>
            <w:tcW w:w="1148" w:type="dxa"/>
          </w:tcPr>
          <w:p w14:paraId="000003DB" w14:textId="77777777" w:rsidR="001C40B0" w:rsidRDefault="00291712">
            <w:pPr>
              <w:pBdr>
                <w:top w:val="nil"/>
                <w:left w:val="nil"/>
                <w:bottom w:val="nil"/>
                <w:right w:val="nil"/>
                <w:between w:val="nil"/>
              </w:pBdr>
              <w:spacing w:before="1"/>
              <w:ind w:left="23"/>
              <w:jc w:val="center"/>
              <w:rPr>
                <w:rFonts w:ascii="Arial" w:eastAsia="Arial" w:hAnsi="Arial" w:cs="Arial"/>
                <w:color w:val="000000"/>
              </w:rPr>
            </w:pPr>
            <w:r>
              <w:rPr>
                <w:rFonts w:ascii="Arial" w:eastAsia="Arial" w:hAnsi="Arial" w:cs="Arial"/>
                <w:color w:val="000000"/>
              </w:rPr>
              <w:t>3</w:t>
            </w:r>
          </w:p>
        </w:tc>
        <w:tc>
          <w:tcPr>
            <w:tcW w:w="1215" w:type="dxa"/>
          </w:tcPr>
          <w:p w14:paraId="000003DC" w14:textId="77777777" w:rsidR="001C40B0" w:rsidRDefault="00291712">
            <w:pPr>
              <w:pBdr>
                <w:top w:val="nil"/>
                <w:left w:val="nil"/>
                <w:bottom w:val="nil"/>
                <w:right w:val="nil"/>
                <w:between w:val="nil"/>
              </w:pBdr>
              <w:spacing w:before="1"/>
              <w:ind w:left="24"/>
              <w:jc w:val="center"/>
              <w:rPr>
                <w:rFonts w:ascii="Arial" w:eastAsia="Arial" w:hAnsi="Arial" w:cs="Arial"/>
                <w:color w:val="000000"/>
              </w:rPr>
            </w:pPr>
            <w:r>
              <w:rPr>
                <w:rFonts w:ascii="Arial" w:eastAsia="Arial" w:hAnsi="Arial" w:cs="Arial"/>
                <w:color w:val="000000"/>
              </w:rPr>
              <w:t>8</w:t>
            </w:r>
          </w:p>
        </w:tc>
        <w:tc>
          <w:tcPr>
            <w:tcW w:w="1028" w:type="dxa"/>
          </w:tcPr>
          <w:p w14:paraId="000003DD" w14:textId="77777777" w:rsidR="001C40B0" w:rsidRDefault="00291712">
            <w:pPr>
              <w:pBdr>
                <w:top w:val="nil"/>
                <w:left w:val="nil"/>
                <w:bottom w:val="nil"/>
                <w:right w:val="nil"/>
                <w:between w:val="nil"/>
              </w:pBdr>
              <w:spacing w:before="1"/>
              <w:ind w:left="20" w:right="1"/>
              <w:jc w:val="center"/>
              <w:rPr>
                <w:rFonts w:ascii="Arial" w:eastAsia="Arial" w:hAnsi="Arial" w:cs="Arial"/>
                <w:color w:val="000000"/>
              </w:rPr>
            </w:pPr>
            <w:r>
              <w:rPr>
                <w:rFonts w:ascii="Arial" w:eastAsia="Arial" w:hAnsi="Arial" w:cs="Arial"/>
                <w:color w:val="000000"/>
              </w:rPr>
              <w:t>22</w:t>
            </w:r>
          </w:p>
        </w:tc>
        <w:tc>
          <w:tcPr>
            <w:tcW w:w="879" w:type="dxa"/>
          </w:tcPr>
          <w:p w14:paraId="000003DE" w14:textId="77777777" w:rsidR="001C40B0" w:rsidRDefault="00291712">
            <w:pPr>
              <w:pBdr>
                <w:top w:val="nil"/>
                <w:left w:val="nil"/>
                <w:bottom w:val="nil"/>
                <w:right w:val="nil"/>
                <w:between w:val="nil"/>
              </w:pBdr>
              <w:spacing w:before="1"/>
              <w:ind w:left="17"/>
              <w:jc w:val="center"/>
              <w:rPr>
                <w:rFonts w:ascii="Arial" w:eastAsia="Arial" w:hAnsi="Arial" w:cs="Arial"/>
                <w:color w:val="000000"/>
              </w:rPr>
            </w:pPr>
            <w:r>
              <w:rPr>
                <w:rFonts w:ascii="Arial" w:eastAsia="Arial" w:hAnsi="Arial" w:cs="Arial"/>
                <w:color w:val="000000"/>
              </w:rPr>
              <w:t>667</w:t>
            </w:r>
          </w:p>
        </w:tc>
        <w:tc>
          <w:tcPr>
            <w:tcW w:w="898" w:type="dxa"/>
          </w:tcPr>
          <w:p w14:paraId="000003DF" w14:textId="77777777" w:rsidR="001C40B0" w:rsidRDefault="00291712">
            <w:pPr>
              <w:pBdr>
                <w:top w:val="nil"/>
                <w:left w:val="nil"/>
                <w:bottom w:val="nil"/>
                <w:right w:val="nil"/>
                <w:between w:val="nil"/>
              </w:pBdr>
              <w:spacing w:before="1"/>
              <w:ind w:left="22" w:right="1"/>
              <w:jc w:val="center"/>
              <w:rPr>
                <w:rFonts w:ascii="Arial" w:eastAsia="Arial" w:hAnsi="Arial" w:cs="Arial"/>
                <w:color w:val="000000"/>
              </w:rPr>
            </w:pPr>
            <w:r>
              <w:rPr>
                <w:rFonts w:ascii="Arial" w:eastAsia="Arial" w:hAnsi="Arial" w:cs="Arial"/>
                <w:color w:val="000000"/>
              </w:rPr>
              <w:t>2,982</w:t>
            </w:r>
          </w:p>
        </w:tc>
      </w:tr>
      <w:tr w:rsidR="001C40B0" w14:paraId="227B63A7" w14:textId="77777777">
        <w:trPr>
          <w:trHeight w:val="402"/>
        </w:trPr>
        <w:tc>
          <w:tcPr>
            <w:tcW w:w="1597" w:type="dxa"/>
            <w:shd w:val="clear" w:color="auto" w:fill="D9D9D9"/>
          </w:tcPr>
          <w:p w14:paraId="000003E0" w14:textId="77777777" w:rsidR="001C40B0" w:rsidRDefault="00291712">
            <w:pPr>
              <w:pBdr>
                <w:top w:val="nil"/>
                <w:left w:val="nil"/>
                <w:bottom w:val="nil"/>
                <w:right w:val="nil"/>
                <w:between w:val="nil"/>
              </w:pBdr>
              <w:spacing w:before="1"/>
              <w:ind w:left="21"/>
              <w:jc w:val="center"/>
              <w:rPr>
                <w:rFonts w:ascii="Arial" w:eastAsia="Arial" w:hAnsi="Arial" w:cs="Arial"/>
                <w:b/>
                <w:bCs/>
                <w:color w:val="000000"/>
              </w:rPr>
            </w:pPr>
            <w:r>
              <w:rPr>
                <w:rFonts w:ascii="Arial" w:eastAsia="Arial" w:hAnsi="Arial" w:cs="Arial"/>
                <w:b/>
                <w:bCs/>
                <w:color w:val="000000"/>
              </w:rPr>
              <w:t>2017</w:t>
            </w:r>
          </w:p>
        </w:tc>
        <w:tc>
          <w:tcPr>
            <w:tcW w:w="1104" w:type="dxa"/>
          </w:tcPr>
          <w:p w14:paraId="000003E1" w14:textId="77777777" w:rsidR="001C40B0" w:rsidRDefault="00291712">
            <w:pPr>
              <w:pBdr>
                <w:top w:val="nil"/>
                <w:left w:val="nil"/>
                <w:bottom w:val="nil"/>
                <w:right w:val="nil"/>
                <w:between w:val="nil"/>
              </w:pBdr>
              <w:spacing w:before="1"/>
              <w:ind w:left="22" w:right="1"/>
              <w:jc w:val="center"/>
              <w:rPr>
                <w:rFonts w:ascii="Arial" w:eastAsia="Arial" w:hAnsi="Arial" w:cs="Arial"/>
                <w:color w:val="000000"/>
              </w:rPr>
            </w:pPr>
            <w:r>
              <w:rPr>
                <w:rFonts w:ascii="Arial" w:eastAsia="Arial" w:hAnsi="Arial" w:cs="Arial"/>
                <w:color w:val="000000"/>
              </w:rPr>
              <w:t>75</w:t>
            </w:r>
          </w:p>
        </w:tc>
        <w:tc>
          <w:tcPr>
            <w:tcW w:w="970" w:type="dxa"/>
          </w:tcPr>
          <w:p w14:paraId="000003E2" w14:textId="77777777" w:rsidR="001C40B0" w:rsidRDefault="00291712">
            <w:pPr>
              <w:pBdr>
                <w:top w:val="nil"/>
                <w:left w:val="nil"/>
                <w:bottom w:val="nil"/>
                <w:right w:val="nil"/>
                <w:between w:val="nil"/>
              </w:pBdr>
              <w:spacing w:before="1"/>
              <w:ind w:left="21"/>
              <w:jc w:val="center"/>
              <w:rPr>
                <w:rFonts w:ascii="Arial" w:eastAsia="Arial" w:hAnsi="Arial" w:cs="Arial"/>
                <w:color w:val="000000"/>
              </w:rPr>
            </w:pPr>
            <w:r>
              <w:rPr>
                <w:rFonts w:ascii="Arial" w:eastAsia="Arial" w:hAnsi="Arial" w:cs="Arial"/>
                <w:color w:val="000000"/>
              </w:rPr>
              <w:t>253</w:t>
            </w:r>
          </w:p>
        </w:tc>
        <w:tc>
          <w:tcPr>
            <w:tcW w:w="1148" w:type="dxa"/>
          </w:tcPr>
          <w:p w14:paraId="000003E3" w14:textId="77777777" w:rsidR="001C40B0" w:rsidRDefault="00291712">
            <w:pPr>
              <w:pBdr>
                <w:top w:val="nil"/>
                <w:left w:val="nil"/>
                <w:bottom w:val="nil"/>
                <w:right w:val="nil"/>
                <w:between w:val="nil"/>
              </w:pBdr>
              <w:spacing w:before="1"/>
              <w:ind w:left="23"/>
              <w:jc w:val="center"/>
              <w:rPr>
                <w:rFonts w:ascii="Arial" w:eastAsia="Arial" w:hAnsi="Arial" w:cs="Arial"/>
                <w:color w:val="000000"/>
              </w:rPr>
            </w:pPr>
            <w:r>
              <w:rPr>
                <w:rFonts w:ascii="Arial" w:eastAsia="Arial" w:hAnsi="Arial" w:cs="Arial"/>
                <w:color w:val="000000"/>
              </w:rPr>
              <w:t>2</w:t>
            </w:r>
          </w:p>
        </w:tc>
        <w:tc>
          <w:tcPr>
            <w:tcW w:w="1215" w:type="dxa"/>
          </w:tcPr>
          <w:p w14:paraId="000003E4" w14:textId="77777777" w:rsidR="001C40B0" w:rsidRDefault="00291712">
            <w:pPr>
              <w:pBdr>
                <w:top w:val="nil"/>
                <w:left w:val="nil"/>
                <w:bottom w:val="nil"/>
                <w:right w:val="nil"/>
                <w:between w:val="nil"/>
              </w:pBdr>
              <w:spacing w:before="1"/>
              <w:ind w:left="24" w:right="1"/>
              <w:jc w:val="center"/>
              <w:rPr>
                <w:rFonts w:ascii="Arial" w:eastAsia="Arial" w:hAnsi="Arial" w:cs="Arial"/>
                <w:color w:val="000000"/>
              </w:rPr>
            </w:pPr>
            <w:r>
              <w:rPr>
                <w:rFonts w:ascii="Arial" w:eastAsia="Arial" w:hAnsi="Arial" w:cs="Arial"/>
                <w:color w:val="000000"/>
              </w:rPr>
              <w:t>15</w:t>
            </w:r>
          </w:p>
        </w:tc>
        <w:tc>
          <w:tcPr>
            <w:tcW w:w="1028" w:type="dxa"/>
          </w:tcPr>
          <w:p w14:paraId="000003E5" w14:textId="77777777" w:rsidR="001C40B0" w:rsidRDefault="00291712">
            <w:pPr>
              <w:pBdr>
                <w:top w:val="nil"/>
                <w:left w:val="nil"/>
                <w:bottom w:val="nil"/>
                <w:right w:val="nil"/>
                <w:between w:val="nil"/>
              </w:pBdr>
              <w:spacing w:before="1"/>
              <w:ind w:left="20" w:right="1"/>
              <w:jc w:val="center"/>
              <w:rPr>
                <w:rFonts w:ascii="Arial" w:eastAsia="Arial" w:hAnsi="Arial" w:cs="Arial"/>
                <w:color w:val="000000"/>
              </w:rPr>
            </w:pPr>
            <w:r>
              <w:rPr>
                <w:rFonts w:ascii="Arial" w:eastAsia="Arial" w:hAnsi="Arial" w:cs="Arial"/>
                <w:color w:val="000000"/>
              </w:rPr>
              <w:t>49</w:t>
            </w:r>
          </w:p>
        </w:tc>
        <w:tc>
          <w:tcPr>
            <w:tcW w:w="879" w:type="dxa"/>
          </w:tcPr>
          <w:p w14:paraId="000003E6" w14:textId="77777777" w:rsidR="001C40B0" w:rsidRDefault="00291712">
            <w:pPr>
              <w:pBdr>
                <w:top w:val="nil"/>
                <w:left w:val="nil"/>
                <w:bottom w:val="nil"/>
                <w:right w:val="nil"/>
                <w:between w:val="nil"/>
              </w:pBdr>
              <w:spacing w:before="1"/>
              <w:ind w:left="17"/>
              <w:jc w:val="center"/>
              <w:rPr>
                <w:rFonts w:ascii="Arial" w:eastAsia="Arial" w:hAnsi="Arial" w:cs="Arial"/>
                <w:color w:val="000000"/>
              </w:rPr>
            </w:pPr>
            <w:r>
              <w:rPr>
                <w:rFonts w:ascii="Arial" w:eastAsia="Arial" w:hAnsi="Arial" w:cs="Arial"/>
                <w:color w:val="000000"/>
              </w:rPr>
              <w:t>843</w:t>
            </w:r>
          </w:p>
        </w:tc>
        <w:tc>
          <w:tcPr>
            <w:tcW w:w="898" w:type="dxa"/>
          </w:tcPr>
          <w:p w14:paraId="000003E7" w14:textId="77777777" w:rsidR="001C40B0" w:rsidRDefault="00291712">
            <w:pPr>
              <w:pBdr>
                <w:top w:val="nil"/>
                <w:left w:val="nil"/>
                <w:bottom w:val="nil"/>
                <w:right w:val="nil"/>
                <w:between w:val="nil"/>
              </w:pBdr>
              <w:spacing w:before="1"/>
              <w:ind w:left="22" w:right="1"/>
              <w:jc w:val="center"/>
              <w:rPr>
                <w:rFonts w:ascii="Arial" w:eastAsia="Arial" w:hAnsi="Arial" w:cs="Arial"/>
                <w:color w:val="000000"/>
              </w:rPr>
            </w:pPr>
            <w:r>
              <w:rPr>
                <w:rFonts w:ascii="Arial" w:eastAsia="Arial" w:hAnsi="Arial" w:cs="Arial"/>
                <w:color w:val="000000"/>
              </w:rPr>
              <w:t>3,254</w:t>
            </w:r>
          </w:p>
        </w:tc>
      </w:tr>
      <w:tr w:rsidR="001C40B0" w14:paraId="72AABFC1" w14:textId="77777777">
        <w:trPr>
          <w:trHeight w:val="402"/>
        </w:trPr>
        <w:tc>
          <w:tcPr>
            <w:tcW w:w="1597" w:type="dxa"/>
            <w:shd w:val="clear" w:color="auto" w:fill="D9D9D9"/>
          </w:tcPr>
          <w:p w14:paraId="000003E8" w14:textId="77777777" w:rsidR="001C40B0" w:rsidRDefault="00291712">
            <w:pPr>
              <w:pBdr>
                <w:top w:val="nil"/>
                <w:left w:val="nil"/>
                <w:bottom w:val="nil"/>
                <w:right w:val="nil"/>
                <w:between w:val="nil"/>
              </w:pBdr>
              <w:spacing w:before="1"/>
              <w:ind w:left="21"/>
              <w:jc w:val="center"/>
              <w:rPr>
                <w:rFonts w:ascii="Arial" w:eastAsia="Arial" w:hAnsi="Arial" w:cs="Arial"/>
                <w:b/>
                <w:bCs/>
                <w:color w:val="000000"/>
              </w:rPr>
            </w:pPr>
            <w:r>
              <w:rPr>
                <w:rFonts w:ascii="Arial" w:eastAsia="Arial" w:hAnsi="Arial" w:cs="Arial"/>
                <w:b/>
                <w:bCs/>
                <w:color w:val="000000"/>
              </w:rPr>
              <w:t>2018</w:t>
            </w:r>
          </w:p>
        </w:tc>
        <w:tc>
          <w:tcPr>
            <w:tcW w:w="1104" w:type="dxa"/>
          </w:tcPr>
          <w:p w14:paraId="000003E9" w14:textId="77777777" w:rsidR="001C40B0" w:rsidRDefault="00291712">
            <w:pPr>
              <w:pBdr>
                <w:top w:val="nil"/>
                <w:left w:val="nil"/>
                <w:bottom w:val="nil"/>
                <w:right w:val="nil"/>
                <w:between w:val="nil"/>
              </w:pBdr>
              <w:spacing w:before="1"/>
              <w:ind w:left="22" w:right="1"/>
              <w:jc w:val="center"/>
              <w:rPr>
                <w:rFonts w:ascii="Arial" w:eastAsia="Arial" w:hAnsi="Arial" w:cs="Arial"/>
                <w:color w:val="000000"/>
              </w:rPr>
            </w:pPr>
            <w:r>
              <w:rPr>
                <w:rFonts w:ascii="Arial" w:eastAsia="Arial" w:hAnsi="Arial" w:cs="Arial"/>
                <w:color w:val="000000"/>
              </w:rPr>
              <w:t>57</w:t>
            </w:r>
          </w:p>
        </w:tc>
        <w:tc>
          <w:tcPr>
            <w:tcW w:w="970" w:type="dxa"/>
          </w:tcPr>
          <w:p w14:paraId="000003EA" w14:textId="77777777" w:rsidR="001C40B0" w:rsidRDefault="00291712">
            <w:pPr>
              <w:pBdr>
                <w:top w:val="nil"/>
                <w:left w:val="nil"/>
                <w:bottom w:val="nil"/>
                <w:right w:val="nil"/>
                <w:between w:val="nil"/>
              </w:pBdr>
              <w:spacing w:before="1"/>
              <w:ind w:left="21"/>
              <w:jc w:val="center"/>
              <w:rPr>
                <w:rFonts w:ascii="Arial" w:eastAsia="Arial" w:hAnsi="Arial" w:cs="Arial"/>
                <w:color w:val="000000"/>
              </w:rPr>
            </w:pPr>
            <w:r>
              <w:rPr>
                <w:rFonts w:ascii="Arial" w:eastAsia="Arial" w:hAnsi="Arial" w:cs="Arial"/>
                <w:color w:val="000000"/>
              </w:rPr>
              <w:t>207</w:t>
            </w:r>
          </w:p>
        </w:tc>
        <w:tc>
          <w:tcPr>
            <w:tcW w:w="1148" w:type="dxa"/>
          </w:tcPr>
          <w:p w14:paraId="000003EB" w14:textId="77777777" w:rsidR="001C40B0" w:rsidRDefault="00291712">
            <w:pPr>
              <w:pBdr>
                <w:top w:val="nil"/>
                <w:left w:val="nil"/>
                <w:bottom w:val="nil"/>
                <w:right w:val="nil"/>
                <w:between w:val="nil"/>
              </w:pBdr>
              <w:spacing w:before="1"/>
              <w:ind w:left="23"/>
              <w:jc w:val="center"/>
              <w:rPr>
                <w:rFonts w:ascii="Arial" w:eastAsia="Arial" w:hAnsi="Arial" w:cs="Arial"/>
                <w:color w:val="000000"/>
              </w:rPr>
            </w:pPr>
            <w:r>
              <w:rPr>
                <w:rFonts w:ascii="Arial" w:eastAsia="Arial" w:hAnsi="Arial" w:cs="Arial"/>
                <w:color w:val="000000"/>
              </w:rPr>
              <w:t>3</w:t>
            </w:r>
          </w:p>
        </w:tc>
        <w:tc>
          <w:tcPr>
            <w:tcW w:w="1215" w:type="dxa"/>
          </w:tcPr>
          <w:p w14:paraId="000003EC" w14:textId="77777777" w:rsidR="001C40B0" w:rsidRDefault="00291712">
            <w:pPr>
              <w:pBdr>
                <w:top w:val="nil"/>
                <w:left w:val="nil"/>
                <w:bottom w:val="nil"/>
                <w:right w:val="nil"/>
                <w:between w:val="nil"/>
              </w:pBdr>
              <w:spacing w:before="1"/>
              <w:ind w:left="24" w:right="1"/>
              <w:jc w:val="center"/>
              <w:rPr>
                <w:rFonts w:ascii="Arial" w:eastAsia="Arial" w:hAnsi="Arial" w:cs="Arial"/>
                <w:color w:val="000000"/>
              </w:rPr>
            </w:pPr>
            <w:r>
              <w:rPr>
                <w:rFonts w:ascii="Arial" w:eastAsia="Arial" w:hAnsi="Arial" w:cs="Arial"/>
                <w:color w:val="000000"/>
              </w:rPr>
              <w:t>14</w:t>
            </w:r>
          </w:p>
        </w:tc>
        <w:tc>
          <w:tcPr>
            <w:tcW w:w="1028" w:type="dxa"/>
          </w:tcPr>
          <w:p w14:paraId="000003ED" w14:textId="77777777" w:rsidR="001C40B0" w:rsidRDefault="00291712">
            <w:pPr>
              <w:pBdr>
                <w:top w:val="nil"/>
                <w:left w:val="nil"/>
                <w:bottom w:val="nil"/>
                <w:right w:val="nil"/>
                <w:between w:val="nil"/>
              </w:pBdr>
              <w:spacing w:before="1"/>
              <w:ind w:left="20" w:right="1"/>
              <w:jc w:val="center"/>
              <w:rPr>
                <w:rFonts w:ascii="Arial" w:eastAsia="Arial" w:hAnsi="Arial" w:cs="Arial"/>
                <w:color w:val="000000"/>
              </w:rPr>
            </w:pPr>
            <w:r>
              <w:rPr>
                <w:rFonts w:ascii="Arial" w:eastAsia="Arial" w:hAnsi="Arial" w:cs="Arial"/>
                <w:color w:val="000000"/>
              </w:rPr>
              <w:t>29</w:t>
            </w:r>
          </w:p>
        </w:tc>
        <w:tc>
          <w:tcPr>
            <w:tcW w:w="879" w:type="dxa"/>
          </w:tcPr>
          <w:p w14:paraId="000003EE" w14:textId="77777777" w:rsidR="001C40B0" w:rsidRDefault="00291712">
            <w:pPr>
              <w:pBdr>
                <w:top w:val="nil"/>
                <w:left w:val="nil"/>
                <w:bottom w:val="nil"/>
                <w:right w:val="nil"/>
                <w:between w:val="nil"/>
              </w:pBdr>
              <w:spacing w:before="1"/>
              <w:ind w:left="17"/>
              <w:jc w:val="center"/>
              <w:rPr>
                <w:rFonts w:ascii="Arial" w:eastAsia="Arial" w:hAnsi="Arial" w:cs="Arial"/>
                <w:color w:val="000000"/>
              </w:rPr>
            </w:pPr>
            <w:r>
              <w:rPr>
                <w:rFonts w:ascii="Arial" w:eastAsia="Arial" w:hAnsi="Arial" w:cs="Arial"/>
                <w:color w:val="000000"/>
              </w:rPr>
              <w:t>753</w:t>
            </w:r>
          </w:p>
        </w:tc>
        <w:tc>
          <w:tcPr>
            <w:tcW w:w="898" w:type="dxa"/>
          </w:tcPr>
          <w:p w14:paraId="000003EF" w14:textId="77777777" w:rsidR="001C40B0" w:rsidRDefault="00291712">
            <w:pPr>
              <w:pBdr>
                <w:top w:val="nil"/>
                <w:left w:val="nil"/>
                <w:bottom w:val="nil"/>
                <w:right w:val="nil"/>
                <w:between w:val="nil"/>
              </w:pBdr>
              <w:spacing w:before="1"/>
              <w:ind w:left="22" w:right="1"/>
              <w:jc w:val="center"/>
              <w:rPr>
                <w:rFonts w:ascii="Arial" w:eastAsia="Arial" w:hAnsi="Arial" w:cs="Arial"/>
                <w:color w:val="000000"/>
              </w:rPr>
            </w:pPr>
            <w:r>
              <w:rPr>
                <w:rFonts w:ascii="Arial" w:eastAsia="Arial" w:hAnsi="Arial" w:cs="Arial"/>
                <w:color w:val="000000"/>
              </w:rPr>
              <w:t>3,081</w:t>
            </w:r>
          </w:p>
        </w:tc>
      </w:tr>
      <w:tr w:rsidR="001C40B0" w14:paraId="1B8B30E6" w14:textId="77777777">
        <w:trPr>
          <w:trHeight w:val="402"/>
        </w:trPr>
        <w:tc>
          <w:tcPr>
            <w:tcW w:w="1597" w:type="dxa"/>
            <w:shd w:val="clear" w:color="auto" w:fill="D9D9D9"/>
          </w:tcPr>
          <w:p w14:paraId="000003F0" w14:textId="77777777" w:rsidR="001C40B0" w:rsidRDefault="00291712">
            <w:pPr>
              <w:pBdr>
                <w:top w:val="nil"/>
                <w:left w:val="nil"/>
                <w:bottom w:val="nil"/>
                <w:right w:val="nil"/>
                <w:between w:val="nil"/>
              </w:pBdr>
              <w:spacing w:before="1"/>
              <w:ind w:left="21"/>
              <w:jc w:val="center"/>
              <w:rPr>
                <w:rFonts w:ascii="Arial" w:eastAsia="Arial" w:hAnsi="Arial" w:cs="Arial"/>
                <w:b/>
                <w:bCs/>
                <w:color w:val="000000"/>
              </w:rPr>
            </w:pPr>
            <w:r>
              <w:rPr>
                <w:rFonts w:ascii="Arial" w:eastAsia="Arial" w:hAnsi="Arial" w:cs="Arial"/>
                <w:b/>
                <w:bCs/>
                <w:color w:val="000000"/>
              </w:rPr>
              <w:t>2019</w:t>
            </w:r>
          </w:p>
        </w:tc>
        <w:tc>
          <w:tcPr>
            <w:tcW w:w="1104" w:type="dxa"/>
          </w:tcPr>
          <w:p w14:paraId="000003F1" w14:textId="77777777" w:rsidR="001C40B0" w:rsidRDefault="00291712">
            <w:pPr>
              <w:pBdr>
                <w:top w:val="nil"/>
                <w:left w:val="nil"/>
                <w:bottom w:val="nil"/>
                <w:right w:val="nil"/>
                <w:between w:val="nil"/>
              </w:pBdr>
              <w:spacing w:before="1"/>
              <w:ind w:left="22" w:right="1"/>
              <w:jc w:val="center"/>
              <w:rPr>
                <w:rFonts w:ascii="Arial" w:eastAsia="Arial" w:hAnsi="Arial" w:cs="Arial"/>
                <w:color w:val="000000"/>
              </w:rPr>
            </w:pPr>
            <w:r>
              <w:rPr>
                <w:rFonts w:ascii="Arial" w:eastAsia="Arial" w:hAnsi="Arial" w:cs="Arial"/>
                <w:color w:val="000000"/>
              </w:rPr>
              <w:t>76</w:t>
            </w:r>
          </w:p>
        </w:tc>
        <w:tc>
          <w:tcPr>
            <w:tcW w:w="970" w:type="dxa"/>
          </w:tcPr>
          <w:p w14:paraId="000003F2" w14:textId="77777777" w:rsidR="001C40B0" w:rsidRDefault="00291712">
            <w:pPr>
              <w:pBdr>
                <w:top w:val="nil"/>
                <w:left w:val="nil"/>
                <w:bottom w:val="nil"/>
                <w:right w:val="nil"/>
                <w:between w:val="nil"/>
              </w:pBdr>
              <w:spacing w:before="1"/>
              <w:ind w:left="21"/>
              <w:jc w:val="center"/>
              <w:rPr>
                <w:rFonts w:ascii="Arial" w:eastAsia="Arial" w:hAnsi="Arial" w:cs="Arial"/>
                <w:color w:val="000000"/>
              </w:rPr>
            </w:pPr>
            <w:r>
              <w:rPr>
                <w:rFonts w:ascii="Arial" w:eastAsia="Arial" w:hAnsi="Arial" w:cs="Arial"/>
                <w:color w:val="000000"/>
              </w:rPr>
              <w:t>214</w:t>
            </w:r>
          </w:p>
        </w:tc>
        <w:tc>
          <w:tcPr>
            <w:tcW w:w="1148" w:type="dxa"/>
          </w:tcPr>
          <w:p w14:paraId="000003F3" w14:textId="77777777" w:rsidR="001C40B0" w:rsidRDefault="00291712">
            <w:pPr>
              <w:pBdr>
                <w:top w:val="nil"/>
                <w:left w:val="nil"/>
                <w:bottom w:val="nil"/>
                <w:right w:val="nil"/>
                <w:between w:val="nil"/>
              </w:pBdr>
              <w:spacing w:before="1"/>
              <w:ind w:left="23"/>
              <w:jc w:val="center"/>
              <w:rPr>
                <w:rFonts w:ascii="Arial" w:eastAsia="Arial" w:hAnsi="Arial" w:cs="Arial"/>
                <w:color w:val="000000"/>
              </w:rPr>
            </w:pPr>
            <w:r>
              <w:rPr>
                <w:rFonts w:ascii="Arial" w:eastAsia="Arial" w:hAnsi="Arial" w:cs="Arial"/>
                <w:color w:val="000000"/>
              </w:rPr>
              <w:t>1</w:t>
            </w:r>
          </w:p>
        </w:tc>
        <w:tc>
          <w:tcPr>
            <w:tcW w:w="1215" w:type="dxa"/>
          </w:tcPr>
          <w:p w14:paraId="000003F4" w14:textId="77777777" w:rsidR="001C40B0" w:rsidRDefault="00291712">
            <w:pPr>
              <w:pBdr>
                <w:top w:val="nil"/>
                <w:left w:val="nil"/>
                <w:bottom w:val="nil"/>
                <w:right w:val="nil"/>
                <w:between w:val="nil"/>
              </w:pBdr>
              <w:spacing w:before="1"/>
              <w:ind w:left="24"/>
              <w:jc w:val="center"/>
              <w:rPr>
                <w:rFonts w:ascii="Arial" w:eastAsia="Arial" w:hAnsi="Arial" w:cs="Arial"/>
                <w:color w:val="000000"/>
              </w:rPr>
            </w:pPr>
            <w:r>
              <w:rPr>
                <w:rFonts w:ascii="Arial" w:eastAsia="Arial" w:hAnsi="Arial" w:cs="Arial"/>
                <w:color w:val="000000"/>
              </w:rPr>
              <w:t>7</w:t>
            </w:r>
          </w:p>
        </w:tc>
        <w:tc>
          <w:tcPr>
            <w:tcW w:w="1028" w:type="dxa"/>
          </w:tcPr>
          <w:p w14:paraId="000003F5" w14:textId="77777777" w:rsidR="001C40B0" w:rsidRDefault="00291712">
            <w:pPr>
              <w:pBdr>
                <w:top w:val="nil"/>
                <w:left w:val="nil"/>
                <w:bottom w:val="nil"/>
                <w:right w:val="nil"/>
                <w:between w:val="nil"/>
              </w:pBdr>
              <w:spacing w:before="1"/>
              <w:ind w:left="20" w:right="1"/>
              <w:jc w:val="center"/>
              <w:rPr>
                <w:rFonts w:ascii="Arial" w:eastAsia="Arial" w:hAnsi="Arial" w:cs="Arial"/>
                <w:color w:val="000000"/>
              </w:rPr>
            </w:pPr>
            <w:r>
              <w:rPr>
                <w:rFonts w:ascii="Arial" w:eastAsia="Arial" w:hAnsi="Arial" w:cs="Arial"/>
                <w:color w:val="000000"/>
              </w:rPr>
              <w:t>52</w:t>
            </w:r>
          </w:p>
        </w:tc>
        <w:tc>
          <w:tcPr>
            <w:tcW w:w="879" w:type="dxa"/>
          </w:tcPr>
          <w:p w14:paraId="000003F6" w14:textId="77777777" w:rsidR="001C40B0" w:rsidRDefault="00291712">
            <w:pPr>
              <w:pBdr>
                <w:top w:val="nil"/>
                <w:left w:val="nil"/>
                <w:bottom w:val="nil"/>
                <w:right w:val="nil"/>
                <w:between w:val="nil"/>
              </w:pBdr>
              <w:spacing w:before="1"/>
              <w:ind w:left="17"/>
              <w:jc w:val="center"/>
              <w:rPr>
                <w:rFonts w:ascii="Arial" w:eastAsia="Arial" w:hAnsi="Arial" w:cs="Arial"/>
                <w:color w:val="000000"/>
              </w:rPr>
            </w:pPr>
            <w:r>
              <w:rPr>
                <w:rFonts w:ascii="Arial" w:eastAsia="Arial" w:hAnsi="Arial" w:cs="Arial"/>
                <w:color w:val="000000"/>
              </w:rPr>
              <w:t>767</w:t>
            </w:r>
          </w:p>
        </w:tc>
        <w:tc>
          <w:tcPr>
            <w:tcW w:w="898" w:type="dxa"/>
          </w:tcPr>
          <w:p w14:paraId="000003F7" w14:textId="77777777" w:rsidR="001C40B0" w:rsidRDefault="00291712">
            <w:pPr>
              <w:pBdr>
                <w:top w:val="nil"/>
                <w:left w:val="nil"/>
                <w:bottom w:val="nil"/>
                <w:right w:val="nil"/>
                <w:between w:val="nil"/>
              </w:pBdr>
              <w:spacing w:before="1"/>
              <w:ind w:left="22" w:right="1"/>
              <w:jc w:val="center"/>
              <w:rPr>
                <w:rFonts w:ascii="Arial" w:eastAsia="Arial" w:hAnsi="Arial" w:cs="Arial"/>
                <w:color w:val="000000"/>
              </w:rPr>
            </w:pPr>
            <w:r>
              <w:rPr>
                <w:rFonts w:ascii="Arial" w:eastAsia="Arial" w:hAnsi="Arial" w:cs="Arial"/>
                <w:color w:val="000000"/>
              </w:rPr>
              <w:t>1,117</w:t>
            </w:r>
          </w:p>
        </w:tc>
      </w:tr>
      <w:tr w:rsidR="001C40B0" w14:paraId="45DF9CAE" w14:textId="77777777">
        <w:trPr>
          <w:trHeight w:val="402"/>
        </w:trPr>
        <w:tc>
          <w:tcPr>
            <w:tcW w:w="1597" w:type="dxa"/>
            <w:shd w:val="clear" w:color="auto" w:fill="D9D9D9"/>
          </w:tcPr>
          <w:p w14:paraId="000003F8" w14:textId="77777777" w:rsidR="001C40B0" w:rsidRDefault="00291712">
            <w:pPr>
              <w:pBdr>
                <w:top w:val="nil"/>
                <w:left w:val="nil"/>
                <w:bottom w:val="nil"/>
                <w:right w:val="nil"/>
                <w:between w:val="nil"/>
              </w:pBdr>
              <w:spacing w:before="6"/>
              <w:ind w:left="21"/>
              <w:jc w:val="center"/>
              <w:rPr>
                <w:rFonts w:ascii="Arial" w:eastAsia="Arial" w:hAnsi="Arial" w:cs="Arial"/>
                <w:b/>
                <w:bCs/>
                <w:color w:val="000000"/>
              </w:rPr>
            </w:pPr>
            <w:r>
              <w:rPr>
                <w:rFonts w:ascii="Arial" w:eastAsia="Arial" w:hAnsi="Arial" w:cs="Arial"/>
                <w:b/>
                <w:bCs/>
                <w:color w:val="000000"/>
              </w:rPr>
              <w:t>2020</w:t>
            </w:r>
          </w:p>
        </w:tc>
        <w:tc>
          <w:tcPr>
            <w:tcW w:w="1104" w:type="dxa"/>
          </w:tcPr>
          <w:p w14:paraId="000003F9" w14:textId="77777777" w:rsidR="001C40B0" w:rsidRDefault="00291712">
            <w:pPr>
              <w:pBdr>
                <w:top w:val="nil"/>
                <w:left w:val="nil"/>
                <w:bottom w:val="nil"/>
                <w:right w:val="nil"/>
                <w:between w:val="nil"/>
              </w:pBdr>
              <w:spacing w:before="6"/>
              <w:ind w:left="22" w:right="1"/>
              <w:jc w:val="center"/>
              <w:rPr>
                <w:rFonts w:ascii="Arial" w:eastAsia="Arial" w:hAnsi="Arial" w:cs="Arial"/>
                <w:color w:val="000000"/>
              </w:rPr>
            </w:pPr>
            <w:r>
              <w:rPr>
                <w:rFonts w:ascii="Arial" w:eastAsia="Arial" w:hAnsi="Arial" w:cs="Arial"/>
                <w:color w:val="000000"/>
              </w:rPr>
              <w:t>68</w:t>
            </w:r>
          </w:p>
        </w:tc>
        <w:tc>
          <w:tcPr>
            <w:tcW w:w="970" w:type="dxa"/>
          </w:tcPr>
          <w:p w14:paraId="000003FA" w14:textId="77777777" w:rsidR="001C40B0" w:rsidRDefault="00291712">
            <w:pPr>
              <w:pBdr>
                <w:top w:val="nil"/>
                <w:left w:val="nil"/>
                <w:bottom w:val="nil"/>
                <w:right w:val="nil"/>
                <w:between w:val="nil"/>
              </w:pBdr>
              <w:spacing w:before="6"/>
              <w:ind w:left="21"/>
              <w:jc w:val="center"/>
              <w:rPr>
                <w:rFonts w:ascii="Arial" w:eastAsia="Arial" w:hAnsi="Arial" w:cs="Arial"/>
                <w:color w:val="000000"/>
              </w:rPr>
            </w:pPr>
            <w:r>
              <w:rPr>
                <w:rFonts w:ascii="Arial" w:eastAsia="Arial" w:hAnsi="Arial" w:cs="Arial"/>
                <w:color w:val="000000"/>
              </w:rPr>
              <w:t>135</w:t>
            </w:r>
          </w:p>
        </w:tc>
        <w:tc>
          <w:tcPr>
            <w:tcW w:w="1148" w:type="dxa"/>
          </w:tcPr>
          <w:p w14:paraId="000003FB" w14:textId="77777777" w:rsidR="001C40B0" w:rsidRDefault="00291712">
            <w:pPr>
              <w:pBdr>
                <w:top w:val="nil"/>
                <w:left w:val="nil"/>
                <w:bottom w:val="nil"/>
                <w:right w:val="nil"/>
                <w:between w:val="nil"/>
              </w:pBdr>
              <w:spacing w:before="6"/>
              <w:ind w:left="23"/>
              <w:jc w:val="center"/>
              <w:rPr>
                <w:rFonts w:ascii="Arial" w:eastAsia="Arial" w:hAnsi="Arial" w:cs="Arial"/>
                <w:color w:val="000000"/>
              </w:rPr>
            </w:pPr>
            <w:r>
              <w:rPr>
                <w:rFonts w:ascii="Arial" w:eastAsia="Arial" w:hAnsi="Arial" w:cs="Arial"/>
                <w:color w:val="000000"/>
              </w:rPr>
              <w:t>0</w:t>
            </w:r>
          </w:p>
        </w:tc>
        <w:tc>
          <w:tcPr>
            <w:tcW w:w="1215" w:type="dxa"/>
          </w:tcPr>
          <w:p w14:paraId="000003FC" w14:textId="77777777" w:rsidR="001C40B0" w:rsidRDefault="00291712">
            <w:pPr>
              <w:pBdr>
                <w:top w:val="nil"/>
                <w:left w:val="nil"/>
                <w:bottom w:val="nil"/>
                <w:right w:val="nil"/>
                <w:between w:val="nil"/>
              </w:pBdr>
              <w:spacing w:before="6"/>
              <w:ind w:left="24"/>
              <w:jc w:val="center"/>
              <w:rPr>
                <w:rFonts w:ascii="Arial" w:eastAsia="Arial" w:hAnsi="Arial" w:cs="Arial"/>
                <w:color w:val="000000"/>
              </w:rPr>
            </w:pPr>
            <w:r>
              <w:rPr>
                <w:rFonts w:ascii="Arial" w:eastAsia="Arial" w:hAnsi="Arial" w:cs="Arial"/>
                <w:color w:val="000000"/>
              </w:rPr>
              <w:t>5</w:t>
            </w:r>
          </w:p>
        </w:tc>
        <w:tc>
          <w:tcPr>
            <w:tcW w:w="1028" w:type="dxa"/>
          </w:tcPr>
          <w:p w14:paraId="000003FD" w14:textId="77777777" w:rsidR="001C40B0" w:rsidRDefault="00291712">
            <w:pPr>
              <w:pBdr>
                <w:top w:val="nil"/>
                <w:left w:val="nil"/>
                <w:bottom w:val="nil"/>
                <w:right w:val="nil"/>
                <w:between w:val="nil"/>
              </w:pBdr>
              <w:spacing w:before="6"/>
              <w:ind w:left="20" w:right="1"/>
              <w:jc w:val="center"/>
              <w:rPr>
                <w:rFonts w:ascii="Arial" w:eastAsia="Arial" w:hAnsi="Arial" w:cs="Arial"/>
                <w:color w:val="000000"/>
              </w:rPr>
            </w:pPr>
            <w:r>
              <w:rPr>
                <w:rFonts w:ascii="Arial" w:eastAsia="Arial" w:hAnsi="Arial" w:cs="Arial"/>
                <w:color w:val="000000"/>
              </w:rPr>
              <w:t>23</w:t>
            </w:r>
          </w:p>
        </w:tc>
        <w:tc>
          <w:tcPr>
            <w:tcW w:w="879" w:type="dxa"/>
          </w:tcPr>
          <w:p w14:paraId="000003FE" w14:textId="77777777" w:rsidR="001C40B0" w:rsidRDefault="00291712">
            <w:pPr>
              <w:pBdr>
                <w:top w:val="nil"/>
                <w:left w:val="nil"/>
                <w:bottom w:val="nil"/>
                <w:right w:val="nil"/>
                <w:between w:val="nil"/>
              </w:pBdr>
              <w:spacing w:before="6"/>
              <w:ind w:left="17"/>
              <w:jc w:val="center"/>
              <w:rPr>
                <w:rFonts w:ascii="Arial" w:eastAsia="Arial" w:hAnsi="Arial" w:cs="Arial"/>
                <w:color w:val="000000"/>
              </w:rPr>
            </w:pPr>
            <w:r>
              <w:rPr>
                <w:rFonts w:ascii="Arial" w:eastAsia="Arial" w:hAnsi="Arial" w:cs="Arial"/>
                <w:color w:val="000000"/>
              </w:rPr>
              <w:t>413</w:t>
            </w:r>
          </w:p>
        </w:tc>
        <w:tc>
          <w:tcPr>
            <w:tcW w:w="898" w:type="dxa"/>
          </w:tcPr>
          <w:p w14:paraId="000003FF" w14:textId="77777777" w:rsidR="001C40B0" w:rsidRDefault="00291712">
            <w:pPr>
              <w:pBdr>
                <w:top w:val="nil"/>
                <w:left w:val="nil"/>
                <w:bottom w:val="nil"/>
                <w:right w:val="nil"/>
                <w:between w:val="nil"/>
              </w:pBdr>
              <w:spacing w:before="6"/>
              <w:ind w:left="22" w:right="1"/>
              <w:jc w:val="center"/>
              <w:rPr>
                <w:rFonts w:ascii="Arial" w:eastAsia="Arial" w:hAnsi="Arial" w:cs="Arial"/>
                <w:color w:val="000000"/>
              </w:rPr>
            </w:pPr>
            <w:r>
              <w:rPr>
                <w:rFonts w:ascii="Arial" w:eastAsia="Arial" w:hAnsi="Arial" w:cs="Arial"/>
                <w:color w:val="000000"/>
              </w:rPr>
              <w:t>644</w:t>
            </w:r>
          </w:p>
        </w:tc>
      </w:tr>
      <w:tr w:rsidR="001C40B0" w14:paraId="2E8A90BC" w14:textId="77777777">
        <w:trPr>
          <w:trHeight w:val="407"/>
        </w:trPr>
        <w:tc>
          <w:tcPr>
            <w:tcW w:w="1597" w:type="dxa"/>
            <w:shd w:val="clear" w:color="auto" w:fill="D9D9D9"/>
          </w:tcPr>
          <w:p w14:paraId="00000400" w14:textId="77777777" w:rsidR="001C40B0" w:rsidRDefault="00291712">
            <w:pPr>
              <w:pBdr>
                <w:top w:val="nil"/>
                <w:left w:val="nil"/>
                <w:bottom w:val="nil"/>
                <w:right w:val="nil"/>
                <w:between w:val="nil"/>
              </w:pBdr>
              <w:spacing w:before="6"/>
              <w:ind w:left="21"/>
              <w:jc w:val="center"/>
              <w:rPr>
                <w:rFonts w:ascii="Arial" w:eastAsia="Arial" w:hAnsi="Arial" w:cs="Arial"/>
                <w:b/>
                <w:bCs/>
                <w:color w:val="000000"/>
              </w:rPr>
            </w:pPr>
            <w:r>
              <w:rPr>
                <w:rFonts w:ascii="Arial" w:eastAsia="Arial" w:hAnsi="Arial" w:cs="Arial"/>
                <w:b/>
                <w:bCs/>
                <w:color w:val="000000"/>
              </w:rPr>
              <w:t>2021</w:t>
            </w:r>
          </w:p>
        </w:tc>
        <w:tc>
          <w:tcPr>
            <w:tcW w:w="1104" w:type="dxa"/>
          </w:tcPr>
          <w:p w14:paraId="00000401" w14:textId="77777777" w:rsidR="001C40B0" w:rsidRDefault="00291712">
            <w:pPr>
              <w:pBdr>
                <w:top w:val="nil"/>
                <w:left w:val="nil"/>
                <w:bottom w:val="nil"/>
                <w:right w:val="nil"/>
                <w:between w:val="nil"/>
              </w:pBdr>
              <w:spacing w:before="6"/>
              <w:ind w:left="22" w:right="1"/>
              <w:jc w:val="center"/>
              <w:rPr>
                <w:rFonts w:ascii="Arial" w:eastAsia="Arial" w:hAnsi="Arial" w:cs="Arial"/>
                <w:color w:val="000000"/>
              </w:rPr>
            </w:pPr>
            <w:r>
              <w:rPr>
                <w:rFonts w:ascii="Arial" w:eastAsia="Arial" w:hAnsi="Arial" w:cs="Arial"/>
                <w:color w:val="000000"/>
              </w:rPr>
              <w:t>69</w:t>
            </w:r>
          </w:p>
        </w:tc>
        <w:tc>
          <w:tcPr>
            <w:tcW w:w="970" w:type="dxa"/>
          </w:tcPr>
          <w:p w14:paraId="00000402" w14:textId="77777777" w:rsidR="001C40B0" w:rsidRDefault="00291712">
            <w:pPr>
              <w:pBdr>
                <w:top w:val="nil"/>
                <w:left w:val="nil"/>
                <w:bottom w:val="nil"/>
                <w:right w:val="nil"/>
                <w:between w:val="nil"/>
              </w:pBdr>
              <w:spacing w:before="6"/>
              <w:ind w:left="21"/>
              <w:jc w:val="center"/>
              <w:rPr>
                <w:rFonts w:ascii="Arial" w:eastAsia="Arial" w:hAnsi="Arial" w:cs="Arial"/>
                <w:color w:val="000000"/>
              </w:rPr>
            </w:pPr>
            <w:r>
              <w:rPr>
                <w:rFonts w:ascii="Arial" w:eastAsia="Arial" w:hAnsi="Arial" w:cs="Arial"/>
                <w:color w:val="000000"/>
              </w:rPr>
              <w:t>170</w:t>
            </w:r>
          </w:p>
        </w:tc>
        <w:tc>
          <w:tcPr>
            <w:tcW w:w="1148" w:type="dxa"/>
          </w:tcPr>
          <w:p w14:paraId="00000403" w14:textId="77777777" w:rsidR="001C40B0" w:rsidRDefault="00291712">
            <w:pPr>
              <w:pBdr>
                <w:top w:val="nil"/>
                <w:left w:val="nil"/>
                <w:bottom w:val="nil"/>
                <w:right w:val="nil"/>
                <w:between w:val="nil"/>
              </w:pBdr>
              <w:spacing w:before="6"/>
              <w:ind w:left="23"/>
              <w:jc w:val="center"/>
              <w:rPr>
                <w:rFonts w:ascii="Arial" w:eastAsia="Arial" w:hAnsi="Arial" w:cs="Arial"/>
                <w:color w:val="000000"/>
              </w:rPr>
            </w:pPr>
            <w:r>
              <w:rPr>
                <w:rFonts w:ascii="Arial" w:eastAsia="Arial" w:hAnsi="Arial" w:cs="Arial"/>
                <w:color w:val="000000"/>
              </w:rPr>
              <w:t>1</w:t>
            </w:r>
          </w:p>
        </w:tc>
        <w:tc>
          <w:tcPr>
            <w:tcW w:w="1215" w:type="dxa"/>
          </w:tcPr>
          <w:p w14:paraId="00000404" w14:textId="77777777" w:rsidR="001C40B0" w:rsidRDefault="00291712">
            <w:pPr>
              <w:pBdr>
                <w:top w:val="nil"/>
                <w:left w:val="nil"/>
                <w:bottom w:val="nil"/>
                <w:right w:val="nil"/>
                <w:between w:val="nil"/>
              </w:pBdr>
              <w:spacing w:before="6"/>
              <w:ind w:left="24" w:right="1"/>
              <w:jc w:val="center"/>
              <w:rPr>
                <w:rFonts w:ascii="Arial" w:eastAsia="Arial" w:hAnsi="Arial" w:cs="Arial"/>
                <w:color w:val="000000"/>
              </w:rPr>
            </w:pPr>
            <w:r>
              <w:rPr>
                <w:rFonts w:ascii="Arial" w:eastAsia="Arial" w:hAnsi="Arial" w:cs="Arial"/>
                <w:color w:val="000000"/>
              </w:rPr>
              <w:t>14</w:t>
            </w:r>
          </w:p>
        </w:tc>
        <w:tc>
          <w:tcPr>
            <w:tcW w:w="1028" w:type="dxa"/>
          </w:tcPr>
          <w:p w14:paraId="00000405" w14:textId="77777777" w:rsidR="001C40B0" w:rsidRDefault="00291712">
            <w:pPr>
              <w:pBdr>
                <w:top w:val="nil"/>
                <w:left w:val="nil"/>
                <w:bottom w:val="nil"/>
                <w:right w:val="nil"/>
                <w:between w:val="nil"/>
              </w:pBdr>
              <w:spacing w:before="6"/>
              <w:ind w:left="20" w:right="1"/>
              <w:jc w:val="center"/>
              <w:rPr>
                <w:rFonts w:ascii="Arial" w:eastAsia="Arial" w:hAnsi="Arial" w:cs="Arial"/>
                <w:color w:val="000000"/>
              </w:rPr>
            </w:pPr>
            <w:r>
              <w:rPr>
                <w:rFonts w:ascii="Arial" w:eastAsia="Arial" w:hAnsi="Arial" w:cs="Arial"/>
                <w:color w:val="000000"/>
              </w:rPr>
              <w:t>44</w:t>
            </w:r>
          </w:p>
        </w:tc>
        <w:tc>
          <w:tcPr>
            <w:tcW w:w="879" w:type="dxa"/>
          </w:tcPr>
          <w:p w14:paraId="00000406" w14:textId="77777777" w:rsidR="001C40B0" w:rsidRDefault="00291712">
            <w:pPr>
              <w:pBdr>
                <w:top w:val="nil"/>
                <w:left w:val="nil"/>
                <w:bottom w:val="nil"/>
                <w:right w:val="nil"/>
                <w:between w:val="nil"/>
              </w:pBdr>
              <w:spacing w:before="6"/>
              <w:ind w:left="17"/>
              <w:jc w:val="center"/>
              <w:rPr>
                <w:rFonts w:ascii="Arial" w:eastAsia="Arial" w:hAnsi="Arial" w:cs="Arial"/>
                <w:color w:val="000000"/>
              </w:rPr>
            </w:pPr>
            <w:r>
              <w:rPr>
                <w:rFonts w:ascii="Arial" w:eastAsia="Arial" w:hAnsi="Arial" w:cs="Arial"/>
                <w:color w:val="000000"/>
              </w:rPr>
              <w:t>506</w:t>
            </w:r>
          </w:p>
        </w:tc>
        <w:tc>
          <w:tcPr>
            <w:tcW w:w="898" w:type="dxa"/>
          </w:tcPr>
          <w:p w14:paraId="00000407" w14:textId="77777777" w:rsidR="001C40B0" w:rsidRDefault="00291712">
            <w:pPr>
              <w:pBdr>
                <w:top w:val="nil"/>
                <w:left w:val="nil"/>
                <w:bottom w:val="nil"/>
                <w:right w:val="nil"/>
                <w:between w:val="nil"/>
              </w:pBdr>
              <w:spacing w:before="6"/>
              <w:ind w:left="22" w:right="1"/>
              <w:jc w:val="center"/>
              <w:rPr>
                <w:rFonts w:ascii="Arial" w:eastAsia="Arial" w:hAnsi="Arial" w:cs="Arial"/>
                <w:color w:val="000000"/>
              </w:rPr>
            </w:pPr>
            <w:r>
              <w:rPr>
                <w:rFonts w:ascii="Arial" w:eastAsia="Arial" w:hAnsi="Arial" w:cs="Arial"/>
                <w:color w:val="000000"/>
              </w:rPr>
              <w:t>804</w:t>
            </w:r>
          </w:p>
        </w:tc>
      </w:tr>
      <w:tr w:rsidR="001C40B0" w14:paraId="14DF47C1" w14:textId="77777777">
        <w:trPr>
          <w:trHeight w:val="402"/>
        </w:trPr>
        <w:tc>
          <w:tcPr>
            <w:tcW w:w="1597" w:type="dxa"/>
            <w:shd w:val="clear" w:color="auto" w:fill="D9D9D9"/>
          </w:tcPr>
          <w:p w14:paraId="00000408" w14:textId="77777777" w:rsidR="001C40B0" w:rsidRDefault="00291712">
            <w:pPr>
              <w:pBdr>
                <w:top w:val="nil"/>
                <w:left w:val="nil"/>
                <w:bottom w:val="nil"/>
                <w:right w:val="nil"/>
                <w:between w:val="nil"/>
              </w:pBdr>
              <w:spacing w:before="1"/>
              <w:ind w:left="21"/>
              <w:jc w:val="center"/>
              <w:rPr>
                <w:rFonts w:ascii="Arial" w:eastAsia="Arial" w:hAnsi="Arial" w:cs="Arial"/>
                <w:b/>
                <w:bCs/>
                <w:color w:val="000000"/>
              </w:rPr>
            </w:pPr>
            <w:r>
              <w:rPr>
                <w:rFonts w:ascii="Arial" w:eastAsia="Arial" w:hAnsi="Arial" w:cs="Arial"/>
                <w:b/>
                <w:bCs/>
                <w:color w:val="000000"/>
              </w:rPr>
              <w:t>2022</w:t>
            </w:r>
          </w:p>
        </w:tc>
        <w:tc>
          <w:tcPr>
            <w:tcW w:w="1104" w:type="dxa"/>
          </w:tcPr>
          <w:p w14:paraId="00000409" w14:textId="77777777" w:rsidR="001C40B0" w:rsidRDefault="00291712">
            <w:pPr>
              <w:pBdr>
                <w:top w:val="nil"/>
                <w:left w:val="nil"/>
                <w:bottom w:val="nil"/>
                <w:right w:val="nil"/>
                <w:between w:val="nil"/>
              </w:pBdr>
              <w:spacing w:before="1"/>
              <w:ind w:left="22" w:right="1"/>
              <w:jc w:val="center"/>
              <w:rPr>
                <w:rFonts w:ascii="Arial" w:eastAsia="Arial" w:hAnsi="Arial" w:cs="Arial"/>
                <w:color w:val="000000"/>
              </w:rPr>
            </w:pPr>
            <w:r>
              <w:rPr>
                <w:rFonts w:ascii="Arial" w:eastAsia="Arial" w:hAnsi="Arial" w:cs="Arial"/>
                <w:color w:val="000000"/>
              </w:rPr>
              <w:t>83</w:t>
            </w:r>
          </w:p>
        </w:tc>
        <w:tc>
          <w:tcPr>
            <w:tcW w:w="970" w:type="dxa"/>
          </w:tcPr>
          <w:p w14:paraId="0000040A" w14:textId="77777777" w:rsidR="001C40B0" w:rsidRDefault="00291712">
            <w:pPr>
              <w:pBdr>
                <w:top w:val="nil"/>
                <w:left w:val="nil"/>
                <w:bottom w:val="nil"/>
                <w:right w:val="nil"/>
                <w:between w:val="nil"/>
              </w:pBdr>
              <w:spacing w:before="1"/>
              <w:ind w:left="21"/>
              <w:jc w:val="center"/>
              <w:rPr>
                <w:rFonts w:ascii="Arial" w:eastAsia="Arial" w:hAnsi="Arial" w:cs="Arial"/>
                <w:color w:val="000000"/>
              </w:rPr>
            </w:pPr>
            <w:r>
              <w:rPr>
                <w:rFonts w:ascii="Arial" w:eastAsia="Arial" w:hAnsi="Arial" w:cs="Arial"/>
                <w:color w:val="000000"/>
              </w:rPr>
              <w:t>178</w:t>
            </w:r>
          </w:p>
        </w:tc>
        <w:tc>
          <w:tcPr>
            <w:tcW w:w="1148" w:type="dxa"/>
          </w:tcPr>
          <w:p w14:paraId="0000040B" w14:textId="77777777" w:rsidR="001C40B0" w:rsidRDefault="00291712">
            <w:pPr>
              <w:pBdr>
                <w:top w:val="nil"/>
                <w:left w:val="nil"/>
                <w:bottom w:val="nil"/>
                <w:right w:val="nil"/>
                <w:between w:val="nil"/>
              </w:pBdr>
              <w:spacing w:before="1"/>
              <w:ind w:left="23"/>
              <w:jc w:val="center"/>
              <w:rPr>
                <w:rFonts w:ascii="Arial" w:eastAsia="Arial" w:hAnsi="Arial" w:cs="Arial"/>
                <w:color w:val="000000"/>
              </w:rPr>
            </w:pPr>
            <w:r>
              <w:rPr>
                <w:rFonts w:ascii="Arial" w:eastAsia="Arial" w:hAnsi="Arial" w:cs="Arial"/>
                <w:color w:val="000000"/>
              </w:rPr>
              <w:t>1</w:t>
            </w:r>
          </w:p>
        </w:tc>
        <w:tc>
          <w:tcPr>
            <w:tcW w:w="1215" w:type="dxa"/>
          </w:tcPr>
          <w:p w14:paraId="0000040C" w14:textId="77777777" w:rsidR="001C40B0" w:rsidRDefault="00291712">
            <w:pPr>
              <w:pBdr>
                <w:top w:val="nil"/>
                <w:left w:val="nil"/>
                <w:bottom w:val="nil"/>
                <w:right w:val="nil"/>
                <w:between w:val="nil"/>
              </w:pBdr>
              <w:spacing w:before="1"/>
              <w:ind w:left="24" w:right="1"/>
              <w:jc w:val="center"/>
              <w:rPr>
                <w:rFonts w:ascii="Arial" w:eastAsia="Arial" w:hAnsi="Arial" w:cs="Arial"/>
                <w:color w:val="000000"/>
              </w:rPr>
            </w:pPr>
            <w:r>
              <w:rPr>
                <w:rFonts w:ascii="Arial" w:eastAsia="Arial" w:hAnsi="Arial" w:cs="Arial"/>
                <w:color w:val="000000"/>
              </w:rPr>
              <w:t>14</w:t>
            </w:r>
          </w:p>
        </w:tc>
        <w:tc>
          <w:tcPr>
            <w:tcW w:w="1028" w:type="dxa"/>
          </w:tcPr>
          <w:p w14:paraId="0000040D" w14:textId="77777777" w:rsidR="001C40B0" w:rsidRDefault="00291712">
            <w:pPr>
              <w:pBdr>
                <w:top w:val="nil"/>
                <w:left w:val="nil"/>
                <w:bottom w:val="nil"/>
                <w:right w:val="nil"/>
                <w:between w:val="nil"/>
              </w:pBdr>
              <w:spacing w:before="1"/>
              <w:ind w:left="20" w:right="1"/>
              <w:jc w:val="center"/>
              <w:rPr>
                <w:rFonts w:ascii="Arial" w:eastAsia="Arial" w:hAnsi="Arial" w:cs="Arial"/>
                <w:color w:val="000000"/>
              </w:rPr>
            </w:pPr>
            <w:r>
              <w:rPr>
                <w:rFonts w:ascii="Arial" w:eastAsia="Arial" w:hAnsi="Arial" w:cs="Arial"/>
                <w:color w:val="000000"/>
              </w:rPr>
              <w:t>58</w:t>
            </w:r>
          </w:p>
        </w:tc>
        <w:tc>
          <w:tcPr>
            <w:tcW w:w="879" w:type="dxa"/>
          </w:tcPr>
          <w:p w14:paraId="0000040E" w14:textId="77777777" w:rsidR="001C40B0" w:rsidRDefault="00291712">
            <w:pPr>
              <w:pBdr>
                <w:top w:val="nil"/>
                <w:left w:val="nil"/>
                <w:bottom w:val="nil"/>
                <w:right w:val="nil"/>
                <w:between w:val="nil"/>
              </w:pBdr>
              <w:spacing w:before="1"/>
              <w:ind w:left="17"/>
              <w:jc w:val="center"/>
              <w:rPr>
                <w:rFonts w:ascii="Arial" w:eastAsia="Arial" w:hAnsi="Arial" w:cs="Arial"/>
                <w:color w:val="000000"/>
              </w:rPr>
            </w:pPr>
            <w:r>
              <w:rPr>
                <w:rFonts w:ascii="Arial" w:eastAsia="Arial" w:hAnsi="Arial" w:cs="Arial"/>
                <w:color w:val="000000"/>
              </w:rPr>
              <w:t>633</w:t>
            </w:r>
          </w:p>
        </w:tc>
        <w:tc>
          <w:tcPr>
            <w:tcW w:w="898" w:type="dxa"/>
          </w:tcPr>
          <w:p w14:paraId="0000040F" w14:textId="77777777" w:rsidR="001C40B0" w:rsidRDefault="00291712">
            <w:pPr>
              <w:pBdr>
                <w:top w:val="nil"/>
                <w:left w:val="nil"/>
                <w:bottom w:val="nil"/>
                <w:right w:val="nil"/>
                <w:between w:val="nil"/>
              </w:pBdr>
              <w:spacing w:before="1"/>
              <w:ind w:left="22" w:right="1"/>
              <w:jc w:val="center"/>
              <w:rPr>
                <w:rFonts w:ascii="Arial" w:eastAsia="Arial" w:hAnsi="Arial" w:cs="Arial"/>
                <w:color w:val="000000"/>
              </w:rPr>
            </w:pPr>
            <w:r>
              <w:rPr>
                <w:rFonts w:ascii="Arial" w:eastAsia="Arial" w:hAnsi="Arial" w:cs="Arial"/>
                <w:color w:val="000000"/>
              </w:rPr>
              <w:t>967</w:t>
            </w:r>
          </w:p>
        </w:tc>
      </w:tr>
      <w:tr w:rsidR="001C40B0" w14:paraId="54D06737" w14:textId="77777777">
        <w:trPr>
          <w:trHeight w:val="402"/>
        </w:trPr>
        <w:tc>
          <w:tcPr>
            <w:tcW w:w="1597" w:type="dxa"/>
            <w:shd w:val="clear" w:color="auto" w:fill="D9D9D9"/>
          </w:tcPr>
          <w:p w14:paraId="00000410" w14:textId="77777777" w:rsidR="001C40B0" w:rsidRDefault="00291712">
            <w:pPr>
              <w:pBdr>
                <w:top w:val="nil"/>
                <w:left w:val="nil"/>
                <w:bottom w:val="nil"/>
                <w:right w:val="nil"/>
                <w:between w:val="nil"/>
              </w:pBdr>
              <w:spacing w:before="1"/>
              <w:ind w:left="21"/>
              <w:jc w:val="center"/>
              <w:rPr>
                <w:rFonts w:ascii="Arial" w:eastAsia="Arial" w:hAnsi="Arial" w:cs="Arial"/>
                <w:b/>
                <w:bCs/>
                <w:color w:val="000000"/>
              </w:rPr>
            </w:pPr>
            <w:r>
              <w:rPr>
                <w:rFonts w:ascii="Arial" w:eastAsia="Arial" w:hAnsi="Arial" w:cs="Arial"/>
                <w:b/>
                <w:bCs/>
                <w:color w:val="000000"/>
              </w:rPr>
              <w:t>2023</w:t>
            </w:r>
          </w:p>
        </w:tc>
        <w:tc>
          <w:tcPr>
            <w:tcW w:w="1104" w:type="dxa"/>
          </w:tcPr>
          <w:p w14:paraId="00000411" w14:textId="77777777" w:rsidR="001C40B0" w:rsidRDefault="00291712">
            <w:pPr>
              <w:pBdr>
                <w:top w:val="nil"/>
                <w:left w:val="nil"/>
                <w:bottom w:val="nil"/>
                <w:right w:val="nil"/>
                <w:between w:val="nil"/>
              </w:pBdr>
              <w:spacing w:before="1"/>
              <w:ind w:left="22" w:right="1"/>
              <w:jc w:val="center"/>
              <w:rPr>
                <w:rFonts w:ascii="Arial" w:eastAsia="Arial" w:hAnsi="Arial" w:cs="Arial"/>
                <w:color w:val="000000"/>
              </w:rPr>
            </w:pPr>
            <w:r>
              <w:rPr>
                <w:rFonts w:ascii="Arial" w:eastAsia="Arial" w:hAnsi="Arial" w:cs="Arial"/>
                <w:color w:val="000000"/>
              </w:rPr>
              <w:t>104</w:t>
            </w:r>
          </w:p>
        </w:tc>
        <w:tc>
          <w:tcPr>
            <w:tcW w:w="970" w:type="dxa"/>
          </w:tcPr>
          <w:p w14:paraId="00000412" w14:textId="77777777" w:rsidR="001C40B0" w:rsidRDefault="00291712">
            <w:pPr>
              <w:pBdr>
                <w:top w:val="nil"/>
                <w:left w:val="nil"/>
                <w:bottom w:val="nil"/>
                <w:right w:val="nil"/>
                <w:between w:val="nil"/>
              </w:pBdr>
              <w:spacing w:before="1"/>
              <w:ind w:left="21"/>
              <w:jc w:val="center"/>
              <w:rPr>
                <w:rFonts w:ascii="Arial" w:eastAsia="Arial" w:hAnsi="Arial" w:cs="Arial"/>
                <w:color w:val="000000"/>
              </w:rPr>
            </w:pPr>
            <w:r>
              <w:rPr>
                <w:rFonts w:ascii="Arial" w:eastAsia="Arial" w:hAnsi="Arial" w:cs="Arial"/>
                <w:color w:val="000000"/>
              </w:rPr>
              <w:t>235</w:t>
            </w:r>
          </w:p>
        </w:tc>
        <w:tc>
          <w:tcPr>
            <w:tcW w:w="1148" w:type="dxa"/>
          </w:tcPr>
          <w:p w14:paraId="00000413" w14:textId="77777777" w:rsidR="001C40B0" w:rsidRDefault="00291712">
            <w:pPr>
              <w:pBdr>
                <w:top w:val="nil"/>
                <w:left w:val="nil"/>
                <w:bottom w:val="nil"/>
                <w:right w:val="nil"/>
                <w:between w:val="nil"/>
              </w:pBdr>
              <w:spacing w:before="1"/>
              <w:ind w:left="23"/>
              <w:jc w:val="center"/>
              <w:rPr>
                <w:rFonts w:ascii="Arial" w:eastAsia="Arial" w:hAnsi="Arial" w:cs="Arial"/>
                <w:color w:val="000000"/>
              </w:rPr>
            </w:pPr>
            <w:r>
              <w:rPr>
                <w:rFonts w:ascii="Arial" w:eastAsia="Arial" w:hAnsi="Arial" w:cs="Arial"/>
                <w:color w:val="000000"/>
              </w:rPr>
              <w:t>1</w:t>
            </w:r>
          </w:p>
        </w:tc>
        <w:tc>
          <w:tcPr>
            <w:tcW w:w="1215" w:type="dxa"/>
          </w:tcPr>
          <w:p w14:paraId="00000414" w14:textId="77777777" w:rsidR="001C40B0" w:rsidRDefault="00291712">
            <w:pPr>
              <w:pBdr>
                <w:top w:val="nil"/>
                <w:left w:val="nil"/>
                <w:bottom w:val="nil"/>
                <w:right w:val="nil"/>
                <w:between w:val="nil"/>
              </w:pBdr>
              <w:spacing w:before="1"/>
              <w:ind w:left="24" w:right="1"/>
              <w:jc w:val="center"/>
              <w:rPr>
                <w:rFonts w:ascii="Arial" w:eastAsia="Arial" w:hAnsi="Arial" w:cs="Arial"/>
                <w:color w:val="000000"/>
              </w:rPr>
            </w:pPr>
            <w:r>
              <w:rPr>
                <w:rFonts w:ascii="Arial" w:eastAsia="Arial" w:hAnsi="Arial" w:cs="Arial"/>
                <w:color w:val="000000"/>
              </w:rPr>
              <w:t>16</w:t>
            </w:r>
          </w:p>
        </w:tc>
        <w:tc>
          <w:tcPr>
            <w:tcW w:w="1028" w:type="dxa"/>
          </w:tcPr>
          <w:p w14:paraId="00000415" w14:textId="77777777" w:rsidR="001C40B0" w:rsidRDefault="00291712">
            <w:pPr>
              <w:pBdr>
                <w:top w:val="nil"/>
                <w:left w:val="nil"/>
                <w:bottom w:val="nil"/>
                <w:right w:val="nil"/>
                <w:between w:val="nil"/>
              </w:pBdr>
              <w:spacing w:before="1"/>
              <w:ind w:left="20" w:right="1"/>
              <w:jc w:val="center"/>
              <w:rPr>
                <w:rFonts w:ascii="Arial" w:eastAsia="Arial" w:hAnsi="Arial" w:cs="Arial"/>
                <w:color w:val="000000"/>
              </w:rPr>
            </w:pPr>
            <w:r>
              <w:rPr>
                <w:rFonts w:ascii="Arial" w:eastAsia="Arial" w:hAnsi="Arial" w:cs="Arial"/>
                <w:color w:val="000000"/>
              </w:rPr>
              <w:t>74</w:t>
            </w:r>
          </w:p>
        </w:tc>
        <w:tc>
          <w:tcPr>
            <w:tcW w:w="879" w:type="dxa"/>
          </w:tcPr>
          <w:p w14:paraId="00000416" w14:textId="77777777" w:rsidR="001C40B0" w:rsidRDefault="00291712">
            <w:pPr>
              <w:pBdr>
                <w:top w:val="nil"/>
                <w:left w:val="nil"/>
                <w:bottom w:val="nil"/>
                <w:right w:val="nil"/>
                <w:between w:val="nil"/>
              </w:pBdr>
              <w:spacing w:before="1"/>
              <w:ind w:left="17"/>
              <w:jc w:val="center"/>
              <w:rPr>
                <w:rFonts w:ascii="Arial" w:eastAsia="Arial" w:hAnsi="Arial" w:cs="Arial"/>
                <w:color w:val="000000"/>
              </w:rPr>
            </w:pPr>
            <w:r>
              <w:rPr>
                <w:rFonts w:ascii="Arial" w:eastAsia="Arial" w:hAnsi="Arial" w:cs="Arial"/>
                <w:color w:val="000000"/>
              </w:rPr>
              <w:t>756</w:t>
            </w:r>
          </w:p>
        </w:tc>
        <w:tc>
          <w:tcPr>
            <w:tcW w:w="898" w:type="dxa"/>
          </w:tcPr>
          <w:p w14:paraId="00000417" w14:textId="77777777" w:rsidR="001C40B0" w:rsidRDefault="00291712">
            <w:pPr>
              <w:pBdr>
                <w:top w:val="nil"/>
                <w:left w:val="nil"/>
                <w:bottom w:val="nil"/>
                <w:right w:val="nil"/>
                <w:between w:val="nil"/>
              </w:pBdr>
              <w:spacing w:before="1"/>
              <w:ind w:left="22" w:right="1"/>
              <w:jc w:val="center"/>
              <w:rPr>
                <w:rFonts w:ascii="Arial" w:eastAsia="Arial" w:hAnsi="Arial" w:cs="Arial"/>
                <w:color w:val="000000"/>
              </w:rPr>
            </w:pPr>
            <w:r>
              <w:rPr>
                <w:rFonts w:ascii="Arial" w:eastAsia="Arial" w:hAnsi="Arial" w:cs="Arial"/>
                <w:color w:val="000000"/>
              </w:rPr>
              <w:t>1,186</w:t>
            </w:r>
          </w:p>
        </w:tc>
      </w:tr>
      <w:tr w:rsidR="001C40B0" w14:paraId="5A149A59" w14:textId="77777777">
        <w:trPr>
          <w:trHeight w:val="402"/>
        </w:trPr>
        <w:tc>
          <w:tcPr>
            <w:tcW w:w="1597" w:type="dxa"/>
            <w:shd w:val="clear" w:color="auto" w:fill="D9D9D9"/>
          </w:tcPr>
          <w:p w14:paraId="00000418" w14:textId="77777777" w:rsidR="001C40B0" w:rsidRDefault="00291712">
            <w:pPr>
              <w:pBdr>
                <w:top w:val="nil"/>
                <w:left w:val="nil"/>
                <w:bottom w:val="nil"/>
                <w:right w:val="nil"/>
                <w:between w:val="nil"/>
              </w:pBdr>
              <w:spacing w:before="1"/>
              <w:ind w:left="21"/>
              <w:jc w:val="center"/>
              <w:rPr>
                <w:rFonts w:ascii="Arial" w:eastAsia="Arial" w:hAnsi="Arial" w:cs="Arial"/>
                <w:b/>
                <w:bCs/>
                <w:color w:val="000000"/>
              </w:rPr>
            </w:pPr>
            <w:r>
              <w:rPr>
                <w:rFonts w:ascii="Arial" w:eastAsia="Arial" w:hAnsi="Arial" w:cs="Arial"/>
                <w:b/>
                <w:bCs/>
                <w:color w:val="000000"/>
              </w:rPr>
              <w:t>Total</w:t>
            </w:r>
          </w:p>
        </w:tc>
        <w:tc>
          <w:tcPr>
            <w:tcW w:w="1104" w:type="dxa"/>
          </w:tcPr>
          <w:p w14:paraId="00000419" w14:textId="77777777" w:rsidR="001C40B0" w:rsidRDefault="00291712">
            <w:pPr>
              <w:pBdr>
                <w:top w:val="nil"/>
                <w:left w:val="nil"/>
                <w:bottom w:val="nil"/>
                <w:right w:val="nil"/>
                <w:between w:val="nil"/>
              </w:pBdr>
              <w:spacing w:before="1"/>
              <w:ind w:left="22" w:right="1"/>
              <w:jc w:val="center"/>
              <w:rPr>
                <w:rFonts w:ascii="Arial" w:eastAsia="Arial" w:hAnsi="Arial" w:cs="Arial"/>
                <w:color w:val="000000"/>
              </w:rPr>
            </w:pPr>
            <w:r>
              <w:rPr>
                <w:rFonts w:ascii="Arial" w:eastAsia="Arial" w:hAnsi="Arial" w:cs="Arial"/>
                <w:color w:val="000000"/>
              </w:rPr>
              <w:t>1,209</w:t>
            </w:r>
          </w:p>
        </w:tc>
        <w:tc>
          <w:tcPr>
            <w:tcW w:w="970" w:type="dxa"/>
          </w:tcPr>
          <w:p w14:paraId="0000041A" w14:textId="77777777" w:rsidR="001C40B0" w:rsidRDefault="00291712">
            <w:pPr>
              <w:pBdr>
                <w:top w:val="nil"/>
                <w:left w:val="nil"/>
                <w:bottom w:val="nil"/>
                <w:right w:val="nil"/>
                <w:between w:val="nil"/>
              </w:pBdr>
              <w:spacing w:before="1"/>
              <w:ind w:left="21"/>
              <w:jc w:val="center"/>
              <w:rPr>
                <w:rFonts w:ascii="Arial" w:eastAsia="Arial" w:hAnsi="Arial" w:cs="Arial"/>
                <w:color w:val="000000"/>
              </w:rPr>
            </w:pPr>
            <w:r>
              <w:rPr>
                <w:rFonts w:ascii="Arial" w:eastAsia="Arial" w:hAnsi="Arial" w:cs="Arial"/>
                <w:color w:val="000000"/>
              </w:rPr>
              <w:t>3,343</w:t>
            </w:r>
          </w:p>
        </w:tc>
        <w:tc>
          <w:tcPr>
            <w:tcW w:w="1148" w:type="dxa"/>
          </w:tcPr>
          <w:p w14:paraId="0000041B" w14:textId="77777777" w:rsidR="001C40B0" w:rsidRDefault="00291712">
            <w:pPr>
              <w:pBdr>
                <w:top w:val="nil"/>
                <w:left w:val="nil"/>
                <w:bottom w:val="nil"/>
                <w:right w:val="nil"/>
                <w:between w:val="nil"/>
              </w:pBdr>
              <w:spacing w:before="1"/>
              <w:ind w:left="23" w:right="1"/>
              <w:jc w:val="center"/>
              <w:rPr>
                <w:rFonts w:ascii="Arial" w:eastAsia="Arial" w:hAnsi="Arial" w:cs="Arial"/>
                <w:color w:val="000000"/>
              </w:rPr>
            </w:pPr>
            <w:r>
              <w:rPr>
                <w:rFonts w:ascii="Arial" w:eastAsia="Arial" w:hAnsi="Arial" w:cs="Arial"/>
                <w:color w:val="000000"/>
              </w:rPr>
              <w:t>44</w:t>
            </w:r>
          </w:p>
        </w:tc>
        <w:tc>
          <w:tcPr>
            <w:tcW w:w="1215" w:type="dxa"/>
          </w:tcPr>
          <w:p w14:paraId="0000041C" w14:textId="77777777" w:rsidR="001C40B0" w:rsidRDefault="00291712">
            <w:pPr>
              <w:pBdr>
                <w:top w:val="nil"/>
                <w:left w:val="nil"/>
                <w:bottom w:val="nil"/>
                <w:right w:val="nil"/>
                <w:between w:val="nil"/>
              </w:pBdr>
              <w:spacing w:before="1"/>
              <w:ind w:left="24" w:right="1"/>
              <w:jc w:val="center"/>
              <w:rPr>
                <w:rFonts w:ascii="Arial" w:eastAsia="Arial" w:hAnsi="Arial" w:cs="Arial"/>
                <w:color w:val="000000"/>
              </w:rPr>
            </w:pPr>
            <w:r>
              <w:rPr>
                <w:rFonts w:ascii="Arial" w:eastAsia="Arial" w:hAnsi="Arial" w:cs="Arial"/>
                <w:color w:val="000000"/>
              </w:rPr>
              <w:t>137</w:t>
            </w:r>
          </w:p>
        </w:tc>
        <w:tc>
          <w:tcPr>
            <w:tcW w:w="1028" w:type="dxa"/>
          </w:tcPr>
          <w:p w14:paraId="0000041D" w14:textId="77777777" w:rsidR="001C40B0" w:rsidRDefault="00291712">
            <w:pPr>
              <w:pBdr>
                <w:top w:val="nil"/>
                <w:left w:val="nil"/>
                <w:bottom w:val="nil"/>
                <w:right w:val="nil"/>
                <w:between w:val="nil"/>
              </w:pBdr>
              <w:spacing w:before="1"/>
              <w:ind w:left="20" w:right="1"/>
              <w:jc w:val="center"/>
              <w:rPr>
                <w:rFonts w:ascii="Arial" w:eastAsia="Arial" w:hAnsi="Arial" w:cs="Arial"/>
                <w:color w:val="000000"/>
              </w:rPr>
            </w:pPr>
            <w:r>
              <w:rPr>
                <w:rFonts w:ascii="Arial" w:eastAsia="Arial" w:hAnsi="Arial" w:cs="Arial"/>
                <w:color w:val="000000"/>
              </w:rPr>
              <w:t>478</w:t>
            </w:r>
          </w:p>
        </w:tc>
        <w:tc>
          <w:tcPr>
            <w:tcW w:w="879" w:type="dxa"/>
          </w:tcPr>
          <w:p w14:paraId="0000041E" w14:textId="77777777" w:rsidR="001C40B0" w:rsidRDefault="00291712">
            <w:pPr>
              <w:pBdr>
                <w:top w:val="nil"/>
                <w:left w:val="nil"/>
                <w:bottom w:val="nil"/>
                <w:right w:val="nil"/>
                <w:between w:val="nil"/>
              </w:pBdr>
              <w:spacing w:before="1"/>
              <w:ind w:left="17"/>
              <w:jc w:val="center"/>
              <w:rPr>
                <w:rFonts w:ascii="Arial" w:eastAsia="Arial" w:hAnsi="Arial" w:cs="Arial"/>
                <w:color w:val="000000"/>
              </w:rPr>
            </w:pPr>
            <w:r>
              <w:rPr>
                <w:rFonts w:ascii="Arial" w:eastAsia="Arial" w:hAnsi="Arial" w:cs="Arial"/>
                <w:color w:val="000000"/>
              </w:rPr>
              <w:t>11,269</w:t>
            </w:r>
          </w:p>
        </w:tc>
        <w:tc>
          <w:tcPr>
            <w:tcW w:w="898" w:type="dxa"/>
          </w:tcPr>
          <w:p w14:paraId="0000041F" w14:textId="77777777" w:rsidR="001C40B0" w:rsidRDefault="00291712">
            <w:pPr>
              <w:pBdr>
                <w:top w:val="nil"/>
                <w:left w:val="nil"/>
                <w:bottom w:val="nil"/>
                <w:right w:val="nil"/>
                <w:between w:val="nil"/>
              </w:pBdr>
              <w:spacing w:before="1"/>
              <w:ind w:left="22"/>
              <w:jc w:val="center"/>
              <w:rPr>
                <w:rFonts w:ascii="Arial" w:eastAsia="Arial" w:hAnsi="Arial" w:cs="Arial"/>
                <w:color w:val="000000"/>
              </w:rPr>
            </w:pPr>
            <w:r>
              <w:rPr>
                <w:rFonts w:ascii="Arial" w:eastAsia="Arial" w:hAnsi="Arial" w:cs="Arial"/>
                <w:color w:val="000000"/>
              </w:rPr>
              <w:t>16,480</w:t>
            </w:r>
          </w:p>
        </w:tc>
      </w:tr>
      <w:tr w:rsidR="001C40B0" w14:paraId="63721B5A" w14:textId="77777777">
        <w:trPr>
          <w:trHeight w:val="402"/>
        </w:trPr>
        <w:tc>
          <w:tcPr>
            <w:tcW w:w="1597" w:type="dxa"/>
            <w:shd w:val="clear" w:color="auto" w:fill="D9D9D9"/>
          </w:tcPr>
          <w:p w14:paraId="00000420" w14:textId="77777777" w:rsidR="001C40B0" w:rsidRDefault="00291712">
            <w:pPr>
              <w:pBdr>
                <w:top w:val="nil"/>
                <w:left w:val="nil"/>
                <w:bottom w:val="nil"/>
                <w:right w:val="nil"/>
                <w:between w:val="nil"/>
              </w:pBdr>
              <w:spacing w:before="1"/>
              <w:ind w:left="21"/>
              <w:jc w:val="center"/>
              <w:rPr>
                <w:rFonts w:ascii="Arial" w:eastAsia="Arial" w:hAnsi="Arial" w:cs="Arial"/>
                <w:b/>
                <w:bCs/>
                <w:color w:val="000000"/>
              </w:rPr>
            </w:pPr>
            <w:r>
              <w:rPr>
                <w:rFonts w:ascii="Arial" w:eastAsia="Arial" w:hAnsi="Arial" w:cs="Arial"/>
                <w:b/>
                <w:bCs/>
                <w:color w:val="000000"/>
              </w:rPr>
              <w:t>Participación</w:t>
            </w:r>
          </w:p>
        </w:tc>
        <w:tc>
          <w:tcPr>
            <w:tcW w:w="1104" w:type="dxa"/>
          </w:tcPr>
          <w:p w14:paraId="00000421" w14:textId="77777777" w:rsidR="001C40B0" w:rsidRDefault="00291712">
            <w:pPr>
              <w:pBdr>
                <w:top w:val="nil"/>
                <w:left w:val="nil"/>
                <w:bottom w:val="nil"/>
                <w:right w:val="nil"/>
                <w:between w:val="nil"/>
              </w:pBdr>
              <w:spacing w:before="1"/>
              <w:ind w:left="22" w:right="1"/>
              <w:jc w:val="center"/>
              <w:rPr>
                <w:rFonts w:ascii="Arial" w:eastAsia="Arial" w:hAnsi="Arial" w:cs="Arial"/>
                <w:color w:val="000000"/>
              </w:rPr>
            </w:pPr>
            <w:r>
              <w:rPr>
                <w:rFonts w:ascii="Arial" w:eastAsia="Arial" w:hAnsi="Arial" w:cs="Arial"/>
                <w:color w:val="000000"/>
              </w:rPr>
              <w:t>7.3%</w:t>
            </w:r>
          </w:p>
        </w:tc>
        <w:tc>
          <w:tcPr>
            <w:tcW w:w="970" w:type="dxa"/>
          </w:tcPr>
          <w:p w14:paraId="00000422" w14:textId="77777777" w:rsidR="001C40B0" w:rsidRDefault="00291712">
            <w:pPr>
              <w:pBdr>
                <w:top w:val="nil"/>
                <w:left w:val="nil"/>
                <w:bottom w:val="nil"/>
                <w:right w:val="nil"/>
                <w:between w:val="nil"/>
              </w:pBdr>
              <w:spacing w:before="1"/>
              <w:ind w:left="21"/>
              <w:jc w:val="center"/>
              <w:rPr>
                <w:rFonts w:ascii="Arial" w:eastAsia="Arial" w:hAnsi="Arial" w:cs="Arial"/>
                <w:color w:val="000000"/>
              </w:rPr>
            </w:pPr>
            <w:r>
              <w:rPr>
                <w:rFonts w:ascii="Arial" w:eastAsia="Arial" w:hAnsi="Arial" w:cs="Arial"/>
                <w:color w:val="000000"/>
              </w:rPr>
              <w:t>20.3%</w:t>
            </w:r>
          </w:p>
        </w:tc>
        <w:tc>
          <w:tcPr>
            <w:tcW w:w="1148" w:type="dxa"/>
          </w:tcPr>
          <w:p w14:paraId="00000423" w14:textId="77777777" w:rsidR="001C40B0" w:rsidRDefault="00291712">
            <w:pPr>
              <w:pBdr>
                <w:top w:val="nil"/>
                <w:left w:val="nil"/>
                <w:bottom w:val="nil"/>
                <w:right w:val="nil"/>
                <w:between w:val="nil"/>
              </w:pBdr>
              <w:spacing w:before="1"/>
              <w:ind w:left="23" w:right="1"/>
              <w:jc w:val="center"/>
              <w:rPr>
                <w:rFonts w:ascii="Arial" w:eastAsia="Arial" w:hAnsi="Arial" w:cs="Arial"/>
                <w:color w:val="000000"/>
              </w:rPr>
            </w:pPr>
            <w:r>
              <w:rPr>
                <w:rFonts w:ascii="Arial" w:eastAsia="Arial" w:hAnsi="Arial" w:cs="Arial"/>
                <w:color w:val="000000"/>
              </w:rPr>
              <w:t>0.3%</w:t>
            </w:r>
          </w:p>
        </w:tc>
        <w:tc>
          <w:tcPr>
            <w:tcW w:w="1215" w:type="dxa"/>
          </w:tcPr>
          <w:p w14:paraId="00000424" w14:textId="77777777" w:rsidR="001C40B0" w:rsidRDefault="00291712">
            <w:pPr>
              <w:pBdr>
                <w:top w:val="nil"/>
                <w:left w:val="nil"/>
                <w:bottom w:val="nil"/>
                <w:right w:val="nil"/>
                <w:between w:val="nil"/>
              </w:pBdr>
              <w:spacing w:before="1"/>
              <w:ind w:left="24" w:right="1"/>
              <w:jc w:val="center"/>
              <w:rPr>
                <w:rFonts w:ascii="Arial" w:eastAsia="Arial" w:hAnsi="Arial" w:cs="Arial"/>
                <w:color w:val="000000"/>
              </w:rPr>
            </w:pPr>
            <w:r>
              <w:rPr>
                <w:rFonts w:ascii="Arial" w:eastAsia="Arial" w:hAnsi="Arial" w:cs="Arial"/>
                <w:color w:val="000000"/>
              </w:rPr>
              <w:t>0.8%</w:t>
            </w:r>
          </w:p>
        </w:tc>
        <w:tc>
          <w:tcPr>
            <w:tcW w:w="1028" w:type="dxa"/>
          </w:tcPr>
          <w:p w14:paraId="00000425" w14:textId="77777777" w:rsidR="001C40B0" w:rsidRDefault="00291712">
            <w:pPr>
              <w:pBdr>
                <w:top w:val="nil"/>
                <w:left w:val="nil"/>
                <w:bottom w:val="nil"/>
                <w:right w:val="nil"/>
                <w:between w:val="nil"/>
              </w:pBdr>
              <w:spacing w:before="1"/>
              <w:ind w:left="20"/>
              <w:jc w:val="center"/>
              <w:rPr>
                <w:rFonts w:ascii="Arial" w:eastAsia="Arial" w:hAnsi="Arial" w:cs="Arial"/>
                <w:color w:val="000000"/>
              </w:rPr>
            </w:pPr>
            <w:r>
              <w:rPr>
                <w:rFonts w:ascii="Arial" w:eastAsia="Arial" w:hAnsi="Arial" w:cs="Arial"/>
                <w:color w:val="000000"/>
              </w:rPr>
              <w:t>2.9%</w:t>
            </w:r>
          </w:p>
        </w:tc>
        <w:tc>
          <w:tcPr>
            <w:tcW w:w="879" w:type="dxa"/>
          </w:tcPr>
          <w:p w14:paraId="00000426" w14:textId="77777777" w:rsidR="001C40B0" w:rsidRDefault="00291712">
            <w:pPr>
              <w:pBdr>
                <w:top w:val="nil"/>
                <w:left w:val="nil"/>
                <w:bottom w:val="nil"/>
                <w:right w:val="nil"/>
                <w:between w:val="nil"/>
              </w:pBdr>
              <w:spacing w:before="1"/>
              <w:ind w:left="17"/>
              <w:jc w:val="center"/>
              <w:rPr>
                <w:rFonts w:ascii="Arial" w:eastAsia="Arial" w:hAnsi="Arial" w:cs="Arial"/>
                <w:color w:val="000000"/>
              </w:rPr>
            </w:pPr>
            <w:r>
              <w:rPr>
                <w:rFonts w:ascii="Arial" w:eastAsia="Arial" w:hAnsi="Arial" w:cs="Arial"/>
                <w:color w:val="000000"/>
              </w:rPr>
              <w:t>68.4%</w:t>
            </w:r>
          </w:p>
        </w:tc>
        <w:tc>
          <w:tcPr>
            <w:tcW w:w="898" w:type="dxa"/>
          </w:tcPr>
          <w:p w14:paraId="00000427" w14:textId="77777777" w:rsidR="001C40B0" w:rsidRDefault="001C40B0">
            <w:pPr>
              <w:pBdr>
                <w:top w:val="nil"/>
                <w:left w:val="nil"/>
                <w:bottom w:val="nil"/>
                <w:right w:val="nil"/>
                <w:between w:val="nil"/>
              </w:pBdr>
              <w:rPr>
                <w:rFonts w:ascii="Arial" w:eastAsia="Arial" w:hAnsi="Arial" w:cs="Arial"/>
                <w:color w:val="000000"/>
              </w:rPr>
            </w:pPr>
          </w:p>
        </w:tc>
      </w:tr>
    </w:tbl>
    <w:p w14:paraId="00000428" w14:textId="77777777" w:rsidR="001C40B0" w:rsidRDefault="00291712">
      <w:pPr>
        <w:jc w:val="both"/>
        <w:rPr>
          <w:rFonts w:ascii="Arial" w:eastAsia="Arial" w:hAnsi="Arial" w:cs="Arial"/>
          <w:sz w:val="22"/>
          <w:szCs w:val="22"/>
        </w:rPr>
      </w:pPr>
      <w:r>
        <w:rPr>
          <w:rFonts w:ascii="Arial" w:eastAsia="Arial" w:hAnsi="Arial" w:cs="Arial"/>
          <w:sz w:val="22"/>
          <w:szCs w:val="22"/>
        </w:rPr>
        <w:t>Fuente: RedDataINS. Respuesta derecha de petición INS febrero de 2018.</w:t>
      </w:r>
    </w:p>
    <w:p w14:paraId="00000429" w14:textId="77777777" w:rsidR="001C40B0" w:rsidRDefault="001C40B0">
      <w:pPr>
        <w:jc w:val="both"/>
        <w:rPr>
          <w:rFonts w:ascii="Arial" w:eastAsia="Arial" w:hAnsi="Arial" w:cs="Arial"/>
          <w:sz w:val="22"/>
          <w:szCs w:val="22"/>
        </w:rPr>
      </w:pPr>
    </w:p>
    <w:p w14:paraId="0000042A" w14:textId="77777777" w:rsidR="001C40B0" w:rsidRDefault="00291712">
      <w:pPr>
        <w:jc w:val="both"/>
        <w:rPr>
          <w:rFonts w:ascii="Arial" w:eastAsia="Arial" w:hAnsi="Arial" w:cs="Arial"/>
          <w:sz w:val="22"/>
          <w:szCs w:val="22"/>
        </w:rPr>
      </w:pPr>
      <w:r>
        <w:rPr>
          <w:rFonts w:ascii="Arial" w:eastAsia="Arial" w:hAnsi="Arial" w:cs="Arial"/>
          <w:sz w:val="22"/>
          <w:szCs w:val="22"/>
        </w:rPr>
        <w:t>Por otro lado, la tasa de negativa familiar, es decir, es decir el porcentaje de familias con potenciales donantes que se opondrían expresamente a la donación, presenta un comportamiento desfavorable. Los datos indican que, en el último año la tasa de negativa familiar ante un virtual escenario de donación por parte de su ser querido, se redujo al 28%, rompiendo notablemente la tendencia de aumento que se había generado desde el año 2012.</w:t>
      </w:r>
    </w:p>
    <w:p w14:paraId="0000042B" w14:textId="77777777" w:rsidR="001C40B0" w:rsidRDefault="00291712">
      <w:pPr>
        <w:jc w:val="center"/>
        <w:rPr>
          <w:rFonts w:ascii="Arial" w:eastAsia="Arial" w:hAnsi="Arial" w:cs="Arial"/>
          <w:b/>
          <w:bCs/>
          <w:sz w:val="22"/>
          <w:szCs w:val="22"/>
        </w:rPr>
      </w:pPr>
      <w:r>
        <w:rPr>
          <w:rFonts w:ascii="Arial" w:eastAsia="Arial" w:hAnsi="Arial" w:cs="Arial"/>
          <w:b/>
          <w:bCs/>
          <w:sz w:val="22"/>
          <w:szCs w:val="22"/>
        </w:rPr>
        <w:t>Tasa de Negativa Familiar</w:t>
      </w:r>
      <w:r>
        <w:rPr>
          <w:noProof/>
        </w:rPr>
        <w:drawing>
          <wp:anchor distT="0" distB="0" distL="0" distR="0" simplePos="0" relativeHeight="251661312" behindDoc="0" locked="0" layoutInCell="1" hidden="0" allowOverlap="1">
            <wp:simplePos x="0" y="0"/>
            <wp:positionH relativeFrom="column">
              <wp:posOffset>438150</wp:posOffset>
            </wp:positionH>
            <wp:positionV relativeFrom="paragraph">
              <wp:posOffset>226033</wp:posOffset>
            </wp:positionV>
            <wp:extent cx="4756785" cy="1882775"/>
            <wp:effectExtent l="0" t="0" r="0" b="0"/>
            <wp:wrapTopAndBottom distT="0" dist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756785" cy="1882775"/>
                    </a:xfrm>
                    <a:prstGeom prst="rect">
                      <a:avLst/>
                    </a:prstGeom>
                    <a:ln/>
                  </pic:spPr>
                </pic:pic>
              </a:graphicData>
            </a:graphic>
          </wp:anchor>
        </w:drawing>
      </w:r>
    </w:p>
    <w:p w14:paraId="0000042C" w14:textId="77777777" w:rsidR="001C40B0" w:rsidRDefault="00291712">
      <w:pPr>
        <w:jc w:val="both"/>
        <w:rPr>
          <w:rFonts w:ascii="Arial" w:eastAsia="Arial" w:hAnsi="Arial" w:cs="Arial"/>
          <w:sz w:val="22"/>
          <w:szCs w:val="22"/>
        </w:rPr>
      </w:pPr>
      <w:r>
        <w:rPr>
          <w:rFonts w:ascii="Arial" w:eastAsia="Arial" w:hAnsi="Arial" w:cs="Arial"/>
          <w:sz w:val="22"/>
          <w:szCs w:val="22"/>
        </w:rPr>
        <w:t>Fuente: INS.</w:t>
      </w:r>
    </w:p>
    <w:p w14:paraId="0000042D" w14:textId="77777777" w:rsidR="001C40B0" w:rsidRDefault="001C40B0">
      <w:pPr>
        <w:jc w:val="both"/>
        <w:rPr>
          <w:rFonts w:ascii="Arial" w:eastAsia="Arial" w:hAnsi="Arial" w:cs="Arial"/>
          <w:sz w:val="22"/>
          <w:szCs w:val="22"/>
        </w:rPr>
      </w:pPr>
    </w:p>
    <w:p w14:paraId="0000042E"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Según informa el Instituto Nacional de Salud [1], pese al incremento de la donación evidenciado tras la entrada en vigor de la Ley 1805 de 2016, el número de extracciones efectivas de componentes anatómicos continúa siendo fluctuante. Esto obedece a una serie </w:t>
      </w:r>
      <w:r>
        <w:rPr>
          <w:rFonts w:ascii="Arial" w:eastAsia="Arial" w:hAnsi="Arial" w:cs="Arial"/>
          <w:sz w:val="22"/>
          <w:szCs w:val="22"/>
        </w:rPr>
        <w:lastRenderedPageBreak/>
        <w:t>de factores que impiden que un donante potencial no logre llegar a ser un donante real, entre las que se encuentran:</w:t>
      </w:r>
    </w:p>
    <w:p w14:paraId="0000042F" w14:textId="77777777" w:rsidR="001C40B0" w:rsidRDefault="001C40B0">
      <w:pPr>
        <w:jc w:val="both"/>
        <w:rPr>
          <w:rFonts w:ascii="Arial" w:eastAsia="Arial" w:hAnsi="Arial" w:cs="Arial"/>
          <w:sz w:val="22"/>
          <w:szCs w:val="22"/>
        </w:rPr>
      </w:pPr>
    </w:p>
    <w:p w14:paraId="00000430" w14:textId="77777777" w:rsidR="001C40B0" w:rsidRDefault="00291712">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Atención pre hospitalaria que direcciona de manera inadecuada hacia una IPS que no puede garantizar el mantenimiento de un potencial donante en un paciente neurocrítico.</w:t>
      </w:r>
    </w:p>
    <w:p w14:paraId="00000431" w14:textId="77777777" w:rsidR="001C40B0" w:rsidRDefault="00291712">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Fallas en el manejo clínico que contraindican el uso de los órganos en la IPS generadora.</w:t>
      </w:r>
    </w:p>
    <w:p w14:paraId="00000432" w14:textId="77777777" w:rsidR="001C40B0" w:rsidRDefault="001C40B0">
      <w:pPr>
        <w:jc w:val="both"/>
        <w:rPr>
          <w:rFonts w:ascii="Arial" w:eastAsia="Arial" w:hAnsi="Arial" w:cs="Arial"/>
          <w:sz w:val="22"/>
          <w:szCs w:val="22"/>
        </w:rPr>
      </w:pPr>
    </w:p>
    <w:p w14:paraId="00000433" w14:textId="77777777" w:rsidR="001C40B0" w:rsidRDefault="00291712">
      <w:pPr>
        <w:jc w:val="both"/>
        <w:rPr>
          <w:rFonts w:ascii="Arial" w:eastAsia="Arial" w:hAnsi="Arial" w:cs="Arial"/>
          <w:sz w:val="22"/>
          <w:szCs w:val="22"/>
        </w:rPr>
      </w:pPr>
      <w:r>
        <w:rPr>
          <w:rFonts w:ascii="Arial" w:eastAsia="Arial" w:hAnsi="Arial" w:cs="Arial"/>
          <w:sz w:val="22"/>
          <w:szCs w:val="22"/>
        </w:rPr>
        <w:t>Para 2022 la tasa de donación bajó a 6.4 p. m. p.</w:t>
      </w:r>
      <w:r>
        <w:rPr>
          <w:rFonts w:ascii="Arial" w:eastAsia="Arial" w:hAnsi="Arial" w:cs="Arial"/>
          <w:sz w:val="22"/>
          <w:szCs w:val="22"/>
          <w:vertAlign w:val="superscript"/>
        </w:rPr>
        <w:footnoteReference w:id="1"/>
      </w:r>
      <w:r>
        <w:rPr>
          <w:rFonts w:ascii="Arial" w:eastAsia="Arial" w:hAnsi="Arial" w:cs="Arial"/>
          <w:sz w:val="22"/>
          <w:szCs w:val="22"/>
        </w:rPr>
        <w:t xml:space="preserve"> y aunque en 2023 subió a 7.1 p.m.p</w:t>
      </w:r>
      <w:r>
        <w:rPr>
          <w:rFonts w:ascii="Arial" w:eastAsia="Arial" w:hAnsi="Arial" w:cs="Arial"/>
          <w:sz w:val="22"/>
          <w:szCs w:val="22"/>
          <w:vertAlign w:val="superscript"/>
        </w:rPr>
        <w:footnoteReference w:id="2"/>
      </w:r>
      <w:r>
        <w:rPr>
          <w:rFonts w:ascii="Arial" w:eastAsia="Arial" w:hAnsi="Arial" w:cs="Arial"/>
          <w:sz w:val="22"/>
          <w:szCs w:val="22"/>
        </w:rPr>
        <w:t>., aún no se supera la cifra más alta reportada en los últimos cuatro años corresponde al año 2019: 8,4 por millón de habitantes. Incluso esta cifra sigue siendo baja si se compara con la cifra manejada por otros países de la región para el año 2022: en Chile fue de 10,4 por millón de habitantes, en Uruguay de 22,86 por millón de habitantes, en Argentina de 19,6 por millón de habitantes y en Brasil de 18 por mayor de habitantes; y mucho más inferior si se compara con países como España (49,61 por millón de habitantes) y Estados Unidos (36,88 por millón de habitantes)</w:t>
      </w:r>
      <w:r>
        <w:rPr>
          <w:rFonts w:ascii="Arial" w:eastAsia="Arial" w:hAnsi="Arial" w:cs="Arial"/>
          <w:sz w:val="22"/>
          <w:szCs w:val="22"/>
          <w:vertAlign w:val="superscript"/>
        </w:rPr>
        <w:footnoteReference w:id="3"/>
      </w:r>
    </w:p>
    <w:p w14:paraId="00000434" w14:textId="77777777" w:rsidR="001C40B0" w:rsidRDefault="001C40B0">
      <w:pPr>
        <w:jc w:val="both"/>
        <w:rPr>
          <w:rFonts w:ascii="Arial" w:eastAsia="Arial" w:hAnsi="Arial" w:cs="Arial"/>
          <w:sz w:val="22"/>
          <w:szCs w:val="22"/>
        </w:rPr>
      </w:pPr>
    </w:p>
    <w:p w14:paraId="00000435" w14:textId="77777777" w:rsidR="001C40B0" w:rsidRDefault="00291712">
      <w:pPr>
        <w:jc w:val="both"/>
        <w:rPr>
          <w:rFonts w:ascii="Arial" w:eastAsia="Arial" w:hAnsi="Arial" w:cs="Arial"/>
          <w:sz w:val="22"/>
          <w:szCs w:val="22"/>
        </w:rPr>
      </w:pPr>
      <w:r>
        <w:rPr>
          <w:rFonts w:ascii="Arial" w:eastAsia="Arial" w:hAnsi="Arial" w:cs="Arial"/>
          <w:sz w:val="22"/>
          <w:szCs w:val="22"/>
        </w:rPr>
        <w:t>Incluso, al realizar una comparación entre las tasas de donación para donantes reales en América Latina, para el 2016 Colombia ocupaba el séptimo lugar entre 16 países. (Ver Tabla 4. Comparativo tasas de donación para donantes en América Latina).</w:t>
      </w:r>
    </w:p>
    <w:p w14:paraId="00000436" w14:textId="77777777" w:rsidR="001C40B0" w:rsidRDefault="001C40B0">
      <w:pPr>
        <w:jc w:val="both"/>
        <w:rPr>
          <w:rFonts w:ascii="Arial" w:eastAsia="Arial" w:hAnsi="Arial" w:cs="Arial"/>
          <w:sz w:val="22"/>
          <w:szCs w:val="22"/>
        </w:rPr>
      </w:pPr>
    </w:p>
    <w:p w14:paraId="00000437" w14:textId="77777777" w:rsidR="001C40B0" w:rsidRDefault="00291712">
      <w:pPr>
        <w:jc w:val="center"/>
        <w:rPr>
          <w:rFonts w:ascii="Arial" w:eastAsia="Arial" w:hAnsi="Arial" w:cs="Arial"/>
          <w:b/>
          <w:bCs/>
          <w:sz w:val="22"/>
          <w:szCs w:val="22"/>
        </w:rPr>
      </w:pPr>
      <w:r>
        <w:rPr>
          <w:rFonts w:ascii="Arial" w:eastAsia="Arial" w:hAnsi="Arial" w:cs="Arial"/>
          <w:b/>
          <w:bCs/>
          <w:sz w:val="22"/>
          <w:szCs w:val="22"/>
        </w:rPr>
        <w:t>Tabla 4. Comparativo tasas donación para donantes en América Latina</w:t>
      </w:r>
    </w:p>
    <w:p w14:paraId="00000438" w14:textId="77777777" w:rsidR="001C40B0" w:rsidRDefault="001C40B0">
      <w:pPr>
        <w:jc w:val="center"/>
        <w:rPr>
          <w:rFonts w:ascii="Arial" w:eastAsia="Arial" w:hAnsi="Arial" w:cs="Arial"/>
          <w:b/>
          <w:bCs/>
          <w:sz w:val="22"/>
          <w:szCs w:val="22"/>
        </w:rPr>
      </w:pPr>
    </w:p>
    <w:tbl>
      <w:tblPr>
        <w:tblStyle w:val="a5"/>
        <w:tblW w:w="9012"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75"/>
        <w:gridCol w:w="825"/>
        <w:gridCol w:w="839"/>
        <w:gridCol w:w="839"/>
        <w:gridCol w:w="829"/>
        <w:gridCol w:w="839"/>
        <w:gridCol w:w="844"/>
        <w:gridCol w:w="839"/>
        <w:gridCol w:w="844"/>
        <w:gridCol w:w="839"/>
      </w:tblGrid>
      <w:tr w:rsidR="001C40B0" w14:paraId="68AC1F41" w14:textId="77777777">
        <w:trPr>
          <w:trHeight w:val="292"/>
        </w:trPr>
        <w:tc>
          <w:tcPr>
            <w:tcW w:w="1476" w:type="dxa"/>
          </w:tcPr>
          <w:p w14:paraId="00000439" w14:textId="77777777" w:rsidR="001C40B0" w:rsidRDefault="001C40B0">
            <w:pPr>
              <w:pBdr>
                <w:top w:val="nil"/>
                <w:left w:val="nil"/>
                <w:bottom w:val="nil"/>
                <w:right w:val="nil"/>
                <w:between w:val="nil"/>
              </w:pBdr>
              <w:rPr>
                <w:rFonts w:ascii="Arial" w:eastAsia="Arial" w:hAnsi="Arial" w:cs="Arial"/>
                <w:color w:val="000000"/>
              </w:rPr>
            </w:pPr>
          </w:p>
        </w:tc>
        <w:tc>
          <w:tcPr>
            <w:tcW w:w="825" w:type="dxa"/>
          </w:tcPr>
          <w:p w14:paraId="0000043A" w14:textId="77777777" w:rsidR="001C40B0" w:rsidRDefault="00291712">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2008</w:t>
            </w:r>
          </w:p>
        </w:tc>
        <w:tc>
          <w:tcPr>
            <w:tcW w:w="839" w:type="dxa"/>
          </w:tcPr>
          <w:p w14:paraId="0000043B" w14:textId="77777777" w:rsidR="001C40B0" w:rsidRDefault="00291712">
            <w:pPr>
              <w:pBdr>
                <w:top w:val="nil"/>
                <w:left w:val="nil"/>
                <w:bottom w:val="nil"/>
                <w:right w:val="nil"/>
                <w:between w:val="nil"/>
              </w:pBdr>
              <w:ind w:left="103"/>
              <w:rPr>
                <w:rFonts w:ascii="Arial" w:eastAsia="Arial" w:hAnsi="Arial" w:cs="Arial"/>
                <w:b/>
                <w:bCs/>
                <w:color w:val="000000"/>
              </w:rPr>
            </w:pPr>
            <w:r>
              <w:rPr>
                <w:rFonts w:ascii="Arial" w:eastAsia="Arial" w:hAnsi="Arial" w:cs="Arial"/>
                <w:b/>
                <w:bCs/>
                <w:color w:val="000000"/>
              </w:rPr>
              <w:t>2009</w:t>
            </w:r>
          </w:p>
        </w:tc>
        <w:tc>
          <w:tcPr>
            <w:tcW w:w="839" w:type="dxa"/>
          </w:tcPr>
          <w:p w14:paraId="0000043C" w14:textId="77777777" w:rsidR="001C40B0" w:rsidRDefault="00291712">
            <w:pPr>
              <w:pBdr>
                <w:top w:val="nil"/>
                <w:left w:val="nil"/>
                <w:bottom w:val="nil"/>
                <w:right w:val="nil"/>
                <w:between w:val="nil"/>
              </w:pBdr>
              <w:ind w:left="60" w:right="192"/>
              <w:jc w:val="center"/>
              <w:rPr>
                <w:rFonts w:ascii="Arial" w:eastAsia="Arial" w:hAnsi="Arial" w:cs="Arial"/>
                <w:b/>
                <w:bCs/>
                <w:color w:val="000000"/>
              </w:rPr>
            </w:pPr>
            <w:r>
              <w:rPr>
                <w:rFonts w:ascii="Arial" w:eastAsia="Arial" w:hAnsi="Arial" w:cs="Arial"/>
                <w:b/>
                <w:bCs/>
                <w:color w:val="000000"/>
              </w:rPr>
              <w:t>2010</w:t>
            </w:r>
          </w:p>
        </w:tc>
        <w:tc>
          <w:tcPr>
            <w:tcW w:w="829" w:type="dxa"/>
          </w:tcPr>
          <w:p w14:paraId="0000043D" w14:textId="77777777" w:rsidR="001C40B0" w:rsidRDefault="00291712">
            <w:pPr>
              <w:pBdr>
                <w:top w:val="nil"/>
                <w:left w:val="nil"/>
                <w:bottom w:val="nil"/>
                <w:right w:val="nil"/>
                <w:between w:val="nil"/>
              </w:pBdr>
              <w:ind w:left="110"/>
              <w:rPr>
                <w:rFonts w:ascii="Arial" w:eastAsia="Arial" w:hAnsi="Arial" w:cs="Arial"/>
                <w:b/>
                <w:bCs/>
                <w:color w:val="000000"/>
              </w:rPr>
            </w:pPr>
            <w:r>
              <w:rPr>
                <w:rFonts w:ascii="Arial" w:eastAsia="Arial" w:hAnsi="Arial" w:cs="Arial"/>
                <w:b/>
                <w:bCs/>
                <w:color w:val="000000"/>
              </w:rPr>
              <w:t>2011</w:t>
            </w:r>
          </w:p>
        </w:tc>
        <w:tc>
          <w:tcPr>
            <w:tcW w:w="839" w:type="dxa"/>
          </w:tcPr>
          <w:p w14:paraId="0000043E" w14:textId="77777777" w:rsidR="001C40B0" w:rsidRDefault="00291712">
            <w:pPr>
              <w:pBdr>
                <w:top w:val="nil"/>
                <w:left w:val="nil"/>
                <w:bottom w:val="nil"/>
                <w:right w:val="nil"/>
                <w:between w:val="nil"/>
              </w:pBdr>
              <w:ind w:left="107"/>
              <w:rPr>
                <w:rFonts w:ascii="Arial" w:eastAsia="Arial" w:hAnsi="Arial" w:cs="Arial"/>
                <w:b/>
                <w:bCs/>
                <w:color w:val="000000"/>
              </w:rPr>
            </w:pPr>
            <w:r>
              <w:rPr>
                <w:rFonts w:ascii="Arial" w:eastAsia="Arial" w:hAnsi="Arial" w:cs="Arial"/>
                <w:b/>
                <w:bCs/>
                <w:color w:val="000000"/>
              </w:rPr>
              <w:t>2012</w:t>
            </w:r>
          </w:p>
        </w:tc>
        <w:tc>
          <w:tcPr>
            <w:tcW w:w="844" w:type="dxa"/>
          </w:tcPr>
          <w:p w14:paraId="0000043F" w14:textId="77777777" w:rsidR="001C40B0" w:rsidRDefault="00291712">
            <w:pPr>
              <w:pBdr>
                <w:top w:val="nil"/>
                <w:left w:val="nil"/>
                <w:bottom w:val="nil"/>
                <w:right w:val="nil"/>
                <w:between w:val="nil"/>
              </w:pBdr>
              <w:ind w:left="113"/>
              <w:rPr>
                <w:rFonts w:ascii="Arial" w:eastAsia="Arial" w:hAnsi="Arial" w:cs="Arial"/>
                <w:b/>
                <w:bCs/>
                <w:color w:val="000000"/>
              </w:rPr>
            </w:pPr>
            <w:r>
              <w:rPr>
                <w:rFonts w:ascii="Arial" w:eastAsia="Arial" w:hAnsi="Arial" w:cs="Arial"/>
                <w:b/>
                <w:bCs/>
                <w:color w:val="000000"/>
              </w:rPr>
              <w:t>2013</w:t>
            </w:r>
          </w:p>
        </w:tc>
        <w:tc>
          <w:tcPr>
            <w:tcW w:w="839" w:type="dxa"/>
          </w:tcPr>
          <w:p w14:paraId="00000440" w14:textId="77777777" w:rsidR="001C40B0" w:rsidRDefault="00291712">
            <w:pPr>
              <w:pBdr>
                <w:top w:val="nil"/>
                <w:left w:val="nil"/>
                <w:bottom w:val="nil"/>
                <w:right w:val="nil"/>
                <w:between w:val="nil"/>
              </w:pBdr>
              <w:ind w:left="109"/>
              <w:rPr>
                <w:rFonts w:ascii="Arial" w:eastAsia="Arial" w:hAnsi="Arial" w:cs="Arial"/>
                <w:b/>
                <w:bCs/>
                <w:color w:val="000000"/>
              </w:rPr>
            </w:pPr>
            <w:r>
              <w:rPr>
                <w:rFonts w:ascii="Arial" w:eastAsia="Arial" w:hAnsi="Arial" w:cs="Arial"/>
                <w:b/>
                <w:bCs/>
                <w:color w:val="000000"/>
              </w:rPr>
              <w:t>2014</w:t>
            </w:r>
          </w:p>
        </w:tc>
        <w:tc>
          <w:tcPr>
            <w:tcW w:w="844" w:type="dxa"/>
          </w:tcPr>
          <w:p w14:paraId="00000441" w14:textId="77777777" w:rsidR="001C40B0" w:rsidRDefault="00291712">
            <w:pPr>
              <w:pBdr>
                <w:top w:val="nil"/>
                <w:left w:val="nil"/>
                <w:bottom w:val="nil"/>
                <w:right w:val="nil"/>
                <w:between w:val="nil"/>
              </w:pBdr>
              <w:ind w:left="110"/>
              <w:rPr>
                <w:rFonts w:ascii="Arial" w:eastAsia="Arial" w:hAnsi="Arial" w:cs="Arial"/>
                <w:b/>
                <w:bCs/>
                <w:color w:val="000000"/>
              </w:rPr>
            </w:pPr>
            <w:r>
              <w:rPr>
                <w:rFonts w:ascii="Arial" w:eastAsia="Arial" w:hAnsi="Arial" w:cs="Arial"/>
                <w:b/>
                <w:bCs/>
                <w:color w:val="000000"/>
              </w:rPr>
              <w:t>2015</w:t>
            </w:r>
          </w:p>
        </w:tc>
        <w:tc>
          <w:tcPr>
            <w:tcW w:w="839" w:type="dxa"/>
          </w:tcPr>
          <w:p w14:paraId="00000442" w14:textId="77777777" w:rsidR="001C40B0" w:rsidRDefault="00291712">
            <w:pPr>
              <w:pBdr>
                <w:top w:val="nil"/>
                <w:left w:val="nil"/>
                <w:bottom w:val="nil"/>
                <w:right w:val="nil"/>
                <w:between w:val="nil"/>
              </w:pBdr>
              <w:ind w:left="110"/>
              <w:rPr>
                <w:rFonts w:ascii="Arial" w:eastAsia="Arial" w:hAnsi="Arial" w:cs="Arial"/>
                <w:b/>
                <w:bCs/>
                <w:color w:val="000000"/>
              </w:rPr>
            </w:pPr>
            <w:r>
              <w:rPr>
                <w:rFonts w:ascii="Arial" w:eastAsia="Arial" w:hAnsi="Arial" w:cs="Arial"/>
                <w:b/>
                <w:bCs/>
                <w:color w:val="000000"/>
              </w:rPr>
              <w:t>2016</w:t>
            </w:r>
          </w:p>
        </w:tc>
      </w:tr>
      <w:tr w:rsidR="001C40B0" w14:paraId="2E37DEE0" w14:textId="77777777">
        <w:trPr>
          <w:trHeight w:val="287"/>
        </w:trPr>
        <w:tc>
          <w:tcPr>
            <w:tcW w:w="1476" w:type="dxa"/>
          </w:tcPr>
          <w:p w14:paraId="00000443" w14:textId="77777777" w:rsidR="001C40B0" w:rsidRDefault="00291712">
            <w:pPr>
              <w:pBdr>
                <w:top w:val="nil"/>
                <w:left w:val="nil"/>
                <w:bottom w:val="nil"/>
                <w:right w:val="nil"/>
                <w:between w:val="nil"/>
              </w:pBdr>
              <w:ind w:left="102"/>
              <w:rPr>
                <w:rFonts w:ascii="Arial" w:eastAsia="Arial" w:hAnsi="Arial" w:cs="Arial"/>
                <w:b/>
                <w:bCs/>
                <w:color w:val="000000"/>
              </w:rPr>
            </w:pPr>
            <w:r>
              <w:rPr>
                <w:rFonts w:ascii="Arial" w:eastAsia="Arial" w:hAnsi="Arial" w:cs="Arial"/>
                <w:b/>
                <w:bCs/>
                <w:color w:val="000000"/>
              </w:rPr>
              <w:t>Uruguay</w:t>
            </w:r>
          </w:p>
        </w:tc>
        <w:tc>
          <w:tcPr>
            <w:tcW w:w="825" w:type="dxa"/>
          </w:tcPr>
          <w:p w14:paraId="00000444" w14:textId="77777777" w:rsidR="001C40B0" w:rsidRDefault="00291712">
            <w:pPr>
              <w:pBdr>
                <w:top w:val="nil"/>
                <w:left w:val="nil"/>
                <w:bottom w:val="nil"/>
                <w:right w:val="nil"/>
                <w:between w:val="nil"/>
              </w:pBdr>
              <w:ind w:left="103"/>
              <w:rPr>
                <w:rFonts w:ascii="Arial" w:eastAsia="Arial" w:hAnsi="Arial" w:cs="Arial"/>
                <w:color w:val="000000"/>
              </w:rPr>
            </w:pPr>
            <w:r>
              <w:rPr>
                <w:rFonts w:ascii="Arial" w:eastAsia="Arial" w:hAnsi="Arial" w:cs="Arial"/>
                <w:color w:val="000000"/>
              </w:rPr>
              <w:t>19,1</w:t>
            </w:r>
          </w:p>
        </w:tc>
        <w:tc>
          <w:tcPr>
            <w:tcW w:w="839" w:type="dxa"/>
          </w:tcPr>
          <w:p w14:paraId="00000445" w14:textId="77777777" w:rsidR="001C40B0" w:rsidRDefault="00291712">
            <w:pPr>
              <w:pBdr>
                <w:top w:val="nil"/>
                <w:left w:val="nil"/>
                <w:bottom w:val="nil"/>
                <w:right w:val="nil"/>
                <w:between w:val="nil"/>
              </w:pBdr>
              <w:ind w:left="103"/>
              <w:rPr>
                <w:rFonts w:ascii="Arial" w:eastAsia="Arial" w:hAnsi="Arial" w:cs="Arial"/>
                <w:color w:val="000000"/>
              </w:rPr>
            </w:pPr>
            <w:r>
              <w:rPr>
                <w:rFonts w:ascii="Arial" w:eastAsia="Arial" w:hAnsi="Arial" w:cs="Arial"/>
                <w:color w:val="000000"/>
              </w:rPr>
              <w:t>19,1</w:t>
            </w:r>
          </w:p>
        </w:tc>
        <w:tc>
          <w:tcPr>
            <w:tcW w:w="839" w:type="dxa"/>
          </w:tcPr>
          <w:p w14:paraId="00000446" w14:textId="77777777" w:rsidR="001C40B0" w:rsidRDefault="00291712">
            <w:pPr>
              <w:pBdr>
                <w:top w:val="nil"/>
                <w:left w:val="nil"/>
                <w:bottom w:val="nil"/>
                <w:right w:val="nil"/>
                <w:between w:val="nil"/>
              </w:pBdr>
              <w:ind w:right="192"/>
              <w:jc w:val="center"/>
              <w:rPr>
                <w:rFonts w:ascii="Arial" w:eastAsia="Arial" w:hAnsi="Arial" w:cs="Arial"/>
                <w:color w:val="000000"/>
              </w:rPr>
            </w:pPr>
            <w:r>
              <w:rPr>
                <w:rFonts w:ascii="Arial" w:eastAsia="Arial" w:hAnsi="Arial" w:cs="Arial"/>
                <w:color w:val="000000"/>
              </w:rPr>
              <w:t>14,4</w:t>
            </w:r>
          </w:p>
        </w:tc>
        <w:tc>
          <w:tcPr>
            <w:tcW w:w="829" w:type="dxa"/>
          </w:tcPr>
          <w:p w14:paraId="00000447"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20</w:t>
            </w:r>
          </w:p>
        </w:tc>
        <w:tc>
          <w:tcPr>
            <w:tcW w:w="839" w:type="dxa"/>
          </w:tcPr>
          <w:p w14:paraId="00000448" w14:textId="77777777" w:rsidR="001C40B0" w:rsidRDefault="00291712">
            <w:pPr>
              <w:pBdr>
                <w:top w:val="nil"/>
                <w:left w:val="nil"/>
                <w:bottom w:val="nil"/>
                <w:right w:val="nil"/>
                <w:between w:val="nil"/>
              </w:pBdr>
              <w:ind w:left="107"/>
              <w:rPr>
                <w:rFonts w:ascii="Arial" w:eastAsia="Arial" w:hAnsi="Arial" w:cs="Arial"/>
                <w:color w:val="000000"/>
              </w:rPr>
            </w:pPr>
            <w:r>
              <w:rPr>
                <w:rFonts w:ascii="Arial" w:eastAsia="Arial" w:hAnsi="Arial" w:cs="Arial"/>
                <w:color w:val="000000"/>
              </w:rPr>
              <w:t>15,8</w:t>
            </w:r>
          </w:p>
        </w:tc>
        <w:tc>
          <w:tcPr>
            <w:tcW w:w="844" w:type="dxa"/>
          </w:tcPr>
          <w:p w14:paraId="00000449" w14:textId="77777777" w:rsidR="001C40B0" w:rsidRDefault="00291712">
            <w:pPr>
              <w:pBdr>
                <w:top w:val="nil"/>
                <w:left w:val="nil"/>
                <w:bottom w:val="nil"/>
                <w:right w:val="nil"/>
                <w:between w:val="nil"/>
              </w:pBdr>
              <w:ind w:left="113"/>
              <w:rPr>
                <w:rFonts w:ascii="Arial" w:eastAsia="Arial" w:hAnsi="Arial" w:cs="Arial"/>
                <w:color w:val="000000"/>
              </w:rPr>
            </w:pPr>
            <w:r>
              <w:rPr>
                <w:rFonts w:ascii="Arial" w:eastAsia="Arial" w:hAnsi="Arial" w:cs="Arial"/>
                <w:color w:val="000000"/>
              </w:rPr>
              <w:t>17,1</w:t>
            </w:r>
          </w:p>
        </w:tc>
        <w:tc>
          <w:tcPr>
            <w:tcW w:w="839" w:type="dxa"/>
          </w:tcPr>
          <w:p w14:paraId="0000044A" w14:textId="77777777" w:rsidR="001C40B0" w:rsidRDefault="00291712">
            <w:pPr>
              <w:pBdr>
                <w:top w:val="nil"/>
                <w:left w:val="nil"/>
                <w:bottom w:val="nil"/>
                <w:right w:val="nil"/>
                <w:between w:val="nil"/>
              </w:pBdr>
              <w:ind w:left="109"/>
              <w:rPr>
                <w:rFonts w:ascii="Arial" w:eastAsia="Arial" w:hAnsi="Arial" w:cs="Arial"/>
                <w:color w:val="000000"/>
              </w:rPr>
            </w:pPr>
            <w:r>
              <w:rPr>
                <w:rFonts w:ascii="Arial" w:eastAsia="Arial" w:hAnsi="Arial" w:cs="Arial"/>
                <w:color w:val="000000"/>
              </w:rPr>
              <w:t>20</w:t>
            </w:r>
          </w:p>
        </w:tc>
        <w:tc>
          <w:tcPr>
            <w:tcW w:w="844" w:type="dxa"/>
          </w:tcPr>
          <w:p w14:paraId="0000044B"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13,2</w:t>
            </w:r>
          </w:p>
        </w:tc>
        <w:tc>
          <w:tcPr>
            <w:tcW w:w="839" w:type="dxa"/>
          </w:tcPr>
          <w:p w14:paraId="0000044C"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16,8</w:t>
            </w:r>
          </w:p>
        </w:tc>
      </w:tr>
      <w:tr w:rsidR="001C40B0" w14:paraId="306DFE2F" w14:textId="77777777">
        <w:trPr>
          <w:trHeight w:val="287"/>
        </w:trPr>
        <w:tc>
          <w:tcPr>
            <w:tcW w:w="1476" w:type="dxa"/>
          </w:tcPr>
          <w:p w14:paraId="0000044D" w14:textId="77777777" w:rsidR="001C40B0" w:rsidRDefault="00291712">
            <w:pPr>
              <w:pBdr>
                <w:top w:val="nil"/>
                <w:left w:val="nil"/>
                <w:bottom w:val="nil"/>
                <w:right w:val="nil"/>
                <w:between w:val="nil"/>
              </w:pBdr>
              <w:ind w:left="102"/>
              <w:rPr>
                <w:rFonts w:ascii="Arial" w:eastAsia="Arial" w:hAnsi="Arial" w:cs="Arial"/>
                <w:b/>
                <w:bCs/>
                <w:color w:val="000000"/>
              </w:rPr>
            </w:pPr>
            <w:r>
              <w:rPr>
                <w:rFonts w:ascii="Arial" w:eastAsia="Arial" w:hAnsi="Arial" w:cs="Arial"/>
                <w:b/>
                <w:bCs/>
                <w:color w:val="000000"/>
              </w:rPr>
              <w:t>Brasil</w:t>
            </w:r>
          </w:p>
        </w:tc>
        <w:tc>
          <w:tcPr>
            <w:tcW w:w="825" w:type="dxa"/>
          </w:tcPr>
          <w:p w14:paraId="0000044E" w14:textId="77777777" w:rsidR="001C40B0" w:rsidRDefault="00291712">
            <w:pPr>
              <w:pBdr>
                <w:top w:val="nil"/>
                <w:left w:val="nil"/>
                <w:bottom w:val="nil"/>
                <w:right w:val="nil"/>
                <w:between w:val="nil"/>
              </w:pBdr>
              <w:ind w:left="103"/>
              <w:rPr>
                <w:rFonts w:ascii="Arial" w:eastAsia="Arial" w:hAnsi="Arial" w:cs="Arial"/>
                <w:color w:val="000000"/>
              </w:rPr>
            </w:pPr>
            <w:r>
              <w:rPr>
                <w:rFonts w:ascii="Arial" w:eastAsia="Arial" w:hAnsi="Arial" w:cs="Arial"/>
                <w:color w:val="000000"/>
              </w:rPr>
              <w:t>7,2</w:t>
            </w:r>
          </w:p>
        </w:tc>
        <w:tc>
          <w:tcPr>
            <w:tcW w:w="839" w:type="dxa"/>
          </w:tcPr>
          <w:p w14:paraId="0000044F" w14:textId="77777777" w:rsidR="001C40B0" w:rsidRDefault="00291712">
            <w:pPr>
              <w:pBdr>
                <w:top w:val="nil"/>
                <w:left w:val="nil"/>
                <w:bottom w:val="nil"/>
                <w:right w:val="nil"/>
                <w:between w:val="nil"/>
              </w:pBdr>
              <w:ind w:left="103"/>
              <w:rPr>
                <w:rFonts w:ascii="Arial" w:eastAsia="Arial" w:hAnsi="Arial" w:cs="Arial"/>
                <w:color w:val="000000"/>
              </w:rPr>
            </w:pPr>
            <w:r>
              <w:rPr>
                <w:rFonts w:ascii="Arial" w:eastAsia="Arial" w:hAnsi="Arial" w:cs="Arial"/>
                <w:color w:val="000000"/>
              </w:rPr>
              <w:t>8</w:t>
            </w:r>
          </w:p>
        </w:tc>
        <w:tc>
          <w:tcPr>
            <w:tcW w:w="839" w:type="dxa"/>
          </w:tcPr>
          <w:p w14:paraId="00000450" w14:textId="77777777" w:rsidR="001C40B0" w:rsidRDefault="00291712">
            <w:pPr>
              <w:pBdr>
                <w:top w:val="nil"/>
                <w:left w:val="nil"/>
                <w:bottom w:val="nil"/>
                <w:right w:val="nil"/>
                <w:between w:val="nil"/>
              </w:pBdr>
              <w:ind w:right="312"/>
              <w:jc w:val="center"/>
              <w:rPr>
                <w:rFonts w:ascii="Arial" w:eastAsia="Arial" w:hAnsi="Arial" w:cs="Arial"/>
                <w:color w:val="000000"/>
              </w:rPr>
            </w:pPr>
            <w:r>
              <w:rPr>
                <w:rFonts w:ascii="Arial" w:eastAsia="Arial" w:hAnsi="Arial" w:cs="Arial"/>
                <w:color w:val="000000"/>
              </w:rPr>
              <w:t>9,9</w:t>
            </w:r>
          </w:p>
        </w:tc>
        <w:tc>
          <w:tcPr>
            <w:tcW w:w="829" w:type="dxa"/>
          </w:tcPr>
          <w:p w14:paraId="00000451"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11,2</w:t>
            </w:r>
          </w:p>
        </w:tc>
        <w:tc>
          <w:tcPr>
            <w:tcW w:w="839" w:type="dxa"/>
          </w:tcPr>
          <w:p w14:paraId="00000452" w14:textId="77777777" w:rsidR="001C40B0" w:rsidRDefault="00291712">
            <w:pPr>
              <w:pBdr>
                <w:top w:val="nil"/>
                <w:left w:val="nil"/>
                <w:bottom w:val="nil"/>
                <w:right w:val="nil"/>
                <w:between w:val="nil"/>
              </w:pBdr>
              <w:ind w:left="107"/>
              <w:rPr>
                <w:rFonts w:ascii="Arial" w:eastAsia="Arial" w:hAnsi="Arial" w:cs="Arial"/>
                <w:color w:val="000000"/>
              </w:rPr>
            </w:pPr>
            <w:r>
              <w:rPr>
                <w:rFonts w:ascii="Arial" w:eastAsia="Arial" w:hAnsi="Arial" w:cs="Arial"/>
                <w:color w:val="000000"/>
              </w:rPr>
              <w:t>12,4</w:t>
            </w:r>
          </w:p>
        </w:tc>
        <w:tc>
          <w:tcPr>
            <w:tcW w:w="844" w:type="dxa"/>
          </w:tcPr>
          <w:p w14:paraId="00000453" w14:textId="77777777" w:rsidR="001C40B0" w:rsidRDefault="00291712">
            <w:pPr>
              <w:pBdr>
                <w:top w:val="nil"/>
                <w:left w:val="nil"/>
                <w:bottom w:val="nil"/>
                <w:right w:val="nil"/>
                <w:between w:val="nil"/>
              </w:pBdr>
              <w:ind w:left="113"/>
              <w:rPr>
                <w:rFonts w:ascii="Arial" w:eastAsia="Arial" w:hAnsi="Arial" w:cs="Arial"/>
                <w:color w:val="000000"/>
              </w:rPr>
            </w:pPr>
            <w:r>
              <w:rPr>
                <w:rFonts w:ascii="Arial" w:eastAsia="Arial" w:hAnsi="Arial" w:cs="Arial"/>
                <w:color w:val="000000"/>
              </w:rPr>
              <w:t>12,7</w:t>
            </w:r>
          </w:p>
        </w:tc>
        <w:tc>
          <w:tcPr>
            <w:tcW w:w="839" w:type="dxa"/>
          </w:tcPr>
          <w:p w14:paraId="00000454" w14:textId="77777777" w:rsidR="001C40B0" w:rsidRDefault="00291712">
            <w:pPr>
              <w:pBdr>
                <w:top w:val="nil"/>
                <w:left w:val="nil"/>
                <w:bottom w:val="nil"/>
                <w:right w:val="nil"/>
                <w:between w:val="nil"/>
              </w:pBdr>
              <w:ind w:left="109"/>
              <w:rPr>
                <w:rFonts w:ascii="Arial" w:eastAsia="Arial" w:hAnsi="Arial" w:cs="Arial"/>
                <w:color w:val="000000"/>
              </w:rPr>
            </w:pPr>
            <w:r>
              <w:rPr>
                <w:rFonts w:ascii="Arial" w:eastAsia="Arial" w:hAnsi="Arial" w:cs="Arial"/>
                <w:color w:val="000000"/>
              </w:rPr>
              <w:t>13,4</w:t>
            </w:r>
          </w:p>
        </w:tc>
        <w:tc>
          <w:tcPr>
            <w:tcW w:w="844" w:type="dxa"/>
          </w:tcPr>
          <w:p w14:paraId="00000455"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13,6</w:t>
            </w:r>
          </w:p>
        </w:tc>
        <w:tc>
          <w:tcPr>
            <w:tcW w:w="839" w:type="dxa"/>
          </w:tcPr>
          <w:p w14:paraId="00000456"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14,2</w:t>
            </w:r>
          </w:p>
        </w:tc>
      </w:tr>
      <w:tr w:rsidR="001C40B0" w14:paraId="06BD1D81" w14:textId="77777777">
        <w:trPr>
          <w:trHeight w:val="292"/>
        </w:trPr>
        <w:tc>
          <w:tcPr>
            <w:tcW w:w="1476" w:type="dxa"/>
          </w:tcPr>
          <w:p w14:paraId="00000457" w14:textId="77777777" w:rsidR="001C40B0" w:rsidRDefault="00291712">
            <w:pPr>
              <w:pBdr>
                <w:top w:val="nil"/>
                <w:left w:val="nil"/>
                <w:bottom w:val="nil"/>
                <w:right w:val="nil"/>
                <w:between w:val="nil"/>
              </w:pBdr>
              <w:ind w:left="102"/>
              <w:rPr>
                <w:rFonts w:ascii="Arial" w:eastAsia="Arial" w:hAnsi="Arial" w:cs="Arial"/>
                <w:b/>
                <w:bCs/>
                <w:color w:val="000000"/>
              </w:rPr>
            </w:pPr>
            <w:r>
              <w:rPr>
                <w:rFonts w:ascii="Arial" w:eastAsia="Arial" w:hAnsi="Arial" w:cs="Arial"/>
                <w:b/>
                <w:bCs/>
                <w:color w:val="000000"/>
              </w:rPr>
              <w:t>Argentina</w:t>
            </w:r>
          </w:p>
        </w:tc>
        <w:tc>
          <w:tcPr>
            <w:tcW w:w="825" w:type="dxa"/>
          </w:tcPr>
          <w:p w14:paraId="00000458" w14:textId="77777777" w:rsidR="001C40B0" w:rsidRDefault="00291712">
            <w:pPr>
              <w:pBdr>
                <w:top w:val="nil"/>
                <w:left w:val="nil"/>
                <w:bottom w:val="nil"/>
                <w:right w:val="nil"/>
                <w:between w:val="nil"/>
              </w:pBdr>
              <w:ind w:left="103"/>
              <w:rPr>
                <w:rFonts w:ascii="Arial" w:eastAsia="Arial" w:hAnsi="Arial" w:cs="Arial"/>
                <w:color w:val="000000"/>
              </w:rPr>
            </w:pPr>
            <w:r>
              <w:rPr>
                <w:rFonts w:ascii="Arial" w:eastAsia="Arial" w:hAnsi="Arial" w:cs="Arial"/>
                <w:color w:val="000000"/>
              </w:rPr>
              <w:t>13,1</w:t>
            </w:r>
          </w:p>
        </w:tc>
        <w:tc>
          <w:tcPr>
            <w:tcW w:w="839" w:type="dxa"/>
          </w:tcPr>
          <w:p w14:paraId="00000459" w14:textId="77777777" w:rsidR="001C40B0" w:rsidRDefault="00291712">
            <w:pPr>
              <w:pBdr>
                <w:top w:val="nil"/>
                <w:left w:val="nil"/>
                <w:bottom w:val="nil"/>
                <w:right w:val="nil"/>
                <w:between w:val="nil"/>
              </w:pBdr>
              <w:ind w:left="103"/>
              <w:rPr>
                <w:rFonts w:ascii="Arial" w:eastAsia="Arial" w:hAnsi="Arial" w:cs="Arial"/>
                <w:color w:val="000000"/>
              </w:rPr>
            </w:pPr>
            <w:r>
              <w:rPr>
                <w:rFonts w:ascii="Arial" w:eastAsia="Arial" w:hAnsi="Arial" w:cs="Arial"/>
                <w:color w:val="000000"/>
              </w:rPr>
              <w:t>12,5</w:t>
            </w:r>
          </w:p>
        </w:tc>
        <w:tc>
          <w:tcPr>
            <w:tcW w:w="839" w:type="dxa"/>
          </w:tcPr>
          <w:p w14:paraId="0000045A" w14:textId="77777777" w:rsidR="001C40B0" w:rsidRDefault="00291712">
            <w:pPr>
              <w:pBdr>
                <w:top w:val="nil"/>
                <w:left w:val="nil"/>
                <w:bottom w:val="nil"/>
                <w:right w:val="nil"/>
                <w:between w:val="nil"/>
              </w:pBdr>
              <w:ind w:right="192"/>
              <w:jc w:val="center"/>
              <w:rPr>
                <w:rFonts w:ascii="Arial" w:eastAsia="Arial" w:hAnsi="Arial" w:cs="Arial"/>
                <w:color w:val="000000"/>
              </w:rPr>
            </w:pPr>
            <w:r>
              <w:rPr>
                <w:rFonts w:ascii="Arial" w:eastAsia="Arial" w:hAnsi="Arial" w:cs="Arial"/>
                <w:color w:val="000000"/>
              </w:rPr>
              <w:t>14,5</w:t>
            </w:r>
          </w:p>
        </w:tc>
        <w:tc>
          <w:tcPr>
            <w:tcW w:w="829" w:type="dxa"/>
          </w:tcPr>
          <w:p w14:paraId="0000045B"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14,9</w:t>
            </w:r>
          </w:p>
        </w:tc>
        <w:tc>
          <w:tcPr>
            <w:tcW w:w="839" w:type="dxa"/>
          </w:tcPr>
          <w:p w14:paraId="0000045C" w14:textId="77777777" w:rsidR="001C40B0" w:rsidRDefault="00291712">
            <w:pPr>
              <w:pBdr>
                <w:top w:val="nil"/>
                <w:left w:val="nil"/>
                <w:bottom w:val="nil"/>
                <w:right w:val="nil"/>
                <w:between w:val="nil"/>
              </w:pBdr>
              <w:ind w:left="107"/>
              <w:rPr>
                <w:rFonts w:ascii="Arial" w:eastAsia="Arial" w:hAnsi="Arial" w:cs="Arial"/>
                <w:color w:val="000000"/>
              </w:rPr>
            </w:pPr>
            <w:r>
              <w:rPr>
                <w:rFonts w:ascii="Arial" w:eastAsia="Arial" w:hAnsi="Arial" w:cs="Arial"/>
                <w:color w:val="000000"/>
              </w:rPr>
              <w:t>15,3</w:t>
            </w:r>
          </w:p>
        </w:tc>
        <w:tc>
          <w:tcPr>
            <w:tcW w:w="844" w:type="dxa"/>
          </w:tcPr>
          <w:p w14:paraId="0000045D" w14:textId="77777777" w:rsidR="001C40B0" w:rsidRDefault="00291712">
            <w:pPr>
              <w:pBdr>
                <w:top w:val="nil"/>
                <w:left w:val="nil"/>
                <w:bottom w:val="nil"/>
                <w:right w:val="nil"/>
                <w:between w:val="nil"/>
              </w:pBdr>
              <w:ind w:left="113"/>
              <w:rPr>
                <w:rFonts w:ascii="Arial" w:eastAsia="Arial" w:hAnsi="Arial" w:cs="Arial"/>
                <w:color w:val="000000"/>
              </w:rPr>
            </w:pPr>
            <w:r>
              <w:rPr>
                <w:rFonts w:ascii="Arial" w:eastAsia="Arial" w:hAnsi="Arial" w:cs="Arial"/>
                <w:color w:val="000000"/>
              </w:rPr>
              <w:t>13,7</w:t>
            </w:r>
          </w:p>
        </w:tc>
        <w:tc>
          <w:tcPr>
            <w:tcW w:w="839" w:type="dxa"/>
          </w:tcPr>
          <w:p w14:paraId="0000045E" w14:textId="77777777" w:rsidR="001C40B0" w:rsidRDefault="00291712">
            <w:pPr>
              <w:pBdr>
                <w:top w:val="nil"/>
                <w:left w:val="nil"/>
                <w:bottom w:val="nil"/>
                <w:right w:val="nil"/>
                <w:between w:val="nil"/>
              </w:pBdr>
              <w:ind w:left="109"/>
              <w:rPr>
                <w:rFonts w:ascii="Arial" w:eastAsia="Arial" w:hAnsi="Arial" w:cs="Arial"/>
                <w:color w:val="000000"/>
              </w:rPr>
            </w:pPr>
            <w:r>
              <w:rPr>
                <w:rFonts w:ascii="Arial" w:eastAsia="Arial" w:hAnsi="Arial" w:cs="Arial"/>
                <w:color w:val="000000"/>
              </w:rPr>
              <w:t>13,3</w:t>
            </w:r>
          </w:p>
        </w:tc>
        <w:tc>
          <w:tcPr>
            <w:tcW w:w="844" w:type="dxa"/>
          </w:tcPr>
          <w:p w14:paraId="0000045F"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13,6</w:t>
            </w:r>
          </w:p>
        </w:tc>
        <w:tc>
          <w:tcPr>
            <w:tcW w:w="839" w:type="dxa"/>
          </w:tcPr>
          <w:p w14:paraId="00000460"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11,8</w:t>
            </w:r>
          </w:p>
        </w:tc>
      </w:tr>
      <w:tr w:rsidR="001C40B0" w14:paraId="20219BD5" w14:textId="77777777">
        <w:trPr>
          <w:trHeight w:val="287"/>
        </w:trPr>
        <w:tc>
          <w:tcPr>
            <w:tcW w:w="1476" w:type="dxa"/>
          </w:tcPr>
          <w:p w14:paraId="00000461" w14:textId="77777777" w:rsidR="001C40B0" w:rsidRDefault="00291712">
            <w:pPr>
              <w:pBdr>
                <w:top w:val="nil"/>
                <w:left w:val="nil"/>
                <w:bottom w:val="nil"/>
                <w:right w:val="nil"/>
                <w:between w:val="nil"/>
              </w:pBdr>
              <w:ind w:left="102"/>
              <w:rPr>
                <w:rFonts w:ascii="Arial" w:eastAsia="Arial" w:hAnsi="Arial" w:cs="Arial"/>
                <w:b/>
                <w:bCs/>
                <w:color w:val="000000"/>
              </w:rPr>
            </w:pPr>
            <w:r>
              <w:rPr>
                <w:rFonts w:ascii="Arial" w:eastAsia="Arial" w:hAnsi="Arial" w:cs="Arial"/>
                <w:b/>
                <w:bCs/>
                <w:color w:val="000000"/>
              </w:rPr>
              <w:t>Cuba</w:t>
            </w:r>
          </w:p>
        </w:tc>
        <w:tc>
          <w:tcPr>
            <w:tcW w:w="825" w:type="dxa"/>
          </w:tcPr>
          <w:p w14:paraId="00000462" w14:textId="77777777" w:rsidR="001C40B0" w:rsidRDefault="00291712">
            <w:pPr>
              <w:pBdr>
                <w:top w:val="nil"/>
                <w:left w:val="nil"/>
                <w:bottom w:val="nil"/>
                <w:right w:val="nil"/>
                <w:between w:val="nil"/>
              </w:pBdr>
              <w:ind w:left="103"/>
              <w:rPr>
                <w:rFonts w:ascii="Arial" w:eastAsia="Arial" w:hAnsi="Arial" w:cs="Arial"/>
                <w:color w:val="000000"/>
              </w:rPr>
            </w:pPr>
            <w:r>
              <w:rPr>
                <w:rFonts w:ascii="Arial" w:eastAsia="Arial" w:hAnsi="Arial" w:cs="Arial"/>
                <w:color w:val="000000"/>
              </w:rPr>
              <w:t>16,6</w:t>
            </w:r>
          </w:p>
        </w:tc>
        <w:tc>
          <w:tcPr>
            <w:tcW w:w="839" w:type="dxa"/>
          </w:tcPr>
          <w:p w14:paraId="00000463" w14:textId="77777777" w:rsidR="001C40B0" w:rsidRDefault="00291712">
            <w:pPr>
              <w:pBdr>
                <w:top w:val="nil"/>
                <w:left w:val="nil"/>
                <w:bottom w:val="nil"/>
                <w:right w:val="nil"/>
                <w:between w:val="nil"/>
              </w:pBdr>
              <w:ind w:left="103"/>
              <w:rPr>
                <w:rFonts w:ascii="Arial" w:eastAsia="Arial" w:hAnsi="Arial" w:cs="Arial"/>
                <w:color w:val="000000"/>
              </w:rPr>
            </w:pPr>
            <w:r>
              <w:rPr>
                <w:rFonts w:ascii="Arial" w:eastAsia="Arial" w:hAnsi="Arial" w:cs="Arial"/>
                <w:color w:val="000000"/>
              </w:rPr>
              <w:t>12,1</w:t>
            </w:r>
          </w:p>
        </w:tc>
        <w:tc>
          <w:tcPr>
            <w:tcW w:w="839" w:type="dxa"/>
          </w:tcPr>
          <w:p w14:paraId="00000464" w14:textId="77777777" w:rsidR="001C40B0" w:rsidRDefault="00291712">
            <w:pPr>
              <w:pBdr>
                <w:top w:val="nil"/>
                <w:left w:val="nil"/>
                <w:bottom w:val="nil"/>
                <w:right w:val="nil"/>
                <w:between w:val="nil"/>
              </w:pBdr>
              <w:ind w:right="312"/>
              <w:jc w:val="center"/>
              <w:rPr>
                <w:rFonts w:ascii="Arial" w:eastAsia="Arial" w:hAnsi="Arial" w:cs="Arial"/>
                <w:color w:val="000000"/>
              </w:rPr>
            </w:pPr>
            <w:r>
              <w:rPr>
                <w:rFonts w:ascii="Arial" w:eastAsia="Arial" w:hAnsi="Arial" w:cs="Arial"/>
                <w:color w:val="000000"/>
              </w:rPr>
              <w:t>9,3</w:t>
            </w:r>
          </w:p>
        </w:tc>
        <w:tc>
          <w:tcPr>
            <w:tcW w:w="829" w:type="dxa"/>
          </w:tcPr>
          <w:p w14:paraId="00000465"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11,3</w:t>
            </w:r>
          </w:p>
        </w:tc>
        <w:tc>
          <w:tcPr>
            <w:tcW w:w="839" w:type="dxa"/>
          </w:tcPr>
          <w:p w14:paraId="00000466" w14:textId="77777777" w:rsidR="001C40B0" w:rsidRDefault="00291712">
            <w:pPr>
              <w:pBdr>
                <w:top w:val="nil"/>
                <w:left w:val="nil"/>
                <w:bottom w:val="nil"/>
                <w:right w:val="nil"/>
                <w:between w:val="nil"/>
              </w:pBdr>
              <w:ind w:left="107"/>
              <w:rPr>
                <w:rFonts w:ascii="Arial" w:eastAsia="Arial" w:hAnsi="Arial" w:cs="Arial"/>
                <w:color w:val="000000"/>
              </w:rPr>
            </w:pPr>
            <w:r>
              <w:rPr>
                <w:rFonts w:ascii="Arial" w:eastAsia="Arial" w:hAnsi="Arial" w:cs="Arial"/>
                <w:color w:val="000000"/>
              </w:rPr>
              <w:t>9,9</w:t>
            </w:r>
          </w:p>
        </w:tc>
        <w:tc>
          <w:tcPr>
            <w:tcW w:w="844" w:type="dxa"/>
          </w:tcPr>
          <w:p w14:paraId="00000467" w14:textId="77777777" w:rsidR="001C40B0" w:rsidRDefault="00291712">
            <w:pPr>
              <w:pBdr>
                <w:top w:val="nil"/>
                <w:left w:val="nil"/>
                <w:bottom w:val="nil"/>
                <w:right w:val="nil"/>
                <w:between w:val="nil"/>
              </w:pBdr>
              <w:ind w:left="113"/>
              <w:rPr>
                <w:rFonts w:ascii="Arial" w:eastAsia="Arial" w:hAnsi="Arial" w:cs="Arial"/>
                <w:color w:val="000000"/>
              </w:rPr>
            </w:pPr>
            <w:r>
              <w:rPr>
                <w:rFonts w:ascii="Arial" w:eastAsia="Arial" w:hAnsi="Arial" w:cs="Arial"/>
                <w:color w:val="000000"/>
              </w:rPr>
              <w:t>8,3</w:t>
            </w:r>
          </w:p>
        </w:tc>
        <w:tc>
          <w:tcPr>
            <w:tcW w:w="839" w:type="dxa"/>
          </w:tcPr>
          <w:p w14:paraId="00000468" w14:textId="77777777" w:rsidR="001C40B0" w:rsidRDefault="00291712">
            <w:pPr>
              <w:pBdr>
                <w:top w:val="nil"/>
                <w:left w:val="nil"/>
                <w:bottom w:val="nil"/>
                <w:right w:val="nil"/>
                <w:between w:val="nil"/>
              </w:pBdr>
              <w:ind w:left="109"/>
              <w:rPr>
                <w:rFonts w:ascii="Arial" w:eastAsia="Arial" w:hAnsi="Arial" w:cs="Arial"/>
                <w:color w:val="000000"/>
              </w:rPr>
            </w:pPr>
            <w:r>
              <w:rPr>
                <w:rFonts w:ascii="Arial" w:eastAsia="Arial" w:hAnsi="Arial" w:cs="Arial"/>
                <w:color w:val="000000"/>
              </w:rPr>
              <w:t>11</w:t>
            </w:r>
          </w:p>
        </w:tc>
        <w:tc>
          <w:tcPr>
            <w:tcW w:w="844" w:type="dxa"/>
          </w:tcPr>
          <w:p w14:paraId="00000469"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13,9</w:t>
            </w:r>
          </w:p>
        </w:tc>
        <w:tc>
          <w:tcPr>
            <w:tcW w:w="839" w:type="dxa"/>
          </w:tcPr>
          <w:p w14:paraId="0000046A"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11,4</w:t>
            </w:r>
          </w:p>
        </w:tc>
      </w:tr>
      <w:tr w:rsidR="001C40B0" w14:paraId="4463F62C" w14:textId="77777777">
        <w:trPr>
          <w:trHeight w:val="292"/>
        </w:trPr>
        <w:tc>
          <w:tcPr>
            <w:tcW w:w="1476" w:type="dxa"/>
          </w:tcPr>
          <w:p w14:paraId="0000046B" w14:textId="77777777" w:rsidR="001C40B0" w:rsidRDefault="00291712">
            <w:pPr>
              <w:pBdr>
                <w:top w:val="nil"/>
                <w:left w:val="nil"/>
                <w:bottom w:val="nil"/>
                <w:right w:val="nil"/>
                <w:between w:val="nil"/>
              </w:pBdr>
              <w:ind w:left="102"/>
              <w:rPr>
                <w:rFonts w:ascii="Arial" w:eastAsia="Arial" w:hAnsi="Arial" w:cs="Arial"/>
                <w:b/>
                <w:bCs/>
                <w:color w:val="000000"/>
              </w:rPr>
            </w:pPr>
            <w:r>
              <w:rPr>
                <w:rFonts w:ascii="Arial" w:eastAsia="Arial" w:hAnsi="Arial" w:cs="Arial"/>
                <w:b/>
                <w:bCs/>
                <w:color w:val="000000"/>
              </w:rPr>
              <w:t>Chile</w:t>
            </w:r>
          </w:p>
        </w:tc>
        <w:tc>
          <w:tcPr>
            <w:tcW w:w="825" w:type="dxa"/>
          </w:tcPr>
          <w:p w14:paraId="0000046C" w14:textId="77777777" w:rsidR="001C40B0" w:rsidRDefault="00291712">
            <w:pPr>
              <w:pBdr>
                <w:top w:val="nil"/>
                <w:left w:val="nil"/>
                <w:bottom w:val="nil"/>
                <w:right w:val="nil"/>
                <w:between w:val="nil"/>
              </w:pBdr>
              <w:ind w:left="103"/>
              <w:rPr>
                <w:rFonts w:ascii="Arial" w:eastAsia="Arial" w:hAnsi="Arial" w:cs="Arial"/>
                <w:color w:val="000000"/>
              </w:rPr>
            </w:pPr>
            <w:r>
              <w:rPr>
                <w:rFonts w:ascii="Arial" w:eastAsia="Arial" w:hAnsi="Arial" w:cs="Arial"/>
                <w:color w:val="000000"/>
              </w:rPr>
              <w:t>7,1</w:t>
            </w:r>
          </w:p>
        </w:tc>
        <w:tc>
          <w:tcPr>
            <w:tcW w:w="839" w:type="dxa"/>
          </w:tcPr>
          <w:p w14:paraId="0000046D" w14:textId="77777777" w:rsidR="001C40B0" w:rsidRDefault="00291712">
            <w:pPr>
              <w:pBdr>
                <w:top w:val="nil"/>
                <w:left w:val="nil"/>
                <w:bottom w:val="nil"/>
                <w:right w:val="nil"/>
                <w:between w:val="nil"/>
              </w:pBdr>
              <w:ind w:left="103"/>
              <w:rPr>
                <w:rFonts w:ascii="Arial" w:eastAsia="Arial" w:hAnsi="Arial" w:cs="Arial"/>
                <w:color w:val="000000"/>
              </w:rPr>
            </w:pPr>
            <w:r>
              <w:rPr>
                <w:rFonts w:ascii="Arial" w:eastAsia="Arial" w:hAnsi="Arial" w:cs="Arial"/>
                <w:color w:val="000000"/>
              </w:rPr>
              <w:t>6,5</w:t>
            </w:r>
          </w:p>
        </w:tc>
        <w:tc>
          <w:tcPr>
            <w:tcW w:w="839" w:type="dxa"/>
          </w:tcPr>
          <w:p w14:paraId="0000046E" w14:textId="77777777" w:rsidR="001C40B0" w:rsidRDefault="00291712">
            <w:pPr>
              <w:pBdr>
                <w:top w:val="nil"/>
                <w:left w:val="nil"/>
                <w:bottom w:val="nil"/>
                <w:right w:val="nil"/>
                <w:between w:val="nil"/>
              </w:pBdr>
              <w:ind w:right="312"/>
              <w:jc w:val="center"/>
              <w:rPr>
                <w:rFonts w:ascii="Arial" w:eastAsia="Arial" w:hAnsi="Arial" w:cs="Arial"/>
                <w:color w:val="000000"/>
              </w:rPr>
            </w:pPr>
            <w:r>
              <w:rPr>
                <w:rFonts w:ascii="Arial" w:eastAsia="Arial" w:hAnsi="Arial" w:cs="Arial"/>
                <w:color w:val="000000"/>
              </w:rPr>
              <w:t>5,4</w:t>
            </w:r>
          </w:p>
        </w:tc>
        <w:tc>
          <w:tcPr>
            <w:tcW w:w="829" w:type="dxa"/>
          </w:tcPr>
          <w:p w14:paraId="0000046F"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6,5</w:t>
            </w:r>
          </w:p>
        </w:tc>
        <w:tc>
          <w:tcPr>
            <w:tcW w:w="839" w:type="dxa"/>
          </w:tcPr>
          <w:p w14:paraId="00000470" w14:textId="77777777" w:rsidR="001C40B0" w:rsidRDefault="00291712">
            <w:pPr>
              <w:pBdr>
                <w:top w:val="nil"/>
                <w:left w:val="nil"/>
                <w:bottom w:val="nil"/>
                <w:right w:val="nil"/>
                <w:between w:val="nil"/>
              </w:pBdr>
              <w:ind w:left="107"/>
              <w:rPr>
                <w:rFonts w:ascii="Arial" w:eastAsia="Arial" w:hAnsi="Arial" w:cs="Arial"/>
                <w:color w:val="000000"/>
              </w:rPr>
            </w:pPr>
            <w:r>
              <w:rPr>
                <w:rFonts w:ascii="Arial" w:eastAsia="Arial" w:hAnsi="Arial" w:cs="Arial"/>
                <w:color w:val="000000"/>
              </w:rPr>
              <w:t>8,6</w:t>
            </w:r>
          </w:p>
        </w:tc>
        <w:tc>
          <w:tcPr>
            <w:tcW w:w="844" w:type="dxa"/>
          </w:tcPr>
          <w:p w14:paraId="00000471" w14:textId="77777777" w:rsidR="001C40B0" w:rsidRDefault="00291712">
            <w:pPr>
              <w:pBdr>
                <w:top w:val="nil"/>
                <w:left w:val="nil"/>
                <w:bottom w:val="nil"/>
                <w:right w:val="nil"/>
                <w:between w:val="nil"/>
              </w:pBdr>
              <w:ind w:left="113"/>
              <w:rPr>
                <w:rFonts w:ascii="Arial" w:eastAsia="Arial" w:hAnsi="Arial" w:cs="Arial"/>
                <w:color w:val="000000"/>
              </w:rPr>
            </w:pPr>
            <w:r>
              <w:rPr>
                <w:rFonts w:ascii="Arial" w:eastAsia="Arial" w:hAnsi="Arial" w:cs="Arial"/>
                <w:color w:val="000000"/>
              </w:rPr>
              <w:t>5,9</w:t>
            </w:r>
          </w:p>
        </w:tc>
        <w:tc>
          <w:tcPr>
            <w:tcW w:w="839" w:type="dxa"/>
          </w:tcPr>
          <w:p w14:paraId="00000472" w14:textId="77777777" w:rsidR="001C40B0" w:rsidRDefault="00291712">
            <w:pPr>
              <w:pBdr>
                <w:top w:val="nil"/>
                <w:left w:val="nil"/>
                <w:bottom w:val="nil"/>
                <w:right w:val="nil"/>
                <w:between w:val="nil"/>
              </w:pBdr>
              <w:ind w:left="109"/>
              <w:rPr>
                <w:rFonts w:ascii="Arial" w:eastAsia="Arial" w:hAnsi="Arial" w:cs="Arial"/>
                <w:color w:val="000000"/>
              </w:rPr>
            </w:pPr>
            <w:r>
              <w:rPr>
                <w:rFonts w:ascii="Arial" w:eastAsia="Arial" w:hAnsi="Arial" w:cs="Arial"/>
                <w:color w:val="000000"/>
              </w:rPr>
              <w:t>6,9</w:t>
            </w:r>
          </w:p>
        </w:tc>
        <w:tc>
          <w:tcPr>
            <w:tcW w:w="844" w:type="dxa"/>
          </w:tcPr>
          <w:p w14:paraId="00000473"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6,7</w:t>
            </w:r>
          </w:p>
        </w:tc>
        <w:tc>
          <w:tcPr>
            <w:tcW w:w="839" w:type="dxa"/>
          </w:tcPr>
          <w:p w14:paraId="00000474"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7,4</w:t>
            </w:r>
          </w:p>
        </w:tc>
      </w:tr>
      <w:tr w:rsidR="001C40B0" w14:paraId="49E7CDE0" w14:textId="77777777">
        <w:trPr>
          <w:trHeight w:val="287"/>
        </w:trPr>
        <w:tc>
          <w:tcPr>
            <w:tcW w:w="1476" w:type="dxa"/>
          </w:tcPr>
          <w:p w14:paraId="00000475" w14:textId="77777777" w:rsidR="001C40B0" w:rsidRDefault="00291712">
            <w:pPr>
              <w:pBdr>
                <w:top w:val="nil"/>
                <w:left w:val="nil"/>
                <w:bottom w:val="nil"/>
                <w:right w:val="nil"/>
                <w:between w:val="nil"/>
              </w:pBdr>
              <w:ind w:left="102"/>
              <w:rPr>
                <w:rFonts w:ascii="Arial" w:eastAsia="Arial" w:hAnsi="Arial" w:cs="Arial"/>
                <w:b/>
                <w:bCs/>
                <w:color w:val="000000"/>
              </w:rPr>
            </w:pPr>
            <w:r>
              <w:rPr>
                <w:rFonts w:ascii="Arial" w:eastAsia="Arial" w:hAnsi="Arial" w:cs="Arial"/>
                <w:b/>
                <w:bCs/>
                <w:color w:val="000000"/>
              </w:rPr>
              <w:t>Panamá</w:t>
            </w:r>
          </w:p>
        </w:tc>
        <w:tc>
          <w:tcPr>
            <w:tcW w:w="825" w:type="dxa"/>
          </w:tcPr>
          <w:p w14:paraId="00000476" w14:textId="77777777" w:rsidR="001C40B0" w:rsidRDefault="00291712">
            <w:pPr>
              <w:pBdr>
                <w:top w:val="nil"/>
                <w:left w:val="nil"/>
                <w:bottom w:val="nil"/>
                <w:right w:val="nil"/>
                <w:between w:val="nil"/>
              </w:pBdr>
              <w:ind w:left="103"/>
              <w:rPr>
                <w:rFonts w:ascii="Arial" w:eastAsia="Arial" w:hAnsi="Arial" w:cs="Arial"/>
                <w:color w:val="000000"/>
              </w:rPr>
            </w:pPr>
            <w:r>
              <w:rPr>
                <w:rFonts w:ascii="Arial" w:eastAsia="Arial" w:hAnsi="Arial" w:cs="Arial"/>
                <w:color w:val="000000"/>
              </w:rPr>
              <w:t>1,8</w:t>
            </w:r>
          </w:p>
        </w:tc>
        <w:tc>
          <w:tcPr>
            <w:tcW w:w="839" w:type="dxa"/>
          </w:tcPr>
          <w:p w14:paraId="00000477" w14:textId="77777777" w:rsidR="001C40B0" w:rsidRDefault="00291712">
            <w:pPr>
              <w:pBdr>
                <w:top w:val="nil"/>
                <w:left w:val="nil"/>
                <w:bottom w:val="nil"/>
                <w:right w:val="nil"/>
                <w:between w:val="nil"/>
              </w:pBdr>
              <w:ind w:left="103"/>
              <w:rPr>
                <w:rFonts w:ascii="Arial" w:eastAsia="Arial" w:hAnsi="Arial" w:cs="Arial"/>
                <w:color w:val="000000"/>
              </w:rPr>
            </w:pPr>
            <w:r>
              <w:rPr>
                <w:rFonts w:ascii="Arial" w:eastAsia="Arial" w:hAnsi="Arial" w:cs="Arial"/>
                <w:color w:val="000000"/>
              </w:rPr>
              <w:t>3,7</w:t>
            </w:r>
          </w:p>
        </w:tc>
        <w:tc>
          <w:tcPr>
            <w:tcW w:w="839" w:type="dxa"/>
          </w:tcPr>
          <w:p w14:paraId="00000478" w14:textId="77777777" w:rsidR="001C40B0" w:rsidRDefault="00291712">
            <w:pPr>
              <w:pBdr>
                <w:top w:val="nil"/>
                <w:left w:val="nil"/>
                <w:bottom w:val="nil"/>
                <w:right w:val="nil"/>
                <w:between w:val="nil"/>
              </w:pBdr>
              <w:ind w:right="312"/>
              <w:jc w:val="center"/>
              <w:rPr>
                <w:rFonts w:ascii="Arial" w:eastAsia="Arial" w:hAnsi="Arial" w:cs="Arial"/>
                <w:color w:val="000000"/>
              </w:rPr>
            </w:pPr>
            <w:r>
              <w:rPr>
                <w:rFonts w:ascii="Arial" w:eastAsia="Arial" w:hAnsi="Arial" w:cs="Arial"/>
                <w:color w:val="000000"/>
              </w:rPr>
              <w:t>3,7</w:t>
            </w:r>
          </w:p>
        </w:tc>
        <w:tc>
          <w:tcPr>
            <w:tcW w:w="829" w:type="dxa"/>
          </w:tcPr>
          <w:p w14:paraId="00000479"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7,1</w:t>
            </w:r>
          </w:p>
        </w:tc>
        <w:tc>
          <w:tcPr>
            <w:tcW w:w="839" w:type="dxa"/>
          </w:tcPr>
          <w:p w14:paraId="0000047A" w14:textId="77777777" w:rsidR="001C40B0" w:rsidRDefault="00291712">
            <w:pPr>
              <w:pBdr>
                <w:top w:val="nil"/>
                <w:left w:val="nil"/>
                <w:bottom w:val="nil"/>
                <w:right w:val="nil"/>
                <w:between w:val="nil"/>
              </w:pBdr>
              <w:ind w:left="107"/>
              <w:rPr>
                <w:rFonts w:ascii="Arial" w:eastAsia="Arial" w:hAnsi="Arial" w:cs="Arial"/>
                <w:color w:val="000000"/>
              </w:rPr>
            </w:pPr>
            <w:r>
              <w:rPr>
                <w:rFonts w:ascii="Arial" w:eastAsia="Arial" w:hAnsi="Arial" w:cs="Arial"/>
                <w:color w:val="000000"/>
              </w:rPr>
              <w:t>6,7</w:t>
            </w:r>
          </w:p>
        </w:tc>
        <w:tc>
          <w:tcPr>
            <w:tcW w:w="844" w:type="dxa"/>
          </w:tcPr>
          <w:p w14:paraId="0000047B" w14:textId="77777777" w:rsidR="001C40B0" w:rsidRDefault="00291712">
            <w:pPr>
              <w:pBdr>
                <w:top w:val="nil"/>
                <w:left w:val="nil"/>
                <w:bottom w:val="nil"/>
                <w:right w:val="nil"/>
                <w:between w:val="nil"/>
              </w:pBdr>
              <w:ind w:left="113"/>
              <w:rPr>
                <w:rFonts w:ascii="Arial" w:eastAsia="Arial" w:hAnsi="Arial" w:cs="Arial"/>
                <w:color w:val="000000"/>
              </w:rPr>
            </w:pPr>
            <w:r>
              <w:rPr>
                <w:rFonts w:ascii="Arial" w:eastAsia="Arial" w:hAnsi="Arial" w:cs="Arial"/>
                <w:color w:val="000000"/>
              </w:rPr>
              <w:t>5,6</w:t>
            </w:r>
          </w:p>
        </w:tc>
        <w:tc>
          <w:tcPr>
            <w:tcW w:w="839" w:type="dxa"/>
          </w:tcPr>
          <w:p w14:paraId="0000047C" w14:textId="77777777" w:rsidR="001C40B0" w:rsidRDefault="00291712">
            <w:pPr>
              <w:pBdr>
                <w:top w:val="nil"/>
                <w:left w:val="nil"/>
                <w:bottom w:val="nil"/>
                <w:right w:val="nil"/>
                <w:between w:val="nil"/>
              </w:pBdr>
              <w:ind w:left="109"/>
              <w:rPr>
                <w:rFonts w:ascii="Arial" w:eastAsia="Arial" w:hAnsi="Arial" w:cs="Arial"/>
                <w:color w:val="000000"/>
              </w:rPr>
            </w:pPr>
            <w:r>
              <w:rPr>
                <w:rFonts w:ascii="Arial" w:eastAsia="Arial" w:hAnsi="Arial" w:cs="Arial"/>
                <w:color w:val="000000"/>
              </w:rPr>
              <w:t>7,2</w:t>
            </w:r>
          </w:p>
        </w:tc>
        <w:tc>
          <w:tcPr>
            <w:tcW w:w="844" w:type="dxa"/>
          </w:tcPr>
          <w:p w14:paraId="0000047D"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6,4</w:t>
            </w:r>
          </w:p>
        </w:tc>
        <w:tc>
          <w:tcPr>
            <w:tcW w:w="839" w:type="dxa"/>
          </w:tcPr>
          <w:p w14:paraId="0000047E"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7,3</w:t>
            </w:r>
          </w:p>
        </w:tc>
      </w:tr>
      <w:tr w:rsidR="001C40B0" w14:paraId="5CD1E6AF" w14:textId="77777777">
        <w:trPr>
          <w:trHeight w:val="287"/>
        </w:trPr>
        <w:tc>
          <w:tcPr>
            <w:tcW w:w="1476" w:type="dxa"/>
          </w:tcPr>
          <w:p w14:paraId="0000047F" w14:textId="77777777" w:rsidR="001C40B0" w:rsidRDefault="00291712">
            <w:pPr>
              <w:pBdr>
                <w:top w:val="nil"/>
                <w:left w:val="nil"/>
                <w:bottom w:val="nil"/>
                <w:right w:val="nil"/>
                <w:between w:val="nil"/>
              </w:pBdr>
              <w:ind w:left="102"/>
              <w:rPr>
                <w:rFonts w:ascii="Arial" w:eastAsia="Arial" w:hAnsi="Arial" w:cs="Arial"/>
                <w:b/>
                <w:bCs/>
                <w:color w:val="000000"/>
              </w:rPr>
            </w:pPr>
            <w:r>
              <w:rPr>
                <w:rFonts w:ascii="Arial" w:eastAsia="Arial" w:hAnsi="Arial" w:cs="Arial"/>
                <w:b/>
                <w:bCs/>
                <w:color w:val="000000"/>
              </w:rPr>
              <w:t>Colombia *</w:t>
            </w:r>
          </w:p>
        </w:tc>
        <w:tc>
          <w:tcPr>
            <w:tcW w:w="825" w:type="dxa"/>
          </w:tcPr>
          <w:p w14:paraId="00000480" w14:textId="77777777" w:rsidR="001C40B0" w:rsidRDefault="00291712">
            <w:pPr>
              <w:pBdr>
                <w:top w:val="nil"/>
                <w:left w:val="nil"/>
                <w:bottom w:val="nil"/>
                <w:right w:val="nil"/>
                <w:between w:val="nil"/>
              </w:pBdr>
              <w:ind w:left="103"/>
              <w:rPr>
                <w:rFonts w:ascii="Arial" w:eastAsia="Arial" w:hAnsi="Arial" w:cs="Arial"/>
                <w:color w:val="000000"/>
              </w:rPr>
            </w:pPr>
            <w:r>
              <w:rPr>
                <w:rFonts w:ascii="Arial" w:eastAsia="Arial" w:hAnsi="Arial" w:cs="Arial"/>
                <w:color w:val="000000"/>
              </w:rPr>
              <w:t>8,2</w:t>
            </w:r>
          </w:p>
        </w:tc>
        <w:tc>
          <w:tcPr>
            <w:tcW w:w="839" w:type="dxa"/>
          </w:tcPr>
          <w:p w14:paraId="00000481" w14:textId="77777777" w:rsidR="001C40B0" w:rsidRDefault="00291712">
            <w:pPr>
              <w:pBdr>
                <w:top w:val="nil"/>
                <w:left w:val="nil"/>
                <w:bottom w:val="nil"/>
                <w:right w:val="nil"/>
                <w:between w:val="nil"/>
              </w:pBdr>
              <w:ind w:left="103"/>
              <w:rPr>
                <w:rFonts w:ascii="Arial" w:eastAsia="Arial" w:hAnsi="Arial" w:cs="Arial"/>
                <w:color w:val="000000"/>
              </w:rPr>
            </w:pPr>
            <w:r>
              <w:rPr>
                <w:rFonts w:ascii="Arial" w:eastAsia="Arial" w:hAnsi="Arial" w:cs="Arial"/>
                <w:color w:val="000000"/>
              </w:rPr>
              <w:t>10</w:t>
            </w:r>
          </w:p>
        </w:tc>
        <w:tc>
          <w:tcPr>
            <w:tcW w:w="839" w:type="dxa"/>
          </w:tcPr>
          <w:p w14:paraId="00000482" w14:textId="77777777" w:rsidR="001C40B0" w:rsidRDefault="00291712">
            <w:pPr>
              <w:pBdr>
                <w:top w:val="nil"/>
                <w:left w:val="nil"/>
                <w:bottom w:val="nil"/>
                <w:right w:val="nil"/>
                <w:between w:val="nil"/>
              </w:pBdr>
              <w:ind w:right="312"/>
              <w:jc w:val="center"/>
              <w:rPr>
                <w:rFonts w:ascii="Arial" w:eastAsia="Arial" w:hAnsi="Arial" w:cs="Arial"/>
                <w:color w:val="000000"/>
              </w:rPr>
            </w:pPr>
            <w:r>
              <w:rPr>
                <w:rFonts w:ascii="Arial" w:eastAsia="Arial" w:hAnsi="Arial" w:cs="Arial"/>
                <w:color w:val="000000"/>
              </w:rPr>
              <w:t>9,6</w:t>
            </w:r>
          </w:p>
        </w:tc>
        <w:tc>
          <w:tcPr>
            <w:tcW w:w="829" w:type="dxa"/>
          </w:tcPr>
          <w:p w14:paraId="00000483"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8,5</w:t>
            </w:r>
          </w:p>
        </w:tc>
        <w:tc>
          <w:tcPr>
            <w:tcW w:w="839" w:type="dxa"/>
          </w:tcPr>
          <w:p w14:paraId="00000484" w14:textId="77777777" w:rsidR="001C40B0" w:rsidRDefault="00291712">
            <w:pPr>
              <w:pBdr>
                <w:top w:val="nil"/>
                <w:left w:val="nil"/>
                <w:bottom w:val="nil"/>
                <w:right w:val="nil"/>
                <w:between w:val="nil"/>
              </w:pBdr>
              <w:ind w:left="107"/>
              <w:rPr>
                <w:rFonts w:ascii="Arial" w:eastAsia="Arial" w:hAnsi="Arial" w:cs="Arial"/>
                <w:color w:val="000000"/>
              </w:rPr>
            </w:pPr>
            <w:r>
              <w:rPr>
                <w:rFonts w:ascii="Arial" w:eastAsia="Arial" w:hAnsi="Arial" w:cs="Arial"/>
                <w:color w:val="000000"/>
              </w:rPr>
              <w:t>8</w:t>
            </w:r>
          </w:p>
        </w:tc>
        <w:tc>
          <w:tcPr>
            <w:tcW w:w="844" w:type="dxa"/>
          </w:tcPr>
          <w:p w14:paraId="00000485" w14:textId="77777777" w:rsidR="001C40B0" w:rsidRDefault="00291712">
            <w:pPr>
              <w:pBdr>
                <w:top w:val="nil"/>
                <w:left w:val="nil"/>
                <w:bottom w:val="nil"/>
                <w:right w:val="nil"/>
                <w:between w:val="nil"/>
              </w:pBdr>
              <w:ind w:left="113"/>
              <w:rPr>
                <w:rFonts w:ascii="Arial" w:eastAsia="Arial" w:hAnsi="Arial" w:cs="Arial"/>
                <w:color w:val="000000"/>
              </w:rPr>
            </w:pPr>
            <w:r>
              <w:rPr>
                <w:rFonts w:ascii="Arial" w:eastAsia="Arial" w:hAnsi="Arial" w:cs="Arial"/>
                <w:color w:val="000000"/>
              </w:rPr>
              <w:t>7</w:t>
            </w:r>
          </w:p>
        </w:tc>
        <w:tc>
          <w:tcPr>
            <w:tcW w:w="839" w:type="dxa"/>
          </w:tcPr>
          <w:p w14:paraId="00000486" w14:textId="77777777" w:rsidR="001C40B0" w:rsidRDefault="00291712">
            <w:pPr>
              <w:pBdr>
                <w:top w:val="nil"/>
                <w:left w:val="nil"/>
                <w:bottom w:val="nil"/>
                <w:right w:val="nil"/>
                <w:between w:val="nil"/>
              </w:pBdr>
              <w:ind w:left="109"/>
              <w:rPr>
                <w:rFonts w:ascii="Arial" w:eastAsia="Arial" w:hAnsi="Arial" w:cs="Arial"/>
                <w:color w:val="000000"/>
              </w:rPr>
            </w:pPr>
            <w:r>
              <w:rPr>
                <w:rFonts w:ascii="Arial" w:eastAsia="Arial" w:hAnsi="Arial" w:cs="Arial"/>
                <w:color w:val="000000"/>
              </w:rPr>
              <w:t>7,3</w:t>
            </w:r>
          </w:p>
        </w:tc>
        <w:tc>
          <w:tcPr>
            <w:tcW w:w="844" w:type="dxa"/>
          </w:tcPr>
          <w:p w14:paraId="00000487"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8,4</w:t>
            </w:r>
          </w:p>
        </w:tc>
        <w:tc>
          <w:tcPr>
            <w:tcW w:w="839" w:type="dxa"/>
          </w:tcPr>
          <w:p w14:paraId="00000488"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7</w:t>
            </w:r>
          </w:p>
        </w:tc>
      </w:tr>
      <w:tr w:rsidR="001C40B0" w14:paraId="7B8BBF62" w14:textId="77777777">
        <w:trPr>
          <w:trHeight w:val="292"/>
        </w:trPr>
        <w:tc>
          <w:tcPr>
            <w:tcW w:w="1476" w:type="dxa"/>
          </w:tcPr>
          <w:p w14:paraId="00000489" w14:textId="77777777" w:rsidR="001C40B0" w:rsidRDefault="00291712">
            <w:pPr>
              <w:pBdr>
                <w:top w:val="nil"/>
                <w:left w:val="nil"/>
                <w:bottom w:val="nil"/>
                <w:right w:val="nil"/>
                <w:between w:val="nil"/>
              </w:pBdr>
              <w:ind w:left="102"/>
              <w:rPr>
                <w:rFonts w:ascii="Arial" w:eastAsia="Arial" w:hAnsi="Arial" w:cs="Arial"/>
                <w:b/>
                <w:bCs/>
                <w:color w:val="000000"/>
              </w:rPr>
            </w:pPr>
            <w:r>
              <w:rPr>
                <w:rFonts w:ascii="Arial" w:eastAsia="Arial" w:hAnsi="Arial" w:cs="Arial"/>
                <w:b/>
                <w:bCs/>
                <w:color w:val="000000"/>
              </w:rPr>
              <w:t>Ecuador</w:t>
            </w:r>
          </w:p>
        </w:tc>
        <w:tc>
          <w:tcPr>
            <w:tcW w:w="825" w:type="dxa"/>
          </w:tcPr>
          <w:p w14:paraId="0000048A" w14:textId="77777777" w:rsidR="001C40B0" w:rsidRDefault="001C40B0">
            <w:pPr>
              <w:pBdr>
                <w:top w:val="nil"/>
                <w:left w:val="nil"/>
                <w:bottom w:val="nil"/>
                <w:right w:val="nil"/>
                <w:between w:val="nil"/>
              </w:pBdr>
              <w:rPr>
                <w:rFonts w:ascii="Arial" w:eastAsia="Arial" w:hAnsi="Arial" w:cs="Arial"/>
                <w:color w:val="000000"/>
              </w:rPr>
            </w:pPr>
          </w:p>
        </w:tc>
        <w:tc>
          <w:tcPr>
            <w:tcW w:w="839" w:type="dxa"/>
          </w:tcPr>
          <w:p w14:paraId="0000048B" w14:textId="77777777" w:rsidR="001C40B0" w:rsidRDefault="00291712">
            <w:pPr>
              <w:pBdr>
                <w:top w:val="nil"/>
                <w:left w:val="nil"/>
                <w:bottom w:val="nil"/>
                <w:right w:val="nil"/>
                <w:between w:val="nil"/>
              </w:pBdr>
              <w:ind w:left="103"/>
              <w:rPr>
                <w:rFonts w:ascii="Arial" w:eastAsia="Arial" w:hAnsi="Arial" w:cs="Arial"/>
                <w:color w:val="000000"/>
              </w:rPr>
            </w:pPr>
            <w:r>
              <w:rPr>
                <w:rFonts w:ascii="Arial" w:eastAsia="Arial" w:hAnsi="Arial" w:cs="Arial"/>
                <w:color w:val="000000"/>
              </w:rPr>
              <w:t>1,2</w:t>
            </w:r>
          </w:p>
        </w:tc>
        <w:tc>
          <w:tcPr>
            <w:tcW w:w="839" w:type="dxa"/>
          </w:tcPr>
          <w:p w14:paraId="0000048C" w14:textId="77777777" w:rsidR="001C40B0" w:rsidRDefault="00291712">
            <w:pPr>
              <w:pBdr>
                <w:top w:val="nil"/>
                <w:left w:val="nil"/>
                <w:bottom w:val="nil"/>
                <w:right w:val="nil"/>
                <w:between w:val="nil"/>
              </w:pBdr>
              <w:ind w:right="312"/>
              <w:jc w:val="center"/>
              <w:rPr>
                <w:rFonts w:ascii="Arial" w:eastAsia="Arial" w:hAnsi="Arial" w:cs="Arial"/>
                <w:color w:val="000000"/>
              </w:rPr>
            </w:pPr>
            <w:r>
              <w:rPr>
                <w:rFonts w:ascii="Arial" w:eastAsia="Arial" w:hAnsi="Arial" w:cs="Arial"/>
                <w:color w:val="000000"/>
              </w:rPr>
              <w:t>2,2</w:t>
            </w:r>
          </w:p>
        </w:tc>
        <w:tc>
          <w:tcPr>
            <w:tcW w:w="829" w:type="dxa"/>
          </w:tcPr>
          <w:p w14:paraId="0000048D"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2,2</w:t>
            </w:r>
          </w:p>
        </w:tc>
        <w:tc>
          <w:tcPr>
            <w:tcW w:w="839" w:type="dxa"/>
          </w:tcPr>
          <w:p w14:paraId="0000048E" w14:textId="77777777" w:rsidR="001C40B0" w:rsidRDefault="00291712">
            <w:pPr>
              <w:pBdr>
                <w:top w:val="nil"/>
                <w:left w:val="nil"/>
                <w:bottom w:val="nil"/>
                <w:right w:val="nil"/>
                <w:between w:val="nil"/>
              </w:pBdr>
              <w:ind w:left="107"/>
              <w:rPr>
                <w:rFonts w:ascii="Arial" w:eastAsia="Arial" w:hAnsi="Arial" w:cs="Arial"/>
                <w:color w:val="000000"/>
              </w:rPr>
            </w:pPr>
            <w:r>
              <w:rPr>
                <w:rFonts w:ascii="Arial" w:eastAsia="Arial" w:hAnsi="Arial" w:cs="Arial"/>
                <w:color w:val="000000"/>
              </w:rPr>
              <w:t>3,6</w:t>
            </w:r>
          </w:p>
        </w:tc>
        <w:tc>
          <w:tcPr>
            <w:tcW w:w="844" w:type="dxa"/>
          </w:tcPr>
          <w:p w14:paraId="0000048F" w14:textId="77777777" w:rsidR="001C40B0" w:rsidRDefault="00291712">
            <w:pPr>
              <w:pBdr>
                <w:top w:val="nil"/>
                <w:left w:val="nil"/>
                <w:bottom w:val="nil"/>
                <w:right w:val="nil"/>
                <w:between w:val="nil"/>
              </w:pBdr>
              <w:ind w:left="113"/>
              <w:rPr>
                <w:rFonts w:ascii="Arial" w:eastAsia="Arial" w:hAnsi="Arial" w:cs="Arial"/>
                <w:color w:val="000000"/>
              </w:rPr>
            </w:pPr>
            <w:r>
              <w:rPr>
                <w:rFonts w:ascii="Arial" w:eastAsia="Arial" w:hAnsi="Arial" w:cs="Arial"/>
                <w:color w:val="000000"/>
              </w:rPr>
              <w:t>4</w:t>
            </w:r>
          </w:p>
        </w:tc>
        <w:tc>
          <w:tcPr>
            <w:tcW w:w="839" w:type="dxa"/>
          </w:tcPr>
          <w:p w14:paraId="00000490" w14:textId="77777777" w:rsidR="001C40B0" w:rsidRDefault="00291712">
            <w:pPr>
              <w:pBdr>
                <w:top w:val="nil"/>
                <w:left w:val="nil"/>
                <w:bottom w:val="nil"/>
                <w:right w:val="nil"/>
                <w:between w:val="nil"/>
              </w:pBdr>
              <w:ind w:left="109"/>
              <w:rPr>
                <w:rFonts w:ascii="Arial" w:eastAsia="Arial" w:hAnsi="Arial" w:cs="Arial"/>
                <w:color w:val="000000"/>
              </w:rPr>
            </w:pPr>
            <w:r>
              <w:rPr>
                <w:rFonts w:ascii="Arial" w:eastAsia="Arial" w:hAnsi="Arial" w:cs="Arial"/>
                <w:color w:val="000000"/>
              </w:rPr>
              <w:t>3,1</w:t>
            </w:r>
          </w:p>
        </w:tc>
        <w:tc>
          <w:tcPr>
            <w:tcW w:w="844" w:type="dxa"/>
          </w:tcPr>
          <w:p w14:paraId="00000491"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3,9</w:t>
            </w:r>
          </w:p>
        </w:tc>
        <w:tc>
          <w:tcPr>
            <w:tcW w:w="839" w:type="dxa"/>
          </w:tcPr>
          <w:p w14:paraId="00000492"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5,1</w:t>
            </w:r>
          </w:p>
        </w:tc>
      </w:tr>
      <w:tr w:rsidR="001C40B0" w14:paraId="3B39FD73" w14:textId="77777777">
        <w:trPr>
          <w:trHeight w:val="287"/>
        </w:trPr>
        <w:tc>
          <w:tcPr>
            <w:tcW w:w="1476" w:type="dxa"/>
          </w:tcPr>
          <w:p w14:paraId="00000493" w14:textId="77777777" w:rsidR="001C40B0" w:rsidRDefault="00291712">
            <w:pPr>
              <w:pBdr>
                <w:top w:val="nil"/>
                <w:left w:val="nil"/>
                <w:bottom w:val="nil"/>
                <w:right w:val="nil"/>
                <w:between w:val="nil"/>
              </w:pBdr>
              <w:ind w:left="102"/>
              <w:rPr>
                <w:rFonts w:ascii="Arial" w:eastAsia="Arial" w:hAnsi="Arial" w:cs="Arial"/>
                <w:b/>
                <w:bCs/>
                <w:color w:val="000000"/>
              </w:rPr>
            </w:pPr>
            <w:r>
              <w:rPr>
                <w:rFonts w:ascii="Arial" w:eastAsia="Arial" w:hAnsi="Arial" w:cs="Arial"/>
                <w:b/>
                <w:bCs/>
                <w:color w:val="000000"/>
              </w:rPr>
              <w:t>Costa Rica</w:t>
            </w:r>
          </w:p>
        </w:tc>
        <w:tc>
          <w:tcPr>
            <w:tcW w:w="825" w:type="dxa"/>
          </w:tcPr>
          <w:p w14:paraId="00000494" w14:textId="77777777" w:rsidR="001C40B0" w:rsidRDefault="001C40B0">
            <w:pPr>
              <w:pBdr>
                <w:top w:val="nil"/>
                <w:left w:val="nil"/>
                <w:bottom w:val="nil"/>
                <w:right w:val="nil"/>
                <w:between w:val="nil"/>
              </w:pBdr>
              <w:rPr>
                <w:rFonts w:ascii="Arial" w:eastAsia="Arial" w:hAnsi="Arial" w:cs="Arial"/>
                <w:color w:val="000000"/>
              </w:rPr>
            </w:pPr>
          </w:p>
        </w:tc>
        <w:tc>
          <w:tcPr>
            <w:tcW w:w="839" w:type="dxa"/>
          </w:tcPr>
          <w:p w14:paraId="00000495" w14:textId="77777777" w:rsidR="001C40B0" w:rsidRDefault="00291712">
            <w:pPr>
              <w:pBdr>
                <w:top w:val="nil"/>
                <w:left w:val="nil"/>
                <w:bottom w:val="nil"/>
                <w:right w:val="nil"/>
                <w:between w:val="nil"/>
              </w:pBdr>
              <w:ind w:left="103"/>
              <w:rPr>
                <w:rFonts w:ascii="Arial" w:eastAsia="Arial" w:hAnsi="Arial" w:cs="Arial"/>
                <w:color w:val="000000"/>
              </w:rPr>
            </w:pPr>
            <w:r>
              <w:rPr>
                <w:rFonts w:ascii="Arial" w:eastAsia="Arial" w:hAnsi="Arial" w:cs="Arial"/>
                <w:color w:val="000000"/>
              </w:rPr>
              <w:t>5,3</w:t>
            </w:r>
          </w:p>
        </w:tc>
        <w:tc>
          <w:tcPr>
            <w:tcW w:w="839" w:type="dxa"/>
          </w:tcPr>
          <w:p w14:paraId="00000496" w14:textId="77777777" w:rsidR="001C40B0" w:rsidRDefault="00291712">
            <w:pPr>
              <w:pBdr>
                <w:top w:val="nil"/>
                <w:left w:val="nil"/>
                <w:bottom w:val="nil"/>
                <w:right w:val="nil"/>
                <w:between w:val="nil"/>
              </w:pBdr>
              <w:ind w:right="312"/>
              <w:jc w:val="center"/>
              <w:rPr>
                <w:rFonts w:ascii="Arial" w:eastAsia="Arial" w:hAnsi="Arial" w:cs="Arial"/>
                <w:color w:val="000000"/>
              </w:rPr>
            </w:pPr>
            <w:r>
              <w:rPr>
                <w:rFonts w:ascii="Arial" w:eastAsia="Arial" w:hAnsi="Arial" w:cs="Arial"/>
                <w:color w:val="000000"/>
              </w:rPr>
              <w:t>3,5</w:t>
            </w:r>
          </w:p>
        </w:tc>
        <w:tc>
          <w:tcPr>
            <w:tcW w:w="829" w:type="dxa"/>
          </w:tcPr>
          <w:p w14:paraId="00000497"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5,1</w:t>
            </w:r>
          </w:p>
        </w:tc>
        <w:tc>
          <w:tcPr>
            <w:tcW w:w="839" w:type="dxa"/>
          </w:tcPr>
          <w:p w14:paraId="00000498" w14:textId="77777777" w:rsidR="001C40B0" w:rsidRDefault="00291712">
            <w:pPr>
              <w:pBdr>
                <w:top w:val="nil"/>
                <w:left w:val="nil"/>
                <w:bottom w:val="nil"/>
                <w:right w:val="nil"/>
                <w:between w:val="nil"/>
              </w:pBdr>
              <w:ind w:left="107"/>
              <w:rPr>
                <w:rFonts w:ascii="Arial" w:eastAsia="Arial" w:hAnsi="Arial" w:cs="Arial"/>
                <w:color w:val="000000"/>
              </w:rPr>
            </w:pPr>
            <w:r>
              <w:rPr>
                <w:rFonts w:ascii="Arial" w:eastAsia="Arial" w:hAnsi="Arial" w:cs="Arial"/>
                <w:color w:val="000000"/>
              </w:rPr>
              <w:t>3,1</w:t>
            </w:r>
          </w:p>
        </w:tc>
        <w:tc>
          <w:tcPr>
            <w:tcW w:w="844" w:type="dxa"/>
          </w:tcPr>
          <w:p w14:paraId="00000499" w14:textId="77777777" w:rsidR="001C40B0" w:rsidRDefault="00291712">
            <w:pPr>
              <w:pBdr>
                <w:top w:val="nil"/>
                <w:left w:val="nil"/>
                <w:bottom w:val="nil"/>
                <w:right w:val="nil"/>
                <w:between w:val="nil"/>
              </w:pBdr>
              <w:ind w:left="113"/>
              <w:rPr>
                <w:rFonts w:ascii="Arial" w:eastAsia="Arial" w:hAnsi="Arial" w:cs="Arial"/>
                <w:color w:val="000000"/>
              </w:rPr>
            </w:pPr>
            <w:r>
              <w:rPr>
                <w:rFonts w:ascii="Arial" w:eastAsia="Arial" w:hAnsi="Arial" w:cs="Arial"/>
                <w:color w:val="000000"/>
              </w:rPr>
              <w:t>4,5</w:t>
            </w:r>
          </w:p>
        </w:tc>
        <w:tc>
          <w:tcPr>
            <w:tcW w:w="839" w:type="dxa"/>
          </w:tcPr>
          <w:p w14:paraId="0000049A" w14:textId="77777777" w:rsidR="001C40B0" w:rsidRDefault="00291712">
            <w:pPr>
              <w:pBdr>
                <w:top w:val="nil"/>
                <w:left w:val="nil"/>
                <w:bottom w:val="nil"/>
                <w:right w:val="nil"/>
                <w:between w:val="nil"/>
              </w:pBdr>
              <w:ind w:left="109"/>
              <w:rPr>
                <w:rFonts w:ascii="Arial" w:eastAsia="Arial" w:hAnsi="Arial" w:cs="Arial"/>
                <w:color w:val="000000"/>
              </w:rPr>
            </w:pPr>
            <w:r>
              <w:rPr>
                <w:rFonts w:ascii="Arial" w:eastAsia="Arial" w:hAnsi="Arial" w:cs="Arial"/>
                <w:color w:val="000000"/>
              </w:rPr>
              <w:t>3,7</w:t>
            </w:r>
          </w:p>
        </w:tc>
        <w:tc>
          <w:tcPr>
            <w:tcW w:w="844" w:type="dxa"/>
          </w:tcPr>
          <w:p w14:paraId="0000049B"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7,1</w:t>
            </w:r>
          </w:p>
        </w:tc>
        <w:tc>
          <w:tcPr>
            <w:tcW w:w="839" w:type="dxa"/>
          </w:tcPr>
          <w:p w14:paraId="0000049C"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4,7</w:t>
            </w:r>
          </w:p>
        </w:tc>
      </w:tr>
      <w:tr w:rsidR="001C40B0" w14:paraId="3ABCFF84" w14:textId="77777777">
        <w:trPr>
          <w:trHeight w:val="292"/>
        </w:trPr>
        <w:tc>
          <w:tcPr>
            <w:tcW w:w="1476" w:type="dxa"/>
          </w:tcPr>
          <w:p w14:paraId="0000049D" w14:textId="77777777" w:rsidR="001C40B0" w:rsidRDefault="00291712">
            <w:pPr>
              <w:pBdr>
                <w:top w:val="nil"/>
                <w:left w:val="nil"/>
                <w:bottom w:val="nil"/>
                <w:right w:val="nil"/>
                <w:between w:val="nil"/>
              </w:pBdr>
              <w:ind w:left="102"/>
              <w:rPr>
                <w:rFonts w:ascii="Arial" w:eastAsia="Arial" w:hAnsi="Arial" w:cs="Arial"/>
                <w:b/>
                <w:bCs/>
                <w:color w:val="000000"/>
              </w:rPr>
            </w:pPr>
            <w:r>
              <w:rPr>
                <w:rFonts w:ascii="Arial" w:eastAsia="Arial" w:hAnsi="Arial" w:cs="Arial"/>
                <w:b/>
                <w:bCs/>
                <w:color w:val="000000"/>
              </w:rPr>
              <w:t>México</w:t>
            </w:r>
          </w:p>
        </w:tc>
        <w:tc>
          <w:tcPr>
            <w:tcW w:w="825" w:type="dxa"/>
          </w:tcPr>
          <w:p w14:paraId="0000049E" w14:textId="77777777" w:rsidR="001C40B0" w:rsidRDefault="00291712">
            <w:pPr>
              <w:pBdr>
                <w:top w:val="nil"/>
                <w:left w:val="nil"/>
                <w:bottom w:val="nil"/>
                <w:right w:val="nil"/>
                <w:between w:val="nil"/>
              </w:pBdr>
              <w:ind w:left="103"/>
              <w:rPr>
                <w:rFonts w:ascii="Arial" w:eastAsia="Arial" w:hAnsi="Arial" w:cs="Arial"/>
                <w:color w:val="000000"/>
              </w:rPr>
            </w:pPr>
            <w:r>
              <w:rPr>
                <w:rFonts w:ascii="Arial" w:eastAsia="Arial" w:hAnsi="Arial" w:cs="Arial"/>
                <w:color w:val="000000"/>
              </w:rPr>
              <w:t>3,1</w:t>
            </w:r>
          </w:p>
        </w:tc>
        <w:tc>
          <w:tcPr>
            <w:tcW w:w="839" w:type="dxa"/>
          </w:tcPr>
          <w:p w14:paraId="0000049F" w14:textId="77777777" w:rsidR="001C40B0" w:rsidRDefault="00291712">
            <w:pPr>
              <w:pBdr>
                <w:top w:val="nil"/>
                <w:left w:val="nil"/>
                <w:bottom w:val="nil"/>
                <w:right w:val="nil"/>
                <w:between w:val="nil"/>
              </w:pBdr>
              <w:ind w:left="103"/>
              <w:rPr>
                <w:rFonts w:ascii="Arial" w:eastAsia="Arial" w:hAnsi="Arial" w:cs="Arial"/>
                <w:color w:val="000000"/>
              </w:rPr>
            </w:pPr>
            <w:r>
              <w:rPr>
                <w:rFonts w:ascii="Arial" w:eastAsia="Arial" w:hAnsi="Arial" w:cs="Arial"/>
                <w:color w:val="000000"/>
              </w:rPr>
              <w:t>2,8</w:t>
            </w:r>
          </w:p>
        </w:tc>
        <w:tc>
          <w:tcPr>
            <w:tcW w:w="839" w:type="dxa"/>
          </w:tcPr>
          <w:p w14:paraId="000004A0" w14:textId="77777777" w:rsidR="001C40B0" w:rsidRDefault="00291712">
            <w:pPr>
              <w:pBdr>
                <w:top w:val="nil"/>
                <w:left w:val="nil"/>
                <w:bottom w:val="nil"/>
                <w:right w:val="nil"/>
                <w:between w:val="nil"/>
              </w:pBdr>
              <w:ind w:right="312"/>
              <w:jc w:val="center"/>
              <w:rPr>
                <w:rFonts w:ascii="Arial" w:eastAsia="Arial" w:hAnsi="Arial" w:cs="Arial"/>
                <w:color w:val="000000"/>
              </w:rPr>
            </w:pPr>
            <w:r>
              <w:rPr>
                <w:rFonts w:ascii="Arial" w:eastAsia="Arial" w:hAnsi="Arial" w:cs="Arial"/>
                <w:color w:val="000000"/>
              </w:rPr>
              <w:t>2,8</w:t>
            </w:r>
          </w:p>
        </w:tc>
        <w:tc>
          <w:tcPr>
            <w:tcW w:w="829" w:type="dxa"/>
          </w:tcPr>
          <w:p w14:paraId="000004A1"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3,1</w:t>
            </w:r>
          </w:p>
        </w:tc>
        <w:tc>
          <w:tcPr>
            <w:tcW w:w="839" w:type="dxa"/>
          </w:tcPr>
          <w:p w14:paraId="000004A2" w14:textId="77777777" w:rsidR="001C40B0" w:rsidRDefault="00291712">
            <w:pPr>
              <w:pBdr>
                <w:top w:val="nil"/>
                <w:left w:val="nil"/>
                <w:bottom w:val="nil"/>
                <w:right w:val="nil"/>
                <w:between w:val="nil"/>
              </w:pBdr>
              <w:ind w:left="107"/>
              <w:rPr>
                <w:rFonts w:ascii="Arial" w:eastAsia="Arial" w:hAnsi="Arial" w:cs="Arial"/>
                <w:color w:val="000000"/>
              </w:rPr>
            </w:pPr>
            <w:r>
              <w:rPr>
                <w:rFonts w:ascii="Arial" w:eastAsia="Arial" w:hAnsi="Arial" w:cs="Arial"/>
                <w:color w:val="000000"/>
              </w:rPr>
              <w:t>3,6</w:t>
            </w:r>
          </w:p>
        </w:tc>
        <w:tc>
          <w:tcPr>
            <w:tcW w:w="844" w:type="dxa"/>
          </w:tcPr>
          <w:p w14:paraId="000004A3" w14:textId="77777777" w:rsidR="001C40B0" w:rsidRDefault="00291712">
            <w:pPr>
              <w:pBdr>
                <w:top w:val="nil"/>
                <w:left w:val="nil"/>
                <w:bottom w:val="nil"/>
                <w:right w:val="nil"/>
                <w:between w:val="nil"/>
              </w:pBdr>
              <w:ind w:left="113"/>
              <w:rPr>
                <w:rFonts w:ascii="Arial" w:eastAsia="Arial" w:hAnsi="Arial" w:cs="Arial"/>
                <w:color w:val="000000"/>
              </w:rPr>
            </w:pPr>
            <w:r>
              <w:rPr>
                <w:rFonts w:ascii="Arial" w:eastAsia="Arial" w:hAnsi="Arial" w:cs="Arial"/>
                <w:color w:val="000000"/>
              </w:rPr>
              <w:t>3,6</w:t>
            </w:r>
          </w:p>
        </w:tc>
        <w:tc>
          <w:tcPr>
            <w:tcW w:w="839" w:type="dxa"/>
          </w:tcPr>
          <w:p w14:paraId="000004A4" w14:textId="77777777" w:rsidR="001C40B0" w:rsidRDefault="00291712">
            <w:pPr>
              <w:pBdr>
                <w:top w:val="nil"/>
                <w:left w:val="nil"/>
                <w:bottom w:val="nil"/>
                <w:right w:val="nil"/>
                <w:between w:val="nil"/>
              </w:pBdr>
              <w:ind w:left="109"/>
              <w:rPr>
                <w:rFonts w:ascii="Arial" w:eastAsia="Arial" w:hAnsi="Arial" w:cs="Arial"/>
                <w:color w:val="000000"/>
              </w:rPr>
            </w:pPr>
            <w:r>
              <w:rPr>
                <w:rFonts w:ascii="Arial" w:eastAsia="Arial" w:hAnsi="Arial" w:cs="Arial"/>
                <w:color w:val="000000"/>
              </w:rPr>
              <w:t>3,4</w:t>
            </w:r>
          </w:p>
        </w:tc>
        <w:tc>
          <w:tcPr>
            <w:tcW w:w="844" w:type="dxa"/>
          </w:tcPr>
          <w:p w14:paraId="000004A5"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3,5</w:t>
            </w:r>
          </w:p>
        </w:tc>
        <w:tc>
          <w:tcPr>
            <w:tcW w:w="839" w:type="dxa"/>
          </w:tcPr>
          <w:p w14:paraId="000004A6"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3,7</w:t>
            </w:r>
          </w:p>
        </w:tc>
      </w:tr>
      <w:tr w:rsidR="001C40B0" w14:paraId="7FA34384" w14:textId="77777777">
        <w:trPr>
          <w:trHeight w:val="287"/>
        </w:trPr>
        <w:tc>
          <w:tcPr>
            <w:tcW w:w="1476" w:type="dxa"/>
          </w:tcPr>
          <w:p w14:paraId="000004A7" w14:textId="77777777" w:rsidR="001C40B0" w:rsidRDefault="00291712">
            <w:pPr>
              <w:pBdr>
                <w:top w:val="nil"/>
                <w:left w:val="nil"/>
                <w:bottom w:val="nil"/>
                <w:right w:val="nil"/>
                <w:between w:val="nil"/>
              </w:pBdr>
              <w:ind w:left="102"/>
              <w:rPr>
                <w:rFonts w:ascii="Arial" w:eastAsia="Arial" w:hAnsi="Arial" w:cs="Arial"/>
                <w:b/>
                <w:bCs/>
                <w:color w:val="000000"/>
              </w:rPr>
            </w:pPr>
            <w:r>
              <w:rPr>
                <w:rFonts w:ascii="Arial" w:eastAsia="Arial" w:hAnsi="Arial" w:cs="Arial"/>
                <w:b/>
                <w:bCs/>
                <w:color w:val="000000"/>
              </w:rPr>
              <w:t>Paraguay</w:t>
            </w:r>
          </w:p>
        </w:tc>
        <w:tc>
          <w:tcPr>
            <w:tcW w:w="825" w:type="dxa"/>
          </w:tcPr>
          <w:p w14:paraId="000004A8" w14:textId="77777777" w:rsidR="001C40B0" w:rsidRDefault="00291712">
            <w:pPr>
              <w:pBdr>
                <w:top w:val="nil"/>
                <w:left w:val="nil"/>
                <w:bottom w:val="nil"/>
                <w:right w:val="nil"/>
                <w:between w:val="nil"/>
              </w:pBdr>
              <w:ind w:left="103"/>
              <w:rPr>
                <w:rFonts w:ascii="Arial" w:eastAsia="Arial" w:hAnsi="Arial" w:cs="Arial"/>
                <w:color w:val="000000"/>
              </w:rPr>
            </w:pPr>
            <w:r>
              <w:rPr>
                <w:rFonts w:ascii="Arial" w:eastAsia="Arial" w:hAnsi="Arial" w:cs="Arial"/>
                <w:color w:val="000000"/>
              </w:rPr>
              <w:t>2,1</w:t>
            </w:r>
          </w:p>
        </w:tc>
        <w:tc>
          <w:tcPr>
            <w:tcW w:w="839" w:type="dxa"/>
          </w:tcPr>
          <w:p w14:paraId="000004A9" w14:textId="77777777" w:rsidR="001C40B0" w:rsidRDefault="00291712">
            <w:pPr>
              <w:pBdr>
                <w:top w:val="nil"/>
                <w:left w:val="nil"/>
                <w:bottom w:val="nil"/>
                <w:right w:val="nil"/>
                <w:between w:val="nil"/>
              </w:pBdr>
              <w:ind w:left="103"/>
              <w:rPr>
                <w:rFonts w:ascii="Arial" w:eastAsia="Arial" w:hAnsi="Arial" w:cs="Arial"/>
                <w:color w:val="000000"/>
              </w:rPr>
            </w:pPr>
            <w:r>
              <w:rPr>
                <w:rFonts w:ascii="Arial" w:eastAsia="Arial" w:hAnsi="Arial" w:cs="Arial"/>
                <w:color w:val="000000"/>
              </w:rPr>
              <w:t>3</w:t>
            </w:r>
          </w:p>
        </w:tc>
        <w:tc>
          <w:tcPr>
            <w:tcW w:w="839" w:type="dxa"/>
          </w:tcPr>
          <w:p w14:paraId="000004AA" w14:textId="77777777" w:rsidR="001C40B0" w:rsidRDefault="00291712">
            <w:pPr>
              <w:pBdr>
                <w:top w:val="nil"/>
                <w:left w:val="nil"/>
                <w:bottom w:val="nil"/>
                <w:right w:val="nil"/>
                <w:between w:val="nil"/>
              </w:pBdr>
              <w:ind w:right="312"/>
              <w:jc w:val="center"/>
              <w:rPr>
                <w:rFonts w:ascii="Arial" w:eastAsia="Arial" w:hAnsi="Arial" w:cs="Arial"/>
                <w:color w:val="000000"/>
              </w:rPr>
            </w:pPr>
            <w:r>
              <w:rPr>
                <w:rFonts w:ascii="Arial" w:eastAsia="Arial" w:hAnsi="Arial" w:cs="Arial"/>
                <w:color w:val="000000"/>
              </w:rPr>
              <w:t>1,9</w:t>
            </w:r>
          </w:p>
        </w:tc>
        <w:tc>
          <w:tcPr>
            <w:tcW w:w="829" w:type="dxa"/>
          </w:tcPr>
          <w:p w14:paraId="000004AB" w14:textId="77777777" w:rsidR="001C40B0" w:rsidRDefault="001C40B0">
            <w:pPr>
              <w:pBdr>
                <w:top w:val="nil"/>
                <w:left w:val="nil"/>
                <w:bottom w:val="nil"/>
                <w:right w:val="nil"/>
                <w:between w:val="nil"/>
              </w:pBdr>
              <w:rPr>
                <w:rFonts w:ascii="Arial" w:eastAsia="Arial" w:hAnsi="Arial" w:cs="Arial"/>
                <w:color w:val="000000"/>
              </w:rPr>
            </w:pPr>
          </w:p>
        </w:tc>
        <w:tc>
          <w:tcPr>
            <w:tcW w:w="839" w:type="dxa"/>
          </w:tcPr>
          <w:p w14:paraId="000004AC" w14:textId="77777777" w:rsidR="001C40B0" w:rsidRDefault="00291712">
            <w:pPr>
              <w:pBdr>
                <w:top w:val="nil"/>
                <w:left w:val="nil"/>
                <w:bottom w:val="nil"/>
                <w:right w:val="nil"/>
                <w:between w:val="nil"/>
              </w:pBdr>
              <w:ind w:left="107"/>
              <w:rPr>
                <w:rFonts w:ascii="Arial" w:eastAsia="Arial" w:hAnsi="Arial" w:cs="Arial"/>
                <w:color w:val="000000"/>
              </w:rPr>
            </w:pPr>
            <w:r>
              <w:rPr>
                <w:rFonts w:ascii="Arial" w:eastAsia="Arial" w:hAnsi="Arial" w:cs="Arial"/>
                <w:color w:val="000000"/>
              </w:rPr>
              <w:t>7,5</w:t>
            </w:r>
          </w:p>
        </w:tc>
        <w:tc>
          <w:tcPr>
            <w:tcW w:w="844" w:type="dxa"/>
          </w:tcPr>
          <w:p w14:paraId="000004AD" w14:textId="77777777" w:rsidR="001C40B0" w:rsidRDefault="00291712">
            <w:pPr>
              <w:pBdr>
                <w:top w:val="nil"/>
                <w:left w:val="nil"/>
                <w:bottom w:val="nil"/>
                <w:right w:val="nil"/>
                <w:between w:val="nil"/>
              </w:pBdr>
              <w:ind w:left="113"/>
              <w:rPr>
                <w:rFonts w:ascii="Arial" w:eastAsia="Arial" w:hAnsi="Arial" w:cs="Arial"/>
                <w:color w:val="000000"/>
              </w:rPr>
            </w:pPr>
            <w:r>
              <w:rPr>
                <w:rFonts w:ascii="Arial" w:eastAsia="Arial" w:hAnsi="Arial" w:cs="Arial"/>
                <w:color w:val="000000"/>
              </w:rPr>
              <w:t>1,9</w:t>
            </w:r>
          </w:p>
        </w:tc>
        <w:tc>
          <w:tcPr>
            <w:tcW w:w="839" w:type="dxa"/>
          </w:tcPr>
          <w:p w14:paraId="000004AE" w14:textId="77777777" w:rsidR="001C40B0" w:rsidRDefault="00291712">
            <w:pPr>
              <w:pBdr>
                <w:top w:val="nil"/>
                <w:left w:val="nil"/>
                <w:bottom w:val="nil"/>
                <w:right w:val="nil"/>
                <w:between w:val="nil"/>
              </w:pBdr>
              <w:ind w:left="109"/>
              <w:rPr>
                <w:rFonts w:ascii="Arial" w:eastAsia="Arial" w:hAnsi="Arial" w:cs="Arial"/>
                <w:color w:val="000000"/>
              </w:rPr>
            </w:pPr>
            <w:r>
              <w:rPr>
                <w:rFonts w:ascii="Arial" w:eastAsia="Arial" w:hAnsi="Arial" w:cs="Arial"/>
                <w:color w:val="000000"/>
              </w:rPr>
              <w:t>1,3</w:t>
            </w:r>
          </w:p>
        </w:tc>
        <w:tc>
          <w:tcPr>
            <w:tcW w:w="844" w:type="dxa"/>
          </w:tcPr>
          <w:p w14:paraId="000004AF"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1,5</w:t>
            </w:r>
          </w:p>
        </w:tc>
        <w:tc>
          <w:tcPr>
            <w:tcW w:w="839" w:type="dxa"/>
          </w:tcPr>
          <w:p w14:paraId="000004B0"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1,6</w:t>
            </w:r>
          </w:p>
        </w:tc>
      </w:tr>
      <w:tr w:rsidR="001C40B0" w14:paraId="3562139E" w14:textId="77777777">
        <w:trPr>
          <w:trHeight w:val="868"/>
        </w:trPr>
        <w:tc>
          <w:tcPr>
            <w:tcW w:w="1476" w:type="dxa"/>
          </w:tcPr>
          <w:p w14:paraId="000004B1" w14:textId="77777777" w:rsidR="001C40B0" w:rsidRDefault="00291712">
            <w:pPr>
              <w:pBdr>
                <w:top w:val="nil"/>
                <w:left w:val="nil"/>
                <w:bottom w:val="nil"/>
                <w:right w:val="nil"/>
                <w:between w:val="nil"/>
              </w:pBdr>
              <w:ind w:left="102"/>
              <w:rPr>
                <w:rFonts w:ascii="Arial" w:eastAsia="Arial" w:hAnsi="Arial" w:cs="Arial"/>
                <w:b/>
                <w:bCs/>
                <w:color w:val="000000"/>
              </w:rPr>
            </w:pPr>
            <w:r>
              <w:rPr>
                <w:rFonts w:ascii="Arial" w:eastAsia="Arial" w:hAnsi="Arial" w:cs="Arial"/>
                <w:b/>
                <w:bCs/>
                <w:color w:val="000000"/>
              </w:rPr>
              <w:t>República Dominican</w:t>
            </w:r>
          </w:p>
          <w:p w14:paraId="000004B2" w14:textId="77777777" w:rsidR="001C40B0" w:rsidRDefault="00291712">
            <w:pPr>
              <w:pBdr>
                <w:top w:val="nil"/>
                <w:left w:val="nil"/>
                <w:bottom w:val="nil"/>
                <w:right w:val="nil"/>
                <w:between w:val="nil"/>
              </w:pBdr>
              <w:ind w:left="102"/>
              <w:rPr>
                <w:rFonts w:ascii="Arial" w:eastAsia="Arial" w:hAnsi="Arial" w:cs="Arial"/>
                <w:b/>
                <w:bCs/>
                <w:color w:val="000000"/>
              </w:rPr>
            </w:pPr>
            <w:r>
              <w:rPr>
                <w:rFonts w:ascii="Arial" w:eastAsia="Arial" w:hAnsi="Arial" w:cs="Arial"/>
                <w:b/>
                <w:bCs/>
                <w:color w:val="000000"/>
              </w:rPr>
              <w:t>a</w:t>
            </w:r>
          </w:p>
        </w:tc>
        <w:tc>
          <w:tcPr>
            <w:tcW w:w="825" w:type="dxa"/>
          </w:tcPr>
          <w:p w14:paraId="000004B3" w14:textId="77777777" w:rsidR="001C40B0" w:rsidRDefault="001C40B0">
            <w:pPr>
              <w:pBdr>
                <w:top w:val="nil"/>
                <w:left w:val="nil"/>
                <w:bottom w:val="nil"/>
                <w:right w:val="nil"/>
                <w:between w:val="nil"/>
              </w:pBdr>
              <w:rPr>
                <w:rFonts w:ascii="Arial" w:eastAsia="Arial" w:hAnsi="Arial" w:cs="Arial"/>
                <w:color w:val="000000"/>
              </w:rPr>
            </w:pPr>
          </w:p>
        </w:tc>
        <w:tc>
          <w:tcPr>
            <w:tcW w:w="839" w:type="dxa"/>
          </w:tcPr>
          <w:p w14:paraId="000004B4" w14:textId="77777777" w:rsidR="001C40B0" w:rsidRDefault="00291712">
            <w:pPr>
              <w:pBdr>
                <w:top w:val="nil"/>
                <w:left w:val="nil"/>
                <w:bottom w:val="nil"/>
                <w:right w:val="nil"/>
                <w:between w:val="nil"/>
              </w:pBdr>
              <w:ind w:left="103"/>
              <w:rPr>
                <w:rFonts w:ascii="Arial" w:eastAsia="Arial" w:hAnsi="Arial" w:cs="Arial"/>
                <w:color w:val="000000"/>
              </w:rPr>
            </w:pPr>
            <w:r>
              <w:rPr>
                <w:rFonts w:ascii="Arial" w:eastAsia="Arial" w:hAnsi="Arial" w:cs="Arial"/>
                <w:color w:val="000000"/>
              </w:rPr>
              <w:t>0,9</w:t>
            </w:r>
          </w:p>
        </w:tc>
        <w:tc>
          <w:tcPr>
            <w:tcW w:w="839" w:type="dxa"/>
          </w:tcPr>
          <w:p w14:paraId="000004B5" w14:textId="77777777" w:rsidR="001C40B0" w:rsidRDefault="00291712">
            <w:pPr>
              <w:pBdr>
                <w:top w:val="nil"/>
                <w:left w:val="nil"/>
                <w:bottom w:val="nil"/>
                <w:right w:val="nil"/>
                <w:between w:val="nil"/>
              </w:pBdr>
              <w:ind w:right="312"/>
              <w:jc w:val="center"/>
              <w:rPr>
                <w:rFonts w:ascii="Arial" w:eastAsia="Arial" w:hAnsi="Arial" w:cs="Arial"/>
                <w:color w:val="000000"/>
              </w:rPr>
            </w:pPr>
            <w:r>
              <w:rPr>
                <w:rFonts w:ascii="Arial" w:eastAsia="Arial" w:hAnsi="Arial" w:cs="Arial"/>
                <w:color w:val="000000"/>
              </w:rPr>
              <w:t>1,1</w:t>
            </w:r>
          </w:p>
        </w:tc>
        <w:tc>
          <w:tcPr>
            <w:tcW w:w="829" w:type="dxa"/>
          </w:tcPr>
          <w:p w14:paraId="000004B6"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1,7</w:t>
            </w:r>
          </w:p>
        </w:tc>
        <w:tc>
          <w:tcPr>
            <w:tcW w:w="839" w:type="dxa"/>
          </w:tcPr>
          <w:p w14:paraId="000004B7" w14:textId="77777777" w:rsidR="001C40B0" w:rsidRDefault="00291712">
            <w:pPr>
              <w:pBdr>
                <w:top w:val="nil"/>
                <w:left w:val="nil"/>
                <w:bottom w:val="nil"/>
                <w:right w:val="nil"/>
                <w:between w:val="nil"/>
              </w:pBdr>
              <w:ind w:left="107"/>
              <w:rPr>
                <w:rFonts w:ascii="Arial" w:eastAsia="Arial" w:hAnsi="Arial" w:cs="Arial"/>
                <w:color w:val="000000"/>
              </w:rPr>
            </w:pPr>
            <w:r>
              <w:rPr>
                <w:rFonts w:ascii="Arial" w:eastAsia="Arial" w:hAnsi="Arial" w:cs="Arial"/>
                <w:color w:val="000000"/>
              </w:rPr>
              <w:t>1,7</w:t>
            </w:r>
          </w:p>
        </w:tc>
        <w:tc>
          <w:tcPr>
            <w:tcW w:w="844" w:type="dxa"/>
          </w:tcPr>
          <w:p w14:paraId="000004B8" w14:textId="77777777" w:rsidR="001C40B0" w:rsidRDefault="00291712">
            <w:pPr>
              <w:pBdr>
                <w:top w:val="nil"/>
                <w:left w:val="nil"/>
                <w:bottom w:val="nil"/>
                <w:right w:val="nil"/>
                <w:between w:val="nil"/>
              </w:pBdr>
              <w:ind w:left="113"/>
              <w:rPr>
                <w:rFonts w:ascii="Arial" w:eastAsia="Arial" w:hAnsi="Arial" w:cs="Arial"/>
                <w:color w:val="000000"/>
              </w:rPr>
            </w:pPr>
            <w:r>
              <w:rPr>
                <w:rFonts w:ascii="Arial" w:eastAsia="Arial" w:hAnsi="Arial" w:cs="Arial"/>
                <w:color w:val="000000"/>
              </w:rPr>
              <w:t>1,6</w:t>
            </w:r>
          </w:p>
        </w:tc>
        <w:tc>
          <w:tcPr>
            <w:tcW w:w="839" w:type="dxa"/>
          </w:tcPr>
          <w:p w14:paraId="000004B9" w14:textId="77777777" w:rsidR="001C40B0" w:rsidRDefault="00291712">
            <w:pPr>
              <w:pBdr>
                <w:top w:val="nil"/>
                <w:left w:val="nil"/>
                <w:bottom w:val="nil"/>
                <w:right w:val="nil"/>
                <w:between w:val="nil"/>
              </w:pBdr>
              <w:ind w:left="109"/>
              <w:rPr>
                <w:rFonts w:ascii="Arial" w:eastAsia="Arial" w:hAnsi="Arial" w:cs="Arial"/>
                <w:color w:val="000000"/>
              </w:rPr>
            </w:pPr>
            <w:r>
              <w:rPr>
                <w:rFonts w:ascii="Arial" w:eastAsia="Arial" w:hAnsi="Arial" w:cs="Arial"/>
                <w:color w:val="000000"/>
              </w:rPr>
              <w:t>2,8</w:t>
            </w:r>
          </w:p>
        </w:tc>
        <w:tc>
          <w:tcPr>
            <w:tcW w:w="844" w:type="dxa"/>
          </w:tcPr>
          <w:p w14:paraId="000004BA"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0,7</w:t>
            </w:r>
          </w:p>
        </w:tc>
        <w:tc>
          <w:tcPr>
            <w:tcW w:w="839" w:type="dxa"/>
          </w:tcPr>
          <w:p w14:paraId="000004BB"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1,4</w:t>
            </w:r>
          </w:p>
        </w:tc>
      </w:tr>
      <w:tr w:rsidR="001C40B0" w14:paraId="0E976733" w14:textId="77777777">
        <w:trPr>
          <w:trHeight w:val="287"/>
        </w:trPr>
        <w:tc>
          <w:tcPr>
            <w:tcW w:w="1476" w:type="dxa"/>
          </w:tcPr>
          <w:p w14:paraId="000004BC" w14:textId="77777777" w:rsidR="001C40B0" w:rsidRDefault="00291712">
            <w:pPr>
              <w:pBdr>
                <w:top w:val="nil"/>
                <w:left w:val="nil"/>
                <w:bottom w:val="nil"/>
                <w:right w:val="nil"/>
                <w:between w:val="nil"/>
              </w:pBdr>
              <w:ind w:left="102"/>
              <w:rPr>
                <w:rFonts w:ascii="Arial" w:eastAsia="Arial" w:hAnsi="Arial" w:cs="Arial"/>
                <w:b/>
                <w:bCs/>
                <w:color w:val="000000"/>
              </w:rPr>
            </w:pPr>
            <w:r>
              <w:rPr>
                <w:rFonts w:ascii="Arial" w:eastAsia="Arial" w:hAnsi="Arial" w:cs="Arial"/>
                <w:b/>
                <w:bCs/>
                <w:color w:val="000000"/>
              </w:rPr>
              <w:t>Perú</w:t>
            </w:r>
          </w:p>
        </w:tc>
        <w:tc>
          <w:tcPr>
            <w:tcW w:w="825" w:type="dxa"/>
          </w:tcPr>
          <w:p w14:paraId="000004BD" w14:textId="77777777" w:rsidR="001C40B0" w:rsidRDefault="00291712">
            <w:pPr>
              <w:pBdr>
                <w:top w:val="nil"/>
                <w:left w:val="nil"/>
                <w:bottom w:val="nil"/>
                <w:right w:val="nil"/>
                <w:between w:val="nil"/>
              </w:pBdr>
              <w:ind w:left="103"/>
              <w:rPr>
                <w:rFonts w:ascii="Arial" w:eastAsia="Arial" w:hAnsi="Arial" w:cs="Arial"/>
                <w:color w:val="000000"/>
              </w:rPr>
            </w:pPr>
            <w:r>
              <w:rPr>
                <w:rFonts w:ascii="Arial" w:eastAsia="Arial" w:hAnsi="Arial" w:cs="Arial"/>
                <w:color w:val="000000"/>
              </w:rPr>
              <w:t>0,8</w:t>
            </w:r>
          </w:p>
        </w:tc>
        <w:tc>
          <w:tcPr>
            <w:tcW w:w="839" w:type="dxa"/>
          </w:tcPr>
          <w:p w14:paraId="000004BE" w14:textId="77777777" w:rsidR="001C40B0" w:rsidRDefault="001C40B0">
            <w:pPr>
              <w:pBdr>
                <w:top w:val="nil"/>
                <w:left w:val="nil"/>
                <w:bottom w:val="nil"/>
                <w:right w:val="nil"/>
                <w:between w:val="nil"/>
              </w:pBdr>
              <w:rPr>
                <w:rFonts w:ascii="Arial" w:eastAsia="Arial" w:hAnsi="Arial" w:cs="Arial"/>
                <w:color w:val="000000"/>
              </w:rPr>
            </w:pPr>
          </w:p>
        </w:tc>
        <w:tc>
          <w:tcPr>
            <w:tcW w:w="839" w:type="dxa"/>
          </w:tcPr>
          <w:p w14:paraId="000004BF" w14:textId="77777777" w:rsidR="001C40B0" w:rsidRDefault="00291712">
            <w:pPr>
              <w:pBdr>
                <w:top w:val="nil"/>
                <w:left w:val="nil"/>
                <w:bottom w:val="nil"/>
                <w:right w:val="nil"/>
                <w:between w:val="nil"/>
              </w:pBdr>
              <w:ind w:right="312"/>
              <w:jc w:val="center"/>
              <w:rPr>
                <w:rFonts w:ascii="Arial" w:eastAsia="Arial" w:hAnsi="Arial" w:cs="Arial"/>
                <w:color w:val="000000"/>
              </w:rPr>
            </w:pPr>
            <w:r>
              <w:rPr>
                <w:rFonts w:ascii="Arial" w:eastAsia="Arial" w:hAnsi="Arial" w:cs="Arial"/>
                <w:color w:val="000000"/>
              </w:rPr>
              <w:t>3,2</w:t>
            </w:r>
          </w:p>
        </w:tc>
        <w:tc>
          <w:tcPr>
            <w:tcW w:w="829" w:type="dxa"/>
          </w:tcPr>
          <w:p w14:paraId="000004C0"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4,3</w:t>
            </w:r>
          </w:p>
        </w:tc>
        <w:tc>
          <w:tcPr>
            <w:tcW w:w="839" w:type="dxa"/>
          </w:tcPr>
          <w:p w14:paraId="000004C1" w14:textId="77777777" w:rsidR="001C40B0" w:rsidRDefault="00291712">
            <w:pPr>
              <w:pBdr>
                <w:top w:val="nil"/>
                <w:left w:val="nil"/>
                <w:bottom w:val="nil"/>
                <w:right w:val="nil"/>
                <w:between w:val="nil"/>
              </w:pBdr>
              <w:ind w:left="107"/>
              <w:rPr>
                <w:rFonts w:ascii="Arial" w:eastAsia="Arial" w:hAnsi="Arial" w:cs="Arial"/>
                <w:color w:val="000000"/>
              </w:rPr>
            </w:pPr>
            <w:r>
              <w:rPr>
                <w:rFonts w:ascii="Arial" w:eastAsia="Arial" w:hAnsi="Arial" w:cs="Arial"/>
                <w:color w:val="000000"/>
              </w:rPr>
              <w:t>3,2</w:t>
            </w:r>
          </w:p>
        </w:tc>
        <w:tc>
          <w:tcPr>
            <w:tcW w:w="844" w:type="dxa"/>
          </w:tcPr>
          <w:p w14:paraId="000004C2" w14:textId="77777777" w:rsidR="001C40B0" w:rsidRDefault="00291712">
            <w:pPr>
              <w:pBdr>
                <w:top w:val="nil"/>
                <w:left w:val="nil"/>
                <w:bottom w:val="nil"/>
                <w:right w:val="nil"/>
                <w:between w:val="nil"/>
              </w:pBdr>
              <w:ind w:left="113"/>
              <w:rPr>
                <w:rFonts w:ascii="Arial" w:eastAsia="Arial" w:hAnsi="Arial" w:cs="Arial"/>
                <w:color w:val="000000"/>
              </w:rPr>
            </w:pPr>
            <w:r>
              <w:rPr>
                <w:rFonts w:ascii="Arial" w:eastAsia="Arial" w:hAnsi="Arial" w:cs="Arial"/>
                <w:color w:val="000000"/>
              </w:rPr>
              <w:t>3,2</w:t>
            </w:r>
          </w:p>
        </w:tc>
        <w:tc>
          <w:tcPr>
            <w:tcW w:w="839" w:type="dxa"/>
          </w:tcPr>
          <w:p w14:paraId="000004C3" w14:textId="77777777" w:rsidR="001C40B0" w:rsidRDefault="00291712">
            <w:pPr>
              <w:pBdr>
                <w:top w:val="nil"/>
                <w:left w:val="nil"/>
                <w:bottom w:val="nil"/>
                <w:right w:val="nil"/>
                <w:between w:val="nil"/>
              </w:pBdr>
              <w:ind w:left="109"/>
              <w:rPr>
                <w:rFonts w:ascii="Arial" w:eastAsia="Arial" w:hAnsi="Arial" w:cs="Arial"/>
                <w:color w:val="000000"/>
              </w:rPr>
            </w:pPr>
            <w:r>
              <w:rPr>
                <w:rFonts w:ascii="Arial" w:eastAsia="Arial" w:hAnsi="Arial" w:cs="Arial"/>
                <w:color w:val="000000"/>
              </w:rPr>
              <w:t>2,4</w:t>
            </w:r>
          </w:p>
        </w:tc>
        <w:tc>
          <w:tcPr>
            <w:tcW w:w="844" w:type="dxa"/>
          </w:tcPr>
          <w:p w14:paraId="000004C4"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2,6</w:t>
            </w:r>
          </w:p>
        </w:tc>
        <w:tc>
          <w:tcPr>
            <w:tcW w:w="839" w:type="dxa"/>
          </w:tcPr>
          <w:p w14:paraId="000004C5" w14:textId="77777777" w:rsidR="001C40B0" w:rsidRDefault="001C40B0">
            <w:pPr>
              <w:pBdr>
                <w:top w:val="nil"/>
                <w:left w:val="nil"/>
                <w:bottom w:val="nil"/>
                <w:right w:val="nil"/>
                <w:between w:val="nil"/>
              </w:pBdr>
              <w:rPr>
                <w:rFonts w:ascii="Arial" w:eastAsia="Arial" w:hAnsi="Arial" w:cs="Arial"/>
                <w:color w:val="000000"/>
              </w:rPr>
            </w:pPr>
          </w:p>
        </w:tc>
      </w:tr>
      <w:tr w:rsidR="001C40B0" w14:paraId="615EB7FD" w14:textId="77777777">
        <w:trPr>
          <w:trHeight w:val="292"/>
        </w:trPr>
        <w:tc>
          <w:tcPr>
            <w:tcW w:w="1476" w:type="dxa"/>
          </w:tcPr>
          <w:p w14:paraId="000004C6" w14:textId="77777777" w:rsidR="001C40B0" w:rsidRDefault="00291712">
            <w:pPr>
              <w:pBdr>
                <w:top w:val="nil"/>
                <w:left w:val="nil"/>
                <w:bottom w:val="nil"/>
                <w:right w:val="nil"/>
                <w:between w:val="nil"/>
              </w:pBdr>
              <w:ind w:left="102"/>
              <w:rPr>
                <w:rFonts w:ascii="Arial" w:eastAsia="Arial" w:hAnsi="Arial" w:cs="Arial"/>
                <w:b/>
                <w:bCs/>
                <w:color w:val="000000"/>
              </w:rPr>
            </w:pPr>
            <w:r>
              <w:rPr>
                <w:rFonts w:ascii="Arial" w:eastAsia="Arial" w:hAnsi="Arial" w:cs="Arial"/>
                <w:b/>
                <w:bCs/>
                <w:color w:val="000000"/>
              </w:rPr>
              <w:lastRenderedPageBreak/>
              <w:t>Venezuela</w:t>
            </w:r>
          </w:p>
        </w:tc>
        <w:tc>
          <w:tcPr>
            <w:tcW w:w="825" w:type="dxa"/>
          </w:tcPr>
          <w:p w14:paraId="000004C7" w14:textId="77777777" w:rsidR="001C40B0" w:rsidRDefault="00291712">
            <w:pPr>
              <w:pBdr>
                <w:top w:val="nil"/>
                <w:left w:val="nil"/>
                <w:bottom w:val="nil"/>
                <w:right w:val="nil"/>
                <w:between w:val="nil"/>
              </w:pBdr>
              <w:ind w:left="103"/>
              <w:rPr>
                <w:rFonts w:ascii="Arial" w:eastAsia="Arial" w:hAnsi="Arial" w:cs="Arial"/>
                <w:color w:val="000000"/>
              </w:rPr>
            </w:pPr>
            <w:r>
              <w:rPr>
                <w:rFonts w:ascii="Arial" w:eastAsia="Arial" w:hAnsi="Arial" w:cs="Arial"/>
                <w:color w:val="000000"/>
              </w:rPr>
              <w:t>3,3</w:t>
            </w:r>
          </w:p>
        </w:tc>
        <w:tc>
          <w:tcPr>
            <w:tcW w:w="839" w:type="dxa"/>
          </w:tcPr>
          <w:p w14:paraId="000004C8" w14:textId="77777777" w:rsidR="001C40B0" w:rsidRDefault="00291712">
            <w:pPr>
              <w:pBdr>
                <w:top w:val="nil"/>
                <w:left w:val="nil"/>
                <w:bottom w:val="nil"/>
                <w:right w:val="nil"/>
                <w:between w:val="nil"/>
              </w:pBdr>
              <w:ind w:left="103"/>
              <w:rPr>
                <w:rFonts w:ascii="Arial" w:eastAsia="Arial" w:hAnsi="Arial" w:cs="Arial"/>
                <w:color w:val="000000"/>
              </w:rPr>
            </w:pPr>
            <w:r>
              <w:rPr>
                <w:rFonts w:ascii="Arial" w:eastAsia="Arial" w:hAnsi="Arial" w:cs="Arial"/>
                <w:color w:val="000000"/>
              </w:rPr>
              <w:t>3,2</w:t>
            </w:r>
          </w:p>
        </w:tc>
        <w:tc>
          <w:tcPr>
            <w:tcW w:w="839" w:type="dxa"/>
          </w:tcPr>
          <w:p w14:paraId="000004C9" w14:textId="77777777" w:rsidR="001C40B0" w:rsidRDefault="00291712">
            <w:pPr>
              <w:pBdr>
                <w:top w:val="nil"/>
                <w:left w:val="nil"/>
                <w:bottom w:val="nil"/>
                <w:right w:val="nil"/>
                <w:between w:val="nil"/>
              </w:pBdr>
              <w:ind w:right="312"/>
              <w:jc w:val="center"/>
              <w:rPr>
                <w:rFonts w:ascii="Arial" w:eastAsia="Arial" w:hAnsi="Arial" w:cs="Arial"/>
                <w:color w:val="000000"/>
              </w:rPr>
            </w:pPr>
            <w:r>
              <w:rPr>
                <w:rFonts w:ascii="Arial" w:eastAsia="Arial" w:hAnsi="Arial" w:cs="Arial"/>
                <w:color w:val="000000"/>
              </w:rPr>
              <w:t>3,4</w:t>
            </w:r>
          </w:p>
        </w:tc>
        <w:tc>
          <w:tcPr>
            <w:tcW w:w="829" w:type="dxa"/>
          </w:tcPr>
          <w:p w14:paraId="000004CA"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3,8</w:t>
            </w:r>
          </w:p>
        </w:tc>
        <w:tc>
          <w:tcPr>
            <w:tcW w:w="839" w:type="dxa"/>
          </w:tcPr>
          <w:p w14:paraId="000004CB" w14:textId="77777777" w:rsidR="001C40B0" w:rsidRDefault="00291712">
            <w:pPr>
              <w:pBdr>
                <w:top w:val="nil"/>
                <w:left w:val="nil"/>
                <w:bottom w:val="nil"/>
                <w:right w:val="nil"/>
                <w:between w:val="nil"/>
              </w:pBdr>
              <w:ind w:left="107"/>
              <w:rPr>
                <w:rFonts w:ascii="Arial" w:eastAsia="Arial" w:hAnsi="Arial" w:cs="Arial"/>
                <w:color w:val="000000"/>
              </w:rPr>
            </w:pPr>
            <w:r>
              <w:rPr>
                <w:rFonts w:ascii="Arial" w:eastAsia="Arial" w:hAnsi="Arial" w:cs="Arial"/>
                <w:color w:val="000000"/>
              </w:rPr>
              <w:t>4,7</w:t>
            </w:r>
          </w:p>
        </w:tc>
        <w:tc>
          <w:tcPr>
            <w:tcW w:w="844" w:type="dxa"/>
          </w:tcPr>
          <w:p w14:paraId="000004CC" w14:textId="77777777" w:rsidR="001C40B0" w:rsidRDefault="00291712">
            <w:pPr>
              <w:pBdr>
                <w:top w:val="nil"/>
                <w:left w:val="nil"/>
                <w:bottom w:val="nil"/>
                <w:right w:val="nil"/>
                <w:between w:val="nil"/>
              </w:pBdr>
              <w:ind w:left="113"/>
              <w:rPr>
                <w:rFonts w:ascii="Arial" w:eastAsia="Arial" w:hAnsi="Arial" w:cs="Arial"/>
                <w:color w:val="000000"/>
              </w:rPr>
            </w:pPr>
            <w:r>
              <w:rPr>
                <w:rFonts w:ascii="Arial" w:eastAsia="Arial" w:hAnsi="Arial" w:cs="Arial"/>
                <w:color w:val="000000"/>
              </w:rPr>
              <w:t>3,7</w:t>
            </w:r>
          </w:p>
        </w:tc>
        <w:tc>
          <w:tcPr>
            <w:tcW w:w="839" w:type="dxa"/>
          </w:tcPr>
          <w:p w14:paraId="000004CD" w14:textId="77777777" w:rsidR="001C40B0" w:rsidRDefault="00291712">
            <w:pPr>
              <w:pBdr>
                <w:top w:val="nil"/>
                <w:left w:val="nil"/>
                <w:bottom w:val="nil"/>
                <w:right w:val="nil"/>
                <w:between w:val="nil"/>
              </w:pBdr>
              <w:ind w:left="109"/>
              <w:rPr>
                <w:rFonts w:ascii="Arial" w:eastAsia="Arial" w:hAnsi="Arial" w:cs="Arial"/>
                <w:color w:val="000000"/>
              </w:rPr>
            </w:pPr>
            <w:r>
              <w:rPr>
                <w:rFonts w:ascii="Arial" w:eastAsia="Arial" w:hAnsi="Arial" w:cs="Arial"/>
                <w:color w:val="000000"/>
              </w:rPr>
              <w:t>1,7</w:t>
            </w:r>
          </w:p>
        </w:tc>
        <w:tc>
          <w:tcPr>
            <w:tcW w:w="844" w:type="dxa"/>
          </w:tcPr>
          <w:p w14:paraId="000004CE"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1,7</w:t>
            </w:r>
          </w:p>
        </w:tc>
        <w:tc>
          <w:tcPr>
            <w:tcW w:w="839" w:type="dxa"/>
          </w:tcPr>
          <w:p w14:paraId="000004CF" w14:textId="77777777" w:rsidR="001C40B0" w:rsidRDefault="001C40B0">
            <w:pPr>
              <w:pBdr>
                <w:top w:val="nil"/>
                <w:left w:val="nil"/>
                <w:bottom w:val="nil"/>
                <w:right w:val="nil"/>
                <w:between w:val="nil"/>
              </w:pBdr>
              <w:rPr>
                <w:rFonts w:ascii="Arial" w:eastAsia="Arial" w:hAnsi="Arial" w:cs="Arial"/>
                <w:color w:val="000000"/>
              </w:rPr>
            </w:pPr>
          </w:p>
        </w:tc>
      </w:tr>
      <w:tr w:rsidR="001C40B0" w14:paraId="09C5420D" w14:textId="77777777">
        <w:trPr>
          <w:trHeight w:val="287"/>
        </w:trPr>
        <w:tc>
          <w:tcPr>
            <w:tcW w:w="1476" w:type="dxa"/>
          </w:tcPr>
          <w:p w14:paraId="000004D0" w14:textId="77777777" w:rsidR="001C40B0" w:rsidRDefault="00291712">
            <w:pPr>
              <w:pBdr>
                <w:top w:val="nil"/>
                <w:left w:val="nil"/>
                <w:bottom w:val="nil"/>
                <w:right w:val="nil"/>
                <w:between w:val="nil"/>
              </w:pBdr>
              <w:ind w:left="102"/>
              <w:rPr>
                <w:rFonts w:ascii="Arial" w:eastAsia="Arial" w:hAnsi="Arial" w:cs="Arial"/>
                <w:b/>
                <w:bCs/>
                <w:color w:val="000000"/>
              </w:rPr>
            </w:pPr>
            <w:r>
              <w:rPr>
                <w:rFonts w:ascii="Arial" w:eastAsia="Arial" w:hAnsi="Arial" w:cs="Arial"/>
                <w:b/>
                <w:bCs/>
                <w:color w:val="000000"/>
              </w:rPr>
              <w:t>Bolivia</w:t>
            </w:r>
          </w:p>
        </w:tc>
        <w:tc>
          <w:tcPr>
            <w:tcW w:w="825" w:type="dxa"/>
          </w:tcPr>
          <w:p w14:paraId="000004D1" w14:textId="77777777" w:rsidR="001C40B0" w:rsidRDefault="00291712">
            <w:pPr>
              <w:pBdr>
                <w:top w:val="nil"/>
                <w:left w:val="nil"/>
                <w:bottom w:val="nil"/>
                <w:right w:val="nil"/>
                <w:between w:val="nil"/>
              </w:pBdr>
              <w:ind w:left="103"/>
              <w:rPr>
                <w:rFonts w:ascii="Arial" w:eastAsia="Arial" w:hAnsi="Arial" w:cs="Arial"/>
                <w:color w:val="000000"/>
              </w:rPr>
            </w:pPr>
            <w:r>
              <w:rPr>
                <w:rFonts w:ascii="Arial" w:eastAsia="Arial" w:hAnsi="Arial" w:cs="Arial"/>
                <w:color w:val="000000"/>
              </w:rPr>
              <w:t>2,2</w:t>
            </w:r>
          </w:p>
        </w:tc>
        <w:tc>
          <w:tcPr>
            <w:tcW w:w="839" w:type="dxa"/>
          </w:tcPr>
          <w:p w14:paraId="000004D2" w14:textId="77777777" w:rsidR="001C40B0" w:rsidRDefault="001C40B0">
            <w:pPr>
              <w:pBdr>
                <w:top w:val="nil"/>
                <w:left w:val="nil"/>
                <w:bottom w:val="nil"/>
                <w:right w:val="nil"/>
                <w:between w:val="nil"/>
              </w:pBdr>
              <w:rPr>
                <w:rFonts w:ascii="Arial" w:eastAsia="Arial" w:hAnsi="Arial" w:cs="Arial"/>
                <w:color w:val="000000"/>
              </w:rPr>
            </w:pPr>
          </w:p>
        </w:tc>
        <w:tc>
          <w:tcPr>
            <w:tcW w:w="839" w:type="dxa"/>
          </w:tcPr>
          <w:p w14:paraId="000004D3" w14:textId="77777777" w:rsidR="001C40B0" w:rsidRDefault="001C40B0">
            <w:pPr>
              <w:pBdr>
                <w:top w:val="nil"/>
                <w:left w:val="nil"/>
                <w:bottom w:val="nil"/>
                <w:right w:val="nil"/>
                <w:between w:val="nil"/>
              </w:pBdr>
              <w:rPr>
                <w:rFonts w:ascii="Arial" w:eastAsia="Arial" w:hAnsi="Arial" w:cs="Arial"/>
                <w:color w:val="000000"/>
              </w:rPr>
            </w:pPr>
          </w:p>
        </w:tc>
        <w:tc>
          <w:tcPr>
            <w:tcW w:w="829" w:type="dxa"/>
          </w:tcPr>
          <w:p w14:paraId="000004D4" w14:textId="77777777" w:rsidR="001C40B0" w:rsidRDefault="00291712">
            <w:pPr>
              <w:pBdr>
                <w:top w:val="nil"/>
                <w:left w:val="nil"/>
                <w:bottom w:val="nil"/>
                <w:right w:val="nil"/>
                <w:between w:val="nil"/>
              </w:pBdr>
              <w:ind w:left="110"/>
              <w:rPr>
                <w:rFonts w:ascii="Arial" w:eastAsia="Arial" w:hAnsi="Arial" w:cs="Arial"/>
                <w:color w:val="000000"/>
              </w:rPr>
            </w:pPr>
            <w:r>
              <w:rPr>
                <w:rFonts w:ascii="Arial" w:eastAsia="Arial" w:hAnsi="Arial" w:cs="Arial"/>
                <w:color w:val="000000"/>
              </w:rPr>
              <w:t>1</w:t>
            </w:r>
          </w:p>
        </w:tc>
        <w:tc>
          <w:tcPr>
            <w:tcW w:w="839" w:type="dxa"/>
          </w:tcPr>
          <w:p w14:paraId="000004D5" w14:textId="77777777" w:rsidR="001C40B0" w:rsidRDefault="001C40B0">
            <w:pPr>
              <w:pBdr>
                <w:top w:val="nil"/>
                <w:left w:val="nil"/>
                <w:bottom w:val="nil"/>
                <w:right w:val="nil"/>
                <w:between w:val="nil"/>
              </w:pBdr>
              <w:rPr>
                <w:rFonts w:ascii="Arial" w:eastAsia="Arial" w:hAnsi="Arial" w:cs="Arial"/>
                <w:color w:val="000000"/>
              </w:rPr>
            </w:pPr>
          </w:p>
        </w:tc>
        <w:tc>
          <w:tcPr>
            <w:tcW w:w="844" w:type="dxa"/>
          </w:tcPr>
          <w:p w14:paraId="000004D6" w14:textId="77777777" w:rsidR="001C40B0" w:rsidRDefault="001C40B0">
            <w:pPr>
              <w:pBdr>
                <w:top w:val="nil"/>
                <w:left w:val="nil"/>
                <w:bottom w:val="nil"/>
                <w:right w:val="nil"/>
                <w:between w:val="nil"/>
              </w:pBdr>
              <w:rPr>
                <w:rFonts w:ascii="Arial" w:eastAsia="Arial" w:hAnsi="Arial" w:cs="Arial"/>
                <w:color w:val="000000"/>
              </w:rPr>
            </w:pPr>
          </w:p>
        </w:tc>
        <w:tc>
          <w:tcPr>
            <w:tcW w:w="839" w:type="dxa"/>
          </w:tcPr>
          <w:p w14:paraId="000004D7" w14:textId="77777777" w:rsidR="001C40B0" w:rsidRDefault="001C40B0">
            <w:pPr>
              <w:pBdr>
                <w:top w:val="nil"/>
                <w:left w:val="nil"/>
                <w:bottom w:val="nil"/>
                <w:right w:val="nil"/>
                <w:between w:val="nil"/>
              </w:pBdr>
              <w:rPr>
                <w:rFonts w:ascii="Arial" w:eastAsia="Arial" w:hAnsi="Arial" w:cs="Arial"/>
                <w:color w:val="000000"/>
              </w:rPr>
            </w:pPr>
          </w:p>
        </w:tc>
        <w:tc>
          <w:tcPr>
            <w:tcW w:w="844" w:type="dxa"/>
          </w:tcPr>
          <w:p w14:paraId="000004D8" w14:textId="77777777" w:rsidR="001C40B0" w:rsidRDefault="001C40B0">
            <w:pPr>
              <w:pBdr>
                <w:top w:val="nil"/>
                <w:left w:val="nil"/>
                <w:bottom w:val="nil"/>
                <w:right w:val="nil"/>
                <w:between w:val="nil"/>
              </w:pBdr>
              <w:rPr>
                <w:rFonts w:ascii="Arial" w:eastAsia="Arial" w:hAnsi="Arial" w:cs="Arial"/>
                <w:color w:val="000000"/>
              </w:rPr>
            </w:pPr>
          </w:p>
        </w:tc>
        <w:tc>
          <w:tcPr>
            <w:tcW w:w="839" w:type="dxa"/>
          </w:tcPr>
          <w:p w14:paraId="000004D9" w14:textId="77777777" w:rsidR="001C40B0" w:rsidRDefault="001C40B0">
            <w:pPr>
              <w:pBdr>
                <w:top w:val="nil"/>
                <w:left w:val="nil"/>
                <w:bottom w:val="nil"/>
                <w:right w:val="nil"/>
                <w:between w:val="nil"/>
              </w:pBdr>
              <w:rPr>
                <w:rFonts w:ascii="Arial" w:eastAsia="Arial" w:hAnsi="Arial" w:cs="Arial"/>
                <w:color w:val="000000"/>
              </w:rPr>
            </w:pPr>
          </w:p>
        </w:tc>
      </w:tr>
    </w:tbl>
    <w:p w14:paraId="000004DA" w14:textId="77777777" w:rsidR="001C40B0" w:rsidRDefault="00291712">
      <w:pPr>
        <w:jc w:val="both"/>
        <w:rPr>
          <w:rFonts w:ascii="Arial" w:eastAsia="Arial" w:hAnsi="Arial" w:cs="Arial"/>
          <w:sz w:val="22"/>
          <w:szCs w:val="22"/>
        </w:rPr>
      </w:pPr>
      <w:r>
        <w:rPr>
          <w:rFonts w:ascii="Arial" w:eastAsia="Arial" w:hAnsi="Arial" w:cs="Arial"/>
          <w:sz w:val="22"/>
          <w:szCs w:val="22"/>
        </w:rPr>
        <w:t>Fuente: Respuesta derecho de petición INS del 12 de diciembre de 2017, relacionando información del Newsletter 2009-2017.</w:t>
      </w:r>
    </w:p>
    <w:p w14:paraId="000004DB" w14:textId="77777777" w:rsidR="001C40B0" w:rsidRDefault="001C40B0">
      <w:pPr>
        <w:jc w:val="both"/>
        <w:rPr>
          <w:rFonts w:ascii="Arial" w:eastAsia="Arial" w:hAnsi="Arial" w:cs="Arial"/>
          <w:sz w:val="22"/>
          <w:szCs w:val="22"/>
        </w:rPr>
      </w:pPr>
    </w:p>
    <w:p w14:paraId="000004DC" w14:textId="77777777" w:rsidR="001C40B0" w:rsidRDefault="00291712">
      <w:pPr>
        <w:jc w:val="both"/>
        <w:rPr>
          <w:rFonts w:ascii="Arial" w:eastAsia="Arial" w:hAnsi="Arial" w:cs="Arial"/>
          <w:sz w:val="22"/>
          <w:szCs w:val="22"/>
        </w:rPr>
      </w:pPr>
      <w:r>
        <w:rPr>
          <w:rFonts w:ascii="Arial" w:eastAsia="Arial" w:hAnsi="Arial" w:cs="Arial"/>
          <w:sz w:val="22"/>
          <w:szCs w:val="22"/>
        </w:rPr>
        <w:t>En la actualidad, más de 3.9535</w:t>
      </w:r>
      <w:r>
        <w:rPr>
          <w:rFonts w:ascii="Arial" w:eastAsia="Arial" w:hAnsi="Arial" w:cs="Arial"/>
          <w:sz w:val="22"/>
          <w:szCs w:val="22"/>
          <w:vertAlign w:val="superscript"/>
        </w:rPr>
        <w:footnoteReference w:id="4"/>
      </w:r>
      <w:r>
        <w:rPr>
          <w:rFonts w:ascii="Arial" w:eastAsia="Arial" w:hAnsi="Arial" w:cs="Arial"/>
          <w:sz w:val="22"/>
          <w:szCs w:val="22"/>
        </w:rPr>
        <w:t xml:space="preserve"> personas en Colombia esperan que se les informe que existe un órgano o tejido disponible sin en el cual no pueden vivir dignamente, la cifra más alta desde la expedición de la ley en 2016.</w:t>
      </w:r>
    </w:p>
    <w:p w14:paraId="000004DD" w14:textId="77777777" w:rsidR="001C40B0" w:rsidRDefault="001C40B0">
      <w:pPr>
        <w:jc w:val="both"/>
        <w:rPr>
          <w:rFonts w:ascii="Arial" w:eastAsia="Arial" w:hAnsi="Arial" w:cs="Arial"/>
          <w:sz w:val="22"/>
          <w:szCs w:val="22"/>
        </w:rPr>
      </w:pPr>
    </w:p>
    <w:p w14:paraId="000004DE" w14:textId="77777777" w:rsidR="001C40B0" w:rsidRDefault="00291712">
      <w:pPr>
        <w:jc w:val="both"/>
        <w:rPr>
          <w:rFonts w:ascii="Arial" w:eastAsia="Arial" w:hAnsi="Arial" w:cs="Arial"/>
          <w:sz w:val="22"/>
          <w:szCs w:val="22"/>
        </w:rPr>
      </w:pPr>
      <w:r>
        <w:rPr>
          <w:rFonts w:ascii="Arial" w:eastAsia="Arial" w:hAnsi="Arial" w:cs="Arial"/>
          <w:sz w:val="22"/>
          <w:szCs w:val="22"/>
        </w:rPr>
        <w:t>La necesidad apremiante de órganos también se evidencia en el número creciente de pacientes en diálisis pues, según los datos reportados por la Cuenta de Alto Costo, cada año el número de personas que tienen como terapia de reemplazo renal la diálisis peritoneal o la hemodiálisis aumenta constante y notablemente, pasando de 26.525 casos en 2016 a 34.896 casos en 2021. De esta manera, al ser el riñón el tipo de órgano más demandado en el país, en los dos últimos años el 64,6% (606 en 2021) y el 69,07% (822 en 2022) de los trasplantes realizados fueron renales, y la lista de espera para este órgano aumentó un 17% en 2022.</w:t>
      </w:r>
      <w:r>
        <w:rPr>
          <w:rFonts w:ascii="Arial" w:eastAsia="Arial" w:hAnsi="Arial" w:cs="Arial"/>
          <w:sz w:val="22"/>
          <w:szCs w:val="22"/>
          <w:vertAlign w:val="superscript"/>
        </w:rPr>
        <w:footnoteReference w:id="5"/>
      </w:r>
    </w:p>
    <w:p w14:paraId="000004DF" w14:textId="77777777" w:rsidR="001C40B0" w:rsidRDefault="001C40B0">
      <w:pPr>
        <w:jc w:val="both"/>
        <w:rPr>
          <w:rFonts w:ascii="Arial" w:eastAsia="Arial" w:hAnsi="Arial" w:cs="Arial"/>
          <w:sz w:val="22"/>
          <w:szCs w:val="22"/>
        </w:rPr>
      </w:pPr>
    </w:p>
    <w:p w14:paraId="000004E0" w14:textId="77777777" w:rsidR="001C40B0" w:rsidRDefault="00291712">
      <w:pPr>
        <w:jc w:val="both"/>
        <w:rPr>
          <w:rFonts w:ascii="Arial" w:eastAsia="Arial" w:hAnsi="Arial" w:cs="Arial"/>
          <w:sz w:val="22"/>
          <w:szCs w:val="22"/>
        </w:rPr>
      </w:pPr>
      <w:r>
        <w:rPr>
          <w:rFonts w:ascii="Arial" w:eastAsia="Arial" w:hAnsi="Arial" w:cs="Arial"/>
          <w:sz w:val="22"/>
          <w:szCs w:val="22"/>
        </w:rPr>
        <w:t>Adicionalmente, de acuerdo con la información compartida por el INS mediante de Derecho de Petición, algunas de las principales barreras que existen frente a la donación en el país identificadas por esta institución son: i) la necesidad de contar con reglamentación que responda a los avances biotecnológicos y científicos en la materia, ii) la falta de una logística organizada y coordinada para efectos del proceso de donación, extracción y trasplante especialmente en municipios o ciudades intermedias, iii) factores culturales que inciden en el aumento o disminución de la donación tales como mitos, creencias religiosas e información errónea que genera desconfianza en el proceso de donación y asignación de órganos, y, iv) la definición de criterios técnico científicos para la asignación de los órganos a los pacientes en lista de espera, aspecto sobre el cual el INS ha trabajado en consenso con expertos para estandarizar los criterios de asignación, de conformidad con la competencia que se le otorgó en la Ley 1805 de 2016.</w:t>
      </w:r>
    </w:p>
    <w:p w14:paraId="000004E1" w14:textId="77777777" w:rsidR="001C40B0" w:rsidRDefault="001C40B0">
      <w:pPr>
        <w:jc w:val="both"/>
        <w:rPr>
          <w:rFonts w:ascii="Arial" w:eastAsia="Arial" w:hAnsi="Arial" w:cs="Arial"/>
          <w:sz w:val="22"/>
          <w:szCs w:val="22"/>
        </w:rPr>
      </w:pPr>
    </w:p>
    <w:p w14:paraId="000004E2"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De acuerdo con lo señalado por el INS en respuesta a Derecho de Petición, existe una limitante también en el seguimiento postrasplante, dada la movilidad de los pacientes trasplantados entre IPS. Y refiere que el INS realizó el primer estudio en el país que pretendió describir las características sociodemográficas de los pacientes con trasplante renal y los resultados, en términos de supervivencia de aquellos que fueron sometidos al procedimiento durante los años 2008 a 2012. De los 3.980 pacientes incluidos en el estudio, 338 fallecieron según el Registro Único de Afiliados. Con una mediana de seguimiento de 49 meses, la supervivencia global fue de 6,35 años (IC95% 6,30-6,40), la supervivencia al año del trasplante fue de 97,2 %, a los tres años, de 93,2 %, y a los cinco años, de 90,8 %. Al comparar la supervivencia no se encontraron diferencias estadísticamente significativas en las variables de sexo, edad (en las categorías de pacientes pediátricos de 15 años o menos y de mayores de 15 años) o régimen de afiliación. La supervivencia fue mayor en los pacientes que permanecieron menos de seis meses en lista de espera que en quienes superaban este tiempo, debido quizás a las complicaciones que pudieron haber surgido en el transcurso de la </w:t>
      </w:r>
      <w:r>
        <w:rPr>
          <w:rFonts w:ascii="Arial" w:eastAsia="Arial" w:hAnsi="Arial" w:cs="Arial"/>
          <w:sz w:val="22"/>
          <w:szCs w:val="22"/>
        </w:rPr>
        <w:lastRenderedPageBreak/>
        <w:t>espera, así como a la obligada prolongación de la diálisis y la aparición de enfermedades concomitantes, entre otras. Esta cifra refuerza la necesidad de contar con una logística organizada y coordinada.</w:t>
      </w:r>
    </w:p>
    <w:p w14:paraId="000004E3" w14:textId="77777777" w:rsidR="001C40B0" w:rsidRDefault="001C40B0">
      <w:pPr>
        <w:jc w:val="both"/>
        <w:rPr>
          <w:rFonts w:ascii="Arial" w:eastAsia="Arial" w:hAnsi="Arial" w:cs="Arial"/>
          <w:sz w:val="22"/>
          <w:szCs w:val="22"/>
        </w:rPr>
      </w:pPr>
    </w:p>
    <w:p w14:paraId="000004E4" w14:textId="77777777" w:rsidR="001C40B0" w:rsidRDefault="00291712">
      <w:pPr>
        <w:jc w:val="both"/>
        <w:rPr>
          <w:rFonts w:ascii="Arial" w:eastAsia="Arial" w:hAnsi="Arial" w:cs="Arial"/>
          <w:i/>
          <w:iCs/>
          <w:sz w:val="22"/>
          <w:szCs w:val="22"/>
        </w:rPr>
      </w:pPr>
      <w:r>
        <w:rPr>
          <w:rFonts w:ascii="Arial" w:eastAsia="Arial" w:hAnsi="Arial" w:cs="Arial"/>
          <w:sz w:val="22"/>
          <w:szCs w:val="22"/>
        </w:rPr>
        <w:t>Para ampliar lo anterior, al revisar el marco legal actual de la donación en Colombia, se observa que algunas de estas barreras podrían ser superadas mediante un trabajo coordinado y armónico entre las instituciones a las que se les ha encomendado la regulación de la materia. Sin embargo, el aspecto relacionado con la disminución en las tasas de donación plantea una consideración adicional respecto de los criterios que se aceptan para realizar el trasplante de órganos cuando una persona fallece. Al contemplar el Informe Anual de la Red de Donación y Trasplantes de Colombia, se ratifica que existen dudas frente a la posibilidad de realizar trasplantes por parada circulatoria, lo cual, se evidencia en la falta de regulación y protocolos que puedan desarrollar la materia. Por ejemplo, en el Informe de 2021, al igual que en de años anteriores, se observa que de las alertas de posibles donantes fallecidos sólo se tuvieron en cuenta aquellas provenientes de muerte encefálica. Indica el informe que “</w:t>
      </w:r>
      <w:r>
        <w:rPr>
          <w:rFonts w:ascii="Arial" w:eastAsia="Arial" w:hAnsi="Arial" w:cs="Arial"/>
          <w:i/>
          <w:iCs/>
          <w:sz w:val="22"/>
          <w:szCs w:val="22"/>
        </w:rPr>
        <w:t>Durante el año 2019 se reportaron 3.484 alertas de posibles donantes, con un aumento del 2 % con respecto al año 2018, en el cual se reportaron 3.400 alertas. (...) Del total de alertas reportadas, el 27,6% (963) llegaron a muerte encefálica (ME) y el 72,4% (2521) restante de los posibles donantes salió del protocolo por contraindicación médica, parada cardiorrespiratoria, cambio en su estado neurológico o por otras causas”.</w:t>
      </w:r>
    </w:p>
    <w:p w14:paraId="000004E5" w14:textId="77777777" w:rsidR="001C40B0" w:rsidRDefault="001C40B0">
      <w:pPr>
        <w:jc w:val="both"/>
        <w:rPr>
          <w:rFonts w:ascii="Arial" w:eastAsia="Arial" w:hAnsi="Arial" w:cs="Arial"/>
          <w:sz w:val="22"/>
          <w:szCs w:val="22"/>
        </w:rPr>
      </w:pPr>
    </w:p>
    <w:p w14:paraId="000004E6" w14:textId="77777777" w:rsidR="001C40B0" w:rsidRDefault="00291712">
      <w:pPr>
        <w:jc w:val="both"/>
        <w:rPr>
          <w:rFonts w:ascii="Arial" w:eastAsia="Arial" w:hAnsi="Arial" w:cs="Arial"/>
          <w:sz w:val="22"/>
          <w:szCs w:val="22"/>
        </w:rPr>
      </w:pPr>
      <w:r>
        <w:rPr>
          <w:rFonts w:ascii="Arial" w:eastAsia="Arial" w:hAnsi="Arial" w:cs="Arial"/>
          <w:sz w:val="22"/>
          <w:szCs w:val="22"/>
        </w:rPr>
        <w:t>El Consejo Directivo de la Organización Panamericana de la Salud en su Decisión CD57/11 del 19 de agosto de 2019 señaló que los aspectos éticos y legales que gobiernan la donación de órganos de paciente cadavérico son de importancia crítica y deben incluir los criterios diagnósticos de muerte encefálica y de parada cardiaca, así como el mecanismo para otorgar el consentimiento para la donación.</w:t>
      </w:r>
    </w:p>
    <w:p w14:paraId="000004E7" w14:textId="77777777" w:rsidR="001C40B0" w:rsidRDefault="001C40B0">
      <w:pPr>
        <w:jc w:val="both"/>
        <w:rPr>
          <w:rFonts w:ascii="Arial" w:eastAsia="Arial" w:hAnsi="Arial" w:cs="Arial"/>
          <w:sz w:val="22"/>
          <w:szCs w:val="22"/>
        </w:rPr>
      </w:pPr>
    </w:p>
    <w:p w14:paraId="000004E8"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La Asamblea Mundial de la Salud mediante decisión WHA63.22 del 21 de mayo de 2010 adoptó los Principios Rectores de la OMS sobre Trasplante de Células, Tejidos y Órganos Humanos e instó a los Estados Miembros, dentro de los que se encuentra Colombia, a </w:t>
      </w:r>
      <w:r>
        <w:rPr>
          <w:rFonts w:ascii="Arial" w:eastAsia="Arial" w:hAnsi="Arial" w:cs="Arial"/>
          <w:i/>
          <w:iCs/>
          <w:sz w:val="22"/>
          <w:szCs w:val="22"/>
        </w:rPr>
        <w:t xml:space="preserve">“reforzar las autoridades y/o las capacidades nacionales y multinacionales, y a prestarles apoyo para que aseguren la supervisión, organización y coordinación de las actividades de donación y trasplante, prestando atención especial a que </w:t>
      </w:r>
      <w:r>
        <w:rPr>
          <w:rFonts w:ascii="Arial" w:eastAsia="Arial" w:hAnsi="Arial" w:cs="Arial"/>
          <w:b/>
          <w:bCs/>
          <w:i/>
          <w:iCs/>
          <w:sz w:val="22"/>
          <w:szCs w:val="22"/>
        </w:rPr>
        <w:t xml:space="preserve">se recurra lo máximo posible a las donaciones de personas fallecidas </w:t>
      </w:r>
      <w:r>
        <w:rPr>
          <w:rFonts w:ascii="Arial" w:eastAsia="Arial" w:hAnsi="Arial" w:cs="Arial"/>
          <w:i/>
          <w:iCs/>
          <w:sz w:val="22"/>
          <w:szCs w:val="22"/>
        </w:rPr>
        <w:t>y se proteja la salud y el bienestar de los donantes vivos, con servicios de atención de salud apropiados y un seguimiento a largo plazo”</w:t>
      </w:r>
      <w:r>
        <w:rPr>
          <w:rFonts w:ascii="Arial" w:eastAsia="Arial" w:hAnsi="Arial" w:cs="Arial"/>
          <w:sz w:val="22"/>
          <w:szCs w:val="22"/>
        </w:rPr>
        <w:t xml:space="preserve"> (negrillas por fuera del texto original).</w:t>
      </w:r>
    </w:p>
    <w:p w14:paraId="000004E9" w14:textId="77777777" w:rsidR="001C40B0" w:rsidRDefault="001C40B0">
      <w:pPr>
        <w:jc w:val="both"/>
        <w:rPr>
          <w:rFonts w:ascii="Arial" w:eastAsia="Arial" w:hAnsi="Arial" w:cs="Arial"/>
          <w:sz w:val="22"/>
          <w:szCs w:val="22"/>
        </w:rPr>
      </w:pPr>
    </w:p>
    <w:p w14:paraId="000004EA"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En el caso de Colombia, los criterios de diagnóstico de la muerte encefálica se encuentran ampliamente regulados como se establece en la Ley 9ª de 1979 (artículo 542), el Decreto 2493 de 2004 (Capítulo III, artículos 12 a 14 - Diagnóstico de muerte encefálica) y la Ley 1805 de 2016 (artículos 8 y 15). Sin embargo, en ninguno de estos instrumentos legales se alude a la muerte por cese irreversible de las funciones circulatorias ni a los criterios para diagnosticarla. Esto genera incertidumbre respecto de las interpretaciones que pueden hacerse. Los artículos vigentes, cuya modificación se propone, generan una distinción en la donación de órganos y tejidos por muerte encefálica sin mencionar específicamente a la muerte como consecuencia de la parada circulatoria, lo cual, puede desconocer la indicación otorgada por la Organización Mundial de la Salud y reduce la aplicación de los principios de la dignidad y la solidaridad humana y el principio de interpretación jurídica según el cual donde </w:t>
      </w:r>
      <w:r>
        <w:rPr>
          <w:rFonts w:ascii="Arial" w:eastAsia="Arial" w:hAnsi="Arial" w:cs="Arial"/>
          <w:sz w:val="22"/>
          <w:szCs w:val="22"/>
        </w:rPr>
        <w:lastRenderedPageBreak/>
        <w:t>la norma no distingue, no le corresponde distinguir al intérprete, haciendo necesario extender el alcance de la norma con el fin de dar claridad sobre la aplicación del criterio de muerte por cese irreversible de las funciones circulatorias.</w:t>
      </w:r>
    </w:p>
    <w:p w14:paraId="000004EB" w14:textId="77777777" w:rsidR="001C40B0" w:rsidRDefault="001C40B0">
      <w:pPr>
        <w:jc w:val="both"/>
        <w:rPr>
          <w:rFonts w:ascii="Arial" w:eastAsia="Arial" w:hAnsi="Arial" w:cs="Arial"/>
          <w:sz w:val="22"/>
          <w:szCs w:val="22"/>
        </w:rPr>
      </w:pPr>
    </w:p>
    <w:p w14:paraId="000004EC" w14:textId="77777777" w:rsidR="001C40B0" w:rsidRDefault="00291712">
      <w:pPr>
        <w:jc w:val="both"/>
        <w:rPr>
          <w:rFonts w:ascii="Arial" w:eastAsia="Arial" w:hAnsi="Arial" w:cs="Arial"/>
          <w:b/>
          <w:bCs/>
          <w:sz w:val="22"/>
          <w:szCs w:val="22"/>
        </w:rPr>
      </w:pPr>
      <w:r>
        <w:rPr>
          <w:rFonts w:ascii="Arial" w:eastAsia="Arial" w:hAnsi="Arial" w:cs="Arial"/>
          <w:b/>
          <w:bCs/>
          <w:sz w:val="22"/>
          <w:szCs w:val="22"/>
        </w:rPr>
        <w:t>Donación tras muerte circulatoria</w:t>
      </w:r>
    </w:p>
    <w:p w14:paraId="000004ED" w14:textId="77777777" w:rsidR="001C40B0" w:rsidRDefault="001C40B0">
      <w:pPr>
        <w:jc w:val="both"/>
        <w:rPr>
          <w:rFonts w:ascii="Arial" w:eastAsia="Arial" w:hAnsi="Arial" w:cs="Arial"/>
          <w:b/>
          <w:bCs/>
          <w:sz w:val="22"/>
          <w:szCs w:val="22"/>
        </w:rPr>
      </w:pPr>
    </w:p>
    <w:p w14:paraId="000004EE" w14:textId="77777777" w:rsidR="001C40B0" w:rsidRDefault="00291712">
      <w:pPr>
        <w:jc w:val="both"/>
        <w:rPr>
          <w:rFonts w:ascii="Arial" w:eastAsia="Arial" w:hAnsi="Arial" w:cs="Arial"/>
          <w:sz w:val="22"/>
          <w:szCs w:val="22"/>
        </w:rPr>
      </w:pPr>
      <w:r>
        <w:rPr>
          <w:rFonts w:ascii="Arial" w:eastAsia="Arial" w:hAnsi="Arial" w:cs="Arial"/>
          <w:sz w:val="22"/>
          <w:szCs w:val="22"/>
        </w:rPr>
        <w:t>La donación después de muerte circulatoria (DCD por su sigla en inglés) se refiere al proceso de recuperar y preservar órganos de donantes potenciales cuya parada cardíaca no puede ser revertida, lo que resulta en la interrupción de la circulación sanguínea. A diferencia de la donación tradicional después de muerte encefálica en la que la muerte se declara basada en criterios neurológicos, en la donación tras parada cardíaca la muerte es declarada cuando la circulación sanguínea cesa de manera irreversible.</w:t>
      </w:r>
    </w:p>
    <w:p w14:paraId="000004EF" w14:textId="77777777" w:rsidR="001C40B0" w:rsidRDefault="001C40B0">
      <w:pPr>
        <w:jc w:val="both"/>
        <w:rPr>
          <w:rFonts w:ascii="Arial" w:eastAsia="Arial" w:hAnsi="Arial" w:cs="Arial"/>
          <w:sz w:val="22"/>
          <w:szCs w:val="22"/>
        </w:rPr>
      </w:pPr>
    </w:p>
    <w:p w14:paraId="000004F0" w14:textId="77777777" w:rsidR="001C40B0" w:rsidRDefault="00291712">
      <w:pPr>
        <w:jc w:val="both"/>
        <w:rPr>
          <w:rFonts w:ascii="Arial" w:eastAsia="Arial" w:hAnsi="Arial" w:cs="Arial"/>
          <w:sz w:val="22"/>
          <w:szCs w:val="22"/>
        </w:rPr>
      </w:pPr>
      <w:r>
        <w:rPr>
          <w:rFonts w:ascii="Arial" w:eastAsia="Arial" w:hAnsi="Arial" w:cs="Arial"/>
          <w:sz w:val="22"/>
          <w:szCs w:val="22"/>
        </w:rPr>
        <w:t>En este sentido, la implementación de la DCD es una de las mejores maneras de abordar la escasez de órganos que se vive en muchos países del mundo. Esta alternativa ofrece una vía prometedora para ampliar la reserva de donantes y aumentar significativamente el número de órganos disponibles para trasplantes, ya que permite la inclusión de donantes potenciales que no cumplen los criterios de muerte encefálica pero que aún albergan órganos viables para ser donados y dar esperanza de vida a un receptor.</w:t>
      </w:r>
    </w:p>
    <w:p w14:paraId="000004F1" w14:textId="77777777" w:rsidR="001C40B0" w:rsidRDefault="001C40B0">
      <w:pPr>
        <w:jc w:val="both"/>
        <w:rPr>
          <w:rFonts w:ascii="Arial" w:eastAsia="Arial" w:hAnsi="Arial" w:cs="Arial"/>
          <w:sz w:val="22"/>
          <w:szCs w:val="22"/>
        </w:rPr>
      </w:pPr>
    </w:p>
    <w:p w14:paraId="000004F2"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En este ámbito, países como Inglaterra, Estados Unidos, España, Francia y Australia han demostrado un éxito notable en la regulación y práctica de la DCD, comprobando que esta modalidad de donación no solo amplía la disponibilidad de órganos sino que también optimiza los procesos logísticos y de preservación. Asimismo, se han incorporado nuevos procedimientos, de probada eficacia y seguridad, para realizar dicho diagnóstico. En dichos países es plenamente aceptado en el ordenamiento jurídico que las causas para determinar la muerte pueden ser por muerte circulatoria o por muerte encefálica. En el caso de Inglaterra, se incluye la recuperación de órganos de donantes fallecidos después de muerte encefálica (DBD) y donantes después de muerte circulatoria (DCD) conforme a los estándares nacionales definidos. En Estados Unidos desde la expedición del Uniform Determination of Death Act en 1981 se estableció que </w:t>
      </w:r>
      <w:r>
        <w:rPr>
          <w:rFonts w:ascii="Arial" w:eastAsia="Arial" w:hAnsi="Arial" w:cs="Arial"/>
          <w:i/>
          <w:iCs/>
          <w:sz w:val="22"/>
          <w:szCs w:val="22"/>
        </w:rPr>
        <w:t>“Una persona que ha sufrido bien sea (1) la cesación irreversible de su función circulatoria y respiratoria, o, (2) la cesación irreversible de todas sus funciones de todo el cerebro, incluyendo el tallo cerebral, está muerta”.</w:t>
      </w:r>
    </w:p>
    <w:p w14:paraId="000004F3" w14:textId="77777777" w:rsidR="001C40B0" w:rsidRDefault="001C40B0">
      <w:pPr>
        <w:jc w:val="both"/>
        <w:rPr>
          <w:rFonts w:ascii="Arial" w:eastAsia="Arial" w:hAnsi="Arial" w:cs="Arial"/>
          <w:sz w:val="22"/>
          <w:szCs w:val="22"/>
        </w:rPr>
      </w:pPr>
    </w:p>
    <w:p w14:paraId="000004F4" w14:textId="77777777" w:rsidR="001C40B0" w:rsidRDefault="00291712">
      <w:pPr>
        <w:jc w:val="both"/>
        <w:rPr>
          <w:rFonts w:ascii="Arial" w:eastAsia="Arial" w:hAnsi="Arial" w:cs="Arial"/>
          <w:sz w:val="22"/>
          <w:szCs w:val="22"/>
        </w:rPr>
      </w:pPr>
      <w:r>
        <w:rPr>
          <w:rFonts w:ascii="Arial" w:eastAsia="Arial" w:hAnsi="Arial" w:cs="Arial"/>
          <w:sz w:val="22"/>
          <w:szCs w:val="22"/>
        </w:rPr>
        <w:t>A diferencia de la donación tradicional de órganos tras la muerte encefálica, la DCD permite la recuperación rápida de órganos tras una parada circulatoria, minimizando el tiempo de isquemia, reduciendo el riesgo de deterioro del órgano y aumentando las posibilidades de éxito del trasplante. A continuación, se muestran las tasas de efectividad de las donaciones controladas y no controladas después de muerte circulatoria versus las tasas de las donaciones por muerte encefálica en algunos países de Europa, en donde se evidencia altas tasas de utilización de órganos con DCD</w:t>
      </w:r>
      <w:r>
        <w:rPr>
          <w:rFonts w:ascii="Arial" w:eastAsia="Arial" w:hAnsi="Arial" w:cs="Arial"/>
          <w:sz w:val="22"/>
          <w:szCs w:val="22"/>
          <w:vertAlign w:val="superscript"/>
        </w:rPr>
        <w:footnoteReference w:id="6"/>
      </w:r>
      <w:r>
        <w:rPr>
          <w:rFonts w:ascii="Arial" w:eastAsia="Arial" w:hAnsi="Arial" w:cs="Arial"/>
          <w:sz w:val="22"/>
          <w:szCs w:val="22"/>
        </w:rPr>
        <w:t>. Donde se observa que un 14% de los donantes empleados, fueron tras la muerte circulatoria:</w:t>
      </w:r>
    </w:p>
    <w:p w14:paraId="000004F5" w14:textId="77777777" w:rsidR="001C40B0" w:rsidRDefault="001C40B0">
      <w:pPr>
        <w:jc w:val="both"/>
        <w:rPr>
          <w:rFonts w:ascii="Arial" w:eastAsia="Arial" w:hAnsi="Arial" w:cs="Arial"/>
          <w:sz w:val="22"/>
          <w:szCs w:val="22"/>
        </w:rPr>
      </w:pPr>
    </w:p>
    <w:p w14:paraId="000004F6" w14:textId="77777777" w:rsidR="001C40B0" w:rsidRDefault="00291712">
      <w:pPr>
        <w:ind w:left="2832"/>
        <w:jc w:val="both"/>
        <w:rPr>
          <w:rFonts w:ascii="Arial" w:eastAsia="Arial" w:hAnsi="Arial" w:cs="Arial"/>
          <w:sz w:val="22"/>
          <w:szCs w:val="22"/>
        </w:rPr>
      </w:pPr>
      <w:r>
        <w:rPr>
          <w:noProof/>
        </w:rPr>
        <w:lastRenderedPageBreak/>
        <w:drawing>
          <wp:anchor distT="0" distB="0" distL="0" distR="0" simplePos="0" relativeHeight="251662336" behindDoc="0" locked="0" layoutInCell="1" hidden="0" allowOverlap="1" wp14:editId="546C204B">
            <wp:simplePos x="0" y="0"/>
            <wp:positionH relativeFrom="margin">
              <wp:align>left</wp:align>
            </wp:positionH>
            <wp:positionV relativeFrom="paragraph">
              <wp:posOffset>160020</wp:posOffset>
            </wp:positionV>
            <wp:extent cx="4019550" cy="2886075"/>
            <wp:effectExtent l="0" t="0" r="0" b="9525"/>
            <wp:wrapTopAndBottom distT="0" dist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4019550" cy="2886075"/>
                    </a:xfrm>
                    <a:prstGeom prst="rect">
                      <a:avLst/>
                    </a:prstGeom>
                    <a:ln/>
                  </pic:spPr>
                </pic:pic>
              </a:graphicData>
            </a:graphic>
            <wp14:sizeRelH relativeFrom="margin">
              <wp14:pctWidth>0</wp14:pctWidth>
            </wp14:sizeRelH>
            <wp14:sizeRelV relativeFrom="margin">
              <wp14:pctHeight>0</wp14:pctHeight>
            </wp14:sizeRelV>
          </wp:anchor>
        </w:drawing>
      </w:r>
    </w:p>
    <w:p w14:paraId="000004F7" w14:textId="77777777" w:rsidR="001C40B0" w:rsidRDefault="00291712">
      <w:pPr>
        <w:jc w:val="both"/>
        <w:rPr>
          <w:rFonts w:ascii="Arial" w:eastAsia="Arial" w:hAnsi="Arial" w:cs="Arial"/>
          <w:sz w:val="22"/>
          <w:szCs w:val="22"/>
        </w:rPr>
      </w:pPr>
      <w:r>
        <w:rPr>
          <w:rFonts w:ascii="Arial" w:eastAsia="Arial" w:hAnsi="Arial" w:cs="Arial"/>
          <w:b/>
          <w:bCs/>
          <w:sz w:val="22"/>
          <w:szCs w:val="22"/>
        </w:rPr>
        <w:t>Fig 1.</w:t>
      </w:r>
      <w:r>
        <w:rPr>
          <w:rFonts w:ascii="Arial" w:eastAsia="Arial" w:hAnsi="Arial" w:cs="Arial"/>
          <w:sz w:val="22"/>
          <w:szCs w:val="22"/>
        </w:rPr>
        <w:t xml:space="preserve"> Eficacia de los procesos de donación tras muerte circulatoria y la donación tras muerte encefálica en Estados miembros del Consejo de Europa para 2016*. cDCD: donación controlada tras muerte circulatoria; DBD: Donación tras muerte encefálica; uDCD: donación no controlada tras muerte circulatoria.</w:t>
      </w:r>
    </w:p>
    <w:p w14:paraId="000004F8" w14:textId="77777777" w:rsidR="001C40B0" w:rsidRDefault="001C40B0">
      <w:pPr>
        <w:jc w:val="both"/>
        <w:rPr>
          <w:rFonts w:ascii="Arial" w:eastAsia="Arial" w:hAnsi="Arial" w:cs="Arial"/>
          <w:sz w:val="22"/>
          <w:szCs w:val="22"/>
        </w:rPr>
      </w:pPr>
    </w:p>
    <w:p w14:paraId="000004F9" w14:textId="77777777" w:rsidR="001C40B0" w:rsidRDefault="00291712">
      <w:pPr>
        <w:jc w:val="both"/>
        <w:rPr>
          <w:rFonts w:ascii="Arial" w:eastAsia="Arial" w:hAnsi="Arial" w:cs="Arial"/>
          <w:sz w:val="22"/>
          <w:szCs w:val="22"/>
        </w:rPr>
      </w:pPr>
      <w:r>
        <w:rPr>
          <w:rFonts w:ascii="Arial" w:eastAsia="Arial" w:hAnsi="Arial" w:cs="Arial"/>
          <w:sz w:val="22"/>
          <w:szCs w:val="22"/>
        </w:rPr>
        <w:t>*Datos facilitados por Bélgica, República Checa, Francia, Irlanda, Israel, Italia, Lituania, Letonia, Noruega, Países Bajos, Portugal, República Checa, Rusia, España, Suiza y Reino Unido.</w:t>
      </w:r>
    </w:p>
    <w:p w14:paraId="000004FA" w14:textId="77777777" w:rsidR="001C40B0" w:rsidRDefault="001C40B0">
      <w:pPr>
        <w:jc w:val="both"/>
        <w:rPr>
          <w:rFonts w:ascii="Arial" w:eastAsia="Arial" w:hAnsi="Arial" w:cs="Arial"/>
          <w:sz w:val="22"/>
          <w:szCs w:val="22"/>
        </w:rPr>
      </w:pPr>
    </w:p>
    <w:p w14:paraId="000004FB" w14:textId="77777777" w:rsidR="001C40B0" w:rsidRDefault="00291712">
      <w:pPr>
        <w:jc w:val="both"/>
        <w:rPr>
          <w:rFonts w:ascii="Arial" w:eastAsia="Arial" w:hAnsi="Arial" w:cs="Arial"/>
          <w:sz w:val="22"/>
          <w:szCs w:val="22"/>
        </w:rPr>
      </w:pPr>
      <w:r>
        <w:rPr>
          <w:rFonts w:ascii="Arial" w:eastAsia="Arial" w:hAnsi="Arial" w:cs="Arial"/>
          <w:sz w:val="22"/>
          <w:szCs w:val="22"/>
        </w:rPr>
        <w:t>En el mismo sentido, tomando de ejemplo a España, un país con una población ligeramente menor a la de Colombia (47 millones de habitantes), en 2018 registraron 629 donaciones en parada circulatoria según datos publicados por el Ministerio de Sanidad Español</w:t>
      </w:r>
      <w:r>
        <w:rPr>
          <w:rFonts w:ascii="Arial" w:eastAsia="Arial" w:hAnsi="Arial" w:cs="Arial"/>
          <w:sz w:val="22"/>
          <w:szCs w:val="22"/>
          <w:vertAlign w:val="superscript"/>
        </w:rPr>
        <w:footnoteReference w:id="7"/>
      </w:r>
      <w:r>
        <w:rPr>
          <w:rFonts w:ascii="Arial" w:eastAsia="Arial" w:hAnsi="Arial" w:cs="Arial"/>
          <w:sz w:val="22"/>
          <w:szCs w:val="22"/>
        </w:rPr>
        <w:t>, mientras que en Colombia para el mismo año, solo se contó con 398 donantes reales según datos del INS (Instituto Nacional de Salud), pues de las 3.400 alertas de posibles donantes del protocolo de muerte encefálica sólo el 29,3% (997) llegaron a muerte encefálica y el 70,7% (1814) restante de los posibles donantes salió del protocolo por contraindicación médica, parada cardiorrespiratoria, cambio en su estado neurológico o por otras causas</w:t>
      </w:r>
      <w:r>
        <w:rPr>
          <w:rFonts w:ascii="Arial" w:eastAsia="Arial" w:hAnsi="Arial" w:cs="Arial"/>
          <w:sz w:val="22"/>
          <w:szCs w:val="22"/>
          <w:vertAlign w:val="superscript"/>
        </w:rPr>
        <w:footnoteReference w:id="8"/>
      </w:r>
      <w:r>
        <w:rPr>
          <w:rFonts w:ascii="Arial" w:eastAsia="Arial" w:hAnsi="Arial" w:cs="Arial"/>
          <w:sz w:val="22"/>
          <w:szCs w:val="22"/>
        </w:rPr>
        <w:t>. Estos datos son una clara muestra de cómo disminuye la disponibilidad de órganos cuando solo se tienen en cuenta donantes fallecidos por causas encefálicas.</w:t>
      </w:r>
    </w:p>
    <w:p w14:paraId="000004FC" w14:textId="77777777" w:rsidR="001C40B0" w:rsidRDefault="001C40B0">
      <w:pPr>
        <w:jc w:val="both"/>
        <w:rPr>
          <w:rFonts w:ascii="Arial" w:eastAsia="Arial" w:hAnsi="Arial" w:cs="Arial"/>
          <w:sz w:val="22"/>
          <w:szCs w:val="22"/>
        </w:rPr>
      </w:pPr>
    </w:p>
    <w:p w14:paraId="000004FD"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La creación y reglamentación de políticas públicas que regulen la donación de órganos tras muerte circulatoria tiene una importancia trascendental para cualquier país, ya que al </w:t>
      </w:r>
      <w:r>
        <w:rPr>
          <w:rFonts w:ascii="Arial" w:eastAsia="Arial" w:hAnsi="Arial" w:cs="Arial"/>
          <w:sz w:val="22"/>
          <w:szCs w:val="22"/>
        </w:rPr>
        <w:lastRenderedPageBreak/>
        <w:t>establecer con claridad un marco legal para la DCD, se pueden mejorar las condiciones de acceso a trasplantes, la eficiencia en la asignación de órganos, la calidad de vida de los pacientes que se encuentren en listas de espera y reducir las tasas de mortalidad, incluso, esto constituye la remoción de una barrera de acceso al Sistema de Salud. Asimismo, este tipo de iniciativas también impulsan la conciencia de la ciudadanía sobre la importancia de la donación de órganos, fomentando una cultura de solidaridad y generosidad que puede tener un impacto duradero en la salud de la población.</w:t>
      </w:r>
    </w:p>
    <w:p w14:paraId="000004FE" w14:textId="77777777" w:rsidR="001C40B0" w:rsidRDefault="001C40B0">
      <w:pPr>
        <w:jc w:val="both"/>
        <w:rPr>
          <w:rFonts w:ascii="Arial" w:eastAsia="Arial" w:hAnsi="Arial" w:cs="Arial"/>
          <w:sz w:val="22"/>
          <w:szCs w:val="22"/>
        </w:rPr>
      </w:pPr>
    </w:p>
    <w:p w14:paraId="000004FF" w14:textId="77777777" w:rsidR="001C40B0" w:rsidRDefault="00291712">
      <w:pPr>
        <w:jc w:val="both"/>
        <w:rPr>
          <w:rFonts w:ascii="Arial" w:eastAsia="Arial" w:hAnsi="Arial" w:cs="Arial"/>
          <w:b/>
          <w:bCs/>
          <w:sz w:val="22"/>
          <w:szCs w:val="22"/>
        </w:rPr>
      </w:pPr>
      <w:r>
        <w:rPr>
          <w:rFonts w:ascii="Arial" w:eastAsia="Arial" w:hAnsi="Arial" w:cs="Arial"/>
          <w:b/>
          <w:bCs/>
          <w:sz w:val="22"/>
          <w:szCs w:val="22"/>
        </w:rPr>
        <w:t>NECESIDAD DEL PROYECTO</w:t>
      </w:r>
    </w:p>
    <w:p w14:paraId="00000500" w14:textId="77777777" w:rsidR="001C40B0" w:rsidRDefault="001C40B0">
      <w:pPr>
        <w:jc w:val="both"/>
        <w:rPr>
          <w:rFonts w:ascii="Arial" w:eastAsia="Arial" w:hAnsi="Arial" w:cs="Arial"/>
          <w:b/>
          <w:bCs/>
          <w:sz w:val="22"/>
          <w:szCs w:val="22"/>
        </w:rPr>
      </w:pPr>
    </w:p>
    <w:p w14:paraId="00000501" w14:textId="77777777" w:rsidR="001C40B0" w:rsidRDefault="00291712">
      <w:pPr>
        <w:jc w:val="both"/>
        <w:rPr>
          <w:rFonts w:ascii="Arial" w:eastAsia="Arial" w:hAnsi="Arial" w:cs="Arial"/>
          <w:sz w:val="22"/>
          <w:szCs w:val="22"/>
        </w:rPr>
      </w:pPr>
      <w:r>
        <w:rPr>
          <w:rFonts w:ascii="Arial" w:eastAsia="Arial" w:hAnsi="Arial" w:cs="Arial"/>
          <w:sz w:val="22"/>
          <w:szCs w:val="22"/>
        </w:rPr>
        <w:t>Este proyecto de ley aspira a ser el marco a partir del cual el Gobierno Nacional reglamente los procedimientos y criterios de detección, evaluación, mantenimiento y extracción de órganos y tejidos de donantes fallecidos por parada circulatoria en Colombia con el fin de brindar una alternativa de vida a aquellas personas que se encuentran en lista de espera y atender las indicaciones establecidas por la Organización Mundial de la Salud.</w:t>
      </w:r>
    </w:p>
    <w:p w14:paraId="00000502" w14:textId="77777777" w:rsidR="001C40B0" w:rsidRDefault="001C40B0">
      <w:pPr>
        <w:jc w:val="both"/>
        <w:rPr>
          <w:rFonts w:ascii="Arial" w:eastAsia="Arial" w:hAnsi="Arial" w:cs="Arial"/>
          <w:sz w:val="22"/>
          <w:szCs w:val="22"/>
        </w:rPr>
      </w:pPr>
    </w:p>
    <w:p w14:paraId="00000503" w14:textId="77777777" w:rsidR="001C40B0" w:rsidRDefault="00291712">
      <w:pPr>
        <w:jc w:val="both"/>
        <w:rPr>
          <w:rFonts w:ascii="Arial" w:eastAsia="Arial" w:hAnsi="Arial" w:cs="Arial"/>
          <w:sz w:val="22"/>
          <w:szCs w:val="22"/>
        </w:rPr>
      </w:pPr>
      <w:r>
        <w:rPr>
          <w:rFonts w:ascii="Arial" w:eastAsia="Arial" w:hAnsi="Arial" w:cs="Arial"/>
          <w:sz w:val="22"/>
          <w:szCs w:val="22"/>
        </w:rPr>
        <w:t>Con el fin de incorporar estos criterios de comprobado éxito en nuestro ordenamiento jurídico, se hace necesario establecer desde el nivel de la ley, previsiones que propicien una mayor cantidad de donaciones efectivas en condiciones seguras y confiables.</w:t>
      </w:r>
    </w:p>
    <w:p w14:paraId="00000504" w14:textId="77777777" w:rsidR="001C40B0" w:rsidRDefault="001C40B0">
      <w:pPr>
        <w:jc w:val="both"/>
        <w:rPr>
          <w:rFonts w:ascii="Arial" w:eastAsia="Arial" w:hAnsi="Arial" w:cs="Arial"/>
          <w:sz w:val="22"/>
          <w:szCs w:val="22"/>
        </w:rPr>
      </w:pPr>
    </w:p>
    <w:p w14:paraId="00000505" w14:textId="77777777" w:rsidR="001C40B0" w:rsidRDefault="00291712">
      <w:pPr>
        <w:jc w:val="both"/>
        <w:rPr>
          <w:rFonts w:ascii="Arial" w:eastAsia="Arial" w:hAnsi="Arial" w:cs="Arial"/>
          <w:sz w:val="22"/>
          <w:szCs w:val="22"/>
        </w:rPr>
      </w:pPr>
      <w:r>
        <w:rPr>
          <w:rFonts w:ascii="Arial" w:eastAsia="Arial" w:hAnsi="Arial" w:cs="Arial"/>
          <w:sz w:val="22"/>
          <w:szCs w:val="22"/>
        </w:rPr>
        <w:t>La evidencia científica ha demostrado que en las donaciones de órganos por parada circulatoria en pacientes renales no se ha apreciado diferencia estadística significativa frente los receptores de la donación en muerte encefálica, respecto de los criterios de función del injerto, pérdida del injerto o muerte del receptor lo que confirma que es una alternativa confiable y segura</w:t>
      </w:r>
      <w:r>
        <w:rPr>
          <w:rFonts w:ascii="Arial" w:eastAsia="Arial" w:hAnsi="Arial" w:cs="Arial"/>
          <w:sz w:val="22"/>
          <w:szCs w:val="22"/>
          <w:vertAlign w:val="superscript"/>
        </w:rPr>
        <w:footnoteReference w:id="9"/>
      </w:r>
      <w:r>
        <w:rPr>
          <w:rFonts w:ascii="Arial" w:eastAsia="Arial" w:hAnsi="Arial" w:cs="Arial"/>
          <w:sz w:val="22"/>
          <w:szCs w:val="22"/>
        </w:rPr>
        <w:t>. Por su parte, en trasplantes de hígado no se encontraron diferencias con respecto a los tiempos de isquemia y al desarrollo del síndrome de pos-perfusión o coagulopatía entre estos dos tipos de donación. Las tasas de no función primaria del injerto y de rechazo agudo fueron similares. Así mismo, la duración de estadía, las complicaciones, las tasas de retrasplante y las tasas de supervivencia después de tres años fueron comparables. En conclusión, la donación en parada cardiaca ofrece posibilidades ciertas de elevar la tasa de donantes efectivos con la misma calidad del trasplante</w:t>
      </w:r>
      <w:r>
        <w:rPr>
          <w:rFonts w:ascii="Arial" w:eastAsia="Arial" w:hAnsi="Arial" w:cs="Arial"/>
          <w:sz w:val="22"/>
          <w:szCs w:val="22"/>
          <w:vertAlign w:val="superscript"/>
        </w:rPr>
        <w:footnoteReference w:id="10"/>
      </w:r>
      <w:r>
        <w:rPr>
          <w:rFonts w:ascii="Arial" w:eastAsia="Arial" w:hAnsi="Arial" w:cs="Arial"/>
          <w:sz w:val="22"/>
          <w:szCs w:val="22"/>
        </w:rPr>
        <w:t xml:space="preserve">. </w:t>
      </w:r>
    </w:p>
    <w:p w14:paraId="00000506" w14:textId="77777777" w:rsidR="001C40B0" w:rsidRDefault="001C40B0">
      <w:pPr>
        <w:jc w:val="both"/>
        <w:rPr>
          <w:rFonts w:ascii="Arial" w:eastAsia="Arial" w:hAnsi="Arial" w:cs="Arial"/>
          <w:sz w:val="22"/>
          <w:szCs w:val="22"/>
        </w:rPr>
      </w:pPr>
    </w:p>
    <w:p w14:paraId="00000507" w14:textId="77777777" w:rsidR="001C40B0" w:rsidRDefault="00291712">
      <w:pPr>
        <w:jc w:val="both"/>
        <w:rPr>
          <w:rFonts w:ascii="Arial" w:eastAsia="Arial" w:hAnsi="Arial" w:cs="Arial"/>
          <w:sz w:val="22"/>
          <w:szCs w:val="22"/>
        </w:rPr>
      </w:pPr>
      <w:r>
        <w:rPr>
          <w:rFonts w:ascii="Arial" w:eastAsia="Arial" w:hAnsi="Arial" w:cs="Arial"/>
          <w:sz w:val="22"/>
          <w:szCs w:val="22"/>
        </w:rPr>
        <w:t>Adicional a lo anterior, la donación por parada circulatoria fortalecerá la Política de Donación de Personas Fallecidas haciendo hincapié en las recomendaciones de la OMS. Entre otros, los beneficios de ampliar los criterios de donación de personas fallecidas son:</w:t>
      </w:r>
    </w:p>
    <w:p w14:paraId="00000508" w14:textId="77777777" w:rsidR="001C40B0" w:rsidRDefault="001C40B0">
      <w:pPr>
        <w:jc w:val="both"/>
        <w:rPr>
          <w:rFonts w:ascii="Arial" w:eastAsia="Arial" w:hAnsi="Arial" w:cs="Arial"/>
          <w:sz w:val="22"/>
          <w:szCs w:val="22"/>
        </w:rPr>
      </w:pPr>
    </w:p>
    <w:p w14:paraId="00000509" w14:textId="77777777" w:rsidR="001C40B0" w:rsidRDefault="00291712">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Salva vidas: la donación de órganos brinda una segunda oportunidad a los receptores de recuperar su salud, hacer realidad sus sueños, continuar su vida.</w:t>
      </w:r>
    </w:p>
    <w:p w14:paraId="0000050A" w14:textId="77777777" w:rsidR="001C40B0" w:rsidRDefault="001C40B0">
      <w:pPr>
        <w:jc w:val="both"/>
        <w:rPr>
          <w:rFonts w:ascii="Arial" w:eastAsia="Arial" w:hAnsi="Arial" w:cs="Arial"/>
          <w:sz w:val="22"/>
          <w:szCs w:val="22"/>
        </w:rPr>
      </w:pPr>
    </w:p>
    <w:p w14:paraId="0000050B" w14:textId="77777777" w:rsidR="001C40B0" w:rsidRDefault="00291712">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Mejora la calidad de vida de los receptores: un paciente trasplantado recupera la posibilidad de ser autosuficiente, independiente y potencializa su calidad de vida.</w:t>
      </w:r>
    </w:p>
    <w:p w14:paraId="0000050C" w14:textId="77777777" w:rsidR="001C40B0" w:rsidRDefault="001C40B0">
      <w:pPr>
        <w:jc w:val="both"/>
        <w:rPr>
          <w:rFonts w:ascii="Arial" w:eastAsia="Arial" w:hAnsi="Arial" w:cs="Arial"/>
          <w:sz w:val="22"/>
          <w:szCs w:val="22"/>
        </w:rPr>
      </w:pPr>
    </w:p>
    <w:p w14:paraId="0000050D" w14:textId="77777777" w:rsidR="001C40B0" w:rsidRDefault="00291712">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Tiene un impacto profundo y positivo en las familias tanto de los donantes como de los receptores. Por un lado, brinda la posibilidad de que las familias honren la memoria de su ser querido al permitir que su legado continúe a través de la vida de otro. Y por el otro, concede al receptor la posibilidad de reunirse con sus seres queridos y disfrutar de más tiempo juntos.</w:t>
      </w:r>
    </w:p>
    <w:p w14:paraId="0000050E" w14:textId="77777777" w:rsidR="001C40B0" w:rsidRDefault="001C40B0">
      <w:pPr>
        <w:jc w:val="both"/>
        <w:rPr>
          <w:rFonts w:ascii="Arial" w:eastAsia="Arial" w:hAnsi="Arial" w:cs="Arial"/>
          <w:sz w:val="22"/>
          <w:szCs w:val="22"/>
        </w:rPr>
      </w:pPr>
    </w:p>
    <w:p w14:paraId="0000050F" w14:textId="77777777" w:rsidR="001C40B0" w:rsidRDefault="00291712">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Contribuye a poner en práctica los avances de la ciencia. Varios equipos de IPS trasplantadoras han preparado protocolos, simulacros y actividades académicas para la realización de la donación tras muerte circulatoria. El presente proyecto permite poner en práctica los desarrollo logrados, la formación de profesionales, y en general el avance de estas técnicas en el país.</w:t>
      </w:r>
    </w:p>
    <w:p w14:paraId="00000510" w14:textId="77777777" w:rsidR="001C40B0" w:rsidRDefault="001C40B0">
      <w:pPr>
        <w:jc w:val="both"/>
        <w:rPr>
          <w:rFonts w:ascii="Arial" w:eastAsia="Arial" w:hAnsi="Arial" w:cs="Arial"/>
          <w:sz w:val="22"/>
          <w:szCs w:val="22"/>
        </w:rPr>
      </w:pPr>
    </w:p>
    <w:p w14:paraId="00000511" w14:textId="77777777" w:rsidR="001C40B0" w:rsidRDefault="00291712">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Permite generar conciencia y brindar información confiable y segura, tanto a los donantes y receptores como a los médicos y demás trabajadores de la salud. Cuando se explican los procedimientos y criterios para la realización de una donación de manera clara y completa, se fortalece la confianza de que se están siguiendo normas justas, éticas y equitativas en las que prima el máximo respeto hacia la dignidad del donante fallecido y su familia, así como frente al donante que tiene la esperanza de poder vivir. La información precisa y verificable es esencial para disipar mitos y preocupaciones acerca de la donación y para tomar decisiones informadas.</w:t>
      </w:r>
    </w:p>
    <w:p w14:paraId="00000512" w14:textId="77777777" w:rsidR="001C40B0" w:rsidRDefault="001C40B0">
      <w:pPr>
        <w:jc w:val="both"/>
        <w:rPr>
          <w:rFonts w:ascii="Arial" w:eastAsia="Arial" w:hAnsi="Arial" w:cs="Arial"/>
          <w:sz w:val="22"/>
          <w:szCs w:val="22"/>
        </w:rPr>
      </w:pPr>
    </w:p>
    <w:p w14:paraId="00000513" w14:textId="77777777" w:rsidR="001C40B0" w:rsidRDefault="00291712">
      <w:pPr>
        <w:jc w:val="both"/>
        <w:rPr>
          <w:rFonts w:ascii="Arial" w:eastAsia="Arial" w:hAnsi="Arial" w:cs="Arial"/>
          <w:sz w:val="22"/>
          <w:szCs w:val="22"/>
        </w:rPr>
      </w:pPr>
      <w:r>
        <w:rPr>
          <w:rFonts w:ascii="Arial" w:eastAsia="Arial" w:hAnsi="Arial" w:cs="Arial"/>
          <w:sz w:val="22"/>
          <w:szCs w:val="22"/>
        </w:rPr>
        <w:t>La realidad en el mundo de los trasplantes es que la historia de cada persona, tanto donante como receptor es única, pero tienen un elemento común: la posibilidad de dar continuidad a la vida.</w:t>
      </w:r>
    </w:p>
    <w:p w14:paraId="00000514" w14:textId="77777777" w:rsidR="001C40B0" w:rsidRDefault="001C40B0">
      <w:pPr>
        <w:jc w:val="both"/>
        <w:rPr>
          <w:rFonts w:ascii="Arial" w:eastAsia="Arial" w:hAnsi="Arial" w:cs="Arial"/>
          <w:sz w:val="22"/>
          <w:szCs w:val="22"/>
        </w:rPr>
      </w:pPr>
    </w:p>
    <w:p w14:paraId="00000515" w14:textId="77777777" w:rsidR="001C40B0" w:rsidRDefault="00291712">
      <w:pPr>
        <w:jc w:val="both"/>
        <w:rPr>
          <w:rFonts w:ascii="Arial" w:eastAsia="Arial" w:hAnsi="Arial" w:cs="Arial"/>
          <w:sz w:val="22"/>
          <w:szCs w:val="22"/>
        </w:rPr>
      </w:pPr>
      <w:r>
        <w:rPr>
          <w:rFonts w:ascii="Arial" w:eastAsia="Arial" w:hAnsi="Arial" w:cs="Arial"/>
          <w:sz w:val="22"/>
          <w:szCs w:val="22"/>
        </w:rPr>
        <w:t>Es en este sentido que se propone la incorporación de la muerte por parada circulatoria en el presente proyecto de ley.</w:t>
      </w:r>
    </w:p>
    <w:p w14:paraId="00000516" w14:textId="77777777" w:rsidR="001C40B0" w:rsidRDefault="001C40B0">
      <w:pPr>
        <w:jc w:val="both"/>
        <w:rPr>
          <w:rFonts w:ascii="Arial" w:eastAsia="Arial" w:hAnsi="Arial" w:cs="Arial"/>
          <w:sz w:val="22"/>
          <w:szCs w:val="22"/>
        </w:rPr>
      </w:pPr>
    </w:p>
    <w:p w14:paraId="00000517" w14:textId="77777777" w:rsidR="001C40B0" w:rsidRDefault="001C40B0">
      <w:pPr>
        <w:jc w:val="both"/>
        <w:rPr>
          <w:rFonts w:ascii="Arial" w:eastAsia="Arial" w:hAnsi="Arial" w:cs="Arial"/>
          <w:sz w:val="22"/>
          <w:szCs w:val="22"/>
        </w:rPr>
      </w:pPr>
    </w:p>
    <w:p w14:paraId="00000518" w14:textId="77777777" w:rsidR="001C40B0" w:rsidRDefault="00291712">
      <w:pPr>
        <w:numPr>
          <w:ilvl w:val="0"/>
          <w:numId w:val="1"/>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PLIEGO DE MODIFICACIONES</w:t>
      </w:r>
    </w:p>
    <w:p w14:paraId="00000519" w14:textId="77777777" w:rsidR="001C40B0" w:rsidRDefault="001C40B0">
      <w:pPr>
        <w:jc w:val="both"/>
        <w:rPr>
          <w:rFonts w:ascii="Arial" w:eastAsia="Arial" w:hAnsi="Arial" w:cs="Arial"/>
          <w:b/>
          <w:bCs/>
          <w:sz w:val="22"/>
          <w:szCs w:val="22"/>
        </w:rPr>
      </w:pPr>
    </w:p>
    <w:p w14:paraId="0000051A" w14:textId="77777777" w:rsidR="001C40B0" w:rsidRDefault="00291712">
      <w:pPr>
        <w:jc w:val="both"/>
        <w:rPr>
          <w:rFonts w:ascii="Arial" w:eastAsia="Arial" w:hAnsi="Arial" w:cs="Arial"/>
          <w:sz w:val="22"/>
          <w:szCs w:val="22"/>
        </w:rPr>
      </w:pPr>
      <w:r>
        <w:rPr>
          <w:rFonts w:ascii="Arial" w:eastAsia="Arial" w:hAnsi="Arial" w:cs="Arial"/>
          <w:sz w:val="22"/>
          <w:szCs w:val="22"/>
        </w:rPr>
        <w:t>Con el fin de armonizar el contenido del proyecto de ley y ajustar aspectos sugeridos por expertos en el tema, se propone realizar las siguientes modificaciones al texto aprobado en la Comisión Primera de la Cámara de Representantes.</w:t>
      </w:r>
    </w:p>
    <w:p w14:paraId="0000051B" w14:textId="77777777" w:rsidR="001C40B0" w:rsidRDefault="001C40B0">
      <w:pPr>
        <w:rPr>
          <w:rFonts w:ascii="Arial" w:eastAsia="Arial" w:hAnsi="Arial" w:cs="Arial"/>
          <w:color w:val="000000"/>
          <w:sz w:val="22"/>
          <w:szCs w:val="22"/>
        </w:rPr>
      </w:pPr>
    </w:p>
    <w:tbl>
      <w:tblPr>
        <w:tblStyle w:val="a6"/>
        <w:tblW w:w="9052" w:type="dxa"/>
        <w:tblInd w:w="0" w:type="dxa"/>
        <w:tblLayout w:type="fixed"/>
        <w:tblLook w:val="0400" w:firstRow="0" w:lastRow="0" w:firstColumn="0" w:lastColumn="0" w:noHBand="0" w:noVBand="1"/>
      </w:tblPr>
      <w:tblGrid>
        <w:gridCol w:w="3251"/>
        <w:gridCol w:w="3260"/>
        <w:gridCol w:w="2541"/>
      </w:tblGrid>
      <w:tr w:rsidR="001C40B0" w14:paraId="0926FD30" w14:textId="77777777">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1C" w14:textId="77777777" w:rsidR="001C40B0" w:rsidRDefault="00291712">
            <w:pPr>
              <w:pBdr>
                <w:top w:val="nil"/>
                <w:left w:val="nil"/>
                <w:bottom w:val="nil"/>
                <w:right w:val="nil"/>
                <w:between w:val="nil"/>
              </w:pBdr>
              <w:jc w:val="center"/>
              <w:rPr>
                <w:rFonts w:ascii="Arial" w:eastAsia="Arial" w:hAnsi="Arial" w:cs="Arial"/>
                <w:color w:val="000000"/>
              </w:rPr>
            </w:pPr>
            <w:r>
              <w:rPr>
                <w:rFonts w:ascii="Arial" w:eastAsia="Arial" w:hAnsi="Arial" w:cs="Arial"/>
                <w:b/>
                <w:bCs/>
                <w:color w:val="000000"/>
              </w:rPr>
              <w:t>Texto aprobado en Comisión Primera</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1D" w14:textId="77777777" w:rsidR="001C40B0" w:rsidRDefault="00291712">
            <w:pPr>
              <w:pBdr>
                <w:top w:val="nil"/>
                <w:left w:val="nil"/>
                <w:bottom w:val="nil"/>
                <w:right w:val="nil"/>
                <w:between w:val="nil"/>
              </w:pBdr>
              <w:jc w:val="center"/>
              <w:rPr>
                <w:rFonts w:ascii="Arial" w:eastAsia="Arial" w:hAnsi="Arial" w:cs="Arial"/>
                <w:color w:val="000000"/>
              </w:rPr>
            </w:pPr>
            <w:r>
              <w:rPr>
                <w:rFonts w:ascii="Arial" w:eastAsia="Arial" w:hAnsi="Arial" w:cs="Arial"/>
                <w:b/>
                <w:bCs/>
                <w:color w:val="000000"/>
              </w:rPr>
              <w:t>Texto propuesto</w:t>
            </w:r>
          </w:p>
        </w:tc>
        <w:tc>
          <w:tcPr>
            <w:tcW w:w="2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1E" w14:textId="77777777" w:rsidR="001C40B0" w:rsidRDefault="00291712">
            <w:pPr>
              <w:pBdr>
                <w:top w:val="nil"/>
                <w:left w:val="nil"/>
                <w:bottom w:val="nil"/>
                <w:right w:val="nil"/>
                <w:between w:val="nil"/>
              </w:pBdr>
              <w:jc w:val="center"/>
              <w:rPr>
                <w:rFonts w:ascii="Arial" w:eastAsia="Arial" w:hAnsi="Arial" w:cs="Arial"/>
                <w:color w:val="000000"/>
              </w:rPr>
            </w:pPr>
            <w:r>
              <w:rPr>
                <w:rFonts w:ascii="Arial" w:eastAsia="Arial" w:hAnsi="Arial" w:cs="Arial"/>
                <w:b/>
                <w:bCs/>
                <w:color w:val="000000"/>
              </w:rPr>
              <w:t>Observaciones</w:t>
            </w:r>
          </w:p>
        </w:tc>
      </w:tr>
      <w:tr w:rsidR="001C40B0" w14:paraId="37CBDD80" w14:textId="77777777">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1F" w14:textId="77777777" w:rsidR="001C40B0" w:rsidRDefault="00291712">
            <w:pPr>
              <w:widowControl/>
              <w:jc w:val="center"/>
              <w:rPr>
                <w:rFonts w:ascii="Arial" w:eastAsia="Arial" w:hAnsi="Arial" w:cs="Arial"/>
              </w:rPr>
            </w:pPr>
            <w:r>
              <w:rPr>
                <w:rFonts w:ascii="Arial" w:eastAsia="Arial" w:hAnsi="Arial" w:cs="Arial"/>
              </w:rPr>
              <w:t xml:space="preserve">“Por medio de la cual se modifica la estructura nacional </w:t>
            </w:r>
            <w:r>
              <w:rPr>
                <w:rFonts w:ascii="Arial" w:eastAsia="Arial" w:hAnsi="Arial" w:cs="Arial"/>
              </w:rPr>
              <w:lastRenderedPageBreak/>
              <w:t>de donación, trasplante de órganos y componentes anatómicos, la Ley 9 de 1979, la Ley 1805 de 2016 y se dictan otras disposiciones”</w:t>
            </w:r>
          </w:p>
          <w:p w14:paraId="00000520" w14:textId="77777777" w:rsidR="001C40B0" w:rsidRDefault="001C40B0">
            <w:pPr>
              <w:pBdr>
                <w:top w:val="nil"/>
                <w:left w:val="nil"/>
                <w:bottom w:val="nil"/>
                <w:right w:val="nil"/>
                <w:between w:val="nil"/>
              </w:pBdr>
              <w:jc w:val="both"/>
              <w:rPr>
                <w:rFonts w:ascii="Arial" w:eastAsia="Arial" w:hAnsi="Arial" w:cs="Arial"/>
              </w:rPr>
            </w:pP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21" w14:textId="77777777" w:rsidR="001C40B0" w:rsidRDefault="00291712">
            <w:pPr>
              <w:widowControl/>
              <w:jc w:val="center"/>
              <w:rPr>
                <w:rFonts w:ascii="Arial" w:eastAsia="Arial" w:hAnsi="Arial" w:cs="Arial"/>
                <w:highlight w:val="white"/>
              </w:rPr>
            </w:pPr>
            <w:r>
              <w:rPr>
                <w:rFonts w:ascii="Arial" w:eastAsia="Arial" w:hAnsi="Arial" w:cs="Arial"/>
                <w:highlight w:val="white"/>
              </w:rPr>
              <w:lastRenderedPageBreak/>
              <w:t xml:space="preserve">“Por medio de la cual se modifica la estructura nacional </w:t>
            </w:r>
            <w:r>
              <w:rPr>
                <w:rFonts w:ascii="Arial" w:eastAsia="Arial" w:hAnsi="Arial" w:cs="Arial"/>
                <w:highlight w:val="white"/>
              </w:rPr>
              <w:lastRenderedPageBreak/>
              <w:t xml:space="preserve">de donación, trasplante de órganos, </w:t>
            </w:r>
            <w:r>
              <w:rPr>
                <w:rFonts w:ascii="Arial" w:eastAsia="Arial" w:hAnsi="Arial" w:cs="Arial"/>
                <w:b/>
                <w:bCs/>
                <w:highlight w:val="white"/>
                <w:u w:val="single"/>
              </w:rPr>
              <w:t>tejidos, células y derivado</w:t>
            </w:r>
            <w:r>
              <w:rPr>
                <w:rFonts w:ascii="Arial" w:eastAsia="Arial" w:hAnsi="Arial" w:cs="Arial"/>
                <w:highlight w:val="white"/>
              </w:rPr>
              <w:t xml:space="preserve">s </w:t>
            </w:r>
            <w:r>
              <w:rPr>
                <w:rFonts w:ascii="Arial" w:eastAsia="Arial" w:hAnsi="Arial" w:cs="Arial"/>
                <w:strike/>
                <w:highlight w:val="white"/>
              </w:rPr>
              <w:t>y componentes anatómicos</w:t>
            </w:r>
            <w:r>
              <w:rPr>
                <w:rFonts w:ascii="Arial" w:eastAsia="Arial" w:hAnsi="Arial" w:cs="Arial"/>
                <w:highlight w:val="white"/>
              </w:rPr>
              <w:t>, la Ley 9 de 1979, la Ley 1805 de 2016 y se dictan otras disposiciones”</w:t>
            </w:r>
          </w:p>
          <w:p w14:paraId="00000522" w14:textId="77777777" w:rsidR="001C40B0" w:rsidRDefault="001C40B0">
            <w:pPr>
              <w:jc w:val="both"/>
              <w:rPr>
                <w:rFonts w:ascii="Arial" w:eastAsia="Arial" w:hAnsi="Arial" w:cs="Arial"/>
              </w:rPr>
            </w:pPr>
          </w:p>
        </w:tc>
        <w:tc>
          <w:tcPr>
            <w:tcW w:w="2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23" w14:textId="77777777" w:rsidR="001C40B0" w:rsidRDefault="00291712">
            <w:pPr>
              <w:pBdr>
                <w:top w:val="nil"/>
                <w:left w:val="nil"/>
                <w:bottom w:val="nil"/>
                <w:right w:val="nil"/>
                <w:between w:val="nil"/>
              </w:pBdr>
              <w:jc w:val="both"/>
              <w:rPr>
                <w:rFonts w:ascii="Arial" w:eastAsia="Arial" w:hAnsi="Arial" w:cs="Arial"/>
                <w:color w:val="000000"/>
              </w:rPr>
            </w:pPr>
            <w:r>
              <w:rPr>
                <w:rFonts w:ascii="Arial" w:eastAsia="Arial" w:hAnsi="Arial" w:cs="Arial"/>
              </w:rPr>
              <w:lastRenderedPageBreak/>
              <w:t xml:space="preserve">Se ajusta la redacción. </w:t>
            </w:r>
          </w:p>
        </w:tc>
      </w:tr>
      <w:tr w:rsidR="001C40B0" w14:paraId="22FD40C8" w14:textId="77777777">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24" w14:textId="77777777" w:rsidR="001C40B0" w:rsidRDefault="00291712">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lastRenderedPageBreak/>
              <w:t>ARTÍCULO 1. OBJETO.</w:t>
            </w:r>
            <w:r>
              <w:rPr>
                <w:rFonts w:ascii="Arial" w:eastAsia="Arial" w:hAnsi="Arial" w:cs="Arial"/>
                <w:color w:val="000000"/>
              </w:rPr>
              <w:t xml:space="preserve"> La presente ley tiene por objeto actualizar la normativa del sistema de donación de órganos y/o tejidos previsto en el artículo 542 de la Ley 9 de 1979, se agregan algunas modificaciones a la Ley 1805 de 2016 y se dictan otras disposiciones; para dar mayor claridad, seguridad jurídica y eficiencia, y a la luz de los avances científicos y tecnológicos, salvar muchas más vidas.</w:t>
            </w:r>
          </w:p>
          <w:p w14:paraId="00000525" w14:textId="77777777" w:rsidR="001C40B0" w:rsidRDefault="001C40B0">
            <w:pPr>
              <w:pBdr>
                <w:top w:val="nil"/>
                <w:left w:val="nil"/>
                <w:bottom w:val="nil"/>
                <w:right w:val="nil"/>
                <w:between w:val="nil"/>
              </w:pBdr>
              <w:jc w:val="both"/>
              <w:rPr>
                <w:rFonts w:ascii="Arial" w:eastAsia="Arial" w:hAnsi="Arial" w:cs="Arial"/>
                <w:color w:val="000000"/>
              </w:rPr>
            </w:pPr>
          </w:p>
          <w:p w14:paraId="00000526" w14:textId="77777777" w:rsidR="001C40B0" w:rsidRDefault="0029171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Esta ley se interpretará y se aplicará con base en los principios de dignidad humana, autonomía de la voluntad, equidad y solidaridad.</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27" w14:textId="77777777" w:rsidR="001C40B0" w:rsidRDefault="00291712">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1. OBJETO.</w:t>
            </w:r>
            <w:r>
              <w:rPr>
                <w:rFonts w:ascii="Arial" w:eastAsia="Arial" w:hAnsi="Arial" w:cs="Arial"/>
                <w:color w:val="000000"/>
              </w:rPr>
              <w:t xml:space="preserve"> La presente ley tiene por objeto actualizar la normativa del sistema de donación de órganos y/o tejidos previsto en el artículo 542 de la Ley 9 de 1979, </w:t>
            </w:r>
            <w:r>
              <w:rPr>
                <w:rFonts w:ascii="Arial" w:eastAsia="Arial" w:hAnsi="Arial" w:cs="Arial"/>
                <w:strike/>
                <w:color w:val="000000"/>
              </w:rPr>
              <w:t>se agregan</w:t>
            </w:r>
            <w:r>
              <w:rPr>
                <w:rFonts w:ascii="Arial" w:eastAsia="Arial" w:hAnsi="Arial" w:cs="Arial"/>
                <w:color w:val="000000"/>
              </w:rPr>
              <w:t xml:space="preserve"> </w:t>
            </w:r>
            <w:r>
              <w:rPr>
                <w:rFonts w:ascii="Arial" w:eastAsia="Arial" w:hAnsi="Arial" w:cs="Arial"/>
                <w:b/>
                <w:bCs/>
                <w:color w:val="000000"/>
                <w:u w:val="single"/>
              </w:rPr>
              <w:t>agregar</w:t>
            </w:r>
            <w:r>
              <w:rPr>
                <w:rFonts w:ascii="Arial" w:eastAsia="Arial" w:hAnsi="Arial" w:cs="Arial"/>
                <w:color w:val="000000"/>
              </w:rPr>
              <w:t xml:space="preserve"> algunas modificaciones a la Ley 1805 de 2016 y </w:t>
            </w:r>
            <w:r>
              <w:rPr>
                <w:rFonts w:ascii="Arial" w:eastAsia="Arial" w:hAnsi="Arial" w:cs="Arial"/>
                <w:strike/>
                <w:color w:val="000000"/>
              </w:rPr>
              <w:t xml:space="preserve">se dictan </w:t>
            </w:r>
            <w:r>
              <w:rPr>
                <w:rFonts w:ascii="Arial" w:eastAsia="Arial" w:hAnsi="Arial" w:cs="Arial"/>
                <w:color w:val="000000"/>
              </w:rPr>
              <w:t xml:space="preserve"> </w:t>
            </w:r>
            <w:r>
              <w:rPr>
                <w:rFonts w:ascii="Arial" w:eastAsia="Arial" w:hAnsi="Arial" w:cs="Arial"/>
                <w:b/>
                <w:bCs/>
                <w:color w:val="000000"/>
                <w:u w:val="single"/>
              </w:rPr>
              <w:t>dictar</w:t>
            </w:r>
            <w:r>
              <w:rPr>
                <w:rFonts w:ascii="Arial" w:eastAsia="Arial" w:hAnsi="Arial" w:cs="Arial"/>
                <w:b/>
                <w:bCs/>
                <w:color w:val="000000"/>
              </w:rPr>
              <w:t xml:space="preserve"> </w:t>
            </w:r>
            <w:r>
              <w:rPr>
                <w:rFonts w:ascii="Arial" w:eastAsia="Arial" w:hAnsi="Arial" w:cs="Arial"/>
                <w:color w:val="000000"/>
              </w:rPr>
              <w:t>otras disposiciones; para dar mayor claridad, seguridad jurídica y eficiencia, y a la luz de los avances científicos y tecnológicos, salvar muchas más vidas.</w:t>
            </w:r>
          </w:p>
          <w:p w14:paraId="00000528" w14:textId="77777777" w:rsidR="001C40B0" w:rsidRDefault="001C40B0">
            <w:pPr>
              <w:pBdr>
                <w:top w:val="nil"/>
                <w:left w:val="nil"/>
                <w:bottom w:val="nil"/>
                <w:right w:val="nil"/>
                <w:between w:val="nil"/>
              </w:pBdr>
              <w:jc w:val="both"/>
              <w:rPr>
                <w:rFonts w:ascii="Arial" w:eastAsia="Arial" w:hAnsi="Arial" w:cs="Arial"/>
                <w:color w:val="000000"/>
              </w:rPr>
            </w:pPr>
          </w:p>
          <w:p w14:paraId="00000529" w14:textId="77777777" w:rsidR="001C40B0" w:rsidRDefault="0029171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Esta ley se interpretará y se aplicará con base en los principios de dignidad humana, autonomía de la voluntad, equidad y solidaridad.</w:t>
            </w:r>
          </w:p>
        </w:tc>
        <w:tc>
          <w:tcPr>
            <w:tcW w:w="2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2A" w14:textId="77777777" w:rsidR="001C40B0" w:rsidRDefault="0029171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w:t>
            </w:r>
            <w:r>
              <w:rPr>
                <w:rFonts w:ascii="Arial" w:eastAsia="Arial" w:hAnsi="Arial" w:cs="Arial"/>
              </w:rPr>
              <w:t>e ajusta la redacción.</w:t>
            </w:r>
          </w:p>
        </w:tc>
      </w:tr>
      <w:tr w:rsidR="001C40B0" w14:paraId="68AB04DB" w14:textId="77777777">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2B"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2. </w:t>
            </w:r>
            <w:r>
              <w:rPr>
                <w:rFonts w:ascii="Arial" w:eastAsia="Arial" w:hAnsi="Arial" w:cs="Arial"/>
                <w:color w:val="000000"/>
              </w:rPr>
              <w:t>Modifíquese el artículo 542 de la Ley 9ª de 1979, el cual quedará así:</w:t>
            </w:r>
          </w:p>
          <w:p w14:paraId="0000052C"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52D"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542.</w:t>
            </w:r>
            <w:r>
              <w:rPr>
                <w:rFonts w:ascii="Arial" w:eastAsia="Arial" w:hAnsi="Arial" w:cs="Arial"/>
                <w:color w:val="000000"/>
              </w:rPr>
              <w:t xml:space="preserve"> El Ministerio de Salud y Protección Social conforme a los criterios estandarizados de la OMS y convenios internacionales deberá:</w:t>
            </w:r>
          </w:p>
          <w:p w14:paraId="0000052E"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52F"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 Determinar y mantener actualizados, previa consulta a las sociedades científicas relacionadas con esta materia, los criterios para establecer la muerte encefálica o por parada </w:t>
            </w:r>
            <w:r>
              <w:rPr>
                <w:rFonts w:ascii="Arial" w:eastAsia="Arial" w:hAnsi="Arial" w:cs="Arial"/>
                <w:color w:val="000000"/>
              </w:rPr>
              <w:lastRenderedPageBreak/>
              <w:t>circulatoria y respiratoria irreversible de un paciente.</w:t>
            </w:r>
          </w:p>
          <w:p w14:paraId="00000530" w14:textId="77777777" w:rsidR="001C40B0" w:rsidRDefault="001C40B0">
            <w:pPr>
              <w:widowControl/>
              <w:pBdr>
                <w:top w:val="nil"/>
                <w:left w:val="nil"/>
                <w:bottom w:val="nil"/>
                <w:right w:val="nil"/>
                <w:between w:val="nil"/>
              </w:pBdr>
              <w:jc w:val="both"/>
              <w:rPr>
                <w:rFonts w:ascii="Arial" w:eastAsia="Arial" w:hAnsi="Arial" w:cs="Arial"/>
              </w:rPr>
            </w:pPr>
          </w:p>
          <w:p w14:paraId="00000531" w14:textId="77777777" w:rsidR="001C40B0" w:rsidRDefault="001C40B0">
            <w:pPr>
              <w:widowControl/>
              <w:pBdr>
                <w:top w:val="nil"/>
                <w:left w:val="nil"/>
                <w:bottom w:val="nil"/>
                <w:right w:val="nil"/>
                <w:between w:val="nil"/>
              </w:pBdr>
              <w:jc w:val="both"/>
              <w:rPr>
                <w:rFonts w:ascii="Arial" w:eastAsia="Arial" w:hAnsi="Arial" w:cs="Arial"/>
              </w:rPr>
            </w:pPr>
          </w:p>
          <w:p w14:paraId="00000532" w14:textId="77777777" w:rsidR="001C40B0" w:rsidRDefault="001C40B0">
            <w:pPr>
              <w:widowControl/>
              <w:pBdr>
                <w:top w:val="nil"/>
                <w:left w:val="nil"/>
                <w:bottom w:val="nil"/>
                <w:right w:val="nil"/>
                <w:between w:val="nil"/>
              </w:pBdr>
              <w:jc w:val="both"/>
              <w:rPr>
                <w:rFonts w:ascii="Arial" w:eastAsia="Arial" w:hAnsi="Arial" w:cs="Arial"/>
              </w:rPr>
            </w:pPr>
          </w:p>
          <w:p w14:paraId="00000533"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 Mantener actualizados los criterios que deberán ser constatados por quienes expidan el certificado de defunción.</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34" w14:textId="77777777" w:rsidR="001C40B0" w:rsidRDefault="00291712">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lastRenderedPageBreak/>
              <w:t xml:space="preserve">ARTÍCULO 2. </w:t>
            </w:r>
            <w:r>
              <w:rPr>
                <w:rFonts w:ascii="Arial" w:eastAsia="Arial" w:hAnsi="Arial" w:cs="Arial"/>
                <w:color w:val="000000"/>
              </w:rPr>
              <w:t>Modifíquese el artículo 542 de la Ley 9ª de 1979, el cual quedará así:</w:t>
            </w:r>
          </w:p>
          <w:p w14:paraId="00000535" w14:textId="77777777" w:rsidR="001C40B0" w:rsidRDefault="001C40B0">
            <w:pPr>
              <w:pBdr>
                <w:top w:val="nil"/>
                <w:left w:val="nil"/>
                <w:bottom w:val="nil"/>
                <w:right w:val="nil"/>
                <w:between w:val="nil"/>
              </w:pBdr>
              <w:jc w:val="both"/>
              <w:rPr>
                <w:rFonts w:ascii="Arial" w:eastAsia="Arial" w:hAnsi="Arial" w:cs="Arial"/>
                <w:color w:val="000000"/>
              </w:rPr>
            </w:pPr>
          </w:p>
          <w:p w14:paraId="00000536" w14:textId="77777777" w:rsidR="001C40B0" w:rsidRDefault="00291712">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542.</w:t>
            </w:r>
            <w:r>
              <w:rPr>
                <w:rFonts w:ascii="Arial" w:eastAsia="Arial" w:hAnsi="Arial" w:cs="Arial"/>
                <w:color w:val="000000"/>
              </w:rPr>
              <w:t xml:space="preserve"> El Ministerio de Salud y Protección Social conforme a los criterios estandarizados de la </w:t>
            </w:r>
            <w:r>
              <w:rPr>
                <w:rFonts w:ascii="Arial" w:eastAsia="Arial" w:hAnsi="Arial" w:cs="Arial"/>
                <w:b/>
                <w:bCs/>
                <w:color w:val="000000"/>
                <w:u w:val="single"/>
              </w:rPr>
              <w:t>Organizaci</w:t>
            </w:r>
            <w:r>
              <w:rPr>
                <w:rFonts w:ascii="Arial" w:eastAsia="Arial" w:hAnsi="Arial" w:cs="Arial"/>
                <w:b/>
                <w:bCs/>
                <w:u w:val="single"/>
              </w:rPr>
              <w:t>ón Mundial de la Salud</w:t>
            </w:r>
            <w:r>
              <w:rPr>
                <w:rFonts w:ascii="Arial" w:eastAsia="Arial" w:hAnsi="Arial" w:cs="Arial"/>
                <w:color w:val="000000"/>
              </w:rPr>
              <w:t xml:space="preserve"> (OMS) y convenios internacionales deberá:</w:t>
            </w:r>
          </w:p>
          <w:p w14:paraId="00000537" w14:textId="77777777" w:rsidR="001C40B0" w:rsidRDefault="001C40B0">
            <w:pPr>
              <w:pBdr>
                <w:top w:val="nil"/>
                <w:left w:val="nil"/>
                <w:bottom w:val="nil"/>
                <w:right w:val="nil"/>
                <w:between w:val="nil"/>
              </w:pBdr>
              <w:jc w:val="both"/>
              <w:rPr>
                <w:rFonts w:ascii="Arial" w:eastAsia="Arial" w:hAnsi="Arial" w:cs="Arial"/>
              </w:rPr>
            </w:pPr>
          </w:p>
          <w:p w14:paraId="00000538" w14:textId="77777777" w:rsidR="001C40B0" w:rsidRDefault="00291712">
            <w:pPr>
              <w:pBdr>
                <w:top w:val="nil"/>
                <w:left w:val="nil"/>
                <w:bottom w:val="nil"/>
                <w:right w:val="nil"/>
                <w:between w:val="nil"/>
              </w:pBdr>
              <w:jc w:val="both"/>
              <w:rPr>
                <w:rFonts w:ascii="Arial" w:eastAsia="Arial" w:hAnsi="Arial" w:cs="Arial"/>
                <w:b/>
                <w:bCs/>
                <w:color w:val="000000"/>
                <w:u w:val="single"/>
              </w:rPr>
            </w:pPr>
            <w:r>
              <w:rPr>
                <w:rFonts w:ascii="Arial" w:eastAsia="Arial" w:hAnsi="Arial" w:cs="Arial"/>
                <w:color w:val="000000"/>
              </w:rPr>
              <w:t xml:space="preserve">a) Determinar y mantener actualizados, previa consulta a las sociedades científicas relacionadas con esta materia, los criterios para establecer la muerte encefálica o </w:t>
            </w:r>
            <w:r>
              <w:rPr>
                <w:rFonts w:ascii="Arial" w:eastAsia="Arial" w:hAnsi="Arial" w:cs="Arial"/>
                <w:b/>
                <w:bCs/>
                <w:color w:val="000000"/>
                <w:u w:val="single"/>
              </w:rPr>
              <w:t xml:space="preserve">por </w:t>
            </w:r>
            <w:r>
              <w:rPr>
                <w:rFonts w:ascii="Arial" w:eastAsia="Arial" w:hAnsi="Arial" w:cs="Arial"/>
                <w:strike/>
              </w:rPr>
              <w:t xml:space="preserve">parada </w:t>
            </w:r>
            <w:r>
              <w:rPr>
                <w:rFonts w:ascii="Arial" w:eastAsia="Arial" w:hAnsi="Arial" w:cs="Arial"/>
                <w:strike/>
              </w:rPr>
              <w:lastRenderedPageBreak/>
              <w:t>circulatoria y respiratoria</w:t>
            </w:r>
            <w:r>
              <w:rPr>
                <w:rFonts w:ascii="Arial" w:eastAsia="Arial" w:hAnsi="Arial" w:cs="Arial"/>
              </w:rPr>
              <w:t xml:space="preserve"> </w:t>
            </w:r>
            <w:r>
              <w:rPr>
                <w:rFonts w:ascii="Arial" w:eastAsia="Arial" w:hAnsi="Arial" w:cs="Arial"/>
                <w:b/>
                <w:bCs/>
                <w:color w:val="000000"/>
                <w:u w:val="single"/>
              </w:rPr>
              <w:t>cese irreversible de las funciones cardiorrespiratorias de un paciente.</w:t>
            </w:r>
          </w:p>
          <w:p w14:paraId="00000539" w14:textId="77777777" w:rsidR="001C40B0" w:rsidRDefault="001C40B0">
            <w:pPr>
              <w:pBdr>
                <w:top w:val="nil"/>
                <w:left w:val="nil"/>
                <w:bottom w:val="nil"/>
                <w:right w:val="nil"/>
                <w:between w:val="nil"/>
              </w:pBdr>
              <w:jc w:val="both"/>
              <w:rPr>
                <w:rFonts w:ascii="Arial" w:eastAsia="Arial" w:hAnsi="Arial" w:cs="Arial"/>
                <w:b/>
                <w:bCs/>
                <w:color w:val="000000"/>
                <w:u w:val="single"/>
              </w:rPr>
            </w:pPr>
          </w:p>
          <w:p w14:paraId="0000053A" w14:textId="77777777" w:rsidR="001C40B0" w:rsidRDefault="0029171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 Mantener actualizados los criterios que deberán ser constatados por quienes expidan el certificado de defunción.</w:t>
            </w:r>
          </w:p>
        </w:tc>
        <w:tc>
          <w:tcPr>
            <w:tcW w:w="2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3B" w14:textId="77777777" w:rsidR="001C40B0" w:rsidRDefault="00291712">
            <w:pPr>
              <w:pBdr>
                <w:top w:val="nil"/>
                <w:left w:val="nil"/>
                <w:bottom w:val="nil"/>
                <w:right w:val="nil"/>
                <w:between w:val="nil"/>
              </w:pBdr>
              <w:jc w:val="both"/>
              <w:rPr>
                <w:rFonts w:ascii="Arial" w:eastAsia="Arial" w:hAnsi="Arial" w:cs="Arial"/>
                <w:color w:val="000000"/>
              </w:rPr>
            </w:pPr>
            <w:r>
              <w:rPr>
                <w:rFonts w:ascii="Arial" w:eastAsia="Arial" w:hAnsi="Arial" w:cs="Arial"/>
              </w:rPr>
              <w:lastRenderedPageBreak/>
              <w:t>Se acoge la proposición de la Representante Astrid Sánchez, pues incorpora el criterio de muerte por cese irreversible de las funciones cardiorrespiratorias, lo que aporta claridad clínica y seguridad jurídica.</w:t>
            </w:r>
          </w:p>
        </w:tc>
      </w:tr>
      <w:tr w:rsidR="001C40B0" w14:paraId="03E63B5A" w14:textId="77777777">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3C" w14:textId="77777777" w:rsidR="001C40B0" w:rsidRDefault="00291712">
            <w:pPr>
              <w:pBdr>
                <w:top w:val="nil"/>
                <w:left w:val="nil"/>
                <w:bottom w:val="nil"/>
                <w:right w:val="nil"/>
                <w:between w:val="nil"/>
              </w:pBdr>
              <w:spacing w:after="160"/>
              <w:jc w:val="both"/>
              <w:rPr>
                <w:rFonts w:ascii="Arial" w:eastAsia="Arial" w:hAnsi="Arial" w:cs="Arial"/>
                <w:color w:val="000000"/>
              </w:rPr>
            </w:pPr>
            <w:r>
              <w:rPr>
                <w:rFonts w:ascii="Arial" w:eastAsia="Arial" w:hAnsi="Arial" w:cs="Arial"/>
                <w:b/>
                <w:bCs/>
                <w:color w:val="000000"/>
              </w:rPr>
              <w:lastRenderedPageBreak/>
              <w:t>ARTÍCULO 3.</w:t>
            </w:r>
            <w:r>
              <w:rPr>
                <w:rFonts w:ascii="Arial" w:eastAsia="Arial" w:hAnsi="Arial" w:cs="Arial"/>
                <w:b/>
                <w:bCs/>
                <w:color w:val="000000"/>
                <w:highlight w:val="white"/>
              </w:rPr>
              <w:t xml:space="preserve"> </w:t>
            </w:r>
            <w:r>
              <w:rPr>
                <w:rFonts w:ascii="Arial" w:eastAsia="Arial" w:hAnsi="Arial" w:cs="Arial"/>
                <w:color w:val="000000"/>
              </w:rPr>
              <w:t>Modifíquese el artículo 6° de la Ley 1805 de 2016, el cual quedará así:</w:t>
            </w:r>
          </w:p>
          <w:p w14:paraId="0000053D" w14:textId="77777777" w:rsidR="001C40B0" w:rsidRDefault="00291712">
            <w:pPr>
              <w:pBdr>
                <w:top w:val="nil"/>
                <w:left w:val="nil"/>
                <w:bottom w:val="nil"/>
                <w:right w:val="nil"/>
                <w:between w:val="nil"/>
              </w:pBdr>
              <w:spacing w:after="160"/>
              <w:jc w:val="both"/>
              <w:rPr>
                <w:rFonts w:ascii="Arial" w:eastAsia="Arial" w:hAnsi="Arial" w:cs="Arial"/>
                <w:color w:val="000000"/>
              </w:rPr>
            </w:pPr>
            <w:r>
              <w:rPr>
                <w:rFonts w:ascii="Arial" w:eastAsia="Arial" w:hAnsi="Arial" w:cs="Arial"/>
                <w:b/>
                <w:bCs/>
                <w:color w:val="000000"/>
              </w:rPr>
              <w:t>ARTÍCULO 6.</w:t>
            </w:r>
            <w:r>
              <w:rPr>
                <w:rFonts w:ascii="Arial" w:eastAsia="Arial" w:hAnsi="Arial" w:cs="Arial"/>
                <w:color w:val="000000"/>
              </w:rPr>
              <w:t xml:space="preserve"> Por lo menos una proporción equivalente al quince por ciento (15%) del presupuesto asignado a la pauta oficial de aquellas entidades del sector Salud tanto de la Rama Ejecutiva del orden nacional, departamental y municipal, como del Sector Descentralizado por Servicios, se destinará a promocionar la donación de órganos y tejidos y a explicar el alcance y naturaleza de la presunción legal de donación. Los proyectos, programas y/o actividades que se financien con estos recursos, deberán propender porque la donación y el trasplante de órganos sea entendido como un acto enteramente voluntario, difundir el Registro Nacional de Donantes y la opción de manifestar la voluntad negativa a la donación. Lo anterior, sin perjuicio de la inversión que pueda promoverse por parte de los organismos e instituciones privadas.</w:t>
            </w:r>
          </w:p>
          <w:p w14:paraId="0000053E" w14:textId="77777777" w:rsidR="001C40B0" w:rsidRDefault="00291712">
            <w:pPr>
              <w:pBdr>
                <w:top w:val="nil"/>
                <w:left w:val="nil"/>
                <w:bottom w:val="nil"/>
                <w:right w:val="nil"/>
                <w:between w:val="nil"/>
              </w:pBdr>
              <w:spacing w:after="160"/>
              <w:jc w:val="both"/>
              <w:rPr>
                <w:rFonts w:ascii="Arial" w:eastAsia="Arial" w:hAnsi="Arial" w:cs="Arial"/>
                <w:color w:val="000000"/>
              </w:rPr>
            </w:pPr>
            <w:r>
              <w:rPr>
                <w:rFonts w:ascii="Arial" w:eastAsia="Arial" w:hAnsi="Arial" w:cs="Arial"/>
                <w:b/>
                <w:bCs/>
                <w:color w:val="000000"/>
              </w:rPr>
              <w:t xml:space="preserve">PARÁGRAFO: </w:t>
            </w:r>
            <w:r>
              <w:rPr>
                <w:rFonts w:ascii="Arial" w:eastAsia="Arial" w:hAnsi="Arial" w:cs="Arial"/>
                <w:color w:val="000000"/>
              </w:rPr>
              <w:t xml:space="preserve">El Ministerio de Salud y Protección Social </w:t>
            </w:r>
            <w:r>
              <w:rPr>
                <w:rFonts w:ascii="Arial" w:eastAsia="Arial" w:hAnsi="Arial" w:cs="Arial"/>
                <w:color w:val="000000"/>
              </w:rPr>
              <w:lastRenderedPageBreak/>
              <w:t>deberá publicar anualmente en su página web oficiales un informe de las inversiones de las campañas realizadas y el impacto alcanzado en número de donantes y trasplantes en Colombia.</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3F" w14:textId="77777777" w:rsidR="001C40B0" w:rsidRDefault="00291712">
            <w:pPr>
              <w:pBdr>
                <w:top w:val="nil"/>
                <w:left w:val="nil"/>
                <w:bottom w:val="nil"/>
                <w:right w:val="nil"/>
                <w:between w:val="nil"/>
              </w:pBdr>
              <w:spacing w:after="160"/>
              <w:jc w:val="both"/>
              <w:rPr>
                <w:rFonts w:ascii="Arial" w:eastAsia="Arial" w:hAnsi="Arial" w:cs="Arial"/>
                <w:color w:val="000000"/>
              </w:rPr>
            </w:pPr>
            <w:r>
              <w:rPr>
                <w:rFonts w:ascii="Arial" w:eastAsia="Arial" w:hAnsi="Arial" w:cs="Arial"/>
                <w:b/>
                <w:bCs/>
                <w:color w:val="000000"/>
              </w:rPr>
              <w:lastRenderedPageBreak/>
              <w:t>ARTÍCULO 3.</w:t>
            </w:r>
            <w:r>
              <w:rPr>
                <w:rFonts w:ascii="Arial" w:eastAsia="Arial" w:hAnsi="Arial" w:cs="Arial"/>
                <w:b/>
                <w:bCs/>
                <w:color w:val="000000"/>
                <w:highlight w:val="white"/>
              </w:rPr>
              <w:t xml:space="preserve"> </w:t>
            </w:r>
            <w:r>
              <w:rPr>
                <w:rFonts w:ascii="Arial" w:eastAsia="Arial" w:hAnsi="Arial" w:cs="Arial"/>
                <w:color w:val="000000"/>
              </w:rPr>
              <w:t>Modifíquese el artículo 6° de la Ley 1805 de 2016, el cual quedará así:</w:t>
            </w:r>
          </w:p>
          <w:p w14:paraId="00000540" w14:textId="77777777" w:rsidR="001C40B0" w:rsidRDefault="00291712">
            <w:pPr>
              <w:pBdr>
                <w:top w:val="nil"/>
                <w:left w:val="nil"/>
                <w:bottom w:val="nil"/>
                <w:right w:val="nil"/>
                <w:between w:val="nil"/>
              </w:pBdr>
              <w:spacing w:after="160"/>
              <w:jc w:val="both"/>
              <w:rPr>
                <w:rFonts w:ascii="Arial" w:eastAsia="Arial" w:hAnsi="Arial" w:cs="Arial"/>
                <w:color w:val="000000"/>
              </w:rPr>
            </w:pPr>
            <w:r>
              <w:rPr>
                <w:rFonts w:ascii="Arial" w:eastAsia="Arial" w:hAnsi="Arial" w:cs="Arial"/>
                <w:b/>
                <w:bCs/>
                <w:color w:val="000000"/>
              </w:rPr>
              <w:t>ARTÍCULO 6.</w:t>
            </w:r>
            <w:r>
              <w:rPr>
                <w:rFonts w:ascii="Arial" w:eastAsia="Arial" w:hAnsi="Arial" w:cs="Arial"/>
                <w:color w:val="000000"/>
              </w:rPr>
              <w:t xml:space="preserve"> Por lo menos una proporción equivalente al quince por ciento (15%) del presupuesto asignado a la pauta oficial de aquellas entidades del sector Salud tanto de la Rama Ejecutiva del orden nacional, departamental y municipal, como del Sector Descentralizado por Servicios, se destinará a promocionar la donación de órganos</w:t>
            </w:r>
            <w:r>
              <w:rPr>
                <w:rFonts w:ascii="Arial" w:eastAsia="Arial" w:hAnsi="Arial" w:cs="Arial"/>
                <w:b/>
                <w:bCs/>
                <w:color w:val="000000"/>
                <w:u w:val="single"/>
              </w:rPr>
              <w:t>,</w:t>
            </w:r>
            <w:r>
              <w:rPr>
                <w:rFonts w:ascii="Arial" w:eastAsia="Arial" w:hAnsi="Arial" w:cs="Arial"/>
                <w:color w:val="000000"/>
              </w:rPr>
              <w:t xml:space="preserve"> </w:t>
            </w:r>
            <w:r>
              <w:rPr>
                <w:rFonts w:ascii="Arial" w:eastAsia="Arial" w:hAnsi="Arial" w:cs="Arial"/>
                <w:strike/>
              </w:rPr>
              <w:t xml:space="preserve">y </w:t>
            </w:r>
            <w:r>
              <w:rPr>
                <w:rFonts w:ascii="Arial" w:eastAsia="Arial" w:hAnsi="Arial" w:cs="Arial"/>
                <w:color w:val="000000"/>
              </w:rPr>
              <w:t xml:space="preserve">tejidos </w:t>
            </w:r>
            <w:r>
              <w:rPr>
                <w:rFonts w:ascii="Arial" w:eastAsia="Arial" w:hAnsi="Arial" w:cs="Arial"/>
                <w:b/>
                <w:bCs/>
                <w:color w:val="000000"/>
                <w:highlight w:val="white"/>
                <w:u w:val="single"/>
              </w:rPr>
              <w:t>y derivados</w:t>
            </w:r>
            <w:r>
              <w:rPr>
                <w:rFonts w:ascii="Arial" w:eastAsia="Arial" w:hAnsi="Arial" w:cs="Arial"/>
                <w:color w:val="000000"/>
                <w:highlight w:val="white"/>
              </w:rPr>
              <w:t xml:space="preserve"> y a explicar el alcance y naturaleza de la presunción legal de donación. Los proyectos, programas y/o actividades que se financien con estos recursos, deberán propender porque la donación y el trasplante de </w:t>
            </w:r>
            <w:r>
              <w:rPr>
                <w:rFonts w:ascii="Arial" w:eastAsia="Arial" w:hAnsi="Arial" w:cs="Arial"/>
                <w:highlight w:val="white"/>
              </w:rPr>
              <w:t>órganos</w:t>
            </w:r>
            <w:r>
              <w:rPr>
                <w:rFonts w:ascii="Arial" w:eastAsia="Arial" w:hAnsi="Arial" w:cs="Arial"/>
                <w:b/>
                <w:bCs/>
                <w:highlight w:val="white"/>
                <w:u w:val="single"/>
              </w:rPr>
              <w:t>,</w:t>
            </w:r>
            <w:r>
              <w:rPr>
                <w:rFonts w:ascii="Arial" w:eastAsia="Arial" w:hAnsi="Arial" w:cs="Arial"/>
                <w:highlight w:val="white"/>
              </w:rPr>
              <w:t xml:space="preserve"> </w:t>
            </w:r>
            <w:r>
              <w:rPr>
                <w:rFonts w:ascii="Arial" w:eastAsia="Arial" w:hAnsi="Arial" w:cs="Arial"/>
                <w:strike/>
                <w:highlight w:val="white"/>
              </w:rPr>
              <w:t xml:space="preserve">y </w:t>
            </w:r>
            <w:r>
              <w:rPr>
                <w:rFonts w:ascii="Arial" w:eastAsia="Arial" w:hAnsi="Arial" w:cs="Arial"/>
                <w:b/>
                <w:bCs/>
                <w:highlight w:val="white"/>
                <w:u w:val="single"/>
              </w:rPr>
              <w:t>tejidos y derivados</w:t>
            </w:r>
            <w:r>
              <w:rPr>
                <w:rFonts w:ascii="Arial" w:eastAsia="Arial" w:hAnsi="Arial" w:cs="Arial"/>
                <w:highlight w:val="white"/>
              </w:rPr>
              <w:t xml:space="preserve"> </w:t>
            </w:r>
            <w:r>
              <w:rPr>
                <w:rFonts w:ascii="Arial" w:eastAsia="Arial" w:hAnsi="Arial" w:cs="Arial"/>
                <w:color w:val="000000"/>
              </w:rPr>
              <w:t xml:space="preserve"> sea entendido como un acto enteramente voluntario, difundir el Registro Nacional de Donantes y la opción de manifestar la voluntad negativa a la donación. Lo anterior, sin perjuicio de la inversión que pueda promoverse por parte de los organismos e instituciones privadas.</w:t>
            </w:r>
          </w:p>
          <w:p w14:paraId="00000541" w14:textId="77777777" w:rsidR="001C40B0" w:rsidRDefault="00291712">
            <w:pPr>
              <w:pBdr>
                <w:top w:val="nil"/>
                <w:left w:val="nil"/>
                <w:bottom w:val="nil"/>
                <w:right w:val="nil"/>
                <w:between w:val="nil"/>
              </w:pBdr>
              <w:spacing w:after="160"/>
              <w:jc w:val="both"/>
              <w:rPr>
                <w:rFonts w:ascii="Arial" w:eastAsia="Arial" w:hAnsi="Arial" w:cs="Arial"/>
                <w:color w:val="000000"/>
              </w:rPr>
            </w:pPr>
            <w:r>
              <w:rPr>
                <w:rFonts w:ascii="Arial" w:eastAsia="Arial" w:hAnsi="Arial" w:cs="Arial"/>
                <w:b/>
                <w:bCs/>
                <w:color w:val="000000"/>
              </w:rPr>
              <w:t xml:space="preserve">PARÁGRAFO: </w:t>
            </w:r>
            <w:r>
              <w:rPr>
                <w:rFonts w:ascii="Arial" w:eastAsia="Arial" w:hAnsi="Arial" w:cs="Arial"/>
                <w:color w:val="000000"/>
              </w:rPr>
              <w:t xml:space="preserve">El Ministerio de </w:t>
            </w:r>
            <w:r>
              <w:rPr>
                <w:rFonts w:ascii="Arial" w:eastAsia="Arial" w:hAnsi="Arial" w:cs="Arial"/>
                <w:color w:val="000000"/>
              </w:rPr>
              <w:lastRenderedPageBreak/>
              <w:t>Salud y Protección Social deberá publicar anualmente en su página web oficial un informe de las inversiones de las campañas realizadas y el impacto alcanzado en número de donantes y trasplantes en Colombia.</w:t>
            </w:r>
          </w:p>
        </w:tc>
        <w:tc>
          <w:tcPr>
            <w:tcW w:w="2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42" w14:textId="77777777" w:rsidR="001C40B0" w:rsidRDefault="00291712">
            <w:pPr>
              <w:jc w:val="both"/>
              <w:rPr>
                <w:rFonts w:ascii="Arial" w:eastAsia="Arial" w:hAnsi="Arial" w:cs="Arial"/>
              </w:rPr>
            </w:pPr>
            <w:r>
              <w:rPr>
                <w:rFonts w:ascii="Arial" w:eastAsia="Arial" w:hAnsi="Arial" w:cs="Arial"/>
              </w:rPr>
              <w:lastRenderedPageBreak/>
              <w:t>Se ajusta la redacción.</w:t>
            </w:r>
          </w:p>
        </w:tc>
      </w:tr>
      <w:tr w:rsidR="001C40B0" w14:paraId="327F8D7D" w14:textId="77777777">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43"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lastRenderedPageBreak/>
              <w:t xml:space="preserve">ARTÍCULO 4. </w:t>
            </w:r>
            <w:r>
              <w:rPr>
                <w:rFonts w:ascii="Arial" w:eastAsia="Arial" w:hAnsi="Arial" w:cs="Arial"/>
                <w:color w:val="000000"/>
              </w:rPr>
              <w:t>Modifíquese el artículo 8° de la Ley 1805 de 2016, el cual quedará así:</w:t>
            </w:r>
          </w:p>
          <w:p w14:paraId="00000544" w14:textId="77777777" w:rsidR="001C40B0" w:rsidRDefault="001C40B0">
            <w:pPr>
              <w:widowControl/>
              <w:pBdr>
                <w:top w:val="nil"/>
                <w:left w:val="nil"/>
                <w:bottom w:val="nil"/>
                <w:right w:val="nil"/>
                <w:between w:val="nil"/>
              </w:pBdr>
              <w:jc w:val="both"/>
              <w:rPr>
                <w:rFonts w:ascii="Arial" w:eastAsia="Arial" w:hAnsi="Arial" w:cs="Arial"/>
                <w:b/>
                <w:bCs/>
                <w:color w:val="000000"/>
              </w:rPr>
            </w:pPr>
          </w:p>
          <w:p w14:paraId="00000545"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8. </w:t>
            </w:r>
            <w:r>
              <w:rPr>
                <w:rFonts w:ascii="Arial" w:eastAsia="Arial" w:hAnsi="Arial" w:cs="Arial"/>
                <w:color w:val="000000"/>
              </w:rPr>
              <w:t>Las Instituciones Prestadoras de Salud (IPS) deberán contar con los recursos humanos, tecnológicos, formativos, éticos y técnicos idóneos con el fin de detectar en tiempo real a los posibles donantes de acuerdo con los criterios y competencias que establezca el Instituto Nacional de Salud (INS) o quien haga sus veces.</w:t>
            </w:r>
          </w:p>
          <w:p w14:paraId="00000546"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547"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Las Instituciones Prestadoras de Salud (IPS) de Nivel II con Unidad de Cuidados Intensivos (UCI) y las Instituciones Prestadoras de Salud (IPS) de</w:t>
            </w:r>
          </w:p>
          <w:p w14:paraId="00000548"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Nivel III y IV, deberán con los recursos humanos</w:t>
            </w:r>
            <w:r>
              <w:rPr>
                <w:rFonts w:ascii="Arial" w:eastAsia="Arial" w:hAnsi="Arial" w:cs="Arial"/>
                <w:b/>
                <w:bCs/>
                <w:color w:val="000000"/>
              </w:rPr>
              <w:t xml:space="preserve">, </w:t>
            </w:r>
            <w:r>
              <w:rPr>
                <w:rFonts w:ascii="Arial" w:eastAsia="Arial" w:hAnsi="Arial" w:cs="Arial"/>
                <w:color w:val="000000"/>
              </w:rPr>
              <w:t>tecnológicos, formativos, éticos y técnicos necesarios para el diagnóstico de la muerte y el mantenimiento del donante hasta su rescate. Para tal fin, deberán contar con médicos coordinadores operativos. Igualmente, podrán disponer de la participación de otros profesionales de la salud para</w:t>
            </w:r>
            <w:r>
              <w:rPr>
                <w:rFonts w:ascii="Arial" w:eastAsia="Arial" w:hAnsi="Arial" w:cs="Arial"/>
              </w:rPr>
              <w:t xml:space="preserve"> </w:t>
            </w:r>
            <w:r>
              <w:rPr>
                <w:rFonts w:ascii="Arial" w:eastAsia="Arial" w:hAnsi="Arial" w:cs="Arial"/>
                <w:color w:val="000000"/>
              </w:rPr>
              <w:t>apoyar la comunicación del diagnóstico de muerte a los familiares</w:t>
            </w:r>
            <w:r>
              <w:rPr>
                <w:rFonts w:ascii="Arial" w:eastAsia="Arial" w:hAnsi="Arial" w:cs="Arial"/>
                <w:b/>
                <w:bCs/>
                <w:color w:val="000000"/>
              </w:rPr>
              <w:t>.</w:t>
            </w:r>
            <w:r>
              <w:rPr>
                <w:rFonts w:ascii="Arial" w:eastAsia="Arial" w:hAnsi="Arial" w:cs="Arial"/>
                <w:color w:val="000000"/>
              </w:rPr>
              <w:t xml:space="preserve"> Estos recursos </w:t>
            </w:r>
            <w:r>
              <w:rPr>
                <w:rFonts w:ascii="Arial" w:eastAsia="Arial" w:hAnsi="Arial" w:cs="Arial"/>
                <w:color w:val="000000"/>
              </w:rPr>
              <w:lastRenderedPageBreak/>
              <w:t>serán un requisito de habilitación.</w:t>
            </w:r>
          </w:p>
          <w:p w14:paraId="00000549"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54A"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Las disposiciones previstas en este artículo se aplicarán de acuerdo con los lineamientos establecidos por el Instituto Nacional de Salud (INS) o quien haga sus veces. </w:t>
            </w:r>
          </w:p>
          <w:p w14:paraId="0000054B" w14:textId="77777777" w:rsidR="001C40B0" w:rsidRDefault="001C40B0">
            <w:pPr>
              <w:widowControl/>
              <w:pBdr>
                <w:top w:val="nil"/>
                <w:left w:val="nil"/>
                <w:bottom w:val="nil"/>
                <w:right w:val="nil"/>
                <w:between w:val="nil"/>
              </w:pBdr>
              <w:jc w:val="both"/>
              <w:rPr>
                <w:rFonts w:ascii="Arial" w:eastAsia="Arial" w:hAnsi="Arial" w:cs="Arial"/>
              </w:rPr>
            </w:pPr>
          </w:p>
          <w:p w14:paraId="0000054C"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 auditoría de estos procedimientos estará a cargo del Instituto Nacional de Salud (INS) o quien haga sus veces, quien podrá delegar dicha función en las coordinaciones regionales de la Red de Donación y Trasplantes de Órganos y Tejidos.</w:t>
            </w:r>
          </w:p>
          <w:p w14:paraId="0000054D"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54E"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PARÁGRAFO 1. </w:t>
            </w:r>
            <w:r>
              <w:rPr>
                <w:rFonts w:ascii="Arial" w:eastAsia="Arial" w:hAnsi="Arial" w:cs="Arial"/>
                <w:color w:val="000000"/>
              </w:rPr>
              <w:t>El Ministerio de Salud y Protección Social establecerá apoyo técnico y financiero en IPS que tengan debilidades en dichos criterios. Esto será reglamentado y tendrá un carácter transitorio.</w:t>
            </w:r>
          </w:p>
          <w:p w14:paraId="0000054F" w14:textId="77777777" w:rsidR="001C40B0" w:rsidRDefault="001C40B0">
            <w:pPr>
              <w:widowControl/>
              <w:pBdr>
                <w:top w:val="nil"/>
                <w:left w:val="nil"/>
                <w:bottom w:val="nil"/>
                <w:right w:val="nil"/>
                <w:between w:val="nil"/>
              </w:pBdr>
              <w:jc w:val="both"/>
              <w:rPr>
                <w:rFonts w:ascii="Arial" w:eastAsia="Arial" w:hAnsi="Arial" w:cs="Arial"/>
                <w:b/>
                <w:bCs/>
                <w:color w:val="000000"/>
              </w:rPr>
            </w:pPr>
          </w:p>
          <w:p w14:paraId="00000550"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PARÁGRAFO 2.</w:t>
            </w:r>
            <w:r>
              <w:rPr>
                <w:rFonts w:ascii="Arial" w:eastAsia="Arial" w:hAnsi="Arial" w:cs="Arial"/>
                <w:color w:val="000000"/>
              </w:rPr>
              <w:t xml:space="preserve"> El Gobierno reglamentará lo relativo a este artículo en plazo no mayor a seis (6) meses, contados a partir de la entrada en vigencia de la presente Ley.</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51" w14:textId="77777777" w:rsidR="001C40B0" w:rsidRDefault="00291712">
            <w:pPr>
              <w:pBdr>
                <w:top w:val="nil"/>
                <w:left w:val="nil"/>
                <w:bottom w:val="nil"/>
                <w:right w:val="nil"/>
                <w:between w:val="nil"/>
              </w:pBdr>
              <w:spacing w:after="160"/>
              <w:jc w:val="both"/>
              <w:rPr>
                <w:rFonts w:ascii="Arial" w:eastAsia="Arial" w:hAnsi="Arial" w:cs="Arial"/>
                <w:color w:val="000000"/>
              </w:rPr>
            </w:pPr>
            <w:r>
              <w:rPr>
                <w:rFonts w:ascii="Arial" w:eastAsia="Arial" w:hAnsi="Arial" w:cs="Arial"/>
                <w:b/>
                <w:bCs/>
                <w:color w:val="000000"/>
              </w:rPr>
              <w:lastRenderedPageBreak/>
              <w:t xml:space="preserve">ARTÍCULO 4. </w:t>
            </w:r>
            <w:r>
              <w:rPr>
                <w:rFonts w:ascii="Arial" w:eastAsia="Arial" w:hAnsi="Arial" w:cs="Arial"/>
                <w:color w:val="000000"/>
              </w:rPr>
              <w:t>Modifíquese el artículo 8° de la Ley 1805 de 2016, el cual quedará así:</w:t>
            </w:r>
          </w:p>
          <w:p w14:paraId="00000552" w14:textId="77777777" w:rsidR="001C40B0" w:rsidRDefault="00291712">
            <w:pPr>
              <w:pBdr>
                <w:top w:val="nil"/>
                <w:left w:val="nil"/>
                <w:bottom w:val="nil"/>
                <w:right w:val="nil"/>
                <w:between w:val="nil"/>
              </w:pBdr>
              <w:spacing w:after="160"/>
              <w:jc w:val="both"/>
              <w:rPr>
                <w:rFonts w:ascii="Arial" w:eastAsia="Arial" w:hAnsi="Arial" w:cs="Arial"/>
                <w:b/>
                <w:bCs/>
                <w:color w:val="000000"/>
              </w:rPr>
            </w:pPr>
            <w:r>
              <w:rPr>
                <w:rFonts w:ascii="Arial" w:eastAsia="Arial" w:hAnsi="Arial" w:cs="Arial"/>
                <w:b/>
                <w:bCs/>
                <w:color w:val="000000"/>
              </w:rPr>
              <w:t xml:space="preserve">ARTÍCULO 8. </w:t>
            </w:r>
            <w:r>
              <w:rPr>
                <w:rFonts w:ascii="Arial" w:eastAsia="Arial" w:hAnsi="Arial" w:cs="Arial"/>
                <w:color w:val="000000"/>
              </w:rPr>
              <w:t xml:space="preserve">Las Instituciones Prestadoras de Salud (IPS), deberán contar con los recursos humanos, tecnológicos, formativos, éticos y técnicos idóneos con el fin de detectar en tiempo real a los posibles donantes de acuerdo con los criterios y competencias que establezca el </w:t>
            </w:r>
            <w:r>
              <w:rPr>
                <w:rFonts w:ascii="Arial" w:eastAsia="Arial" w:hAnsi="Arial" w:cs="Arial"/>
                <w:b/>
                <w:bCs/>
                <w:color w:val="000000"/>
              </w:rPr>
              <w:t>Instituto Nacional de Salud (INS), o quien haga sus veces.</w:t>
            </w:r>
          </w:p>
          <w:p w14:paraId="00000553" w14:textId="77777777" w:rsidR="001C40B0" w:rsidRDefault="00291712">
            <w:pPr>
              <w:pBdr>
                <w:top w:val="nil"/>
                <w:left w:val="nil"/>
                <w:bottom w:val="nil"/>
                <w:right w:val="nil"/>
                <w:between w:val="nil"/>
              </w:pBdr>
              <w:spacing w:after="160"/>
              <w:jc w:val="both"/>
              <w:rPr>
                <w:rFonts w:ascii="Arial" w:eastAsia="Arial" w:hAnsi="Arial" w:cs="Arial"/>
              </w:rPr>
            </w:pPr>
            <w:r>
              <w:rPr>
                <w:rFonts w:ascii="Arial" w:eastAsia="Arial" w:hAnsi="Arial" w:cs="Arial"/>
                <w:color w:val="000000"/>
              </w:rPr>
              <w:t>Las Instituciones Prestadoras de Salud (IPS), de Nivel II con Unidad de Cuidados Intensivos (UCI) y las Instituciones Prestadoras de Salud (IPS)</w:t>
            </w:r>
            <w:r>
              <w:rPr>
                <w:rFonts w:ascii="Arial" w:eastAsia="Arial" w:hAnsi="Arial" w:cs="Arial"/>
              </w:rPr>
              <w:t xml:space="preserve">, </w:t>
            </w:r>
            <w:r>
              <w:rPr>
                <w:rFonts w:ascii="Arial" w:eastAsia="Arial" w:hAnsi="Arial" w:cs="Arial"/>
                <w:color w:val="000000"/>
              </w:rPr>
              <w:t xml:space="preserve">de Nivel III y IV, deberán </w:t>
            </w:r>
            <w:r>
              <w:rPr>
                <w:rFonts w:ascii="Arial" w:eastAsia="Arial" w:hAnsi="Arial" w:cs="Arial"/>
                <w:b/>
                <w:bCs/>
                <w:u w:val="single"/>
              </w:rPr>
              <w:t xml:space="preserve">contar </w:t>
            </w:r>
            <w:r>
              <w:rPr>
                <w:rFonts w:ascii="Arial" w:eastAsia="Arial" w:hAnsi="Arial" w:cs="Arial"/>
              </w:rPr>
              <w:t>con</w:t>
            </w:r>
            <w:r>
              <w:rPr>
                <w:rFonts w:ascii="Arial" w:eastAsia="Arial" w:hAnsi="Arial" w:cs="Arial"/>
                <w:color w:val="000000"/>
              </w:rPr>
              <w:t xml:space="preserve"> los recursos humanos</w:t>
            </w:r>
            <w:r>
              <w:rPr>
                <w:rFonts w:ascii="Arial" w:eastAsia="Arial" w:hAnsi="Arial" w:cs="Arial"/>
                <w:b/>
                <w:bCs/>
                <w:color w:val="000000"/>
              </w:rPr>
              <w:t xml:space="preserve">, </w:t>
            </w:r>
            <w:r>
              <w:rPr>
                <w:rFonts w:ascii="Arial" w:eastAsia="Arial" w:hAnsi="Arial" w:cs="Arial"/>
                <w:color w:val="000000"/>
              </w:rPr>
              <w:t xml:space="preserve">tecnológicos, formativos, éticos y técnicos necesarios para </w:t>
            </w:r>
            <w:r>
              <w:rPr>
                <w:rFonts w:ascii="Arial" w:eastAsia="Arial" w:hAnsi="Arial" w:cs="Arial"/>
                <w:b/>
                <w:bCs/>
                <w:color w:val="000000"/>
                <w:u w:val="single"/>
              </w:rPr>
              <w:t>realizar</w:t>
            </w:r>
            <w:r>
              <w:rPr>
                <w:rFonts w:ascii="Arial" w:eastAsia="Arial" w:hAnsi="Arial" w:cs="Arial"/>
                <w:color w:val="000000"/>
              </w:rPr>
              <w:t xml:space="preserve"> el diagnóstico de la muerte y el mantenimiento del donante hasta su rescate. Para tal fin, deberán contar con médicos coordinadores operativos. Igualmente, podrán disponer de la participación de otros profesionales de la salud para apoyar la comunicación del diagnóstico de muerte a los familiares</w:t>
            </w:r>
            <w:r>
              <w:rPr>
                <w:rFonts w:ascii="Arial" w:eastAsia="Arial" w:hAnsi="Arial" w:cs="Arial"/>
                <w:b/>
                <w:bCs/>
                <w:color w:val="000000"/>
              </w:rPr>
              <w:t>.</w:t>
            </w:r>
            <w:r>
              <w:rPr>
                <w:rFonts w:ascii="Arial" w:eastAsia="Arial" w:hAnsi="Arial" w:cs="Arial"/>
                <w:color w:val="000000"/>
              </w:rPr>
              <w:t xml:space="preserve"> Estos recursos serán un requisito de </w:t>
            </w:r>
            <w:r>
              <w:rPr>
                <w:rFonts w:ascii="Arial" w:eastAsia="Arial" w:hAnsi="Arial" w:cs="Arial"/>
                <w:color w:val="000000"/>
              </w:rPr>
              <w:lastRenderedPageBreak/>
              <w:t>habilitación.</w:t>
            </w:r>
          </w:p>
          <w:p w14:paraId="00000554" w14:textId="77777777" w:rsidR="001C40B0" w:rsidRDefault="00291712">
            <w:pPr>
              <w:pBdr>
                <w:top w:val="nil"/>
                <w:left w:val="nil"/>
                <w:bottom w:val="nil"/>
                <w:right w:val="nil"/>
                <w:between w:val="nil"/>
              </w:pBdr>
              <w:spacing w:after="160"/>
              <w:jc w:val="both"/>
              <w:rPr>
                <w:rFonts w:ascii="Arial" w:eastAsia="Arial" w:hAnsi="Arial" w:cs="Arial"/>
                <w:color w:val="000000"/>
              </w:rPr>
            </w:pPr>
            <w:r>
              <w:rPr>
                <w:rFonts w:ascii="Arial" w:eastAsia="Arial" w:hAnsi="Arial" w:cs="Arial"/>
                <w:color w:val="000000"/>
              </w:rPr>
              <w:t>Las disposiciones previstas en este artículo se aplicarán de acuerdo con los lineamientos establecidos por el Instituto Nacional de Salud (INS), o quien haga sus veces.</w:t>
            </w:r>
          </w:p>
          <w:p w14:paraId="00000555" w14:textId="77777777" w:rsidR="001C40B0" w:rsidRDefault="00291712">
            <w:pPr>
              <w:pBdr>
                <w:top w:val="nil"/>
                <w:left w:val="nil"/>
                <w:bottom w:val="nil"/>
                <w:right w:val="nil"/>
                <w:between w:val="nil"/>
              </w:pBdr>
              <w:spacing w:after="160"/>
              <w:jc w:val="both"/>
              <w:rPr>
                <w:rFonts w:ascii="Arial" w:eastAsia="Arial" w:hAnsi="Arial" w:cs="Arial"/>
                <w:color w:val="000000"/>
              </w:rPr>
            </w:pPr>
            <w:r>
              <w:rPr>
                <w:rFonts w:ascii="Arial" w:eastAsia="Arial" w:hAnsi="Arial" w:cs="Arial"/>
                <w:color w:val="000000"/>
              </w:rPr>
              <w:t>La auditoría de estos procedimientos estará a cargo del Instituto Nacional de Salud (INS), o quien haga sus veces, quien podrá delegar dicha función en las coordinaciones regionales de la Red de Donación y Trasplantes</w:t>
            </w:r>
            <w:r>
              <w:rPr>
                <w:rFonts w:ascii="Arial" w:eastAsia="Arial" w:hAnsi="Arial" w:cs="Arial"/>
              </w:rPr>
              <w:t xml:space="preserve"> </w:t>
            </w:r>
            <w:r>
              <w:rPr>
                <w:rFonts w:ascii="Arial" w:eastAsia="Arial" w:hAnsi="Arial" w:cs="Arial"/>
                <w:strike/>
              </w:rPr>
              <w:t>de Órganos y Tejidos</w:t>
            </w:r>
            <w:r>
              <w:rPr>
                <w:rFonts w:ascii="Arial" w:eastAsia="Arial" w:hAnsi="Arial" w:cs="Arial"/>
                <w:color w:val="000000"/>
              </w:rPr>
              <w:t>.</w:t>
            </w:r>
          </w:p>
          <w:p w14:paraId="00000556" w14:textId="77777777" w:rsidR="001C40B0" w:rsidRDefault="00291712">
            <w:pPr>
              <w:pBdr>
                <w:top w:val="nil"/>
                <w:left w:val="nil"/>
                <w:bottom w:val="nil"/>
                <w:right w:val="nil"/>
                <w:between w:val="nil"/>
              </w:pBdr>
              <w:spacing w:after="160"/>
              <w:jc w:val="both"/>
              <w:rPr>
                <w:rFonts w:ascii="Arial" w:eastAsia="Arial" w:hAnsi="Arial" w:cs="Arial"/>
                <w:color w:val="000000"/>
              </w:rPr>
            </w:pPr>
            <w:r>
              <w:rPr>
                <w:rFonts w:ascii="Arial" w:eastAsia="Arial" w:hAnsi="Arial" w:cs="Arial"/>
                <w:b/>
                <w:bCs/>
                <w:color w:val="000000"/>
              </w:rPr>
              <w:t xml:space="preserve">PARÁGRAFO 1. </w:t>
            </w:r>
            <w:r>
              <w:rPr>
                <w:rFonts w:ascii="Arial" w:eastAsia="Arial" w:hAnsi="Arial" w:cs="Arial"/>
                <w:color w:val="000000"/>
              </w:rPr>
              <w:t xml:space="preserve">El Ministerio de Salud y Protección Social </w:t>
            </w:r>
            <w:r>
              <w:rPr>
                <w:rFonts w:ascii="Arial" w:eastAsia="Arial" w:hAnsi="Arial" w:cs="Arial"/>
                <w:strike/>
                <w:color w:val="000000"/>
              </w:rPr>
              <w:t>establecerá</w:t>
            </w:r>
            <w:r>
              <w:rPr>
                <w:rFonts w:ascii="Arial" w:eastAsia="Arial" w:hAnsi="Arial" w:cs="Arial"/>
                <w:color w:val="000000"/>
              </w:rPr>
              <w:t xml:space="preserve"> </w:t>
            </w:r>
            <w:r>
              <w:rPr>
                <w:rFonts w:ascii="Arial" w:eastAsia="Arial" w:hAnsi="Arial" w:cs="Arial"/>
                <w:b/>
                <w:bCs/>
                <w:u w:val="single"/>
              </w:rPr>
              <w:t>podrá otorgar</w:t>
            </w:r>
            <w:r>
              <w:rPr>
                <w:rFonts w:ascii="Arial" w:eastAsia="Arial" w:hAnsi="Arial" w:cs="Arial"/>
                <w:color w:val="000000"/>
              </w:rPr>
              <w:t xml:space="preserve"> </w:t>
            </w:r>
            <w:r>
              <w:rPr>
                <w:rFonts w:ascii="Arial" w:eastAsia="Arial" w:hAnsi="Arial" w:cs="Arial"/>
                <w:strike/>
                <w:color w:val="000000"/>
              </w:rPr>
              <w:t>apoyo</w:t>
            </w:r>
            <w:r>
              <w:rPr>
                <w:rFonts w:ascii="Arial" w:eastAsia="Arial" w:hAnsi="Arial" w:cs="Arial"/>
                <w:color w:val="000000"/>
              </w:rPr>
              <w:t xml:space="preserve"> </w:t>
            </w:r>
            <w:r>
              <w:rPr>
                <w:rFonts w:ascii="Arial" w:eastAsia="Arial" w:hAnsi="Arial" w:cs="Arial"/>
                <w:b/>
                <w:bCs/>
                <w:color w:val="000000"/>
                <w:u w:val="single"/>
              </w:rPr>
              <w:t xml:space="preserve">recursos </w:t>
            </w:r>
            <w:r>
              <w:rPr>
                <w:rFonts w:ascii="Arial" w:eastAsia="Arial" w:hAnsi="Arial" w:cs="Arial"/>
                <w:color w:val="000000"/>
              </w:rPr>
              <w:t>técnico</w:t>
            </w:r>
            <w:r>
              <w:rPr>
                <w:rFonts w:ascii="Arial" w:eastAsia="Arial" w:hAnsi="Arial" w:cs="Arial"/>
                <w:b/>
                <w:bCs/>
                <w:color w:val="000000"/>
                <w:u w:val="single"/>
              </w:rPr>
              <w:t>s</w:t>
            </w:r>
            <w:r>
              <w:rPr>
                <w:rFonts w:ascii="Arial" w:eastAsia="Arial" w:hAnsi="Arial" w:cs="Arial"/>
                <w:color w:val="000000"/>
              </w:rPr>
              <w:t xml:space="preserve"> y financiero</w:t>
            </w:r>
            <w:r>
              <w:rPr>
                <w:rFonts w:ascii="Arial" w:eastAsia="Arial" w:hAnsi="Arial" w:cs="Arial"/>
                <w:b/>
                <w:bCs/>
                <w:color w:val="000000"/>
                <w:u w:val="single"/>
              </w:rPr>
              <w:t>s</w:t>
            </w:r>
            <w:r>
              <w:rPr>
                <w:rFonts w:ascii="Arial" w:eastAsia="Arial" w:hAnsi="Arial" w:cs="Arial"/>
                <w:color w:val="000000"/>
              </w:rPr>
              <w:t xml:space="preserve"> en a las </w:t>
            </w:r>
            <w:r>
              <w:rPr>
                <w:rFonts w:ascii="Arial" w:eastAsia="Arial" w:hAnsi="Arial" w:cs="Arial"/>
                <w:b/>
                <w:bCs/>
                <w:u w:val="single"/>
              </w:rPr>
              <w:t>Instituciones Prestadoras de Salud (</w:t>
            </w:r>
            <w:r>
              <w:rPr>
                <w:rFonts w:ascii="Arial" w:eastAsia="Arial" w:hAnsi="Arial" w:cs="Arial"/>
                <w:color w:val="000000"/>
              </w:rPr>
              <w:t>IPS)</w:t>
            </w:r>
            <w:r>
              <w:rPr>
                <w:rFonts w:ascii="Arial" w:eastAsia="Arial" w:hAnsi="Arial" w:cs="Arial"/>
                <w:b/>
                <w:bCs/>
                <w:u w:val="single"/>
              </w:rPr>
              <w:t>,</w:t>
            </w:r>
            <w:r>
              <w:rPr>
                <w:rFonts w:ascii="Arial" w:eastAsia="Arial" w:hAnsi="Arial" w:cs="Arial"/>
                <w:color w:val="000000"/>
              </w:rPr>
              <w:t xml:space="preserve"> </w:t>
            </w:r>
            <w:r>
              <w:rPr>
                <w:rFonts w:ascii="Arial" w:eastAsia="Arial" w:hAnsi="Arial" w:cs="Arial"/>
                <w:b/>
                <w:bCs/>
                <w:color w:val="000000"/>
                <w:u w:val="single"/>
              </w:rPr>
              <w:t xml:space="preserve">que lo requieran para cumplir con las disposiciones </w:t>
            </w:r>
            <w:r>
              <w:rPr>
                <w:rFonts w:ascii="Arial" w:eastAsia="Arial" w:hAnsi="Arial" w:cs="Arial"/>
                <w:b/>
                <w:bCs/>
                <w:u w:val="single"/>
              </w:rPr>
              <w:t>de este artículo</w:t>
            </w:r>
            <w:r>
              <w:rPr>
                <w:rFonts w:ascii="Arial" w:eastAsia="Arial" w:hAnsi="Arial" w:cs="Arial"/>
                <w:color w:val="000000"/>
              </w:rPr>
              <w:t xml:space="preserve"> </w:t>
            </w:r>
            <w:r>
              <w:rPr>
                <w:rFonts w:ascii="Arial" w:eastAsia="Arial" w:hAnsi="Arial" w:cs="Arial"/>
                <w:strike/>
                <w:color w:val="000000"/>
              </w:rPr>
              <w:t>tengan debilidades en dichos criterios. </w:t>
            </w:r>
            <w:r>
              <w:rPr>
                <w:rFonts w:ascii="Arial" w:eastAsia="Arial" w:hAnsi="Arial" w:cs="Arial"/>
                <w:color w:val="000000"/>
              </w:rPr>
              <w:t xml:space="preserve"> Esto será reglamentado y tendrá un carácter transitorio.</w:t>
            </w:r>
          </w:p>
          <w:p w14:paraId="00000557" w14:textId="77777777" w:rsidR="001C40B0" w:rsidRDefault="00291712">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PARÁGRAFO 2.</w:t>
            </w:r>
            <w:r>
              <w:rPr>
                <w:rFonts w:ascii="Arial" w:eastAsia="Arial" w:hAnsi="Arial" w:cs="Arial"/>
                <w:color w:val="000000"/>
              </w:rPr>
              <w:t xml:space="preserve"> El Gobierno reglamentará lo relativo a este artículo en </w:t>
            </w:r>
            <w:r>
              <w:rPr>
                <w:rFonts w:ascii="Arial" w:eastAsia="Arial" w:hAnsi="Arial" w:cs="Arial"/>
                <w:b/>
                <w:bCs/>
                <w:color w:val="000000"/>
                <w:u w:val="single"/>
              </w:rPr>
              <w:t>un</w:t>
            </w:r>
            <w:r>
              <w:rPr>
                <w:rFonts w:ascii="Arial" w:eastAsia="Arial" w:hAnsi="Arial" w:cs="Arial"/>
                <w:color w:val="000000"/>
              </w:rPr>
              <w:t xml:space="preserve"> plazo no mayor a seis (6) meses, contados a partir de la entrada en vigencia de la presente Ley.</w:t>
            </w:r>
          </w:p>
          <w:p w14:paraId="00000558" w14:textId="77777777" w:rsidR="001C40B0" w:rsidRDefault="001C40B0">
            <w:pPr>
              <w:widowControl/>
              <w:pBdr>
                <w:top w:val="nil"/>
                <w:left w:val="nil"/>
                <w:bottom w:val="nil"/>
                <w:right w:val="nil"/>
                <w:between w:val="nil"/>
              </w:pBdr>
              <w:jc w:val="both"/>
              <w:rPr>
                <w:rFonts w:ascii="Arial" w:eastAsia="Arial" w:hAnsi="Arial" w:cs="Arial"/>
                <w:color w:val="000000"/>
              </w:rPr>
            </w:pPr>
          </w:p>
        </w:tc>
        <w:tc>
          <w:tcPr>
            <w:tcW w:w="2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59" w14:textId="77777777" w:rsidR="001C40B0" w:rsidRDefault="00291712">
            <w:pPr>
              <w:spacing w:after="240"/>
              <w:jc w:val="both"/>
              <w:rPr>
                <w:rFonts w:ascii="Arial" w:eastAsia="Arial" w:hAnsi="Arial" w:cs="Arial"/>
              </w:rPr>
            </w:pPr>
            <w:r>
              <w:rPr>
                <w:rFonts w:ascii="Arial" w:eastAsia="Arial" w:hAnsi="Arial" w:cs="Arial"/>
                <w:color w:val="000000"/>
              </w:rPr>
              <w:lastRenderedPageBreak/>
              <w:t>Se acoge la proposición de la Representante Piedad Correal y se a</w:t>
            </w:r>
            <w:r>
              <w:rPr>
                <w:rFonts w:ascii="Arial" w:eastAsia="Arial" w:hAnsi="Arial" w:cs="Arial"/>
              </w:rPr>
              <w:t>justa la redacción</w:t>
            </w:r>
            <w:r>
              <w:rPr>
                <w:rFonts w:ascii="Arial" w:eastAsia="Arial" w:hAnsi="Arial" w:cs="Arial"/>
                <w:color w:val="000000"/>
              </w:rPr>
              <w:t>.</w:t>
            </w:r>
          </w:p>
        </w:tc>
      </w:tr>
      <w:tr w:rsidR="001C40B0" w14:paraId="6263CB2D" w14:textId="77777777">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5A"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lastRenderedPageBreak/>
              <w:t xml:space="preserve">ARTÍCULO 5. </w:t>
            </w:r>
            <w:r>
              <w:rPr>
                <w:rFonts w:ascii="Arial" w:eastAsia="Arial" w:hAnsi="Arial" w:cs="Arial"/>
                <w:color w:val="000000"/>
              </w:rPr>
              <w:t>Modifíquese el artículo 15° de la Ley 1805 de 2016, el cual quedará así:</w:t>
            </w:r>
          </w:p>
          <w:p w14:paraId="0000055B"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55C"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15. </w:t>
            </w:r>
            <w:r>
              <w:rPr>
                <w:rFonts w:ascii="Arial" w:eastAsia="Arial" w:hAnsi="Arial" w:cs="Arial"/>
                <w:color w:val="000000"/>
              </w:rPr>
              <w:t xml:space="preserve">Los menores de edad podrán ser donantes de órganos y tejidos, siempre y cuando sus representantes </w:t>
            </w:r>
            <w:r>
              <w:rPr>
                <w:rFonts w:ascii="Arial" w:eastAsia="Arial" w:hAnsi="Arial" w:cs="Arial"/>
                <w:color w:val="000000"/>
              </w:rPr>
              <w:lastRenderedPageBreak/>
              <w:t>legales expresen su consentimiento informado para tal fin; una vez se certifique su fallecimiento, en los términos descritos en el literal a) del Artículo 542 de la Ley 9 de 1979.</w:t>
            </w:r>
          </w:p>
          <w:p w14:paraId="0000055D"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55E"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médico coordinador operativo de trasplantes deberá informarles sus derechos y los beneficios de la donación a los representantes del menor.</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5F" w14:textId="77777777" w:rsidR="001C40B0" w:rsidRDefault="00291712">
            <w:pPr>
              <w:pBdr>
                <w:top w:val="nil"/>
                <w:left w:val="nil"/>
                <w:bottom w:val="nil"/>
                <w:right w:val="nil"/>
                <w:between w:val="nil"/>
              </w:pBdr>
              <w:spacing w:after="160"/>
              <w:jc w:val="both"/>
              <w:rPr>
                <w:rFonts w:ascii="Arial" w:eastAsia="Arial" w:hAnsi="Arial" w:cs="Arial"/>
                <w:color w:val="000000"/>
                <w:highlight w:val="white"/>
              </w:rPr>
            </w:pPr>
            <w:r>
              <w:rPr>
                <w:rFonts w:ascii="Arial" w:eastAsia="Arial" w:hAnsi="Arial" w:cs="Arial"/>
                <w:b/>
                <w:bCs/>
                <w:color w:val="000000"/>
                <w:highlight w:val="white"/>
              </w:rPr>
              <w:lastRenderedPageBreak/>
              <w:t xml:space="preserve">ARTÍCULO 5. </w:t>
            </w:r>
            <w:r>
              <w:rPr>
                <w:rFonts w:ascii="Arial" w:eastAsia="Arial" w:hAnsi="Arial" w:cs="Arial"/>
                <w:color w:val="000000"/>
                <w:highlight w:val="white"/>
              </w:rPr>
              <w:t>Modifíquese el artículo 15° de la Ley 1805 de 2016, el cual quedará así:</w:t>
            </w:r>
          </w:p>
          <w:p w14:paraId="00000560" w14:textId="77777777" w:rsidR="001C40B0" w:rsidRDefault="00291712">
            <w:pPr>
              <w:pBdr>
                <w:top w:val="nil"/>
                <w:left w:val="nil"/>
                <w:bottom w:val="nil"/>
                <w:right w:val="nil"/>
                <w:between w:val="nil"/>
              </w:pBdr>
              <w:spacing w:after="160"/>
              <w:jc w:val="both"/>
              <w:rPr>
                <w:rFonts w:ascii="Arial" w:eastAsia="Arial" w:hAnsi="Arial" w:cs="Arial"/>
                <w:color w:val="000000"/>
                <w:highlight w:val="white"/>
              </w:rPr>
            </w:pPr>
            <w:r>
              <w:rPr>
                <w:rFonts w:ascii="Arial" w:eastAsia="Arial" w:hAnsi="Arial" w:cs="Arial"/>
                <w:b/>
                <w:bCs/>
                <w:color w:val="000000"/>
                <w:highlight w:val="white"/>
              </w:rPr>
              <w:t xml:space="preserve">ARTÍCULO 15. </w:t>
            </w:r>
            <w:r>
              <w:rPr>
                <w:rFonts w:ascii="Arial" w:eastAsia="Arial" w:hAnsi="Arial" w:cs="Arial"/>
                <w:color w:val="000000"/>
                <w:highlight w:val="white"/>
              </w:rPr>
              <w:t xml:space="preserve">Los menores de edad podrán ser donantes de </w:t>
            </w:r>
            <w:r>
              <w:rPr>
                <w:rFonts w:ascii="Arial" w:eastAsia="Arial" w:hAnsi="Arial" w:cs="Arial"/>
                <w:highlight w:val="white"/>
              </w:rPr>
              <w:t>órganos</w:t>
            </w:r>
            <w:r>
              <w:rPr>
                <w:rFonts w:ascii="Arial" w:eastAsia="Arial" w:hAnsi="Arial" w:cs="Arial"/>
                <w:b/>
                <w:bCs/>
                <w:highlight w:val="white"/>
                <w:u w:val="single"/>
              </w:rPr>
              <w:t>,</w:t>
            </w:r>
            <w:r>
              <w:rPr>
                <w:rFonts w:ascii="Arial" w:eastAsia="Arial" w:hAnsi="Arial" w:cs="Arial"/>
                <w:highlight w:val="white"/>
              </w:rPr>
              <w:t xml:space="preserve"> </w:t>
            </w:r>
            <w:r>
              <w:rPr>
                <w:rFonts w:ascii="Arial" w:eastAsia="Arial" w:hAnsi="Arial" w:cs="Arial"/>
                <w:strike/>
                <w:highlight w:val="white"/>
              </w:rPr>
              <w:t xml:space="preserve">y </w:t>
            </w:r>
            <w:r>
              <w:rPr>
                <w:rFonts w:ascii="Arial" w:eastAsia="Arial" w:hAnsi="Arial" w:cs="Arial"/>
                <w:highlight w:val="white"/>
              </w:rPr>
              <w:t xml:space="preserve">tejidos </w:t>
            </w:r>
            <w:r>
              <w:rPr>
                <w:rFonts w:ascii="Arial" w:eastAsia="Arial" w:hAnsi="Arial" w:cs="Arial"/>
                <w:b/>
                <w:bCs/>
                <w:highlight w:val="white"/>
                <w:u w:val="single"/>
              </w:rPr>
              <w:t>y derivados</w:t>
            </w:r>
            <w:r>
              <w:rPr>
                <w:rFonts w:ascii="Arial" w:eastAsia="Arial" w:hAnsi="Arial" w:cs="Arial"/>
                <w:highlight w:val="white"/>
              </w:rPr>
              <w:t xml:space="preserve"> </w:t>
            </w:r>
            <w:r>
              <w:rPr>
                <w:rFonts w:ascii="Arial" w:eastAsia="Arial" w:hAnsi="Arial" w:cs="Arial"/>
                <w:color w:val="000000"/>
                <w:highlight w:val="white"/>
              </w:rPr>
              <w:t xml:space="preserve">, siempre y cuando </w:t>
            </w:r>
            <w:r>
              <w:rPr>
                <w:rFonts w:ascii="Arial" w:eastAsia="Arial" w:hAnsi="Arial" w:cs="Arial"/>
                <w:color w:val="000000"/>
                <w:highlight w:val="white"/>
              </w:rPr>
              <w:lastRenderedPageBreak/>
              <w:t>sus representantes legales expresen su consentimiento informado para tal fin después de su fallecimiento, en los términos descritos en el literal a) del Artículo 542 de la Ley 9 de 1979.</w:t>
            </w:r>
          </w:p>
          <w:p w14:paraId="00000561" w14:textId="77777777" w:rsidR="001C40B0" w:rsidRDefault="00291712">
            <w:pPr>
              <w:pBdr>
                <w:top w:val="nil"/>
                <w:left w:val="nil"/>
                <w:bottom w:val="nil"/>
                <w:right w:val="nil"/>
                <w:between w:val="nil"/>
              </w:pBdr>
              <w:spacing w:after="160"/>
              <w:jc w:val="both"/>
              <w:rPr>
                <w:rFonts w:ascii="Arial" w:eastAsia="Arial" w:hAnsi="Arial" w:cs="Arial"/>
                <w:color w:val="000000"/>
                <w:highlight w:val="white"/>
                <w:u w:val="single"/>
              </w:rPr>
            </w:pPr>
            <w:r>
              <w:rPr>
                <w:rFonts w:ascii="Arial" w:eastAsia="Arial" w:hAnsi="Arial" w:cs="Arial"/>
                <w:color w:val="000000"/>
                <w:highlight w:val="white"/>
              </w:rPr>
              <w:t>El médico coordinador operativo de trasplantes deberá informarles sus derechos y los beneficios de la donación a los representantes del menor</w:t>
            </w:r>
            <w:r>
              <w:rPr>
                <w:rFonts w:ascii="Arial" w:eastAsia="Arial" w:hAnsi="Arial" w:cs="Arial"/>
                <w:highlight w:val="white"/>
              </w:rPr>
              <w:t>.</w:t>
            </w:r>
          </w:p>
        </w:tc>
        <w:tc>
          <w:tcPr>
            <w:tcW w:w="2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62" w14:textId="77777777" w:rsidR="001C40B0" w:rsidRDefault="00291712">
            <w:pPr>
              <w:pBdr>
                <w:top w:val="nil"/>
                <w:left w:val="nil"/>
                <w:bottom w:val="nil"/>
                <w:right w:val="nil"/>
                <w:between w:val="nil"/>
              </w:pBdr>
              <w:jc w:val="both"/>
              <w:rPr>
                <w:rFonts w:ascii="Arial" w:eastAsia="Arial" w:hAnsi="Arial" w:cs="Arial"/>
                <w:color w:val="000000"/>
              </w:rPr>
            </w:pPr>
            <w:r>
              <w:rPr>
                <w:rFonts w:ascii="Arial" w:eastAsia="Arial" w:hAnsi="Arial" w:cs="Arial"/>
              </w:rPr>
              <w:lastRenderedPageBreak/>
              <w:t xml:space="preserve">Sin modificaciones. </w:t>
            </w:r>
          </w:p>
        </w:tc>
      </w:tr>
      <w:tr w:rsidR="001C40B0" w14:paraId="2976643A" w14:textId="77777777">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63" w14:textId="77777777" w:rsidR="001C40B0" w:rsidRDefault="00291712">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lastRenderedPageBreak/>
              <w:t>ARTÍCULO 6. COMPONENTE EDUCATIVO.</w:t>
            </w:r>
            <w:r>
              <w:rPr>
                <w:rFonts w:ascii="Arial" w:eastAsia="Arial" w:hAnsi="Arial" w:cs="Arial"/>
                <w:color w:val="000000"/>
              </w:rPr>
              <w:t xml:space="preserve"> Las Instituciones de Educación Superior podrán incluir en los programas académicos que versen sobre las diferentes áreas de la salud y bienestar, la formación técnica, legal, ética y psicosocial necesaria en los procedimientos de donación y trasplante de órganos y tejidos, bajo los parámetros técnicos y legales vigentes.</w:t>
            </w:r>
          </w:p>
          <w:p w14:paraId="00000564" w14:textId="77777777" w:rsidR="001C40B0" w:rsidRDefault="001C40B0">
            <w:pPr>
              <w:pBdr>
                <w:top w:val="nil"/>
                <w:left w:val="nil"/>
                <w:bottom w:val="nil"/>
                <w:right w:val="nil"/>
                <w:between w:val="nil"/>
              </w:pBdr>
              <w:jc w:val="both"/>
              <w:rPr>
                <w:rFonts w:ascii="Arial" w:eastAsia="Arial" w:hAnsi="Arial" w:cs="Arial"/>
                <w:color w:val="000000"/>
              </w:rPr>
            </w:pPr>
          </w:p>
          <w:p w14:paraId="00000565" w14:textId="77777777" w:rsidR="001C40B0" w:rsidRDefault="0029171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Las instituciones prestadoras de servicios de salud, así como pagadores, EPS o quien haga sus veces, deberán incluir programas de educación y difusión de la normatividad y procesos operativos de donación y trasplante a todos sus trabajadores, colaboradores y afiliados.</w:t>
            </w:r>
          </w:p>
          <w:p w14:paraId="00000566" w14:textId="77777777" w:rsidR="001C40B0" w:rsidRDefault="001C40B0">
            <w:pPr>
              <w:pBdr>
                <w:top w:val="nil"/>
                <w:left w:val="nil"/>
                <w:bottom w:val="nil"/>
                <w:right w:val="nil"/>
                <w:between w:val="nil"/>
              </w:pBdr>
              <w:jc w:val="both"/>
              <w:rPr>
                <w:rFonts w:ascii="Arial" w:eastAsia="Arial" w:hAnsi="Arial" w:cs="Arial"/>
                <w:color w:val="000000"/>
              </w:rPr>
            </w:pPr>
          </w:p>
          <w:p w14:paraId="00000567" w14:textId="77777777" w:rsidR="001C40B0" w:rsidRDefault="0029171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Ministerio de Salud y Protección Social deberá realizar capacitaciones o actualizaciones en materia de donación de órganos y tejidos para las Instituciones de Educación Superior y particulares interesados, con </w:t>
            </w:r>
            <w:r>
              <w:rPr>
                <w:rFonts w:ascii="Arial" w:eastAsia="Arial" w:hAnsi="Arial" w:cs="Arial"/>
                <w:color w:val="000000"/>
              </w:rPr>
              <w:lastRenderedPageBreak/>
              <w:t>medición de impacto a nivel nacional y regional.</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68" w14:textId="77777777" w:rsidR="001C40B0" w:rsidRDefault="00291712">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b/>
                <w:bCs/>
                <w:color w:val="000000"/>
                <w:highlight w:val="white"/>
              </w:rPr>
              <w:lastRenderedPageBreak/>
              <w:t>ARTÍCULO 6. COMPONENTE EDUCATIVO.</w:t>
            </w:r>
            <w:r>
              <w:rPr>
                <w:rFonts w:ascii="Arial" w:eastAsia="Arial" w:hAnsi="Arial" w:cs="Arial"/>
                <w:color w:val="000000"/>
                <w:highlight w:val="white"/>
              </w:rPr>
              <w:t xml:space="preserve"> Las Instituciones de Educación Superior podrán incluir en los programas académicos que versen sobre las diferentes áreas de la salud y bienestar, la formación técnica, legal, ética y psicosocial necesaria en los procedimientos de donación y trasplante de </w:t>
            </w:r>
            <w:r>
              <w:rPr>
                <w:rFonts w:ascii="Arial" w:eastAsia="Arial" w:hAnsi="Arial" w:cs="Arial"/>
                <w:highlight w:val="white"/>
              </w:rPr>
              <w:t>órganos</w:t>
            </w:r>
            <w:r>
              <w:rPr>
                <w:rFonts w:ascii="Arial" w:eastAsia="Arial" w:hAnsi="Arial" w:cs="Arial"/>
                <w:b/>
                <w:bCs/>
                <w:highlight w:val="white"/>
                <w:u w:val="single"/>
              </w:rPr>
              <w:t>,</w:t>
            </w:r>
            <w:r>
              <w:rPr>
                <w:rFonts w:ascii="Arial" w:eastAsia="Arial" w:hAnsi="Arial" w:cs="Arial"/>
                <w:highlight w:val="white"/>
              </w:rPr>
              <w:t xml:space="preserve"> </w:t>
            </w:r>
            <w:r>
              <w:rPr>
                <w:rFonts w:ascii="Arial" w:eastAsia="Arial" w:hAnsi="Arial" w:cs="Arial"/>
                <w:strike/>
                <w:highlight w:val="white"/>
              </w:rPr>
              <w:t xml:space="preserve">y </w:t>
            </w:r>
            <w:r>
              <w:rPr>
                <w:rFonts w:ascii="Arial" w:eastAsia="Arial" w:hAnsi="Arial" w:cs="Arial"/>
                <w:highlight w:val="white"/>
              </w:rPr>
              <w:t xml:space="preserve">tejidos </w:t>
            </w:r>
            <w:r>
              <w:rPr>
                <w:rFonts w:ascii="Arial" w:eastAsia="Arial" w:hAnsi="Arial" w:cs="Arial"/>
                <w:b/>
                <w:bCs/>
                <w:highlight w:val="white"/>
                <w:u w:val="single"/>
              </w:rPr>
              <w:t>y derivados</w:t>
            </w:r>
            <w:r>
              <w:rPr>
                <w:rFonts w:ascii="Arial" w:eastAsia="Arial" w:hAnsi="Arial" w:cs="Arial"/>
                <w:highlight w:val="white"/>
              </w:rPr>
              <w:t xml:space="preserve"> </w:t>
            </w:r>
            <w:r>
              <w:rPr>
                <w:rFonts w:ascii="Arial" w:eastAsia="Arial" w:hAnsi="Arial" w:cs="Arial"/>
                <w:color w:val="000000"/>
                <w:highlight w:val="white"/>
              </w:rPr>
              <w:t>, bajo los parámetros técnicos y legales vigentes.</w:t>
            </w:r>
          </w:p>
          <w:p w14:paraId="00000569" w14:textId="77777777" w:rsidR="001C40B0" w:rsidRDefault="001C40B0">
            <w:pPr>
              <w:pBdr>
                <w:top w:val="nil"/>
                <w:left w:val="nil"/>
                <w:bottom w:val="nil"/>
                <w:right w:val="nil"/>
                <w:between w:val="nil"/>
              </w:pBdr>
              <w:jc w:val="both"/>
              <w:rPr>
                <w:rFonts w:ascii="Arial" w:eastAsia="Arial" w:hAnsi="Arial" w:cs="Arial"/>
                <w:color w:val="000000"/>
                <w:highlight w:val="white"/>
              </w:rPr>
            </w:pPr>
          </w:p>
          <w:p w14:paraId="0000056A" w14:textId="77777777" w:rsidR="001C40B0" w:rsidRDefault="00291712">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color w:val="000000"/>
                <w:highlight w:val="white"/>
              </w:rPr>
              <w:t xml:space="preserve">Las instituciones prestadoras de salud </w:t>
            </w:r>
            <w:r>
              <w:rPr>
                <w:rFonts w:ascii="Arial" w:eastAsia="Arial" w:hAnsi="Arial" w:cs="Arial"/>
                <w:b/>
                <w:bCs/>
                <w:color w:val="000000"/>
                <w:highlight w:val="white"/>
                <w:u w:val="single"/>
              </w:rPr>
              <w:t>(IPS),</w:t>
            </w:r>
            <w:r>
              <w:rPr>
                <w:rFonts w:ascii="Arial" w:eastAsia="Arial" w:hAnsi="Arial" w:cs="Arial"/>
                <w:b/>
                <w:bCs/>
                <w:color w:val="000000"/>
                <w:highlight w:val="white"/>
              </w:rPr>
              <w:t xml:space="preserve"> </w:t>
            </w:r>
            <w:r>
              <w:rPr>
                <w:rFonts w:ascii="Arial" w:eastAsia="Arial" w:hAnsi="Arial" w:cs="Arial"/>
                <w:strike/>
                <w:highlight w:val="white"/>
              </w:rPr>
              <w:t>así como</w:t>
            </w:r>
            <w:r>
              <w:rPr>
                <w:rFonts w:ascii="Arial" w:eastAsia="Arial" w:hAnsi="Arial" w:cs="Arial"/>
                <w:highlight w:val="white"/>
              </w:rPr>
              <w:t xml:space="preserve"> </w:t>
            </w:r>
            <w:r>
              <w:rPr>
                <w:rFonts w:ascii="Arial" w:eastAsia="Arial" w:hAnsi="Arial" w:cs="Arial"/>
                <w:b/>
                <w:bCs/>
                <w:color w:val="000000"/>
                <w:highlight w:val="white"/>
                <w:u w:val="single"/>
              </w:rPr>
              <w:t xml:space="preserve">los </w:t>
            </w:r>
            <w:r>
              <w:rPr>
                <w:rFonts w:ascii="Arial" w:eastAsia="Arial" w:hAnsi="Arial" w:cs="Arial"/>
                <w:color w:val="000000"/>
                <w:highlight w:val="white"/>
              </w:rPr>
              <w:t>pagadores</w:t>
            </w:r>
            <w:r>
              <w:rPr>
                <w:rFonts w:ascii="Arial" w:eastAsia="Arial" w:hAnsi="Arial" w:cs="Arial"/>
                <w:highlight w:val="white"/>
              </w:rPr>
              <w:t xml:space="preserve"> </w:t>
            </w:r>
            <w:r>
              <w:rPr>
                <w:rFonts w:ascii="Arial" w:eastAsia="Arial" w:hAnsi="Arial" w:cs="Arial"/>
                <w:b/>
                <w:bCs/>
                <w:highlight w:val="white"/>
                <w:u w:val="single"/>
              </w:rPr>
              <w:t>y</w:t>
            </w:r>
            <w:r>
              <w:rPr>
                <w:rFonts w:ascii="Arial" w:eastAsia="Arial" w:hAnsi="Arial" w:cs="Arial"/>
                <w:b/>
                <w:bCs/>
                <w:color w:val="000000"/>
                <w:highlight w:val="white"/>
                <w:u w:val="single"/>
              </w:rPr>
              <w:t xml:space="preserve"> las</w:t>
            </w:r>
            <w:r>
              <w:rPr>
                <w:rFonts w:ascii="Arial" w:eastAsia="Arial" w:hAnsi="Arial" w:cs="Arial"/>
                <w:color w:val="000000"/>
                <w:highlight w:val="white"/>
              </w:rPr>
              <w:t xml:space="preserve"> EPS o quien haga sus veces, deberán incluir programas de educación y difusión de la normatividad y procesos operativos de donación y trasplante </w:t>
            </w:r>
            <w:r>
              <w:rPr>
                <w:rFonts w:ascii="Arial" w:eastAsia="Arial" w:hAnsi="Arial" w:cs="Arial"/>
                <w:b/>
                <w:bCs/>
                <w:color w:val="000000"/>
                <w:highlight w:val="white"/>
                <w:u w:val="single"/>
              </w:rPr>
              <w:t>dirigido</w:t>
            </w:r>
            <w:r>
              <w:rPr>
                <w:rFonts w:ascii="Arial" w:eastAsia="Arial" w:hAnsi="Arial" w:cs="Arial"/>
                <w:color w:val="000000"/>
                <w:highlight w:val="white"/>
              </w:rPr>
              <w:t xml:space="preserve"> a </w:t>
            </w:r>
            <w:r>
              <w:rPr>
                <w:rFonts w:ascii="Arial" w:eastAsia="Arial" w:hAnsi="Arial" w:cs="Arial"/>
                <w:strike/>
                <w:highlight w:val="white"/>
              </w:rPr>
              <w:t>todos</w:t>
            </w:r>
            <w:r>
              <w:rPr>
                <w:rFonts w:ascii="Arial" w:eastAsia="Arial" w:hAnsi="Arial" w:cs="Arial"/>
                <w:highlight w:val="white"/>
              </w:rPr>
              <w:t xml:space="preserve"> </w:t>
            </w:r>
            <w:r>
              <w:rPr>
                <w:rFonts w:ascii="Arial" w:eastAsia="Arial" w:hAnsi="Arial" w:cs="Arial"/>
                <w:color w:val="000000"/>
                <w:highlight w:val="white"/>
              </w:rPr>
              <w:t>sus trabajadores, colaboradores y afiliados.</w:t>
            </w:r>
          </w:p>
          <w:p w14:paraId="0000056B" w14:textId="77777777" w:rsidR="001C40B0" w:rsidRDefault="001C40B0">
            <w:pPr>
              <w:pBdr>
                <w:top w:val="nil"/>
                <w:left w:val="nil"/>
                <w:bottom w:val="nil"/>
                <w:right w:val="nil"/>
                <w:between w:val="nil"/>
              </w:pBdr>
              <w:jc w:val="both"/>
              <w:rPr>
                <w:rFonts w:ascii="Arial" w:eastAsia="Arial" w:hAnsi="Arial" w:cs="Arial"/>
                <w:color w:val="000000"/>
                <w:highlight w:val="white"/>
              </w:rPr>
            </w:pPr>
          </w:p>
          <w:p w14:paraId="0000056C" w14:textId="77777777" w:rsidR="001C40B0" w:rsidRDefault="00291712">
            <w:pPr>
              <w:pBdr>
                <w:top w:val="nil"/>
                <w:left w:val="nil"/>
                <w:bottom w:val="nil"/>
                <w:right w:val="nil"/>
                <w:between w:val="nil"/>
              </w:pBdr>
              <w:spacing w:after="160"/>
              <w:jc w:val="both"/>
              <w:rPr>
                <w:rFonts w:ascii="Arial" w:eastAsia="Arial" w:hAnsi="Arial" w:cs="Arial"/>
                <w:color w:val="000000"/>
                <w:highlight w:val="white"/>
              </w:rPr>
            </w:pPr>
            <w:r>
              <w:rPr>
                <w:rFonts w:ascii="Arial" w:eastAsia="Arial" w:hAnsi="Arial" w:cs="Arial"/>
                <w:color w:val="000000"/>
                <w:highlight w:val="white"/>
              </w:rPr>
              <w:t xml:space="preserve">El Ministerio de Salud y Protección Social deberá realizar capacitaciones o actualizaciones en materia de donación de </w:t>
            </w:r>
            <w:r>
              <w:rPr>
                <w:rFonts w:ascii="Arial" w:eastAsia="Arial" w:hAnsi="Arial" w:cs="Arial"/>
                <w:highlight w:val="white"/>
              </w:rPr>
              <w:t>órganos</w:t>
            </w:r>
            <w:r>
              <w:rPr>
                <w:rFonts w:ascii="Arial" w:eastAsia="Arial" w:hAnsi="Arial" w:cs="Arial"/>
                <w:b/>
                <w:bCs/>
                <w:highlight w:val="white"/>
                <w:u w:val="single"/>
              </w:rPr>
              <w:t>,</w:t>
            </w:r>
            <w:r>
              <w:rPr>
                <w:rFonts w:ascii="Arial" w:eastAsia="Arial" w:hAnsi="Arial" w:cs="Arial"/>
                <w:highlight w:val="white"/>
              </w:rPr>
              <w:t xml:space="preserve"> </w:t>
            </w:r>
            <w:r>
              <w:rPr>
                <w:rFonts w:ascii="Arial" w:eastAsia="Arial" w:hAnsi="Arial" w:cs="Arial"/>
                <w:strike/>
                <w:highlight w:val="white"/>
              </w:rPr>
              <w:t xml:space="preserve">y </w:t>
            </w:r>
            <w:r>
              <w:rPr>
                <w:rFonts w:ascii="Arial" w:eastAsia="Arial" w:hAnsi="Arial" w:cs="Arial"/>
                <w:highlight w:val="white"/>
              </w:rPr>
              <w:t xml:space="preserve">tejidos </w:t>
            </w:r>
            <w:r>
              <w:rPr>
                <w:rFonts w:ascii="Arial" w:eastAsia="Arial" w:hAnsi="Arial" w:cs="Arial"/>
                <w:b/>
                <w:bCs/>
                <w:highlight w:val="white"/>
                <w:u w:val="single"/>
              </w:rPr>
              <w:t>y derivados</w:t>
            </w:r>
            <w:r>
              <w:rPr>
                <w:rFonts w:ascii="Arial" w:eastAsia="Arial" w:hAnsi="Arial" w:cs="Arial"/>
                <w:highlight w:val="white"/>
              </w:rPr>
              <w:t xml:space="preserve"> </w:t>
            </w:r>
            <w:r>
              <w:rPr>
                <w:rFonts w:ascii="Arial" w:eastAsia="Arial" w:hAnsi="Arial" w:cs="Arial"/>
                <w:color w:val="000000"/>
                <w:highlight w:val="white"/>
              </w:rPr>
              <w:t xml:space="preserve"> para las Instituciones de Educación </w:t>
            </w:r>
            <w:r>
              <w:rPr>
                <w:rFonts w:ascii="Arial" w:eastAsia="Arial" w:hAnsi="Arial" w:cs="Arial"/>
                <w:color w:val="000000"/>
                <w:highlight w:val="white"/>
              </w:rPr>
              <w:lastRenderedPageBreak/>
              <w:t>Superior y particulares interesados, con medición de impacto a nivel nacional y regional.</w:t>
            </w:r>
          </w:p>
        </w:tc>
        <w:tc>
          <w:tcPr>
            <w:tcW w:w="2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6D" w14:textId="77777777" w:rsidR="001C40B0" w:rsidRDefault="00291712">
            <w:pPr>
              <w:pBdr>
                <w:top w:val="nil"/>
                <w:left w:val="nil"/>
                <w:bottom w:val="nil"/>
                <w:right w:val="nil"/>
                <w:between w:val="nil"/>
              </w:pBdr>
              <w:jc w:val="both"/>
              <w:rPr>
                <w:rFonts w:ascii="Arial" w:eastAsia="Arial" w:hAnsi="Arial" w:cs="Arial"/>
                <w:color w:val="000000"/>
              </w:rPr>
            </w:pPr>
            <w:r>
              <w:rPr>
                <w:rFonts w:ascii="Arial" w:eastAsia="Arial" w:hAnsi="Arial" w:cs="Arial"/>
              </w:rPr>
              <w:lastRenderedPageBreak/>
              <w:t xml:space="preserve">Se ajusta la redacción. </w:t>
            </w:r>
          </w:p>
        </w:tc>
      </w:tr>
      <w:tr w:rsidR="001C40B0" w14:paraId="3DEFC79B" w14:textId="77777777">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6E" w14:textId="77777777" w:rsidR="001C40B0" w:rsidRDefault="00291712">
            <w:pPr>
              <w:pBdr>
                <w:top w:val="nil"/>
                <w:left w:val="nil"/>
                <w:bottom w:val="nil"/>
                <w:right w:val="nil"/>
                <w:between w:val="nil"/>
              </w:pBdr>
              <w:jc w:val="both"/>
              <w:rPr>
                <w:rFonts w:ascii="Arial" w:eastAsia="Arial" w:hAnsi="Arial" w:cs="Arial"/>
              </w:rPr>
            </w:pPr>
            <w:r>
              <w:rPr>
                <w:rFonts w:ascii="Arial" w:eastAsia="Arial" w:hAnsi="Arial" w:cs="Arial"/>
                <w:b/>
                <w:bCs/>
              </w:rPr>
              <w:lastRenderedPageBreak/>
              <w:t>ARTÍCULO 7. FORMACIÓN DE LOS COORDINADORES DE TRASPLANTES EN LA GESTIÓN OPERATIVA DE LA DONACIÓN.</w:t>
            </w:r>
            <w:r>
              <w:rPr>
                <w:rFonts w:ascii="Arial" w:eastAsia="Arial" w:hAnsi="Arial" w:cs="Arial"/>
              </w:rPr>
              <w:t xml:space="preserve"> El Instituto Nacional de Salud (INS) será</w:t>
            </w:r>
            <w:r>
              <w:rPr>
                <w:rFonts w:ascii="Arial" w:eastAsia="Arial" w:hAnsi="Arial" w:cs="Arial"/>
                <w:b/>
                <w:bCs/>
              </w:rPr>
              <w:t xml:space="preserve"> </w:t>
            </w:r>
            <w:r>
              <w:rPr>
                <w:rFonts w:ascii="Arial" w:eastAsia="Arial" w:hAnsi="Arial" w:cs="Arial"/>
              </w:rPr>
              <w:t>el encargado de definir los contenidos de formación de los Coordinadores</w:t>
            </w:r>
            <w:r>
              <w:rPr>
                <w:rFonts w:ascii="Arial" w:eastAsia="Arial" w:hAnsi="Arial" w:cs="Arial"/>
                <w:b/>
                <w:bCs/>
              </w:rPr>
              <w:t xml:space="preserve"> </w:t>
            </w:r>
            <w:r>
              <w:rPr>
                <w:rFonts w:ascii="Arial" w:eastAsia="Arial" w:hAnsi="Arial" w:cs="Arial"/>
              </w:rPr>
              <w:t>Operativos de Trasplantes en Colombia, con base en las cuales los certificará.</w:t>
            </w:r>
          </w:p>
          <w:p w14:paraId="0000056F" w14:textId="77777777" w:rsidR="001C40B0" w:rsidRDefault="001C40B0">
            <w:pPr>
              <w:pBdr>
                <w:top w:val="nil"/>
                <w:left w:val="nil"/>
                <w:bottom w:val="nil"/>
                <w:right w:val="nil"/>
                <w:between w:val="nil"/>
              </w:pBdr>
              <w:jc w:val="both"/>
              <w:rPr>
                <w:rFonts w:ascii="Arial" w:eastAsia="Arial" w:hAnsi="Arial" w:cs="Arial"/>
                <w:b/>
                <w:bCs/>
              </w:rPr>
            </w:pPr>
          </w:p>
          <w:p w14:paraId="00000570" w14:textId="77777777" w:rsidR="001C40B0" w:rsidRDefault="001C40B0">
            <w:pPr>
              <w:pBdr>
                <w:top w:val="nil"/>
                <w:left w:val="nil"/>
                <w:bottom w:val="nil"/>
                <w:right w:val="nil"/>
                <w:between w:val="nil"/>
              </w:pBdr>
              <w:jc w:val="both"/>
              <w:rPr>
                <w:rFonts w:ascii="Arial" w:eastAsia="Arial" w:hAnsi="Arial" w:cs="Arial"/>
                <w:b/>
                <w:bCs/>
              </w:rPr>
            </w:pPr>
          </w:p>
          <w:p w14:paraId="00000571" w14:textId="77777777" w:rsidR="001C40B0" w:rsidRDefault="00291712">
            <w:pPr>
              <w:pBdr>
                <w:top w:val="nil"/>
                <w:left w:val="nil"/>
                <w:bottom w:val="nil"/>
                <w:right w:val="nil"/>
                <w:between w:val="nil"/>
              </w:pBdr>
              <w:jc w:val="both"/>
              <w:rPr>
                <w:rFonts w:ascii="Arial" w:eastAsia="Arial" w:hAnsi="Arial" w:cs="Arial"/>
              </w:rPr>
            </w:pPr>
            <w:r>
              <w:rPr>
                <w:rFonts w:ascii="Arial" w:eastAsia="Arial" w:hAnsi="Arial" w:cs="Arial"/>
              </w:rPr>
              <w:t>Éste proceso de certificación, puede darse por diferentes mecanismos, que en cualquier caso garanticen por parte del INS disponibilidad continua y permanente de opciones de certificación. Dicha formación será realizada por el INS directamente o a través de alianzas con terceros autorizados por éste, garantizando la existencia de un tiempo mínimo de formación teórica y práctica de los profesionales de la salud a certificar.</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72" w14:textId="77777777" w:rsidR="001C40B0" w:rsidRDefault="00291712">
            <w:pPr>
              <w:pBdr>
                <w:top w:val="nil"/>
                <w:left w:val="nil"/>
                <w:bottom w:val="nil"/>
                <w:right w:val="nil"/>
                <w:between w:val="nil"/>
              </w:pBdr>
              <w:jc w:val="both"/>
              <w:rPr>
                <w:rFonts w:ascii="Arial" w:eastAsia="Arial" w:hAnsi="Arial" w:cs="Arial"/>
              </w:rPr>
            </w:pPr>
            <w:r>
              <w:rPr>
                <w:rFonts w:ascii="Arial" w:eastAsia="Arial" w:hAnsi="Arial" w:cs="Arial"/>
                <w:b/>
                <w:bCs/>
              </w:rPr>
              <w:t>ARTÍCULO 7. FORMACIÓN DE LOS COORDINADORES DE TRASPLANTES EN LA GESTIÓN OPERATIVA DE LA DONACIÓN.</w:t>
            </w:r>
            <w:r>
              <w:rPr>
                <w:rFonts w:ascii="Arial" w:eastAsia="Arial" w:hAnsi="Arial" w:cs="Arial"/>
              </w:rPr>
              <w:t xml:space="preserve"> El Instituto Nacional de Salud (INS), </w:t>
            </w:r>
            <w:r>
              <w:rPr>
                <w:rFonts w:ascii="Arial" w:eastAsia="Arial" w:hAnsi="Arial" w:cs="Arial"/>
                <w:b/>
                <w:bCs/>
                <w:u w:val="single"/>
              </w:rPr>
              <w:t>o quien haga sus veces,</w:t>
            </w:r>
            <w:r>
              <w:rPr>
                <w:rFonts w:ascii="Arial" w:eastAsia="Arial" w:hAnsi="Arial" w:cs="Arial"/>
              </w:rPr>
              <w:t xml:space="preserve"> será</w:t>
            </w:r>
            <w:r>
              <w:rPr>
                <w:rFonts w:ascii="Arial" w:eastAsia="Arial" w:hAnsi="Arial" w:cs="Arial"/>
                <w:b/>
                <w:bCs/>
              </w:rPr>
              <w:t xml:space="preserve"> </w:t>
            </w:r>
            <w:r>
              <w:rPr>
                <w:rFonts w:ascii="Arial" w:eastAsia="Arial" w:hAnsi="Arial" w:cs="Arial"/>
              </w:rPr>
              <w:t>el encargado de definir los contenidos de formación de los Coordinadores</w:t>
            </w:r>
            <w:r>
              <w:rPr>
                <w:rFonts w:ascii="Arial" w:eastAsia="Arial" w:hAnsi="Arial" w:cs="Arial"/>
                <w:b/>
                <w:bCs/>
              </w:rPr>
              <w:t xml:space="preserve"> </w:t>
            </w:r>
            <w:r>
              <w:rPr>
                <w:rFonts w:ascii="Arial" w:eastAsia="Arial" w:hAnsi="Arial" w:cs="Arial"/>
              </w:rPr>
              <w:t>Operativos de Trasplantes en Colombia, con base en los cuales los certificará.</w:t>
            </w:r>
          </w:p>
          <w:p w14:paraId="00000573" w14:textId="77777777" w:rsidR="001C40B0" w:rsidRDefault="001C40B0">
            <w:pPr>
              <w:pBdr>
                <w:top w:val="nil"/>
                <w:left w:val="nil"/>
                <w:bottom w:val="nil"/>
                <w:right w:val="nil"/>
                <w:between w:val="nil"/>
              </w:pBdr>
              <w:jc w:val="both"/>
              <w:rPr>
                <w:rFonts w:ascii="Arial" w:eastAsia="Arial" w:hAnsi="Arial" w:cs="Arial"/>
                <w:b/>
                <w:bCs/>
              </w:rPr>
            </w:pPr>
          </w:p>
          <w:p w14:paraId="00000574" w14:textId="77777777" w:rsidR="001C40B0" w:rsidRDefault="00291712">
            <w:pPr>
              <w:pBdr>
                <w:top w:val="nil"/>
                <w:left w:val="nil"/>
                <w:bottom w:val="nil"/>
                <w:right w:val="nil"/>
                <w:between w:val="nil"/>
              </w:pBdr>
              <w:spacing w:after="160"/>
              <w:jc w:val="both"/>
              <w:rPr>
                <w:rFonts w:ascii="Arial" w:eastAsia="Arial" w:hAnsi="Arial" w:cs="Arial"/>
                <w:color w:val="000000"/>
              </w:rPr>
            </w:pPr>
            <w:r>
              <w:rPr>
                <w:rFonts w:ascii="Arial" w:eastAsia="Arial" w:hAnsi="Arial" w:cs="Arial"/>
              </w:rPr>
              <w:t xml:space="preserve">El proceso de certificación </w:t>
            </w:r>
            <w:r>
              <w:rPr>
                <w:rFonts w:ascii="Arial" w:eastAsia="Arial" w:hAnsi="Arial" w:cs="Arial"/>
                <w:strike/>
              </w:rPr>
              <w:t>puede darse por diferentes</w:t>
            </w:r>
            <w:r>
              <w:rPr>
                <w:rFonts w:ascii="Arial" w:eastAsia="Arial" w:hAnsi="Arial" w:cs="Arial"/>
              </w:rPr>
              <w:t xml:space="preserve"> </w:t>
            </w:r>
            <w:r>
              <w:rPr>
                <w:rFonts w:ascii="Arial" w:eastAsia="Arial" w:hAnsi="Arial" w:cs="Arial"/>
                <w:b/>
                <w:bCs/>
                <w:u w:val="single"/>
              </w:rPr>
              <w:t>se llevará a cabo mediante</w:t>
            </w:r>
            <w:r>
              <w:rPr>
                <w:rFonts w:ascii="Arial" w:eastAsia="Arial" w:hAnsi="Arial" w:cs="Arial"/>
              </w:rPr>
              <w:t xml:space="preserve"> mecanismos que</w:t>
            </w:r>
            <w:r>
              <w:rPr>
                <w:rFonts w:ascii="Arial" w:eastAsia="Arial" w:hAnsi="Arial" w:cs="Arial"/>
                <w:b/>
                <w:bCs/>
                <w:u w:val="single"/>
              </w:rPr>
              <w:t>,</w:t>
            </w:r>
            <w:r>
              <w:rPr>
                <w:rFonts w:ascii="Arial" w:eastAsia="Arial" w:hAnsi="Arial" w:cs="Arial"/>
              </w:rPr>
              <w:t xml:space="preserve"> en cualquier caso</w:t>
            </w:r>
            <w:r>
              <w:rPr>
                <w:rFonts w:ascii="Arial" w:eastAsia="Arial" w:hAnsi="Arial" w:cs="Arial"/>
                <w:b/>
                <w:bCs/>
                <w:u w:val="single"/>
              </w:rPr>
              <w:t>,</w:t>
            </w:r>
            <w:r>
              <w:rPr>
                <w:rFonts w:ascii="Arial" w:eastAsia="Arial" w:hAnsi="Arial" w:cs="Arial"/>
              </w:rPr>
              <w:t xml:space="preserve"> garanticen la disponibilidad continua y permanente de opciones de certificación </w:t>
            </w:r>
            <w:r>
              <w:rPr>
                <w:rFonts w:ascii="Arial" w:eastAsia="Arial" w:hAnsi="Arial" w:cs="Arial"/>
                <w:b/>
                <w:bCs/>
                <w:u w:val="single"/>
              </w:rPr>
              <w:t>por parte del Instituto Nacional de Salud</w:t>
            </w:r>
            <w:r>
              <w:rPr>
                <w:rFonts w:ascii="Arial" w:eastAsia="Arial" w:hAnsi="Arial" w:cs="Arial"/>
              </w:rPr>
              <w:t xml:space="preserve"> (INS), </w:t>
            </w:r>
            <w:r>
              <w:rPr>
                <w:rFonts w:ascii="Arial" w:eastAsia="Arial" w:hAnsi="Arial" w:cs="Arial"/>
                <w:b/>
                <w:bCs/>
                <w:u w:val="single"/>
              </w:rPr>
              <w:t>o quien haga sus veces</w:t>
            </w:r>
            <w:r>
              <w:rPr>
                <w:rFonts w:ascii="Arial" w:eastAsia="Arial" w:hAnsi="Arial" w:cs="Arial"/>
              </w:rPr>
              <w:t xml:space="preserve">. Dicha formación será </w:t>
            </w:r>
            <w:r>
              <w:rPr>
                <w:rFonts w:ascii="Arial" w:eastAsia="Arial" w:hAnsi="Arial" w:cs="Arial"/>
                <w:strike/>
              </w:rPr>
              <w:t>realizada</w:t>
            </w:r>
            <w:r>
              <w:rPr>
                <w:rFonts w:ascii="Arial" w:eastAsia="Arial" w:hAnsi="Arial" w:cs="Arial"/>
              </w:rPr>
              <w:t xml:space="preserve"> </w:t>
            </w:r>
            <w:r>
              <w:rPr>
                <w:rFonts w:ascii="Arial" w:eastAsia="Arial" w:hAnsi="Arial" w:cs="Arial"/>
                <w:b/>
                <w:bCs/>
                <w:highlight w:val="white"/>
                <w:u w:val="single"/>
              </w:rPr>
              <w:t>impartida</w:t>
            </w:r>
            <w:r>
              <w:rPr>
                <w:rFonts w:ascii="Arial" w:eastAsia="Arial" w:hAnsi="Arial" w:cs="Arial"/>
                <w:b/>
                <w:bCs/>
                <w:u w:val="single"/>
              </w:rPr>
              <w:t xml:space="preserve"> directamente</w:t>
            </w:r>
            <w:r>
              <w:rPr>
                <w:rFonts w:ascii="Arial" w:eastAsia="Arial" w:hAnsi="Arial" w:cs="Arial"/>
              </w:rPr>
              <w:t xml:space="preserve">  por el </w:t>
            </w:r>
            <w:r>
              <w:rPr>
                <w:rFonts w:ascii="Arial" w:eastAsia="Arial" w:hAnsi="Arial" w:cs="Arial"/>
                <w:b/>
                <w:bCs/>
                <w:u w:val="single"/>
              </w:rPr>
              <w:t>Instituto Nacional de Salud</w:t>
            </w:r>
            <w:r>
              <w:rPr>
                <w:rFonts w:ascii="Arial" w:eastAsia="Arial" w:hAnsi="Arial" w:cs="Arial"/>
              </w:rPr>
              <w:t xml:space="preserve"> (INS), </w:t>
            </w:r>
            <w:r>
              <w:rPr>
                <w:rFonts w:ascii="Arial" w:eastAsia="Arial" w:hAnsi="Arial" w:cs="Arial"/>
                <w:b/>
                <w:bCs/>
                <w:u w:val="single"/>
              </w:rPr>
              <w:t>o quien haga sus veces,</w:t>
            </w:r>
            <w:r>
              <w:rPr>
                <w:rFonts w:ascii="Arial" w:eastAsia="Arial" w:hAnsi="Arial" w:cs="Arial"/>
              </w:rPr>
              <w:t xml:space="preserve"> o a través de alianzas con terceros autorizados por éste, </w:t>
            </w:r>
            <w:r>
              <w:rPr>
                <w:rFonts w:ascii="Arial" w:eastAsia="Arial" w:hAnsi="Arial" w:cs="Arial"/>
                <w:strike/>
              </w:rPr>
              <w:t xml:space="preserve">garantizando la existencia de </w:t>
            </w:r>
            <w:r>
              <w:rPr>
                <w:rFonts w:ascii="Arial" w:eastAsia="Arial" w:hAnsi="Arial" w:cs="Arial"/>
              </w:rPr>
              <w:t xml:space="preserve"> </w:t>
            </w:r>
            <w:r>
              <w:rPr>
                <w:rFonts w:ascii="Arial" w:eastAsia="Arial" w:hAnsi="Arial" w:cs="Arial"/>
                <w:b/>
                <w:bCs/>
                <w:u w:val="single"/>
              </w:rPr>
              <w:t>y deberá asegurar</w:t>
            </w:r>
            <w:r>
              <w:rPr>
                <w:rFonts w:ascii="Arial" w:eastAsia="Arial" w:hAnsi="Arial" w:cs="Arial"/>
              </w:rPr>
              <w:t xml:space="preserve"> un tiempo mínimo de formación teórica y práctica para los profesionales de la salud </w:t>
            </w:r>
            <w:r>
              <w:rPr>
                <w:rFonts w:ascii="Arial" w:eastAsia="Arial" w:hAnsi="Arial" w:cs="Arial"/>
                <w:strike/>
              </w:rPr>
              <w:t xml:space="preserve">a certificar </w:t>
            </w:r>
            <w:r>
              <w:rPr>
                <w:rFonts w:ascii="Arial" w:eastAsia="Arial" w:hAnsi="Arial" w:cs="Arial"/>
                <w:b/>
                <w:bCs/>
                <w:u w:val="single"/>
              </w:rPr>
              <w:t>objeto de certificación</w:t>
            </w:r>
            <w:r>
              <w:rPr>
                <w:rFonts w:ascii="Arial" w:eastAsia="Arial" w:hAnsi="Arial" w:cs="Arial"/>
              </w:rPr>
              <w:t>.</w:t>
            </w:r>
          </w:p>
        </w:tc>
        <w:tc>
          <w:tcPr>
            <w:tcW w:w="2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75" w14:textId="77777777" w:rsidR="001C40B0" w:rsidRDefault="00291712">
            <w:pPr>
              <w:pBdr>
                <w:top w:val="nil"/>
                <w:left w:val="nil"/>
                <w:bottom w:val="nil"/>
                <w:right w:val="nil"/>
                <w:between w:val="nil"/>
              </w:pBdr>
              <w:jc w:val="both"/>
              <w:rPr>
                <w:rFonts w:ascii="Arial" w:eastAsia="Arial" w:hAnsi="Arial" w:cs="Arial"/>
                <w:color w:val="000000"/>
              </w:rPr>
            </w:pPr>
            <w:r>
              <w:rPr>
                <w:rFonts w:ascii="Arial" w:eastAsia="Arial" w:hAnsi="Arial" w:cs="Arial"/>
              </w:rPr>
              <w:t xml:space="preserve">Se ajusta la redacción. </w:t>
            </w:r>
          </w:p>
        </w:tc>
      </w:tr>
      <w:tr w:rsidR="001C40B0" w14:paraId="32C96A8A" w14:textId="77777777">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76" w14:textId="77777777" w:rsidR="001C40B0" w:rsidRDefault="00291712">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8. PROCEDIMIENTO EN CASO DE MUERTE POR PARADA </w:t>
            </w:r>
            <w:r>
              <w:rPr>
                <w:rFonts w:ascii="Arial" w:eastAsia="Arial" w:hAnsi="Arial" w:cs="Arial"/>
                <w:b/>
                <w:bCs/>
                <w:color w:val="000000"/>
              </w:rPr>
              <w:lastRenderedPageBreak/>
              <w:t>CIRCULATORIA Y RESPIRATORIA IRREVERSIBLE Y MUERTE NEUROLÓGICA.</w:t>
            </w:r>
            <w:r>
              <w:rPr>
                <w:rFonts w:ascii="Arial" w:eastAsia="Arial" w:hAnsi="Arial" w:cs="Arial"/>
                <w:color w:val="000000"/>
              </w:rPr>
              <w:t xml:space="preserve"> El Ministerio de Salud y</w:t>
            </w:r>
            <w:r>
              <w:rPr>
                <w:rFonts w:ascii="Arial" w:eastAsia="Arial" w:hAnsi="Arial" w:cs="Arial"/>
                <w:b/>
                <w:bCs/>
                <w:color w:val="000000"/>
              </w:rPr>
              <w:t xml:space="preserve"> </w:t>
            </w:r>
            <w:r>
              <w:rPr>
                <w:rFonts w:ascii="Arial" w:eastAsia="Arial" w:hAnsi="Arial" w:cs="Arial"/>
                <w:color w:val="000000"/>
              </w:rPr>
              <w:t>Protección Social en coordinación con el Instituto Nacional de Salud, expedirá</w:t>
            </w:r>
            <w:r>
              <w:rPr>
                <w:rFonts w:ascii="Arial" w:eastAsia="Arial" w:hAnsi="Arial" w:cs="Arial"/>
                <w:b/>
                <w:bCs/>
                <w:color w:val="000000"/>
              </w:rPr>
              <w:t xml:space="preserve"> </w:t>
            </w:r>
            <w:r>
              <w:rPr>
                <w:rFonts w:ascii="Arial" w:eastAsia="Arial" w:hAnsi="Arial" w:cs="Arial"/>
                <w:color w:val="000000"/>
              </w:rPr>
              <w:t>los procedimientos y criterios de detección, evaluación, mantenimiento y</w:t>
            </w:r>
            <w:r>
              <w:rPr>
                <w:rFonts w:ascii="Arial" w:eastAsia="Arial" w:hAnsi="Arial" w:cs="Arial"/>
                <w:b/>
                <w:bCs/>
                <w:color w:val="000000"/>
              </w:rPr>
              <w:t xml:space="preserve"> </w:t>
            </w:r>
            <w:r>
              <w:rPr>
                <w:rFonts w:ascii="Arial" w:eastAsia="Arial" w:hAnsi="Arial" w:cs="Arial"/>
                <w:color w:val="000000"/>
              </w:rPr>
              <w:t>extracción de órganos y tejidos de donantes fallecidos, así como la forma en</w:t>
            </w:r>
            <w:r>
              <w:rPr>
                <w:rFonts w:ascii="Arial" w:eastAsia="Arial" w:hAnsi="Arial" w:cs="Arial"/>
                <w:b/>
                <w:bCs/>
              </w:rPr>
              <w:t xml:space="preserve"> </w:t>
            </w:r>
            <w:r>
              <w:rPr>
                <w:rFonts w:ascii="Arial" w:eastAsia="Arial" w:hAnsi="Arial" w:cs="Arial"/>
                <w:color w:val="000000"/>
              </w:rPr>
              <w:t>que se adelantarán las campañas de concientización de la población y se fortalecerá la formación del personal de salud, garantizando el pleno respeto por la dignidad humana y la inviolabilidad del derecho a la vida.</w:t>
            </w:r>
          </w:p>
          <w:p w14:paraId="00000577" w14:textId="77777777" w:rsidR="001C40B0" w:rsidRDefault="001C40B0">
            <w:pPr>
              <w:pBdr>
                <w:top w:val="nil"/>
                <w:left w:val="nil"/>
                <w:bottom w:val="nil"/>
                <w:right w:val="nil"/>
                <w:between w:val="nil"/>
              </w:pBdr>
              <w:jc w:val="both"/>
              <w:rPr>
                <w:rFonts w:ascii="Arial" w:eastAsia="Arial" w:hAnsi="Arial" w:cs="Arial"/>
              </w:rPr>
            </w:pPr>
          </w:p>
          <w:p w14:paraId="00000578" w14:textId="77777777" w:rsidR="001C40B0" w:rsidRDefault="0029171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Estos protocolos deberán garantizar que el cuerpo médico lleve a cabo todos los esfuerzos de reanimación del paciente en vida. La certificación de la muerte deberá realizarse de acuerdo a los estándares médicos vigentes.</w:t>
            </w:r>
          </w:p>
          <w:p w14:paraId="00000579" w14:textId="77777777" w:rsidR="001C40B0" w:rsidRDefault="001C40B0">
            <w:pPr>
              <w:pBdr>
                <w:top w:val="nil"/>
                <w:left w:val="nil"/>
                <w:bottom w:val="nil"/>
                <w:right w:val="nil"/>
                <w:between w:val="nil"/>
              </w:pBdr>
              <w:jc w:val="both"/>
              <w:rPr>
                <w:rFonts w:ascii="Arial" w:eastAsia="Arial" w:hAnsi="Arial" w:cs="Arial"/>
                <w:color w:val="000000"/>
              </w:rPr>
            </w:pPr>
          </w:p>
          <w:p w14:paraId="0000057A" w14:textId="77777777" w:rsidR="001C40B0" w:rsidRDefault="0029171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procedimiento de donación de órganos y tejidos bajo protocolos de asistolia se podrá llevar a cabo siempre y cuando la decisión de realizar dicho procedimiento haya sido tomada de forma independiente, ética y médica, en beneficio exclusivo del paciente. Para tales efectos, se deberá garantizar que la familia sea informada plenamente del estado del paciente.</w:t>
            </w:r>
          </w:p>
          <w:p w14:paraId="0000057B" w14:textId="77777777" w:rsidR="001C40B0" w:rsidRDefault="001C40B0">
            <w:pPr>
              <w:pBdr>
                <w:top w:val="nil"/>
                <w:left w:val="nil"/>
                <w:bottom w:val="nil"/>
                <w:right w:val="nil"/>
                <w:between w:val="nil"/>
              </w:pBdr>
              <w:jc w:val="both"/>
              <w:rPr>
                <w:rFonts w:ascii="Arial" w:eastAsia="Arial" w:hAnsi="Arial" w:cs="Arial"/>
                <w:color w:val="000000"/>
              </w:rPr>
            </w:pPr>
          </w:p>
          <w:p w14:paraId="0000057C" w14:textId="77777777" w:rsidR="001C40B0" w:rsidRDefault="0029171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La extracción de órganos o tejidos sólo podrá realizarse </w:t>
            </w:r>
            <w:r>
              <w:rPr>
                <w:rFonts w:ascii="Arial" w:eastAsia="Arial" w:hAnsi="Arial" w:cs="Arial"/>
                <w:color w:val="000000"/>
              </w:rPr>
              <w:lastRenderedPageBreak/>
              <w:t>tras la certificación plena, por un equipo médico independiente del equipo que certifica la muerte, del fallecimiento del paciente en condiciones de certeza biológica absoluta de acuerdo a los estándares científicos vigentes.</w:t>
            </w:r>
          </w:p>
          <w:p w14:paraId="0000057D" w14:textId="77777777" w:rsidR="001C40B0" w:rsidRDefault="001C40B0">
            <w:pPr>
              <w:pBdr>
                <w:top w:val="nil"/>
                <w:left w:val="nil"/>
                <w:bottom w:val="nil"/>
                <w:right w:val="nil"/>
                <w:between w:val="nil"/>
              </w:pBdr>
              <w:jc w:val="both"/>
              <w:rPr>
                <w:rFonts w:ascii="Arial" w:eastAsia="Arial" w:hAnsi="Arial" w:cs="Arial"/>
                <w:color w:val="000000"/>
              </w:rPr>
            </w:pPr>
          </w:p>
          <w:p w14:paraId="0000057E" w14:textId="77777777" w:rsidR="001C40B0" w:rsidRDefault="0029171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Ministerio de Salud y Protección Social reglamentará los protocolos, procedimientos y criterios establecidos en el presente artículo en un plazo no mayor a seis (6) meses, contados a partir de la entrada en vigencia de la presente ley. Para tal fin, deberá contar con la participación de sociedades científicas, expertos en bioética y representantes de asociaciones defensoras de la vida y derechos humanos.</w:t>
            </w:r>
          </w:p>
          <w:p w14:paraId="0000057F" w14:textId="77777777" w:rsidR="001C40B0" w:rsidRDefault="001C40B0">
            <w:pPr>
              <w:pBdr>
                <w:top w:val="nil"/>
                <w:left w:val="nil"/>
                <w:bottom w:val="nil"/>
                <w:right w:val="nil"/>
                <w:between w:val="nil"/>
              </w:pBdr>
              <w:jc w:val="both"/>
              <w:rPr>
                <w:rFonts w:ascii="Arial" w:eastAsia="Arial" w:hAnsi="Arial" w:cs="Arial"/>
                <w:color w:val="000000"/>
              </w:rPr>
            </w:pPr>
          </w:p>
          <w:p w14:paraId="00000580" w14:textId="77777777" w:rsidR="001C40B0" w:rsidRDefault="00291712">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Parágrafo.</w:t>
            </w:r>
            <w:r>
              <w:rPr>
                <w:rFonts w:ascii="Arial" w:eastAsia="Arial" w:hAnsi="Arial" w:cs="Arial"/>
                <w:color w:val="000000"/>
              </w:rPr>
              <w:t xml:space="preserve"> En ningún caso la donación de órganos y/o tejidos con fines de trasplante podrá usarse como justificación para conllevar a la terminación de la vida.</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81" w14:textId="77777777" w:rsidR="001C40B0" w:rsidRDefault="00291712">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b/>
                <w:bCs/>
                <w:color w:val="000000"/>
                <w:highlight w:val="white"/>
              </w:rPr>
              <w:lastRenderedPageBreak/>
              <w:t xml:space="preserve">ARTÍCULO 8. PROCEDIMIENTO EN CASO DE MUERTE POR PARADA </w:t>
            </w:r>
            <w:r>
              <w:rPr>
                <w:rFonts w:ascii="Arial" w:eastAsia="Arial" w:hAnsi="Arial" w:cs="Arial"/>
                <w:b/>
                <w:bCs/>
                <w:color w:val="000000"/>
                <w:highlight w:val="white"/>
              </w:rPr>
              <w:lastRenderedPageBreak/>
              <w:t>CIRCULATORIA Y RESPIRATORIA IRREVERSIBLE Y MUERTE NEUROLÓGICA.</w:t>
            </w:r>
            <w:r>
              <w:rPr>
                <w:rFonts w:ascii="Arial" w:eastAsia="Arial" w:hAnsi="Arial" w:cs="Arial"/>
                <w:color w:val="000000"/>
                <w:highlight w:val="white"/>
              </w:rPr>
              <w:t xml:space="preserve"> El Ministerio de Salud y</w:t>
            </w:r>
            <w:r>
              <w:rPr>
                <w:rFonts w:ascii="Arial" w:eastAsia="Arial" w:hAnsi="Arial" w:cs="Arial"/>
                <w:b/>
                <w:bCs/>
                <w:color w:val="000000"/>
                <w:highlight w:val="white"/>
              </w:rPr>
              <w:t xml:space="preserve"> </w:t>
            </w:r>
            <w:r>
              <w:rPr>
                <w:rFonts w:ascii="Arial" w:eastAsia="Arial" w:hAnsi="Arial" w:cs="Arial"/>
                <w:color w:val="000000"/>
                <w:highlight w:val="white"/>
              </w:rPr>
              <w:t xml:space="preserve">Protección Social en coordinación con el Instituto Nacional de Salud </w:t>
            </w:r>
            <w:r>
              <w:rPr>
                <w:rFonts w:ascii="Arial" w:eastAsia="Arial" w:hAnsi="Arial" w:cs="Arial"/>
                <w:b/>
                <w:bCs/>
                <w:color w:val="000000"/>
                <w:highlight w:val="white"/>
                <w:u w:val="single"/>
              </w:rPr>
              <w:t>(INS), o</w:t>
            </w:r>
            <w:r>
              <w:rPr>
                <w:rFonts w:ascii="Arial" w:eastAsia="Arial" w:hAnsi="Arial" w:cs="Arial"/>
                <w:b/>
                <w:bCs/>
                <w:highlight w:val="white"/>
                <w:u w:val="single"/>
              </w:rPr>
              <w:t xml:space="preserve"> quien haga sus veces</w:t>
            </w:r>
            <w:r>
              <w:rPr>
                <w:rFonts w:ascii="Arial" w:eastAsia="Arial" w:hAnsi="Arial" w:cs="Arial"/>
                <w:color w:val="000000"/>
                <w:highlight w:val="white"/>
              </w:rPr>
              <w:t>, expedirá</w:t>
            </w:r>
            <w:r>
              <w:rPr>
                <w:rFonts w:ascii="Arial" w:eastAsia="Arial" w:hAnsi="Arial" w:cs="Arial"/>
                <w:b/>
                <w:bCs/>
                <w:color w:val="000000"/>
                <w:highlight w:val="white"/>
              </w:rPr>
              <w:t xml:space="preserve"> </w:t>
            </w:r>
            <w:r>
              <w:rPr>
                <w:rFonts w:ascii="Arial" w:eastAsia="Arial" w:hAnsi="Arial" w:cs="Arial"/>
                <w:color w:val="000000"/>
                <w:highlight w:val="white"/>
              </w:rPr>
              <w:t>los procedimientos y criterios de detección, evaluación, mantenimiento y</w:t>
            </w:r>
            <w:r>
              <w:rPr>
                <w:rFonts w:ascii="Arial" w:eastAsia="Arial" w:hAnsi="Arial" w:cs="Arial"/>
                <w:b/>
                <w:bCs/>
                <w:color w:val="000000"/>
                <w:highlight w:val="white"/>
              </w:rPr>
              <w:t xml:space="preserve"> </w:t>
            </w:r>
            <w:r>
              <w:rPr>
                <w:rFonts w:ascii="Arial" w:eastAsia="Arial" w:hAnsi="Arial" w:cs="Arial"/>
                <w:color w:val="000000"/>
                <w:highlight w:val="white"/>
              </w:rPr>
              <w:t xml:space="preserve">extracción de </w:t>
            </w:r>
            <w:r>
              <w:rPr>
                <w:rFonts w:ascii="Arial" w:eastAsia="Arial" w:hAnsi="Arial" w:cs="Arial"/>
                <w:highlight w:val="white"/>
              </w:rPr>
              <w:t>órganos</w:t>
            </w:r>
            <w:r>
              <w:rPr>
                <w:rFonts w:ascii="Arial" w:eastAsia="Arial" w:hAnsi="Arial" w:cs="Arial"/>
                <w:b/>
                <w:bCs/>
                <w:highlight w:val="white"/>
                <w:u w:val="single"/>
              </w:rPr>
              <w:t>,</w:t>
            </w:r>
            <w:r>
              <w:rPr>
                <w:rFonts w:ascii="Arial" w:eastAsia="Arial" w:hAnsi="Arial" w:cs="Arial"/>
                <w:highlight w:val="white"/>
              </w:rPr>
              <w:t xml:space="preserve"> </w:t>
            </w:r>
            <w:r>
              <w:rPr>
                <w:rFonts w:ascii="Arial" w:eastAsia="Arial" w:hAnsi="Arial" w:cs="Arial"/>
                <w:strike/>
                <w:highlight w:val="white"/>
              </w:rPr>
              <w:t xml:space="preserve">y </w:t>
            </w:r>
            <w:r>
              <w:rPr>
                <w:rFonts w:ascii="Arial" w:eastAsia="Arial" w:hAnsi="Arial" w:cs="Arial"/>
                <w:highlight w:val="white"/>
              </w:rPr>
              <w:t xml:space="preserve">tejidos </w:t>
            </w:r>
            <w:r>
              <w:rPr>
                <w:rFonts w:ascii="Arial" w:eastAsia="Arial" w:hAnsi="Arial" w:cs="Arial"/>
                <w:b/>
                <w:bCs/>
                <w:highlight w:val="white"/>
                <w:u w:val="single"/>
              </w:rPr>
              <w:t>y derivados</w:t>
            </w:r>
            <w:r>
              <w:rPr>
                <w:rFonts w:ascii="Arial" w:eastAsia="Arial" w:hAnsi="Arial" w:cs="Arial"/>
                <w:highlight w:val="white"/>
              </w:rPr>
              <w:t xml:space="preserve"> </w:t>
            </w:r>
            <w:r>
              <w:rPr>
                <w:rFonts w:ascii="Arial" w:eastAsia="Arial" w:hAnsi="Arial" w:cs="Arial"/>
                <w:color w:val="000000"/>
                <w:highlight w:val="white"/>
              </w:rPr>
              <w:t>de donantes fallecidos, así como la forma en</w:t>
            </w:r>
            <w:r>
              <w:rPr>
                <w:rFonts w:ascii="Arial" w:eastAsia="Arial" w:hAnsi="Arial" w:cs="Arial"/>
                <w:b/>
                <w:bCs/>
                <w:highlight w:val="white"/>
              </w:rPr>
              <w:t xml:space="preserve"> </w:t>
            </w:r>
            <w:r>
              <w:rPr>
                <w:rFonts w:ascii="Arial" w:eastAsia="Arial" w:hAnsi="Arial" w:cs="Arial"/>
                <w:color w:val="000000"/>
                <w:highlight w:val="white"/>
              </w:rPr>
              <w:t>que se adelantarán las campañas de concientización de la población y se fortalecerá la formación del personal de salud, garantizando el pleno respeto por la dignidad humana y la inviolabilidad del derecho a la vida.</w:t>
            </w:r>
          </w:p>
          <w:p w14:paraId="00000582" w14:textId="77777777" w:rsidR="001C40B0" w:rsidRDefault="001C40B0">
            <w:pPr>
              <w:pBdr>
                <w:top w:val="nil"/>
                <w:left w:val="nil"/>
                <w:bottom w:val="nil"/>
                <w:right w:val="nil"/>
                <w:between w:val="nil"/>
              </w:pBdr>
              <w:jc w:val="both"/>
              <w:rPr>
                <w:rFonts w:ascii="Arial" w:eastAsia="Arial" w:hAnsi="Arial" w:cs="Arial"/>
                <w:highlight w:val="white"/>
              </w:rPr>
            </w:pPr>
          </w:p>
          <w:p w14:paraId="00000583" w14:textId="77777777" w:rsidR="001C40B0" w:rsidRDefault="00291712">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color w:val="000000"/>
                <w:highlight w:val="white"/>
              </w:rPr>
              <w:t>Estos protocolos deberán garantizar que el cuerpo médico lleve a cabo todos los esfuerzos de reanimación del paciente en vida. La certificación de la muerte deberá realizarse de acuerdo a los estándares médicos vigentes.</w:t>
            </w:r>
          </w:p>
          <w:p w14:paraId="00000584" w14:textId="77777777" w:rsidR="001C40B0" w:rsidRDefault="001C40B0">
            <w:pPr>
              <w:pBdr>
                <w:top w:val="nil"/>
                <w:left w:val="nil"/>
                <w:bottom w:val="nil"/>
                <w:right w:val="nil"/>
                <w:between w:val="nil"/>
              </w:pBdr>
              <w:jc w:val="both"/>
              <w:rPr>
                <w:rFonts w:ascii="Arial" w:eastAsia="Arial" w:hAnsi="Arial" w:cs="Arial"/>
                <w:color w:val="000000"/>
                <w:highlight w:val="white"/>
              </w:rPr>
            </w:pPr>
          </w:p>
          <w:p w14:paraId="00000585" w14:textId="77777777" w:rsidR="001C40B0" w:rsidRDefault="00291712">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color w:val="000000"/>
                <w:highlight w:val="white"/>
              </w:rPr>
              <w:t xml:space="preserve">El procedimiento de donación de </w:t>
            </w:r>
            <w:r>
              <w:rPr>
                <w:rFonts w:ascii="Arial" w:eastAsia="Arial" w:hAnsi="Arial" w:cs="Arial"/>
                <w:highlight w:val="white"/>
              </w:rPr>
              <w:t>órganos</w:t>
            </w:r>
            <w:r>
              <w:rPr>
                <w:rFonts w:ascii="Arial" w:eastAsia="Arial" w:hAnsi="Arial" w:cs="Arial"/>
                <w:b/>
                <w:bCs/>
                <w:highlight w:val="white"/>
                <w:u w:val="single"/>
              </w:rPr>
              <w:t>,</w:t>
            </w:r>
            <w:r>
              <w:rPr>
                <w:rFonts w:ascii="Arial" w:eastAsia="Arial" w:hAnsi="Arial" w:cs="Arial"/>
                <w:highlight w:val="white"/>
              </w:rPr>
              <w:t xml:space="preserve"> </w:t>
            </w:r>
            <w:r>
              <w:rPr>
                <w:rFonts w:ascii="Arial" w:eastAsia="Arial" w:hAnsi="Arial" w:cs="Arial"/>
                <w:strike/>
                <w:highlight w:val="white"/>
              </w:rPr>
              <w:t xml:space="preserve">y </w:t>
            </w:r>
            <w:r>
              <w:rPr>
                <w:rFonts w:ascii="Arial" w:eastAsia="Arial" w:hAnsi="Arial" w:cs="Arial"/>
                <w:highlight w:val="white"/>
              </w:rPr>
              <w:t xml:space="preserve">tejidos </w:t>
            </w:r>
            <w:r>
              <w:rPr>
                <w:rFonts w:ascii="Arial" w:eastAsia="Arial" w:hAnsi="Arial" w:cs="Arial"/>
                <w:b/>
                <w:bCs/>
                <w:highlight w:val="white"/>
                <w:u w:val="single"/>
              </w:rPr>
              <w:t>y derivados</w:t>
            </w:r>
            <w:r>
              <w:rPr>
                <w:rFonts w:ascii="Arial" w:eastAsia="Arial" w:hAnsi="Arial" w:cs="Arial"/>
                <w:highlight w:val="white"/>
              </w:rPr>
              <w:t xml:space="preserve"> </w:t>
            </w:r>
            <w:r>
              <w:rPr>
                <w:rFonts w:ascii="Arial" w:eastAsia="Arial" w:hAnsi="Arial" w:cs="Arial"/>
                <w:color w:val="000000"/>
                <w:highlight w:val="white"/>
              </w:rPr>
              <w:t xml:space="preserve"> bajo protocolos de asistolia se podrá llevar a cabo siempre y cuando la decisión de realizar dicho procedimiento haya sido tomada de forma independiente, ética y médica, en beneficio exclusivo del paciente. Para tales efectos, se deberá garantizar que la familia sea informada plenamente del estado del paciente.</w:t>
            </w:r>
          </w:p>
          <w:p w14:paraId="00000586" w14:textId="77777777" w:rsidR="001C40B0" w:rsidRDefault="001C40B0">
            <w:pPr>
              <w:pBdr>
                <w:top w:val="nil"/>
                <w:left w:val="nil"/>
                <w:bottom w:val="nil"/>
                <w:right w:val="nil"/>
                <w:between w:val="nil"/>
              </w:pBdr>
              <w:jc w:val="both"/>
              <w:rPr>
                <w:rFonts w:ascii="Arial" w:eastAsia="Arial" w:hAnsi="Arial" w:cs="Arial"/>
                <w:color w:val="000000"/>
                <w:highlight w:val="white"/>
              </w:rPr>
            </w:pPr>
          </w:p>
          <w:p w14:paraId="00000587" w14:textId="77777777" w:rsidR="001C40B0" w:rsidRDefault="00291712">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color w:val="000000"/>
                <w:highlight w:val="white"/>
              </w:rPr>
              <w:lastRenderedPageBreak/>
              <w:t>La extracción de órganos o tejidos sólo podrá realizarse tras la certificación plena, por un equipo médico independiente del equipo que certifica la muerte, del fallecimiento del paciente en condiciones de certeza biológica absoluta de acuerdo a los estándares científicos vigentes.</w:t>
            </w:r>
          </w:p>
          <w:p w14:paraId="00000588" w14:textId="77777777" w:rsidR="001C40B0" w:rsidRDefault="001C40B0">
            <w:pPr>
              <w:pBdr>
                <w:top w:val="nil"/>
                <w:left w:val="nil"/>
                <w:bottom w:val="nil"/>
                <w:right w:val="nil"/>
                <w:between w:val="nil"/>
              </w:pBdr>
              <w:jc w:val="both"/>
              <w:rPr>
                <w:rFonts w:ascii="Arial" w:eastAsia="Arial" w:hAnsi="Arial" w:cs="Arial"/>
                <w:color w:val="000000"/>
                <w:highlight w:val="white"/>
              </w:rPr>
            </w:pPr>
          </w:p>
          <w:p w14:paraId="00000589" w14:textId="77777777" w:rsidR="001C40B0" w:rsidRDefault="00291712">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color w:val="000000"/>
                <w:highlight w:val="white"/>
              </w:rPr>
              <w:t>El Ministerio de Salud y Protección Social reglamentará los protocolos, procedimientos y criterios establecidos en el presente artículo en un plazo no mayor a seis (6) meses, contados a partir de la entrada en vigencia de la presente ley. Para tal fin, deberá contar con la participación de sociedades científicas, expertos en bioética y representantes de asociaciones defensoras de la vida y derechos humanos.</w:t>
            </w:r>
          </w:p>
          <w:p w14:paraId="0000058A" w14:textId="77777777" w:rsidR="001C40B0" w:rsidRDefault="001C40B0">
            <w:pPr>
              <w:pBdr>
                <w:top w:val="nil"/>
                <w:left w:val="nil"/>
                <w:bottom w:val="nil"/>
                <w:right w:val="nil"/>
                <w:between w:val="nil"/>
              </w:pBdr>
              <w:jc w:val="both"/>
              <w:rPr>
                <w:rFonts w:ascii="Arial" w:eastAsia="Arial" w:hAnsi="Arial" w:cs="Arial"/>
                <w:color w:val="000000"/>
                <w:highlight w:val="white"/>
              </w:rPr>
            </w:pPr>
          </w:p>
          <w:p w14:paraId="0000058B" w14:textId="77777777" w:rsidR="001C40B0" w:rsidRDefault="00291712">
            <w:pPr>
              <w:pBdr>
                <w:top w:val="nil"/>
                <w:left w:val="nil"/>
                <w:bottom w:val="nil"/>
                <w:right w:val="nil"/>
                <w:between w:val="nil"/>
              </w:pBdr>
              <w:spacing w:after="160"/>
              <w:jc w:val="both"/>
              <w:rPr>
                <w:rFonts w:ascii="Arial" w:eastAsia="Arial" w:hAnsi="Arial" w:cs="Arial"/>
                <w:color w:val="000000"/>
                <w:highlight w:val="white"/>
              </w:rPr>
            </w:pPr>
            <w:r>
              <w:rPr>
                <w:rFonts w:ascii="Arial" w:eastAsia="Arial" w:hAnsi="Arial" w:cs="Arial"/>
                <w:b/>
                <w:bCs/>
                <w:color w:val="000000"/>
                <w:highlight w:val="white"/>
              </w:rPr>
              <w:t>Parágrafo.</w:t>
            </w:r>
            <w:r>
              <w:rPr>
                <w:rFonts w:ascii="Arial" w:eastAsia="Arial" w:hAnsi="Arial" w:cs="Arial"/>
                <w:color w:val="000000"/>
                <w:highlight w:val="white"/>
              </w:rPr>
              <w:t xml:space="preserve"> En ningún caso la donación de órganos y/o tejidos con fines de trasplante podrá usarse como justificación para conllevar a la terminación de la vida.</w:t>
            </w:r>
          </w:p>
        </w:tc>
        <w:tc>
          <w:tcPr>
            <w:tcW w:w="2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8C" w14:textId="77777777" w:rsidR="001C40B0" w:rsidRDefault="00291712">
            <w:pPr>
              <w:rPr>
                <w:rFonts w:ascii="Arial" w:eastAsia="Arial" w:hAnsi="Arial" w:cs="Arial"/>
              </w:rPr>
            </w:pPr>
            <w:r>
              <w:rPr>
                <w:rFonts w:ascii="Arial" w:eastAsia="Arial" w:hAnsi="Arial" w:cs="Arial"/>
              </w:rPr>
              <w:lastRenderedPageBreak/>
              <w:t>Sin modificaciones.</w:t>
            </w:r>
          </w:p>
        </w:tc>
      </w:tr>
      <w:tr w:rsidR="001C40B0" w14:paraId="134606AF" w14:textId="77777777">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8D"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lastRenderedPageBreak/>
              <w:t>ARTÍCULO 9. FUNCIONAMIENTO Y FINANCIACIÓN DE LA RED DE DONACIÓN Y</w:t>
            </w:r>
            <w:r>
              <w:rPr>
                <w:rFonts w:ascii="Arial" w:eastAsia="Arial" w:hAnsi="Arial" w:cs="Arial"/>
                <w:color w:val="000000"/>
              </w:rPr>
              <w:t xml:space="preserve"> </w:t>
            </w:r>
            <w:r>
              <w:rPr>
                <w:rFonts w:ascii="Arial" w:eastAsia="Arial" w:hAnsi="Arial" w:cs="Arial"/>
                <w:b/>
                <w:bCs/>
                <w:color w:val="000000"/>
              </w:rPr>
              <w:t xml:space="preserve">TRASPLANTES DE ÓRGANOS, TEJIDOS Y CÉLULAS. </w:t>
            </w:r>
            <w:r>
              <w:rPr>
                <w:rFonts w:ascii="Arial" w:eastAsia="Arial" w:hAnsi="Arial" w:cs="Arial"/>
                <w:color w:val="000000"/>
              </w:rPr>
              <w:t>Las funciones de la Red de Donación y Trasplantes de Órganos, Tejidos y Células a nivel departamental serán definidas por el Instituto Nacional de Salud (INS) o por quien haga sus veces.</w:t>
            </w:r>
          </w:p>
          <w:p w14:paraId="0000058E"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58F"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Las funciones del nivel departamental, incluidas la auditoría, organización y funcionamiento de la red de trasplantes, serán definidas por el Instituto Nacional de Salud (INS) o quien haga sus veces, y en el marco de su autonomía y capacidades</w:t>
            </w:r>
            <w:r>
              <w:rPr>
                <w:rFonts w:ascii="Arial" w:eastAsia="Arial" w:hAnsi="Arial" w:cs="Arial"/>
                <w:b/>
                <w:bCs/>
                <w:color w:val="000000"/>
              </w:rPr>
              <w:t xml:space="preserve"> </w:t>
            </w:r>
            <w:r>
              <w:rPr>
                <w:rFonts w:ascii="Arial" w:eastAsia="Arial" w:hAnsi="Arial" w:cs="Arial"/>
                <w:color w:val="000000"/>
              </w:rPr>
              <w:t>asumidas por las secretarías de salud. El financiamiento de las actividades de promoción a la donación deberá además fortalecerse a través de los planes de intervenciones colectivas a nivel departamental sin perjuicio de la concurrencia de recursos del nivel nacional. En todo caso, el INS y la Superintendencia de Salud vigilará y controlará el funcionamiento adecuado de las coordinaciones departamentales.</w:t>
            </w:r>
          </w:p>
          <w:p w14:paraId="00000590" w14:textId="77777777" w:rsidR="001C40B0" w:rsidRDefault="001C40B0">
            <w:pPr>
              <w:widowControl/>
              <w:pBdr>
                <w:top w:val="nil"/>
                <w:left w:val="nil"/>
                <w:bottom w:val="nil"/>
                <w:right w:val="nil"/>
                <w:between w:val="nil"/>
              </w:pBdr>
              <w:jc w:val="both"/>
              <w:rPr>
                <w:rFonts w:ascii="Arial" w:eastAsia="Arial" w:hAnsi="Arial" w:cs="Arial"/>
              </w:rPr>
            </w:pPr>
          </w:p>
          <w:p w14:paraId="00000591" w14:textId="77777777" w:rsidR="001C40B0" w:rsidRDefault="001C40B0">
            <w:pPr>
              <w:widowControl/>
              <w:pBdr>
                <w:top w:val="nil"/>
                <w:left w:val="nil"/>
                <w:bottom w:val="nil"/>
                <w:right w:val="nil"/>
                <w:between w:val="nil"/>
              </w:pBdr>
              <w:jc w:val="both"/>
              <w:rPr>
                <w:rFonts w:ascii="Arial" w:eastAsia="Arial" w:hAnsi="Arial" w:cs="Arial"/>
              </w:rPr>
            </w:pPr>
          </w:p>
          <w:p w14:paraId="00000592" w14:textId="77777777" w:rsidR="001C40B0" w:rsidRDefault="001C40B0">
            <w:pPr>
              <w:widowControl/>
              <w:pBdr>
                <w:top w:val="nil"/>
                <w:left w:val="nil"/>
                <w:bottom w:val="nil"/>
                <w:right w:val="nil"/>
                <w:between w:val="nil"/>
              </w:pBdr>
              <w:jc w:val="both"/>
              <w:rPr>
                <w:rFonts w:ascii="Arial" w:eastAsia="Arial" w:hAnsi="Arial" w:cs="Arial"/>
              </w:rPr>
            </w:pPr>
          </w:p>
          <w:p w14:paraId="00000593" w14:textId="77777777" w:rsidR="001C40B0" w:rsidRDefault="001C40B0">
            <w:pPr>
              <w:widowControl/>
              <w:pBdr>
                <w:top w:val="nil"/>
                <w:left w:val="nil"/>
                <w:bottom w:val="nil"/>
                <w:right w:val="nil"/>
                <w:between w:val="nil"/>
              </w:pBdr>
              <w:jc w:val="both"/>
              <w:rPr>
                <w:rFonts w:ascii="Arial" w:eastAsia="Arial" w:hAnsi="Arial" w:cs="Arial"/>
              </w:rPr>
            </w:pPr>
          </w:p>
          <w:p w14:paraId="00000594" w14:textId="77777777" w:rsidR="001C40B0" w:rsidRDefault="001C40B0">
            <w:pPr>
              <w:widowControl/>
              <w:pBdr>
                <w:top w:val="nil"/>
                <w:left w:val="nil"/>
                <w:bottom w:val="nil"/>
                <w:right w:val="nil"/>
                <w:between w:val="nil"/>
              </w:pBdr>
              <w:jc w:val="both"/>
              <w:rPr>
                <w:rFonts w:ascii="Arial" w:eastAsia="Arial" w:hAnsi="Arial" w:cs="Arial"/>
              </w:rPr>
            </w:pPr>
          </w:p>
          <w:p w14:paraId="00000595" w14:textId="77777777" w:rsidR="001C40B0" w:rsidRDefault="001C40B0">
            <w:pPr>
              <w:widowControl/>
              <w:pBdr>
                <w:top w:val="nil"/>
                <w:left w:val="nil"/>
                <w:bottom w:val="nil"/>
                <w:right w:val="nil"/>
                <w:between w:val="nil"/>
              </w:pBdr>
              <w:jc w:val="both"/>
              <w:rPr>
                <w:rFonts w:ascii="Arial" w:eastAsia="Arial" w:hAnsi="Arial" w:cs="Arial"/>
              </w:rPr>
            </w:pPr>
          </w:p>
          <w:p w14:paraId="00000596" w14:textId="77777777" w:rsidR="001C40B0" w:rsidRDefault="001C40B0">
            <w:pPr>
              <w:widowControl/>
              <w:pBdr>
                <w:top w:val="nil"/>
                <w:left w:val="nil"/>
                <w:bottom w:val="nil"/>
                <w:right w:val="nil"/>
                <w:between w:val="nil"/>
              </w:pBdr>
              <w:jc w:val="both"/>
              <w:rPr>
                <w:rFonts w:ascii="Arial" w:eastAsia="Arial" w:hAnsi="Arial" w:cs="Arial"/>
              </w:rPr>
            </w:pPr>
          </w:p>
          <w:p w14:paraId="00000597"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Las secretarías de salud municipales, departamentales y distritales, en coordinación con la Red de Donación y Trasplantes, en el marco de su</w:t>
            </w:r>
          </w:p>
          <w:p w14:paraId="00000598"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autonomía y disponibilidad de recursos aportarán sus capacidades logísticas de comunicación, software y transporte para la gestión del trasplante de órganos y tejidos y designarán una coordinación encargada de esta gestión. En los lugares donde no exista dicha coordinación, al menos </w:t>
            </w:r>
            <w:r>
              <w:rPr>
                <w:rFonts w:ascii="Arial" w:eastAsia="Arial" w:hAnsi="Arial" w:cs="Arial"/>
                <w:color w:val="000000"/>
              </w:rPr>
              <w:lastRenderedPageBreak/>
              <w:t>se deberá contar con un funcionario encargado de esta función.</w:t>
            </w:r>
          </w:p>
          <w:p w14:paraId="00000599"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59A"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 certificación y vigilancia de los bancos de tejidos estarán a cargo del Instituto Nacional de Vigilancia de Medicamentos y Alimentos (INVIMA) o quien haga sus veces, de acuerdo con la reglamentación que el Ministerio de Salud y Protección Social expida en la materia. El Instituto Nacional de Salud (INS) o quien haga sus veces, deberá coordinar con el INVIMA las acciones necesarias para fortalecer la donación, vigilancia, el seguimiento, distribución y demás aspectos de calidad para el uso de tejidos en Colombia y la aplicación de los reglamentos técnicos que en el tema expida el Ministerio de Salud y Protección Social.</w:t>
            </w:r>
          </w:p>
          <w:p w14:paraId="0000059B" w14:textId="77777777" w:rsidR="001C40B0" w:rsidRDefault="001C40B0">
            <w:pPr>
              <w:widowControl/>
              <w:pBdr>
                <w:top w:val="nil"/>
                <w:left w:val="nil"/>
                <w:bottom w:val="nil"/>
                <w:right w:val="nil"/>
                <w:between w:val="nil"/>
              </w:pBdr>
              <w:jc w:val="both"/>
              <w:rPr>
                <w:rFonts w:ascii="Arial" w:eastAsia="Arial" w:hAnsi="Arial" w:cs="Arial"/>
              </w:rPr>
            </w:pPr>
          </w:p>
          <w:p w14:paraId="0000059C" w14:textId="77777777" w:rsidR="001C40B0" w:rsidRDefault="001C40B0">
            <w:pPr>
              <w:widowControl/>
              <w:pBdr>
                <w:top w:val="nil"/>
                <w:left w:val="nil"/>
                <w:bottom w:val="nil"/>
                <w:right w:val="nil"/>
                <w:between w:val="nil"/>
              </w:pBdr>
              <w:jc w:val="both"/>
              <w:rPr>
                <w:rFonts w:ascii="Arial" w:eastAsia="Arial" w:hAnsi="Arial" w:cs="Arial"/>
              </w:rPr>
            </w:pPr>
          </w:p>
          <w:p w14:paraId="0000059D"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Departamento Nacional de Planeación entregará un informe ejecutivo anual al Congreso de la República, en el que presente el comportamiento de los recursos asignados a los proyectos de inversión y recursos propios asignados al Ministerio de Salud y Protección Social y al Instituto Nacional de Salud para garantizar el cumplimiento de las funciones dispuestas en la presente Ley y sus actos reglamentarios.</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9E" w14:textId="77777777" w:rsidR="001C40B0" w:rsidRDefault="00291712">
            <w:pPr>
              <w:widowControl/>
              <w:pBdr>
                <w:top w:val="nil"/>
                <w:left w:val="nil"/>
                <w:bottom w:val="nil"/>
                <w:right w:val="nil"/>
                <w:between w:val="nil"/>
              </w:pBdr>
              <w:jc w:val="both"/>
              <w:rPr>
                <w:rFonts w:ascii="Arial" w:eastAsia="Arial" w:hAnsi="Arial" w:cs="Arial"/>
                <w:color w:val="000000"/>
                <w:highlight w:val="white"/>
              </w:rPr>
            </w:pPr>
            <w:r>
              <w:rPr>
                <w:rFonts w:ascii="Arial" w:eastAsia="Arial" w:hAnsi="Arial" w:cs="Arial"/>
                <w:b/>
                <w:bCs/>
                <w:color w:val="000000"/>
                <w:highlight w:val="white"/>
              </w:rPr>
              <w:lastRenderedPageBreak/>
              <w:t>ARTÍCULO 9.  FUNCIONAMIENTO Y FINANCIACIÓN DE LA RED DE DONACIÓN Y</w:t>
            </w:r>
            <w:r>
              <w:rPr>
                <w:rFonts w:ascii="Arial" w:eastAsia="Arial" w:hAnsi="Arial" w:cs="Arial"/>
                <w:color w:val="000000"/>
                <w:highlight w:val="white"/>
              </w:rPr>
              <w:t xml:space="preserve"> </w:t>
            </w:r>
            <w:r>
              <w:rPr>
                <w:rFonts w:ascii="Arial" w:eastAsia="Arial" w:hAnsi="Arial" w:cs="Arial"/>
                <w:b/>
                <w:bCs/>
                <w:color w:val="000000"/>
                <w:highlight w:val="white"/>
              </w:rPr>
              <w:t xml:space="preserve">TRASPLANTES </w:t>
            </w:r>
            <w:r>
              <w:rPr>
                <w:rFonts w:ascii="Arial" w:eastAsia="Arial" w:hAnsi="Arial" w:cs="Arial"/>
                <w:b/>
                <w:bCs/>
                <w:strike/>
                <w:highlight w:val="white"/>
              </w:rPr>
              <w:t>DE ÓRGANOS Y TEJIDOS</w:t>
            </w:r>
            <w:r>
              <w:rPr>
                <w:rFonts w:ascii="Arial" w:eastAsia="Arial" w:hAnsi="Arial" w:cs="Arial"/>
                <w:b/>
                <w:bCs/>
                <w:color w:val="000000"/>
                <w:highlight w:val="white"/>
              </w:rPr>
              <w:t xml:space="preserve">. </w:t>
            </w:r>
            <w:r>
              <w:rPr>
                <w:rFonts w:ascii="Arial" w:eastAsia="Arial" w:hAnsi="Arial" w:cs="Arial"/>
                <w:color w:val="000000"/>
                <w:highlight w:val="white"/>
              </w:rPr>
              <w:t xml:space="preserve">Las funciones de la </w:t>
            </w:r>
            <w:sdt>
              <w:sdtPr>
                <w:tag w:val="goog_rdk_0"/>
                <w:id w:val="-1776423176"/>
              </w:sdtPr>
              <w:sdtEndPr/>
              <w:sdtContent>
                <w:commentRangeStart w:id="3"/>
              </w:sdtContent>
            </w:sdt>
            <w:sdt>
              <w:sdtPr>
                <w:tag w:val="goog_rdk_1"/>
                <w:id w:val="-888544309"/>
              </w:sdtPr>
              <w:sdtEndPr/>
              <w:sdtContent>
                <w:commentRangeStart w:id="4"/>
              </w:sdtContent>
            </w:sdt>
            <w:r>
              <w:rPr>
                <w:rFonts w:ascii="Arial" w:eastAsia="Arial" w:hAnsi="Arial" w:cs="Arial"/>
                <w:color w:val="000000"/>
                <w:highlight w:val="white"/>
              </w:rPr>
              <w:t xml:space="preserve">Red de Donación y Trasplantes </w:t>
            </w:r>
            <w:commentRangeEnd w:id="3"/>
            <w:r>
              <w:commentReference w:id="3"/>
            </w:r>
            <w:commentRangeEnd w:id="4"/>
            <w:r>
              <w:commentReference w:id="4"/>
            </w:r>
            <w:r>
              <w:rPr>
                <w:rFonts w:ascii="Arial" w:eastAsia="Arial" w:hAnsi="Arial" w:cs="Arial"/>
                <w:strike/>
                <w:highlight w:val="white"/>
              </w:rPr>
              <w:t xml:space="preserve">de Órganos y Tejidos </w:t>
            </w:r>
            <w:r>
              <w:rPr>
                <w:rFonts w:ascii="Arial" w:eastAsia="Arial" w:hAnsi="Arial" w:cs="Arial"/>
                <w:color w:val="000000"/>
                <w:highlight w:val="white"/>
              </w:rPr>
              <w:t>a nivel departamental serán definidas por el Instituto Nacional de Salud (INS), o por quien haga sus veces.</w:t>
            </w:r>
          </w:p>
          <w:p w14:paraId="0000059F" w14:textId="77777777" w:rsidR="001C40B0" w:rsidRDefault="001C40B0">
            <w:pPr>
              <w:widowControl/>
              <w:pBdr>
                <w:top w:val="nil"/>
                <w:left w:val="nil"/>
                <w:bottom w:val="nil"/>
                <w:right w:val="nil"/>
                <w:between w:val="nil"/>
              </w:pBdr>
              <w:jc w:val="both"/>
              <w:rPr>
                <w:rFonts w:ascii="Arial" w:eastAsia="Arial" w:hAnsi="Arial" w:cs="Arial"/>
                <w:color w:val="000000"/>
                <w:highlight w:val="white"/>
              </w:rPr>
            </w:pPr>
          </w:p>
          <w:p w14:paraId="000005A0" w14:textId="77777777" w:rsidR="001C40B0" w:rsidRDefault="00291712">
            <w:pPr>
              <w:widowControl/>
              <w:pBdr>
                <w:top w:val="nil"/>
                <w:left w:val="nil"/>
                <w:bottom w:val="nil"/>
                <w:right w:val="nil"/>
                <w:between w:val="nil"/>
              </w:pBdr>
              <w:jc w:val="both"/>
              <w:rPr>
                <w:rFonts w:ascii="Arial" w:eastAsia="Arial" w:hAnsi="Arial" w:cs="Arial"/>
                <w:color w:val="000000"/>
                <w:highlight w:val="white"/>
              </w:rPr>
            </w:pPr>
            <w:r>
              <w:rPr>
                <w:rFonts w:ascii="Arial" w:eastAsia="Arial" w:hAnsi="Arial" w:cs="Arial"/>
                <w:color w:val="000000"/>
                <w:highlight w:val="white"/>
              </w:rPr>
              <w:t xml:space="preserve">Las funciones del nivel departamental, incluidas la auditoría, la organización y el funcionamiento de la </w:t>
            </w:r>
            <w:r>
              <w:rPr>
                <w:rFonts w:ascii="Arial" w:eastAsia="Arial" w:hAnsi="Arial" w:cs="Arial"/>
                <w:b/>
                <w:bCs/>
                <w:highlight w:val="white"/>
                <w:u w:val="single"/>
              </w:rPr>
              <w:t>R</w:t>
            </w:r>
            <w:r>
              <w:rPr>
                <w:rFonts w:ascii="Arial" w:eastAsia="Arial" w:hAnsi="Arial" w:cs="Arial"/>
                <w:color w:val="000000"/>
                <w:highlight w:val="white"/>
              </w:rPr>
              <w:t xml:space="preserve">ed de </w:t>
            </w:r>
            <w:r>
              <w:rPr>
                <w:rFonts w:ascii="Arial" w:eastAsia="Arial" w:hAnsi="Arial" w:cs="Arial"/>
                <w:b/>
                <w:bCs/>
                <w:color w:val="000000"/>
                <w:highlight w:val="white"/>
                <w:u w:val="single"/>
              </w:rPr>
              <w:t>Donaci</w:t>
            </w:r>
            <w:r>
              <w:rPr>
                <w:rFonts w:ascii="Arial" w:eastAsia="Arial" w:hAnsi="Arial" w:cs="Arial"/>
                <w:b/>
                <w:bCs/>
                <w:highlight w:val="white"/>
                <w:u w:val="single"/>
              </w:rPr>
              <w:t>ón y T</w:t>
            </w:r>
            <w:r>
              <w:rPr>
                <w:rFonts w:ascii="Arial" w:eastAsia="Arial" w:hAnsi="Arial" w:cs="Arial"/>
                <w:color w:val="000000"/>
                <w:highlight w:val="white"/>
              </w:rPr>
              <w:t>rasplantes, serán definidas por el Instituto Nacional de Salud (INS), o quien haga sus veces</w:t>
            </w:r>
            <w:r>
              <w:rPr>
                <w:rFonts w:ascii="Arial" w:eastAsia="Arial" w:hAnsi="Arial" w:cs="Arial"/>
                <w:highlight w:val="white"/>
              </w:rPr>
              <w:t>.</w:t>
            </w:r>
            <w:r>
              <w:rPr>
                <w:rFonts w:ascii="Arial" w:eastAsia="Arial" w:hAnsi="Arial" w:cs="Arial"/>
                <w:strike/>
                <w:color w:val="000000"/>
                <w:highlight w:val="white"/>
              </w:rPr>
              <w:t xml:space="preserve"> </w:t>
            </w:r>
            <w:r>
              <w:rPr>
                <w:rFonts w:ascii="Arial" w:eastAsia="Arial" w:hAnsi="Arial" w:cs="Arial"/>
                <w:strike/>
                <w:highlight w:val="white"/>
              </w:rPr>
              <w:t>y en el marco de su autonomía y capacidades</w:t>
            </w:r>
            <w:r>
              <w:rPr>
                <w:rFonts w:ascii="Arial" w:eastAsia="Arial" w:hAnsi="Arial" w:cs="Arial"/>
                <w:highlight w:val="white"/>
              </w:rPr>
              <w:t xml:space="preserve"> </w:t>
            </w:r>
            <w:r>
              <w:rPr>
                <w:rFonts w:ascii="Arial" w:eastAsia="Arial" w:hAnsi="Arial" w:cs="Arial"/>
                <w:b/>
                <w:bCs/>
                <w:color w:val="000000"/>
                <w:highlight w:val="white"/>
                <w:u w:val="single"/>
              </w:rPr>
              <w:t>Dichas f</w:t>
            </w:r>
            <w:r>
              <w:rPr>
                <w:rFonts w:ascii="Arial" w:eastAsia="Arial" w:hAnsi="Arial" w:cs="Arial"/>
                <w:b/>
                <w:bCs/>
                <w:highlight w:val="white"/>
                <w:u w:val="single"/>
              </w:rPr>
              <w:t>unciones deberán ser</w:t>
            </w:r>
            <w:r>
              <w:rPr>
                <w:rFonts w:ascii="Arial" w:eastAsia="Arial" w:hAnsi="Arial" w:cs="Arial"/>
                <w:highlight w:val="white"/>
              </w:rPr>
              <w:t xml:space="preserve"> </w:t>
            </w:r>
            <w:r>
              <w:rPr>
                <w:rFonts w:ascii="Arial" w:eastAsia="Arial" w:hAnsi="Arial" w:cs="Arial"/>
                <w:color w:val="000000"/>
                <w:highlight w:val="white"/>
              </w:rPr>
              <w:t xml:space="preserve">asumidas por las secretarías de salud </w:t>
            </w:r>
            <w:r>
              <w:rPr>
                <w:rFonts w:ascii="Arial" w:eastAsia="Arial" w:hAnsi="Arial" w:cs="Arial"/>
                <w:b/>
                <w:bCs/>
                <w:color w:val="000000"/>
                <w:highlight w:val="white"/>
                <w:u w:val="single"/>
              </w:rPr>
              <w:t>en el marco de sus competencias, autonomía y capacidades institucionales</w:t>
            </w:r>
            <w:r>
              <w:rPr>
                <w:rFonts w:ascii="Arial" w:eastAsia="Arial" w:hAnsi="Arial" w:cs="Arial"/>
                <w:color w:val="000000"/>
                <w:highlight w:val="white"/>
              </w:rPr>
              <w:t xml:space="preserve">. El financiamiento de las actividades de promoción a la donación deberá, además, fortalecerse a través de los planes de intervenciones colectivas a nivel departamental, sin perjuicio de la concurrencia de recursos del nivel nacional. En todo caso, el </w:t>
            </w:r>
            <w:r>
              <w:rPr>
                <w:rFonts w:ascii="Arial" w:eastAsia="Arial" w:hAnsi="Arial" w:cs="Arial"/>
                <w:b/>
                <w:bCs/>
                <w:highlight w:val="white"/>
                <w:u w:val="single"/>
              </w:rPr>
              <w:t>Instituto Nacional de Salud</w:t>
            </w:r>
            <w:r>
              <w:rPr>
                <w:rFonts w:ascii="Arial" w:eastAsia="Arial" w:hAnsi="Arial" w:cs="Arial"/>
                <w:highlight w:val="white"/>
              </w:rPr>
              <w:t xml:space="preserve"> (</w:t>
            </w:r>
            <w:r>
              <w:rPr>
                <w:rFonts w:ascii="Arial" w:eastAsia="Arial" w:hAnsi="Arial" w:cs="Arial"/>
                <w:color w:val="000000"/>
                <w:highlight w:val="white"/>
              </w:rPr>
              <w:t xml:space="preserve">INS), </w:t>
            </w:r>
            <w:r>
              <w:rPr>
                <w:rFonts w:ascii="Arial" w:eastAsia="Arial" w:hAnsi="Arial" w:cs="Arial"/>
                <w:b/>
                <w:bCs/>
                <w:color w:val="000000"/>
                <w:highlight w:val="white"/>
                <w:u w:val="single"/>
              </w:rPr>
              <w:t>o quien haga sus veces</w:t>
            </w:r>
            <w:r>
              <w:rPr>
                <w:rFonts w:ascii="Arial" w:eastAsia="Arial" w:hAnsi="Arial" w:cs="Arial"/>
                <w:color w:val="000000"/>
                <w:highlight w:val="white"/>
              </w:rPr>
              <w:t xml:space="preserve"> y la Superintendencia </w:t>
            </w:r>
            <w:r>
              <w:rPr>
                <w:rFonts w:ascii="Arial" w:eastAsia="Arial" w:hAnsi="Arial" w:cs="Arial"/>
                <w:b/>
                <w:bCs/>
                <w:color w:val="000000"/>
                <w:highlight w:val="white"/>
                <w:u w:val="single"/>
              </w:rPr>
              <w:t>Nacional</w:t>
            </w:r>
            <w:r>
              <w:rPr>
                <w:rFonts w:ascii="Arial" w:eastAsia="Arial" w:hAnsi="Arial" w:cs="Arial"/>
                <w:color w:val="000000"/>
                <w:highlight w:val="white"/>
              </w:rPr>
              <w:t xml:space="preserve"> de Salud vigilarán y controlarán el funcionamiento adecuado de las coordinaciones departamentales.</w:t>
            </w:r>
          </w:p>
          <w:p w14:paraId="000005A1" w14:textId="77777777" w:rsidR="001C40B0" w:rsidRDefault="001C40B0">
            <w:pPr>
              <w:widowControl/>
              <w:pBdr>
                <w:top w:val="nil"/>
                <w:left w:val="nil"/>
                <w:bottom w:val="nil"/>
                <w:right w:val="nil"/>
                <w:between w:val="nil"/>
              </w:pBdr>
              <w:jc w:val="both"/>
              <w:rPr>
                <w:rFonts w:ascii="Arial" w:eastAsia="Arial" w:hAnsi="Arial" w:cs="Arial"/>
                <w:color w:val="000000"/>
                <w:highlight w:val="white"/>
              </w:rPr>
            </w:pPr>
          </w:p>
          <w:p w14:paraId="000005A2" w14:textId="77777777" w:rsidR="001C40B0" w:rsidRDefault="00291712">
            <w:pPr>
              <w:widowControl/>
              <w:pBdr>
                <w:top w:val="nil"/>
                <w:left w:val="nil"/>
                <w:bottom w:val="nil"/>
                <w:right w:val="nil"/>
                <w:between w:val="nil"/>
              </w:pBdr>
              <w:jc w:val="both"/>
              <w:rPr>
                <w:rFonts w:ascii="Arial" w:eastAsia="Arial" w:hAnsi="Arial" w:cs="Arial"/>
                <w:color w:val="000000"/>
                <w:highlight w:val="white"/>
              </w:rPr>
            </w:pPr>
            <w:r>
              <w:rPr>
                <w:rFonts w:ascii="Arial" w:eastAsia="Arial" w:hAnsi="Arial" w:cs="Arial"/>
                <w:color w:val="000000"/>
                <w:highlight w:val="white"/>
              </w:rPr>
              <w:t>Las secretarías de salud municipales, departamentales y distritales, en coordinación con la Red de Donación y Trasplantes, en el marco de su</w:t>
            </w:r>
          </w:p>
          <w:p w14:paraId="000005A3" w14:textId="77777777" w:rsidR="001C40B0" w:rsidRDefault="00291712">
            <w:pPr>
              <w:widowControl/>
              <w:pBdr>
                <w:top w:val="nil"/>
                <w:left w:val="nil"/>
                <w:bottom w:val="nil"/>
                <w:right w:val="nil"/>
                <w:between w:val="nil"/>
              </w:pBdr>
              <w:jc w:val="both"/>
              <w:rPr>
                <w:rFonts w:ascii="Arial" w:eastAsia="Arial" w:hAnsi="Arial" w:cs="Arial"/>
                <w:color w:val="000000"/>
                <w:highlight w:val="white"/>
              </w:rPr>
            </w:pPr>
            <w:r>
              <w:rPr>
                <w:rFonts w:ascii="Arial" w:eastAsia="Arial" w:hAnsi="Arial" w:cs="Arial"/>
                <w:color w:val="000000"/>
                <w:highlight w:val="white"/>
              </w:rPr>
              <w:t xml:space="preserve">autonomía y disponibilidad de recursos, aportarán sus capacidades logísticas de comunicación, software y transporte para la gestión del trasplante de </w:t>
            </w:r>
            <w:r>
              <w:rPr>
                <w:rFonts w:ascii="Arial" w:eastAsia="Arial" w:hAnsi="Arial" w:cs="Arial"/>
                <w:highlight w:val="white"/>
              </w:rPr>
              <w:t>órganos</w:t>
            </w:r>
            <w:r>
              <w:rPr>
                <w:rFonts w:ascii="Arial" w:eastAsia="Arial" w:hAnsi="Arial" w:cs="Arial"/>
                <w:b/>
                <w:bCs/>
                <w:highlight w:val="white"/>
                <w:u w:val="single"/>
              </w:rPr>
              <w:t>,</w:t>
            </w:r>
            <w:r>
              <w:rPr>
                <w:rFonts w:ascii="Arial" w:eastAsia="Arial" w:hAnsi="Arial" w:cs="Arial"/>
                <w:highlight w:val="white"/>
              </w:rPr>
              <w:t xml:space="preserve"> </w:t>
            </w:r>
            <w:r>
              <w:rPr>
                <w:rFonts w:ascii="Arial" w:eastAsia="Arial" w:hAnsi="Arial" w:cs="Arial"/>
                <w:strike/>
                <w:highlight w:val="white"/>
              </w:rPr>
              <w:t xml:space="preserve">y </w:t>
            </w:r>
            <w:r>
              <w:rPr>
                <w:rFonts w:ascii="Arial" w:eastAsia="Arial" w:hAnsi="Arial" w:cs="Arial"/>
                <w:highlight w:val="white"/>
              </w:rPr>
              <w:t xml:space="preserve">tejidos </w:t>
            </w:r>
            <w:r>
              <w:rPr>
                <w:rFonts w:ascii="Arial" w:eastAsia="Arial" w:hAnsi="Arial" w:cs="Arial"/>
                <w:b/>
                <w:bCs/>
                <w:highlight w:val="white"/>
                <w:u w:val="single"/>
              </w:rPr>
              <w:t>y derivados</w:t>
            </w:r>
            <w:r>
              <w:rPr>
                <w:rFonts w:ascii="Arial" w:eastAsia="Arial" w:hAnsi="Arial" w:cs="Arial"/>
                <w:highlight w:val="white"/>
              </w:rPr>
              <w:t xml:space="preserve"> </w:t>
            </w:r>
            <w:r>
              <w:rPr>
                <w:rFonts w:ascii="Arial" w:eastAsia="Arial" w:hAnsi="Arial" w:cs="Arial"/>
                <w:color w:val="000000"/>
                <w:highlight w:val="white"/>
              </w:rPr>
              <w:t xml:space="preserve"> y designarán una coordinación encargada de esta gestión. En los lugares </w:t>
            </w:r>
            <w:r>
              <w:rPr>
                <w:rFonts w:ascii="Arial" w:eastAsia="Arial" w:hAnsi="Arial" w:cs="Arial"/>
                <w:color w:val="000000"/>
                <w:highlight w:val="white"/>
              </w:rPr>
              <w:lastRenderedPageBreak/>
              <w:t>donde no exista dicha coordinación, se deberá contar con al menos un funcionario encargado de esta función.</w:t>
            </w:r>
          </w:p>
          <w:p w14:paraId="000005A4" w14:textId="77777777" w:rsidR="001C40B0" w:rsidRDefault="001C40B0">
            <w:pPr>
              <w:widowControl/>
              <w:pBdr>
                <w:top w:val="nil"/>
                <w:left w:val="nil"/>
                <w:bottom w:val="nil"/>
                <w:right w:val="nil"/>
                <w:between w:val="nil"/>
              </w:pBdr>
              <w:jc w:val="both"/>
              <w:rPr>
                <w:rFonts w:ascii="Arial" w:eastAsia="Arial" w:hAnsi="Arial" w:cs="Arial"/>
                <w:color w:val="000000"/>
                <w:highlight w:val="white"/>
              </w:rPr>
            </w:pPr>
          </w:p>
          <w:p w14:paraId="000005A5" w14:textId="77777777" w:rsidR="001C40B0" w:rsidRDefault="00291712">
            <w:pPr>
              <w:widowControl/>
              <w:pBdr>
                <w:top w:val="nil"/>
                <w:left w:val="nil"/>
                <w:bottom w:val="nil"/>
                <w:right w:val="nil"/>
                <w:between w:val="nil"/>
              </w:pBdr>
              <w:jc w:val="both"/>
              <w:rPr>
                <w:rFonts w:ascii="Arial" w:eastAsia="Arial" w:hAnsi="Arial" w:cs="Arial"/>
                <w:b/>
                <w:bCs/>
                <w:color w:val="000000"/>
                <w:highlight w:val="white"/>
                <w:u w:val="single"/>
              </w:rPr>
            </w:pPr>
            <w:r>
              <w:rPr>
                <w:rFonts w:ascii="Arial" w:eastAsia="Arial" w:hAnsi="Arial" w:cs="Arial"/>
                <w:color w:val="000000"/>
                <w:highlight w:val="white"/>
              </w:rPr>
              <w:t xml:space="preserve">La certificación y vigilancia de los bancos de tejidos estarán a cargo del Instituto Nacional de Vigilancia de Medicamentos y Alimentos (INVIMA) </w:t>
            </w:r>
            <w:r>
              <w:rPr>
                <w:rFonts w:ascii="Arial" w:eastAsia="Arial" w:hAnsi="Arial" w:cs="Arial"/>
                <w:highlight w:val="white"/>
              </w:rPr>
              <w:t>o quien haga sus veces,</w:t>
            </w:r>
            <w:r>
              <w:rPr>
                <w:rFonts w:ascii="Arial" w:eastAsia="Arial" w:hAnsi="Arial" w:cs="Arial"/>
                <w:color w:val="000000"/>
                <w:highlight w:val="white"/>
              </w:rPr>
              <w:t xml:space="preserve"> de acuerdo con la reglamentación que expida el Ministerio de Salud y Protección Social en la materia. El Instituto Nacional de Salud (INS), o quien haga sus veces, deberá coordinar con el</w:t>
            </w:r>
            <w:r>
              <w:rPr>
                <w:rFonts w:ascii="Arial" w:eastAsia="Arial" w:hAnsi="Arial" w:cs="Arial"/>
                <w:highlight w:val="white"/>
              </w:rPr>
              <w:t xml:space="preserve"> </w:t>
            </w:r>
            <w:r>
              <w:rPr>
                <w:rFonts w:ascii="Arial" w:eastAsia="Arial" w:hAnsi="Arial" w:cs="Arial"/>
                <w:color w:val="000000"/>
                <w:highlight w:val="white"/>
              </w:rPr>
              <w:t>INVIMA las acciones necesarias para fortalecer la donación, vigilancia, el seguimiento, distribución y demás aspectos de calidad para el uso de tejidos en Colombia y la aplicación de los reglamentos técnicos que e</w:t>
            </w:r>
            <w:r>
              <w:rPr>
                <w:rFonts w:ascii="Arial" w:eastAsia="Arial" w:hAnsi="Arial" w:cs="Arial"/>
                <w:strike/>
                <w:highlight w:val="white"/>
              </w:rPr>
              <w:t>n el tema</w:t>
            </w:r>
            <w:r>
              <w:rPr>
                <w:rFonts w:ascii="Arial" w:eastAsia="Arial" w:hAnsi="Arial" w:cs="Arial"/>
                <w:color w:val="000000"/>
                <w:highlight w:val="white"/>
              </w:rPr>
              <w:t xml:space="preserve"> expida el Ministerio de Salud y Protección Social </w:t>
            </w:r>
            <w:r>
              <w:rPr>
                <w:rFonts w:ascii="Arial" w:eastAsia="Arial" w:hAnsi="Arial" w:cs="Arial"/>
                <w:b/>
                <w:bCs/>
                <w:color w:val="000000"/>
                <w:highlight w:val="white"/>
                <w:u w:val="single"/>
              </w:rPr>
              <w:t>sobre la materia.</w:t>
            </w:r>
          </w:p>
          <w:p w14:paraId="000005A6" w14:textId="77777777" w:rsidR="001C40B0" w:rsidRDefault="001C40B0">
            <w:pPr>
              <w:widowControl/>
              <w:pBdr>
                <w:top w:val="nil"/>
                <w:left w:val="nil"/>
                <w:bottom w:val="nil"/>
                <w:right w:val="nil"/>
                <w:between w:val="nil"/>
              </w:pBdr>
              <w:jc w:val="both"/>
              <w:rPr>
                <w:rFonts w:ascii="Arial" w:eastAsia="Arial" w:hAnsi="Arial" w:cs="Arial"/>
                <w:color w:val="000000"/>
                <w:highlight w:val="white"/>
              </w:rPr>
            </w:pPr>
          </w:p>
          <w:p w14:paraId="000005A7" w14:textId="77777777" w:rsidR="001C40B0" w:rsidRDefault="00291712">
            <w:pPr>
              <w:jc w:val="both"/>
              <w:rPr>
                <w:rFonts w:ascii="Arial" w:eastAsia="Arial" w:hAnsi="Arial" w:cs="Arial"/>
                <w:highlight w:val="white"/>
              </w:rPr>
            </w:pPr>
            <w:r>
              <w:rPr>
                <w:rFonts w:ascii="Arial" w:eastAsia="Arial" w:hAnsi="Arial" w:cs="Arial"/>
                <w:highlight w:val="white"/>
              </w:rPr>
              <w:t xml:space="preserve">El Departamento Nacional de Planeación </w:t>
            </w:r>
            <w:r>
              <w:rPr>
                <w:rFonts w:ascii="Arial" w:eastAsia="Arial" w:hAnsi="Arial" w:cs="Arial"/>
                <w:strike/>
                <w:highlight w:val="white"/>
              </w:rPr>
              <w:t>entregará</w:t>
            </w:r>
            <w:r>
              <w:rPr>
                <w:rFonts w:ascii="Arial" w:eastAsia="Arial" w:hAnsi="Arial" w:cs="Arial"/>
                <w:highlight w:val="white"/>
              </w:rPr>
              <w:t xml:space="preserve"> </w:t>
            </w:r>
            <w:r>
              <w:rPr>
                <w:rFonts w:ascii="Arial" w:eastAsia="Arial" w:hAnsi="Arial" w:cs="Arial"/>
                <w:b/>
                <w:bCs/>
                <w:highlight w:val="white"/>
                <w:u w:val="single"/>
              </w:rPr>
              <w:t>deberá presentar</w:t>
            </w:r>
            <w:r>
              <w:rPr>
                <w:rFonts w:ascii="Arial" w:eastAsia="Arial" w:hAnsi="Arial" w:cs="Arial"/>
                <w:highlight w:val="white"/>
              </w:rPr>
              <w:t xml:space="preserve"> anualmente al Congreso de la República, </w:t>
            </w:r>
            <w:r>
              <w:rPr>
                <w:rFonts w:ascii="Arial" w:eastAsia="Arial" w:hAnsi="Arial" w:cs="Arial"/>
                <w:b/>
                <w:bCs/>
                <w:highlight w:val="white"/>
                <w:u w:val="single"/>
              </w:rPr>
              <w:t xml:space="preserve">un informe ejecutivo </w:t>
            </w:r>
            <w:r>
              <w:rPr>
                <w:rFonts w:ascii="Arial" w:eastAsia="Arial" w:hAnsi="Arial" w:cs="Arial"/>
                <w:strike/>
                <w:highlight w:val="white"/>
              </w:rPr>
              <w:t>en el que presente</w:t>
            </w:r>
            <w:r>
              <w:rPr>
                <w:rFonts w:ascii="Arial" w:eastAsia="Arial" w:hAnsi="Arial" w:cs="Arial"/>
                <w:highlight w:val="white"/>
              </w:rPr>
              <w:t xml:space="preserve"> </w:t>
            </w:r>
            <w:r>
              <w:rPr>
                <w:rFonts w:ascii="Arial" w:eastAsia="Arial" w:hAnsi="Arial" w:cs="Arial"/>
                <w:b/>
                <w:bCs/>
                <w:highlight w:val="white"/>
                <w:u w:val="single"/>
              </w:rPr>
              <w:t>sobre</w:t>
            </w:r>
            <w:r>
              <w:rPr>
                <w:rFonts w:ascii="Arial" w:eastAsia="Arial" w:hAnsi="Arial" w:cs="Arial"/>
                <w:highlight w:val="white"/>
              </w:rPr>
              <w:t xml:space="preserve"> el comportamiento de los recursos asignados a los proyectos de inversión y los recursos propios asignados al </w:t>
            </w:r>
            <w:r>
              <w:rPr>
                <w:rFonts w:ascii="Arial" w:eastAsia="Arial" w:hAnsi="Arial" w:cs="Arial"/>
                <w:strike/>
                <w:highlight w:val="white"/>
              </w:rPr>
              <w:t>Ministerio de Salud y Protección Social y al</w:t>
            </w:r>
            <w:r>
              <w:rPr>
                <w:rFonts w:ascii="Arial" w:eastAsia="Arial" w:hAnsi="Arial" w:cs="Arial"/>
                <w:highlight w:val="white"/>
              </w:rPr>
              <w:t xml:space="preserve"> Instituto Nacional de Salud </w:t>
            </w:r>
            <w:r>
              <w:rPr>
                <w:rFonts w:ascii="Arial" w:eastAsia="Arial" w:hAnsi="Arial" w:cs="Arial"/>
                <w:b/>
                <w:bCs/>
                <w:highlight w:val="white"/>
                <w:u w:val="single"/>
              </w:rPr>
              <w:t>INS, o quien haga sus veces</w:t>
            </w:r>
            <w:r>
              <w:rPr>
                <w:rFonts w:ascii="Arial" w:eastAsia="Arial" w:hAnsi="Arial" w:cs="Arial"/>
                <w:highlight w:val="white"/>
              </w:rPr>
              <w:t xml:space="preserve"> (para garantizar el cumplimiento de las funciones dispuestas en la presente Ley y sus actos reglamentarios.</w:t>
            </w:r>
          </w:p>
        </w:tc>
        <w:tc>
          <w:tcPr>
            <w:tcW w:w="2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A8" w14:textId="77777777" w:rsidR="001C40B0" w:rsidRDefault="00291712">
            <w:pPr>
              <w:pBdr>
                <w:top w:val="nil"/>
                <w:left w:val="nil"/>
                <w:bottom w:val="nil"/>
                <w:right w:val="nil"/>
                <w:between w:val="nil"/>
              </w:pBdr>
              <w:jc w:val="both"/>
              <w:rPr>
                <w:rFonts w:ascii="Arial" w:eastAsia="Arial" w:hAnsi="Arial" w:cs="Arial"/>
                <w:color w:val="000000"/>
              </w:rPr>
            </w:pPr>
            <w:r>
              <w:rPr>
                <w:rFonts w:ascii="Arial" w:eastAsia="Arial" w:hAnsi="Arial" w:cs="Arial"/>
              </w:rPr>
              <w:lastRenderedPageBreak/>
              <w:t xml:space="preserve">Se ajusta la redacción. </w:t>
            </w:r>
          </w:p>
        </w:tc>
      </w:tr>
      <w:tr w:rsidR="001C40B0" w14:paraId="007B16DC" w14:textId="77777777">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A9"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lastRenderedPageBreak/>
              <w:t xml:space="preserve">ARTÍCULO 10. SISTEMA DE INFORMACIÓN NACIONAL. </w:t>
            </w:r>
            <w:r>
              <w:rPr>
                <w:rFonts w:ascii="Arial" w:eastAsia="Arial" w:hAnsi="Arial" w:cs="Arial"/>
                <w:color w:val="000000"/>
              </w:rPr>
              <w:t>El Ministerio de Salud y Protección Social</w:t>
            </w:r>
            <w:r>
              <w:rPr>
                <w:rFonts w:ascii="Arial" w:eastAsia="Arial" w:hAnsi="Arial" w:cs="Arial"/>
                <w:b/>
                <w:bCs/>
                <w:color w:val="000000"/>
              </w:rPr>
              <w:t xml:space="preserve"> </w:t>
            </w:r>
            <w:r>
              <w:rPr>
                <w:rFonts w:ascii="Arial" w:eastAsia="Arial" w:hAnsi="Arial" w:cs="Arial"/>
                <w:color w:val="000000"/>
              </w:rPr>
              <w:t>o quien haga sus veces, será el responsable de crear, administrar, actualizar y garantizar la articulación del Sistema de Información Nacional de la Red de Donación y Trasplantes con el Sistema Integral de Información de la Protección Social – SISPRO, en el marco de sus competencias y funciones de rectoría del sector salud.</w:t>
            </w:r>
          </w:p>
          <w:p w14:paraId="000005AA"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5AB"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Cada entidad de la red y ente territorial deberá integrarse al sistema de información nacional a través de un software al cual tendrán acceso las Instituciones Prestadoras de Salud que realizan trasplantes, los Bancos de Tejidos, laboratorios de inmunología, EPS o quien haga sus veces, coordinaciones departamentales y todos los que el Instituto Nacional de Salud (INS) o quien haga sus veces considere pertinente. El sistema de información deberá proveer información pública actualizada en tiempo real, garantizando la protección de datos personales en cumplimiento de la ley estatutaria 1581 de 2012 y demás normas concordantes.</w:t>
            </w:r>
          </w:p>
          <w:p w14:paraId="000005AC" w14:textId="77777777" w:rsidR="001C40B0" w:rsidRDefault="001C40B0">
            <w:pPr>
              <w:widowControl/>
              <w:pBdr>
                <w:top w:val="nil"/>
                <w:left w:val="nil"/>
                <w:bottom w:val="nil"/>
                <w:right w:val="nil"/>
                <w:between w:val="nil"/>
              </w:pBdr>
              <w:jc w:val="both"/>
              <w:rPr>
                <w:rFonts w:ascii="Arial" w:eastAsia="Arial" w:hAnsi="Arial" w:cs="Arial"/>
              </w:rPr>
            </w:pPr>
          </w:p>
          <w:p w14:paraId="000005AD" w14:textId="77777777" w:rsidR="001C40B0" w:rsidRDefault="001C40B0">
            <w:pPr>
              <w:widowControl/>
              <w:pBdr>
                <w:top w:val="nil"/>
                <w:left w:val="nil"/>
                <w:bottom w:val="nil"/>
                <w:right w:val="nil"/>
                <w:between w:val="nil"/>
              </w:pBdr>
              <w:jc w:val="both"/>
              <w:rPr>
                <w:rFonts w:ascii="Arial" w:eastAsia="Arial" w:hAnsi="Arial" w:cs="Arial"/>
              </w:rPr>
            </w:pPr>
          </w:p>
          <w:p w14:paraId="000005AE" w14:textId="77777777" w:rsidR="001C40B0" w:rsidRDefault="001C40B0">
            <w:pPr>
              <w:widowControl/>
              <w:pBdr>
                <w:top w:val="nil"/>
                <w:left w:val="nil"/>
                <w:bottom w:val="nil"/>
                <w:right w:val="nil"/>
                <w:between w:val="nil"/>
              </w:pBdr>
              <w:jc w:val="both"/>
              <w:rPr>
                <w:rFonts w:ascii="Arial" w:eastAsia="Arial" w:hAnsi="Arial" w:cs="Arial"/>
              </w:rPr>
            </w:pPr>
          </w:p>
          <w:p w14:paraId="000005AF" w14:textId="77777777" w:rsidR="001C40B0" w:rsidRDefault="00291712">
            <w:pPr>
              <w:widowControl/>
              <w:pBdr>
                <w:top w:val="nil"/>
                <w:left w:val="nil"/>
                <w:bottom w:val="nil"/>
                <w:right w:val="nil"/>
                <w:between w:val="nil"/>
              </w:pBdr>
              <w:jc w:val="both"/>
              <w:rPr>
                <w:rFonts w:ascii="Arial" w:eastAsia="Arial" w:hAnsi="Arial" w:cs="Arial"/>
                <w:b/>
                <w:bCs/>
                <w:color w:val="000000"/>
              </w:rPr>
            </w:pPr>
            <w:r>
              <w:rPr>
                <w:rFonts w:ascii="Arial" w:eastAsia="Arial" w:hAnsi="Arial" w:cs="Arial"/>
                <w:color w:val="000000"/>
              </w:rPr>
              <w:t xml:space="preserve">El Ministerio de Salud y Protección Social garantizará la articulación del Sistema de Información Nacional de la Red </w:t>
            </w:r>
            <w:r>
              <w:rPr>
                <w:rFonts w:ascii="Arial" w:eastAsia="Arial" w:hAnsi="Arial" w:cs="Arial"/>
                <w:color w:val="000000"/>
              </w:rPr>
              <w:lastRenderedPageBreak/>
              <w:t>de Donación y Trasplantes con el SISPRO</w:t>
            </w:r>
            <w:r>
              <w:rPr>
                <w:rFonts w:ascii="Arial" w:eastAsia="Arial" w:hAnsi="Arial" w:cs="Arial"/>
                <w:b/>
                <w:bCs/>
                <w:color w:val="000000"/>
              </w:rPr>
              <w:t>.</w:t>
            </w:r>
          </w:p>
          <w:p w14:paraId="000005B0" w14:textId="77777777" w:rsidR="001C40B0" w:rsidRDefault="001C40B0">
            <w:pPr>
              <w:widowControl/>
              <w:pBdr>
                <w:top w:val="nil"/>
                <w:left w:val="nil"/>
                <w:bottom w:val="nil"/>
                <w:right w:val="nil"/>
                <w:between w:val="nil"/>
              </w:pBdr>
              <w:jc w:val="both"/>
              <w:rPr>
                <w:rFonts w:ascii="Arial" w:eastAsia="Arial" w:hAnsi="Arial" w:cs="Arial"/>
                <w:b/>
                <w:bCs/>
              </w:rPr>
            </w:pPr>
          </w:p>
          <w:p w14:paraId="000005B1"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Parágrafo 1. </w:t>
            </w:r>
            <w:r>
              <w:rPr>
                <w:rFonts w:ascii="Arial" w:eastAsia="Arial" w:hAnsi="Arial" w:cs="Arial"/>
                <w:color w:val="000000"/>
              </w:rPr>
              <w:t>El Ministerio de Salud y Protección Social, en coordinación con el Instituto Nacional de Salud (INS), garantizará el tratamiento de datos, de conformidad con la Ley 1581 de 2012, o las normas que la modifiquen, adicionen o sustituyan, y los lineamientos establecidos en la presente ley.</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B2"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lastRenderedPageBreak/>
              <w:t xml:space="preserve">ARTÍCULO 10. SISTEMA DE INFORMACIÓN NACIONAL. </w:t>
            </w:r>
            <w:r>
              <w:rPr>
                <w:rFonts w:ascii="Arial" w:eastAsia="Arial" w:hAnsi="Arial" w:cs="Arial"/>
                <w:color w:val="000000"/>
              </w:rPr>
              <w:t>El Ministerio de Salud y Protección Social</w:t>
            </w:r>
            <w:r>
              <w:rPr>
                <w:rFonts w:ascii="Arial" w:eastAsia="Arial" w:hAnsi="Arial" w:cs="Arial"/>
                <w:b/>
                <w:bCs/>
                <w:color w:val="000000"/>
              </w:rPr>
              <w:t xml:space="preserve"> </w:t>
            </w:r>
            <w:r>
              <w:rPr>
                <w:rFonts w:ascii="Arial" w:eastAsia="Arial" w:hAnsi="Arial" w:cs="Arial"/>
                <w:color w:val="000000"/>
              </w:rPr>
              <w:t>o quien haga sus veces, será el responsable de crear, administrar, actualizar y garantizar la articulación del Sistema de Información Nacional de la Red de Donación y Trasplantes con el Sistema Integral de Información de la Protección Social – SISPRO, en el marco de sus competencias y funciones de rectoría del sector salud.</w:t>
            </w:r>
          </w:p>
          <w:p w14:paraId="000005B3"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5B4"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Cada entidad de la red y ente territorial deberá integrarse al sistema de información nacional a través de un software al cual tendrán acceso las</w:t>
            </w:r>
            <w:r>
              <w:rPr>
                <w:rFonts w:ascii="Arial" w:eastAsia="Arial" w:hAnsi="Arial" w:cs="Arial"/>
              </w:rPr>
              <w:t xml:space="preserve"> Instituciones Prestadoras de Salud</w:t>
            </w:r>
            <w:r>
              <w:rPr>
                <w:rFonts w:ascii="Arial" w:eastAsia="Arial" w:hAnsi="Arial" w:cs="Arial"/>
                <w:b/>
                <w:bCs/>
                <w:u w:val="single"/>
              </w:rPr>
              <w:t xml:space="preserve"> (</w:t>
            </w:r>
            <w:r>
              <w:rPr>
                <w:rFonts w:ascii="Arial" w:eastAsia="Arial" w:hAnsi="Arial" w:cs="Arial"/>
                <w:b/>
                <w:bCs/>
                <w:color w:val="000000"/>
                <w:u w:val="single"/>
              </w:rPr>
              <w:t>IPS)</w:t>
            </w:r>
            <w:r>
              <w:rPr>
                <w:rFonts w:ascii="Arial" w:eastAsia="Arial" w:hAnsi="Arial" w:cs="Arial"/>
                <w:b/>
                <w:bCs/>
                <w:u w:val="single"/>
              </w:rPr>
              <w:t>,</w:t>
            </w:r>
            <w:r>
              <w:rPr>
                <w:rFonts w:ascii="Arial" w:eastAsia="Arial" w:hAnsi="Arial" w:cs="Arial"/>
                <w:b/>
                <w:bCs/>
                <w:color w:val="000000"/>
                <w:u w:val="single"/>
              </w:rPr>
              <w:t xml:space="preserve"> </w:t>
            </w:r>
            <w:r>
              <w:rPr>
                <w:rFonts w:ascii="Arial" w:eastAsia="Arial" w:hAnsi="Arial" w:cs="Arial"/>
                <w:b/>
                <w:bCs/>
                <w:u w:val="single"/>
              </w:rPr>
              <w:t>trasplantadoras</w:t>
            </w:r>
            <w:r>
              <w:rPr>
                <w:rFonts w:ascii="Arial" w:eastAsia="Arial" w:hAnsi="Arial" w:cs="Arial"/>
                <w:b/>
                <w:bCs/>
                <w:color w:val="000000"/>
                <w:u w:val="single"/>
              </w:rPr>
              <w:t xml:space="preserve"> y generadoras </w:t>
            </w:r>
            <w:r>
              <w:rPr>
                <w:rFonts w:ascii="Arial" w:eastAsia="Arial" w:hAnsi="Arial" w:cs="Arial"/>
                <w:color w:val="000000"/>
              </w:rPr>
              <w:t>que realizan trasplantes, los Bancos de Tejidos, los laboratorios de inmunología, las EPS, o quien haga sus veces, las coordinaciones</w:t>
            </w:r>
            <w:r>
              <w:rPr>
                <w:rFonts w:ascii="Arial" w:eastAsia="Arial" w:hAnsi="Arial" w:cs="Arial"/>
              </w:rPr>
              <w:t xml:space="preserve"> </w:t>
            </w:r>
            <w:r>
              <w:rPr>
                <w:rFonts w:ascii="Arial" w:eastAsia="Arial" w:hAnsi="Arial" w:cs="Arial"/>
                <w:color w:val="000000"/>
              </w:rPr>
              <w:t xml:space="preserve">departamentales y todos los </w:t>
            </w:r>
            <w:r>
              <w:rPr>
                <w:rFonts w:ascii="Arial" w:eastAsia="Arial" w:hAnsi="Arial" w:cs="Arial"/>
                <w:b/>
                <w:bCs/>
                <w:color w:val="000000"/>
                <w:u w:val="single"/>
              </w:rPr>
              <w:t>dem</w:t>
            </w:r>
            <w:r>
              <w:rPr>
                <w:rFonts w:ascii="Arial" w:eastAsia="Arial" w:hAnsi="Arial" w:cs="Arial"/>
                <w:b/>
                <w:bCs/>
                <w:u w:val="single"/>
              </w:rPr>
              <w:t>ás actores</w:t>
            </w:r>
            <w:r>
              <w:rPr>
                <w:rFonts w:ascii="Arial" w:eastAsia="Arial" w:hAnsi="Arial" w:cs="Arial"/>
                <w:color w:val="000000"/>
              </w:rPr>
              <w:t xml:space="preserve"> que el Instituto Nacional de Salud (INS), o quien haga sus veces, considere pertinente. El sistema de información deberá proveer información pública actualizada en tiempo real, garantizando la protección de </w:t>
            </w:r>
            <w:r>
              <w:rPr>
                <w:rFonts w:ascii="Arial" w:eastAsia="Arial" w:hAnsi="Arial" w:cs="Arial"/>
              </w:rPr>
              <w:t xml:space="preserve">los </w:t>
            </w:r>
            <w:r>
              <w:rPr>
                <w:rFonts w:ascii="Arial" w:eastAsia="Arial" w:hAnsi="Arial" w:cs="Arial"/>
                <w:color w:val="000000"/>
              </w:rPr>
              <w:t xml:space="preserve">datos personales en cumplimiento de la </w:t>
            </w:r>
            <w:r>
              <w:rPr>
                <w:rFonts w:ascii="Arial" w:eastAsia="Arial" w:hAnsi="Arial" w:cs="Arial"/>
              </w:rPr>
              <w:t>L</w:t>
            </w:r>
            <w:r>
              <w:rPr>
                <w:rFonts w:ascii="Arial" w:eastAsia="Arial" w:hAnsi="Arial" w:cs="Arial"/>
                <w:color w:val="000000"/>
              </w:rPr>
              <w:t xml:space="preserve">ey </w:t>
            </w:r>
            <w:r>
              <w:rPr>
                <w:rFonts w:ascii="Arial" w:eastAsia="Arial" w:hAnsi="Arial" w:cs="Arial"/>
              </w:rPr>
              <w:t>E</w:t>
            </w:r>
            <w:r>
              <w:rPr>
                <w:rFonts w:ascii="Arial" w:eastAsia="Arial" w:hAnsi="Arial" w:cs="Arial"/>
                <w:color w:val="000000"/>
              </w:rPr>
              <w:t>statutaria 1581 de 2012 y demás normas concordantes.</w:t>
            </w:r>
          </w:p>
          <w:p w14:paraId="000005B5"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5B6" w14:textId="77777777" w:rsidR="001C40B0" w:rsidRDefault="00291712">
            <w:pPr>
              <w:widowControl/>
              <w:pBdr>
                <w:top w:val="nil"/>
                <w:left w:val="nil"/>
                <w:bottom w:val="nil"/>
                <w:right w:val="nil"/>
                <w:between w:val="nil"/>
              </w:pBdr>
              <w:jc w:val="both"/>
              <w:rPr>
                <w:rFonts w:ascii="Arial" w:eastAsia="Arial" w:hAnsi="Arial" w:cs="Arial"/>
                <w:b/>
                <w:bCs/>
                <w:color w:val="000000"/>
              </w:rPr>
            </w:pPr>
            <w:r>
              <w:rPr>
                <w:rFonts w:ascii="Arial" w:eastAsia="Arial" w:hAnsi="Arial" w:cs="Arial"/>
                <w:color w:val="000000"/>
              </w:rPr>
              <w:t xml:space="preserve">El Ministerio de Salud y Protección Social garantizará la </w:t>
            </w:r>
            <w:r>
              <w:rPr>
                <w:rFonts w:ascii="Arial" w:eastAsia="Arial" w:hAnsi="Arial" w:cs="Arial"/>
                <w:color w:val="000000"/>
              </w:rPr>
              <w:lastRenderedPageBreak/>
              <w:t>articulación del Sistema de Información Nacional de la Red de Donación y Trasplantes con el SISPRO</w:t>
            </w:r>
            <w:r>
              <w:rPr>
                <w:rFonts w:ascii="Arial" w:eastAsia="Arial" w:hAnsi="Arial" w:cs="Arial"/>
                <w:b/>
                <w:bCs/>
                <w:color w:val="000000"/>
              </w:rPr>
              <w:t>.</w:t>
            </w:r>
          </w:p>
          <w:p w14:paraId="000005B7"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5B8"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Parágrafo 1. </w:t>
            </w:r>
            <w:r>
              <w:rPr>
                <w:rFonts w:ascii="Arial" w:eastAsia="Arial" w:hAnsi="Arial" w:cs="Arial"/>
                <w:color w:val="000000"/>
              </w:rPr>
              <w:t>El Ministerio de Salud y Protección Social, en coordinación con el Instituto Nacional de Salud (INS),</w:t>
            </w:r>
            <w:r>
              <w:rPr>
                <w:rFonts w:ascii="Arial" w:eastAsia="Arial" w:hAnsi="Arial" w:cs="Arial"/>
                <w:b/>
                <w:bCs/>
                <w:color w:val="000000"/>
                <w:u w:val="single"/>
              </w:rPr>
              <w:t xml:space="preserve">o quien haga sus veces, </w:t>
            </w:r>
            <w:r>
              <w:rPr>
                <w:rFonts w:ascii="Arial" w:eastAsia="Arial" w:hAnsi="Arial" w:cs="Arial"/>
                <w:color w:val="000000"/>
              </w:rPr>
              <w:t xml:space="preserve"> garantizará </w:t>
            </w:r>
            <w:r>
              <w:rPr>
                <w:rFonts w:ascii="Arial" w:eastAsia="Arial" w:hAnsi="Arial" w:cs="Arial"/>
                <w:b/>
                <w:bCs/>
                <w:color w:val="000000"/>
                <w:u w:val="single"/>
              </w:rPr>
              <w:t>la protecci</w:t>
            </w:r>
            <w:r>
              <w:rPr>
                <w:rFonts w:ascii="Arial" w:eastAsia="Arial" w:hAnsi="Arial" w:cs="Arial"/>
                <w:b/>
                <w:bCs/>
                <w:u w:val="single"/>
              </w:rPr>
              <w:t>ón d</w:t>
            </w:r>
            <w:r>
              <w:rPr>
                <w:rFonts w:ascii="Arial" w:eastAsia="Arial" w:hAnsi="Arial" w:cs="Arial"/>
                <w:color w:val="000000"/>
              </w:rPr>
              <w:t xml:space="preserve">el tratamiento de </w:t>
            </w:r>
            <w:r>
              <w:rPr>
                <w:rFonts w:ascii="Arial" w:eastAsia="Arial" w:hAnsi="Arial" w:cs="Arial"/>
                <w:b/>
                <w:bCs/>
                <w:color w:val="000000"/>
                <w:u w:val="single"/>
              </w:rPr>
              <w:t>los</w:t>
            </w:r>
            <w:r>
              <w:rPr>
                <w:rFonts w:ascii="Arial" w:eastAsia="Arial" w:hAnsi="Arial" w:cs="Arial"/>
                <w:b/>
                <w:bCs/>
                <w:color w:val="000000"/>
              </w:rPr>
              <w:t xml:space="preserve"> </w:t>
            </w:r>
            <w:r>
              <w:rPr>
                <w:rFonts w:ascii="Arial" w:eastAsia="Arial" w:hAnsi="Arial" w:cs="Arial"/>
                <w:color w:val="000000"/>
              </w:rPr>
              <w:t xml:space="preserve">datos </w:t>
            </w:r>
            <w:r>
              <w:rPr>
                <w:rFonts w:ascii="Arial" w:eastAsia="Arial" w:hAnsi="Arial" w:cs="Arial"/>
                <w:b/>
                <w:bCs/>
                <w:color w:val="000000"/>
                <w:u w:val="single"/>
              </w:rPr>
              <w:t>personales</w:t>
            </w:r>
            <w:r>
              <w:rPr>
                <w:rFonts w:ascii="Arial" w:eastAsia="Arial" w:hAnsi="Arial" w:cs="Arial"/>
                <w:color w:val="000000"/>
              </w:rPr>
              <w:t>, de conformidad con la Ley 1581 de 2012, o las normas que la modifiquen, adicionen o sustituyan, y los lineamientos establecidos en la presente ley.</w:t>
            </w:r>
          </w:p>
        </w:tc>
        <w:tc>
          <w:tcPr>
            <w:tcW w:w="2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B9" w14:textId="77777777" w:rsidR="001C40B0" w:rsidRDefault="00291712">
            <w:pPr>
              <w:pBdr>
                <w:top w:val="nil"/>
                <w:left w:val="nil"/>
                <w:bottom w:val="nil"/>
                <w:right w:val="nil"/>
                <w:between w:val="nil"/>
              </w:pBdr>
              <w:jc w:val="both"/>
              <w:rPr>
                <w:rFonts w:ascii="Arial" w:eastAsia="Arial" w:hAnsi="Arial" w:cs="Arial"/>
                <w:color w:val="000000"/>
              </w:rPr>
            </w:pPr>
            <w:r>
              <w:rPr>
                <w:rFonts w:ascii="Arial" w:eastAsia="Arial" w:hAnsi="Arial" w:cs="Arial"/>
              </w:rPr>
              <w:lastRenderedPageBreak/>
              <w:t xml:space="preserve">Se ajusta la redacción. </w:t>
            </w:r>
          </w:p>
        </w:tc>
      </w:tr>
      <w:tr w:rsidR="001C40B0" w14:paraId="3B61BEC2" w14:textId="77777777">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BA"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lastRenderedPageBreak/>
              <w:t>ARTÍCULO 11. DISTRIBUCIÓN Y ASIGNACIÓN DE COMPONENTES ANATÓMICOS.</w:t>
            </w:r>
          </w:p>
          <w:p w14:paraId="000005BB"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Los criterios de distribución y asignación para los posibles receptores de los componentes anatómicos serán establecidos por el Instituto Nacional de Salud (INS) o quien haga sus veces, los cuales serán formulados con participación de una comisión de expertos La Lista de Espera deberá ser nacional, cumpliendo con la reglamentación sobre tratamiento de datos personales.</w:t>
            </w:r>
          </w:p>
          <w:p w14:paraId="000005BC"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5BD"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La comisión de expertos será por cada órgano y tejido. Esta comisión deberá tener representantes de todas las instituciones trasplantadoras en ese órgano y bancos de tejidos, así como un representante de la asociación </w:t>
            </w:r>
            <w:r>
              <w:rPr>
                <w:rFonts w:ascii="Arial" w:eastAsia="Arial" w:hAnsi="Arial" w:cs="Arial"/>
                <w:color w:val="000000"/>
              </w:rPr>
              <w:lastRenderedPageBreak/>
              <w:t>colombiana de trasplante de órganos, un representante de la asociación colombiana de banco de tejidos, y dos representantes del Instituto Nacional de Salud.</w:t>
            </w:r>
          </w:p>
          <w:p w14:paraId="000005BE" w14:textId="77777777" w:rsidR="001C40B0" w:rsidRDefault="001C40B0">
            <w:pPr>
              <w:widowControl/>
              <w:pBdr>
                <w:top w:val="nil"/>
                <w:left w:val="nil"/>
                <w:bottom w:val="nil"/>
                <w:right w:val="nil"/>
                <w:between w:val="nil"/>
              </w:pBdr>
              <w:jc w:val="both"/>
              <w:rPr>
                <w:rFonts w:ascii="Arial" w:eastAsia="Arial" w:hAnsi="Arial" w:cs="Arial"/>
              </w:rPr>
            </w:pPr>
          </w:p>
          <w:p w14:paraId="000005BF" w14:textId="77777777" w:rsidR="001C40B0" w:rsidRDefault="001C40B0">
            <w:pPr>
              <w:widowControl/>
              <w:pBdr>
                <w:top w:val="nil"/>
                <w:left w:val="nil"/>
                <w:bottom w:val="nil"/>
                <w:right w:val="nil"/>
                <w:between w:val="nil"/>
              </w:pBdr>
              <w:jc w:val="both"/>
              <w:rPr>
                <w:rFonts w:ascii="Arial" w:eastAsia="Arial" w:hAnsi="Arial" w:cs="Arial"/>
              </w:rPr>
            </w:pPr>
          </w:p>
          <w:p w14:paraId="000005C0" w14:textId="77777777" w:rsidR="001C40B0" w:rsidRDefault="001C40B0">
            <w:pPr>
              <w:widowControl/>
              <w:pBdr>
                <w:top w:val="nil"/>
                <w:left w:val="nil"/>
                <w:bottom w:val="nil"/>
                <w:right w:val="nil"/>
                <w:between w:val="nil"/>
              </w:pBdr>
              <w:jc w:val="both"/>
              <w:rPr>
                <w:rFonts w:ascii="Arial" w:eastAsia="Arial" w:hAnsi="Arial" w:cs="Arial"/>
              </w:rPr>
            </w:pPr>
          </w:p>
          <w:p w14:paraId="000005C1"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 Comisión emitirá recomendaciones técnicas dirigidas al Instituto Nacional de Salud, las Secretarías de Salud y el Ministerio de Salud y Protección Social, con el fin de fortalecer el sistema nacional de donación y trasplante.</w:t>
            </w:r>
          </w:p>
          <w:p w14:paraId="000005C2"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5C3"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Instituto Nacional de Salud definirá la organización y funcionamiento de la Comisión de Expertos en un término no mayor a seis (6) meses a partir de la promulgación de esta ley, para lo cual podrá distinguir órganos y tejidos.</w:t>
            </w:r>
          </w:p>
          <w:p w14:paraId="000005C4" w14:textId="77777777" w:rsidR="001C40B0" w:rsidRDefault="001C40B0">
            <w:pPr>
              <w:widowControl/>
              <w:pBdr>
                <w:top w:val="nil"/>
                <w:left w:val="nil"/>
                <w:bottom w:val="nil"/>
                <w:right w:val="nil"/>
                <w:between w:val="nil"/>
              </w:pBdr>
              <w:jc w:val="both"/>
              <w:rPr>
                <w:rFonts w:ascii="Arial" w:eastAsia="Arial" w:hAnsi="Arial" w:cs="Arial"/>
              </w:rPr>
            </w:pPr>
          </w:p>
          <w:p w14:paraId="000005C5" w14:textId="77777777" w:rsidR="001C40B0" w:rsidRDefault="001C40B0">
            <w:pPr>
              <w:widowControl/>
              <w:pBdr>
                <w:top w:val="nil"/>
                <w:left w:val="nil"/>
                <w:bottom w:val="nil"/>
                <w:right w:val="nil"/>
                <w:between w:val="nil"/>
              </w:pBdr>
              <w:jc w:val="both"/>
              <w:rPr>
                <w:rFonts w:ascii="Arial" w:eastAsia="Arial" w:hAnsi="Arial" w:cs="Arial"/>
              </w:rPr>
            </w:pPr>
          </w:p>
          <w:p w14:paraId="000005C6" w14:textId="77777777" w:rsidR="001C40B0" w:rsidRDefault="001C40B0">
            <w:pPr>
              <w:widowControl/>
              <w:pBdr>
                <w:top w:val="nil"/>
                <w:left w:val="nil"/>
                <w:bottom w:val="nil"/>
                <w:right w:val="nil"/>
                <w:between w:val="nil"/>
              </w:pBdr>
              <w:jc w:val="both"/>
              <w:rPr>
                <w:rFonts w:ascii="Arial" w:eastAsia="Arial" w:hAnsi="Arial" w:cs="Arial"/>
              </w:rPr>
            </w:pPr>
          </w:p>
          <w:p w14:paraId="000005C7" w14:textId="77777777" w:rsidR="001C40B0" w:rsidRDefault="001C40B0">
            <w:pPr>
              <w:widowControl/>
              <w:pBdr>
                <w:top w:val="nil"/>
                <w:left w:val="nil"/>
                <w:bottom w:val="nil"/>
                <w:right w:val="nil"/>
                <w:between w:val="nil"/>
              </w:pBdr>
              <w:jc w:val="both"/>
              <w:rPr>
                <w:rFonts w:ascii="Arial" w:eastAsia="Arial" w:hAnsi="Arial" w:cs="Arial"/>
              </w:rPr>
            </w:pPr>
          </w:p>
          <w:p w14:paraId="000005C8" w14:textId="77777777" w:rsidR="001C40B0" w:rsidRDefault="001C40B0">
            <w:pPr>
              <w:widowControl/>
              <w:pBdr>
                <w:top w:val="nil"/>
                <w:left w:val="nil"/>
                <w:bottom w:val="nil"/>
                <w:right w:val="nil"/>
                <w:between w:val="nil"/>
              </w:pBdr>
              <w:jc w:val="both"/>
              <w:rPr>
                <w:rFonts w:ascii="Arial" w:eastAsia="Arial" w:hAnsi="Arial" w:cs="Arial"/>
              </w:rPr>
            </w:pPr>
          </w:p>
          <w:p w14:paraId="000005C9" w14:textId="77777777" w:rsidR="001C40B0" w:rsidRDefault="001C40B0">
            <w:pPr>
              <w:widowControl/>
              <w:pBdr>
                <w:top w:val="nil"/>
                <w:left w:val="nil"/>
                <w:bottom w:val="nil"/>
                <w:right w:val="nil"/>
                <w:between w:val="nil"/>
              </w:pBdr>
              <w:jc w:val="both"/>
              <w:rPr>
                <w:rFonts w:ascii="Arial" w:eastAsia="Arial" w:hAnsi="Arial" w:cs="Arial"/>
              </w:rPr>
            </w:pPr>
          </w:p>
          <w:p w14:paraId="000005CA"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Dentro de los criterios de asignación y distribución prevalecerá el beneficio de trasplante para cada paciente de acuerdo a guías y consensos actualizados por el INS, con base en la evidencia científica disponible. El paciente que de acuerdo con criterios objetivos estandarizados se beneficie más de trasplante será el primero en la asignación.</w:t>
            </w:r>
          </w:p>
          <w:p w14:paraId="000005CB" w14:textId="77777777" w:rsidR="001C40B0" w:rsidRDefault="001C40B0">
            <w:pPr>
              <w:widowControl/>
              <w:pBdr>
                <w:top w:val="nil"/>
                <w:left w:val="nil"/>
                <w:bottom w:val="nil"/>
                <w:right w:val="nil"/>
                <w:between w:val="nil"/>
              </w:pBdr>
              <w:jc w:val="both"/>
              <w:rPr>
                <w:rFonts w:ascii="Arial" w:eastAsia="Arial" w:hAnsi="Arial" w:cs="Arial"/>
              </w:rPr>
            </w:pPr>
          </w:p>
          <w:p w14:paraId="000005CC" w14:textId="77777777" w:rsidR="001C40B0" w:rsidRDefault="001C40B0">
            <w:pPr>
              <w:widowControl/>
              <w:pBdr>
                <w:top w:val="nil"/>
                <w:left w:val="nil"/>
                <w:bottom w:val="nil"/>
                <w:right w:val="nil"/>
                <w:between w:val="nil"/>
              </w:pBdr>
              <w:jc w:val="both"/>
              <w:rPr>
                <w:rFonts w:ascii="Arial" w:eastAsia="Arial" w:hAnsi="Arial" w:cs="Arial"/>
              </w:rPr>
            </w:pPr>
          </w:p>
          <w:p w14:paraId="000005CD" w14:textId="77777777" w:rsidR="001C40B0" w:rsidRDefault="001C40B0">
            <w:pPr>
              <w:widowControl/>
              <w:pBdr>
                <w:top w:val="nil"/>
                <w:left w:val="nil"/>
                <w:bottom w:val="nil"/>
                <w:right w:val="nil"/>
                <w:between w:val="nil"/>
              </w:pBdr>
              <w:jc w:val="both"/>
              <w:rPr>
                <w:rFonts w:ascii="Arial" w:eastAsia="Arial" w:hAnsi="Arial" w:cs="Arial"/>
              </w:rPr>
            </w:pPr>
          </w:p>
          <w:p w14:paraId="000005CE" w14:textId="77777777" w:rsidR="001C40B0" w:rsidRDefault="001C40B0">
            <w:pPr>
              <w:widowControl/>
              <w:pBdr>
                <w:top w:val="nil"/>
                <w:left w:val="nil"/>
                <w:bottom w:val="nil"/>
                <w:right w:val="nil"/>
                <w:between w:val="nil"/>
              </w:pBdr>
              <w:jc w:val="both"/>
              <w:rPr>
                <w:rFonts w:ascii="Arial" w:eastAsia="Arial" w:hAnsi="Arial" w:cs="Arial"/>
              </w:rPr>
            </w:pPr>
          </w:p>
          <w:p w14:paraId="000005CF" w14:textId="77777777" w:rsidR="001C40B0" w:rsidRDefault="001C40B0">
            <w:pPr>
              <w:widowControl/>
              <w:pBdr>
                <w:top w:val="nil"/>
                <w:left w:val="nil"/>
                <w:bottom w:val="nil"/>
                <w:right w:val="nil"/>
                <w:between w:val="nil"/>
              </w:pBdr>
              <w:jc w:val="both"/>
              <w:rPr>
                <w:rFonts w:ascii="Arial" w:eastAsia="Arial" w:hAnsi="Arial" w:cs="Arial"/>
              </w:rPr>
            </w:pPr>
          </w:p>
          <w:p w14:paraId="000005D0" w14:textId="77777777" w:rsidR="001C40B0" w:rsidRDefault="001C40B0">
            <w:pPr>
              <w:widowControl/>
              <w:pBdr>
                <w:top w:val="nil"/>
                <w:left w:val="nil"/>
                <w:bottom w:val="nil"/>
                <w:right w:val="nil"/>
                <w:between w:val="nil"/>
              </w:pBdr>
              <w:jc w:val="both"/>
              <w:rPr>
                <w:rFonts w:ascii="Arial" w:eastAsia="Arial" w:hAnsi="Arial" w:cs="Arial"/>
              </w:rPr>
            </w:pPr>
          </w:p>
          <w:p w14:paraId="000005D1"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INS podrá revisar y actualizar los criterios de asignación y distribución de órganos y tejidos cuando lo estime conveniente, o cuando una parte interesada lo solicite, o haya un cambio de impacto en las guías clínicas mundiales de asignación por órganos.</w:t>
            </w:r>
          </w:p>
          <w:p w14:paraId="000005D2" w14:textId="77777777" w:rsidR="001C40B0" w:rsidRDefault="001C40B0">
            <w:pPr>
              <w:widowControl/>
              <w:pBdr>
                <w:top w:val="nil"/>
                <w:left w:val="nil"/>
                <w:bottom w:val="nil"/>
                <w:right w:val="nil"/>
                <w:between w:val="nil"/>
              </w:pBdr>
              <w:jc w:val="both"/>
              <w:rPr>
                <w:rFonts w:ascii="Arial" w:eastAsia="Arial" w:hAnsi="Arial" w:cs="Arial"/>
              </w:rPr>
            </w:pPr>
          </w:p>
          <w:p w14:paraId="000005D3" w14:textId="77777777" w:rsidR="001C40B0" w:rsidRDefault="001C40B0">
            <w:pPr>
              <w:widowControl/>
              <w:pBdr>
                <w:top w:val="nil"/>
                <w:left w:val="nil"/>
                <w:bottom w:val="nil"/>
                <w:right w:val="nil"/>
                <w:between w:val="nil"/>
              </w:pBdr>
              <w:jc w:val="both"/>
              <w:rPr>
                <w:rFonts w:ascii="Arial" w:eastAsia="Arial" w:hAnsi="Arial" w:cs="Arial"/>
              </w:rPr>
            </w:pPr>
          </w:p>
          <w:p w14:paraId="000005D4" w14:textId="77777777" w:rsidR="001C40B0" w:rsidRDefault="001C40B0">
            <w:pPr>
              <w:widowControl/>
              <w:pBdr>
                <w:top w:val="nil"/>
                <w:left w:val="nil"/>
                <w:bottom w:val="nil"/>
                <w:right w:val="nil"/>
                <w:between w:val="nil"/>
              </w:pBdr>
              <w:jc w:val="both"/>
              <w:rPr>
                <w:rFonts w:ascii="Arial" w:eastAsia="Arial" w:hAnsi="Arial" w:cs="Arial"/>
              </w:rPr>
            </w:pPr>
          </w:p>
          <w:p w14:paraId="000005D5" w14:textId="77777777" w:rsidR="001C40B0" w:rsidRDefault="001C40B0">
            <w:pPr>
              <w:widowControl/>
              <w:pBdr>
                <w:top w:val="nil"/>
                <w:left w:val="nil"/>
                <w:bottom w:val="nil"/>
                <w:right w:val="nil"/>
                <w:between w:val="nil"/>
              </w:pBdr>
              <w:jc w:val="both"/>
              <w:rPr>
                <w:rFonts w:ascii="Arial" w:eastAsia="Arial" w:hAnsi="Arial" w:cs="Arial"/>
              </w:rPr>
            </w:pPr>
          </w:p>
          <w:p w14:paraId="000005D6" w14:textId="77777777" w:rsidR="001C40B0" w:rsidRDefault="001C40B0">
            <w:pPr>
              <w:widowControl/>
              <w:pBdr>
                <w:top w:val="nil"/>
                <w:left w:val="nil"/>
                <w:bottom w:val="nil"/>
                <w:right w:val="nil"/>
                <w:between w:val="nil"/>
              </w:pBdr>
              <w:jc w:val="both"/>
              <w:rPr>
                <w:rFonts w:ascii="Arial" w:eastAsia="Arial" w:hAnsi="Arial" w:cs="Arial"/>
              </w:rPr>
            </w:pPr>
          </w:p>
          <w:p w14:paraId="000005D7"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Parágrafo 1.</w:t>
            </w:r>
            <w:r>
              <w:rPr>
                <w:rFonts w:ascii="Arial" w:eastAsia="Arial" w:hAnsi="Arial" w:cs="Arial"/>
                <w:color w:val="000000"/>
              </w:rPr>
              <w:t xml:space="preserve"> Lo anterior se desarrollará de acuerdo a la disponibilidad presupuestal con la que cuente la entidad.</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D8" w14:textId="77777777" w:rsidR="001C40B0" w:rsidRDefault="00291712">
            <w:pPr>
              <w:widowControl/>
              <w:pBdr>
                <w:top w:val="nil"/>
                <w:left w:val="nil"/>
                <w:bottom w:val="nil"/>
                <w:right w:val="nil"/>
                <w:between w:val="nil"/>
              </w:pBdr>
              <w:jc w:val="both"/>
              <w:rPr>
                <w:rFonts w:ascii="Arial" w:eastAsia="Arial" w:hAnsi="Arial" w:cs="Arial"/>
                <w:color w:val="000000"/>
                <w:highlight w:val="white"/>
              </w:rPr>
            </w:pPr>
            <w:r>
              <w:rPr>
                <w:rFonts w:ascii="Arial" w:eastAsia="Arial" w:hAnsi="Arial" w:cs="Arial"/>
                <w:b/>
                <w:bCs/>
                <w:color w:val="000000"/>
                <w:highlight w:val="white"/>
              </w:rPr>
              <w:lastRenderedPageBreak/>
              <w:t xml:space="preserve">ARTÍCULO 11. DISTRIBUCIÓN Y ASIGNACIÓN DE </w:t>
            </w:r>
            <w:r>
              <w:rPr>
                <w:rFonts w:ascii="Arial" w:eastAsia="Arial" w:hAnsi="Arial" w:cs="Arial"/>
                <w:b/>
                <w:bCs/>
                <w:strike/>
                <w:highlight w:val="white"/>
              </w:rPr>
              <w:t>COMPONENTES ANATÓMICOS</w:t>
            </w:r>
            <w:r>
              <w:rPr>
                <w:rFonts w:ascii="Arial" w:eastAsia="Arial" w:hAnsi="Arial" w:cs="Arial"/>
                <w:b/>
                <w:bCs/>
                <w:highlight w:val="white"/>
              </w:rPr>
              <w:t xml:space="preserve"> </w:t>
            </w:r>
            <w:r>
              <w:rPr>
                <w:rFonts w:ascii="Arial" w:eastAsia="Arial" w:hAnsi="Arial" w:cs="Arial"/>
                <w:b/>
                <w:bCs/>
                <w:highlight w:val="white"/>
                <w:u w:val="single"/>
              </w:rPr>
              <w:t>ÓRGANOS, TEJIDOS, CÉLULAS Y DERIVADOS</w:t>
            </w:r>
            <w:r>
              <w:rPr>
                <w:rFonts w:ascii="Arial" w:eastAsia="Arial" w:hAnsi="Arial" w:cs="Arial"/>
                <w:b/>
                <w:bCs/>
                <w:color w:val="000000"/>
                <w:highlight w:val="white"/>
              </w:rPr>
              <w:t>.</w:t>
            </w:r>
          </w:p>
          <w:p w14:paraId="000005D9" w14:textId="77777777" w:rsidR="001C40B0" w:rsidRDefault="00291712">
            <w:pPr>
              <w:widowControl/>
              <w:pBdr>
                <w:top w:val="nil"/>
                <w:left w:val="nil"/>
                <w:bottom w:val="nil"/>
                <w:right w:val="nil"/>
                <w:between w:val="nil"/>
              </w:pBdr>
              <w:jc w:val="both"/>
              <w:rPr>
                <w:rFonts w:ascii="Arial" w:eastAsia="Arial" w:hAnsi="Arial" w:cs="Arial"/>
                <w:b/>
                <w:bCs/>
                <w:color w:val="000000"/>
                <w:highlight w:val="white"/>
                <w:u w:val="single"/>
              </w:rPr>
            </w:pPr>
            <w:r>
              <w:rPr>
                <w:rFonts w:ascii="Arial" w:eastAsia="Arial" w:hAnsi="Arial" w:cs="Arial"/>
                <w:color w:val="000000"/>
                <w:highlight w:val="white"/>
              </w:rPr>
              <w:t xml:space="preserve">Los criterios de distribución y asignación para los posibles receptores de los </w:t>
            </w:r>
            <w:r>
              <w:rPr>
                <w:rFonts w:ascii="Arial" w:eastAsia="Arial" w:hAnsi="Arial" w:cs="Arial"/>
                <w:b/>
                <w:bCs/>
                <w:highlight w:val="white"/>
                <w:u w:val="single"/>
              </w:rPr>
              <w:t>órganos, tejidos, células y derivados</w:t>
            </w:r>
            <w:r>
              <w:rPr>
                <w:rFonts w:ascii="Arial" w:eastAsia="Arial" w:hAnsi="Arial" w:cs="Arial"/>
                <w:color w:val="000000"/>
                <w:highlight w:val="white"/>
              </w:rPr>
              <w:t xml:space="preserve"> </w:t>
            </w:r>
            <w:r>
              <w:rPr>
                <w:rFonts w:ascii="Arial" w:eastAsia="Arial" w:hAnsi="Arial" w:cs="Arial"/>
                <w:strike/>
                <w:highlight w:val="white"/>
              </w:rPr>
              <w:t xml:space="preserve">componentes anatómicos </w:t>
            </w:r>
            <w:r>
              <w:rPr>
                <w:rFonts w:ascii="Arial" w:eastAsia="Arial" w:hAnsi="Arial" w:cs="Arial"/>
                <w:color w:val="000000"/>
                <w:highlight w:val="white"/>
              </w:rPr>
              <w:t>serán establecidos por el Instituto Nacional de Salud (INS) o quien haga sus veces, los cuales serán formulados con participación de una comisión de expertos</w:t>
            </w:r>
            <w:r>
              <w:rPr>
                <w:rFonts w:ascii="Arial" w:eastAsia="Arial" w:hAnsi="Arial" w:cs="Arial"/>
                <w:b/>
                <w:bCs/>
                <w:color w:val="000000"/>
                <w:highlight w:val="white"/>
                <w:u w:val="single"/>
              </w:rPr>
              <w:t>.</w:t>
            </w:r>
            <w:r>
              <w:rPr>
                <w:rFonts w:ascii="Arial" w:eastAsia="Arial" w:hAnsi="Arial" w:cs="Arial"/>
                <w:b/>
                <w:bCs/>
                <w:color w:val="000000"/>
                <w:highlight w:val="white"/>
              </w:rPr>
              <w:t xml:space="preserve"> </w:t>
            </w:r>
            <w:r>
              <w:rPr>
                <w:rFonts w:ascii="Arial" w:eastAsia="Arial" w:hAnsi="Arial" w:cs="Arial"/>
                <w:color w:val="000000"/>
                <w:highlight w:val="white"/>
              </w:rPr>
              <w:t xml:space="preserve">La Lista de Espera deberá ser nacional, cumpliendo con la reglamentación sobre tratamiento de datos personales </w:t>
            </w:r>
            <w:r>
              <w:rPr>
                <w:rFonts w:ascii="Arial" w:eastAsia="Arial" w:hAnsi="Arial" w:cs="Arial"/>
                <w:b/>
                <w:bCs/>
                <w:color w:val="000000"/>
                <w:highlight w:val="white"/>
                <w:u w:val="single"/>
              </w:rPr>
              <w:t>apl</w:t>
            </w:r>
            <w:r>
              <w:rPr>
                <w:rFonts w:ascii="Arial" w:eastAsia="Arial" w:hAnsi="Arial" w:cs="Arial"/>
                <w:b/>
                <w:bCs/>
                <w:highlight w:val="white"/>
                <w:u w:val="single"/>
              </w:rPr>
              <w:t>icable</w:t>
            </w:r>
            <w:r>
              <w:rPr>
                <w:rFonts w:ascii="Arial" w:eastAsia="Arial" w:hAnsi="Arial" w:cs="Arial"/>
                <w:b/>
                <w:bCs/>
                <w:color w:val="000000"/>
                <w:highlight w:val="white"/>
                <w:u w:val="single"/>
              </w:rPr>
              <w:t>.</w:t>
            </w:r>
          </w:p>
          <w:p w14:paraId="000005DA" w14:textId="77777777" w:rsidR="001C40B0" w:rsidRDefault="001C40B0">
            <w:pPr>
              <w:widowControl/>
              <w:pBdr>
                <w:top w:val="nil"/>
                <w:left w:val="nil"/>
                <w:bottom w:val="nil"/>
                <w:right w:val="nil"/>
                <w:between w:val="nil"/>
              </w:pBdr>
              <w:jc w:val="both"/>
              <w:rPr>
                <w:rFonts w:ascii="Arial" w:eastAsia="Arial" w:hAnsi="Arial" w:cs="Arial"/>
                <w:color w:val="000000"/>
                <w:highlight w:val="white"/>
              </w:rPr>
            </w:pPr>
          </w:p>
          <w:p w14:paraId="000005DB" w14:textId="77777777" w:rsidR="001C40B0" w:rsidRDefault="00291712">
            <w:pPr>
              <w:widowControl/>
              <w:pBdr>
                <w:top w:val="nil"/>
                <w:left w:val="nil"/>
                <w:bottom w:val="nil"/>
                <w:right w:val="nil"/>
                <w:between w:val="nil"/>
              </w:pBdr>
              <w:jc w:val="both"/>
              <w:rPr>
                <w:rFonts w:ascii="Arial" w:eastAsia="Arial" w:hAnsi="Arial" w:cs="Arial"/>
                <w:b/>
                <w:bCs/>
                <w:color w:val="000000"/>
                <w:highlight w:val="white"/>
                <w:u w:val="single"/>
              </w:rPr>
            </w:pPr>
            <w:r>
              <w:rPr>
                <w:rFonts w:ascii="Arial" w:eastAsia="Arial" w:hAnsi="Arial" w:cs="Arial"/>
                <w:strike/>
                <w:highlight w:val="white"/>
              </w:rPr>
              <w:t>La</w:t>
            </w:r>
            <w:r>
              <w:rPr>
                <w:rFonts w:ascii="Arial" w:eastAsia="Arial" w:hAnsi="Arial" w:cs="Arial"/>
                <w:highlight w:val="white"/>
              </w:rPr>
              <w:t xml:space="preserve"> </w:t>
            </w:r>
            <w:r>
              <w:rPr>
                <w:rFonts w:ascii="Arial" w:eastAsia="Arial" w:hAnsi="Arial" w:cs="Arial"/>
                <w:b/>
                <w:bCs/>
                <w:highlight w:val="white"/>
                <w:u w:val="single"/>
              </w:rPr>
              <w:t>Habrá una</w:t>
            </w:r>
            <w:r>
              <w:rPr>
                <w:rFonts w:ascii="Arial" w:eastAsia="Arial" w:hAnsi="Arial" w:cs="Arial"/>
                <w:color w:val="000000"/>
                <w:highlight w:val="white"/>
              </w:rPr>
              <w:t xml:space="preserve"> </w:t>
            </w:r>
            <w:r>
              <w:rPr>
                <w:rFonts w:ascii="Arial" w:eastAsia="Arial" w:hAnsi="Arial" w:cs="Arial"/>
                <w:highlight w:val="white"/>
              </w:rPr>
              <w:t>C</w:t>
            </w:r>
            <w:r>
              <w:rPr>
                <w:rFonts w:ascii="Arial" w:eastAsia="Arial" w:hAnsi="Arial" w:cs="Arial"/>
                <w:color w:val="000000"/>
                <w:highlight w:val="white"/>
              </w:rPr>
              <w:t xml:space="preserve">omisión de </w:t>
            </w:r>
            <w:r>
              <w:rPr>
                <w:rFonts w:ascii="Arial" w:eastAsia="Arial" w:hAnsi="Arial" w:cs="Arial"/>
                <w:highlight w:val="white"/>
              </w:rPr>
              <w:t>E</w:t>
            </w:r>
            <w:r>
              <w:rPr>
                <w:rFonts w:ascii="Arial" w:eastAsia="Arial" w:hAnsi="Arial" w:cs="Arial"/>
                <w:color w:val="000000"/>
                <w:highlight w:val="white"/>
              </w:rPr>
              <w:t xml:space="preserve">xpertos por cada órgano y tejido. </w:t>
            </w:r>
            <w:r>
              <w:rPr>
                <w:rFonts w:ascii="Arial" w:eastAsia="Arial" w:hAnsi="Arial" w:cs="Arial"/>
                <w:strike/>
                <w:highlight w:val="white"/>
              </w:rPr>
              <w:t>Esta</w:t>
            </w:r>
            <w:r>
              <w:rPr>
                <w:rFonts w:ascii="Arial" w:eastAsia="Arial" w:hAnsi="Arial" w:cs="Arial"/>
                <w:highlight w:val="white"/>
              </w:rPr>
              <w:t xml:space="preserve"> </w:t>
            </w:r>
            <w:r>
              <w:rPr>
                <w:rFonts w:ascii="Arial" w:eastAsia="Arial" w:hAnsi="Arial" w:cs="Arial"/>
                <w:b/>
                <w:bCs/>
                <w:highlight w:val="white"/>
                <w:u w:val="single"/>
              </w:rPr>
              <w:t>Cada</w:t>
            </w:r>
            <w:r>
              <w:rPr>
                <w:rFonts w:ascii="Arial" w:eastAsia="Arial" w:hAnsi="Arial" w:cs="Arial"/>
                <w:color w:val="000000"/>
                <w:highlight w:val="white"/>
              </w:rPr>
              <w:t xml:space="preserve"> comisión </w:t>
            </w:r>
            <w:r>
              <w:rPr>
                <w:rFonts w:ascii="Arial" w:eastAsia="Arial" w:hAnsi="Arial" w:cs="Arial"/>
                <w:strike/>
                <w:highlight w:val="white"/>
              </w:rPr>
              <w:t>deberá tener</w:t>
            </w:r>
            <w:r>
              <w:rPr>
                <w:rFonts w:ascii="Arial" w:eastAsia="Arial" w:hAnsi="Arial" w:cs="Arial"/>
                <w:highlight w:val="white"/>
              </w:rPr>
              <w:t xml:space="preserve"> </w:t>
            </w:r>
            <w:r>
              <w:rPr>
                <w:rFonts w:ascii="Arial" w:eastAsia="Arial" w:hAnsi="Arial" w:cs="Arial"/>
                <w:b/>
                <w:bCs/>
                <w:highlight w:val="white"/>
                <w:u w:val="single"/>
              </w:rPr>
              <w:t xml:space="preserve">estará integrada </w:t>
            </w:r>
            <w:r>
              <w:rPr>
                <w:rFonts w:ascii="Arial" w:eastAsia="Arial" w:hAnsi="Arial" w:cs="Arial"/>
                <w:b/>
                <w:bCs/>
                <w:highlight w:val="white"/>
                <w:u w:val="single"/>
              </w:rPr>
              <w:lastRenderedPageBreak/>
              <w:t>por</w:t>
            </w:r>
            <w:r>
              <w:rPr>
                <w:rFonts w:ascii="Arial" w:eastAsia="Arial" w:hAnsi="Arial" w:cs="Arial"/>
                <w:color w:val="000000"/>
                <w:highlight w:val="white"/>
              </w:rPr>
              <w:t xml:space="preserve"> representantes de todas las instituciones trasplantadoras </w:t>
            </w:r>
            <w:r>
              <w:rPr>
                <w:rFonts w:ascii="Arial" w:eastAsia="Arial" w:hAnsi="Arial" w:cs="Arial"/>
                <w:b/>
                <w:bCs/>
                <w:color w:val="000000"/>
                <w:highlight w:val="white"/>
                <w:u w:val="single"/>
              </w:rPr>
              <w:t>y generadoras</w:t>
            </w:r>
            <w:r>
              <w:rPr>
                <w:rFonts w:ascii="Arial" w:eastAsia="Arial" w:hAnsi="Arial" w:cs="Arial"/>
                <w:color w:val="000000"/>
                <w:highlight w:val="white"/>
              </w:rPr>
              <w:t xml:space="preserve"> </w:t>
            </w:r>
            <w:r>
              <w:rPr>
                <w:rFonts w:ascii="Arial" w:eastAsia="Arial" w:hAnsi="Arial" w:cs="Arial"/>
                <w:highlight w:val="white"/>
              </w:rPr>
              <w:t xml:space="preserve">del respectivo </w:t>
            </w:r>
            <w:r>
              <w:rPr>
                <w:rFonts w:ascii="Arial" w:eastAsia="Arial" w:hAnsi="Arial" w:cs="Arial"/>
                <w:color w:val="000000"/>
                <w:highlight w:val="white"/>
              </w:rPr>
              <w:t xml:space="preserve"> órgano, </w:t>
            </w:r>
            <w:r>
              <w:rPr>
                <w:rFonts w:ascii="Arial" w:eastAsia="Arial" w:hAnsi="Arial" w:cs="Arial"/>
                <w:highlight w:val="white"/>
              </w:rPr>
              <w:t>de los</w:t>
            </w:r>
            <w:r>
              <w:rPr>
                <w:rFonts w:ascii="Arial" w:eastAsia="Arial" w:hAnsi="Arial" w:cs="Arial"/>
                <w:color w:val="000000"/>
                <w:highlight w:val="white"/>
              </w:rPr>
              <w:t xml:space="preserve"> bancos de tejidos, </w:t>
            </w:r>
            <w:r>
              <w:rPr>
                <w:rFonts w:ascii="Arial" w:eastAsia="Arial" w:hAnsi="Arial" w:cs="Arial"/>
                <w:strike/>
                <w:color w:val="000000"/>
                <w:highlight w:val="white"/>
              </w:rPr>
              <w:t xml:space="preserve">así como un representante </w:t>
            </w:r>
            <w:r>
              <w:rPr>
                <w:rFonts w:ascii="Arial" w:eastAsia="Arial" w:hAnsi="Arial" w:cs="Arial"/>
                <w:color w:val="000000"/>
                <w:highlight w:val="white"/>
              </w:rPr>
              <w:t xml:space="preserve">de la </w:t>
            </w:r>
            <w:r>
              <w:rPr>
                <w:rFonts w:ascii="Arial" w:eastAsia="Arial" w:hAnsi="Arial" w:cs="Arial"/>
                <w:highlight w:val="white"/>
              </w:rPr>
              <w:t>A</w:t>
            </w:r>
            <w:r>
              <w:rPr>
                <w:rFonts w:ascii="Arial" w:eastAsia="Arial" w:hAnsi="Arial" w:cs="Arial"/>
                <w:color w:val="000000"/>
                <w:highlight w:val="white"/>
              </w:rPr>
              <w:t xml:space="preserve">sociación </w:t>
            </w:r>
            <w:r>
              <w:rPr>
                <w:rFonts w:ascii="Arial" w:eastAsia="Arial" w:hAnsi="Arial" w:cs="Arial"/>
                <w:highlight w:val="white"/>
              </w:rPr>
              <w:t>C</w:t>
            </w:r>
            <w:r>
              <w:rPr>
                <w:rFonts w:ascii="Arial" w:eastAsia="Arial" w:hAnsi="Arial" w:cs="Arial"/>
                <w:color w:val="000000"/>
                <w:highlight w:val="white"/>
              </w:rPr>
              <w:t xml:space="preserve">olombiana de </w:t>
            </w:r>
            <w:r>
              <w:rPr>
                <w:rFonts w:ascii="Arial" w:eastAsia="Arial" w:hAnsi="Arial" w:cs="Arial"/>
                <w:highlight w:val="white"/>
              </w:rPr>
              <w:t>T</w:t>
            </w:r>
            <w:r>
              <w:rPr>
                <w:rFonts w:ascii="Arial" w:eastAsia="Arial" w:hAnsi="Arial" w:cs="Arial"/>
                <w:color w:val="000000"/>
                <w:highlight w:val="white"/>
              </w:rPr>
              <w:t xml:space="preserve">rasplante de </w:t>
            </w:r>
            <w:r>
              <w:rPr>
                <w:rFonts w:ascii="Arial" w:eastAsia="Arial" w:hAnsi="Arial" w:cs="Arial"/>
                <w:highlight w:val="white"/>
              </w:rPr>
              <w:t>Ó</w:t>
            </w:r>
            <w:r>
              <w:rPr>
                <w:rFonts w:ascii="Arial" w:eastAsia="Arial" w:hAnsi="Arial" w:cs="Arial"/>
                <w:color w:val="000000"/>
                <w:highlight w:val="white"/>
              </w:rPr>
              <w:t xml:space="preserve">rganos, </w:t>
            </w:r>
            <w:r>
              <w:rPr>
                <w:rFonts w:ascii="Arial" w:eastAsia="Arial" w:hAnsi="Arial" w:cs="Arial"/>
                <w:strike/>
                <w:color w:val="000000"/>
                <w:highlight w:val="white"/>
              </w:rPr>
              <w:t xml:space="preserve">un representante </w:t>
            </w:r>
            <w:r>
              <w:rPr>
                <w:rFonts w:ascii="Arial" w:eastAsia="Arial" w:hAnsi="Arial" w:cs="Arial"/>
                <w:color w:val="000000"/>
                <w:highlight w:val="white"/>
              </w:rPr>
              <w:t xml:space="preserve">de la </w:t>
            </w:r>
            <w:sdt>
              <w:sdtPr>
                <w:tag w:val="goog_rdk_2"/>
                <w:id w:val="337950643"/>
              </w:sdtPr>
              <w:sdtEndPr/>
              <w:sdtContent>
                <w:commentRangeStart w:id="5"/>
              </w:sdtContent>
            </w:sdt>
            <w:r>
              <w:rPr>
                <w:rFonts w:ascii="Arial" w:eastAsia="Arial" w:hAnsi="Arial" w:cs="Arial"/>
                <w:highlight w:val="white"/>
              </w:rPr>
              <w:t>A</w:t>
            </w:r>
            <w:r>
              <w:rPr>
                <w:rFonts w:ascii="Arial" w:eastAsia="Arial" w:hAnsi="Arial" w:cs="Arial"/>
                <w:color w:val="000000"/>
                <w:highlight w:val="white"/>
              </w:rPr>
              <w:t xml:space="preserve">sociación </w:t>
            </w:r>
            <w:r>
              <w:rPr>
                <w:rFonts w:ascii="Arial" w:eastAsia="Arial" w:hAnsi="Arial" w:cs="Arial"/>
                <w:highlight w:val="white"/>
              </w:rPr>
              <w:t>C</w:t>
            </w:r>
            <w:r>
              <w:rPr>
                <w:rFonts w:ascii="Arial" w:eastAsia="Arial" w:hAnsi="Arial" w:cs="Arial"/>
                <w:color w:val="000000"/>
                <w:highlight w:val="white"/>
              </w:rPr>
              <w:t xml:space="preserve">olombiana de </w:t>
            </w:r>
            <w:r>
              <w:rPr>
                <w:rFonts w:ascii="Arial" w:eastAsia="Arial" w:hAnsi="Arial" w:cs="Arial"/>
                <w:highlight w:val="white"/>
              </w:rPr>
              <w:t>B</w:t>
            </w:r>
            <w:r>
              <w:rPr>
                <w:rFonts w:ascii="Arial" w:eastAsia="Arial" w:hAnsi="Arial" w:cs="Arial"/>
                <w:color w:val="000000"/>
                <w:highlight w:val="white"/>
              </w:rPr>
              <w:t xml:space="preserve">anco de </w:t>
            </w:r>
            <w:r>
              <w:rPr>
                <w:rFonts w:ascii="Arial" w:eastAsia="Arial" w:hAnsi="Arial" w:cs="Arial"/>
                <w:highlight w:val="white"/>
              </w:rPr>
              <w:t>T</w:t>
            </w:r>
            <w:r>
              <w:rPr>
                <w:rFonts w:ascii="Arial" w:eastAsia="Arial" w:hAnsi="Arial" w:cs="Arial"/>
                <w:color w:val="000000"/>
                <w:highlight w:val="white"/>
              </w:rPr>
              <w:t>ejidos</w:t>
            </w:r>
            <w:commentRangeEnd w:id="5"/>
            <w:r>
              <w:commentReference w:id="5"/>
            </w:r>
            <w:r>
              <w:rPr>
                <w:rFonts w:ascii="Arial" w:eastAsia="Arial" w:hAnsi="Arial" w:cs="Arial"/>
                <w:color w:val="000000"/>
                <w:highlight w:val="white"/>
              </w:rPr>
              <w:t xml:space="preserve">, </w:t>
            </w:r>
            <w:sdt>
              <w:sdtPr>
                <w:tag w:val="goog_rdk_3"/>
                <w:id w:val="344269024"/>
              </w:sdtPr>
              <w:sdtEndPr/>
              <w:sdtContent>
                <w:commentRangeStart w:id="6"/>
              </w:sdtContent>
            </w:sdt>
            <w:sdt>
              <w:sdtPr>
                <w:tag w:val="goog_rdk_4"/>
                <w:id w:val="2128231472"/>
              </w:sdtPr>
              <w:sdtEndPr/>
              <w:sdtContent>
                <w:commentRangeStart w:id="7"/>
              </w:sdtContent>
            </w:sdt>
            <w:r>
              <w:rPr>
                <w:rFonts w:ascii="Arial" w:eastAsia="Arial" w:hAnsi="Arial" w:cs="Arial"/>
                <w:color w:val="000000"/>
                <w:highlight w:val="white"/>
              </w:rPr>
              <w:t>y dos representantes del Instituto Nacional de Salu</w:t>
            </w:r>
            <w:commentRangeEnd w:id="6"/>
            <w:r>
              <w:commentReference w:id="6"/>
            </w:r>
            <w:commentRangeEnd w:id="7"/>
            <w:r>
              <w:commentReference w:id="7"/>
            </w:r>
            <w:r>
              <w:rPr>
                <w:rFonts w:ascii="Arial" w:eastAsia="Arial" w:hAnsi="Arial" w:cs="Arial"/>
                <w:highlight w:val="white"/>
              </w:rPr>
              <w:t xml:space="preserve">d </w:t>
            </w:r>
            <w:r>
              <w:rPr>
                <w:rFonts w:ascii="Arial" w:eastAsia="Arial" w:hAnsi="Arial" w:cs="Arial"/>
                <w:b/>
                <w:bCs/>
                <w:highlight w:val="white"/>
                <w:u w:val="single"/>
              </w:rPr>
              <w:t>(INS) o quien haga sus veces</w:t>
            </w:r>
            <w:r>
              <w:rPr>
                <w:rFonts w:ascii="Arial" w:eastAsia="Arial" w:hAnsi="Arial" w:cs="Arial"/>
                <w:b/>
                <w:bCs/>
                <w:color w:val="000000"/>
                <w:highlight w:val="white"/>
                <w:u w:val="single"/>
              </w:rPr>
              <w:t>. El Ministerio de Salud y Protección Social podrá designar un delegado para participar en las sesiones y discusiones de la Comisión de Expertos. Dicho delegado deberá contar con formación, experiencia y conocimientos técnico científicos en la materia.</w:t>
            </w:r>
          </w:p>
          <w:p w14:paraId="000005DC" w14:textId="77777777" w:rsidR="001C40B0" w:rsidRDefault="001C40B0">
            <w:pPr>
              <w:widowControl/>
              <w:pBdr>
                <w:top w:val="nil"/>
                <w:left w:val="nil"/>
                <w:bottom w:val="nil"/>
                <w:right w:val="nil"/>
                <w:between w:val="nil"/>
              </w:pBdr>
              <w:jc w:val="both"/>
              <w:rPr>
                <w:rFonts w:ascii="Arial" w:eastAsia="Arial" w:hAnsi="Arial" w:cs="Arial"/>
                <w:color w:val="000000"/>
                <w:highlight w:val="white"/>
              </w:rPr>
            </w:pPr>
          </w:p>
          <w:p w14:paraId="000005DD" w14:textId="77777777" w:rsidR="001C40B0" w:rsidRDefault="00291712">
            <w:pPr>
              <w:widowControl/>
              <w:pBdr>
                <w:top w:val="nil"/>
                <w:left w:val="nil"/>
                <w:bottom w:val="nil"/>
                <w:right w:val="nil"/>
                <w:between w:val="nil"/>
              </w:pBdr>
              <w:jc w:val="both"/>
              <w:rPr>
                <w:rFonts w:ascii="Arial" w:eastAsia="Arial" w:hAnsi="Arial" w:cs="Arial"/>
                <w:color w:val="000000"/>
                <w:highlight w:val="white"/>
              </w:rPr>
            </w:pPr>
            <w:r>
              <w:rPr>
                <w:rFonts w:ascii="Arial" w:eastAsia="Arial" w:hAnsi="Arial" w:cs="Arial"/>
                <w:color w:val="000000"/>
                <w:highlight w:val="white"/>
              </w:rPr>
              <w:t xml:space="preserve">La Comisión </w:t>
            </w:r>
            <w:r>
              <w:rPr>
                <w:rFonts w:ascii="Arial" w:eastAsia="Arial" w:hAnsi="Arial" w:cs="Arial"/>
                <w:b/>
                <w:bCs/>
                <w:color w:val="000000"/>
                <w:highlight w:val="white"/>
                <w:u w:val="single"/>
              </w:rPr>
              <w:t xml:space="preserve">de </w:t>
            </w:r>
            <w:r>
              <w:rPr>
                <w:rFonts w:ascii="Arial" w:eastAsia="Arial" w:hAnsi="Arial" w:cs="Arial"/>
                <w:b/>
                <w:bCs/>
                <w:highlight w:val="white"/>
                <w:u w:val="single"/>
              </w:rPr>
              <w:t>E</w:t>
            </w:r>
            <w:r>
              <w:rPr>
                <w:rFonts w:ascii="Arial" w:eastAsia="Arial" w:hAnsi="Arial" w:cs="Arial"/>
                <w:b/>
                <w:bCs/>
                <w:color w:val="000000"/>
                <w:highlight w:val="white"/>
                <w:u w:val="single"/>
              </w:rPr>
              <w:t>xpertos</w:t>
            </w:r>
            <w:r>
              <w:rPr>
                <w:rFonts w:ascii="Arial" w:eastAsia="Arial" w:hAnsi="Arial" w:cs="Arial"/>
                <w:color w:val="000000"/>
                <w:highlight w:val="white"/>
              </w:rPr>
              <w:t xml:space="preserve"> emitirá recomendaciones técnicas dirigidas al Instituto Nacional de Salud, las Secretarías de Salud y el Ministerio de Salud y Protección Social, con el fin de fortalecer el </w:t>
            </w:r>
            <w:r>
              <w:rPr>
                <w:rFonts w:ascii="Arial" w:eastAsia="Arial" w:hAnsi="Arial" w:cs="Arial"/>
                <w:highlight w:val="white"/>
              </w:rPr>
              <w:t>S</w:t>
            </w:r>
            <w:r>
              <w:rPr>
                <w:rFonts w:ascii="Arial" w:eastAsia="Arial" w:hAnsi="Arial" w:cs="Arial"/>
                <w:color w:val="000000"/>
                <w:highlight w:val="white"/>
              </w:rPr>
              <w:t xml:space="preserve">istema </w:t>
            </w:r>
            <w:r>
              <w:rPr>
                <w:rFonts w:ascii="Arial" w:eastAsia="Arial" w:hAnsi="Arial" w:cs="Arial"/>
                <w:highlight w:val="white"/>
              </w:rPr>
              <w:t>N</w:t>
            </w:r>
            <w:r>
              <w:rPr>
                <w:rFonts w:ascii="Arial" w:eastAsia="Arial" w:hAnsi="Arial" w:cs="Arial"/>
                <w:color w:val="000000"/>
                <w:highlight w:val="white"/>
              </w:rPr>
              <w:t xml:space="preserve">acional de </w:t>
            </w:r>
            <w:r>
              <w:rPr>
                <w:rFonts w:ascii="Arial" w:eastAsia="Arial" w:hAnsi="Arial" w:cs="Arial"/>
                <w:highlight w:val="white"/>
              </w:rPr>
              <w:t>D</w:t>
            </w:r>
            <w:r>
              <w:rPr>
                <w:rFonts w:ascii="Arial" w:eastAsia="Arial" w:hAnsi="Arial" w:cs="Arial"/>
                <w:color w:val="000000"/>
                <w:highlight w:val="white"/>
              </w:rPr>
              <w:t xml:space="preserve">onación y </w:t>
            </w:r>
            <w:r>
              <w:rPr>
                <w:rFonts w:ascii="Arial" w:eastAsia="Arial" w:hAnsi="Arial" w:cs="Arial"/>
                <w:highlight w:val="white"/>
              </w:rPr>
              <w:t>T</w:t>
            </w:r>
            <w:r>
              <w:rPr>
                <w:rFonts w:ascii="Arial" w:eastAsia="Arial" w:hAnsi="Arial" w:cs="Arial"/>
                <w:color w:val="000000"/>
                <w:highlight w:val="white"/>
              </w:rPr>
              <w:t>rasplante.</w:t>
            </w:r>
          </w:p>
          <w:p w14:paraId="000005DE" w14:textId="77777777" w:rsidR="001C40B0" w:rsidRDefault="001C40B0">
            <w:pPr>
              <w:widowControl/>
              <w:pBdr>
                <w:top w:val="nil"/>
                <w:left w:val="nil"/>
                <w:bottom w:val="nil"/>
                <w:right w:val="nil"/>
                <w:between w:val="nil"/>
              </w:pBdr>
              <w:jc w:val="both"/>
              <w:rPr>
                <w:rFonts w:ascii="Arial" w:eastAsia="Arial" w:hAnsi="Arial" w:cs="Arial"/>
                <w:color w:val="000000"/>
                <w:highlight w:val="white"/>
              </w:rPr>
            </w:pPr>
          </w:p>
          <w:p w14:paraId="000005DF" w14:textId="77777777" w:rsidR="001C40B0" w:rsidRDefault="00291712">
            <w:pPr>
              <w:widowControl/>
              <w:pBdr>
                <w:top w:val="nil"/>
                <w:left w:val="nil"/>
                <w:bottom w:val="nil"/>
                <w:right w:val="nil"/>
                <w:between w:val="nil"/>
              </w:pBdr>
              <w:jc w:val="both"/>
              <w:rPr>
                <w:rFonts w:ascii="Arial" w:eastAsia="Arial" w:hAnsi="Arial" w:cs="Arial"/>
                <w:color w:val="000000"/>
                <w:highlight w:val="white"/>
              </w:rPr>
            </w:pPr>
            <w:r>
              <w:rPr>
                <w:rFonts w:ascii="Arial" w:eastAsia="Arial" w:hAnsi="Arial" w:cs="Arial"/>
                <w:highlight w:val="white"/>
              </w:rPr>
              <w:t xml:space="preserve">Instituto Nacional de Salud </w:t>
            </w:r>
            <w:r>
              <w:rPr>
                <w:rFonts w:ascii="Arial" w:eastAsia="Arial" w:hAnsi="Arial" w:cs="Arial"/>
                <w:b/>
                <w:bCs/>
                <w:highlight w:val="white"/>
                <w:u w:val="single"/>
              </w:rPr>
              <w:t>(INS), o quien haga sus veces,</w:t>
            </w:r>
            <w:r>
              <w:rPr>
                <w:rFonts w:ascii="Arial" w:eastAsia="Arial" w:hAnsi="Arial" w:cs="Arial"/>
                <w:b/>
                <w:bCs/>
                <w:color w:val="000000"/>
                <w:highlight w:val="white"/>
                <w:u w:val="single"/>
              </w:rPr>
              <w:t xml:space="preserve"> </w:t>
            </w:r>
            <w:r>
              <w:rPr>
                <w:rFonts w:ascii="Arial" w:eastAsia="Arial" w:hAnsi="Arial" w:cs="Arial"/>
                <w:color w:val="000000"/>
                <w:highlight w:val="white"/>
              </w:rPr>
              <w:t xml:space="preserve">definirá la organización y funcionamiento de la Comisión de Expertos </w:t>
            </w:r>
            <w:r>
              <w:rPr>
                <w:rFonts w:ascii="Arial" w:eastAsia="Arial" w:hAnsi="Arial" w:cs="Arial"/>
                <w:strike/>
                <w:highlight w:val="white"/>
              </w:rPr>
              <w:t>en un término no mayor a</w:t>
            </w:r>
            <w:r>
              <w:rPr>
                <w:rFonts w:ascii="Arial" w:eastAsia="Arial" w:hAnsi="Arial" w:cs="Arial"/>
                <w:highlight w:val="white"/>
              </w:rPr>
              <w:t xml:space="preserve"> </w:t>
            </w:r>
            <w:r>
              <w:rPr>
                <w:rFonts w:ascii="Arial" w:eastAsia="Arial" w:hAnsi="Arial" w:cs="Arial"/>
                <w:b/>
                <w:bCs/>
                <w:highlight w:val="white"/>
                <w:u w:val="single"/>
              </w:rPr>
              <w:t>dentro de los</w:t>
            </w:r>
            <w:r>
              <w:rPr>
                <w:rFonts w:ascii="Arial" w:eastAsia="Arial" w:hAnsi="Arial" w:cs="Arial"/>
                <w:color w:val="000000"/>
                <w:highlight w:val="white"/>
              </w:rPr>
              <w:t xml:space="preserve"> seis (6) meses </w:t>
            </w:r>
            <w:r>
              <w:rPr>
                <w:rFonts w:ascii="Arial" w:eastAsia="Arial" w:hAnsi="Arial" w:cs="Arial"/>
                <w:b/>
                <w:bCs/>
                <w:color w:val="000000"/>
                <w:highlight w:val="white"/>
                <w:u w:val="single"/>
              </w:rPr>
              <w:t>siguientes</w:t>
            </w:r>
            <w:r>
              <w:rPr>
                <w:rFonts w:ascii="Arial" w:eastAsia="Arial" w:hAnsi="Arial" w:cs="Arial"/>
                <w:color w:val="000000"/>
                <w:highlight w:val="white"/>
              </w:rPr>
              <w:t xml:space="preserve"> a la promulgación de </w:t>
            </w:r>
            <w:r>
              <w:rPr>
                <w:rFonts w:ascii="Arial" w:eastAsia="Arial" w:hAnsi="Arial" w:cs="Arial"/>
                <w:strike/>
                <w:color w:val="000000"/>
                <w:highlight w:val="white"/>
              </w:rPr>
              <w:t>esta</w:t>
            </w:r>
            <w:r>
              <w:rPr>
                <w:rFonts w:ascii="Arial" w:eastAsia="Arial" w:hAnsi="Arial" w:cs="Arial"/>
                <w:color w:val="000000"/>
                <w:highlight w:val="white"/>
              </w:rPr>
              <w:t xml:space="preserve"> </w:t>
            </w:r>
            <w:r>
              <w:rPr>
                <w:rFonts w:ascii="Arial" w:eastAsia="Arial" w:hAnsi="Arial" w:cs="Arial"/>
                <w:b/>
                <w:bCs/>
                <w:highlight w:val="white"/>
                <w:u w:val="single"/>
              </w:rPr>
              <w:t>la presente</w:t>
            </w:r>
            <w:r>
              <w:rPr>
                <w:rFonts w:ascii="Arial" w:eastAsia="Arial" w:hAnsi="Arial" w:cs="Arial"/>
                <w:b/>
                <w:bCs/>
                <w:color w:val="000000"/>
                <w:highlight w:val="white"/>
                <w:u w:val="single"/>
              </w:rPr>
              <w:t xml:space="preserve"> ley,</w:t>
            </w:r>
            <w:r>
              <w:rPr>
                <w:rFonts w:ascii="Arial" w:eastAsia="Arial" w:hAnsi="Arial" w:cs="Arial"/>
                <w:color w:val="000000"/>
                <w:highlight w:val="white"/>
              </w:rPr>
              <w:t xml:space="preserve"> para lo cual podrá </w:t>
            </w:r>
            <w:r>
              <w:rPr>
                <w:rFonts w:ascii="Arial" w:eastAsia="Arial" w:hAnsi="Arial" w:cs="Arial"/>
                <w:strike/>
                <w:highlight w:val="white"/>
              </w:rPr>
              <w:t>distinguir</w:t>
            </w:r>
            <w:r>
              <w:rPr>
                <w:rFonts w:ascii="Arial" w:eastAsia="Arial" w:hAnsi="Arial" w:cs="Arial"/>
                <w:color w:val="000000"/>
                <w:highlight w:val="white"/>
              </w:rPr>
              <w:t xml:space="preserve"> </w:t>
            </w:r>
            <w:r>
              <w:rPr>
                <w:rFonts w:ascii="Arial" w:eastAsia="Arial" w:hAnsi="Arial" w:cs="Arial"/>
                <w:b/>
                <w:bCs/>
                <w:color w:val="000000"/>
                <w:highlight w:val="white"/>
                <w:u w:val="single"/>
              </w:rPr>
              <w:t xml:space="preserve">establecer </w:t>
            </w:r>
            <w:r>
              <w:rPr>
                <w:rFonts w:ascii="Arial" w:eastAsia="Arial" w:hAnsi="Arial" w:cs="Arial"/>
                <w:b/>
                <w:bCs/>
                <w:highlight w:val="white"/>
                <w:u w:val="single"/>
              </w:rPr>
              <w:t>subcomisiones diferenciadas, según el</w:t>
            </w:r>
            <w:r>
              <w:rPr>
                <w:rFonts w:ascii="Arial" w:eastAsia="Arial" w:hAnsi="Arial" w:cs="Arial"/>
                <w:highlight w:val="white"/>
              </w:rPr>
              <w:t xml:space="preserve"> </w:t>
            </w:r>
            <w:r>
              <w:rPr>
                <w:rFonts w:ascii="Arial" w:eastAsia="Arial" w:hAnsi="Arial" w:cs="Arial"/>
                <w:color w:val="000000"/>
                <w:highlight w:val="white"/>
              </w:rPr>
              <w:t xml:space="preserve">órgano o tejido </w:t>
            </w:r>
            <w:r>
              <w:rPr>
                <w:rFonts w:ascii="Arial" w:eastAsia="Arial" w:hAnsi="Arial" w:cs="Arial"/>
                <w:b/>
                <w:bCs/>
                <w:color w:val="000000"/>
                <w:highlight w:val="white"/>
                <w:u w:val="single"/>
              </w:rPr>
              <w:t>de que se trat</w:t>
            </w:r>
            <w:r>
              <w:rPr>
                <w:rFonts w:ascii="Arial" w:eastAsia="Arial" w:hAnsi="Arial" w:cs="Arial"/>
                <w:b/>
                <w:bCs/>
                <w:highlight w:val="white"/>
                <w:u w:val="single"/>
              </w:rPr>
              <w:t>e</w:t>
            </w:r>
            <w:r>
              <w:rPr>
                <w:rFonts w:ascii="Arial" w:eastAsia="Arial" w:hAnsi="Arial" w:cs="Arial"/>
                <w:color w:val="000000"/>
                <w:highlight w:val="white"/>
              </w:rPr>
              <w:t>.</w:t>
            </w:r>
          </w:p>
          <w:p w14:paraId="000005E0" w14:textId="77777777" w:rsidR="001C40B0" w:rsidRDefault="001C40B0">
            <w:pPr>
              <w:widowControl/>
              <w:pBdr>
                <w:top w:val="nil"/>
                <w:left w:val="nil"/>
                <w:bottom w:val="nil"/>
                <w:right w:val="nil"/>
                <w:between w:val="nil"/>
              </w:pBdr>
              <w:jc w:val="both"/>
              <w:rPr>
                <w:rFonts w:ascii="Arial" w:eastAsia="Arial" w:hAnsi="Arial" w:cs="Arial"/>
                <w:color w:val="000000"/>
                <w:highlight w:val="white"/>
              </w:rPr>
            </w:pPr>
          </w:p>
          <w:p w14:paraId="000005E1" w14:textId="77777777" w:rsidR="001C40B0" w:rsidRDefault="00291712">
            <w:pPr>
              <w:widowControl/>
              <w:pBdr>
                <w:top w:val="nil"/>
                <w:left w:val="nil"/>
                <w:bottom w:val="nil"/>
                <w:right w:val="nil"/>
                <w:between w:val="nil"/>
              </w:pBdr>
              <w:jc w:val="both"/>
              <w:rPr>
                <w:rFonts w:ascii="Arial" w:eastAsia="Arial" w:hAnsi="Arial" w:cs="Arial"/>
                <w:color w:val="000000"/>
                <w:highlight w:val="white"/>
              </w:rPr>
            </w:pPr>
            <w:r>
              <w:rPr>
                <w:rFonts w:ascii="Arial" w:eastAsia="Arial" w:hAnsi="Arial" w:cs="Arial"/>
                <w:color w:val="000000"/>
                <w:highlight w:val="white"/>
              </w:rPr>
              <w:t xml:space="preserve">Dentro de los criterios de asignación y distribución </w:t>
            </w:r>
            <w:r>
              <w:rPr>
                <w:rFonts w:ascii="Arial" w:eastAsia="Arial" w:hAnsi="Arial" w:cs="Arial"/>
                <w:strike/>
                <w:highlight w:val="white"/>
              </w:rPr>
              <w:t>prevalecerá</w:t>
            </w:r>
            <w:r>
              <w:rPr>
                <w:rFonts w:ascii="Arial" w:eastAsia="Arial" w:hAnsi="Arial" w:cs="Arial"/>
                <w:color w:val="000000"/>
                <w:highlight w:val="white"/>
              </w:rPr>
              <w:t xml:space="preserve"> </w:t>
            </w:r>
            <w:r>
              <w:rPr>
                <w:rFonts w:ascii="Arial" w:eastAsia="Arial" w:hAnsi="Arial" w:cs="Arial"/>
                <w:b/>
                <w:bCs/>
                <w:color w:val="000000"/>
                <w:highlight w:val="white"/>
                <w:u w:val="single"/>
              </w:rPr>
              <w:t>deber</w:t>
            </w:r>
            <w:r>
              <w:rPr>
                <w:rFonts w:ascii="Arial" w:eastAsia="Arial" w:hAnsi="Arial" w:cs="Arial"/>
                <w:b/>
                <w:bCs/>
                <w:highlight w:val="white"/>
                <w:u w:val="single"/>
              </w:rPr>
              <w:t xml:space="preserve">á </w:t>
            </w:r>
            <w:r>
              <w:rPr>
                <w:rFonts w:ascii="Arial" w:eastAsia="Arial" w:hAnsi="Arial" w:cs="Arial"/>
                <w:b/>
                <w:bCs/>
                <w:color w:val="000000"/>
                <w:highlight w:val="white"/>
                <w:u w:val="single"/>
              </w:rPr>
              <w:t>prevalecer</w:t>
            </w:r>
            <w:r>
              <w:rPr>
                <w:rFonts w:ascii="Arial" w:eastAsia="Arial" w:hAnsi="Arial" w:cs="Arial"/>
                <w:b/>
                <w:bCs/>
                <w:color w:val="000000"/>
                <w:highlight w:val="white"/>
              </w:rPr>
              <w:t xml:space="preserve"> </w:t>
            </w:r>
            <w:r>
              <w:rPr>
                <w:rFonts w:ascii="Arial" w:eastAsia="Arial" w:hAnsi="Arial" w:cs="Arial"/>
                <w:color w:val="000000"/>
                <w:highlight w:val="white"/>
              </w:rPr>
              <w:t xml:space="preserve">el beneficio </w:t>
            </w:r>
            <w:r>
              <w:rPr>
                <w:rFonts w:ascii="Arial" w:eastAsia="Arial" w:hAnsi="Arial" w:cs="Arial"/>
                <w:b/>
                <w:bCs/>
                <w:color w:val="000000"/>
                <w:highlight w:val="white"/>
                <w:u w:val="single"/>
              </w:rPr>
              <w:t>esperado</w:t>
            </w:r>
            <w:r>
              <w:rPr>
                <w:rFonts w:ascii="Arial" w:eastAsia="Arial" w:hAnsi="Arial" w:cs="Arial"/>
                <w:color w:val="000000"/>
                <w:highlight w:val="white"/>
              </w:rPr>
              <w:t xml:space="preserve"> del trasplante para cada paciente, de </w:t>
            </w:r>
            <w:r>
              <w:rPr>
                <w:rFonts w:ascii="Arial" w:eastAsia="Arial" w:hAnsi="Arial" w:cs="Arial"/>
                <w:b/>
                <w:bCs/>
                <w:highlight w:val="white"/>
                <w:u w:val="single"/>
              </w:rPr>
              <w:t>conformidad</w:t>
            </w:r>
            <w:r>
              <w:rPr>
                <w:rFonts w:ascii="Arial" w:eastAsia="Arial" w:hAnsi="Arial" w:cs="Arial"/>
                <w:highlight w:val="white"/>
              </w:rPr>
              <w:t xml:space="preserve"> con</w:t>
            </w:r>
            <w:r>
              <w:rPr>
                <w:rFonts w:ascii="Arial" w:eastAsia="Arial" w:hAnsi="Arial" w:cs="Arial"/>
                <w:color w:val="000000"/>
                <w:highlight w:val="white"/>
              </w:rPr>
              <w:t xml:space="preserve"> las guías y consensos actualizados por el </w:t>
            </w:r>
            <w:r>
              <w:rPr>
                <w:rFonts w:ascii="Arial" w:eastAsia="Arial" w:hAnsi="Arial" w:cs="Arial"/>
                <w:b/>
                <w:bCs/>
                <w:highlight w:val="white"/>
                <w:u w:val="single"/>
              </w:rPr>
              <w:t>Instituto Nacional de Salud (</w:t>
            </w:r>
            <w:r>
              <w:rPr>
                <w:rFonts w:ascii="Arial" w:eastAsia="Arial" w:hAnsi="Arial" w:cs="Arial"/>
                <w:highlight w:val="white"/>
              </w:rPr>
              <w:t>INS</w:t>
            </w:r>
            <w:r>
              <w:rPr>
                <w:rFonts w:ascii="Arial" w:eastAsia="Arial" w:hAnsi="Arial" w:cs="Arial"/>
                <w:b/>
                <w:bCs/>
                <w:highlight w:val="white"/>
                <w:u w:val="single"/>
              </w:rPr>
              <w:t>), o quien haga sus veces</w:t>
            </w:r>
            <w:r>
              <w:rPr>
                <w:rFonts w:ascii="Arial" w:eastAsia="Arial" w:hAnsi="Arial" w:cs="Arial"/>
                <w:b/>
                <w:bCs/>
                <w:color w:val="000000"/>
                <w:highlight w:val="white"/>
                <w:u w:val="single"/>
              </w:rPr>
              <w:t>,</w:t>
            </w:r>
            <w:r>
              <w:rPr>
                <w:rFonts w:ascii="Arial" w:eastAsia="Arial" w:hAnsi="Arial" w:cs="Arial"/>
                <w:color w:val="000000"/>
                <w:highlight w:val="white"/>
              </w:rPr>
              <w:t xml:space="preserve"> con base en la evidencia científica disponible. </w:t>
            </w:r>
            <w:r>
              <w:rPr>
                <w:rFonts w:ascii="Arial" w:eastAsia="Arial" w:hAnsi="Arial" w:cs="Arial"/>
                <w:b/>
                <w:bCs/>
                <w:color w:val="000000"/>
                <w:highlight w:val="white"/>
                <w:u w:val="single"/>
              </w:rPr>
              <w:t xml:space="preserve">Con base en lo anterior, </w:t>
            </w:r>
            <w:r>
              <w:rPr>
                <w:rFonts w:ascii="Arial" w:eastAsia="Arial" w:hAnsi="Arial" w:cs="Arial"/>
                <w:highlight w:val="white"/>
              </w:rPr>
              <w:t>e</w:t>
            </w:r>
            <w:r>
              <w:rPr>
                <w:rFonts w:ascii="Arial" w:eastAsia="Arial" w:hAnsi="Arial" w:cs="Arial"/>
                <w:color w:val="000000"/>
                <w:highlight w:val="white"/>
              </w:rPr>
              <w:t>l paciente que</w:t>
            </w:r>
            <w:r>
              <w:rPr>
                <w:rFonts w:ascii="Arial" w:eastAsia="Arial" w:hAnsi="Arial" w:cs="Arial"/>
                <w:b/>
                <w:bCs/>
                <w:color w:val="000000"/>
                <w:highlight w:val="white"/>
                <w:u w:val="single"/>
              </w:rPr>
              <w:t>,</w:t>
            </w:r>
            <w:r>
              <w:rPr>
                <w:rFonts w:ascii="Arial" w:eastAsia="Arial" w:hAnsi="Arial" w:cs="Arial"/>
                <w:color w:val="000000"/>
                <w:highlight w:val="white"/>
              </w:rPr>
              <w:t xml:space="preserve"> de acuerdo con criterios objetivos estandarizados</w:t>
            </w:r>
            <w:r>
              <w:rPr>
                <w:rFonts w:ascii="Arial" w:eastAsia="Arial" w:hAnsi="Arial" w:cs="Arial"/>
                <w:b/>
                <w:bCs/>
                <w:color w:val="000000"/>
                <w:highlight w:val="white"/>
                <w:u w:val="single"/>
              </w:rPr>
              <w:t>,</w:t>
            </w:r>
            <w:r>
              <w:rPr>
                <w:rFonts w:ascii="Arial" w:eastAsia="Arial" w:hAnsi="Arial" w:cs="Arial"/>
                <w:color w:val="000000"/>
                <w:highlight w:val="white"/>
              </w:rPr>
              <w:t xml:space="preserve"> </w:t>
            </w:r>
            <w:r>
              <w:rPr>
                <w:rFonts w:ascii="Arial" w:eastAsia="Arial" w:hAnsi="Arial" w:cs="Arial"/>
                <w:strike/>
                <w:highlight w:val="white"/>
              </w:rPr>
              <w:t xml:space="preserve">se beneficie más de </w:t>
            </w:r>
            <w:r>
              <w:rPr>
                <w:rFonts w:ascii="Arial" w:eastAsia="Arial" w:hAnsi="Arial" w:cs="Arial"/>
                <w:b/>
                <w:bCs/>
                <w:color w:val="000000"/>
                <w:highlight w:val="white"/>
                <w:u w:val="single"/>
              </w:rPr>
              <w:t>presente el mayor beneficio</w:t>
            </w:r>
            <w:r>
              <w:rPr>
                <w:rFonts w:ascii="Arial" w:eastAsia="Arial" w:hAnsi="Arial" w:cs="Arial"/>
                <w:b/>
                <w:bCs/>
                <w:highlight w:val="white"/>
                <w:u w:val="single"/>
              </w:rPr>
              <w:t xml:space="preserve"> esperado</w:t>
            </w:r>
            <w:r>
              <w:rPr>
                <w:rFonts w:ascii="Arial" w:eastAsia="Arial" w:hAnsi="Arial" w:cs="Arial"/>
                <w:color w:val="000000"/>
                <w:highlight w:val="white"/>
              </w:rPr>
              <w:t xml:space="preserve"> </w:t>
            </w:r>
            <w:r>
              <w:rPr>
                <w:rFonts w:ascii="Arial" w:eastAsia="Arial" w:hAnsi="Arial" w:cs="Arial"/>
                <w:b/>
                <w:bCs/>
                <w:color w:val="000000"/>
                <w:highlight w:val="white"/>
                <w:u w:val="single"/>
              </w:rPr>
              <w:t>del trasplante</w:t>
            </w:r>
            <w:r>
              <w:rPr>
                <w:rFonts w:ascii="Arial" w:eastAsia="Arial" w:hAnsi="Arial" w:cs="Arial"/>
                <w:color w:val="000000"/>
                <w:highlight w:val="white"/>
              </w:rPr>
              <w:t xml:space="preserve">, </w:t>
            </w:r>
            <w:r>
              <w:rPr>
                <w:rFonts w:ascii="Arial" w:eastAsia="Arial" w:hAnsi="Arial" w:cs="Arial"/>
                <w:strike/>
                <w:highlight w:val="white"/>
              </w:rPr>
              <w:t>será el primero</w:t>
            </w:r>
            <w:r>
              <w:rPr>
                <w:rFonts w:ascii="Arial" w:eastAsia="Arial" w:hAnsi="Arial" w:cs="Arial"/>
                <w:highlight w:val="white"/>
              </w:rPr>
              <w:t xml:space="preserve"> </w:t>
            </w:r>
            <w:r>
              <w:rPr>
                <w:rFonts w:ascii="Arial" w:eastAsia="Arial" w:hAnsi="Arial" w:cs="Arial"/>
                <w:b/>
                <w:bCs/>
                <w:highlight w:val="white"/>
                <w:u w:val="single"/>
              </w:rPr>
              <w:t>tendrá prioridad</w:t>
            </w:r>
            <w:r>
              <w:rPr>
                <w:rFonts w:ascii="Arial" w:eastAsia="Arial" w:hAnsi="Arial" w:cs="Arial"/>
                <w:color w:val="000000"/>
                <w:highlight w:val="white"/>
              </w:rPr>
              <w:t xml:space="preserve"> en la asignación.</w:t>
            </w:r>
          </w:p>
          <w:p w14:paraId="000005E2" w14:textId="77777777" w:rsidR="001C40B0" w:rsidRDefault="001C40B0">
            <w:pPr>
              <w:widowControl/>
              <w:pBdr>
                <w:top w:val="nil"/>
                <w:left w:val="nil"/>
                <w:bottom w:val="nil"/>
                <w:right w:val="nil"/>
                <w:between w:val="nil"/>
              </w:pBdr>
              <w:jc w:val="both"/>
              <w:rPr>
                <w:rFonts w:ascii="Arial" w:eastAsia="Arial" w:hAnsi="Arial" w:cs="Arial"/>
                <w:color w:val="000000"/>
                <w:highlight w:val="white"/>
              </w:rPr>
            </w:pPr>
          </w:p>
          <w:p w14:paraId="000005E3" w14:textId="77777777" w:rsidR="001C40B0" w:rsidRDefault="00291712">
            <w:pPr>
              <w:widowControl/>
              <w:pBdr>
                <w:top w:val="nil"/>
                <w:left w:val="nil"/>
                <w:bottom w:val="nil"/>
                <w:right w:val="nil"/>
                <w:between w:val="nil"/>
              </w:pBdr>
              <w:jc w:val="both"/>
              <w:rPr>
                <w:rFonts w:ascii="Arial" w:eastAsia="Arial" w:hAnsi="Arial" w:cs="Arial"/>
                <w:b/>
                <w:bCs/>
                <w:color w:val="000000"/>
                <w:highlight w:val="white"/>
                <w:u w:val="single"/>
              </w:rPr>
            </w:pPr>
            <w:r>
              <w:rPr>
                <w:rFonts w:ascii="Arial" w:eastAsia="Arial" w:hAnsi="Arial" w:cs="Arial"/>
                <w:b/>
                <w:bCs/>
                <w:color w:val="000000"/>
                <w:highlight w:val="white"/>
                <w:u w:val="single"/>
              </w:rPr>
              <w:t xml:space="preserve">El </w:t>
            </w:r>
            <w:r>
              <w:rPr>
                <w:rFonts w:ascii="Arial" w:eastAsia="Arial" w:hAnsi="Arial" w:cs="Arial"/>
                <w:b/>
                <w:bCs/>
                <w:highlight w:val="white"/>
                <w:u w:val="single"/>
              </w:rPr>
              <w:t>Instituto Nacional de Salud</w:t>
            </w:r>
            <w:r>
              <w:rPr>
                <w:rFonts w:ascii="Arial" w:eastAsia="Arial" w:hAnsi="Arial" w:cs="Arial"/>
                <w:highlight w:val="white"/>
              </w:rPr>
              <w:t xml:space="preserve"> (INS), o quien haga sus veces,</w:t>
            </w:r>
            <w:r>
              <w:rPr>
                <w:rFonts w:ascii="Arial" w:eastAsia="Arial" w:hAnsi="Arial" w:cs="Arial"/>
                <w:color w:val="000000"/>
                <w:highlight w:val="white"/>
              </w:rPr>
              <w:t xml:space="preserve"> podrá revisar y actualizar los criterios de asignación y distribución de </w:t>
            </w:r>
            <w:r>
              <w:rPr>
                <w:rFonts w:ascii="Arial" w:eastAsia="Arial" w:hAnsi="Arial" w:cs="Arial"/>
                <w:highlight w:val="white"/>
              </w:rPr>
              <w:t>órganos</w:t>
            </w:r>
            <w:r>
              <w:rPr>
                <w:rFonts w:ascii="Arial" w:eastAsia="Arial" w:hAnsi="Arial" w:cs="Arial"/>
                <w:b/>
                <w:bCs/>
                <w:highlight w:val="white"/>
                <w:u w:val="single"/>
              </w:rPr>
              <w:t>,</w:t>
            </w:r>
            <w:r>
              <w:rPr>
                <w:rFonts w:ascii="Arial" w:eastAsia="Arial" w:hAnsi="Arial" w:cs="Arial"/>
                <w:highlight w:val="white"/>
              </w:rPr>
              <w:t xml:space="preserve"> </w:t>
            </w:r>
            <w:r>
              <w:rPr>
                <w:rFonts w:ascii="Arial" w:eastAsia="Arial" w:hAnsi="Arial" w:cs="Arial"/>
                <w:strike/>
                <w:highlight w:val="white"/>
              </w:rPr>
              <w:t xml:space="preserve">y </w:t>
            </w:r>
            <w:r>
              <w:rPr>
                <w:rFonts w:ascii="Arial" w:eastAsia="Arial" w:hAnsi="Arial" w:cs="Arial"/>
                <w:highlight w:val="white"/>
              </w:rPr>
              <w:t>tejidos</w:t>
            </w:r>
            <w:r>
              <w:rPr>
                <w:rFonts w:ascii="Arial" w:eastAsia="Arial" w:hAnsi="Arial" w:cs="Arial"/>
                <w:b/>
                <w:bCs/>
                <w:highlight w:val="white"/>
                <w:u w:val="single"/>
              </w:rPr>
              <w:t>, células y derivados</w:t>
            </w:r>
            <w:r>
              <w:rPr>
                <w:rFonts w:ascii="Arial" w:eastAsia="Arial" w:hAnsi="Arial" w:cs="Arial"/>
                <w:highlight w:val="white"/>
              </w:rPr>
              <w:t xml:space="preserve"> </w:t>
            </w:r>
            <w:r>
              <w:rPr>
                <w:rFonts w:ascii="Arial" w:eastAsia="Arial" w:hAnsi="Arial" w:cs="Arial"/>
                <w:color w:val="000000"/>
                <w:highlight w:val="white"/>
              </w:rPr>
              <w:t xml:space="preserve"> cuando lo estime conveniente, cuando </w:t>
            </w:r>
            <w:r>
              <w:rPr>
                <w:rFonts w:ascii="Arial" w:eastAsia="Arial" w:hAnsi="Arial" w:cs="Arial"/>
                <w:b/>
                <w:bCs/>
                <w:color w:val="000000"/>
                <w:highlight w:val="white"/>
                <w:u w:val="single"/>
              </w:rPr>
              <w:t>lo solicite</w:t>
            </w:r>
            <w:r>
              <w:rPr>
                <w:rFonts w:ascii="Arial" w:eastAsia="Arial" w:hAnsi="Arial" w:cs="Arial"/>
                <w:color w:val="000000"/>
                <w:highlight w:val="white"/>
              </w:rPr>
              <w:t xml:space="preserve"> una parte interesada, o </w:t>
            </w:r>
            <w:r>
              <w:rPr>
                <w:rFonts w:ascii="Arial" w:eastAsia="Arial" w:hAnsi="Arial" w:cs="Arial"/>
                <w:b/>
                <w:bCs/>
                <w:color w:val="000000"/>
                <w:highlight w:val="white"/>
                <w:u w:val="single"/>
              </w:rPr>
              <w:t>cuando</w:t>
            </w:r>
            <w:r>
              <w:rPr>
                <w:rFonts w:ascii="Arial" w:eastAsia="Arial" w:hAnsi="Arial" w:cs="Arial"/>
                <w:color w:val="000000"/>
                <w:highlight w:val="white"/>
              </w:rPr>
              <w:t xml:space="preserve"> </w:t>
            </w:r>
            <w:r>
              <w:rPr>
                <w:rFonts w:ascii="Arial" w:eastAsia="Arial" w:hAnsi="Arial" w:cs="Arial"/>
                <w:strike/>
                <w:highlight w:val="white"/>
              </w:rPr>
              <w:t>haya un cambio de impacto</w:t>
            </w:r>
            <w:r>
              <w:rPr>
                <w:rFonts w:ascii="Arial" w:eastAsia="Arial" w:hAnsi="Arial" w:cs="Arial"/>
                <w:highlight w:val="white"/>
              </w:rPr>
              <w:t xml:space="preserve"> se produzcan </w:t>
            </w:r>
            <w:r>
              <w:rPr>
                <w:rFonts w:ascii="Arial" w:eastAsia="Arial" w:hAnsi="Arial" w:cs="Arial"/>
                <w:color w:val="000000"/>
                <w:highlight w:val="white"/>
              </w:rPr>
              <w:t xml:space="preserve"> cambios relevantes</w:t>
            </w:r>
            <w:r>
              <w:rPr>
                <w:rFonts w:ascii="Arial" w:eastAsia="Arial" w:hAnsi="Arial" w:cs="Arial"/>
                <w:highlight w:val="white"/>
              </w:rPr>
              <w:t xml:space="preserve"> </w:t>
            </w:r>
            <w:r>
              <w:rPr>
                <w:rFonts w:ascii="Arial" w:eastAsia="Arial" w:hAnsi="Arial" w:cs="Arial"/>
                <w:color w:val="000000"/>
                <w:highlight w:val="white"/>
              </w:rPr>
              <w:t xml:space="preserve">en las guías clínicas </w:t>
            </w:r>
            <w:r>
              <w:rPr>
                <w:rFonts w:ascii="Arial" w:eastAsia="Arial" w:hAnsi="Arial" w:cs="Arial"/>
                <w:strike/>
                <w:color w:val="000000"/>
                <w:highlight w:val="white"/>
              </w:rPr>
              <w:t>mundiales</w:t>
            </w:r>
            <w:r>
              <w:rPr>
                <w:rFonts w:ascii="Arial" w:eastAsia="Arial" w:hAnsi="Arial" w:cs="Arial"/>
                <w:color w:val="000000"/>
                <w:highlight w:val="white"/>
              </w:rPr>
              <w:t xml:space="preserve"> </w:t>
            </w:r>
            <w:r>
              <w:rPr>
                <w:rFonts w:ascii="Arial" w:eastAsia="Arial" w:hAnsi="Arial" w:cs="Arial"/>
                <w:b/>
                <w:bCs/>
                <w:highlight w:val="white"/>
                <w:u w:val="single"/>
              </w:rPr>
              <w:t>internacionales</w:t>
            </w:r>
            <w:r>
              <w:rPr>
                <w:rFonts w:ascii="Arial" w:eastAsia="Arial" w:hAnsi="Arial" w:cs="Arial"/>
                <w:color w:val="000000"/>
                <w:highlight w:val="white"/>
                <w:u w:val="single"/>
              </w:rPr>
              <w:t xml:space="preserve"> </w:t>
            </w:r>
            <w:r>
              <w:rPr>
                <w:rFonts w:ascii="Arial" w:eastAsia="Arial" w:hAnsi="Arial" w:cs="Arial"/>
                <w:b/>
                <w:bCs/>
                <w:color w:val="000000"/>
                <w:highlight w:val="white"/>
                <w:u w:val="single"/>
              </w:rPr>
              <w:t>aplicables a</w:t>
            </w:r>
            <w:r>
              <w:rPr>
                <w:rFonts w:ascii="Arial" w:eastAsia="Arial" w:hAnsi="Arial" w:cs="Arial"/>
                <w:b/>
                <w:bCs/>
                <w:highlight w:val="white"/>
                <w:u w:val="single"/>
              </w:rPr>
              <w:t xml:space="preserve"> la</w:t>
            </w:r>
            <w:r>
              <w:rPr>
                <w:rFonts w:ascii="Arial" w:eastAsia="Arial" w:hAnsi="Arial" w:cs="Arial"/>
                <w:color w:val="000000"/>
                <w:highlight w:val="white"/>
              </w:rPr>
              <w:t xml:space="preserve"> asignación </w:t>
            </w:r>
            <w:r>
              <w:rPr>
                <w:rFonts w:ascii="Arial" w:eastAsia="Arial" w:hAnsi="Arial" w:cs="Arial"/>
                <w:b/>
                <w:bCs/>
                <w:highlight w:val="white"/>
                <w:u w:val="single"/>
              </w:rPr>
              <w:t>de</w:t>
            </w:r>
            <w:r>
              <w:rPr>
                <w:rFonts w:ascii="Arial" w:eastAsia="Arial" w:hAnsi="Arial" w:cs="Arial"/>
                <w:color w:val="000000"/>
                <w:highlight w:val="white"/>
              </w:rPr>
              <w:t xml:space="preserve"> órganos </w:t>
            </w:r>
            <w:r>
              <w:rPr>
                <w:rFonts w:ascii="Arial" w:eastAsia="Arial" w:hAnsi="Arial" w:cs="Arial"/>
                <w:b/>
                <w:bCs/>
                <w:color w:val="000000"/>
                <w:highlight w:val="white"/>
                <w:u w:val="single"/>
              </w:rPr>
              <w:t>o tejidos.</w:t>
            </w:r>
          </w:p>
          <w:p w14:paraId="000005E4" w14:textId="77777777" w:rsidR="001C40B0" w:rsidRDefault="001C40B0">
            <w:pPr>
              <w:widowControl/>
              <w:pBdr>
                <w:top w:val="nil"/>
                <w:left w:val="nil"/>
                <w:bottom w:val="nil"/>
                <w:right w:val="nil"/>
                <w:between w:val="nil"/>
              </w:pBdr>
              <w:jc w:val="both"/>
              <w:rPr>
                <w:rFonts w:ascii="Arial" w:eastAsia="Arial" w:hAnsi="Arial" w:cs="Arial"/>
                <w:color w:val="000000"/>
                <w:highlight w:val="white"/>
              </w:rPr>
            </w:pPr>
          </w:p>
          <w:p w14:paraId="000005E5" w14:textId="77777777" w:rsidR="001C40B0" w:rsidRDefault="00291712">
            <w:pPr>
              <w:widowControl/>
              <w:pBdr>
                <w:top w:val="nil"/>
                <w:left w:val="nil"/>
                <w:bottom w:val="nil"/>
                <w:right w:val="nil"/>
                <w:between w:val="nil"/>
              </w:pBdr>
              <w:jc w:val="both"/>
              <w:rPr>
                <w:rFonts w:ascii="Arial" w:eastAsia="Arial" w:hAnsi="Arial" w:cs="Arial"/>
                <w:b/>
                <w:bCs/>
                <w:color w:val="000000"/>
                <w:highlight w:val="white"/>
                <w:u w:val="single"/>
              </w:rPr>
            </w:pPr>
            <w:r>
              <w:rPr>
                <w:rFonts w:ascii="Arial" w:eastAsia="Arial" w:hAnsi="Arial" w:cs="Arial"/>
                <w:b/>
                <w:bCs/>
                <w:color w:val="000000"/>
                <w:highlight w:val="white"/>
              </w:rPr>
              <w:t>Parágrafo 1.</w:t>
            </w:r>
            <w:r>
              <w:rPr>
                <w:rFonts w:ascii="Arial" w:eastAsia="Arial" w:hAnsi="Arial" w:cs="Arial"/>
                <w:color w:val="000000"/>
                <w:highlight w:val="white"/>
              </w:rPr>
              <w:t xml:space="preserve"> Lo </w:t>
            </w:r>
            <w:r>
              <w:rPr>
                <w:rFonts w:ascii="Arial" w:eastAsia="Arial" w:hAnsi="Arial" w:cs="Arial"/>
                <w:strike/>
                <w:color w:val="000000"/>
                <w:highlight w:val="white"/>
              </w:rPr>
              <w:t>anterior</w:t>
            </w:r>
            <w:r>
              <w:rPr>
                <w:rFonts w:ascii="Arial" w:eastAsia="Arial" w:hAnsi="Arial" w:cs="Arial"/>
                <w:color w:val="000000"/>
                <w:highlight w:val="white"/>
              </w:rPr>
              <w:t xml:space="preserve">  </w:t>
            </w:r>
            <w:r>
              <w:rPr>
                <w:rFonts w:ascii="Arial" w:eastAsia="Arial" w:hAnsi="Arial" w:cs="Arial"/>
                <w:b/>
                <w:bCs/>
                <w:color w:val="000000"/>
                <w:highlight w:val="white"/>
                <w:u w:val="single"/>
              </w:rPr>
              <w:t>previsto en este art</w:t>
            </w:r>
            <w:r>
              <w:rPr>
                <w:rFonts w:ascii="Arial" w:eastAsia="Arial" w:hAnsi="Arial" w:cs="Arial"/>
                <w:b/>
                <w:bCs/>
                <w:highlight w:val="white"/>
                <w:u w:val="single"/>
              </w:rPr>
              <w:t>ículo</w:t>
            </w:r>
            <w:r>
              <w:rPr>
                <w:rFonts w:ascii="Arial" w:eastAsia="Arial" w:hAnsi="Arial" w:cs="Arial"/>
                <w:color w:val="000000"/>
                <w:highlight w:val="white"/>
              </w:rPr>
              <w:t xml:space="preserve"> se desarrollará de acuerdo a la disponibilidad presupuestal con la que cuente</w:t>
            </w:r>
            <w:r>
              <w:rPr>
                <w:rFonts w:ascii="Arial" w:eastAsia="Arial" w:hAnsi="Arial" w:cs="Arial"/>
                <w:highlight w:val="white"/>
              </w:rPr>
              <w:t xml:space="preserve"> </w:t>
            </w:r>
            <w:r>
              <w:rPr>
                <w:rFonts w:ascii="Arial" w:eastAsia="Arial" w:hAnsi="Arial" w:cs="Arial"/>
                <w:b/>
                <w:bCs/>
                <w:highlight w:val="white"/>
                <w:u w:val="single"/>
              </w:rPr>
              <w:t>el Instituto Nacional de Salud (INS), o quien haga sus veces.</w:t>
            </w:r>
          </w:p>
        </w:tc>
        <w:tc>
          <w:tcPr>
            <w:tcW w:w="2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E6" w14:textId="77777777" w:rsidR="001C40B0" w:rsidRDefault="00291712">
            <w:pPr>
              <w:pBdr>
                <w:top w:val="nil"/>
                <w:left w:val="nil"/>
                <w:bottom w:val="nil"/>
                <w:right w:val="nil"/>
                <w:between w:val="nil"/>
              </w:pBdr>
              <w:jc w:val="both"/>
              <w:rPr>
                <w:rFonts w:ascii="Arial" w:eastAsia="Arial" w:hAnsi="Arial" w:cs="Arial"/>
              </w:rPr>
            </w:pPr>
            <w:r>
              <w:rPr>
                <w:rFonts w:ascii="Arial" w:eastAsia="Arial" w:hAnsi="Arial" w:cs="Arial"/>
              </w:rPr>
              <w:lastRenderedPageBreak/>
              <w:t xml:space="preserve">Se ajusta la redacción. </w:t>
            </w:r>
          </w:p>
        </w:tc>
      </w:tr>
      <w:tr w:rsidR="001C40B0" w14:paraId="3E29160C" w14:textId="77777777">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5E7"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lastRenderedPageBreak/>
              <w:t>ARTÍCULO 12. MODELO DE GESTIÓN OPERATIVA DE LA DONACIÓN.</w:t>
            </w:r>
            <w:r>
              <w:rPr>
                <w:rFonts w:ascii="Arial" w:eastAsia="Arial" w:hAnsi="Arial" w:cs="Arial"/>
                <w:color w:val="000000"/>
              </w:rPr>
              <w:t xml:space="preserve"> A partir de la promulgación de la presente Ley, se establece en Colombia el modelo de gestión operativa de donación integrado. El modelo podrá implementarse de forma intrahospitalaria y extrahospitalaria, a través de unidades de gestión operativa de la donación. Los requisitos para su funcionamiento serán expedidos por el Ministerio de Salud y Protección Social, en un término no mayor a seis (6) meses, a través de los requisitos de habilitación de servicios de salud, en conjunto con el Instituto Nacional de Salud (INS) o quien haga sus veces junto con la comisión de expertos que exista por cada órgano y tejido.</w:t>
            </w:r>
          </w:p>
          <w:p w14:paraId="000005E8" w14:textId="77777777" w:rsidR="001C40B0" w:rsidRDefault="001C40B0">
            <w:pPr>
              <w:widowControl/>
              <w:pBdr>
                <w:top w:val="nil"/>
                <w:left w:val="nil"/>
                <w:bottom w:val="nil"/>
                <w:right w:val="nil"/>
                <w:between w:val="nil"/>
              </w:pBdr>
              <w:jc w:val="both"/>
              <w:rPr>
                <w:rFonts w:ascii="Arial" w:eastAsia="Arial" w:hAnsi="Arial" w:cs="Arial"/>
              </w:rPr>
            </w:pPr>
          </w:p>
          <w:p w14:paraId="000005E9" w14:textId="77777777" w:rsidR="001C40B0" w:rsidRDefault="001C40B0">
            <w:pPr>
              <w:widowControl/>
              <w:pBdr>
                <w:top w:val="nil"/>
                <w:left w:val="nil"/>
                <w:bottom w:val="nil"/>
                <w:right w:val="nil"/>
                <w:between w:val="nil"/>
              </w:pBdr>
              <w:jc w:val="both"/>
              <w:rPr>
                <w:rFonts w:ascii="Arial" w:eastAsia="Arial" w:hAnsi="Arial" w:cs="Arial"/>
              </w:rPr>
            </w:pPr>
          </w:p>
          <w:p w14:paraId="000005EA" w14:textId="77777777" w:rsidR="001C40B0" w:rsidRDefault="001C40B0">
            <w:pPr>
              <w:widowControl/>
              <w:pBdr>
                <w:top w:val="nil"/>
                <w:left w:val="nil"/>
                <w:bottom w:val="nil"/>
                <w:right w:val="nil"/>
                <w:between w:val="nil"/>
              </w:pBdr>
              <w:jc w:val="both"/>
              <w:rPr>
                <w:rFonts w:ascii="Arial" w:eastAsia="Arial" w:hAnsi="Arial" w:cs="Arial"/>
              </w:rPr>
            </w:pPr>
          </w:p>
          <w:p w14:paraId="000005EB" w14:textId="77777777" w:rsidR="001C40B0" w:rsidRDefault="001C40B0">
            <w:pPr>
              <w:widowControl/>
              <w:pBdr>
                <w:top w:val="nil"/>
                <w:left w:val="nil"/>
                <w:bottom w:val="nil"/>
                <w:right w:val="nil"/>
                <w:between w:val="nil"/>
              </w:pBdr>
              <w:jc w:val="both"/>
              <w:rPr>
                <w:rFonts w:ascii="Arial" w:eastAsia="Arial" w:hAnsi="Arial" w:cs="Arial"/>
              </w:rPr>
            </w:pPr>
          </w:p>
          <w:p w14:paraId="000005EC" w14:textId="77777777" w:rsidR="001C40B0" w:rsidRDefault="001C40B0">
            <w:pPr>
              <w:widowControl/>
              <w:pBdr>
                <w:top w:val="nil"/>
                <w:left w:val="nil"/>
                <w:bottom w:val="nil"/>
                <w:right w:val="nil"/>
                <w:between w:val="nil"/>
              </w:pBdr>
              <w:jc w:val="both"/>
              <w:rPr>
                <w:rFonts w:ascii="Arial" w:eastAsia="Arial" w:hAnsi="Arial" w:cs="Arial"/>
              </w:rPr>
            </w:pPr>
          </w:p>
          <w:p w14:paraId="000005ED" w14:textId="77777777" w:rsidR="001C40B0" w:rsidRDefault="001C40B0">
            <w:pPr>
              <w:widowControl/>
              <w:pBdr>
                <w:top w:val="nil"/>
                <w:left w:val="nil"/>
                <w:bottom w:val="nil"/>
                <w:right w:val="nil"/>
                <w:between w:val="nil"/>
              </w:pBdr>
              <w:jc w:val="both"/>
              <w:rPr>
                <w:rFonts w:ascii="Arial" w:eastAsia="Arial" w:hAnsi="Arial" w:cs="Arial"/>
              </w:rPr>
            </w:pPr>
          </w:p>
          <w:p w14:paraId="000005EE" w14:textId="77777777" w:rsidR="001C40B0" w:rsidRDefault="001C40B0">
            <w:pPr>
              <w:widowControl/>
              <w:pBdr>
                <w:top w:val="nil"/>
                <w:left w:val="nil"/>
                <w:bottom w:val="nil"/>
                <w:right w:val="nil"/>
                <w:between w:val="nil"/>
              </w:pBdr>
              <w:jc w:val="both"/>
              <w:rPr>
                <w:rFonts w:ascii="Arial" w:eastAsia="Arial" w:hAnsi="Arial" w:cs="Arial"/>
              </w:rPr>
            </w:pPr>
          </w:p>
          <w:p w14:paraId="000005EF" w14:textId="77777777" w:rsidR="001C40B0" w:rsidRDefault="001C40B0">
            <w:pPr>
              <w:widowControl/>
              <w:pBdr>
                <w:top w:val="nil"/>
                <w:left w:val="nil"/>
                <w:bottom w:val="nil"/>
                <w:right w:val="nil"/>
                <w:between w:val="nil"/>
              </w:pBdr>
              <w:jc w:val="both"/>
              <w:rPr>
                <w:rFonts w:ascii="Arial" w:eastAsia="Arial" w:hAnsi="Arial" w:cs="Arial"/>
              </w:rPr>
            </w:pPr>
          </w:p>
          <w:p w14:paraId="000005F0" w14:textId="77777777" w:rsidR="001C40B0" w:rsidRDefault="001C40B0">
            <w:pPr>
              <w:widowControl/>
              <w:pBdr>
                <w:top w:val="nil"/>
                <w:left w:val="nil"/>
                <w:bottom w:val="nil"/>
                <w:right w:val="nil"/>
                <w:between w:val="nil"/>
              </w:pBdr>
              <w:jc w:val="both"/>
              <w:rPr>
                <w:rFonts w:ascii="Arial" w:eastAsia="Arial" w:hAnsi="Arial" w:cs="Arial"/>
              </w:rPr>
            </w:pPr>
          </w:p>
          <w:p w14:paraId="000005F1" w14:textId="77777777" w:rsidR="001C40B0" w:rsidRDefault="001C40B0">
            <w:pPr>
              <w:widowControl/>
              <w:pBdr>
                <w:top w:val="nil"/>
                <w:left w:val="nil"/>
                <w:bottom w:val="nil"/>
                <w:right w:val="nil"/>
                <w:between w:val="nil"/>
              </w:pBdr>
              <w:jc w:val="both"/>
              <w:rPr>
                <w:rFonts w:ascii="Arial" w:eastAsia="Arial" w:hAnsi="Arial" w:cs="Arial"/>
              </w:rPr>
            </w:pPr>
          </w:p>
          <w:p w14:paraId="000005F2" w14:textId="77777777" w:rsidR="001C40B0" w:rsidRDefault="001C40B0">
            <w:pPr>
              <w:widowControl/>
              <w:pBdr>
                <w:top w:val="nil"/>
                <w:left w:val="nil"/>
                <w:bottom w:val="nil"/>
                <w:right w:val="nil"/>
                <w:between w:val="nil"/>
              </w:pBdr>
              <w:jc w:val="both"/>
              <w:rPr>
                <w:rFonts w:ascii="Arial" w:eastAsia="Arial" w:hAnsi="Arial" w:cs="Arial"/>
              </w:rPr>
            </w:pPr>
          </w:p>
          <w:p w14:paraId="000005F3"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Las obligaciones de las unidades de gestión operativa de la donación intra y extra hospitalaria, serán definidas por el Instituto Nacional de Salud (INS) o quien haga sus veces, junto con la comisión de expertos que exista por cada órgano y tejido</w:t>
            </w:r>
            <w:r>
              <w:rPr>
                <w:rFonts w:ascii="Arial" w:eastAsia="Arial" w:hAnsi="Arial" w:cs="Arial"/>
                <w:b/>
                <w:bCs/>
                <w:color w:val="000000"/>
              </w:rPr>
              <w:t>,</w:t>
            </w:r>
            <w:r>
              <w:rPr>
                <w:rFonts w:ascii="Arial" w:eastAsia="Arial" w:hAnsi="Arial" w:cs="Arial"/>
                <w:color w:val="000000"/>
              </w:rPr>
              <w:t xml:space="preserve"> de acuerdo con lo contenido en el artículo 13 de la presente Ley.</w:t>
            </w:r>
          </w:p>
          <w:p w14:paraId="000005F4" w14:textId="77777777" w:rsidR="001C40B0" w:rsidRDefault="001C40B0">
            <w:pPr>
              <w:widowControl/>
              <w:pBdr>
                <w:top w:val="nil"/>
                <w:left w:val="nil"/>
                <w:bottom w:val="nil"/>
                <w:right w:val="nil"/>
                <w:between w:val="nil"/>
              </w:pBdr>
              <w:jc w:val="both"/>
              <w:rPr>
                <w:rFonts w:ascii="Arial" w:eastAsia="Arial" w:hAnsi="Arial" w:cs="Arial"/>
              </w:rPr>
            </w:pPr>
          </w:p>
          <w:p w14:paraId="000005F5" w14:textId="77777777" w:rsidR="001C40B0" w:rsidRDefault="001C40B0">
            <w:pPr>
              <w:widowControl/>
              <w:pBdr>
                <w:top w:val="nil"/>
                <w:left w:val="nil"/>
                <w:bottom w:val="nil"/>
                <w:right w:val="nil"/>
                <w:between w:val="nil"/>
              </w:pBdr>
              <w:jc w:val="both"/>
              <w:rPr>
                <w:rFonts w:ascii="Arial" w:eastAsia="Arial" w:hAnsi="Arial" w:cs="Arial"/>
              </w:rPr>
            </w:pPr>
          </w:p>
          <w:p w14:paraId="000005F6"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PARÁGRAFO 1. </w:t>
            </w:r>
            <w:r>
              <w:rPr>
                <w:rFonts w:ascii="Arial" w:eastAsia="Arial" w:hAnsi="Arial" w:cs="Arial"/>
                <w:color w:val="000000"/>
              </w:rPr>
              <w:t>Las IPS trasplantadoras de órganos y tejidos, y los bancos de tejidos, también podrán tener coordinadores operativos y extrahospitalarios donde no haya coordinación intrahospitalaria, o en apoyo y coordinación con esta, para apoyar y realizar gestiones de donación, con ECMO, perfusión dinámica, transporte de órganos y tejidos, logísticas, educación, promoción de la donación.</w:t>
            </w:r>
          </w:p>
          <w:p w14:paraId="000005F7" w14:textId="77777777" w:rsidR="001C40B0" w:rsidRDefault="001C40B0">
            <w:pPr>
              <w:widowControl/>
              <w:pBdr>
                <w:top w:val="nil"/>
                <w:left w:val="nil"/>
                <w:bottom w:val="nil"/>
                <w:right w:val="nil"/>
                <w:between w:val="nil"/>
              </w:pBdr>
              <w:jc w:val="both"/>
              <w:rPr>
                <w:rFonts w:ascii="Arial" w:eastAsia="Arial" w:hAnsi="Arial" w:cs="Arial"/>
              </w:rPr>
            </w:pPr>
          </w:p>
          <w:p w14:paraId="000005F8" w14:textId="77777777" w:rsidR="001C40B0" w:rsidRDefault="001C40B0">
            <w:pPr>
              <w:widowControl/>
              <w:pBdr>
                <w:top w:val="nil"/>
                <w:left w:val="nil"/>
                <w:bottom w:val="nil"/>
                <w:right w:val="nil"/>
                <w:between w:val="nil"/>
              </w:pBdr>
              <w:jc w:val="both"/>
              <w:rPr>
                <w:rFonts w:ascii="Arial" w:eastAsia="Arial" w:hAnsi="Arial" w:cs="Arial"/>
              </w:rPr>
            </w:pPr>
          </w:p>
          <w:p w14:paraId="000005F9" w14:textId="77777777" w:rsidR="001C40B0" w:rsidRDefault="001C40B0">
            <w:pPr>
              <w:widowControl/>
              <w:pBdr>
                <w:top w:val="nil"/>
                <w:left w:val="nil"/>
                <w:bottom w:val="nil"/>
                <w:right w:val="nil"/>
                <w:between w:val="nil"/>
              </w:pBdr>
              <w:jc w:val="both"/>
              <w:rPr>
                <w:rFonts w:ascii="Arial" w:eastAsia="Arial" w:hAnsi="Arial" w:cs="Arial"/>
              </w:rPr>
            </w:pPr>
          </w:p>
          <w:p w14:paraId="000005FA"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PARÁGRAFO 2 </w:t>
            </w:r>
            <w:r>
              <w:rPr>
                <w:rFonts w:ascii="Arial" w:eastAsia="Arial" w:hAnsi="Arial" w:cs="Arial"/>
                <w:color w:val="000000"/>
              </w:rPr>
              <w:t>Todos los coordinadores de trasplantes deben estar inscritos ante la red de donación y trasplantes por medio de las IPS generadora o trasplantadoras que estén previamente habilitadas e inscritas ante la red.</w:t>
            </w:r>
          </w:p>
          <w:p w14:paraId="000005FB" w14:textId="77777777" w:rsidR="001C40B0" w:rsidRDefault="001C40B0">
            <w:pPr>
              <w:widowControl/>
              <w:pBdr>
                <w:top w:val="nil"/>
                <w:left w:val="nil"/>
                <w:bottom w:val="nil"/>
                <w:right w:val="nil"/>
                <w:between w:val="nil"/>
              </w:pBdr>
              <w:jc w:val="both"/>
              <w:rPr>
                <w:rFonts w:ascii="Arial" w:eastAsia="Arial" w:hAnsi="Arial" w:cs="Arial"/>
              </w:rPr>
            </w:pPr>
          </w:p>
          <w:p w14:paraId="000005FC"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5FD"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PARÁGRAFO 3. </w:t>
            </w:r>
            <w:r>
              <w:rPr>
                <w:rFonts w:ascii="Arial" w:eastAsia="Arial" w:hAnsi="Arial" w:cs="Arial"/>
                <w:color w:val="000000"/>
              </w:rPr>
              <w:t>El Gobierno Nacional a través del Ministerio de Hacienda y Crédito Público emitirá concepto de aval fiscal previa a la gestión operativa de la donación con el fin de que se garantice la sostenibilidad financiera del presente proyecto.</w:t>
            </w:r>
          </w:p>
          <w:p w14:paraId="000005FE"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5FF"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PARÁGRAFO 4. </w:t>
            </w:r>
            <w:r>
              <w:rPr>
                <w:rFonts w:ascii="Arial" w:eastAsia="Arial" w:hAnsi="Arial" w:cs="Arial"/>
                <w:color w:val="000000"/>
              </w:rPr>
              <w:t xml:space="preserve">El coordinador será un requisito de habilitación de las IPS en los niveles señalados en la presente ley el gobierno nacional a través de las entidades responsables </w:t>
            </w:r>
            <w:r>
              <w:rPr>
                <w:rFonts w:ascii="Arial" w:eastAsia="Arial" w:hAnsi="Arial" w:cs="Arial"/>
                <w:color w:val="000000"/>
              </w:rPr>
              <w:lastRenderedPageBreak/>
              <w:t>reglamentará en un término no mayor de 6 meses las competencias, perfiles manuales de funciones y requisitos de acreditación de los coordinadores.</w:t>
            </w:r>
          </w:p>
          <w:p w14:paraId="00000600" w14:textId="77777777" w:rsidR="001C40B0" w:rsidRDefault="001C40B0">
            <w:pPr>
              <w:widowControl/>
              <w:pBdr>
                <w:top w:val="nil"/>
                <w:left w:val="nil"/>
                <w:bottom w:val="nil"/>
                <w:right w:val="nil"/>
                <w:between w:val="nil"/>
              </w:pBdr>
              <w:jc w:val="both"/>
              <w:rPr>
                <w:rFonts w:ascii="Arial" w:eastAsia="Arial" w:hAnsi="Arial" w:cs="Arial"/>
                <w:b/>
                <w:bCs/>
                <w:color w:val="000000"/>
              </w:rPr>
            </w:pPr>
          </w:p>
          <w:p w14:paraId="00000601"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PARÁGRAFO TRANSITORIO.</w:t>
            </w:r>
            <w:r>
              <w:rPr>
                <w:rFonts w:ascii="Arial" w:eastAsia="Arial" w:hAnsi="Arial" w:cs="Arial"/>
                <w:color w:val="000000"/>
              </w:rPr>
              <w:t xml:space="preserve"> Las IPS del segundo nivel con UCI y las de tercer y cuarto nivel contarán con un plazo máximo de doce meses contados a partir de la entrada en vigencia de la presente ley para contratar, capacitar y acreditar a sus coordinadores operativos de donación sin que durante dicho periodo se afecte su habilitación.</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02" w14:textId="77777777" w:rsidR="001C40B0" w:rsidRDefault="00291712">
            <w:pPr>
              <w:widowControl/>
              <w:pBdr>
                <w:top w:val="nil"/>
                <w:left w:val="nil"/>
                <w:bottom w:val="nil"/>
                <w:right w:val="nil"/>
                <w:between w:val="nil"/>
              </w:pBdr>
              <w:jc w:val="both"/>
              <w:rPr>
                <w:rFonts w:ascii="Arial" w:eastAsia="Arial" w:hAnsi="Arial" w:cs="Arial"/>
                <w:color w:val="000000"/>
                <w:highlight w:val="white"/>
              </w:rPr>
            </w:pPr>
            <w:r>
              <w:rPr>
                <w:rFonts w:ascii="Arial" w:eastAsia="Arial" w:hAnsi="Arial" w:cs="Arial"/>
                <w:b/>
                <w:bCs/>
                <w:color w:val="000000"/>
                <w:highlight w:val="white"/>
              </w:rPr>
              <w:lastRenderedPageBreak/>
              <w:t xml:space="preserve">ARTÍCULO 12. MODELO </w:t>
            </w:r>
            <w:r>
              <w:rPr>
                <w:rFonts w:ascii="Arial" w:eastAsia="Arial" w:hAnsi="Arial" w:cs="Arial"/>
                <w:b/>
                <w:bCs/>
                <w:strike/>
                <w:color w:val="000000"/>
                <w:highlight w:val="white"/>
              </w:rPr>
              <w:t>DE</w:t>
            </w:r>
            <w:r>
              <w:rPr>
                <w:rFonts w:ascii="Arial" w:eastAsia="Arial" w:hAnsi="Arial" w:cs="Arial"/>
                <w:b/>
                <w:bCs/>
                <w:color w:val="000000"/>
                <w:highlight w:val="white"/>
              </w:rPr>
              <w:t xml:space="preserve"> </w:t>
            </w:r>
            <w:r>
              <w:rPr>
                <w:rFonts w:ascii="Arial" w:eastAsia="Arial" w:hAnsi="Arial" w:cs="Arial"/>
                <w:b/>
                <w:bCs/>
                <w:color w:val="000000"/>
                <w:highlight w:val="white"/>
                <w:u w:val="single"/>
              </w:rPr>
              <w:t xml:space="preserve">INTEGRADO DE </w:t>
            </w:r>
            <w:r>
              <w:rPr>
                <w:rFonts w:ascii="Arial" w:eastAsia="Arial" w:hAnsi="Arial" w:cs="Arial"/>
                <w:b/>
                <w:bCs/>
                <w:color w:val="000000"/>
                <w:highlight w:val="white"/>
              </w:rPr>
              <w:t>GESTIÓN OPERATIVA DE LA DONACIÓN.</w:t>
            </w:r>
            <w:r>
              <w:rPr>
                <w:rFonts w:ascii="Arial" w:eastAsia="Arial" w:hAnsi="Arial" w:cs="Arial"/>
                <w:color w:val="000000"/>
                <w:highlight w:val="white"/>
              </w:rPr>
              <w:t xml:space="preserve"> A partir de la promulgación de la presente Ley, se establece en Colombia el modelo </w:t>
            </w:r>
            <w:r>
              <w:rPr>
                <w:rFonts w:ascii="Arial" w:eastAsia="Arial" w:hAnsi="Arial" w:cs="Arial"/>
                <w:b/>
                <w:bCs/>
                <w:color w:val="000000"/>
                <w:highlight w:val="white"/>
                <w:u w:val="single"/>
              </w:rPr>
              <w:t>integrado</w:t>
            </w:r>
            <w:r>
              <w:rPr>
                <w:rFonts w:ascii="Arial" w:eastAsia="Arial" w:hAnsi="Arial" w:cs="Arial"/>
                <w:color w:val="000000"/>
                <w:highlight w:val="white"/>
              </w:rPr>
              <w:t xml:space="preserve"> de gestión operativa de donación. El modelo podrá implementarse de forma intrahospitalaria y extrahospitalaria, a través de unidades de gestión operativa de la donación. </w:t>
            </w:r>
            <w:r>
              <w:rPr>
                <w:rFonts w:ascii="Arial" w:eastAsia="Arial" w:hAnsi="Arial" w:cs="Arial"/>
                <w:strike/>
                <w:color w:val="000000"/>
                <w:highlight w:val="white"/>
              </w:rPr>
              <w:t>Los requisitos para su funcionamiento serán expedidos por e</w:t>
            </w:r>
            <w:r>
              <w:rPr>
                <w:rFonts w:ascii="Arial" w:eastAsia="Arial" w:hAnsi="Arial" w:cs="Arial"/>
                <w:color w:val="000000"/>
                <w:highlight w:val="white"/>
              </w:rPr>
              <w:t>l E</w:t>
            </w:r>
            <w:r>
              <w:rPr>
                <w:rFonts w:ascii="Arial" w:eastAsia="Arial" w:hAnsi="Arial" w:cs="Arial"/>
                <w:highlight w:val="white"/>
              </w:rPr>
              <w:t>l</w:t>
            </w:r>
            <w:r>
              <w:rPr>
                <w:rFonts w:ascii="Arial" w:eastAsia="Arial" w:hAnsi="Arial" w:cs="Arial"/>
                <w:color w:val="000000"/>
                <w:highlight w:val="white"/>
              </w:rPr>
              <w:t xml:space="preserve"> Ministerio de Salud y Protección Social </w:t>
            </w:r>
            <w:r>
              <w:rPr>
                <w:rFonts w:ascii="Arial" w:eastAsia="Arial" w:hAnsi="Arial" w:cs="Arial"/>
                <w:b/>
                <w:bCs/>
                <w:color w:val="000000"/>
                <w:highlight w:val="white"/>
                <w:u w:val="single"/>
              </w:rPr>
              <w:t>expedir</w:t>
            </w:r>
            <w:r>
              <w:rPr>
                <w:rFonts w:ascii="Arial" w:eastAsia="Arial" w:hAnsi="Arial" w:cs="Arial"/>
                <w:b/>
                <w:bCs/>
                <w:highlight w:val="white"/>
                <w:u w:val="single"/>
              </w:rPr>
              <w:t>á los requisitos de funcionamiento del modelo</w:t>
            </w:r>
            <w:r>
              <w:rPr>
                <w:rFonts w:ascii="Arial" w:eastAsia="Arial" w:hAnsi="Arial" w:cs="Arial"/>
                <w:b/>
                <w:bCs/>
                <w:color w:val="000000"/>
                <w:highlight w:val="white"/>
                <w:u w:val="single"/>
              </w:rPr>
              <w:t xml:space="preserve">, </w:t>
            </w:r>
            <w:r>
              <w:rPr>
                <w:rFonts w:ascii="Arial" w:eastAsia="Arial" w:hAnsi="Arial" w:cs="Arial"/>
                <w:strike/>
                <w:highlight w:val="white"/>
              </w:rPr>
              <w:t xml:space="preserve">en un término no mayor a </w:t>
            </w:r>
            <w:r>
              <w:rPr>
                <w:rFonts w:ascii="Arial" w:eastAsia="Arial" w:hAnsi="Arial" w:cs="Arial"/>
                <w:b/>
                <w:bCs/>
                <w:color w:val="000000"/>
                <w:highlight w:val="white"/>
                <w:u w:val="single"/>
              </w:rPr>
              <w:t xml:space="preserve"> </w:t>
            </w:r>
            <w:r>
              <w:rPr>
                <w:rFonts w:ascii="Arial" w:eastAsia="Arial" w:hAnsi="Arial" w:cs="Arial"/>
                <w:b/>
                <w:bCs/>
                <w:highlight w:val="white"/>
                <w:u w:val="single"/>
              </w:rPr>
              <w:t>dentro de los</w:t>
            </w:r>
            <w:r>
              <w:rPr>
                <w:rFonts w:ascii="Arial" w:eastAsia="Arial" w:hAnsi="Arial" w:cs="Arial"/>
                <w:color w:val="000000"/>
                <w:highlight w:val="white"/>
              </w:rPr>
              <w:t xml:space="preserve"> seis (6) meses </w:t>
            </w:r>
            <w:r>
              <w:rPr>
                <w:rFonts w:ascii="Arial" w:eastAsia="Arial" w:hAnsi="Arial" w:cs="Arial"/>
                <w:b/>
                <w:bCs/>
                <w:highlight w:val="white"/>
                <w:u w:val="single"/>
              </w:rPr>
              <w:t>siguientes</w:t>
            </w:r>
            <w:r>
              <w:rPr>
                <w:rFonts w:ascii="Arial" w:eastAsia="Arial" w:hAnsi="Arial" w:cs="Arial"/>
                <w:b/>
                <w:bCs/>
                <w:color w:val="000000"/>
                <w:highlight w:val="white"/>
                <w:u w:val="single"/>
              </w:rPr>
              <w:t xml:space="preserve"> a la fecha de promulgaci</w:t>
            </w:r>
            <w:r>
              <w:rPr>
                <w:rFonts w:ascii="Arial" w:eastAsia="Arial" w:hAnsi="Arial" w:cs="Arial"/>
                <w:b/>
                <w:bCs/>
                <w:highlight w:val="white"/>
                <w:u w:val="single"/>
              </w:rPr>
              <w:t>ón de la presente ley,</w:t>
            </w:r>
            <w:r>
              <w:rPr>
                <w:rFonts w:ascii="Arial" w:eastAsia="Arial" w:hAnsi="Arial" w:cs="Arial"/>
                <w:b/>
                <w:bCs/>
                <w:color w:val="000000"/>
                <w:highlight w:val="white"/>
                <w:u w:val="single"/>
              </w:rPr>
              <w:t xml:space="preserve"> mediante la r</w:t>
            </w:r>
            <w:r>
              <w:rPr>
                <w:rFonts w:ascii="Arial" w:eastAsia="Arial" w:hAnsi="Arial" w:cs="Arial"/>
                <w:b/>
                <w:bCs/>
                <w:highlight w:val="white"/>
                <w:u w:val="single"/>
              </w:rPr>
              <w:t>eglamentación</w:t>
            </w:r>
            <w:r>
              <w:rPr>
                <w:rFonts w:ascii="Arial" w:eastAsia="Arial" w:hAnsi="Arial" w:cs="Arial"/>
                <w:highlight w:val="white"/>
              </w:rPr>
              <w:t xml:space="preserve"> </w:t>
            </w:r>
            <w:r>
              <w:rPr>
                <w:rFonts w:ascii="Arial" w:eastAsia="Arial" w:hAnsi="Arial" w:cs="Arial"/>
                <w:color w:val="000000"/>
                <w:highlight w:val="white"/>
              </w:rPr>
              <w:t>de los requisitos de habilitación de servicios de salud</w:t>
            </w:r>
            <w:r>
              <w:rPr>
                <w:rFonts w:ascii="Arial" w:eastAsia="Arial" w:hAnsi="Arial" w:cs="Arial"/>
                <w:highlight w:val="white"/>
              </w:rPr>
              <w:t>.</w:t>
            </w:r>
            <w:r>
              <w:rPr>
                <w:rFonts w:ascii="Arial" w:eastAsia="Arial" w:hAnsi="Arial" w:cs="Arial"/>
                <w:color w:val="000000"/>
                <w:highlight w:val="white"/>
              </w:rPr>
              <w:t xml:space="preserve"> </w:t>
            </w:r>
            <w:r>
              <w:rPr>
                <w:rFonts w:ascii="Arial" w:eastAsia="Arial" w:hAnsi="Arial" w:cs="Arial"/>
                <w:strike/>
                <w:highlight w:val="white"/>
              </w:rPr>
              <w:t>en conjunto con</w:t>
            </w:r>
            <w:r>
              <w:rPr>
                <w:rFonts w:ascii="Arial" w:eastAsia="Arial" w:hAnsi="Arial" w:cs="Arial"/>
                <w:highlight w:val="white"/>
              </w:rPr>
              <w:t xml:space="preserve"> </w:t>
            </w:r>
            <w:r>
              <w:rPr>
                <w:rFonts w:ascii="Arial" w:eastAsia="Arial" w:hAnsi="Arial" w:cs="Arial"/>
                <w:b/>
                <w:bCs/>
                <w:color w:val="000000"/>
                <w:highlight w:val="white"/>
                <w:u w:val="single"/>
              </w:rPr>
              <w:t>Para ello, contar</w:t>
            </w:r>
            <w:r>
              <w:rPr>
                <w:rFonts w:ascii="Arial" w:eastAsia="Arial" w:hAnsi="Arial" w:cs="Arial"/>
                <w:b/>
                <w:bCs/>
                <w:highlight w:val="white"/>
                <w:u w:val="single"/>
              </w:rPr>
              <w:t>á con el apoyo técnico</w:t>
            </w:r>
            <w:r>
              <w:rPr>
                <w:rFonts w:ascii="Arial" w:eastAsia="Arial" w:hAnsi="Arial" w:cs="Arial"/>
                <w:highlight w:val="white"/>
              </w:rPr>
              <w:t xml:space="preserve"> d</w:t>
            </w:r>
            <w:r>
              <w:rPr>
                <w:rFonts w:ascii="Arial" w:eastAsia="Arial" w:hAnsi="Arial" w:cs="Arial"/>
                <w:color w:val="000000"/>
                <w:highlight w:val="white"/>
              </w:rPr>
              <w:t xml:space="preserve">el Instituto Nacional de Salud (INS), o quien haga sus veces y </w:t>
            </w:r>
            <w:r>
              <w:rPr>
                <w:rFonts w:ascii="Arial" w:eastAsia="Arial" w:hAnsi="Arial" w:cs="Arial"/>
                <w:highlight w:val="white"/>
              </w:rPr>
              <w:t>de</w:t>
            </w:r>
            <w:r>
              <w:rPr>
                <w:rFonts w:ascii="Arial" w:eastAsia="Arial" w:hAnsi="Arial" w:cs="Arial"/>
                <w:color w:val="000000"/>
                <w:highlight w:val="white"/>
              </w:rPr>
              <w:t xml:space="preserve"> la </w:t>
            </w:r>
            <w:r>
              <w:rPr>
                <w:rFonts w:ascii="Arial" w:eastAsia="Arial" w:hAnsi="Arial" w:cs="Arial"/>
                <w:highlight w:val="white"/>
              </w:rPr>
              <w:t>C</w:t>
            </w:r>
            <w:r>
              <w:rPr>
                <w:rFonts w:ascii="Arial" w:eastAsia="Arial" w:hAnsi="Arial" w:cs="Arial"/>
                <w:color w:val="000000"/>
                <w:highlight w:val="white"/>
              </w:rPr>
              <w:t xml:space="preserve">omisión de </w:t>
            </w:r>
            <w:r>
              <w:rPr>
                <w:rFonts w:ascii="Arial" w:eastAsia="Arial" w:hAnsi="Arial" w:cs="Arial"/>
                <w:highlight w:val="white"/>
              </w:rPr>
              <w:t>E</w:t>
            </w:r>
            <w:r>
              <w:rPr>
                <w:rFonts w:ascii="Arial" w:eastAsia="Arial" w:hAnsi="Arial" w:cs="Arial"/>
                <w:color w:val="000000"/>
                <w:highlight w:val="white"/>
              </w:rPr>
              <w:t>xpertos que exista por cada órgano y tejido.</w:t>
            </w:r>
          </w:p>
          <w:p w14:paraId="00000603" w14:textId="77777777" w:rsidR="001C40B0" w:rsidRDefault="001C40B0">
            <w:pPr>
              <w:widowControl/>
              <w:pBdr>
                <w:top w:val="nil"/>
                <w:left w:val="nil"/>
                <w:bottom w:val="nil"/>
                <w:right w:val="nil"/>
                <w:between w:val="nil"/>
              </w:pBdr>
              <w:jc w:val="both"/>
              <w:rPr>
                <w:rFonts w:ascii="Arial" w:eastAsia="Arial" w:hAnsi="Arial" w:cs="Arial"/>
                <w:color w:val="000000"/>
                <w:highlight w:val="white"/>
              </w:rPr>
            </w:pPr>
          </w:p>
          <w:p w14:paraId="00000604" w14:textId="77777777" w:rsidR="001C40B0" w:rsidRDefault="00291712">
            <w:pPr>
              <w:widowControl/>
              <w:pBdr>
                <w:top w:val="nil"/>
                <w:left w:val="nil"/>
                <w:bottom w:val="nil"/>
                <w:right w:val="nil"/>
                <w:between w:val="nil"/>
              </w:pBdr>
              <w:jc w:val="both"/>
              <w:rPr>
                <w:rFonts w:ascii="Arial" w:eastAsia="Arial" w:hAnsi="Arial" w:cs="Arial"/>
                <w:color w:val="000000"/>
                <w:highlight w:val="white"/>
              </w:rPr>
            </w:pPr>
            <w:r>
              <w:rPr>
                <w:rFonts w:ascii="Arial" w:eastAsia="Arial" w:hAnsi="Arial" w:cs="Arial"/>
                <w:color w:val="000000"/>
                <w:highlight w:val="white"/>
              </w:rPr>
              <w:t xml:space="preserve">Las obligaciones de las unidades de gestión operativa de la donación intra y extra hospitalaria, serán definidas por el Instituto Nacional de Salud (INS), o quien haga sus veces, junto con la </w:t>
            </w:r>
            <w:r>
              <w:rPr>
                <w:rFonts w:ascii="Arial" w:eastAsia="Arial" w:hAnsi="Arial" w:cs="Arial"/>
                <w:highlight w:val="white"/>
              </w:rPr>
              <w:t>C</w:t>
            </w:r>
            <w:r>
              <w:rPr>
                <w:rFonts w:ascii="Arial" w:eastAsia="Arial" w:hAnsi="Arial" w:cs="Arial"/>
                <w:color w:val="000000"/>
                <w:highlight w:val="white"/>
              </w:rPr>
              <w:t xml:space="preserve">omisión de </w:t>
            </w:r>
            <w:r>
              <w:rPr>
                <w:rFonts w:ascii="Arial" w:eastAsia="Arial" w:hAnsi="Arial" w:cs="Arial"/>
                <w:highlight w:val="white"/>
              </w:rPr>
              <w:t>E</w:t>
            </w:r>
            <w:r>
              <w:rPr>
                <w:rFonts w:ascii="Arial" w:eastAsia="Arial" w:hAnsi="Arial" w:cs="Arial"/>
                <w:color w:val="000000"/>
                <w:highlight w:val="white"/>
              </w:rPr>
              <w:t>xpertos que exista por cada órgano y tejido</w:t>
            </w:r>
            <w:r>
              <w:rPr>
                <w:rFonts w:ascii="Arial" w:eastAsia="Arial" w:hAnsi="Arial" w:cs="Arial"/>
                <w:b/>
                <w:bCs/>
                <w:color w:val="000000"/>
                <w:highlight w:val="white"/>
              </w:rPr>
              <w:t>,</w:t>
            </w:r>
            <w:r>
              <w:rPr>
                <w:rFonts w:ascii="Arial" w:eastAsia="Arial" w:hAnsi="Arial" w:cs="Arial"/>
                <w:color w:val="000000"/>
                <w:highlight w:val="white"/>
              </w:rPr>
              <w:t xml:space="preserve"> de acuerdo con lo </w:t>
            </w:r>
            <w:r>
              <w:rPr>
                <w:rFonts w:ascii="Arial" w:eastAsia="Arial" w:hAnsi="Arial" w:cs="Arial"/>
                <w:strike/>
                <w:highlight w:val="white"/>
              </w:rPr>
              <w:t>contenido</w:t>
            </w:r>
            <w:r>
              <w:rPr>
                <w:rFonts w:ascii="Arial" w:eastAsia="Arial" w:hAnsi="Arial" w:cs="Arial"/>
                <w:highlight w:val="white"/>
              </w:rPr>
              <w:t xml:space="preserve"> </w:t>
            </w:r>
            <w:r>
              <w:rPr>
                <w:rFonts w:ascii="Arial" w:eastAsia="Arial" w:hAnsi="Arial" w:cs="Arial"/>
                <w:b/>
                <w:bCs/>
                <w:highlight w:val="white"/>
                <w:u w:val="single"/>
              </w:rPr>
              <w:t>establecido</w:t>
            </w:r>
            <w:r>
              <w:rPr>
                <w:rFonts w:ascii="Arial" w:eastAsia="Arial" w:hAnsi="Arial" w:cs="Arial"/>
                <w:highlight w:val="white"/>
              </w:rPr>
              <w:t xml:space="preserve"> </w:t>
            </w:r>
            <w:r>
              <w:rPr>
                <w:rFonts w:ascii="Arial" w:eastAsia="Arial" w:hAnsi="Arial" w:cs="Arial"/>
                <w:color w:val="000000"/>
                <w:highlight w:val="white"/>
              </w:rPr>
              <w:t>en el artículo 13 de la presente Ley.</w:t>
            </w:r>
          </w:p>
          <w:p w14:paraId="00000605" w14:textId="77777777" w:rsidR="001C40B0" w:rsidRDefault="001C40B0">
            <w:pPr>
              <w:widowControl/>
              <w:pBdr>
                <w:top w:val="nil"/>
                <w:left w:val="nil"/>
                <w:bottom w:val="nil"/>
                <w:right w:val="nil"/>
                <w:between w:val="nil"/>
              </w:pBdr>
              <w:jc w:val="both"/>
              <w:rPr>
                <w:rFonts w:ascii="Arial" w:eastAsia="Arial" w:hAnsi="Arial" w:cs="Arial"/>
                <w:color w:val="000000"/>
                <w:highlight w:val="white"/>
              </w:rPr>
            </w:pPr>
          </w:p>
          <w:p w14:paraId="00000606" w14:textId="77777777" w:rsidR="001C40B0" w:rsidRDefault="00291712">
            <w:pPr>
              <w:widowControl/>
              <w:pBdr>
                <w:top w:val="nil"/>
                <w:left w:val="nil"/>
                <w:bottom w:val="nil"/>
                <w:right w:val="nil"/>
                <w:between w:val="nil"/>
              </w:pBdr>
              <w:jc w:val="both"/>
              <w:rPr>
                <w:rFonts w:ascii="Arial" w:eastAsia="Arial" w:hAnsi="Arial" w:cs="Arial"/>
                <w:color w:val="000000"/>
                <w:highlight w:val="white"/>
              </w:rPr>
            </w:pPr>
            <w:r>
              <w:rPr>
                <w:rFonts w:ascii="Arial" w:eastAsia="Arial" w:hAnsi="Arial" w:cs="Arial"/>
                <w:b/>
                <w:bCs/>
                <w:color w:val="000000"/>
                <w:highlight w:val="white"/>
              </w:rPr>
              <w:t xml:space="preserve">PARÁGRAFO 1. </w:t>
            </w:r>
            <w:r>
              <w:rPr>
                <w:rFonts w:ascii="Arial" w:eastAsia="Arial" w:hAnsi="Arial" w:cs="Arial"/>
                <w:color w:val="000000"/>
                <w:highlight w:val="white"/>
              </w:rPr>
              <w:t>Las</w:t>
            </w:r>
            <w:r>
              <w:rPr>
                <w:rFonts w:ascii="Arial" w:eastAsia="Arial" w:hAnsi="Arial" w:cs="Arial"/>
                <w:b/>
                <w:bCs/>
                <w:highlight w:val="white"/>
                <w:u w:val="single"/>
              </w:rPr>
              <w:t xml:space="preserve"> Instituciones Prestadoras de </w:t>
            </w:r>
            <w:r>
              <w:rPr>
                <w:rFonts w:ascii="Arial" w:eastAsia="Arial" w:hAnsi="Arial" w:cs="Arial"/>
                <w:b/>
                <w:bCs/>
                <w:highlight w:val="white"/>
                <w:u w:val="single"/>
              </w:rPr>
              <w:lastRenderedPageBreak/>
              <w:t>Salud (</w:t>
            </w:r>
            <w:r>
              <w:rPr>
                <w:rFonts w:ascii="Arial" w:eastAsia="Arial" w:hAnsi="Arial" w:cs="Arial"/>
                <w:color w:val="000000"/>
                <w:highlight w:val="white"/>
              </w:rPr>
              <w:t xml:space="preserve">IPS) trasplantadoras </w:t>
            </w:r>
            <w:r>
              <w:rPr>
                <w:rFonts w:ascii="Arial" w:eastAsia="Arial" w:hAnsi="Arial" w:cs="Arial"/>
                <w:b/>
                <w:bCs/>
                <w:color w:val="000000"/>
                <w:highlight w:val="white"/>
                <w:u w:val="single"/>
              </w:rPr>
              <w:t>y generadoras,</w:t>
            </w:r>
            <w:r>
              <w:rPr>
                <w:rFonts w:ascii="Arial" w:eastAsia="Arial" w:hAnsi="Arial" w:cs="Arial"/>
                <w:color w:val="000000"/>
                <w:highlight w:val="white"/>
              </w:rPr>
              <w:t xml:space="preserve"> </w:t>
            </w:r>
            <w:r>
              <w:rPr>
                <w:rFonts w:ascii="Arial" w:eastAsia="Arial" w:hAnsi="Arial" w:cs="Arial"/>
                <w:strike/>
                <w:color w:val="000000"/>
                <w:highlight w:val="white"/>
              </w:rPr>
              <w:t xml:space="preserve">de órganos y tejidos, </w:t>
            </w:r>
            <w:r>
              <w:rPr>
                <w:rFonts w:ascii="Arial" w:eastAsia="Arial" w:hAnsi="Arial" w:cs="Arial"/>
                <w:color w:val="000000"/>
                <w:highlight w:val="white"/>
              </w:rPr>
              <w:t xml:space="preserve">y los </w:t>
            </w:r>
            <w:r>
              <w:rPr>
                <w:rFonts w:ascii="Arial" w:eastAsia="Arial" w:hAnsi="Arial" w:cs="Arial"/>
                <w:highlight w:val="white"/>
              </w:rPr>
              <w:t>B</w:t>
            </w:r>
            <w:r>
              <w:rPr>
                <w:rFonts w:ascii="Arial" w:eastAsia="Arial" w:hAnsi="Arial" w:cs="Arial"/>
                <w:color w:val="000000"/>
                <w:highlight w:val="white"/>
              </w:rPr>
              <w:t xml:space="preserve">ancos de </w:t>
            </w:r>
            <w:r>
              <w:rPr>
                <w:rFonts w:ascii="Arial" w:eastAsia="Arial" w:hAnsi="Arial" w:cs="Arial"/>
                <w:highlight w:val="white"/>
              </w:rPr>
              <w:t>T</w:t>
            </w:r>
            <w:r>
              <w:rPr>
                <w:rFonts w:ascii="Arial" w:eastAsia="Arial" w:hAnsi="Arial" w:cs="Arial"/>
                <w:color w:val="000000"/>
                <w:highlight w:val="white"/>
              </w:rPr>
              <w:t xml:space="preserve">ejidos, podrán tener coordinadores operativos y extrahospitalarios </w:t>
            </w:r>
            <w:r>
              <w:rPr>
                <w:rFonts w:ascii="Arial" w:eastAsia="Arial" w:hAnsi="Arial" w:cs="Arial"/>
                <w:strike/>
                <w:color w:val="000000"/>
                <w:highlight w:val="white"/>
              </w:rPr>
              <w:t>donde</w:t>
            </w:r>
            <w:r>
              <w:rPr>
                <w:rFonts w:ascii="Arial" w:eastAsia="Arial" w:hAnsi="Arial" w:cs="Arial"/>
                <w:color w:val="000000"/>
                <w:highlight w:val="white"/>
              </w:rPr>
              <w:t xml:space="preserve"> </w:t>
            </w:r>
            <w:r>
              <w:rPr>
                <w:rFonts w:ascii="Arial" w:eastAsia="Arial" w:hAnsi="Arial" w:cs="Arial"/>
                <w:b/>
                <w:bCs/>
                <w:highlight w:val="white"/>
                <w:u w:val="single"/>
              </w:rPr>
              <w:t>cuando</w:t>
            </w:r>
            <w:r>
              <w:rPr>
                <w:rFonts w:ascii="Arial" w:eastAsia="Arial" w:hAnsi="Arial" w:cs="Arial"/>
                <w:color w:val="000000"/>
                <w:highlight w:val="white"/>
              </w:rPr>
              <w:t xml:space="preserve"> no </w:t>
            </w:r>
            <w:r>
              <w:rPr>
                <w:rFonts w:ascii="Arial" w:eastAsia="Arial" w:hAnsi="Arial" w:cs="Arial"/>
                <w:highlight w:val="white"/>
              </w:rPr>
              <w:t>exista</w:t>
            </w:r>
            <w:r>
              <w:rPr>
                <w:rFonts w:ascii="Arial" w:eastAsia="Arial" w:hAnsi="Arial" w:cs="Arial"/>
                <w:color w:val="000000"/>
                <w:highlight w:val="white"/>
              </w:rPr>
              <w:t xml:space="preserve"> coordinación intrahospitalaria, o </w:t>
            </w:r>
            <w:r>
              <w:rPr>
                <w:rFonts w:ascii="Arial" w:eastAsia="Arial" w:hAnsi="Arial" w:cs="Arial"/>
                <w:strike/>
                <w:color w:val="000000"/>
                <w:highlight w:val="white"/>
              </w:rPr>
              <w:t>en</w:t>
            </w:r>
            <w:r>
              <w:rPr>
                <w:rFonts w:ascii="Arial" w:eastAsia="Arial" w:hAnsi="Arial" w:cs="Arial"/>
                <w:color w:val="000000"/>
                <w:highlight w:val="white"/>
              </w:rPr>
              <w:t xml:space="preserve"> </w:t>
            </w:r>
            <w:r>
              <w:rPr>
                <w:rFonts w:ascii="Arial" w:eastAsia="Arial" w:hAnsi="Arial" w:cs="Arial"/>
                <w:b/>
                <w:bCs/>
                <w:color w:val="000000"/>
                <w:highlight w:val="white"/>
                <w:u w:val="single"/>
              </w:rPr>
              <w:t>como</w:t>
            </w:r>
            <w:r>
              <w:rPr>
                <w:rFonts w:ascii="Arial" w:eastAsia="Arial" w:hAnsi="Arial" w:cs="Arial"/>
                <w:color w:val="000000"/>
                <w:highlight w:val="white"/>
              </w:rPr>
              <w:t xml:space="preserve"> apoyo y coordinación </w:t>
            </w:r>
            <w:r>
              <w:rPr>
                <w:rFonts w:ascii="Arial" w:eastAsia="Arial" w:hAnsi="Arial" w:cs="Arial"/>
                <w:b/>
                <w:bCs/>
                <w:highlight w:val="white"/>
                <w:u w:val="single"/>
              </w:rPr>
              <w:t>a</w:t>
            </w:r>
            <w:r>
              <w:rPr>
                <w:rFonts w:ascii="Arial" w:eastAsia="Arial" w:hAnsi="Arial" w:cs="Arial"/>
                <w:color w:val="000000"/>
                <w:highlight w:val="white"/>
              </w:rPr>
              <w:t xml:space="preserve"> </w:t>
            </w:r>
            <w:r>
              <w:rPr>
                <w:rFonts w:ascii="Arial" w:eastAsia="Arial" w:hAnsi="Arial" w:cs="Arial"/>
                <w:b/>
                <w:bCs/>
                <w:highlight w:val="white"/>
                <w:u w:val="single"/>
              </w:rPr>
              <w:t>é</w:t>
            </w:r>
            <w:r>
              <w:rPr>
                <w:rFonts w:ascii="Arial" w:eastAsia="Arial" w:hAnsi="Arial" w:cs="Arial"/>
                <w:highlight w:val="white"/>
              </w:rPr>
              <w:t>sta</w:t>
            </w:r>
            <w:r>
              <w:rPr>
                <w:rFonts w:ascii="Arial" w:eastAsia="Arial" w:hAnsi="Arial" w:cs="Arial"/>
                <w:color w:val="000000"/>
                <w:highlight w:val="white"/>
              </w:rPr>
              <w:t xml:space="preserve">, </w:t>
            </w:r>
            <w:r>
              <w:rPr>
                <w:rFonts w:ascii="Arial" w:eastAsia="Arial" w:hAnsi="Arial" w:cs="Arial"/>
                <w:strike/>
                <w:color w:val="000000"/>
                <w:highlight w:val="white"/>
              </w:rPr>
              <w:t>para</w:t>
            </w:r>
            <w:r>
              <w:rPr>
                <w:rFonts w:ascii="Arial" w:eastAsia="Arial" w:hAnsi="Arial" w:cs="Arial"/>
                <w:color w:val="000000"/>
                <w:highlight w:val="white"/>
              </w:rPr>
              <w:t xml:space="preserve"> </w:t>
            </w:r>
            <w:r>
              <w:rPr>
                <w:rFonts w:ascii="Arial" w:eastAsia="Arial" w:hAnsi="Arial" w:cs="Arial"/>
                <w:b/>
                <w:bCs/>
                <w:highlight w:val="white"/>
                <w:u w:val="single"/>
              </w:rPr>
              <w:t>con el fin de</w:t>
            </w:r>
            <w:r>
              <w:rPr>
                <w:rFonts w:ascii="Arial" w:eastAsia="Arial" w:hAnsi="Arial" w:cs="Arial"/>
                <w:color w:val="000000"/>
                <w:highlight w:val="white"/>
              </w:rPr>
              <w:t xml:space="preserve"> apoyar y realizar gestiones de donación, </w:t>
            </w:r>
            <w:r>
              <w:rPr>
                <w:rFonts w:ascii="Arial" w:eastAsia="Arial" w:hAnsi="Arial" w:cs="Arial"/>
                <w:strike/>
                <w:color w:val="000000"/>
                <w:highlight w:val="white"/>
              </w:rPr>
              <w:t>con</w:t>
            </w:r>
            <w:r>
              <w:rPr>
                <w:rFonts w:ascii="Arial" w:eastAsia="Arial" w:hAnsi="Arial" w:cs="Arial"/>
                <w:color w:val="000000"/>
                <w:highlight w:val="white"/>
              </w:rPr>
              <w:t xml:space="preserve"> </w:t>
            </w:r>
            <w:r>
              <w:rPr>
                <w:rFonts w:ascii="Arial" w:eastAsia="Arial" w:hAnsi="Arial" w:cs="Arial"/>
                <w:b/>
                <w:bCs/>
                <w:color w:val="000000"/>
                <w:highlight w:val="white"/>
                <w:u w:val="single"/>
              </w:rPr>
              <w:t xml:space="preserve">el uso </w:t>
            </w:r>
            <w:r>
              <w:rPr>
                <w:rFonts w:ascii="Arial" w:eastAsia="Arial" w:hAnsi="Arial" w:cs="Arial"/>
                <w:b/>
                <w:bCs/>
                <w:highlight w:val="white"/>
                <w:u w:val="single"/>
              </w:rPr>
              <w:t>de</w:t>
            </w:r>
            <w:r>
              <w:rPr>
                <w:rFonts w:ascii="Arial" w:eastAsia="Arial" w:hAnsi="Arial" w:cs="Arial"/>
                <w:color w:val="000000"/>
                <w:highlight w:val="white"/>
              </w:rPr>
              <w:t xml:space="preserve"> ECMO, </w:t>
            </w:r>
            <w:r>
              <w:rPr>
                <w:rFonts w:ascii="Arial" w:eastAsia="Arial" w:hAnsi="Arial" w:cs="Arial"/>
                <w:b/>
                <w:bCs/>
                <w:color w:val="000000"/>
                <w:highlight w:val="white"/>
                <w:u w:val="single"/>
              </w:rPr>
              <w:t>la</w:t>
            </w:r>
            <w:r>
              <w:rPr>
                <w:rFonts w:ascii="Arial" w:eastAsia="Arial" w:hAnsi="Arial" w:cs="Arial"/>
                <w:color w:val="000000"/>
                <w:highlight w:val="white"/>
              </w:rPr>
              <w:t xml:space="preserve"> perfusión dinámica, el transporte de </w:t>
            </w:r>
            <w:r>
              <w:rPr>
                <w:rFonts w:ascii="Arial" w:eastAsia="Arial" w:hAnsi="Arial" w:cs="Arial"/>
                <w:highlight w:val="white"/>
              </w:rPr>
              <w:t xml:space="preserve">órganos </w:t>
            </w:r>
            <w:sdt>
              <w:sdtPr>
                <w:tag w:val="goog_rdk_5"/>
                <w:id w:val="231132720"/>
              </w:sdtPr>
              <w:sdtEndPr/>
              <w:sdtContent>
                <w:commentRangeStart w:id="8"/>
              </w:sdtContent>
            </w:sdt>
            <w:r>
              <w:rPr>
                <w:rFonts w:ascii="Arial" w:eastAsia="Arial" w:hAnsi="Arial" w:cs="Arial"/>
                <w:b/>
                <w:bCs/>
                <w:highlight w:val="white"/>
                <w:u w:val="single"/>
              </w:rPr>
              <w:t>(incluido el uso de vehículos de emergencia para disminuir tiempos de isquemia de órganos, en especial en urgencia 0)</w:t>
            </w:r>
            <w:commentRangeEnd w:id="8"/>
            <w:r>
              <w:commentReference w:id="8"/>
            </w:r>
            <w:r>
              <w:rPr>
                <w:rFonts w:ascii="Arial" w:eastAsia="Arial" w:hAnsi="Arial" w:cs="Arial"/>
                <w:b/>
                <w:bCs/>
                <w:highlight w:val="white"/>
                <w:u w:val="single"/>
              </w:rPr>
              <w:t>,</w:t>
            </w:r>
            <w:r>
              <w:rPr>
                <w:rFonts w:ascii="Arial" w:eastAsia="Arial" w:hAnsi="Arial" w:cs="Arial"/>
                <w:highlight w:val="white"/>
              </w:rPr>
              <w:t xml:space="preserve"> </w:t>
            </w:r>
            <w:r>
              <w:rPr>
                <w:rFonts w:ascii="Arial" w:eastAsia="Arial" w:hAnsi="Arial" w:cs="Arial"/>
                <w:strike/>
                <w:highlight w:val="white"/>
              </w:rPr>
              <w:t xml:space="preserve">y </w:t>
            </w:r>
            <w:r>
              <w:rPr>
                <w:rFonts w:ascii="Arial" w:eastAsia="Arial" w:hAnsi="Arial" w:cs="Arial"/>
                <w:highlight w:val="white"/>
              </w:rPr>
              <w:t>tejidos</w:t>
            </w:r>
            <w:r>
              <w:rPr>
                <w:rFonts w:ascii="Arial" w:eastAsia="Arial" w:hAnsi="Arial" w:cs="Arial"/>
                <w:b/>
                <w:bCs/>
                <w:highlight w:val="white"/>
                <w:u w:val="single"/>
              </w:rPr>
              <w:t>, células</w:t>
            </w:r>
            <w:r>
              <w:rPr>
                <w:rFonts w:ascii="Arial" w:eastAsia="Arial" w:hAnsi="Arial" w:cs="Arial"/>
                <w:highlight w:val="white"/>
              </w:rPr>
              <w:t xml:space="preserve"> </w:t>
            </w:r>
            <w:r>
              <w:rPr>
                <w:rFonts w:ascii="Arial" w:eastAsia="Arial" w:hAnsi="Arial" w:cs="Arial"/>
                <w:b/>
                <w:bCs/>
                <w:highlight w:val="white"/>
                <w:u w:val="single"/>
              </w:rPr>
              <w:t>y derivados</w:t>
            </w:r>
            <w:r>
              <w:rPr>
                <w:rFonts w:ascii="Arial" w:eastAsia="Arial" w:hAnsi="Arial" w:cs="Arial"/>
                <w:highlight w:val="white"/>
              </w:rPr>
              <w:t xml:space="preserve"> </w:t>
            </w:r>
            <w:r>
              <w:rPr>
                <w:rFonts w:ascii="Arial" w:eastAsia="Arial" w:hAnsi="Arial" w:cs="Arial"/>
                <w:color w:val="000000"/>
                <w:highlight w:val="white"/>
              </w:rPr>
              <w:t xml:space="preserve">, </w:t>
            </w:r>
            <w:r>
              <w:rPr>
                <w:rFonts w:ascii="Arial" w:eastAsia="Arial" w:hAnsi="Arial" w:cs="Arial"/>
                <w:b/>
                <w:bCs/>
                <w:color w:val="000000"/>
                <w:highlight w:val="white"/>
                <w:u w:val="single"/>
              </w:rPr>
              <w:t>la</w:t>
            </w:r>
            <w:r>
              <w:rPr>
                <w:rFonts w:ascii="Arial" w:eastAsia="Arial" w:hAnsi="Arial" w:cs="Arial"/>
                <w:color w:val="000000"/>
                <w:highlight w:val="white"/>
              </w:rPr>
              <w:t xml:space="preserve"> logística, </w:t>
            </w:r>
            <w:r>
              <w:rPr>
                <w:rFonts w:ascii="Arial" w:eastAsia="Arial" w:hAnsi="Arial" w:cs="Arial"/>
                <w:b/>
                <w:bCs/>
                <w:color w:val="000000"/>
                <w:highlight w:val="white"/>
                <w:u w:val="single"/>
              </w:rPr>
              <w:t xml:space="preserve">la </w:t>
            </w:r>
            <w:r>
              <w:rPr>
                <w:rFonts w:ascii="Arial" w:eastAsia="Arial" w:hAnsi="Arial" w:cs="Arial"/>
                <w:color w:val="000000"/>
                <w:highlight w:val="white"/>
              </w:rPr>
              <w:t>educación</w:t>
            </w:r>
            <w:r>
              <w:rPr>
                <w:rFonts w:ascii="Arial" w:eastAsia="Arial" w:hAnsi="Arial" w:cs="Arial"/>
                <w:highlight w:val="white"/>
              </w:rPr>
              <w:t xml:space="preserve"> y </w:t>
            </w:r>
            <w:r>
              <w:rPr>
                <w:rFonts w:ascii="Arial" w:eastAsia="Arial" w:hAnsi="Arial" w:cs="Arial"/>
                <w:b/>
                <w:bCs/>
                <w:highlight w:val="white"/>
                <w:u w:val="single"/>
              </w:rPr>
              <w:t>la</w:t>
            </w:r>
            <w:r>
              <w:rPr>
                <w:rFonts w:ascii="Arial" w:eastAsia="Arial" w:hAnsi="Arial" w:cs="Arial"/>
                <w:b/>
                <w:bCs/>
                <w:color w:val="000000"/>
                <w:highlight w:val="white"/>
                <w:u w:val="single"/>
              </w:rPr>
              <w:t xml:space="preserve"> </w:t>
            </w:r>
            <w:r>
              <w:rPr>
                <w:rFonts w:ascii="Arial" w:eastAsia="Arial" w:hAnsi="Arial" w:cs="Arial"/>
                <w:color w:val="000000"/>
                <w:highlight w:val="white"/>
              </w:rPr>
              <w:t>promoción de la donación.</w:t>
            </w:r>
          </w:p>
          <w:p w14:paraId="00000607" w14:textId="77777777" w:rsidR="001C40B0" w:rsidRDefault="001C40B0">
            <w:pPr>
              <w:widowControl/>
              <w:pBdr>
                <w:top w:val="nil"/>
                <w:left w:val="nil"/>
                <w:bottom w:val="nil"/>
                <w:right w:val="nil"/>
                <w:between w:val="nil"/>
              </w:pBdr>
              <w:jc w:val="both"/>
              <w:rPr>
                <w:rFonts w:ascii="Arial" w:eastAsia="Arial" w:hAnsi="Arial" w:cs="Arial"/>
                <w:color w:val="000000"/>
                <w:highlight w:val="white"/>
              </w:rPr>
            </w:pPr>
          </w:p>
          <w:p w14:paraId="00000608" w14:textId="77777777" w:rsidR="001C40B0" w:rsidRDefault="00291712">
            <w:pPr>
              <w:widowControl/>
              <w:pBdr>
                <w:top w:val="nil"/>
                <w:left w:val="nil"/>
                <w:bottom w:val="nil"/>
                <w:right w:val="nil"/>
                <w:between w:val="nil"/>
              </w:pBdr>
              <w:jc w:val="both"/>
              <w:rPr>
                <w:rFonts w:ascii="Arial" w:eastAsia="Arial" w:hAnsi="Arial" w:cs="Arial"/>
                <w:color w:val="000000"/>
                <w:highlight w:val="white"/>
              </w:rPr>
            </w:pPr>
            <w:r>
              <w:rPr>
                <w:rFonts w:ascii="Arial" w:eastAsia="Arial" w:hAnsi="Arial" w:cs="Arial"/>
                <w:b/>
                <w:bCs/>
                <w:color w:val="000000"/>
                <w:highlight w:val="white"/>
              </w:rPr>
              <w:t xml:space="preserve">PARÁGRAFO 2. </w:t>
            </w:r>
            <w:r>
              <w:rPr>
                <w:rFonts w:ascii="Arial" w:eastAsia="Arial" w:hAnsi="Arial" w:cs="Arial"/>
                <w:highlight w:val="white"/>
              </w:rPr>
              <w:t>L</w:t>
            </w:r>
            <w:r>
              <w:rPr>
                <w:rFonts w:ascii="Arial" w:eastAsia="Arial" w:hAnsi="Arial" w:cs="Arial"/>
                <w:color w:val="000000"/>
                <w:highlight w:val="white"/>
              </w:rPr>
              <w:t>os coordinadores de trasplantes deber</w:t>
            </w:r>
            <w:r>
              <w:rPr>
                <w:rFonts w:ascii="Arial" w:eastAsia="Arial" w:hAnsi="Arial" w:cs="Arial"/>
                <w:highlight w:val="white"/>
              </w:rPr>
              <w:t>á</w:t>
            </w:r>
            <w:r>
              <w:rPr>
                <w:rFonts w:ascii="Arial" w:eastAsia="Arial" w:hAnsi="Arial" w:cs="Arial"/>
                <w:color w:val="000000"/>
                <w:highlight w:val="white"/>
              </w:rPr>
              <w:t xml:space="preserve">n estar inscritos ante la </w:t>
            </w:r>
            <w:r>
              <w:rPr>
                <w:rFonts w:ascii="Arial" w:eastAsia="Arial" w:hAnsi="Arial" w:cs="Arial"/>
                <w:highlight w:val="white"/>
              </w:rPr>
              <w:t>R</w:t>
            </w:r>
            <w:r>
              <w:rPr>
                <w:rFonts w:ascii="Arial" w:eastAsia="Arial" w:hAnsi="Arial" w:cs="Arial"/>
                <w:color w:val="000000"/>
                <w:highlight w:val="white"/>
              </w:rPr>
              <w:t xml:space="preserve">ed de </w:t>
            </w:r>
            <w:r>
              <w:rPr>
                <w:rFonts w:ascii="Arial" w:eastAsia="Arial" w:hAnsi="Arial" w:cs="Arial"/>
                <w:highlight w:val="white"/>
              </w:rPr>
              <w:t>D</w:t>
            </w:r>
            <w:r>
              <w:rPr>
                <w:rFonts w:ascii="Arial" w:eastAsia="Arial" w:hAnsi="Arial" w:cs="Arial"/>
                <w:color w:val="000000"/>
                <w:highlight w:val="white"/>
              </w:rPr>
              <w:t xml:space="preserve">onación y </w:t>
            </w:r>
            <w:r>
              <w:rPr>
                <w:rFonts w:ascii="Arial" w:eastAsia="Arial" w:hAnsi="Arial" w:cs="Arial"/>
                <w:highlight w:val="white"/>
              </w:rPr>
              <w:t>T</w:t>
            </w:r>
            <w:r>
              <w:rPr>
                <w:rFonts w:ascii="Arial" w:eastAsia="Arial" w:hAnsi="Arial" w:cs="Arial"/>
                <w:color w:val="000000"/>
                <w:highlight w:val="white"/>
              </w:rPr>
              <w:t xml:space="preserve">rasplantes por </w:t>
            </w:r>
            <w:r>
              <w:rPr>
                <w:rFonts w:ascii="Arial" w:eastAsia="Arial" w:hAnsi="Arial" w:cs="Arial"/>
                <w:strike/>
                <w:color w:val="000000"/>
                <w:highlight w:val="white"/>
              </w:rPr>
              <w:t>medio</w:t>
            </w:r>
            <w:r>
              <w:rPr>
                <w:rFonts w:ascii="Arial" w:eastAsia="Arial" w:hAnsi="Arial" w:cs="Arial"/>
                <w:color w:val="000000"/>
                <w:highlight w:val="white"/>
              </w:rPr>
              <w:t xml:space="preserve"> </w:t>
            </w:r>
            <w:r>
              <w:rPr>
                <w:rFonts w:ascii="Arial" w:eastAsia="Arial" w:hAnsi="Arial" w:cs="Arial"/>
                <w:b/>
                <w:bCs/>
                <w:color w:val="000000"/>
                <w:highlight w:val="white"/>
                <w:u w:val="single"/>
              </w:rPr>
              <w:t>intermedio</w:t>
            </w:r>
            <w:r>
              <w:rPr>
                <w:rFonts w:ascii="Arial" w:eastAsia="Arial" w:hAnsi="Arial" w:cs="Arial"/>
                <w:color w:val="000000"/>
                <w:highlight w:val="white"/>
              </w:rPr>
              <w:t xml:space="preserve"> de las </w:t>
            </w:r>
            <w:r>
              <w:rPr>
                <w:rFonts w:ascii="Arial" w:eastAsia="Arial" w:hAnsi="Arial" w:cs="Arial"/>
                <w:b/>
                <w:bCs/>
                <w:highlight w:val="white"/>
                <w:u w:val="single"/>
              </w:rPr>
              <w:t>Instituciones Prestadoras de Salud (</w:t>
            </w:r>
            <w:r>
              <w:rPr>
                <w:rFonts w:ascii="Arial" w:eastAsia="Arial" w:hAnsi="Arial" w:cs="Arial"/>
                <w:color w:val="000000"/>
                <w:highlight w:val="white"/>
              </w:rPr>
              <w:t>IPS) generadoras o trasplantadoras que estén previamente habilitadas e inscritas ante la red.</w:t>
            </w:r>
          </w:p>
          <w:p w14:paraId="00000609" w14:textId="77777777" w:rsidR="001C40B0" w:rsidRDefault="001C40B0">
            <w:pPr>
              <w:widowControl/>
              <w:pBdr>
                <w:top w:val="nil"/>
                <w:left w:val="nil"/>
                <w:bottom w:val="nil"/>
                <w:right w:val="nil"/>
                <w:between w:val="nil"/>
              </w:pBdr>
              <w:jc w:val="both"/>
              <w:rPr>
                <w:rFonts w:ascii="Arial" w:eastAsia="Arial" w:hAnsi="Arial" w:cs="Arial"/>
                <w:color w:val="000000"/>
                <w:highlight w:val="white"/>
              </w:rPr>
            </w:pPr>
          </w:p>
          <w:p w14:paraId="0000060A" w14:textId="77777777" w:rsidR="001C40B0" w:rsidRDefault="00291712">
            <w:pPr>
              <w:widowControl/>
              <w:pBdr>
                <w:top w:val="nil"/>
                <w:left w:val="nil"/>
                <w:bottom w:val="nil"/>
                <w:right w:val="nil"/>
                <w:between w:val="nil"/>
              </w:pBdr>
              <w:jc w:val="both"/>
              <w:rPr>
                <w:rFonts w:ascii="Arial" w:eastAsia="Arial" w:hAnsi="Arial" w:cs="Arial"/>
                <w:color w:val="000000"/>
                <w:highlight w:val="white"/>
              </w:rPr>
            </w:pPr>
            <w:r>
              <w:rPr>
                <w:rFonts w:ascii="Arial" w:eastAsia="Arial" w:hAnsi="Arial" w:cs="Arial"/>
                <w:b/>
                <w:bCs/>
                <w:color w:val="000000"/>
                <w:highlight w:val="white"/>
              </w:rPr>
              <w:t xml:space="preserve">PARÁGRAFO 3. </w:t>
            </w:r>
            <w:r>
              <w:rPr>
                <w:rFonts w:ascii="Arial" w:eastAsia="Arial" w:hAnsi="Arial" w:cs="Arial"/>
                <w:color w:val="000000"/>
                <w:highlight w:val="white"/>
              </w:rPr>
              <w:t>El Gobierno Nacional a través del Ministerio de Hacienda y Crédito Público emitirá concepto de aval fiscal previ</w:t>
            </w:r>
            <w:r>
              <w:rPr>
                <w:rFonts w:ascii="Arial" w:eastAsia="Arial" w:hAnsi="Arial" w:cs="Arial"/>
                <w:highlight w:val="white"/>
              </w:rPr>
              <w:t>o</w:t>
            </w:r>
            <w:r>
              <w:rPr>
                <w:rFonts w:ascii="Arial" w:eastAsia="Arial" w:hAnsi="Arial" w:cs="Arial"/>
                <w:color w:val="000000"/>
                <w:highlight w:val="white"/>
              </w:rPr>
              <w:t xml:space="preserve"> a la </w:t>
            </w:r>
            <w:r>
              <w:rPr>
                <w:rFonts w:ascii="Arial" w:eastAsia="Arial" w:hAnsi="Arial" w:cs="Arial"/>
                <w:b/>
                <w:bCs/>
                <w:color w:val="000000"/>
                <w:highlight w:val="white"/>
                <w:u w:val="single"/>
              </w:rPr>
              <w:t>implementaci</w:t>
            </w:r>
            <w:r>
              <w:rPr>
                <w:rFonts w:ascii="Arial" w:eastAsia="Arial" w:hAnsi="Arial" w:cs="Arial"/>
                <w:b/>
                <w:bCs/>
                <w:highlight w:val="white"/>
                <w:u w:val="single"/>
              </w:rPr>
              <w:t>ón del modelo de</w:t>
            </w:r>
            <w:r>
              <w:rPr>
                <w:rFonts w:ascii="Arial" w:eastAsia="Arial" w:hAnsi="Arial" w:cs="Arial"/>
                <w:highlight w:val="white"/>
              </w:rPr>
              <w:t xml:space="preserve"> </w:t>
            </w:r>
            <w:r>
              <w:rPr>
                <w:rFonts w:ascii="Arial" w:eastAsia="Arial" w:hAnsi="Arial" w:cs="Arial"/>
                <w:color w:val="000000"/>
                <w:highlight w:val="white"/>
              </w:rPr>
              <w:t>gestión operativa de la donación con el fin de que se garantice la sostenibilidad financiera del presente proyecto.</w:t>
            </w:r>
          </w:p>
          <w:p w14:paraId="0000060B" w14:textId="77777777" w:rsidR="001C40B0" w:rsidRDefault="001C40B0">
            <w:pPr>
              <w:widowControl/>
              <w:pBdr>
                <w:top w:val="nil"/>
                <w:left w:val="nil"/>
                <w:bottom w:val="nil"/>
                <w:right w:val="nil"/>
                <w:between w:val="nil"/>
              </w:pBdr>
              <w:jc w:val="both"/>
              <w:rPr>
                <w:rFonts w:ascii="Arial" w:eastAsia="Arial" w:hAnsi="Arial" w:cs="Arial"/>
                <w:color w:val="000000"/>
                <w:highlight w:val="white"/>
              </w:rPr>
            </w:pPr>
          </w:p>
          <w:p w14:paraId="0000060C" w14:textId="77777777" w:rsidR="001C40B0" w:rsidRDefault="00291712">
            <w:pPr>
              <w:widowControl/>
              <w:pBdr>
                <w:top w:val="nil"/>
                <w:left w:val="nil"/>
                <w:bottom w:val="nil"/>
                <w:right w:val="nil"/>
                <w:between w:val="nil"/>
              </w:pBdr>
              <w:jc w:val="both"/>
              <w:rPr>
                <w:rFonts w:ascii="Arial" w:eastAsia="Arial" w:hAnsi="Arial" w:cs="Arial"/>
                <w:b/>
                <w:bCs/>
                <w:highlight w:val="white"/>
              </w:rPr>
            </w:pPr>
            <w:r>
              <w:rPr>
                <w:rFonts w:ascii="Arial" w:eastAsia="Arial" w:hAnsi="Arial" w:cs="Arial"/>
                <w:b/>
                <w:bCs/>
                <w:color w:val="000000"/>
                <w:highlight w:val="white"/>
              </w:rPr>
              <w:t xml:space="preserve">PARÁGRAFO 4. </w:t>
            </w:r>
            <w:r>
              <w:rPr>
                <w:rFonts w:ascii="Arial" w:eastAsia="Arial" w:hAnsi="Arial" w:cs="Arial"/>
                <w:color w:val="000000"/>
                <w:highlight w:val="white"/>
              </w:rPr>
              <w:t xml:space="preserve">El coordinador será un requisito </w:t>
            </w:r>
            <w:r>
              <w:rPr>
                <w:rFonts w:ascii="Arial" w:eastAsia="Arial" w:hAnsi="Arial" w:cs="Arial"/>
                <w:color w:val="000000"/>
                <w:highlight w:val="white"/>
              </w:rPr>
              <w:lastRenderedPageBreak/>
              <w:t>de habilitación de las</w:t>
            </w:r>
            <w:r>
              <w:rPr>
                <w:rFonts w:ascii="Arial" w:eastAsia="Arial" w:hAnsi="Arial" w:cs="Arial"/>
                <w:highlight w:val="white"/>
              </w:rPr>
              <w:t xml:space="preserve"> </w:t>
            </w:r>
            <w:r>
              <w:rPr>
                <w:rFonts w:ascii="Arial" w:eastAsia="Arial" w:hAnsi="Arial" w:cs="Arial"/>
                <w:b/>
                <w:bCs/>
                <w:highlight w:val="white"/>
                <w:u w:val="single"/>
              </w:rPr>
              <w:t xml:space="preserve"> Instituciones Prestadoras de Salud (</w:t>
            </w:r>
            <w:r>
              <w:rPr>
                <w:rFonts w:ascii="Arial" w:eastAsia="Arial" w:hAnsi="Arial" w:cs="Arial"/>
                <w:color w:val="000000"/>
                <w:highlight w:val="white"/>
              </w:rPr>
              <w:t xml:space="preserve">IPS) en los niveles señalados en la presente ley. </w:t>
            </w:r>
            <w:r>
              <w:rPr>
                <w:rFonts w:ascii="Arial" w:eastAsia="Arial" w:hAnsi="Arial" w:cs="Arial"/>
                <w:highlight w:val="white"/>
              </w:rPr>
              <w:t>E</w:t>
            </w:r>
            <w:r>
              <w:rPr>
                <w:rFonts w:ascii="Arial" w:eastAsia="Arial" w:hAnsi="Arial" w:cs="Arial"/>
                <w:color w:val="000000"/>
                <w:highlight w:val="white"/>
              </w:rPr>
              <w:t xml:space="preserve">l gobierno nacional, a través de las entidades responsables, reglamentará en un término no mayor de </w:t>
            </w:r>
            <w:r>
              <w:rPr>
                <w:rFonts w:ascii="Arial" w:eastAsia="Arial" w:hAnsi="Arial" w:cs="Arial"/>
                <w:highlight w:val="white"/>
              </w:rPr>
              <w:t>seis</w:t>
            </w:r>
            <w:r>
              <w:rPr>
                <w:rFonts w:ascii="Arial" w:eastAsia="Arial" w:hAnsi="Arial" w:cs="Arial"/>
                <w:color w:val="000000"/>
                <w:highlight w:val="white"/>
              </w:rPr>
              <w:t xml:space="preserve"> meses las competencias, los perfiles, los manuales de funciones y los requisitos de acreditación de los coordinadores.</w:t>
            </w:r>
          </w:p>
          <w:p w14:paraId="0000060D" w14:textId="77777777" w:rsidR="001C40B0" w:rsidRDefault="001C40B0">
            <w:pPr>
              <w:widowControl/>
              <w:pBdr>
                <w:top w:val="nil"/>
                <w:left w:val="nil"/>
                <w:bottom w:val="nil"/>
                <w:right w:val="nil"/>
                <w:between w:val="nil"/>
              </w:pBdr>
              <w:jc w:val="both"/>
              <w:rPr>
                <w:rFonts w:ascii="Arial" w:eastAsia="Arial" w:hAnsi="Arial" w:cs="Arial"/>
                <w:b/>
                <w:bCs/>
                <w:color w:val="000000"/>
                <w:highlight w:val="white"/>
              </w:rPr>
            </w:pPr>
          </w:p>
          <w:p w14:paraId="0000060E" w14:textId="77777777" w:rsidR="001C40B0" w:rsidRDefault="00291712">
            <w:pPr>
              <w:widowControl/>
              <w:pBdr>
                <w:top w:val="nil"/>
                <w:left w:val="nil"/>
                <w:bottom w:val="nil"/>
                <w:right w:val="nil"/>
                <w:between w:val="nil"/>
              </w:pBdr>
              <w:jc w:val="both"/>
              <w:rPr>
                <w:rFonts w:ascii="Arial" w:eastAsia="Arial" w:hAnsi="Arial" w:cs="Arial"/>
                <w:b/>
                <w:bCs/>
                <w:color w:val="000000"/>
                <w:highlight w:val="white"/>
                <w:u w:val="single"/>
              </w:rPr>
            </w:pPr>
            <w:r>
              <w:rPr>
                <w:rFonts w:ascii="Arial" w:eastAsia="Arial" w:hAnsi="Arial" w:cs="Arial"/>
                <w:b/>
                <w:bCs/>
                <w:color w:val="000000"/>
                <w:highlight w:val="white"/>
              </w:rPr>
              <w:t>PARÁGRAFO TRANSITORIO.</w:t>
            </w:r>
            <w:r>
              <w:rPr>
                <w:rFonts w:ascii="Arial" w:eastAsia="Arial" w:hAnsi="Arial" w:cs="Arial"/>
                <w:color w:val="000000"/>
                <w:highlight w:val="white"/>
              </w:rPr>
              <w:t xml:space="preserve"> </w:t>
            </w:r>
            <w:r>
              <w:rPr>
                <w:rFonts w:ascii="Arial" w:eastAsia="Arial" w:hAnsi="Arial" w:cs="Arial"/>
                <w:b/>
                <w:bCs/>
                <w:color w:val="000000"/>
                <w:highlight w:val="white"/>
                <w:u w:val="single"/>
              </w:rPr>
              <w:t xml:space="preserve">Las Instituciones </w:t>
            </w:r>
            <w:r>
              <w:rPr>
                <w:rFonts w:ascii="Arial" w:eastAsia="Arial" w:hAnsi="Arial" w:cs="Arial"/>
                <w:b/>
                <w:bCs/>
                <w:highlight w:val="white"/>
                <w:u w:val="single"/>
              </w:rPr>
              <w:t>Prestadoras de Salud</w:t>
            </w:r>
            <w:r>
              <w:rPr>
                <w:rFonts w:ascii="Arial" w:eastAsia="Arial" w:hAnsi="Arial" w:cs="Arial"/>
                <w:highlight w:val="white"/>
              </w:rPr>
              <w:t xml:space="preserve"> (</w:t>
            </w:r>
            <w:r>
              <w:rPr>
                <w:rFonts w:ascii="Arial" w:eastAsia="Arial" w:hAnsi="Arial" w:cs="Arial"/>
                <w:color w:val="000000"/>
                <w:highlight w:val="white"/>
              </w:rPr>
              <w:t xml:space="preserve">IPS) de segundo nivel </w:t>
            </w:r>
            <w:r>
              <w:rPr>
                <w:rFonts w:ascii="Arial" w:eastAsia="Arial" w:hAnsi="Arial" w:cs="Arial"/>
                <w:b/>
                <w:bCs/>
                <w:color w:val="000000"/>
                <w:highlight w:val="white"/>
                <w:u w:val="single"/>
              </w:rPr>
              <w:t>que cuen</w:t>
            </w:r>
            <w:r>
              <w:rPr>
                <w:rFonts w:ascii="Arial" w:eastAsia="Arial" w:hAnsi="Arial" w:cs="Arial"/>
                <w:b/>
                <w:bCs/>
                <w:highlight w:val="white"/>
                <w:u w:val="single"/>
              </w:rPr>
              <w:t>ten</w:t>
            </w:r>
            <w:r>
              <w:rPr>
                <w:rFonts w:ascii="Arial" w:eastAsia="Arial" w:hAnsi="Arial" w:cs="Arial"/>
                <w:highlight w:val="white"/>
              </w:rPr>
              <w:t xml:space="preserve"> </w:t>
            </w:r>
            <w:r>
              <w:rPr>
                <w:rFonts w:ascii="Arial" w:eastAsia="Arial" w:hAnsi="Arial" w:cs="Arial"/>
                <w:color w:val="000000"/>
                <w:highlight w:val="white"/>
              </w:rPr>
              <w:t xml:space="preserve">con UCI, </w:t>
            </w:r>
            <w:r>
              <w:rPr>
                <w:rFonts w:ascii="Arial" w:eastAsia="Arial" w:hAnsi="Arial" w:cs="Arial"/>
                <w:b/>
                <w:bCs/>
                <w:color w:val="000000"/>
                <w:highlight w:val="white"/>
                <w:u w:val="single"/>
              </w:rPr>
              <w:t>as</w:t>
            </w:r>
            <w:r>
              <w:rPr>
                <w:rFonts w:ascii="Arial" w:eastAsia="Arial" w:hAnsi="Arial" w:cs="Arial"/>
                <w:b/>
                <w:bCs/>
                <w:highlight w:val="white"/>
                <w:u w:val="single"/>
              </w:rPr>
              <w:t>í como</w:t>
            </w:r>
            <w:r>
              <w:rPr>
                <w:rFonts w:ascii="Arial" w:eastAsia="Arial" w:hAnsi="Arial" w:cs="Arial"/>
                <w:b/>
                <w:bCs/>
                <w:color w:val="000000"/>
                <w:highlight w:val="white"/>
                <w:u w:val="single"/>
              </w:rPr>
              <w:t xml:space="preserve"> las</w:t>
            </w:r>
            <w:r>
              <w:rPr>
                <w:rFonts w:ascii="Arial" w:eastAsia="Arial" w:hAnsi="Arial" w:cs="Arial"/>
                <w:b/>
                <w:bCs/>
                <w:highlight w:val="white"/>
                <w:u w:val="single"/>
              </w:rPr>
              <w:t xml:space="preserve"> Instituciones Prestadoras de Salud (IPS)</w:t>
            </w:r>
            <w:r>
              <w:rPr>
                <w:rFonts w:ascii="Arial" w:eastAsia="Arial" w:hAnsi="Arial" w:cs="Arial"/>
                <w:b/>
                <w:bCs/>
                <w:color w:val="000000"/>
                <w:highlight w:val="white"/>
                <w:u w:val="single"/>
              </w:rPr>
              <w:t xml:space="preserve"> </w:t>
            </w:r>
            <w:r>
              <w:rPr>
                <w:rFonts w:ascii="Arial" w:eastAsia="Arial" w:hAnsi="Arial" w:cs="Arial"/>
                <w:color w:val="000000"/>
                <w:highlight w:val="white"/>
              </w:rPr>
              <w:t xml:space="preserve">de tercer y cuarto nivel, </w:t>
            </w:r>
            <w:r>
              <w:rPr>
                <w:rFonts w:ascii="Arial" w:eastAsia="Arial" w:hAnsi="Arial" w:cs="Arial"/>
                <w:strike/>
                <w:highlight w:val="white"/>
              </w:rPr>
              <w:t>contarán</w:t>
            </w:r>
            <w:r>
              <w:rPr>
                <w:rFonts w:ascii="Arial" w:eastAsia="Arial" w:hAnsi="Arial" w:cs="Arial"/>
                <w:color w:val="000000"/>
                <w:highlight w:val="white"/>
              </w:rPr>
              <w:t xml:space="preserve"> </w:t>
            </w:r>
            <w:r>
              <w:rPr>
                <w:rFonts w:ascii="Arial" w:eastAsia="Arial" w:hAnsi="Arial" w:cs="Arial"/>
                <w:b/>
                <w:bCs/>
                <w:color w:val="000000"/>
                <w:highlight w:val="white"/>
                <w:u w:val="single"/>
              </w:rPr>
              <w:t>tendr</w:t>
            </w:r>
            <w:r>
              <w:rPr>
                <w:rFonts w:ascii="Arial" w:eastAsia="Arial" w:hAnsi="Arial" w:cs="Arial"/>
                <w:b/>
                <w:bCs/>
                <w:highlight w:val="white"/>
                <w:u w:val="single"/>
              </w:rPr>
              <w:t>án</w:t>
            </w:r>
            <w:r>
              <w:rPr>
                <w:rFonts w:ascii="Arial" w:eastAsia="Arial" w:hAnsi="Arial" w:cs="Arial"/>
                <w:color w:val="000000"/>
                <w:highlight w:val="white"/>
              </w:rPr>
              <w:t xml:space="preserve"> un plazo máximo de doce meses contados a partir de la entrada en vigencia de la presente ley para contratar, capacitar y acreditar a sus coordinadores operativos de donación, sin que durante dicho periodo se afecte su habilitación </w:t>
            </w:r>
            <w:r>
              <w:rPr>
                <w:rFonts w:ascii="Arial" w:eastAsia="Arial" w:hAnsi="Arial" w:cs="Arial"/>
                <w:b/>
                <w:bCs/>
                <w:color w:val="000000"/>
                <w:highlight w:val="white"/>
                <w:u w:val="single"/>
              </w:rPr>
              <w:t>por esta caus</w:t>
            </w:r>
            <w:r>
              <w:rPr>
                <w:rFonts w:ascii="Arial" w:eastAsia="Arial" w:hAnsi="Arial" w:cs="Arial"/>
                <w:b/>
                <w:bCs/>
                <w:highlight w:val="white"/>
                <w:u w:val="single"/>
              </w:rPr>
              <w:t>a</w:t>
            </w:r>
            <w:r>
              <w:rPr>
                <w:rFonts w:ascii="Arial" w:eastAsia="Arial" w:hAnsi="Arial" w:cs="Arial"/>
                <w:b/>
                <w:bCs/>
                <w:color w:val="000000"/>
                <w:highlight w:val="white"/>
                <w:u w:val="single"/>
              </w:rPr>
              <w:t>.</w:t>
            </w:r>
          </w:p>
        </w:tc>
        <w:tc>
          <w:tcPr>
            <w:tcW w:w="2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0F" w14:textId="77777777" w:rsidR="001C40B0" w:rsidRDefault="00291712">
            <w:pPr>
              <w:pBdr>
                <w:top w:val="nil"/>
                <w:left w:val="nil"/>
                <w:bottom w:val="nil"/>
                <w:right w:val="nil"/>
                <w:between w:val="nil"/>
              </w:pBdr>
              <w:jc w:val="both"/>
              <w:rPr>
                <w:rFonts w:ascii="Arial" w:eastAsia="Arial" w:hAnsi="Arial" w:cs="Arial"/>
                <w:color w:val="000000"/>
              </w:rPr>
            </w:pPr>
            <w:r>
              <w:rPr>
                <w:rFonts w:ascii="Arial" w:eastAsia="Arial" w:hAnsi="Arial" w:cs="Arial"/>
              </w:rPr>
              <w:lastRenderedPageBreak/>
              <w:t>Se ajusta la redacción.</w:t>
            </w:r>
          </w:p>
        </w:tc>
      </w:tr>
      <w:tr w:rsidR="001C40B0" w14:paraId="493F8FD1" w14:textId="77777777">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10" w14:textId="77777777" w:rsidR="001C40B0" w:rsidRDefault="00291712">
            <w:pPr>
              <w:widowControl/>
              <w:jc w:val="both"/>
              <w:rPr>
                <w:rFonts w:ascii="Arial" w:eastAsia="Arial" w:hAnsi="Arial" w:cs="Arial"/>
              </w:rPr>
            </w:pPr>
            <w:r>
              <w:rPr>
                <w:rFonts w:ascii="Arial" w:eastAsia="Arial" w:hAnsi="Arial" w:cs="Arial"/>
                <w:b/>
                <w:bCs/>
              </w:rPr>
              <w:lastRenderedPageBreak/>
              <w:t>ARTÍCULO 13. SOSTENIBILIDAD DEL SISTEMA.</w:t>
            </w:r>
            <w:r>
              <w:rPr>
                <w:rFonts w:ascii="Arial" w:eastAsia="Arial" w:hAnsi="Arial" w:cs="Arial"/>
              </w:rPr>
              <w:t xml:space="preserve"> El Ministerio de Salud y Protección Social determinará del valor de la UPC el porcentaje correspondiente al financiamiento de las acciones de donación en donante vivo, fallecido, en parada cardio respiratoria, así como las actividades de perfusión dinámica de órganos. Lo correspondiente al financiamiento de los procedimientos de trasplante y de donante vivo deberán ser </w:t>
            </w:r>
            <w:r>
              <w:rPr>
                <w:rFonts w:ascii="Arial" w:eastAsia="Arial" w:hAnsi="Arial" w:cs="Arial"/>
              </w:rPr>
              <w:lastRenderedPageBreak/>
              <w:t>reglamentados por el Ministerio de Salud en los planes de beneficios y su pago será realizado por los aseguradores de los receptores.</w:t>
            </w:r>
          </w:p>
          <w:p w14:paraId="00000611" w14:textId="77777777" w:rsidR="001C40B0" w:rsidRDefault="00291712">
            <w:pPr>
              <w:widowControl/>
              <w:jc w:val="both"/>
              <w:rPr>
                <w:rFonts w:ascii="Arial" w:eastAsia="Arial" w:hAnsi="Arial" w:cs="Arial"/>
              </w:rPr>
            </w:pPr>
            <w:r>
              <w:rPr>
                <w:rFonts w:ascii="Arial" w:eastAsia="Arial" w:hAnsi="Arial" w:cs="Arial"/>
              </w:rPr>
              <w:t xml:space="preserve"> </w:t>
            </w:r>
          </w:p>
          <w:p w14:paraId="00000612" w14:textId="77777777" w:rsidR="001C40B0" w:rsidRDefault="001C40B0">
            <w:pPr>
              <w:widowControl/>
              <w:jc w:val="both"/>
              <w:rPr>
                <w:rFonts w:ascii="Arial" w:eastAsia="Arial" w:hAnsi="Arial" w:cs="Arial"/>
              </w:rPr>
            </w:pPr>
          </w:p>
          <w:p w14:paraId="00000613" w14:textId="77777777" w:rsidR="001C40B0" w:rsidRDefault="001C40B0">
            <w:pPr>
              <w:widowControl/>
              <w:jc w:val="both"/>
              <w:rPr>
                <w:rFonts w:ascii="Arial" w:eastAsia="Arial" w:hAnsi="Arial" w:cs="Arial"/>
              </w:rPr>
            </w:pPr>
          </w:p>
          <w:p w14:paraId="00000614" w14:textId="77777777" w:rsidR="001C40B0" w:rsidRDefault="00291712">
            <w:pPr>
              <w:widowControl/>
              <w:jc w:val="both"/>
              <w:rPr>
                <w:rFonts w:ascii="Arial" w:eastAsia="Arial" w:hAnsi="Arial" w:cs="Arial"/>
              </w:rPr>
            </w:pPr>
            <w:r>
              <w:rPr>
                <w:rFonts w:ascii="Arial" w:eastAsia="Arial" w:hAnsi="Arial" w:cs="Arial"/>
              </w:rPr>
              <w:t>La tecnología necesaria para mantenimiento de donantes en muerte encefálica, fallecidos por parada circulatoria, y para la perfusión de órganos incluyendo ECMO o máquinas de perfusión in situ o ex situ (o nuevas tecnologías) serán asumidos por el pagador del sistema de salud.</w:t>
            </w:r>
          </w:p>
          <w:p w14:paraId="00000615" w14:textId="77777777" w:rsidR="001C40B0" w:rsidRDefault="00291712">
            <w:pPr>
              <w:widowControl/>
              <w:jc w:val="both"/>
              <w:rPr>
                <w:rFonts w:ascii="Arial" w:eastAsia="Arial" w:hAnsi="Arial" w:cs="Arial"/>
              </w:rPr>
            </w:pPr>
            <w:r>
              <w:rPr>
                <w:rFonts w:ascii="Arial" w:eastAsia="Arial" w:hAnsi="Arial" w:cs="Arial"/>
              </w:rPr>
              <w:t xml:space="preserve"> </w:t>
            </w:r>
          </w:p>
          <w:p w14:paraId="00000616" w14:textId="77777777" w:rsidR="001C40B0" w:rsidRDefault="001C40B0">
            <w:pPr>
              <w:widowControl/>
              <w:jc w:val="both"/>
              <w:rPr>
                <w:rFonts w:ascii="Arial" w:eastAsia="Arial" w:hAnsi="Arial" w:cs="Arial"/>
              </w:rPr>
            </w:pPr>
          </w:p>
          <w:p w14:paraId="00000617" w14:textId="77777777" w:rsidR="001C40B0" w:rsidRDefault="001C40B0">
            <w:pPr>
              <w:widowControl/>
              <w:jc w:val="both"/>
              <w:rPr>
                <w:rFonts w:ascii="Arial" w:eastAsia="Arial" w:hAnsi="Arial" w:cs="Arial"/>
              </w:rPr>
            </w:pPr>
          </w:p>
          <w:p w14:paraId="00000618" w14:textId="77777777" w:rsidR="001C40B0" w:rsidRDefault="00291712">
            <w:pPr>
              <w:widowControl/>
              <w:jc w:val="both"/>
              <w:rPr>
                <w:rFonts w:ascii="Arial" w:eastAsia="Arial" w:hAnsi="Arial" w:cs="Arial"/>
              </w:rPr>
            </w:pPr>
            <w:r>
              <w:rPr>
                <w:rFonts w:ascii="Arial" w:eastAsia="Arial" w:hAnsi="Arial" w:cs="Arial"/>
              </w:rPr>
              <w:t>En caso de implementación de nuevas tecnologías y procedimientos para donación y trasplantes, cuyo uso sea avalado por el Ministerio de salud y protección social los recursos estarán a cargo de la UPC, cuyos procedimientos específicos serán determinados por la dirección de beneficios costos y tarifas del Ministerio de Salud y Protección Social.</w:t>
            </w:r>
          </w:p>
          <w:p w14:paraId="00000619" w14:textId="77777777" w:rsidR="001C40B0" w:rsidRDefault="00291712">
            <w:pPr>
              <w:widowControl/>
              <w:jc w:val="both"/>
              <w:rPr>
                <w:rFonts w:ascii="Arial" w:eastAsia="Arial" w:hAnsi="Arial" w:cs="Arial"/>
              </w:rPr>
            </w:pPr>
            <w:r>
              <w:rPr>
                <w:rFonts w:ascii="Arial" w:eastAsia="Arial" w:hAnsi="Arial" w:cs="Arial"/>
              </w:rPr>
              <w:t xml:space="preserve"> </w:t>
            </w:r>
          </w:p>
          <w:p w14:paraId="0000061A" w14:textId="77777777" w:rsidR="001C40B0" w:rsidRDefault="001C40B0">
            <w:pPr>
              <w:widowControl/>
              <w:jc w:val="both"/>
              <w:rPr>
                <w:rFonts w:ascii="Arial" w:eastAsia="Arial" w:hAnsi="Arial" w:cs="Arial"/>
              </w:rPr>
            </w:pPr>
          </w:p>
          <w:p w14:paraId="0000061B" w14:textId="77777777" w:rsidR="001C40B0" w:rsidRDefault="001C40B0">
            <w:pPr>
              <w:widowControl/>
              <w:jc w:val="both"/>
              <w:rPr>
                <w:rFonts w:ascii="Arial" w:eastAsia="Arial" w:hAnsi="Arial" w:cs="Arial"/>
              </w:rPr>
            </w:pPr>
          </w:p>
          <w:p w14:paraId="0000061C" w14:textId="77777777" w:rsidR="001C40B0" w:rsidRDefault="00291712">
            <w:pPr>
              <w:widowControl/>
              <w:jc w:val="both"/>
              <w:rPr>
                <w:rFonts w:ascii="Arial" w:eastAsia="Arial" w:hAnsi="Arial" w:cs="Arial"/>
              </w:rPr>
            </w:pPr>
            <w:r>
              <w:rPr>
                <w:rFonts w:ascii="Arial" w:eastAsia="Arial" w:hAnsi="Arial" w:cs="Arial"/>
              </w:rPr>
              <w:t xml:space="preserve">Las EPS o entidades que hagan sus veces no podrán imponer barreras administrativas, glosas o trámites no clínicos que retrasen la autorización de procedimientos de donación, trasplante o postrasplante, so pena de sanción por parte de la </w:t>
            </w:r>
            <w:r>
              <w:rPr>
                <w:rFonts w:ascii="Arial" w:eastAsia="Arial" w:hAnsi="Arial" w:cs="Arial"/>
              </w:rPr>
              <w:lastRenderedPageBreak/>
              <w:t>Superintendencia Nacional de salud.</w:t>
            </w:r>
          </w:p>
        </w:tc>
        <w:tc>
          <w:tcPr>
            <w:tcW w:w="32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61D" w14:textId="77777777" w:rsidR="001C40B0" w:rsidRDefault="00291712">
            <w:pPr>
              <w:widowControl/>
              <w:jc w:val="both"/>
              <w:rPr>
                <w:rFonts w:ascii="Arial" w:eastAsia="Arial" w:hAnsi="Arial" w:cs="Arial"/>
              </w:rPr>
            </w:pPr>
            <w:r>
              <w:rPr>
                <w:rFonts w:ascii="Arial" w:eastAsia="Arial" w:hAnsi="Arial" w:cs="Arial"/>
                <w:b/>
                <w:bCs/>
              </w:rPr>
              <w:lastRenderedPageBreak/>
              <w:t>ARTÍCULO 13. SOSTENIBILIDAD DEL SISTEMA.</w:t>
            </w:r>
            <w:r>
              <w:rPr>
                <w:rFonts w:ascii="Arial" w:eastAsia="Arial" w:hAnsi="Arial" w:cs="Arial"/>
              </w:rPr>
              <w:t xml:space="preserve"> El Ministerio de Salud y Protección Social determinará </w:t>
            </w:r>
            <w:r>
              <w:rPr>
                <w:rFonts w:ascii="Arial" w:eastAsia="Arial" w:hAnsi="Arial" w:cs="Arial"/>
                <w:strike/>
              </w:rPr>
              <w:t>del valor</w:t>
            </w:r>
            <w:r>
              <w:rPr>
                <w:rFonts w:ascii="Arial" w:eastAsia="Arial" w:hAnsi="Arial" w:cs="Arial"/>
              </w:rPr>
              <w:t xml:space="preserve"> el porcentaje de la UPC </w:t>
            </w:r>
            <w:r>
              <w:rPr>
                <w:rFonts w:ascii="Arial" w:eastAsia="Arial" w:hAnsi="Arial" w:cs="Arial"/>
                <w:strike/>
              </w:rPr>
              <w:t xml:space="preserve">el porcentaje correspondiente </w:t>
            </w:r>
            <w:r>
              <w:rPr>
                <w:rFonts w:ascii="Arial" w:eastAsia="Arial" w:hAnsi="Arial" w:cs="Arial"/>
                <w:b/>
                <w:bCs/>
                <w:u w:val="single"/>
              </w:rPr>
              <w:t>destinado</w:t>
            </w:r>
            <w:r>
              <w:rPr>
                <w:rFonts w:ascii="Arial" w:eastAsia="Arial" w:hAnsi="Arial" w:cs="Arial"/>
                <w:b/>
                <w:bCs/>
              </w:rPr>
              <w:t xml:space="preserve"> </w:t>
            </w:r>
            <w:r>
              <w:rPr>
                <w:rFonts w:ascii="Arial" w:eastAsia="Arial" w:hAnsi="Arial" w:cs="Arial"/>
              </w:rPr>
              <w:t xml:space="preserve">al financiamiento de las acciones </w:t>
            </w:r>
            <w:r>
              <w:rPr>
                <w:rFonts w:ascii="Arial" w:eastAsia="Arial" w:hAnsi="Arial" w:cs="Arial"/>
                <w:b/>
                <w:bCs/>
                <w:u w:val="single"/>
              </w:rPr>
              <w:t>relacionadas con la</w:t>
            </w:r>
            <w:r>
              <w:rPr>
                <w:rFonts w:ascii="Arial" w:eastAsia="Arial" w:hAnsi="Arial" w:cs="Arial"/>
              </w:rPr>
              <w:t xml:space="preserve">  donación </w:t>
            </w:r>
            <w:r>
              <w:rPr>
                <w:rFonts w:ascii="Arial" w:eastAsia="Arial" w:hAnsi="Arial" w:cs="Arial"/>
                <w:strike/>
              </w:rPr>
              <w:t xml:space="preserve">en donante vivo, fallecido, en </w:t>
            </w:r>
            <w:r>
              <w:rPr>
                <w:rFonts w:ascii="Arial" w:eastAsia="Arial" w:hAnsi="Arial" w:cs="Arial"/>
                <w:b/>
                <w:bCs/>
                <w:u w:val="single"/>
              </w:rPr>
              <w:t>por</w:t>
            </w:r>
            <w:r>
              <w:rPr>
                <w:rFonts w:ascii="Arial" w:eastAsia="Arial" w:hAnsi="Arial" w:cs="Arial"/>
              </w:rPr>
              <w:t xml:space="preserve"> parada cardio respiratoria, así como las actividades de perfusión dinámica de órganos. </w:t>
            </w:r>
            <w:r>
              <w:rPr>
                <w:rFonts w:ascii="Arial" w:eastAsia="Arial" w:hAnsi="Arial" w:cs="Arial"/>
                <w:strike/>
              </w:rPr>
              <w:t>Lo correspondiente al</w:t>
            </w:r>
            <w:r>
              <w:rPr>
                <w:rFonts w:ascii="Arial" w:eastAsia="Arial" w:hAnsi="Arial" w:cs="Arial"/>
              </w:rPr>
              <w:t xml:space="preserve"> El financiamiento de los procedimientos de trasplante y </w:t>
            </w:r>
            <w:r>
              <w:rPr>
                <w:rFonts w:ascii="Arial" w:eastAsia="Arial" w:hAnsi="Arial" w:cs="Arial"/>
              </w:rPr>
              <w:lastRenderedPageBreak/>
              <w:t xml:space="preserve">de donante vivo deberán ser reglamentados por el Ministerio de Salud en los planes de beneficios </w:t>
            </w:r>
            <w:r>
              <w:rPr>
                <w:rFonts w:ascii="Arial" w:eastAsia="Arial" w:hAnsi="Arial" w:cs="Arial"/>
                <w:b/>
                <w:bCs/>
                <w:u w:val="single"/>
              </w:rPr>
              <w:t>en salud</w:t>
            </w:r>
            <w:r>
              <w:rPr>
                <w:rFonts w:ascii="Arial" w:eastAsia="Arial" w:hAnsi="Arial" w:cs="Arial"/>
              </w:rPr>
              <w:t xml:space="preserve"> y su pago </w:t>
            </w:r>
            <w:r>
              <w:rPr>
                <w:rFonts w:ascii="Arial" w:eastAsia="Arial" w:hAnsi="Arial" w:cs="Arial"/>
                <w:strike/>
              </w:rPr>
              <w:t>será realizado por</w:t>
            </w:r>
            <w:r>
              <w:rPr>
                <w:rFonts w:ascii="Arial" w:eastAsia="Arial" w:hAnsi="Arial" w:cs="Arial"/>
              </w:rPr>
              <w:t xml:space="preserve"> </w:t>
            </w:r>
            <w:r>
              <w:rPr>
                <w:rFonts w:ascii="Arial" w:eastAsia="Arial" w:hAnsi="Arial" w:cs="Arial"/>
                <w:b/>
                <w:bCs/>
                <w:u w:val="single"/>
              </w:rPr>
              <w:t>estará a cargo</w:t>
            </w:r>
            <w:r>
              <w:rPr>
                <w:rFonts w:ascii="Arial" w:eastAsia="Arial" w:hAnsi="Arial" w:cs="Arial"/>
              </w:rPr>
              <w:t xml:space="preserve"> de los aseguradores de los receptores.</w:t>
            </w:r>
          </w:p>
          <w:p w14:paraId="0000061E" w14:textId="77777777" w:rsidR="001C40B0" w:rsidRDefault="00291712">
            <w:pPr>
              <w:widowControl/>
              <w:jc w:val="both"/>
              <w:rPr>
                <w:rFonts w:ascii="Arial" w:eastAsia="Arial" w:hAnsi="Arial" w:cs="Arial"/>
              </w:rPr>
            </w:pPr>
            <w:r>
              <w:rPr>
                <w:rFonts w:ascii="Arial" w:eastAsia="Arial" w:hAnsi="Arial" w:cs="Arial"/>
              </w:rPr>
              <w:t xml:space="preserve"> </w:t>
            </w:r>
          </w:p>
          <w:p w14:paraId="0000061F" w14:textId="77777777" w:rsidR="001C40B0" w:rsidRDefault="00291712">
            <w:pPr>
              <w:widowControl/>
              <w:jc w:val="both"/>
              <w:rPr>
                <w:rFonts w:ascii="Arial" w:eastAsia="Arial" w:hAnsi="Arial" w:cs="Arial"/>
              </w:rPr>
            </w:pPr>
            <w:r>
              <w:rPr>
                <w:rFonts w:ascii="Arial" w:eastAsia="Arial" w:hAnsi="Arial" w:cs="Arial"/>
              </w:rPr>
              <w:t xml:space="preserve">La tecnología necesaria para el mantenimiento de donantes en muerte encefálica, fallecidos por parada circulatoria, y para la perfusión de órganos, incluyendo ECMO, máquinas de perfusión in situ o ex situ o nuevas tecnologías, serán asumidos por el pagador </w:t>
            </w:r>
            <w:r>
              <w:rPr>
                <w:rFonts w:ascii="Arial" w:eastAsia="Arial" w:hAnsi="Arial" w:cs="Arial"/>
                <w:b/>
                <w:bCs/>
                <w:u w:val="single"/>
              </w:rPr>
              <w:t>correspondiente dentro</w:t>
            </w:r>
            <w:r>
              <w:rPr>
                <w:rFonts w:ascii="Arial" w:eastAsia="Arial" w:hAnsi="Arial" w:cs="Arial"/>
              </w:rPr>
              <w:t xml:space="preserve"> del sistema de salud.</w:t>
            </w:r>
          </w:p>
          <w:p w14:paraId="00000620" w14:textId="77777777" w:rsidR="001C40B0" w:rsidRDefault="00291712">
            <w:pPr>
              <w:widowControl/>
              <w:jc w:val="both"/>
              <w:rPr>
                <w:rFonts w:ascii="Arial" w:eastAsia="Arial" w:hAnsi="Arial" w:cs="Arial"/>
              </w:rPr>
            </w:pPr>
            <w:r>
              <w:rPr>
                <w:rFonts w:ascii="Arial" w:eastAsia="Arial" w:hAnsi="Arial" w:cs="Arial"/>
              </w:rPr>
              <w:t xml:space="preserve"> </w:t>
            </w:r>
          </w:p>
          <w:p w14:paraId="00000621" w14:textId="77777777" w:rsidR="001C40B0" w:rsidRDefault="00291712">
            <w:pPr>
              <w:widowControl/>
              <w:jc w:val="both"/>
              <w:rPr>
                <w:rFonts w:ascii="Arial" w:eastAsia="Arial" w:hAnsi="Arial" w:cs="Arial"/>
              </w:rPr>
            </w:pPr>
            <w:r>
              <w:rPr>
                <w:rFonts w:ascii="Arial" w:eastAsia="Arial" w:hAnsi="Arial" w:cs="Arial"/>
              </w:rPr>
              <w:t xml:space="preserve">En caso de implementación de nuevas tecnologías y procedimientos para donación y trasplantes, cuyo uso sea avalado por el Ministerio de Salud y Protección Social, </w:t>
            </w:r>
            <w:r>
              <w:rPr>
                <w:rFonts w:ascii="Arial" w:eastAsia="Arial" w:hAnsi="Arial" w:cs="Arial"/>
                <w:strike/>
              </w:rPr>
              <w:t>los recursos</w:t>
            </w:r>
            <w:r>
              <w:rPr>
                <w:rFonts w:ascii="Arial" w:eastAsia="Arial" w:hAnsi="Arial" w:cs="Arial"/>
              </w:rPr>
              <w:t xml:space="preserve"> </w:t>
            </w:r>
            <w:r>
              <w:rPr>
                <w:rFonts w:ascii="Arial" w:eastAsia="Arial" w:hAnsi="Arial" w:cs="Arial"/>
                <w:b/>
                <w:bCs/>
                <w:u w:val="single"/>
              </w:rPr>
              <w:t>su financiación</w:t>
            </w:r>
            <w:r>
              <w:rPr>
                <w:rFonts w:ascii="Arial" w:eastAsia="Arial" w:hAnsi="Arial" w:cs="Arial"/>
              </w:rPr>
              <w:t xml:space="preserve"> estará a cargo de la UPC </w:t>
            </w:r>
            <w:r>
              <w:rPr>
                <w:rFonts w:ascii="Arial" w:eastAsia="Arial" w:hAnsi="Arial" w:cs="Arial"/>
                <w:strike/>
              </w:rPr>
              <w:t>cuyos</w:t>
            </w:r>
            <w:r>
              <w:rPr>
                <w:rFonts w:ascii="Arial" w:eastAsia="Arial" w:hAnsi="Arial" w:cs="Arial"/>
              </w:rPr>
              <w:t xml:space="preserve">.  Los procedimientos específicos </w:t>
            </w:r>
            <w:r>
              <w:rPr>
                <w:rFonts w:ascii="Arial" w:eastAsia="Arial" w:hAnsi="Arial" w:cs="Arial"/>
                <w:b/>
                <w:bCs/>
                <w:u w:val="single"/>
              </w:rPr>
              <w:t>para su reconocimiento y pago</w:t>
            </w:r>
            <w:r>
              <w:rPr>
                <w:rFonts w:ascii="Arial" w:eastAsia="Arial" w:hAnsi="Arial" w:cs="Arial"/>
              </w:rPr>
              <w:t xml:space="preserve"> serán determinados por la Dirección de Beneficios</w:t>
            </w:r>
            <w:r>
              <w:rPr>
                <w:rFonts w:ascii="Arial" w:eastAsia="Arial" w:hAnsi="Arial" w:cs="Arial"/>
                <w:b/>
                <w:bCs/>
                <w:u w:val="single"/>
              </w:rPr>
              <w:t>,</w:t>
            </w:r>
            <w:r>
              <w:rPr>
                <w:rFonts w:ascii="Arial" w:eastAsia="Arial" w:hAnsi="Arial" w:cs="Arial"/>
              </w:rPr>
              <w:t>Costos y Tarifas del Ministerio de Salud y Protección Social.</w:t>
            </w:r>
          </w:p>
          <w:p w14:paraId="00000622" w14:textId="77777777" w:rsidR="001C40B0" w:rsidRDefault="00291712">
            <w:pPr>
              <w:widowControl/>
              <w:jc w:val="both"/>
              <w:rPr>
                <w:rFonts w:ascii="Arial" w:eastAsia="Arial" w:hAnsi="Arial" w:cs="Arial"/>
              </w:rPr>
            </w:pPr>
            <w:r>
              <w:rPr>
                <w:rFonts w:ascii="Arial" w:eastAsia="Arial" w:hAnsi="Arial" w:cs="Arial"/>
              </w:rPr>
              <w:t xml:space="preserve"> </w:t>
            </w:r>
          </w:p>
          <w:p w14:paraId="00000623" w14:textId="77777777" w:rsidR="001C40B0" w:rsidRDefault="00291712">
            <w:pPr>
              <w:widowControl/>
              <w:jc w:val="both"/>
              <w:rPr>
                <w:rFonts w:ascii="Arial" w:eastAsia="Arial" w:hAnsi="Arial" w:cs="Arial"/>
              </w:rPr>
            </w:pPr>
            <w:r>
              <w:rPr>
                <w:rFonts w:ascii="Arial" w:eastAsia="Arial" w:hAnsi="Arial" w:cs="Arial"/>
              </w:rPr>
              <w:t>Las EPS o las entidades que hagan sus veces</w:t>
            </w:r>
            <w:r>
              <w:rPr>
                <w:rFonts w:ascii="Arial" w:eastAsia="Arial" w:hAnsi="Arial" w:cs="Arial"/>
                <w:b/>
                <w:bCs/>
                <w:u w:val="single"/>
              </w:rPr>
              <w:t>,</w:t>
            </w:r>
            <w:r>
              <w:rPr>
                <w:rFonts w:ascii="Arial" w:eastAsia="Arial" w:hAnsi="Arial" w:cs="Arial"/>
              </w:rPr>
              <w:t xml:space="preserve"> no podrán imponer barreras administrativas, glosas ni trámites no clínicos que retrasen la autorización </w:t>
            </w:r>
            <w:r>
              <w:rPr>
                <w:rFonts w:ascii="Arial" w:eastAsia="Arial" w:hAnsi="Arial" w:cs="Arial"/>
                <w:b/>
                <w:bCs/>
                <w:u w:val="single"/>
              </w:rPr>
              <w:t>o realización</w:t>
            </w:r>
            <w:r>
              <w:rPr>
                <w:rFonts w:ascii="Arial" w:eastAsia="Arial" w:hAnsi="Arial" w:cs="Arial"/>
              </w:rPr>
              <w:t xml:space="preserve"> de procedimientos de donación, trasplante o postrasplante, so pena de sanción por parte de la </w:t>
            </w:r>
            <w:r>
              <w:rPr>
                <w:rFonts w:ascii="Arial" w:eastAsia="Arial" w:hAnsi="Arial" w:cs="Arial"/>
              </w:rPr>
              <w:lastRenderedPageBreak/>
              <w:t>Superintendencia Nacional de Salud.</w:t>
            </w:r>
          </w:p>
        </w:tc>
        <w:tc>
          <w:tcPr>
            <w:tcW w:w="2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24" w14:textId="77777777" w:rsidR="001C40B0" w:rsidRDefault="00291712">
            <w:pPr>
              <w:pBdr>
                <w:top w:val="nil"/>
                <w:left w:val="nil"/>
                <w:bottom w:val="nil"/>
                <w:right w:val="nil"/>
                <w:between w:val="nil"/>
              </w:pBdr>
              <w:jc w:val="both"/>
              <w:rPr>
                <w:rFonts w:ascii="Arial" w:eastAsia="Arial" w:hAnsi="Arial" w:cs="Arial"/>
                <w:color w:val="000000"/>
              </w:rPr>
            </w:pPr>
            <w:r>
              <w:rPr>
                <w:rFonts w:ascii="Arial" w:eastAsia="Arial" w:hAnsi="Arial" w:cs="Arial"/>
              </w:rPr>
              <w:lastRenderedPageBreak/>
              <w:t xml:space="preserve">Se ajusta la redacción. </w:t>
            </w:r>
          </w:p>
        </w:tc>
      </w:tr>
      <w:tr w:rsidR="001C40B0" w14:paraId="267D2D61" w14:textId="77777777">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25"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lastRenderedPageBreak/>
              <w:t xml:space="preserve">ARTÍCULO 14. DONACIÓN EN LA CÉDULA DE CIUDADANÍA. </w:t>
            </w:r>
            <w:r>
              <w:rPr>
                <w:rFonts w:ascii="Arial" w:eastAsia="Arial" w:hAnsi="Arial" w:cs="Arial"/>
                <w:color w:val="000000"/>
              </w:rPr>
              <w:t xml:space="preserve">La Registraduría Nacional del Estado Civil incorporará mecanismos seguros para registrar la manifestación expresa de aceptación o rechazo de la condición de donante de órganos, tejidos o componentes anatómicos en la cédula de ciudadanía o en sus sistemas interoperables asociados. </w:t>
            </w:r>
          </w:p>
          <w:p w14:paraId="00000626" w14:textId="77777777" w:rsidR="001C40B0" w:rsidRDefault="001C40B0">
            <w:pPr>
              <w:widowControl/>
              <w:pBdr>
                <w:top w:val="nil"/>
                <w:left w:val="nil"/>
                <w:bottom w:val="nil"/>
                <w:right w:val="nil"/>
                <w:between w:val="nil"/>
              </w:pBdr>
              <w:jc w:val="both"/>
              <w:rPr>
                <w:rFonts w:ascii="Arial" w:eastAsia="Arial" w:hAnsi="Arial" w:cs="Arial"/>
              </w:rPr>
            </w:pPr>
          </w:p>
          <w:p w14:paraId="00000627"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La voluntad expresa registrada por el ciudadano tendrá plena validez jurídica y prevalecerá sobre cualquier manifestación posterior de terceros, salvo prueba de revocatoria conforme a la ley. </w:t>
            </w:r>
          </w:p>
          <w:p w14:paraId="00000628" w14:textId="77777777" w:rsidR="001C40B0" w:rsidRDefault="001C40B0">
            <w:pPr>
              <w:widowControl/>
              <w:pBdr>
                <w:top w:val="nil"/>
                <w:left w:val="nil"/>
                <w:bottom w:val="nil"/>
                <w:right w:val="nil"/>
                <w:between w:val="nil"/>
              </w:pBdr>
              <w:jc w:val="both"/>
              <w:rPr>
                <w:rFonts w:ascii="Arial" w:eastAsia="Arial" w:hAnsi="Arial" w:cs="Arial"/>
              </w:rPr>
            </w:pPr>
          </w:p>
          <w:p w14:paraId="00000629"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La modificación prevista en este artículo solo aplicará a documentos expedidos con posterioridad a la entrada en vigencia de la presente ley, sin </w:t>
            </w:r>
            <w:r>
              <w:rPr>
                <w:rFonts w:ascii="Arial" w:eastAsia="Arial" w:hAnsi="Arial" w:cs="Arial"/>
              </w:rPr>
              <w:t>afectar la validez</w:t>
            </w:r>
            <w:r>
              <w:rPr>
                <w:rFonts w:ascii="Arial" w:eastAsia="Arial" w:hAnsi="Arial" w:cs="Arial"/>
                <w:color w:val="000000"/>
              </w:rPr>
              <w:t xml:space="preserve"> de documentos previamente expedidos.</w:t>
            </w:r>
          </w:p>
          <w:p w14:paraId="0000062A" w14:textId="77777777" w:rsidR="001C40B0" w:rsidRDefault="001C40B0">
            <w:pPr>
              <w:widowControl/>
              <w:pBdr>
                <w:top w:val="nil"/>
                <w:left w:val="nil"/>
                <w:bottom w:val="nil"/>
                <w:right w:val="nil"/>
                <w:between w:val="nil"/>
              </w:pBdr>
              <w:jc w:val="both"/>
              <w:rPr>
                <w:rFonts w:ascii="Arial" w:eastAsia="Arial" w:hAnsi="Arial" w:cs="Arial"/>
              </w:rPr>
            </w:pPr>
          </w:p>
          <w:p w14:paraId="0000062B"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Parágrafo. </w:t>
            </w:r>
            <w:r>
              <w:rPr>
                <w:rFonts w:ascii="Arial" w:eastAsia="Arial" w:hAnsi="Arial" w:cs="Arial"/>
                <w:color w:val="000000"/>
              </w:rPr>
              <w:t xml:space="preserve">La manifestación de la voluntad de donación consignada en la cédula de ciudadanía constituye un mecanismo de publicidad y certeza de la decisión del ciudadano, el cual complementa y refuerza, mas no sustituye ni deroga, la presunción legal de donación establecida en el artículo 2° de la Ley 1805 del 2016. En todo </w:t>
            </w:r>
            <w:r>
              <w:rPr>
                <w:rFonts w:ascii="Arial" w:eastAsia="Arial" w:hAnsi="Arial" w:cs="Arial"/>
                <w:color w:val="000000"/>
              </w:rPr>
              <w:lastRenderedPageBreak/>
              <w:t>caso, se mantendrá la prevalencia de la voluntad del donante expresada en vida conforme a la normativa vigente, siendo el sistema de información nacional y la consulta en el Registro Nacional de Donantes los instrumentos idóneos para verificar dicha condición, garantizando siempre el respeto a los derechos fundamentales y la dignidad humana.</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2C"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lastRenderedPageBreak/>
              <w:t xml:space="preserve">ARTÍCULO 14. DONACIÓN EN LA CÉDULA DE CIUDADANÍA. </w:t>
            </w:r>
            <w:r>
              <w:rPr>
                <w:rFonts w:ascii="Arial" w:eastAsia="Arial" w:hAnsi="Arial" w:cs="Arial"/>
                <w:color w:val="000000"/>
              </w:rPr>
              <w:t xml:space="preserve">La Registraduría Nacional del Estado Civil incorporará mecanismos seguros para registrar la manifestación expresa de aceptación o rechazo de la condición de donante de órganos, tejidos o componentes anatómicos en la cédula de ciudadanía o en sus sistemas interoperables asociados. </w:t>
            </w:r>
          </w:p>
          <w:p w14:paraId="0000062D" w14:textId="77777777" w:rsidR="001C40B0" w:rsidRDefault="001C40B0">
            <w:pPr>
              <w:widowControl/>
              <w:pBdr>
                <w:top w:val="nil"/>
                <w:left w:val="nil"/>
                <w:bottom w:val="nil"/>
                <w:right w:val="nil"/>
                <w:between w:val="nil"/>
              </w:pBdr>
              <w:jc w:val="both"/>
              <w:rPr>
                <w:rFonts w:ascii="Arial" w:eastAsia="Arial" w:hAnsi="Arial" w:cs="Arial"/>
              </w:rPr>
            </w:pPr>
          </w:p>
          <w:p w14:paraId="0000062E"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La voluntad expresa registrada por el ciudadano tendrá plena validez jurídica y prevalecerá sobre cualquier manifestación posterior de terceros, salvo prueba de revocatoria conforme a la ley. </w:t>
            </w:r>
          </w:p>
          <w:p w14:paraId="0000062F" w14:textId="77777777" w:rsidR="001C40B0" w:rsidRDefault="001C40B0">
            <w:pPr>
              <w:widowControl/>
              <w:pBdr>
                <w:top w:val="nil"/>
                <w:left w:val="nil"/>
                <w:bottom w:val="nil"/>
                <w:right w:val="nil"/>
                <w:between w:val="nil"/>
              </w:pBdr>
              <w:jc w:val="both"/>
              <w:rPr>
                <w:rFonts w:ascii="Arial" w:eastAsia="Arial" w:hAnsi="Arial" w:cs="Arial"/>
              </w:rPr>
            </w:pPr>
          </w:p>
          <w:p w14:paraId="00000630"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La modificación prevista en este artículo </w:t>
            </w:r>
            <w:r>
              <w:rPr>
                <w:rFonts w:ascii="Arial" w:eastAsia="Arial" w:hAnsi="Arial" w:cs="Arial"/>
              </w:rPr>
              <w:t>sólo</w:t>
            </w:r>
            <w:r>
              <w:rPr>
                <w:rFonts w:ascii="Arial" w:eastAsia="Arial" w:hAnsi="Arial" w:cs="Arial"/>
                <w:color w:val="000000"/>
              </w:rPr>
              <w:t xml:space="preserve"> aplicará a documentos expedidos con posterioridad a la entrada en vigencia de la presente ley, sin </w:t>
            </w:r>
            <w:r>
              <w:rPr>
                <w:rFonts w:ascii="Arial" w:eastAsia="Arial" w:hAnsi="Arial" w:cs="Arial"/>
              </w:rPr>
              <w:t>afectar la validez</w:t>
            </w:r>
            <w:r>
              <w:rPr>
                <w:rFonts w:ascii="Arial" w:eastAsia="Arial" w:hAnsi="Arial" w:cs="Arial"/>
                <w:color w:val="000000"/>
              </w:rPr>
              <w:t xml:space="preserve"> de documentos previamente expedidos.</w:t>
            </w:r>
          </w:p>
          <w:p w14:paraId="00000631"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632" w14:textId="77777777" w:rsidR="001C40B0" w:rsidRDefault="00291712">
            <w:pPr>
              <w:pBdr>
                <w:top w:val="nil"/>
                <w:left w:val="nil"/>
                <w:bottom w:val="nil"/>
                <w:right w:val="nil"/>
                <w:between w:val="nil"/>
              </w:pBdr>
              <w:jc w:val="both"/>
              <w:rPr>
                <w:rFonts w:ascii="Arial" w:eastAsia="Arial" w:hAnsi="Arial" w:cs="Arial"/>
                <w:color w:val="000000"/>
              </w:rPr>
            </w:pPr>
            <w:r>
              <w:rPr>
                <w:rFonts w:ascii="Arial" w:eastAsia="Arial" w:hAnsi="Arial" w:cs="Arial"/>
                <w:b/>
                <w:bCs/>
              </w:rPr>
              <w:t xml:space="preserve">Parágrafo. </w:t>
            </w:r>
            <w:r>
              <w:rPr>
                <w:rFonts w:ascii="Arial" w:eastAsia="Arial" w:hAnsi="Arial" w:cs="Arial"/>
              </w:rPr>
              <w:t xml:space="preserve">La manifestación de la voluntad de donación consignada en la cédula de ciudadanía constituye un mecanismo de publicidad y certeza de la decisión del ciudadano, el cual complementa y refuerza, mas no sustituye ni deroga, la presunción legal de donación establecida en el artículo 2° de la Ley 1805 del 2016. En todo </w:t>
            </w:r>
            <w:r>
              <w:rPr>
                <w:rFonts w:ascii="Arial" w:eastAsia="Arial" w:hAnsi="Arial" w:cs="Arial"/>
              </w:rPr>
              <w:lastRenderedPageBreak/>
              <w:t>caso, se mantendrá la prevalencia de la voluntad del donante expresada en vida conforme a la normativa vigente, siendo el sistema de información nacional y la consulta en el Registro Nacional de Donantes los instrumentos idóneos para verificar dicha condición, garantizando siempre el respeto a los derechos fundamentales y la dignidad humana.</w:t>
            </w:r>
          </w:p>
        </w:tc>
        <w:tc>
          <w:tcPr>
            <w:tcW w:w="2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33" w14:textId="77777777" w:rsidR="001C40B0" w:rsidRDefault="00291712">
            <w:pPr>
              <w:jc w:val="both"/>
              <w:rPr>
                <w:rFonts w:ascii="Arial" w:eastAsia="Arial" w:hAnsi="Arial" w:cs="Arial"/>
                <w:highlight w:val="white"/>
              </w:rPr>
            </w:pPr>
            <w:r>
              <w:rPr>
                <w:rFonts w:ascii="Arial" w:eastAsia="Arial" w:hAnsi="Arial" w:cs="Arial"/>
                <w:highlight w:val="white"/>
              </w:rPr>
              <w:lastRenderedPageBreak/>
              <w:t>Sin modificaciones.</w:t>
            </w:r>
          </w:p>
        </w:tc>
      </w:tr>
      <w:tr w:rsidR="001C40B0" w14:paraId="2B429DA8" w14:textId="77777777">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34"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lastRenderedPageBreak/>
              <w:t>ARTÍCULO 15</w:t>
            </w:r>
            <w:r>
              <w:rPr>
                <w:rFonts w:ascii="Arial" w:eastAsia="Arial" w:hAnsi="Arial" w:cs="Arial"/>
                <w:color w:val="000000"/>
              </w:rPr>
              <w:t>. Las personas que, en razón de una condición debidamente certificada conforme a criterios médico-científicos, no se encuentren en posibilidad de expresar su voluntad de manera autónoma al momento del fallecimiento, podrán ser donantes de órganos y tejidos, siempre y cuando sus representantes legales expresen su consentimiento informado para tal fin después de su fallecimiento, en los términos descritos en el literal a) del Artículo 542 de la Ley 9 de 1979.</w:t>
            </w:r>
          </w:p>
          <w:p w14:paraId="00000635"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636"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médico coordinador operativo de trasplantes deberá informarles sus derechos y los beneficios de la donación a los representantes del menor.</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37" w14:textId="77777777" w:rsidR="001C40B0" w:rsidRDefault="00291712">
            <w:pPr>
              <w:widowControl/>
              <w:pBdr>
                <w:top w:val="nil"/>
                <w:left w:val="nil"/>
                <w:bottom w:val="nil"/>
                <w:right w:val="nil"/>
                <w:between w:val="nil"/>
              </w:pBdr>
              <w:jc w:val="both"/>
              <w:rPr>
                <w:rFonts w:ascii="Arial" w:eastAsia="Arial" w:hAnsi="Arial" w:cs="Arial"/>
                <w:color w:val="000000"/>
                <w:highlight w:val="white"/>
              </w:rPr>
            </w:pPr>
            <w:r>
              <w:rPr>
                <w:rFonts w:ascii="Arial" w:eastAsia="Arial" w:hAnsi="Arial" w:cs="Arial"/>
                <w:b/>
                <w:bCs/>
                <w:color w:val="000000"/>
                <w:highlight w:val="white"/>
              </w:rPr>
              <w:t>ARTÍCULO 15</w:t>
            </w:r>
            <w:r>
              <w:rPr>
                <w:rFonts w:ascii="Arial" w:eastAsia="Arial" w:hAnsi="Arial" w:cs="Arial"/>
                <w:color w:val="000000"/>
                <w:highlight w:val="white"/>
              </w:rPr>
              <w:t>. Las personas que, en razón de una condición debidamente certificada conforme a criterios médico-científicos, no se encuentren en posibilidad de expresar su voluntad de manera autónoma al momento de</w:t>
            </w:r>
            <w:r>
              <w:rPr>
                <w:rFonts w:ascii="Arial" w:eastAsia="Arial" w:hAnsi="Arial" w:cs="Arial"/>
                <w:highlight w:val="white"/>
              </w:rPr>
              <w:t xml:space="preserve"> su</w:t>
            </w:r>
            <w:r>
              <w:rPr>
                <w:rFonts w:ascii="Arial" w:eastAsia="Arial" w:hAnsi="Arial" w:cs="Arial"/>
                <w:color w:val="000000"/>
                <w:highlight w:val="white"/>
              </w:rPr>
              <w:t xml:space="preserve"> fallecimiento, podrán ser donantes de </w:t>
            </w:r>
            <w:r>
              <w:rPr>
                <w:rFonts w:ascii="Arial" w:eastAsia="Arial" w:hAnsi="Arial" w:cs="Arial"/>
                <w:highlight w:val="white"/>
              </w:rPr>
              <w:t>órganos</w:t>
            </w:r>
            <w:r>
              <w:rPr>
                <w:rFonts w:ascii="Arial" w:eastAsia="Arial" w:hAnsi="Arial" w:cs="Arial"/>
                <w:b/>
                <w:bCs/>
                <w:highlight w:val="white"/>
                <w:u w:val="single"/>
              </w:rPr>
              <w:t>,</w:t>
            </w:r>
            <w:r>
              <w:rPr>
                <w:rFonts w:ascii="Arial" w:eastAsia="Arial" w:hAnsi="Arial" w:cs="Arial"/>
                <w:highlight w:val="white"/>
              </w:rPr>
              <w:t xml:space="preserve"> </w:t>
            </w:r>
            <w:r>
              <w:rPr>
                <w:rFonts w:ascii="Arial" w:eastAsia="Arial" w:hAnsi="Arial" w:cs="Arial"/>
                <w:strike/>
                <w:highlight w:val="white"/>
              </w:rPr>
              <w:t xml:space="preserve">y </w:t>
            </w:r>
            <w:r>
              <w:rPr>
                <w:rFonts w:ascii="Arial" w:eastAsia="Arial" w:hAnsi="Arial" w:cs="Arial"/>
                <w:highlight w:val="white"/>
              </w:rPr>
              <w:t>tejidos</w:t>
            </w:r>
            <w:r>
              <w:rPr>
                <w:rFonts w:ascii="Arial" w:eastAsia="Arial" w:hAnsi="Arial" w:cs="Arial"/>
                <w:b/>
                <w:bCs/>
                <w:highlight w:val="white"/>
                <w:u w:val="single"/>
              </w:rPr>
              <w:t>, células</w:t>
            </w:r>
            <w:r>
              <w:rPr>
                <w:rFonts w:ascii="Arial" w:eastAsia="Arial" w:hAnsi="Arial" w:cs="Arial"/>
                <w:highlight w:val="white"/>
              </w:rPr>
              <w:t xml:space="preserve"> </w:t>
            </w:r>
            <w:r>
              <w:rPr>
                <w:rFonts w:ascii="Arial" w:eastAsia="Arial" w:hAnsi="Arial" w:cs="Arial"/>
                <w:b/>
                <w:bCs/>
                <w:highlight w:val="white"/>
                <w:u w:val="single"/>
              </w:rPr>
              <w:t>y derivados</w:t>
            </w:r>
            <w:r>
              <w:rPr>
                <w:rFonts w:ascii="Arial" w:eastAsia="Arial" w:hAnsi="Arial" w:cs="Arial"/>
                <w:color w:val="000000"/>
                <w:highlight w:val="white"/>
              </w:rPr>
              <w:t>, siempre y cuando sus representantes legales expresen su consentimiento informado para tal fin después de su fallecimiento, en los términos descritos en el literal a) del Artículo 542 de la Ley 9 de 1979.</w:t>
            </w:r>
          </w:p>
          <w:p w14:paraId="00000638" w14:textId="77777777" w:rsidR="001C40B0" w:rsidRDefault="001C40B0">
            <w:pPr>
              <w:widowControl/>
              <w:pBdr>
                <w:top w:val="nil"/>
                <w:left w:val="nil"/>
                <w:bottom w:val="nil"/>
                <w:right w:val="nil"/>
                <w:between w:val="nil"/>
              </w:pBdr>
              <w:jc w:val="both"/>
              <w:rPr>
                <w:rFonts w:ascii="Arial" w:eastAsia="Arial" w:hAnsi="Arial" w:cs="Arial"/>
                <w:color w:val="000000"/>
                <w:highlight w:val="white"/>
              </w:rPr>
            </w:pPr>
          </w:p>
          <w:p w14:paraId="00000639" w14:textId="77777777" w:rsidR="001C40B0" w:rsidRDefault="00291712">
            <w:pPr>
              <w:pBdr>
                <w:top w:val="nil"/>
                <w:left w:val="nil"/>
                <w:bottom w:val="nil"/>
                <w:right w:val="nil"/>
                <w:between w:val="nil"/>
              </w:pBdr>
              <w:jc w:val="both"/>
              <w:rPr>
                <w:rFonts w:ascii="Arial" w:eastAsia="Arial" w:hAnsi="Arial" w:cs="Arial"/>
                <w:b/>
                <w:bCs/>
                <w:color w:val="000000"/>
                <w:highlight w:val="white"/>
                <w:u w:val="single"/>
              </w:rPr>
            </w:pPr>
            <w:r>
              <w:rPr>
                <w:rFonts w:ascii="Arial" w:eastAsia="Arial" w:hAnsi="Arial" w:cs="Arial"/>
                <w:highlight w:val="white"/>
              </w:rPr>
              <w:t xml:space="preserve">El médico coordinador operativo de trasplantes deberá informarles sus derechos y los beneficios de la donación a los representantes </w:t>
            </w:r>
            <w:r>
              <w:rPr>
                <w:rFonts w:ascii="Arial" w:eastAsia="Arial" w:hAnsi="Arial" w:cs="Arial"/>
                <w:strike/>
                <w:highlight w:val="white"/>
              </w:rPr>
              <w:t>del menor</w:t>
            </w:r>
            <w:r>
              <w:rPr>
                <w:rFonts w:ascii="Arial" w:eastAsia="Arial" w:hAnsi="Arial" w:cs="Arial"/>
                <w:highlight w:val="white"/>
              </w:rPr>
              <w:t xml:space="preserve"> </w:t>
            </w:r>
            <w:r>
              <w:rPr>
                <w:rFonts w:ascii="Arial" w:eastAsia="Arial" w:hAnsi="Arial" w:cs="Arial"/>
                <w:b/>
                <w:bCs/>
                <w:highlight w:val="white"/>
                <w:u w:val="single"/>
              </w:rPr>
              <w:t>legales.</w:t>
            </w:r>
          </w:p>
        </w:tc>
        <w:tc>
          <w:tcPr>
            <w:tcW w:w="2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3A" w14:textId="77777777" w:rsidR="001C40B0" w:rsidRDefault="00291712">
            <w:pPr>
              <w:rPr>
                <w:rFonts w:ascii="Arial" w:eastAsia="Arial" w:hAnsi="Arial" w:cs="Arial"/>
              </w:rPr>
            </w:pPr>
            <w:r>
              <w:rPr>
                <w:rFonts w:ascii="Arial" w:eastAsia="Arial" w:hAnsi="Arial" w:cs="Arial"/>
              </w:rPr>
              <w:t xml:space="preserve">Se ajusta la redacción. </w:t>
            </w:r>
          </w:p>
        </w:tc>
      </w:tr>
      <w:tr w:rsidR="001C40B0" w14:paraId="35A71172" w14:textId="77777777">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3B"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16. LIBRE ESCOGENCIA. </w:t>
            </w:r>
            <w:r>
              <w:rPr>
                <w:rFonts w:ascii="Arial" w:eastAsia="Arial" w:hAnsi="Arial" w:cs="Arial"/>
                <w:color w:val="000000"/>
              </w:rPr>
              <w:t xml:space="preserve">Todo paciente con enfermedad crónica trasplantable, susceptible de evaluación o trasplante tendrá el derecho a elegir libremente el centro trasplantador en el </w:t>
            </w:r>
            <w:r>
              <w:rPr>
                <w:rFonts w:ascii="Arial" w:eastAsia="Arial" w:hAnsi="Arial" w:cs="Arial"/>
                <w:color w:val="000000"/>
              </w:rPr>
              <w:lastRenderedPageBreak/>
              <w:t>cual desee ser atendido. Se priorizará la remisión a centros ubicados cerca de su lugar de residencia o núcleo familiar.</w:t>
            </w:r>
          </w:p>
          <w:p w14:paraId="0000063C"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63D"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sistema de salud deberá garantizar la cobertura y pago del procedimiento de trasplante, el seguimiento posterior y el suministro de medicamentos, conforme a lo dispuesto por la ley.</w:t>
            </w:r>
          </w:p>
          <w:p w14:paraId="0000063E"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63F"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Instituto Nacional de Salud (INS) o quien haga sus veces, deberá proveer al paciente la información clara, actualizada y accesible sobre los centros autorizados a nivel nacional, así como los indicadores de calidad y resultados de dichas instituciones.</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40"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lastRenderedPageBreak/>
              <w:t xml:space="preserve">ARTÍCULO 16. LIBRE ESCOGENCIA. </w:t>
            </w:r>
            <w:r>
              <w:rPr>
                <w:rFonts w:ascii="Arial" w:eastAsia="Arial" w:hAnsi="Arial" w:cs="Arial"/>
                <w:color w:val="000000"/>
              </w:rPr>
              <w:t xml:space="preserve">Todo paciente con enfermedad crónica trasplantable, susceptible de evaluación o trasplante tendrá el derecho a elegir libremente el centro trasplantador en el cual </w:t>
            </w:r>
            <w:r>
              <w:rPr>
                <w:rFonts w:ascii="Arial" w:eastAsia="Arial" w:hAnsi="Arial" w:cs="Arial"/>
                <w:color w:val="000000"/>
              </w:rPr>
              <w:lastRenderedPageBreak/>
              <w:t>desee ser atendido. Se priorizará la remisión a centros ubicados cerca de su lugar de residencia o núcleo familiar.</w:t>
            </w:r>
          </w:p>
          <w:p w14:paraId="00000641"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642"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sistema de salud deberá garantizar la cobertura y pago del procedimiento de trasplante, el seguimiento posterior y el suministro de medicamentos, conforme a lo dispuesto por la ley.</w:t>
            </w:r>
          </w:p>
          <w:p w14:paraId="00000643"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644" w14:textId="77777777" w:rsidR="001C40B0" w:rsidRDefault="00291712">
            <w:pPr>
              <w:pBdr>
                <w:top w:val="nil"/>
                <w:left w:val="nil"/>
                <w:bottom w:val="nil"/>
                <w:right w:val="nil"/>
                <w:between w:val="nil"/>
              </w:pBdr>
              <w:jc w:val="both"/>
              <w:rPr>
                <w:rFonts w:ascii="Arial" w:eastAsia="Arial" w:hAnsi="Arial" w:cs="Arial"/>
                <w:color w:val="000000"/>
              </w:rPr>
            </w:pPr>
            <w:r>
              <w:rPr>
                <w:rFonts w:ascii="Arial" w:eastAsia="Arial" w:hAnsi="Arial" w:cs="Arial"/>
              </w:rPr>
              <w:t>El Instituto Nacional de Salud (INS), o quien haga sus veces, deberá proveer al paciente la información clara, actualizada y accesible sobre los centros autorizados a nivel nacional, así como los indicadores de calidad y resultados de dichas instituciones.</w:t>
            </w:r>
          </w:p>
        </w:tc>
        <w:tc>
          <w:tcPr>
            <w:tcW w:w="2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45" w14:textId="77777777" w:rsidR="001C40B0" w:rsidRDefault="00291712">
            <w:pPr>
              <w:rPr>
                <w:rFonts w:ascii="Arial" w:eastAsia="Arial" w:hAnsi="Arial" w:cs="Arial"/>
              </w:rPr>
            </w:pPr>
            <w:r>
              <w:rPr>
                <w:rFonts w:ascii="Arial" w:eastAsia="Arial" w:hAnsi="Arial" w:cs="Arial"/>
              </w:rPr>
              <w:lastRenderedPageBreak/>
              <w:t xml:space="preserve">Sin modificaciones. </w:t>
            </w:r>
          </w:p>
        </w:tc>
      </w:tr>
      <w:tr w:rsidR="001C40B0" w14:paraId="65550CF7" w14:textId="77777777">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46" w14:textId="77777777" w:rsidR="001C40B0" w:rsidRDefault="00291712">
            <w:pPr>
              <w:jc w:val="both"/>
              <w:rPr>
                <w:rFonts w:ascii="Arial" w:eastAsia="Arial" w:hAnsi="Arial" w:cs="Arial"/>
              </w:rPr>
            </w:pPr>
            <w:r>
              <w:rPr>
                <w:rFonts w:ascii="Arial" w:eastAsia="Arial" w:hAnsi="Arial" w:cs="Arial"/>
                <w:b/>
                <w:bCs/>
              </w:rPr>
              <w:lastRenderedPageBreak/>
              <w:t>ARTÍCULO 17. ESTUDIO NACIONAL.</w:t>
            </w:r>
            <w:r>
              <w:rPr>
                <w:rFonts w:ascii="Arial" w:eastAsia="Arial" w:hAnsi="Arial" w:cs="Arial"/>
              </w:rPr>
              <w:t xml:space="preserve"> El Ministerio de Salud y Protección Social junto con el Instituto Nacional de Salud (INS) o quien haga sus veces, realizará un estudio sobre la efectividad de la reincorporación laboral, social y educativa de los pacientes trasplantados y de acuerdo con ello propondrán e implementarán políticas para esta población.</w:t>
            </w:r>
          </w:p>
          <w:p w14:paraId="00000647" w14:textId="77777777" w:rsidR="001C40B0" w:rsidRDefault="00291712">
            <w:pPr>
              <w:jc w:val="both"/>
              <w:rPr>
                <w:rFonts w:ascii="Arial" w:eastAsia="Arial" w:hAnsi="Arial" w:cs="Arial"/>
              </w:rPr>
            </w:pPr>
            <w:r>
              <w:rPr>
                <w:rFonts w:ascii="Arial" w:eastAsia="Arial" w:hAnsi="Arial" w:cs="Arial"/>
              </w:rPr>
              <w:t xml:space="preserve"> </w:t>
            </w:r>
          </w:p>
          <w:p w14:paraId="00000648" w14:textId="77777777" w:rsidR="001C40B0" w:rsidRDefault="001C40B0">
            <w:pPr>
              <w:jc w:val="both"/>
              <w:rPr>
                <w:rFonts w:ascii="Arial" w:eastAsia="Arial" w:hAnsi="Arial" w:cs="Arial"/>
              </w:rPr>
            </w:pPr>
          </w:p>
          <w:p w14:paraId="00000649" w14:textId="77777777" w:rsidR="001C40B0" w:rsidRDefault="001C40B0">
            <w:pPr>
              <w:jc w:val="both"/>
              <w:rPr>
                <w:rFonts w:ascii="Arial" w:eastAsia="Arial" w:hAnsi="Arial" w:cs="Arial"/>
              </w:rPr>
            </w:pPr>
          </w:p>
          <w:p w14:paraId="0000064A" w14:textId="77777777" w:rsidR="001C40B0" w:rsidRDefault="001C40B0">
            <w:pPr>
              <w:jc w:val="both"/>
              <w:rPr>
                <w:rFonts w:ascii="Arial" w:eastAsia="Arial" w:hAnsi="Arial" w:cs="Arial"/>
              </w:rPr>
            </w:pPr>
          </w:p>
          <w:p w14:paraId="0000064B" w14:textId="77777777" w:rsidR="001C40B0" w:rsidRDefault="00291712">
            <w:pPr>
              <w:jc w:val="both"/>
              <w:rPr>
                <w:rFonts w:ascii="Arial" w:eastAsia="Arial" w:hAnsi="Arial" w:cs="Arial"/>
              </w:rPr>
            </w:pPr>
            <w:r>
              <w:rPr>
                <w:rFonts w:ascii="Arial" w:eastAsia="Arial" w:hAnsi="Arial" w:cs="Arial"/>
                <w:b/>
                <w:bCs/>
              </w:rPr>
              <w:t>Parágrafo.</w:t>
            </w:r>
            <w:r>
              <w:rPr>
                <w:rFonts w:ascii="Arial" w:eastAsia="Arial" w:hAnsi="Arial" w:cs="Arial"/>
              </w:rPr>
              <w:t xml:space="preserve"> El Instituto Nacional de Salud (INS) o quien haga sus veces, así como la Superintendencia Nacional de Salud realizarán un análisis anual con respecto a los indicadores de resultado de los </w:t>
            </w:r>
            <w:r>
              <w:rPr>
                <w:rFonts w:ascii="Arial" w:eastAsia="Arial" w:hAnsi="Arial" w:cs="Arial"/>
              </w:rPr>
              <w:lastRenderedPageBreak/>
              <w:t>trasplantes efectuados, con el fin de determinar las causas atribuibles al aseguramiento del paciente, para los desenlaces controlables en el postrasplante. Los incumplimientos para la población de receptores con respecto al seguimiento del trasplante por las EPS o quien haga sus veces, deberán ser sancionados por la Superintendencia Nacional de Salud.</w:t>
            </w:r>
          </w:p>
        </w:tc>
        <w:tc>
          <w:tcPr>
            <w:tcW w:w="32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64C" w14:textId="77777777" w:rsidR="001C40B0" w:rsidRDefault="00291712">
            <w:pPr>
              <w:jc w:val="both"/>
              <w:rPr>
                <w:rFonts w:ascii="Arial" w:eastAsia="Arial" w:hAnsi="Arial" w:cs="Arial"/>
              </w:rPr>
            </w:pPr>
            <w:r>
              <w:rPr>
                <w:rFonts w:ascii="Arial" w:eastAsia="Arial" w:hAnsi="Arial" w:cs="Arial"/>
                <w:b/>
                <w:bCs/>
              </w:rPr>
              <w:lastRenderedPageBreak/>
              <w:t>ARTÍCULO 17. ESTUDIO NACIONAL.</w:t>
            </w:r>
            <w:r>
              <w:rPr>
                <w:rFonts w:ascii="Arial" w:eastAsia="Arial" w:hAnsi="Arial" w:cs="Arial"/>
              </w:rPr>
              <w:t xml:space="preserve"> El Ministerio de Salud y Protección Social,</w:t>
            </w:r>
            <w:r>
              <w:rPr>
                <w:rFonts w:ascii="Arial" w:eastAsia="Arial" w:hAnsi="Arial" w:cs="Arial"/>
                <w:strike/>
              </w:rPr>
              <w:t xml:space="preserve"> junto </w:t>
            </w:r>
            <w:r>
              <w:rPr>
                <w:rFonts w:ascii="Arial" w:eastAsia="Arial" w:hAnsi="Arial" w:cs="Arial"/>
                <w:b/>
                <w:bCs/>
                <w:u w:val="single"/>
              </w:rPr>
              <w:t>en coordinación</w:t>
            </w:r>
            <w:r>
              <w:rPr>
                <w:rFonts w:ascii="Arial" w:eastAsia="Arial" w:hAnsi="Arial" w:cs="Arial"/>
              </w:rPr>
              <w:t xml:space="preserve"> con el Instituto Nacional de Salud (INS), o quien haga sus veces, realizará un estudio sobre la efectividad de la reincorporación laboral, social y educativa de los pacientes trasplantados. </w:t>
            </w:r>
            <w:r>
              <w:rPr>
                <w:rFonts w:ascii="Arial" w:eastAsia="Arial" w:hAnsi="Arial" w:cs="Arial"/>
                <w:strike/>
              </w:rPr>
              <w:t>y de acuerdo con ello propondrán</w:t>
            </w:r>
            <w:r>
              <w:rPr>
                <w:rFonts w:ascii="Arial" w:eastAsia="Arial" w:hAnsi="Arial" w:cs="Arial"/>
                <w:b/>
                <w:bCs/>
                <w:u w:val="single"/>
              </w:rPr>
              <w:t xml:space="preserve"> Con base en el resultado de dicho estudio,</w:t>
            </w:r>
            <w:r>
              <w:rPr>
                <w:rFonts w:ascii="Arial" w:eastAsia="Arial" w:hAnsi="Arial" w:cs="Arial"/>
                <w:u w:val="single"/>
              </w:rPr>
              <w:t xml:space="preserve"> </w:t>
            </w:r>
            <w:r>
              <w:rPr>
                <w:rFonts w:ascii="Arial" w:eastAsia="Arial" w:hAnsi="Arial" w:cs="Arial"/>
                <w:b/>
                <w:bCs/>
                <w:u w:val="single"/>
              </w:rPr>
              <w:t>formulará</w:t>
            </w:r>
            <w:r>
              <w:rPr>
                <w:rFonts w:ascii="Arial" w:eastAsia="Arial" w:hAnsi="Arial" w:cs="Arial"/>
              </w:rPr>
              <w:t xml:space="preserve"> e implementará políticas dirigidas a esta población.</w:t>
            </w:r>
          </w:p>
          <w:p w14:paraId="0000064D" w14:textId="77777777" w:rsidR="001C40B0" w:rsidRDefault="00291712">
            <w:pPr>
              <w:jc w:val="both"/>
              <w:rPr>
                <w:rFonts w:ascii="Arial" w:eastAsia="Arial" w:hAnsi="Arial" w:cs="Arial"/>
              </w:rPr>
            </w:pPr>
            <w:r>
              <w:rPr>
                <w:rFonts w:ascii="Arial" w:eastAsia="Arial" w:hAnsi="Arial" w:cs="Arial"/>
              </w:rPr>
              <w:t xml:space="preserve"> </w:t>
            </w:r>
          </w:p>
          <w:p w14:paraId="0000064E" w14:textId="77777777" w:rsidR="001C40B0" w:rsidRDefault="00291712">
            <w:pPr>
              <w:jc w:val="both"/>
              <w:rPr>
                <w:rFonts w:ascii="Arial" w:eastAsia="Arial" w:hAnsi="Arial" w:cs="Arial"/>
              </w:rPr>
            </w:pPr>
            <w:r>
              <w:rPr>
                <w:rFonts w:ascii="Arial" w:eastAsia="Arial" w:hAnsi="Arial" w:cs="Arial"/>
                <w:b/>
                <w:bCs/>
              </w:rPr>
              <w:t>Parágrafo.</w:t>
            </w:r>
            <w:r>
              <w:rPr>
                <w:rFonts w:ascii="Arial" w:eastAsia="Arial" w:hAnsi="Arial" w:cs="Arial"/>
              </w:rPr>
              <w:t xml:space="preserve"> El Instituto Nacional de Salud (INS), o quien haga sus veces, así como la Superintendencia Nacional de Salud realizarán </w:t>
            </w:r>
            <w:r>
              <w:rPr>
                <w:rFonts w:ascii="Arial" w:eastAsia="Arial" w:hAnsi="Arial" w:cs="Arial"/>
                <w:b/>
                <w:bCs/>
                <w:u w:val="single"/>
              </w:rPr>
              <w:t xml:space="preserve">anualmente </w:t>
            </w:r>
            <w:r>
              <w:rPr>
                <w:rFonts w:ascii="Arial" w:eastAsia="Arial" w:hAnsi="Arial" w:cs="Arial"/>
              </w:rPr>
              <w:t xml:space="preserve">un análisis </w:t>
            </w:r>
            <w:r>
              <w:rPr>
                <w:rFonts w:ascii="Arial" w:eastAsia="Arial" w:hAnsi="Arial" w:cs="Arial"/>
                <w:b/>
                <w:bCs/>
                <w:u w:val="single"/>
              </w:rPr>
              <w:t>de</w:t>
            </w:r>
            <w:r>
              <w:rPr>
                <w:rFonts w:ascii="Arial" w:eastAsia="Arial" w:hAnsi="Arial" w:cs="Arial"/>
              </w:rPr>
              <w:t xml:space="preserve"> los indicadores de resultado de los trasplantes </w:t>
            </w:r>
            <w:r>
              <w:rPr>
                <w:rFonts w:ascii="Arial" w:eastAsia="Arial" w:hAnsi="Arial" w:cs="Arial"/>
              </w:rPr>
              <w:lastRenderedPageBreak/>
              <w:t xml:space="preserve">efectuados, con el fin de determinar las causas atribuibles al aseguramiento del paciente en los desenlaces controlables durante el postrasplante. </w:t>
            </w:r>
            <w:r>
              <w:rPr>
                <w:rFonts w:ascii="Arial" w:eastAsia="Arial" w:hAnsi="Arial" w:cs="Arial"/>
                <w:strike/>
              </w:rPr>
              <w:t xml:space="preserve">para la población de receptores con respecto al seguimiento del trasplante por las </w:t>
            </w:r>
            <w:r>
              <w:rPr>
                <w:rFonts w:ascii="Arial" w:eastAsia="Arial" w:hAnsi="Arial" w:cs="Arial"/>
              </w:rPr>
              <w:t xml:space="preserve"> </w:t>
            </w:r>
            <w:r>
              <w:rPr>
                <w:rFonts w:ascii="Arial" w:eastAsia="Arial" w:hAnsi="Arial" w:cs="Arial"/>
                <w:b/>
                <w:bCs/>
                <w:u w:val="single"/>
              </w:rPr>
              <w:t>La Superintendencia Nacional de Salud sancionará l</w:t>
            </w:r>
            <w:r>
              <w:rPr>
                <w:rFonts w:ascii="Arial" w:eastAsia="Arial" w:hAnsi="Arial" w:cs="Arial"/>
              </w:rPr>
              <w:t xml:space="preserve">os incumplimientos </w:t>
            </w:r>
            <w:r>
              <w:rPr>
                <w:rFonts w:ascii="Arial" w:eastAsia="Arial" w:hAnsi="Arial" w:cs="Arial"/>
                <w:b/>
                <w:bCs/>
                <w:u w:val="single"/>
              </w:rPr>
              <w:t>atribuibles a</w:t>
            </w:r>
            <w:r>
              <w:rPr>
                <w:rFonts w:ascii="Arial" w:eastAsia="Arial" w:hAnsi="Arial" w:cs="Arial"/>
              </w:rPr>
              <w:t xml:space="preserve">  las EPS o quien haga sus veces, </w:t>
            </w:r>
            <w:r>
              <w:rPr>
                <w:rFonts w:ascii="Arial" w:eastAsia="Arial" w:hAnsi="Arial" w:cs="Arial"/>
                <w:strike/>
              </w:rPr>
              <w:t>deberán ser sancionados por la Superintendencia Nacional de Salud.</w:t>
            </w:r>
            <w:r>
              <w:rPr>
                <w:rFonts w:ascii="Arial" w:eastAsia="Arial" w:hAnsi="Arial" w:cs="Arial"/>
              </w:rPr>
              <w:t xml:space="preserve"> </w:t>
            </w:r>
            <w:r>
              <w:rPr>
                <w:rFonts w:ascii="Arial" w:eastAsia="Arial" w:hAnsi="Arial" w:cs="Arial"/>
                <w:b/>
                <w:bCs/>
                <w:u w:val="single"/>
              </w:rPr>
              <w:t>relacionados con el seguimiento postrasplante de la población receptora</w:t>
            </w:r>
            <w:r>
              <w:rPr>
                <w:rFonts w:ascii="Arial" w:eastAsia="Arial" w:hAnsi="Arial" w:cs="Arial"/>
              </w:rPr>
              <w:t>.</w:t>
            </w:r>
          </w:p>
        </w:tc>
        <w:tc>
          <w:tcPr>
            <w:tcW w:w="2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4F" w14:textId="77777777" w:rsidR="001C40B0" w:rsidRDefault="00291712">
            <w:pPr>
              <w:rPr>
                <w:rFonts w:ascii="Arial" w:eastAsia="Arial" w:hAnsi="Arial" w:cs="Arial"/>
              </w:rPr>
            </w:pPr>
            <w:r>
              <w:rPr>
                <w:rFonts w:ascii="Arial" w:eastAsia="Arial" w:hAnsi="Arial" w:cs="Arial"/>
              </w:rPr>
              <w:lastRenderedPageBreak/>
              <w:t xml:space="preserve">Se ajusta la redacción. </w:t>
            </w:r>
          </w:p>
        </w:tc>
      </w:tr>
      <w:tr w:rsidR="001C40B0" w14:paraId="0ADF55AC" w14:textId="77777777">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50"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lastRenderedPageBreak/>
              <w:t xml:space="preserve">ARTÍCULO 18. PERFUSIÓN DINÁMICA DE ÓRGANOS Y TEJIDOS. </w:t>
            </w:r>
            <w:r>
              <w:rPr>
                <w:rFonts w:ascii="Arial" w:eastAsia="Arial" w:hAnsi="Arial" w:cs="Arial"/>
                <w:color w:val="000000"/>
              </w:rPr>
              <w:t>Las instituciones prestadoras de salud que realizan trasplante podrán adquirir y utilizar máquinas de perfusión dinámica in situ y ex situ para donantes y para órganos, o las que existan de acuerdo a la técnica.</w:t>
            </w:r>
          </w:p>
          <w:p w14:paraId="00000651"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652"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Se podrá además implementar Centros de Perfusión Dinámica de iniciativa privada y/o pública. El gobierno nacional permitirá la creación de Centros de Perfusión Dinámica de órganos para trasplante en los centros hospitalarios trasplantadores. La reglamentación de estos centros y los criterios de asignación y distribución de los órganos allí perfundidos serán reglamentados de manera objetiva por el Instituto Nacional de Salud (INS) o quien haga sus veces, junto </w:t>
            </w:r>
            <w:r>
              <w:rPr>
                <w:rFonts w:ascii="Arial" w:eastAsia="Arial" w:hAnsi="Arial" w:cs="Arial"/>
                <w:color w:val="000000"/>
              </w:rPr>
              <w:lastRenderedPageBreak/>
              <w:t>con la comisión de expertos que exista por cada órgano y tejido.</w:t>
            </w:r>
          </w:p>
          <w:p w14:paraId="00000653"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654"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Los cargos presupuestales de perfusión, logística – transporte de dichos órganos serán asumidos por el sistema de salud, los recursos estarán a cargo de la UPC, cuyos procedimientos específicos serán determinados por la dirección de beneficios costos y tarifas del Ministerio de Salud y Protección Social.</w:t>
            </w:r>
          </w:p>
          <w:p w14:paraId="00000655"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656"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gobierno nacional permitirá y facilitará la importación y/o producción nacional de los equipos de perfusión dinámica de órganos. Se autoriza al Ministerio de Salud para añadir un rubro presupuestal destinado a la adquisición, mantenimiento y reemplazo de estos equipos.</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57" w14:textId="77777777" w:rsidR="001C40B0" w:rsidRDefault="00291712">
            <w:pPr>
              <w:widowControl/>
              <w:pBdr>
                <w:top w:val="nil"/>
                <w:left w:val="nil"/>
                <w:bottom w:val="nil"/>
                <w:right w:val="nil"/>
                <w:between w:val="nil"/>
              </w:pBdr>
              <w:jc w:val="both"/>
              <w:rPr>
                <w:rFonts w:ascii="Arial" w:eastAsia="Arial" w:hAnsi="Arial" w:cs="Arial"/>
                <w:color w:val="000000"/>
                <w:highlight w:val="white"/>
              </w:rPr>
            </w:pPr>
            <w:r>
              <w:rPr>
                <w:rFonts w:ascii="Arial" w:eastAsia="Arial" w:hAnsi="Arial" w:cs="Arial"/>
                <w:b/>
                <w:bCs/>
                <w:color w:val="000000"/>
                <w:highlight w:val="white"/>
              </w:rPr>
              <w:lastRenderedPageBreak/>
              <w:t xml:space="preserve">ARTÍCULO 18. PERFUSIÓN DINÁMICA DE </w:t>
            </w:r>
            <w:r>
              <w:rPr>
                <w:rFonts w:ascii="Arial" w:eastAsia="Arial" w:hAnsi="Arial" w:cs="Arial"/>
                <w:b/>
                <w:bCs/>
                <w:highlight w:val="white"/>
              </w:rPr>
              <w:t>ÓRGANOS</w:t>
            </w:r>
            <w:r>
              <w:rPr>
                <w:rFonts w:ascii="Arial" w:eastAsia="Arial" w:hAnsi="Arial" w:cs="Arial"/>
                <w:b/>
                <w:bCs/>
                <w:highlight w:val="white"/>
                <w:u w:val="single"/>
              </w:rPr>
              <w:t>,</w:t>
            </w:r>
            <w:r>
              <w:rPr>
                <w:rFonts w:ascii="Arial" w:eastAsia="Arial" w:hAnsi="Arial" w:cs="Arial"/>
                <w:b/>
                <w:bCs/>
                <w:highlight w:val="white"/>
              </w:rPr>
              <w:t xml:space="preserve"> </w:t>
            </w:r>
            <w:r>
              <w:rPr>
                <w:rFonts w:ascii="Arial" w:eastAsia="Arial" w:hAnsi="Arial" w:cs="Arial"/>
                <w:b/>
                <w:bCs/>
                <w:strike/>
                <w:highlight w:val="white"/>
              </w:rPr>
              <w:t xml:space="preserve">Y </w:t>
            </w:r>
            <w:r>
              <w:rPr>
                <w:rFonts w:ascii="Arial" w:eastAsia="Arial" w:hAnsi="Arial" w:cs="Arial"/>
                <w:b/>
                <w:bCs/>
                <w:highlight w:val="white"/>
              </w:rPr>
              <w:t xml:space="preserve">TEJIDOS, </w:t>
            </w:r>
            <w:r>
              <w:rPr>
                <w:rFonts w:ascii="Arial" w:eastAsia="Arial" w:hAnsi="Arial" w:cs="Arial"/>
                <w:b/>
                <w:bCs/>
                <w:highlight w:val="white"/>
                <w:u w:val="single"/>
              </w:rPr>
              <w:t>CÉLULAS Y DERIVADOS</w:t>
            </w:r>
            <w:r>
              <w:rPr>
                <w:rFonts w:ascii="Arial" w:eastAsia="Arial" w:hAnsi="Arial" w:cs="Arial"/>
                <w:b/>
                <w:bCs/>
                <w:color w:val="000000"/>
                <w:highlight w:val="white"/>
              </w:rPr>
              <w:t xml:space="preserve">. </w:t>
            </w:r>
            <w:r>
              <w:rPr>
                <w:rFonts w:ascii="Arial" w:eastAsia="Arial" w:hAnsi="Arial" w:cs="Arial"/>
                <w:color w:val="000000"/>
                <w:highlight w:val="white"/>
              </w:rPr>
              <w:t xml:space="preserve">Las </w:t>
            </w:r>
            <w:r>
              <w:rPr>
                <w:rFonts w:ascii="Arial" w:eastAsia="Arial" w:hAnsi="Arial" w:cs="Arial"/>
                <w:highlight w:val="white"/>
              </w:rPr>
              <w:t>I</w:t>
            </w:r>
            <w:r>
              <w:rPr>
                <w:rFonts w:ascii="Arial" w:eastAsia="Arial" w:hAnsi="Arial" w:cs="Arial"/>
                <w:color w:val="000000"/>
                <w:highlight w:val="white"/>
              </w:rPr>
              <w:t xml:space="preserve">nstituciones </w:t>
            </w:r>
            <w:r>
              <w:rPr>
                <w:rFonts w:ascii="Arial" w:eastAsia="Arial" w:hAnsi="Arial" w:cs="Arial"/>
                <w:highlight w:val="white"/>
              </w:rPr>
              <w:t>P</w:t>
            </w:r>
            <w:r>
              <w:rPr>
                <w:rFonts w:ascii="Arial" w:eastAsia="Arial" w:hAnsi="Arial" w:cs="Arial"/>
                <w:color w:val="000000"/>
                <w:highlight w:val="white"/>
              </w:rPr>
              <w:t xml:space="preserve">restadoras de </w:t>
            </w:r>
            <w:r>
              <w:rPr>
                <w:rFonts w:ascii="Arial" w:eastAsia="Arial" w:hAnsi="Arial" w:cs="Arial"/>
                <w:highlight w:val="white"/>
              </w:rPr>
              <w:t>S</w:t>
            </w:r>
            <w:r>
              <w:rPr>
                <w:rFonts w:ascii="Arial" w:eastAsia="Arial" w:hAnsi="Arial" w:cs="Arial"/>
                <w:color w:val="000000"/>
                <w:highlight w:val="white"/>
              </w:rPr>
              <w:t xml:space="preserve">alud </w:t>
            </w:r>
            <w:r>
              <w:rPr>
                <w:rFonts w:ascii="Arial" w:eastAsia="Arial" w:hAnsi="Arial" w:cs="Arial"/>
                <w:b/>
                <w:bCs/>
                <w:color w:val="000000"/>
                <w:highlight w:val="white"/>
                <w:u w:val="single"/>
              </w:rPr>
              <w:t>(IPS)</w:t>
            </w:r>
            <w:r>
              <w:rPr>
                <w:rFonts w:ascii="Arial" w:eastAsia="Arial" w:hAnsi="Arial" w:cs="Arial"/>
                <w:color w:val="000000"/>
                <w:highlight w:val="white"/>
              </w:rPr>
              <w:t xml:space="preserve"> que realizan trasplantes podrán adquirir y utilizar máquinas de perfusión dinámica in situ y ex situ para donantes y para órganos, o las que existan de acuerdo a la técnica.</w:t>
            </w:r>
          </w:p>
          <w:p w14:paraId="00000658" w14:textId="77777777" w:rsidR="001C40B0" w:rsidRDefault="001C40B0">
            <w:pPr>
              <w:widowControl/>
              <w:pBdr>
                <w:top w:val="nil"/>
                <w:left w:val="nil"/>
                <w:bottom w:val="nil"/>
                <w:right w:val="nil"/>
                <w:between w:val="nil"/>
              </w:pBdr>
              <w:jc w:val="both"/>
              <w:rPr>
                <w:rFonts w:ascii="Arial" w:eastAsia="Arial" w:hAnsi="Arial" w:cs="Arial"/>
                <w:color w:val="000000"/>
                <w:highlight w:val="white"/>
              </w:rPr>
            </w:pPr>
          </w:p>
          <w:p w14:paraId="00000659" w14:textId="77777777" w:rsidR="001C40B0" w:rsidRDefault="00291712">
            <w:pPr>
              <w:widowControl/>
              <w:pBdr>
                <w:top w:val="nil"/>
                <w:left w:val="nil"/>
                <w:bottom w:val="nil"/>
                <w:right w:val="nil"/>
                <w:between w:val="nil"/>
              </w:pBdr>
              <w:jc w:val="both"/>
              <w:rPr>
                <w:rFonts w:ascii="Arial" w:eastAsia="Arial" w:hAnsi="Arial" w:cs="Arial"/>
                <w:color w:val="000000"/>
                <w:highlight w:val="white"/>
              </w:rPr>
            </w:pPr>
            <w:r>
              <w:rPr>
                <w:rFonts w:ascii="Arial" w:eastAsia="Arial" w:hAnsi="Arial" w:cs="Arial"/>
                <w:color w:val="000000"/>
                <w:highlight w:val="white"/>
              </w:rPr>
              <w:t xml:space="preserve">Se podrán implementar Centros de Perfusión Dinámica de iniciativa privada y/o pública. El gobierno nacional permitirá la creación de Centros de Perfusión Dinámica de órganos para trasplante en los centros hospitalarios trasplantadores. La reglamentación de estos centros y los criterios de asignación y distribución de los órganos allí perfundidos serán reglamentados de manera objetiva por el Instituto Nacional de Salud (INS), o quien haga </w:t>
            </w:r>
            <w:r>
              <w:rPr>
                <w:rFonts w:ascii="Arial" w:eastAsia="Arial" w:hAnsi="Arial" w:cs="Arial"/>
                <w:color w:val="000000"/>
                <w:highlight w:val="white"/>
              </w:rPr>
              <w:lastRenderedPageBreak/>
              <w:t xml:space="preserve">sus veces, junto con la </w:t>
            </w:r>
            <w:r>
              <w:rPr>
                <w:rFonts w:ascii="Arial" w:eastAsia="Arial" w:hAnsi="Arial" w:cs="Arial"/>
                <w:highlight w:val="white"/>
              </w:rPr>
              <w:t>C</w:t>
            </w:r>
            <w:r>
              <w:rPr>
                <w:rFonts w:ascii="Arial" w:eastAsia="Arial" w:hAnsi="Arial" w:cs="Arial"/>
                <w:color w:val="000000"/>
                <w:highlight w:val="white"/>
              </w:rPr>
              <w:t xml:space="preserve">omisión de </w:t>
            </w:r>
            <w:r>
              <w:rPr>
                <w:rFonts w:ascii="Arial" w:eastAsia="Arial" w:hAnsi="Arial" w:cs="Arial"/>
                <w:highlight w:val="white"/>
              </w:rPr>
              <w:t>E</w:t>
            </w:r>
            <w:r>
              <w:rPr>
                <w:rFonts w:ascii="Arial" w:eastAsia="Arial" w:hAnsi="Arial" w:cs="Arial"/>
                <w:color w:val="000000"/>
                <w:highlight w:val="white"/>
              </w:rPr>
              <w:t>xpertos que exista por cada órgano y tejido.</w:t>
            </w:r>
          </w:p>
          <w:p w14:paraId="0000065A" w14:textId="77777777" w:rsidR="001C40B0" w:rsidRDefault="001C40B0">
            <w:pPr>
              <w:widowControl/>
              <w:pBdr>
                <w:top w:val="nil"/>
                <w:left w:val="nil"/>
                <w:bottom w:val="nil"/>
                <w:right w:val="nil"/>
                <w:between w:val="nil"/>
              </w:pBdr>
              <w:jc w:val="both"/>
              <w:rPr>
                <w:rFonts w:ascii="Arial" w:eastAsia="Arial" w:hAnsi="Arial" w:cs="Arial"/>
                <w:color w:val="000000"/>
                <w:highlight w:val="white"/>
              </w:rPr>
            </w:pPr>
          </w:p>
          <w:p w14:paraId="0000065B" w14:textId="77777777" w:rsidR="001C40B0" w:rsidRDefault="00291712">
            <w:pPr>
              <w:widowControl/>
              <w:pBdr>
                <w:top w:val="nil"/>
                <w:left w:val="nil"/>
                <w:bottom w:val="nil"/>
                <w:right w:val="nil"/>
                <w:between w:val="nil"/>
              </w:pBdr>
              <w:jc w:val="both"/>
              <w:rPr>
                <w:rFonts w:ascii="Arial" w:eastAsia="Arial" w:hAnsi="Arial" w:cs="Arial"/>
                <w:color w:val="000000"/>
                <w:highlight w:val="white"/>
              </w:rPr>
            </w:pPr>
            <w:r>
              <w:rPr>
                <w:rFonts w:ascii="Arial" w:eastAsia="Arial" w:hAnsi="Arial" w:cs="Arial"/>
                <w:color w:val="000000"/>
                <w:highlight w:val="white"/>
              </w:rPr>
              <w:t xml:space="preserve">Los cargos presupuestales </w:t>
            </w:r>
            <w:r>
              <w:rPr>
                <w:rFonts w:ascii="Arial" w:eastAsia="Arial" w:hAnsi="Arial" w:cs="Arial"/>
                <w:b/>
                <w:bCs/>
                <w:color w:val="000000"/>
                <w:highlight w:val="white"/>
                <w:u w:val="single"/>
              </w:rPr>
              <w:t>asocia</w:t>
            </w:r>
            <w:r>
              <w:rPr>
                <w:rFonts w:ascii="Arial" w:eastAsia="Arial" w:hAnsi="Arial" w:cs="Arial"/>
                <w:b/>
                <w:bCs/>
                <w:highlight w:val="white"/>
                <w:u w:val="single"/>
              </w:rPr>
              <w:t xml:space="preserve">dos a la </w:t>
            </w:r>
            <w:r>
              <w:rPr>
                <w:rFonts w:ascii="Arial" w:eastAsia="Arial" w:hAnsi="Arial" w:cs="Arial"/>
                <w:color w:val="000000"/>
                <w:highlight w:val="white"/>
              </w:rPr>
              <w:t xml:space="preserve">perfusión, la logística </w:t>
            </w:r>
            <w:r>
              <w:rPr>
                <w:rFonts w:ascii="Arial" w:eastAsia="Arial" w:hAnsi="Arial" w:cs="Arial"/>
                <w:highlight w:val="white"/>
              </w:rPr>
              <w:t>y el</w:t>
            </w:r>
            <w:r>
              <w:rPr>
                <w:rFonts w:ascii="Arial" w:eastAsia="Arial" w:hAnsi="Arial" w:cs="Arial"/>
                <w:color w:val="000000"/>
                <w:highlight w:val="white"/>
              </w:rPr>
              <w:t xml:space="preserve"> transporte de dichos órganos serán asumidos por el sistema de salud con cargo </w:t>
            </w:r>
            <w:r>
              <w:rPr>
                <w:rFonts w:ascii="Arial" w:eastAsia="Arial" w:hAnsi="Arial" w:cs="Arial"/>
                <w:highlight w:val="white"/>
              </w:rPr>
              <w:t>a</w:t>
            </w:r>
            <w:r>
              <w:rPr>
                <w:rFonts w:ascii="Arial" w:eastAsia="Arial" w:hAnsi="Arial" w:cs="Arial"/>
                <w:color w:val="000000"/>
                <w:highlight w:val="white"/>
              </w:rPr>
              <w:t xml:space="preserve"> la UPC. </w:t>
            </w:r>
            <w:r>
              <w:rPr>
                <w:rFonts w:ascii="Arial" w:eastAsia="Arial" w:hAnsi="Arial" w:cs="Arial"/>
                <w:highlight w:val="white"/>
              </w:rPr>
              <w:t>L</w:t>
            </w:r>
            <w:r>
              <w:rPr>
                <w:rFonts w:ascii="Arial" w:eastAsia="Arial" w:hAnsi="Arial" w:cs="Arial"/>
                <w:color w:val="000000"/>
                <w:highlight w:val="white"/>
              </w:rPr>
              <w:t xml:space="preserve">os procedimientos específicos serán determinados por la </w:t>
            </w:r>
            <w:r>
              <w:rPr>
                <w:rFonts w:ascii="Arial" w:eastAsia="Arial" w:hAnsi="Arial" w:cs="Arial"/>
                <w:highlight w:val="white"/>
              </w:rPr>
              <w:t>D</w:t>
            </w:r>
            <w:r>
              <w:rPr>
                <w:rFonts w:ascii="Arial" w:eastAsia="Arial" w:hAnsi="Arial" w:cs="Arial"/>
                <w:color w:val="000000"/>
                <w:highlight w:val="white"/>
              </w:rPr>
              <w:t xml:space="preserve">irección de </w:t>
            </w:r>
            <w:r>
              <w:rPr>
                <w:rFonts w:ascii="Arial" w:eastAsia="Arial" w:hAnsi="Arial" w:cs="Arial"/>
                <w:highlight w:val="white"/>
              </w:rPr>
              <w:t>B</w:t>
            </w:r>
            <w:r>
              <w:rPr>
                <w:rFonts w:ascii="Arial" w:eastAsia="Arial" w:hAnsi="Arial" w:cs="Arial"/>
                <w:color w:val="000000"/>
                <w:highlight w:val="white"/>
              </w:rPr>
              <w:t xml:space="preserve">eneficios </w:t>
            </w:r>
            <w:r>
              <w:rPr>
                <w:rFonts w:ascii="Arial" w:eastAsia="Arial" w:hAnsi="Arial" w:cs="Arial"/>
                <w:highlight w:val="white"/>
              </w:rPr>
              <w:t>C</w:t>
            </w:r>
            <w:r>
              <w:rPr>
                <w:rFonts w:ascii="Arial" w:eastAsia="Arial" w:hAnsi="Arial" w:cs="Arial"/>
                <w:color w:val="000000"/>
                <w:highlight w:val="white"/>
              </w:rPr>
              <w:t xml:space="preserve">ostos y </w:t>
            </w:r>
            <w:r>
              <w:rPr>
                <w:rFonts w:ascii="Arial" w:eastAsia="Arial" w:hAnsi="Arial" w:cs="Arial"/>
                <w:highlight w:val="white"/>
              </w:rPr>
              <w:t>T</w:t>
            </w:r>
            <w:r>
              <w:rPr>
                <w:rFonts w:ascii="Arial" w:eastAsia="Arial" w:hAnsi="Arial" w:cs="Arial"/>
                <w:color w:val="000000"/>
                <w:highlight w:val="white"/>
              </w:rPr>
              <w:t>arifas del Ministerio de Salud y Protección Social.</w:t>
            </w:r>
          </w:p>
          <w:p w14:paraId="0000065C" w14:textId="77777777" w:rsidR="001C40B0" w:rsidRDefault="001C40B0">
            <w:pPr>
              <w:widowControl/>
              <w:pBdr>
                <w:top w:val="nil"/>
                <w:left w:val="nil"/>
                <w:bottom w:val="nil"/>
                <w:right w:val="nil"/>
                <w:between w:val="nil"/>
              </w:pBdr>
              <w:jc w:val="both"/>
              <w:rPr>
                <w:rFonts w:ascii="Arial" w:eastAsia="Arial" w:hAnsi="Arial" w:cs="Arial"/>
                <w:color w:val="000000"/>
                <w:highlight w:val="white"/>
              </w:rPr>
            </w:pPr>
          </w:p>
          <w:p w14:paraId="0000065D" w14:textId="77777777" w:rsidR="001C40B0" w:rsidRDefault="00291712">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highlight w:val="white"/>
              </w:rPr>
              <w:t>El gobierno nacional permitirá y facilitará la importación y/o producción nacional de los equipos de perfusión dinámica de órganos. Se autoriza al Ministerio de Salud para destinar un rubro presupuestal a la adquisición, mantenimiento y reemplazo de estos equipos.</w:t>
            </w:r>
          </w:p>
        </w:tc>
        <w:tc>
          <w:tcPr>
            <w:tcW w:w="2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5E" w14:textId="77777777" w:rsidR="001C40B0" w:rsidRDefault="00291712">
            <w:pPr>
              <w:rPr>
                <w:rFonts w:ascii="Arial" w:eastAsia="Arial" w:hAnsi="Arial" w:cs="Arial"/>
              </w:rPr>
            </w:pPr>
            <w:r>
              <w:rPr>
                <w:rFonts w:ascii="Arial" w:eastAsia="Arial" w:hAnsi="Arial" w:cs="Arial"/>
              </w:rPr>
              <w:lastRenderedPageBreak/>
              <w:t xml:space="preserve">Se ajusta la redacción. </w:t>
            </w:r>
          </w:p>
        </w:tc>
      </w:tr>
      <w:tr w:rsidR="001C40B0" w14:paraId="34E65737" w14:textId="77777777">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5F" w14:textId="77777777" w:rsidR="001C40B0" w:rsidRDefault="00291712">
            <w:pPr>
              <w:widowControl/>
              <w:jc w:val="both"/>
              <w:rPr>
                <w:rFonts w:ascii="Arial" w:eastAsia="Arial" w:hAnsi="Arial" w:cs="Arial"/>
              </w:rPr>
            </w:pPr>
            <w:r>
              <w:rPr>
                <w:rFonts w:ascii="Arial" w:eastAsia="Arial" w:hAnsi="Arial" w:cs="Arial"/>
                <w:b/>
                <w:bCs/>
              </w:rPr>
              <w:lastRenderedPageBreak/>
              <w:t xml:space="preserve">ARTÍCULO 19. COMPONENTES ANATÓMICOS PARA INVESTIGACIÓN. </w:t>
            </w:r>
            <w:r>
              <w:rPr>
                <w:rFonts w:ascii="Arial" w:eastAsia="Arial" w:hAnsi="Arial" w:cs="Arial"/>
              </w:rPr>
              <w:t xml:space="preserve">Los componentes anatómicos utilizados para investigación deberán rescatarse por IPS trasplantadoras y bancos de tejidos inscritos ante el Instituto Nacional de Salud (INS) o quien haga sus veces, las cuales deberán presentar un proyecto de investigación que  cumpla la aprobación por comité de ética institucional y además sean remitidos, registrados, aprobados y difundidos por el Instituto Nacional de Salud (INS) o </w:t>
            </w:r>
            <w:r>
              <w:rPr>
                <w:rFonts w:ascii="Arial" w:eastAsia="Arial" w:hAnsi="Arial" w:cs="Arial"/>
              </w:rPr>
              <w:lastRenderedPageBreak/>
              <w:t>quien haga sus veces para su desarrollo.</w:t>
            </w:r>
          </w:p>
          <w:p w14:paraId="00000660" w14:textId="77777777" w:rsidR="001C40B0" w:rsidRDefault="00291712">
            <w:pPr>
              <w:widowControl/>
              <w:jc w:val="both"/>
              <w:rPr>
                <w:rFonts w:ascii="Arial" w:eastAsia="Arial" w:hAnsi="Arial" w:cs="Arial"/>
              </w:rPr>
            </w:pPr>
            <w:r>
              <w:rPr>
                <w:rFonts w:ascii="Arial" w:eastAsia="Arial" w:hAnsi="Arial" w:cs="Arial"/>
              </w:rPr>
              <w:t xml:space="preserve"> </w:t>
            </w:r>
          </w:p>
          <w:p w14:paraId="00000661" w14:textId="77777777" w:rsidR="001C40B0" w:rsidRDefault="00291712">
            <w:pPr>
              <w:widowControl/>
              <w:jc w:val="both"/>
              <w:rPr>
                <w:rFonts w:ascii="Arial" w:eastAsia="Arial" w:hAnsi="Arial" w:cs="Arial"/>
              </w:rPr>
            </w:pPr>
            <w:r>
              <w:rPr>
                <w:rFonts w:ascii="Arial" w:eastAsia="Arial" w:hAnsi="Arial" w:cs="Arial"/>
              </w:rPr>
              <w:t>Los tejidos rescatados que no cumplan los criterios de calidad para el trasplante, podrán ser utilizados para investigación y docencia, siempre que se reporte al Instituto Nacional de Salud (INS) o quien haga sus veces y se cumpla con los la cadena de custodia y estándares de disposición final.</w:t>
            </w:r>
          </w:p>
        </w:tc>
        <w:tc>
          <w:tcPr>
            <w:tcW w:w="32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662" w14:textId="77777777" w:rsidR="001C40B0" w:rsidRDefault="00291712">
            <w:pPr>
              <w:jc w:val="both"/>
              <w:rPr>
                <w:rFonts w:ascii="Arial" w:eastAsia="Arial" w:hAnsi="Arial" w:cs="Arial"/>
              </w:rPr>
            </w:pPr>
            <w:r>
              <w:rPr>
                <w:rFonts w:ascii="Arial" w:eastAsia="Arial" w:hAnsi="Arial" w:cs="Arial"/>
                <w:b/>
                <w:bCs/>
              </w:rPr>
              <w:lastRenderedPageBreak/>
              <w:t xml:space="preserve">ARTÍCULO 19. COMPONENTES ANATÓMICOS PARA INVESTIGACIÓN. </w:t>
            </w:r>
            <w:r>
              <w:rPr>
                <w:rFonts w:ascii="Arial" w:eastAsia="Arial" w:hAnsi="Arial" w:cs="Arial"/>
              </w:rPr>
              <w:t xml:space="preserve">Los componentes anatómicos utilizados para investigación deberán rescatarse por </w:t>
            </w:r>
            <w:r>
              <w:rPr>
                <w:rFonts w:ascii="Arial" w:eastAsia="Arial" w:hAnsi="Arial" w:cs="Arial"/>
                <w:b/>
                <w:bCs/>
                <w:u w:val="single"/>
              </w:rPr>
              <w:t>las Instituciones Prestadoras de Salud</w:t>
            </w:r>
            <w:r>
              <w:rPr>
                <w:rFonts w:ascii="Arial" w:eastAsia="Arial" w:hAnsi="Arial" w:cs="Arial"/>
              </w:rPr>
              <w:t xml:space="preserve"> (IPS) trasplantadoras y bancos de tejidos inscritos ante el Instituto Nacional de Salud (INS), o quien haga sus veces. </w:t>
            </w:r>
            <w:r>
              <w:rPr>
                <w:rFonts w:ascii="Arial" w:eastAsia="Arial" w:hAnsi="Arial" w:cs="Arial"/>
                <w:strike/>
              </w:rPr>
              <w:t xml:space="preserve">las cuales </w:t>
            </w:r>
            <w:r>
              <w:rPr>
                <w:rFonts w:ascii="Arial" w:eastAsia="Arial" w:hAnsi="Arial" w:cs="Arial"/>
                <w:b/>
                <w:bCs/>
                <w:u w:val="single"/>
              </w:rPr>
              <w:t>Para ello</w:t>
            </w:r>
            <w:r>
              <w:rPr>
                <w:rFonts w:ascii="Arial" w:eastAsia="Arial" w:hAnsi="Arial" w:cs="Arial"/>
              </w:rPr>
              <w:t xml:space="preserve">, deberán presentar un proyecto de investigación </w:t>
            </w:r>
            <w:r>
              <w:rPr>
                <w:rFonts w:ascii="Arial" w:eastAsia="Arial" w:hAnsi="Arial" w:cs="Arial"/>
                <w:b/>
                <w:bCs/>
                <w:u w:val="single"/>
              </w:rPr>
              <w:t>aprobado</w:t>
            </w:r>
            <w:r>
              <w:rPr>
                <w:rFonts w:ascii="Arial" w:eastAsia="Arial" w:hAnsi="Arial" w:cs="Arial"/>
              </w:rPr>
              <w:t xml:space="preserve"> </w:t>
            </w:r>
            <w:r>
              <w:rPr>
                <w:rFonts w:ascii="Arial" w:eastAsia="Arial" w:hAnsi="Arial" w:cs="Arial"/>
                <w:strike/>
              </w:rPr>
              <w:t>que  cumpla la aprobación</w:t>
            </w:r>
            <w:r>
              <w:rPr>
                <w:rFonts w:ascii="Arial" w:eastAsia="Arial" w:hAnsi="Arial" w:cs="Arial"/>
              </w:rPr>
              <w:t xml:space="preserve"> por el comité de ética institucional </w:t>
            </w:r>
            <w:r>
              <w:rPr>
                <w:rFonts w:ascii="Arial" w:eastAsia="Arial" w:hAnsi="Arial" w:cs="Arial"/>
                <w:b/>
                <w:bCs/>
                <w:u w:val="single"/>
              </w:rPr>
              <w:t>correspondiente</w:t>
            </w:r>
            <w:r>
              <w:rPr>
                <w:rFonts w:ascii="Arial" w:eastAsia="Arial" w:hAnsi="Arial" w:cs="Arial"/>
              </w:rPr>
              <w:t xml:space="preserve"> y, además, </w:t>
            </w:r>
            <w:r>
              <w:rPr>
                <w:rFonts w:ascii="Arial" w:eastAsia="Arial" w:hAnsi="Arial" w:cs="Arial"/>
                <w:b/>
                <w:bCs/>
                <w:u w:val="single"/>
              </w:rPr>
              <w:t>deberán</w:t>
            </w:r>
            <w:r>
              <w:rPr>
                <w:rFonts w:ascii="Arial" w:eastAsia="Arial" w:hAnsi="Arial" w:cs="Arial"/>
              </w:rPr>
              <w:t xml:space="preserve"> ser </w:t>
            </w:r>
            <w:r>
              <w:rPr>
                <w:rFonts w:ascii="Arial" w:eastAsia="Arial" w:hAnsi="Arial" w:cs="Arial"/>
                <w:strike/>
              </w:rPr>
              <w:t xml:space="preserve">sean </w:t>
            </w:r>
            <w:r>
              <w:rPr>
                <w:rFonts w:ascii="Arial" w:eastAsia="Arial" w:hAnsi="Arial" w:cs="Arial"/>
              </w:rPr>
              <w:t xml:space="preserve">remitidos, registrados, aprobados y </w:t>
            </w:r>
            <w:r>
              <w:rPr>
                <w:rFonts w:ascii="Arial" w:eastAsia="Arial" w:hAnsi="Arial" w:cs="Arial"/>
              </w:rPr>
              <w:lastRenderedPageBreak/>
              <w:t>difundidos por el Instituto Nacional de Salud (INS), o quien haga sus veces para su desarrollo.</w:t>
            </w:r>
          </w:p>
          <w:p w14:paraId="00000663" w14:textId="77777777" w:rsidR="001C40B0" w:rsidRDefault="00291712">
            <w:pPr>
              <w:jc w:val="both"/>
              <w:rPr>
                <w:rFonts w:ascii="Arial" w:eastAsia="Arial" w:hAnsi="Arial" w:cs="Arial"/>
              </w:rPr>
            </w:pPr>
            <w:r>
              <w:rPr>
                <w:rFonts w:ascii="Arial" w:eastAsia="Arial" w:hAnsi="Arial" w:cs="Arial"/>
              </w:rPr>
              <w:t xml:space="preserve"> </w:t>
            </w:r>
          </w:p>
          <w:p w14:paraId="00000664" w14:textId="77777777" w:rsidR="001C40B0" w:rsidRDefault="00291712">
            <w:pPr>
              <w:spacing w:after="160"/>
              <w:jc w:val="both"/>
              <w:rPr>
                <w:rFonts w:ascii="Arial" w:eastAsia="Arial" w:hAnsi="Arial" w:cs="Arial"/>
              </w:rPr>
            </w:pPr>
            <w:r>
              <w:rPr>
                <w:rFonts w:ascii="Arial" w:eastAsia="Arial" w:hAnsi="Arial" w:cs="Arial"/>
              </w:rPr>
              <w:t xml:space="preserve">Los tejidos rescatados que no cumplan los criterios de calidad para el trasplante, podrán ser utilizados para investigación y docencia, siempre que se reporte </w:t>
            </w:r>
            <w:r>
              <w:rPr>
                <w:rFonts w:ascii="Arial" w:eastAsia="Arial" w:hAnsi="Arial" w:cs="Arial"/>
                <w:b/>
                <w:bCs/>
                <w:u w:val="single"/>
              </w:rPr>
              <w:t>su destinación</w:t>
            </w:r>
            <w:r>
              <w:rPr>
                <w:rFonts w:ascii="Arial" w:eastAsia="Arial" w:hAnsi="Arial" w:cs="Arial"/>
              </w:rPr>
              <w:t xml:space="preserve"> al Instituto Nacional de Salud (INS), o quien haga sus veces y se cumpla con </w:t>
            </w:r>
            <w:r>
              <w:rPr>
                <w:rFonts w:ascii="Arial" w:eastAsia="Arial" w:hAnsi="Arial" w:cs="Arial"/>
                <w:strike/>
              </w:rPr>
              <w:t>los</w:t>
            </w:r>
            <w:r>
              <w:rPr>
                <w:rFonts w:ascii="Arial" w:eastAsia="Arial" w:hAnsi="Arial" w:cs="Arial"/>
              </w:rPr>
              <w:t xml:space="preserve"> la cadena de custodia y los estándares de disposición final.</w:t>
            </w:r>
          </w:p>
        </w:tc>
        <w:tc>
          <w:tcPr>
            <w:tcW w:w="2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65" w14:textId="77777777" w:rsidR="001C40B0" w:rsidRDefault="00291712">
            <w:pPr>
              <w:pBdr>
                <w:top w:val="nil"/>
                <w:left w:val="nil"/>
                <w:bottom w:val="nil"/>
                <w:right w:val="nil"/>
                <w:between w:val="nil"/>
              </w:pBdr>
              <w:jc w:val="both"/>
              <w:rPr>
                <w:rFonts w:ascii="Arial" w:eastAsia="Arial" w:hAnsi="Arial" w:cs="Arial"/>
                <w:color w:val="000000"/>
              </w:rPr>
            </w:pPr>
            <w:r>
              <w:rPr>
                <w:rFonts w:ascii="Arial" w:eastAsia="Arial" w:hAnsi="Arial" w:cs="Arial"/>
              </w:rPr>
              <w:lastRenderedPageBreak/>
              <w:t xml:space="preserve">Se ajusta la redacción. </w:t>
            </w:r>
          </w:p>
        </w:tc>
      </w:tr>
      <w:tr w:rsidR="001C40B0" w14:paraId="03ACA782" w14:textId="77777777">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66" w14:textId="77777777" w:rsidR="001C40B0" w:rsidRDefault="00291712">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lastRenderedPageBreak/>
              <w:t>ARTÍCULO 20. Modifíquese el artículo 19° de la Ley 1805 de 2016, el cual</w:t>
            </w:r>
            <w:r>
              <w:rPr>
                <w:rFonts w:ascii="Arial" w:eastAsia="Arial" w:hAnsi="Arial" w:cs="Arial"/>
                <w:color w:val="000000"/>
              </w:rPr>
              <w:t xml:space="preserve"> </w:t>
            </w:r>
            <w:r>
              <w:rPr>
                <w:rFonts w:ascii="Arial" w:eastAsia="Arial" w:hAnsi="Arial" w:cs="Arial"/>
                <w:b/>
                <w:bCs/>
                <w:color w:val="000000"/>
              </w:rPr>
              <w:t>quedará así:</w:t>
            </w:r>
          </w:p>
          <w:p w14:paraId="00000667" w14:textId="77777777" w:rsidR="001C40B0" w:rsidRDefault="001C40B0">
            <w:pPr>
              <w:pBdr>
                <w:top w:val="nil"/>
                <w:left w:val="nil"/>
                <w:bottom w:val="nil"/>
                <w:right w:val="nil"/>
                <w:between w:val="nil"/>
              </w:pBdr>
              <w:jc w:val="both"/>
              <w:rPr>
                <w:rFonts w:ascii="Arial" w:eastAsia="Arial" w:hAnsi="Arial" w:cs="Arial"/>
                <w:color w:val="000000"/>
              </w:rPr>
            </w:pPr>
          </w:p>
          <w:p w14:paraId="00000668" w14:textId="77777777" w:rsidR="001C40B0" w:rsidRDefault="0029171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Los trasplantes de otros órganos o tejidos compuestos que se introduzcan al país como método de tratamiento o manejo de condiciones establecidas por la literatura médica mundial, deberán cumplir los requisitos de habilitación. </w:t>
            </w:r>
          </w:p>
          <w:p w14:paraId="00000669" w14:textId="77777777" w:rsidR="001C40B0" w:rsidRDefault="001C40B0">
            <w:pPr>
              <w:pBdr>
                <w:top w:val="nil"/>
                <w:left w:val="nil"/>
                <w:bottom w:val="nil"/>
                <w:right w:val="nil"/>
                <w:between w:val="nil"/>
              </w:pBdr>
              <w:jc w:val="both"/>
              <w:rPr>
                <w:rFonts w:ascii="Arial" w:eastAsia="Arial" w:hAnsi="Arial" w:cs="Arial"/>
                <w:color w:val="000000"/>
              </w:rPr>
            </w:pPr>
          </w:p>
          <w:p w14:paraId="0000066A" w14:textId="77777777" w:rsidR="001C40B0" w:rsidRDefault="0029171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En todo caso, en el evento que un tejido compuesto se llegue a considerar como un dispositivo médico, el mismo deberá cumplir con los requisitos que establezca el INVIMA para la materia. Se deberá garantizar que los dispositivos médicos que ingresen al país no correspondan a tejidos de origen humano, salvo aquellos regulados expresamente por la normatividad vigente en materia de donación y trasplantes.</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6B" w14:textId="77777777" w:rsidR="001C40B0" w:rsidRDefault="00291712">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ARTÍCULO 20. Modifíquese el artículo 19° de la Ley 1805 de 2016, el cual</w:t>
            </w:r>
            <w:r>
              <w:rPr>
                <w:rFonts w:ascii="Arial" w:eastAsia="Arial" w:hAnsi="Arial" w:cs="Arial"/>
                <w:color w:val="000000"/>
              </w:rPr>
              <w:t xml:space="preserve"> </w:t>
            </w:r>
            <w:r>
              <w:rPr>
                <w:rFonts w:ascii="Arial" w:eastAsia="Arial" w:hAnsi="Arial" w:cs="Arial"/>
                <w:b/>
                <w:bCs/>
                <w:color w:val="000000"/>
              </w:rPr>
              <w:t>quedará así:</w:t>
            </w:r>
          </w:p>
          <w:p w14:paraId="0000066C" w14:textId="77777777" w:rsidR="001C40B0" w:rsidRDefault="001C40B0">
            <w:pPr>
              <w:pBdr>
                <w:top w:val="nil"/>
                <w:left w:val="nil"/>
                <w:bottom w:val="nil"/>
                <w:right w:val="nil"/>
                <w:between w:val="nil"/>
              </w:pBdr>
              <w:jc w:val="both"/>
              <w:rPr>
                <w:rFonts w:ascii="Arial" w:eastAsia="Arial" w:hAnsi="Arial" w:cs="Arial"/>
                <w:color w:val="000000"/>
              </w:rPr>
            </w:pPr>
          </w:p>
          <w:p w14:paraId="0000066D" w14:textId="77777777" w:rsidR="001C40B0" w:rsidRDefault="0029171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Los trasplantes de otros órganos o tejidos compuestos que se introduzcan al país como método de tratamiento o manejo de condiciones establecidas por la literatura médica mundial, deberán cumplir los requisitos de habilitación. </w:t>
            </w:r>
          </w:p>
          <w:p w14:paraId="0000066E" w14:textId="77777777" w:rsidR="001C40B0" w:rsidRDefault="001C40B0">
            <w:pPr>
              <w:pBdr>
                <w:top w:val="nil"/>
                <w:left w:val="nil"/>
                <w:bottom w:val="nil"/>
                <w:right w:val="nil"/>
                <w:between w:val="nil"/>
              </w:pBdr>
              <w:jc w:val="both"/>
              <w:rPr>
                <w:rFonts w:ascii="Arial" w:eastAsia="Arial" w:hAnsi="Arial" w:cs="Arial"/>
                <w:color w:val="000000"/>
              </w:rPr>
            </w:pPr>
          </w:p>
          <w:p w14:paraId="0000066F" w14:textId="77777777" w:rsidR="001C40B0" w:rsidRDefault="0029171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En todo caso, en el evento que un tejido compuesto se llegue a considerar como un dispositivo médico, el mismo deberá cumplir con los requisitos que establezca el INVIMA para la materia. Se deberá garantizar que los dispositivos médicos que ingresen al país no correspondan a tejidos de origen humano, salvo aquellos regulados expresamente por la normatividad vigente en materia de donación y trasplantes.</w:t>
            </w:r>
          </w:p>
        </w:tc>
        <w:tc>
          <w:tcPr>
            <w:tcW w:w="2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70" w14:textId="77777777" w:rsidR="001C40B0" w:rsidRDefault="00291712">
            <w:pPr>
              <w:pBdr>
                <w:top w:val="nil"/>
                <w:left w:val="nil"/>
                <w:bottom w:val="nil"/>
                <w:right w:val="nil"/>
                <w:between w:val="nil"/>
              </w:pBdr>
              <w:jc w:val="both"/>
              <w:rPr>
                <w:rFonts w:ascii="Arial" w:eastAsia="Arial" w:hAnsi="Arial" w:cs="Arial"/>
              </w:rPr>
            </w:pPr>
            <w:r>
              <w:rPr>
                <w:rFonts w:ascii="Arial" w:eastAsia="Arial" w:hAnsi="Arial" w:cs="Arial"/>
              </w:rPr>
              <w:t xml:space="preserve">Sin modificaciones. </w:t>
            </w:r>
          </w:p>
        </w:tc>
      </w:tr>
      <w:tr w:rsidR="001C40B0" w14:paraId="11A2E77E" w14:textId="77777777">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71"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lastRenderedPageBreak/>
              <w:t xml:space="preserve">ARTÍCULO 21. DONANTE UNIVERSAL. </w:t>
            </w:r>
            <w:r>
              <w:rPr>
                <w:rFonts w:ascii="Arial" w:eastAsia="Arial" w:hAnsi="Arial" w:cs="Arial"/>
                <w:color w:val="000000"/>
              </w:rPr>
              <w:t>La gestión de donación que realicen las unidades de gestión operativa de la donación propenderá por asegurar la donación completa de órganos y tejidos de todos los donantes. La definición de los órganos y tejidos que finalmente se extraigan se definirá con base en criterios técnicos que serán auditados en forma sistemática por el Instituto Nacional de Salud o quien haga sus veces.</w:t>
            </w:r>
          </w:p>
          <w:p w14:paraId="00000672"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673" w14:textId="77777777" w:rsidR="001C40B0" w:rsidRDefault="00291712">
            <w:pPr>
              <w:jc w:val="both"/>
              <w:rPr>
                <w:rFonts w:ascii="Arial" w:eastAsia="Arial" w:hAnsi="Arial" w:cs="Arial"/>
              </w:rPr>
            </w:pPr>
            <w:r>
              <w:rPr>
                <w:rFonts w:ascii="Arial" w:eastAsia="Arial" w:hAnsi="Arial" w:cs="Arial"/>
              </w:rPr>
              <w:t>Los grupos de trasplante y bancos de tejidos también propenderán por el rescate de órganos y tejidos en donantes cadavéricos con muerte encefálica o parada cardiaca atendiendo las necesidades nacionales de donación.</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74" w14:textId="77777777" w:rsidR="001C40B0" w:rsidRDefault="00291712">
            <w:pPr>
              <w:widowControl/>
              <w:pBdr>
                <w:top w:val="nil"/>
                <w:left w:val="nil"/>
                <w:bottom w:val="nil"/>
                <w:right w:val="nil"/>
                <w:between w:val="nil"/>
              </w:pBdr>
              <w:jc w:val="both"/>
              <w:rPr>
                <w:rFonts w:ascii="Arial" w:eastAsia="Arial" w:hAnsi="Arial" w:cs="Arial"/>
                <w:color w:val="000000"/>
                <w:highlight w:val="white"/>
              </w:rPr>
            </w:pPr>
            <w:r>
              <w:rPr>
                <w:rFonts w:ascii="Arial" w:eastAsia="Arial" w:hAnsi="Arial" w:cs="Arial"/>
                <w:b/>
                <w:bCs/>
                <w:color w:val="000000"/>
                <w:highlight w:val="white"/>
              </w:rPr>
              <w:t xml:space="preserve">ARTÍCULO 21. DONANTE UNIVERSAL. </w:t>
            </w:r>
            <w:r>
              <w:rPr>
                <w:rFonts w:ascii="Arial" w:eastAsia="Arial" w:hAnsi="Arial" w:cs="Arial"/>
                <w:color w:val="000000"/>
                <w:highlight w:val="white"/>
              </w:rPr>
              <w:t xml:space="preserve">La gestión de donación que realicen las unidades de gestión operativa de la donación propenderá por asegurar la donación completa de </w:t>
            </w:r>
            <w:r>
              <w:rPr>
                <w:rFonts w:ascii="Arial" w:eastAsia="Arial" w:hAnsi="Arial" w:cs="Arial"/>
                <w:highlight w:val="white"/>
              </w:rPr>
              <w:t>órganos</w:t>
            </w:r>
            <w:r>
              <w:rPr>
                <w:rFonts w:ascii="Arial" w:eastAsia="Arial" w:hAnsi="Arial" w:cs="Arial"/>
                <w:b/>
                <w:bCs/>
                <w:highlight w:val="white"/>
                <w:u w:val="single"/>
              </w:rPr>
              <w:t>,</w:t>
            </w:r>
            <w:r>
              <w:rPr>
                <w:rFonts w:ascii="Arial" w:eastAsia="Arial" w:hAnsi="Arial" w:cs="Arial"/>
                <w:highlight w:val="white"/>
              </w:rPr>
              <w:t xml:space="preserve"> </w:t>
            </w:r>
            <w:r>
              <w:rPr>
                <w:rFonts w:ascii="Arial" w:eastAsia="Arial" w:hAnsi="Arial" w:cs="Arial"/>
                <w:strike/>
                <w:highlight w:val="white"/>
              </w:rPr>
              <w:t xml:space="preserve">y </w:t>
            </w:r>
            <w:r>
              <w:rPr>
                <w:rFonts w:ascii="Arial" w:eastAsia="Arial" w:hAnsi="Arial" w:cs="Arial"/>
                <w:highlight w:val="white"/>
              </w:rPr>
              <w:t>tejidos</w:t>
            </w:r>
            <w:r>
              <w:rPr>
                <w:rFonts w:ascii="Arial" w:eastAsia="Arial" w:hAnsi="Arial" w:cs="Arial"/>
                <w:b/>
                <w:bCs/>
                <w:highlight w:val="white"/>
              </w:rPr>
              <w:t xml:space="preserve">, </w:t>
            </w:r>
            <w:r>
              <w:rPr>
                <w:rFonts w:ascii="Arial" w:eastAsia="Arial" w:hAnsi="Arial" w:cs="Arial"/>
                <w:b/>
                <w:bCs/>
                <w:highlight w:val="white"/>
                <w:u w:val="single"/>
              </w:rPr>
              <w:t>células</w:t>
            </w:r>
            <w:r>
              <w:rPr>
                <w:rFonts w:ascii="Arial" w:eastAsia="Arial" w:hAnsi="Arial" w:cs="Arial"/>
                <w:highlight w:val="white"/>
              </w:rPr>
              <w:t xml:space="preserve"> </w:t>
            </w:r>
            <w:r>
              <w:rPr>
                <w:rFonts w:ascii="Arial" w:eastAsia="Arial" w:hAnsi="Arial" w:cs="Arial"/>
                <w:b/>
                <w:bCs/>
                <w:highlight w:val="white"/>
                <w:u w:val="single"/>
              </w:rPr>
              <w:t>y derivados</w:t>
            </w:r>
            <w:r>
              <w:rPr>
                <w:rFonts w:ascii="Arial" w:eastAsia="Arial" w:hAnsi="Arial" w:cs="Arial"/>
                <w:highlight w:val="white"/>
              </w:rPr>
              <w:t xml:space="preserve"> </w:t>
            </w:r>
            <w:r>
              <w:rPr>
                <w:rFonts w:ascii="Arial" w:eastAsia="Arial" w:hAnsi="Arial" w:cs="Arial"/>
                <w:color w:val="000000"/>
                <w:highlight w:val="white"/>
              </w:rPr>
              <w:t xml:space="preserve">de todos los donantes. La </w:t>
            </w:r>
            <w:r>
              <w:rPr>
                <w:rFonts w:ascii="Arial" w:eastAsia="Arial" w:hAnsi="Arial" w:cs="Arial"/>
                <w:strike/>
                <w:color w:val="000000"/>
                <w:highlight w:val="white"/>
              </w:rPr>
              <w:t>definición</w:t>
            </w:r>
            <w:r>
              <w:rPr>
                <w:rFonts w:ascii="Arial" w:eastAsia="Arial" w:hAnsi="Arial" w:cs="Arial"/>
                <w:color w:val="000000"/>
                <w:highlight w:val="white"/>
              </w:rPr>
              <w:t xml:space="preserve"> </w:t>
            </w:r>
            <w:r>
              <w:rPr>
                <w:rFonts w:ascii="Arial" w:eastAsia="Arial" w:hAnsi="Arial" w:cs="Arial"/>
                <w:b/>
                <w:bCs/>
                <w:highlight w:val="white"/>
                <w:u w:val="single"/>
              </w:rPr>
              <w:t>determinación</w:t>
            </w:r>
            <w:r>
              <w:rPr>
                <w:rFonts w:ascii="Arial" w:eastAsia="Arial" w:hAnsi="Arial" w:cs="Arial"/>
                <w:b/>
                <w:bCs/>
                <w:highlight w:val="white"/>
              </w:rPr>
              <w:t xml:space="preserve"> </w:t>
            </w:r>
            <w:r>
              <w:rPr>
                <w:rFonts w:ascii="Arial" w:eastAsia="Arial" w:hAnsi="Arial" w:cs="Arial"/>
                <w:color w:val="000000"/>
                <w:highlight w:val="white"/>
              </w:rPr>
              <w:t xml:space="preserve">de los </w:t>
            </w:r>
            <w:r>
              <w:rPr>
                <w:rFonts w:ascii="Arial" w:eastAsia="Arial" w:hAnsi="Arial" w:cs="Arial"/>
                <w:highlight w:val="white"/>
              </w:rPr>
              <w:t>órganos</w:t>
            </w:r>
            <w:r>
              <w:rPr>
                <w:rFonts w:ascii="Arial" w:eastAsia="Arial" w:hAnsi="Arial" w:cs="Arial"/>
                <w:b/>
                <w:bCs/>
                <w:highlight w:val="white"/>
                <w:u w:val="single"/>
              </w:rPr>
              <w:t>,</w:t>
            </w:r>
            <w:r>
              <w:rPr>
                <w:rFonts w:ascii="Arial" w:eastAsia="Arial" w:hAnsi="Arial" w:cs="Arial"/>
                <w:highlight w:val="white"/>
              </w:rPr>
              <w:t xml:space="preserve"> </w:t>
            </w:r>
            <w:r>
              <w:rPr>
                <w:rFonts w:ascii="Arial" w:eastAsia="Arial" w:hAnsi="Arial" w:cs="Arial"/>
                <w:strike/>
                <w:highlight w:val="white"/>
              </w:rPr>
              <w:t xml:space="preserve">y </w:t>
            </w:r>
            <w:r>
              <w:rPr>
                <w:rFonts w:ascii="Arial" w:eastAsia="Arial" w:hAnsi="Arial" w:cs="Arial"/>
                <w:highlight w:val="white"/>
              </w:rPr>
              <w:t>tejidos</w:t>
            </w:r>
            <w:r>
              <w:rPr>
                <w:rFonts w:ascii="Arial" w:eastAsia="Arial" w:hAnsi="Arial" w:cs="Arial"/>
                <w:b/>
                <w:bCs/>
                <w:highlight w:val="white"/>
              </w:rPr>
              <w:t xml:space="preserve">, </w:t>
            </w:r>
            <w:r>
              <w:rPr>
                <w:rFonts w:ascii="Arial" w:eastAsia="Arial" w:hAnsi="Arial" w:cs="Arial"/>
                <w:b/>
                <w:bCs/>
                <w:highlight w:val="white"/>
                <w:u w:val="single"/>
              </w:rPr>
              <w:t>células</w:t>
            </w:r>
            <w:r>
              <w:rPr>
                <w:rFonts w:ascii="Arial" w:eastAsia="Arial" w:hAnsi="Arial" w:cs="Arial"/>
                <w:highlight w:val="white"/>
              </w:rPr>
              <w:t xml:space="preserve"> </w:t>
            </w:r>
            <w:r>
              <w:rPr>
                <w:rFonts w:ascii="Arial" w:eastAsia="Arial" w:hAnsi="Arial" w:cs="Arial"/>
                <w:b/>
                <w:bCs/>
                <w:highlight w:val="white"/>
                <w:u w:val="single"/>
              </w:rPr>
              <w:t>y derivados</w:t>
            </w:r>
            <w:r>
              <w:rPr>
                <w:rFonts w:ascii="Arial" w:eastAsia="Arial" w:hAnsi="Arial" w:cs="Arial"/>
                <w:highlight w:val="white"/>
              </w:rPr>
              <w:t xml:space="preserve"> </w:t>
            </w:r>
            <w:r>
              <w:rPr>
                <w:rFonts w:ascii="Arial" w:eastAsia="Arial" w:hAnsi="Arial" w:cs="Arial"/>
                <w:color w:val="000000"/>
                <w:highlight w:val="white"/>
              </w:rPr>
              <w:t xml:space="preserve"> que finalmente se extraigan se definirá con base en criterios técnicos que serán auditados en forma sistemática por el Instituto Nacional de Salud </w:t>
            </w:r>
            <w:r>
              <w:rPr>
                <w:rFonts w:ascii="Arial" w:eastAsia="Arial" w:hAnsi="Arial" w:cs="Arial"/>
                <w:b/>
                <w:bCs/>
                <w:color w:val="000000"/>
                <w:highlight w:val="white"/>
                <w:u w:val="single"/>
              </w:rPr>
              <w:t>(</w:t>
            </w:r>
            <w:r>
              <w:rPr>
                <w:rFonts w:ascii="Arial" w:eastAsia="Arial" w:hAnsi="Arial" w:cs="Arial"/>
                <w:b/>
                <w:bCs/>
                <w:highlight w:val="white"/>
                <w:u w:val="single"/>
              </w:rPr>
              <w:t>INS)</w:t>
            </w:r>
            <w:r>
              <w:rPr>
                <w:rFonts w:ascii="Arial" w:eastAsia="Arial" w:hAnsi="Arial" w:cs="Arial"/>
                <w:highlight w:val="white"/>
              </w:rPr>
              <w:t xml:space="preserve"> </w:t>
            </w:r>
            <w:r>
              <w:rPr>
                <w:rFonts w:ascii="Arial" w:eastAsia="Arial" w:hAnsi="Arial" w:cs="Arial"/>
                <w:color w:val="000000"/>
                <w:highlight w:val="white"/>
              </w:rPr>
              <w:t>o quien haga sus veces.</w:t>
            </w:r>
          </w:p>
          <w:p w14:paraId="00000675" w14:textId="77777777" w:rsidR="001C40B0" w:rsidRDefault="001C40B0">
            <w:pPr>
              <w:widowControl/>
              <w:pBdr>
                <w:top w:val="nil"/>
                <w:left w:val="nil"/>
                <w:bottom w:val="nil"/>
                <w:right w:val="nil"/>
                <w:between w:val="nil"/>
              </w:pBdr>
              <w:jc w:val="both"/>
              <w:rPr>
                <w:rFonts w:ascii="Arial" w:eastAsia="Arial" w:hAnsi="Arial" w:cs="Arial"/>
                <w:color w:val="000000"/>
                <w:highlight w:val="white"/>
              </w:rPr>
            </w:pPr>
          </w:p>
          <w:p w14:paraId="00000676" w14:textId="77777777" w:rsidR="001C40B0" w:rsidRDefault="00291712">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highlight w:val="white"/>
              </w:rPr>
              <w:t>Los grupos de trasplante y bancos de tejidos también propenderán por el rescate de órganos</w:t>
            </w:r>
            <w:r>
              <w:rPr>
                <w:rFonts w:ascii="Arial" w:eastAsia="Arial" w:hAnsi="Arial" w:cs="Arial"/>
                <w:b/>
                <w:bCs/>
                <w:highlight w:val="white"/>
                <w:u w:val="single"/>
              </w:rPr>
              <w:t>,</w:t>
            </w:r>
            <w:r>
              <w:rPr>
                <w:rFonts w:ascii="Arial" w:eastAsia="Arial" w:hAnsi="Arial" w:cs="Arial"/>
                <w:highlight w:val="white"/>
              </w:rPr>
              <w:t xml:space="preserve"> </w:t>
            </w:r>
            <w:r>
              <w:rPr>
                <w:rFonts w:ascii="Arial" w:eastAsia="Arial" w:hAnsi="Arial" w:cs="Arial"/>
                <w:strike/>
                <w:highlight w:val="white"/>
              </w:rPr>
              <w:t xml:space="preserve">y </w:t>
            </w:r>
            <w:r>
              <w:rPr>
                <w:rFonts w:ascii="Arial" w:eastAsia="Arial" w:hAnsi="Arial" w:cs="Arial"/>
                <w:highlight w:val="white"/>
              </w:rPr>
              <w:t>tejidos</w:t>
            </w:r>
            <w:r>
              <w:rPr>
                <w:rFonts w:ascii="Arial" w:eastAsia="Arial" w:hAnsi="Arial" w:cs="Arial"/>
                <w:b/>
                <w:bCs/>
                <w:highlight w:val="white"/>
              </w:rPr>
              <w:t xml:space="preserve">, </w:t>
            </w:r>
            <w:r>
              <w:rPr>
                <w:rFonts w:ascii="Arial" w:eastAsia="Arial" w:hAnsi="Arial" w:cs="Arial"/>
                <w:b/>
                <w:bCs/>
                <w:highlight w:val="white"/>
                <w:u w:val="single"/>
              </w:rPr>
              <w:t>células</w:t>
            </w:r>
            <w:r>
              <w:rPr>
                <w:rFonts w:ascii="Arial" w:eastAsia="Arial" w:hAnsi="Arial" w:cs="Arial"/>
                <w:highlight w:val="white"/>
              </w:rPr>
              <w:t xml:space="preserve"> </w:t>
            </w:r>
            <w:r>
              <w:rPr>
                <w:rFonts w:ascii="Arial" w:eastAsia="Arial" w:hAnsi="Arial" w:cs="Arial"/>
                <w:b/>
                <w:bCs/>
                <w:highlight w:val="white"/>
                <w:u w:val="single"/>
              </w:rPr>
              <w:t>y derivados</w:t>
            </w:r>
            <w:r>
              <w:rPr>
                <w:rFonts w:ascii="Arial" w:eastAsia="Arial" w:hAnsi="Arial" w:cs="Arial"/>
                <w:highlight w:val="white"/>
              </w:rPr>
              <w:t xml:space="preserve">  en donantes cadavéricos con muerte encefálica o parada cardiaca atendiendo las necesidades nacionales de donación.</w:t>
            </w:r>
          </w:p>
        </w:tc>
        <w:tc>
          <w:tcPr>
            <w:tcW w:w="2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77" w14:textId="77777777" w:rsidR="001C40B0" w:rsidRDefault="00291712">
            <w:pPr>
              <w:rPr>
                <w:rFonts w:ascii="Arial" w:eastAsia="Arial" w:hAnsi="Arial" w:cs="Arial"/>
              </w:rPr>
            </w:pPr>
            <w:r>
              <w:rPr>
                <w:rFonts w:ascii="Arial" w:eastAsia="Arial" w:hAnsi="Arial" w:cs="Arial"/>
              </w:rPr>
              <w:t xml:space="preserve">Se ajusta la redacción. </w:t>
            </w:r>
          </w:p>
        </w:tc>
      </w:tr>
      <w:tr w:rsidR="001C40B0" w14:paraId="31978845" w14:textId="77777777">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78"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22. INTEGRACIÓN DE UN SISTEMA DE INTELIGENCIA ARTIFICIAL EN LOS</w:t>
            </w:r>
            <w:r>
              <w:rPr>
                <w:rFonts w:ascii="Arial" w:eastAsia="Arial" w:hAnsi="Arial" w:cs="Arial"/>
                <w:color w:val="000000"/>
              </w:rPr>
              <w:t xml:space="preserve"> </w:t>
            </w:r>
            <w:r>
              <w:rPr>
                <w:rFonts w:ascii="Arial" w:eastAsia="Arial" w:hAnsi="Arial" w:cs="Arial"/>
                <w:b/>
                <w:bCs/>
                <w:color w:val="000000"/>
              </w:rPr>
              <w:t xml:space="preserve">PROCESOS DE DONACIÓN DE ÓRGANOS Y TEJIDOS. </w:t>
            </w:r>
            <w:r>
              <w:rPr>
                <w:rFonts w:ascii="Arial" w:eastAsia="Arial" w:hAnsi="Arial" w:cs="Arial"/>
                <w:color w:val="000000"/>
              </w:rPr>
              <w:t xml:space="preserve">El Ministerio de Salud y Protección Social podrá implementar un sistema de inteligencia artificial (IA), para potenciar la interoperabilidad de los sistemas de información en salud. Su uso se orientará a optimizar procesos operativos, administrativos y de análisis de información en el sistema de trasplantes, con énfasis en la equidad, la eficiencia, la seguridad, la privacidad y la </w:t>
            </w:r>
            <w:r>
              <w:rPr>
                <w:rFonts w:ascii="Arial" w:eastAsia="Arial" w:hAnsi="Arial" w:cs="Arial"/>
                <w:color w:val="000000"/>
              </w:rPr>
              <w:lastRenderedPageBreak/>
              <w:t>transparencia. Su implementación</w:t>
            </w:r>
            <w:r>
              <w:rPr>
                <w:rFonts w:ascii="Arial" w:eastAsia="Arial" w:hAnsi="Arial" w:cs="Arial"/>
              </w:rPr>
              <w:t xml:space="preserve"> </w:t>
            </w:r>
            <w:r>
              <w:rPr>
                <w:rFonts w:ascii="Arial" w:eastAsia="Arial" w:hAnsi="Arial" w:cs="Arial"/>
                <w:color w:val="000000"/>
              </w:rPr>
              <w:t>deberá enfocarse en el mejoramiento de la calidad de los datos, el soporte a la toma de decisiones administrativas, la trazabilidad de los procesos y el fortalecimiento de los sistemas de información, contribuyendo a la reducción de tiempos críticos y a la coordinación institucional.</w:t>
            </w:r>
          </w:p>
          <w:p w14:paraId="00000679"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67A"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En ningún caso el sistema de IA intervendrá en la identificación de donantes, la asignación de órganos, la gestión de la lista de espera ni en decisiones relacionadas con la determinación de la muerte, ni sustituirá el juicio clínico ni los procesos científicos y clínicos que rigen el trasplante de órganos y tejidos.</w:t>
            </w:r>
          </w:p>
          <w:p w14:paraId="0000067B"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67C"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Parágrafo 1.</w:t>
            </w:r>
            <w:r>
              <w:rPr>
                <w:rFonts w:ascii="Arial" w:eastAsia="Arial" w:hAnsi="Arial" w:cs="Arial"/>
                <w:color w:val="000000"/>
              </w:rPr>
              <w:t xml:space="preserve"> El uso del sistema de Inteligencia Artificial deberá cumplir con estándares de seguridad cibernética y protección de datos sensibles, conforme a lo dispuesto en la Ley 1581 de 2012 y la Ley 2015 de 2020. En coordinación con el Ministerio de Tecnologías de la Información y las Comunicaciones, se aplicarán criterios de minimización, seudonimización, o anonimización cuando corresponda, controles de acceso, trazabilidad y gestión de incidentes, con el fin de prevenir ataques, detectar intrusiones y responder a incidentes de seguridad.</w:t>
            </w:r>
          </w:p>
          <w:p w14:paraId="0000067D"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67E"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lastRenderedPageBreak/>
              <w:t xml:space="preserve">Parágrafo 2. </w:t>
            </w:r>
            <w:r>
              <w:rPr>
                <w:rFonts w:ascii="Arial" w:eastAsia="Arial" w:hAnsi="Arial" w:cs="Arial"/>
                <w:color w:val="000000"/>
              </w:rPr>
              <w:t>La Superintendencia de Industria y Comercio implementará procesos de auditoría del sistema de inteligencia artificial previamente a su operación y de manera periódica durante su funcionamiento, con el propósito de garantizar la protección de los derechos de los usuarios, sus datos personales y el cumplimiento de lo previsto en la presente ley.</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7F" w14:textId="77777777" w:rsidR="001C40B0" w:rsidRDefault="00291712">
            <w:pPr>
              <w:widowControl/>
              <w:pBdr>
                <w:top w:val="nil"/>
                <w:left w:val="nil"/>
                <w:bottom w:val="nil"/>
                <w:right w:val="nil"/>
                <w:between w:val="nil"/>
              </w:pBdr>
              <w:jc w:val="both"/>
              <w:rPr>
                <w:rFonts w:ascii="Arial" w:eastAsia="Arial" w:hAnsi="Arial" w:cs="Arial"/>
                <w:color w:val="000000"/>
                <w:highlight w:val="white"/>
              </w:rPr>
            </w:pPr>
            <w:r>
              <w:rPr>
                <w:rFonts w:ascii="Arial" w:eastAsia="Arial" w:hAnsi="Arial" w:cs="Arial"/>
                <w:b/>
                <w:bCs/>
                <w:color w:val="000000"/>
                <w:highlight w:val="white"/>
              </w:rPr>
              <w:lastRenderedPageBreak/>
              <w:t>ARTÍCULO 22. INTEGRACIÓN DE UN SISTEMA DE INTELIGENCIA ARTIFICIAL EN LOS</w:t>
            </w:r>
            <w:r>
              <w:rPr>
                <w:rFonts w:ascii="Arial" w:eastAsia="Arial" w:hAnsi="Arial" w:cs="Arial"/>
                <w:color w:val="000000"/>
                <w:highlight w:val="white"/>
              </w:rPr>
              <w:t xml:space="preserve"> </w:t>
            </w:r>
            <w:r>
              <w:rPr>
                <w:rFonts w:ascii="Arial" w:eastAsia="Arial" w:hAnsi="Arial" w:cs="Arial"/>
                <w:b/>
                <w:bCs/>
                <w:color w:val="000000"/>
                <w:highlight w:val="white"/>
              </w:rPr>
              <w:t xml:space="preserve">PROCESOS DE DONACIÓN DE </w:t>
            </w:r>
            <w:r>
              <w:rPr>
                <w:rFonts w:ascii="Arial" w:eastAsia="Arial" w:hAnsi="Arial" w:cs="Arial"/>
                <w:b/>
                <w:bCs/>
                <w:highlight w:val="white"/>
              </w:rPr>
              <w:t>ÓRGANOS</w:t>
            </w:r>
            <w:r>
              <w:rPr>
                <w:rFonts w:ascii="Arial" w:eastAsia="Arial" w:hAnsi="Arial" w:cs="Arial"/>
                <w:b/>
                <w:bCs/>
                <w:highlight w:val="white"/>
                <w:u w:val="single"/>
              </w:rPr>
              <w:t>,</w:t>
            </w:r>
            <w:r>
              <w:rPr>
                <w:rFonts w:ascii="Arial" w:eastAsia="Arial" w:hAnsi="Arial" w:cs="Arial"/>
                <w:b/>
                <w:bCs/>
                <w:highlight w:val="white"/>
              </w:rPr>
              <w:t xml:space="preserve"> </w:t>
            </w:r>
            <w:r>
              <w:rPr>
                <w:rFonts w:ascii="Arial" w:eastAsia="Arial" w:hAnsi="Arial" w:cs="Arial"/>
                <w:b/>
                <w:bCs/>
                <w:strike/>
                <w:highlight w:val="white"/>
              </w:rPr>
              <w:t xml:space="preserve">Y </w:t>
            </w:r>
            <w:r>
              <w:rPr>
                <w:rFonts w:ascii="Arial" w:eastAsia="Arial" w:hAnsi="Arial" w:cs="Arial"/>
                <w:b/>
                <w:bCs/>
                <w:highlight w:val="white"/>
              </w:rPr>
              <w:t>TEJIDOS</w:t>
            </w:r>
            <w:r>
              <w:rPr>
                <w:rFonts w:ascii="Arial" w:eastAsia="Arial" w:hAnsi="Arial" w:cs="Arial"/>
                <w:b/>
                <w:bCs/>
                <w:highlight w:val="white"/>
                <w:u w:val="single"/>
              </w:rPr>
              <w:t>,</w:t>
            </w:r>
            <w:r>
              <w:rPr>
                <w:rFonts w:ascii="Arial" w:eastAsia="Arial" w:hAnsi="Arial" w:cs="Arial"/>
                <w:b/>
                <w:bCs/>
                <w:highlight w:val="white"/>
              </w:rPr>
              <w:t xml:space="preserve"> </w:t>
            </w:r>
            <w:r>
              <w:rPr>
                <w:rFonts w:ascii="Arial" w:eastAsia="Arial" w:hAnsi="Arial" w:cs="Arial"/>
                <w:b/>
                <w:bCs/>
                <w:highlight w:val="white"/>
                <w:u w:val="single"/>
              </w:rPr>
              <w:t>CÉLULAS Y DERIVADOS</w:t>
            </w:r>
            <w:r>
              <w:rPr>
                <w:rFonts w:ascii="Arial" w:eastAsia="Arial" w:hAnsi="Arial" w:cs="Arial"/>
                <w:b/>
                <w:bCs/>
                <w:color w:val="000000"/>
                <w:highlight w:val="white"/>
              </w:rPr>
              <w:t xml:space="preserve">. </w:t>
            </w:r>
            <w:r>
              <w:rPr>
                <w:rFonts w:ascii="Arial" w:eastAsia="Arial" w:hAnsi="Arial" w:cs="Arial"/>
                <w:color w:val="000000"/>
                <w:highlight w:val="white"/>
              </w:rPr>
              <w:t xml:space="preserve">El Ministerio de Salud y Protección Social podrá implementar un sistema de inteligencia artificial (IA), para potenciar la interoperabilidad de los sistemas de información en salud. Su uso se orientará a optimizar procesos operativos, administrativos y de análisis de información en el sistema de trasplantes, con énfasis en la equidad, la eficiencia, la </w:t>
            </w:r>
            <w:r>
              <w:rPr>
                <w:rFonts w:ascii="Arial" w:eastAsia="Arial" w:hAnsi="Arial" w:cs="Arial"/>
                <w:color w:val="000000"/>
                <w:highlight w:val="white"/>
              </w:rPr>
              <w:lastRenderedPageBreak/>
              <w:t>seguridad, la privacidad y la transparencia. Su implementación</w:t>
            </w:r>
            <w:r>
              <w:rPr>
                <w:rFonts w:ascii="Arial" w:eastAsia="Arial" w:hAnsi="Arial" w:cs="Arial"/>
                <w:highlight w:val="white"/>
              </w:rPr>
              <w:t xml:space="preserve"> </w:t>
            </w:r>
            <w:r>
              <w:rPr>
                <w:rFonts w:ascii="Arial" w:eastAsia="Arial" w:hAnsi="Arial" w:cs="Arial"/>
                <w:color w:val="000000"/>
                <w:highlight w:val="white"/>
              </w:rPr>
              <w:t>deberá enfocarse en el mejoramiento de la calidad de los datos, el soporte a la toma de decisiones administrativas, la trazabilidad de los procesos y el fortalecimiento de los sistemas de información, contribuyendo a la reducción de tiempos críticos y a la coordinación institucional.</w:t>
            </w:r>
          </w:p>
          <w:p w14:paraId="00000680" w14:textId="77777777" w:rsidR="001C40B0" w:rsidRDefault="001C40B0">
            <w:pPr>
              <w:widowControl/>
              <w:pBdr>
                <w:top w:val="nil"/>
                <w:left w:val="nil"/>
                <w:bottom w:val="nil"/>
                <w:right w:val="nil"/>
                <w:between w:val="nil"/>
              </w:pBdr>
              <w:jc w:val="both"/>
              <w:rPr>
                <w:rFonts w:ascii="Arial" w:eastAsia="Arial" w:hAnsi="Arial" w:cs="Arial"/>
                <w:color w:val="000000"/>
                <w:highlight w:val="white"/>
              </w:rPr>
            </w:pPr>
          </w:p>
          <w:p w14:paraId="00000681" w14:textId="77777777" w:rsidR="001C40B0" w:rsidRDefault="00291712">
            <w:pPr>
              <w:widowControl/>
              <w:pBdr>
                <w:top w:val="nil"/>
                <w:left w:val="nil"/>
                <w:bottom w:val="nil"/>
                <w:right w:val="nil"/>
                <w:between w:val="nil"/>
              </w:pBdr>
              <w:jc w:val="both"/>
              <w:rPr>
                <w:rFonts w:ascii="Arial" w:eastAsia="Arial" w:hAnsi="Arial" w:cs="Arial"/>
                <w:color w:val="000000"/>
                <w:highlight w:val="white"/>
              </w:rPr>
            </w:pPr>
            <w:r>
              <w:rPr>
                <w:rFonts w:ascii="Arial" w:eastAsia="Arial" w:hAnsi="Arial" w:cs="Arial"/>
                <w:color w:val="000000"/>
                <w:highlight w:val="white"/>
              </w:rPr>
              <w:t xml:space="preserve">En ningún caso el sistema de IA intervendrá en la identificación de donantes, la asignación de órganos, la gestión de la lista de espera ni en decisiones relacionadas con la determinación de la muerte, ni sustituirá el juicio clínico ni los procesos científicos y clínicos que rigen el trasplante de </w:t>
            </w:r>
            <w:r>
              <w:rPr>
                <w:rFonts w:ascii="Arial" w:eastAsia="Arial" w:hAnsi="Arial" w:cs="Arial"/>
                <w:highlight w:val="white"/>
              </w:rPr>
              <w:t>órganos</w:t>
            </w:r>
            <w:r>
              <w:rPr>
                <w:rFonts w:ascii="Arial" w:eastAsia="Arial" w:hAnsi="Arial" w:cs="Arial"/>
                <w:b/>
                <w:bCs/>
                <w:highlight w:val="white"/>
                <w:u w:val="single"/>
              </w:rPr>
              <w:t>,</w:t>
            </w:r>
            <w:r>
              <w:rPr>
                <w:rFonts w:ascii="Arial" w:eastAsia="Arial" w:hAnsi="Arial" w:cs="Arial"/>
                <w:highlight w:val="white"/>
              </w:rPr>
              <w:t xml:space="preserve"> </w:t>
            </w:r>
            <w:r>
              <w:rPr>
                <w:rFonts w:ascii="Arial" w:eastAsia="Arial" w:hAnsi="Arial" w:cs="Arial"/>
                <w:strike/>
                <w:highlight w:val="white"/>
              </w:rPr>
              <w:t xml:space="preserve">y </w:t>
            </w:r>
            <w:r>
              <w:rPr>
                <w:rFonts w:ascii="Arial" w:eastAsia="Arial" w:hAnsi="Arial" w:cs="Arial"/>
                <w:highlight w:val="white"/>
              </w:rPr>
              <w:t>tejidos</w:t>
            </w:r>
            <w:r>
              <w:rPr>
                <w:rFonts w:ascii="Arial" w:eastAsia="Arial" w:hAnsi="Arial" w:cs="Arial"/>
                <w:b/>
                <w:bCs/>
                <w:highlight w:val="white"/>
                <w:u w:val="single"/>
              </w:rPr>
              <w:t>, células</w:t>
            </w:r>
            <w:r>
              <w:rPr>
                <w:rFonts w:ascii="Arial" w:eastAsia="Arial" w:hAnsi="Arial" w:cs="Arial"/>
                <w:highlight w:val="white"/>
              </w:rPr>
              <w:t xml:space="preserve"> </w:t>
            </w:r>
            <w:r>
              <w:rPr>
                <w:rFonts w:ascii="Arial" w:eastAsia="Arial" w:hAnsi="Arial" w:cs="Arial"/>
                <w:b/>
                <w:bCs/>
                <w:highlight w:val="white"/>
                <w:u w:val="single"/>
              </w:rPr>
              <w:t>y derivados</w:t>
            </w:r>
            <w:r>
              <w:rPr>
                <w:rFonts w:ascii="Arial" w:eastAsia="Arial" w:hAnsi="Arial" w:cs="Arial"/>
                <w:color w:val="000000"/>
                <w:highlight w:val="white"/>
              </w:rPr>
              <w:t>.</w:t>
            </w:r>
          </w:p>
          <w:p w14:paraId="00000682" w14:textId="77777777" w:rsidR="001C40B0" w:rsidRDefault="001C40B0">
            <w:pPr>
              <w:widowControl/>
              <w:pBdr>
                <w:top w:val="nil"/>
                <w:left w:val="nil"/>
                <w:bottom w:val="nil"/>
                <w:right w:val="nil"/>
                <w:between w:val="nil"/>
              </w:pBdr>
              <w:jc w:val="both"/>
              <w:rPr>
                <w:rFonts w:ascii="Arial" w:eastAsia="Arial" w:hAnsi="Arial" w:cs="Arial"/>
                <w:color w:val="000000"/>
                <w:highlight w:val="white"/>
              </w:rPr>
            </w:pPr>
          </w:p>
          <w:p w14:paraId="00000683" w14:textId="77777777" w:rsidR="001C40B0" w:rsidRDefault="00291712">
            <w:pPr>
              <w:widowControl/>
              <w:pBdr>
                <w:top w:val="nil"/>
                <w:left w:val="nil"/>
                <w:bottom w:val="nil"/>
                <w:right w:val="nil"/>
                <w:between w:val="nil"/>
              </w:pBdr>
              <w:jc w:val="both"/>
              <w:rPr>
                <w:rFonts w:ascii="Arial" w:eastAsia="Arial" w:hAnsi="Arial" w:cs="Arial"/>
                <w:color w:val="000000"/>
                <w:highlight w:val="white"/>
              </w:rPr>
            </w:pPr>
            <w:r>
              <w:rPr>
                <w:rFonts w:ascii="Arial" w:eastAsia="Arial" w:hAnsi="Arial" w:cs="Arial"/>
                <w:b/>
                <w:bCs/>
                <w:color w:val="000000"/>
                <w:highlight w:val="white"/>
              </w:rPr>
              <w:t>Parágrafo 1.</w:t>
            </w:r>
            <w:r>
              <w:rPr>
                <w:rFonts w:ascii="Arial" w:eastAsia="Arial" w:hAnsi="Arial" w:cs="Arial"/>
                <w:color w:val="000000"/>
                <w:highlight w:val="white"/>
              </w:rPr>
              <w:t xml:space="preserve"> El uso del sistema de Inteligencia Artificial deberá cumplir con estándares de seguridad cibernética y protección de datos sensibles, conforme a lo dispuesto en la Ley 1581 de 2012 y la Ley 2015 de 2020. En coordinación con el Ministerio de Tecnologías de la Información y las Comunicaciones, se aplicarán criterios de minimización, seudonimización, o anonimización cuando corresponda, controles de acceso, trazabilidad y gestión de incidentes, con el fin de prevenir ataques, detectar intrusiones y responder a incidentes de seguridad.</w:t>
            </w:r>
          </w:p>
          <w:p w14:paraId="00000684" w14:textId="77777777" w:rsidR="001C40B0" w:rsidRDefault="001C40B0">
            <w:pPr>
              <w:widowControl/>
              <w:pBdr>
                <w:top w:val="nil"/>
                <w:left w:val="nil"/>
                <w:bottom w:val="nil"/>
                <w:right w:val="nil"/>
                <w:between w:val="nil"/>
              </w:pBdr>
              <w:jc w:val="both"/>
              <w:rPr>
                <w:rFonts w:ascii="Arial" w:eastAsia="Arial" w:hAnsi="Arial" w:cs="Arial"/>
                <w:color w:val="000000"/>
                <w:highlight w:val="white"/>
              </w:rPr>
            </w:pPr>
          </w:p>
          <w:p w14:paraId="00000685" w14:textId="77777777" w:rsidR="001C40B0" w:rsidRDefault="00291712">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b/>
                <w:bCs/>
                <w:highlight w:val="white"/>
              </w:rPr>
              <w:t xml:space="preserve">Parágrafo 2. </w:t>
            </w:r>
            <w:r>
              <w:rPr>
                <w:rFonts w:ascii="Arial" w:eastAsia="Arial" w:hAnsi="Arial" w:cs="Arial"/>
                <w:highlight w:val="white"/>
              </w:rPr>
              <w:t>La Superintendencia de Industria y Comercio implementará procesos de auditoría del sistema de inteligencia artificial previamente a su operación y de manera periódica durante su funcionamiento, con el propósito de garantizar la protección de los derechos de los usuarios, sus datos personales y el cumplimiento de lo previsto en la presente ley.</w:t>
            </w:r>
          </w:p>
        </w:tc>
        <w:tc>
          <w:tcPr>
            <w:tcW w:w="2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86" w14:textId="77777777" w:rsidR="001C40B0" w:rsidRDefault="001C40B0">
            <w:pPr>
              <w:rPr>
                <w:rFonts w:ascii="Arial" w:eastAsia="Arial" w:hAnsi="Arial" w:cs="Arial"/>
              </w:rPr>
            </w:pPr>
          </w:p>
        </w:tc>
      </w:tr>
      <w:tr w:rsidR="001C40B0" w14:paraId="1D537B16" w14:textId="77777777">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87"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lastRenderedPageBreak/>
              <w:t>ARTÍCULO 23. REGISTRO NACIONAL DE DONANTES INCOMPATIBLES Y PACIENTES</w:t>
            </w:r>
          </w:p>
          <w:p w14:paraId="00000688"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ALTAMENTE SENSIBILIZADOS.</w:t>
            </w:r>
            <w:r>
              <w:rPr>
                <w:rFonts w:ascii="Arial" w:eastAsia="Arial" w:hAnsi="Arial" w:cs="Arial"/>
                <w:color w:val="000000"/>
              </w:rPr>
              <w:t xml:space="preserve"> Créase el Registro Nacional de Donantes Incompatibles y Pacientes Altamente Sensibilizados, como un instrumento técnico y estratégico del Sistema Nacional de Donación y Trasplante de Órganos y Tejidos, con el objetivo de optimizar las oportunidades de trasplante para aquellos receptores con alto grado de sensibilización inmunológica o</w:t>
            </w:r>
          </w:p>
          <w:p w14:paraId="00000689"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con dificultades para encontrar donantes compatibles.</w:t>
            </w:r>
          </w:p>
          <w:p w14:paraId="0000068A" w14:textId="77777777" w:rsidR="001C40B0" w:rsidRDefault="001C40B0">
            <w:pPr>
              <w:widowControl/>
              <w:pBdr>
                <w:top w:val="nil"/>
                <w:left w:val="nil"/>
                <w:bottom w:val="nil"/>
                <w:right w:val="nil"/>
                <w:between w:val="nil"/>
              </w:pBdr>
              <w:jc w:val="both"/>
              <w:rPr>
                <w:rFonts w:ascii="Arial" w:eastAsia="Arial" w:hAnsi="Arial" w:cs="Arial"/>
              </w:rPr>
            </w:pPr>
          </w:p>
          <w:p w14:paraId="0000068B" w14:textId="77777777" w:rsidR="001C40B0" w:rsidRDefault="001C40B0">
            <w:pPr>
              <w:widowControl/>
              <w:pBdr>
                <w:top w:val="nil"/>
                <w:left w:val="nil"/>
                <w:bottom w:val="nil"/>
                <w:right w:val="nil"/>
                <w:between w:val="nil"/>
              </w:pBdr>
              <w:jc w:val="both"/>
              <w:rPr>
                <w:rFonts w:ascii="Arial" w:eastAsia="Arial" w:hAnsi="Arial" w:cs="Arial"/>
              </w:rPr>
            </w:pPr>
          </w:p>
          <w:p w14:paraId="0000068C"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 registro será administrado por el INS o quien haga su veces y contendrá información estandarizada, actualizada y protegida, sobre los pacientes altamente sensibilizados, así como sobre potenciales donantes incompatibles que puedan ser incluidos en </w:t>
            </w:r>
            <w:r>
              <w:rPr>
                <w:rFonts w:ascii="Arial" w:eastAsia="Arial" w:hAnsi="Arial" w:cs="Arial"/>
                <w:color w:val="000000"/>
              </w:rPr>
              <w:lastRenderedPageBreak/>
              <w:t>programas especiales como intercambios pareados, trasplantes dominó u otras estrategias reconocidas internacionalmente.</w:t>
            </w:r>
          </w:p>
          <w:p w14:paraId="0000068D" w14:textId="77777777" w:rsidR="001C40B0" w:rsidRDefault="001C40B0">
            <w:pPr>
              <w:widowControl/>
              <w:pBdr>
                <w:top w:val="nil"/>
                <w:left w:val="nil"/>
                <w:bottom w:val="nil"/>
                <w:right w:val="nil"/>
                <w:between w:val="nil"/>
              </w:pBdr>
              <w:jc w:val="both"/>
              <w:rPr>
                <w:rFonts w:ascii="Arial" w:eastAsia="Arial" w:hAnsi="Arial" w:cs="Arial"/>
              </w:rPr>
            </w:pPr>
          </w:p>
          <w:p w14:paraId="0000068E" w14:textId="77777777" w:rsidR="001C40B0" w:rsidRDefault="001C40B0">
            <w:pPr>
              <w:widowControl/>
              <w:pBdr>
                <w:top w:val="nil"/>
                <w:left w:val="nil"/>
                <w:bottom w:val="nil"/>
                <w:right w:val="nil"/>
                <w:between w:val="nil"/>
              </w:pBdr>
              <w:jc w:val="both"/>
              <w:rPr>
                <w:rFonts w:ascii="Arial" w:eastAsia="Arial" w:hAnsi="Arial" w:cs="Arial"/>
              </w:rPr>
            </w:pPr>
          </w:p>
          <w:p w14:paraId="0000068F"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 normatividad técnica, criterios de inclusión, lineamientos operativos, mecanismos de priorización, así como la logística y funcionamiento del registro, serán definidos y actualizados periódicamente por el conforme a los avances científicos, tecnológicos y las mejores prácticas internacionales.</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90"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lastRenderedPageBreak/>
              <w:t xml:space="preserve">ARTÍCULO 23. REGISTRO NACIONAL DE DONANTES INCOMPATIBLES Y </w:t>
            </w:r>
            <w:r>
              <w:rPr>
                <w:rFonts w:ascii="Arial" w:eastAsia="Arial" w:hAnsi="Arial" w:cs="Arial"/>
                <w:b/>
                <w:bCs/>
              </w:rPr>
              <w:t>RECEPTORES</w:t>
            </w:r>
          </w:p>
          <w:p w14:paraId="00000691"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ALTAMENTE SENSIBILIZADOS.</w:t>
            </w:r>
            <w:r>
              <w:rPr>
                <w:rFonts w:ascii="Arial" w:eastAsia="Arial" w:hAnsi="Arial" w:cs="Arial"/>
                <w:color w:val="000000"/>
              </w:rPr>
              <w:t xml:space="preserve"> Créase el Registro Nacional de Donantes Incompatibles y </w:t>
            </w:r>
            <w:r>
              <w:rPr>
                <w:rFonts w:ascii="Arial" w:eastAsia="Arial" w:hAnsi="Arial" w:cs="Arial"/>
                <w:strike/>
                <w:color w:val="000000"/>
              </w:rPr>
              <w:t>Pacientes</w:t>
            </w:r>
            <w:r>
              <w:rPr>
                <w:rFonts w:ascii="Arial" w:eastAsia="Arial" w:hAnsi="Arial" w:cs="Arial"/>
                <w:color w:val="000000"/>
              </w:rPr>
              <w:t xml:space="preserve"> </w:t>
            </w:r>
            <w:r>
              <w:rPr>
                <w:rFonts w:ascii="Arial" w:eastAsia="Arial" w:hAnsi="Arial" w:cs="Arial"/>
                <w:b/>
                <w:bCs/>
                <w:u w:val="single"/>
              </w:rPr>
              <w:t>Receptores</w:t>
            </w:r>
            <w:r>
              <w:rPr>
                <w:rFonts w:ascii="Arial" w:eastAsia="Arial" w:hAnsi="Arial" w:cs="Arial"/>
                <w:color w:val="000000"/>
              </w:rPr>
              <w:t xml:space="preserve"> Altamente Sensibilizados, como un instrumento técnico y estratégico del Sistema Nacional de Donación y Trasplante de Órganos y Tejidos, con el objetivo de optimizar las oportunidades de trasplante para aquellos receptores con alto grado de sensibilización inmunológica o</w:t>
            </w:r>
          </w:p>
          <w:p w14:paraId="00000692"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con dificultades para encontrar donantes compatibles.</w:t>
            </w:r>
          </w:p>
          <w:p w14:paraId="00000693"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694"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registro será administrado por el</w:t>
            </w:r>
            <w:r>
              <w:rPr>
                <w:rFonts w:ascii="Arial" w:eastAsia="Arial" w:hAnsi="Arial" w:cs="Arial"/>
                <w:b/>
                <w:bCs/>
                <w:color w:val="1F1F1F"/>
                <w:highlight w:val="white"/>
                <w:u w:val="single"/>
              </w:rPr>
              <w:t xml:space="preserve"> Instituto Nacional de Salud</w:t>
            </w:r>
            <w:r>
              <w:rPr>
                <w:rFonts w:ascii="Arial" w:eastAsia="Arial" w:hAnsi="Arial" w:cs="Arial"/>
                <w:color w:val="1F1F1F"/>
                <w:highlight w:val="white"/>
              </w:rPr>
              <w:t xml:space="preserve"> (</w:t>
            </w:r>
            <w:r>
              <w:rPr>
                <w:rFonts w:ascii="Arial" w:eastAsia="Arial" w:hAnsi="Arial" w:cs="Arial"/>
                <w:color w:val="000000"/>
              </w:rPr>
              <w:t>INS</w:t>
            </w:r>
            <w:r>
              <w:rPr>
                <w:rFonts w:ascii="Arial" w:eastAsia="Arial" w:hAnsi="Arial" w:cs="Arial"/>
              </w:rPr>
              <w:t>)</w:t>
            </w:r>
            <w:r>
              <w:rPr>
                <w:rFonts w:ascii="Arial" w:eastAsia="Arial" w:hAnsi="Arial" w:cs="Arial"/>
                <w:color w:val="000000"/>
              </w:rPr>
              <w:t xml:space="preserve"> o quien haga su veces y contendrá información estandarizada, actualizada y protegida, sobre los </w:t>
            </w:r>
            <w:r>
              <w:rPr>
                <w:rFonts w:ascii="Arial" w:eastAsia="Arial" w:hAnsi="Arial" w:cs="Arial"/>
                <w:strike/>
              </w:rPr>
              <w:t>Pacientes</w:t>
            </w:r>
            <w:r>
              <w:rPr>
                <w:rFonts w:ascii="Arial" w:eastAsia="Arial" w:hAnsi="Arial" w:cs="Arial"/>
                <w:color w:val="000000"/>
              </w:rPr>
              <w:t xml:space="preserve"> </w:t>
            </w:r>
            <w:r>
              <w:rPr>
                <w:rFonts w:ascii="Arial" w:eastAsia="Arial" w:hAnsi="Arial" w:cs="Arial"/>
                <w:b/>
                <w:bCs/>
                <w:u w:val="single"/>
              </w:rPr>
              <w:t>receptores</w:t>
            </w:r>
            <w:r>
              <w:rPr>
                <w:rFonts w:ascii="Arial" w:eastAsia="Arial" w:hAnsi="Arial" w:cs="Arial"/>
                <w:color w:val="000000"/>
              </w:rPr>
              <w:t xml:space="preserve"> altamente sensibilizados, así como sobre potenciales donantes </w:t>
            </w:r>
            <w:r>
              <w:rPr>
                <w:rFonts w:ascii="Arial" w:eastAsia="Arial" w:hAnsi="Arial" w:cs="Arial"/>
                <w:color w:val="000000"/>
              </w:rPr>
              <w:lastRenderedPageBreak/>
              <w:t>incompatibles que puedan ser incluidos en programas especiales como intercambios pareados, trasplantes dominó u otras estrategias reconocidas internacionalmente.</w:t>
            </w:r>
          </w:p>
          <w:p w14:paraId="00000695" w14:textId="77777777" w:rsidR="001C40B0" w:rsidRDefault="001C40B0">
            <w:pPr>
              <w:widowControl/>
              <w:pBdr>
                <w:top w:val="nil"/>
                <w:left w:val="nil"/>
                <w:bottom w:val="nil"/>
                <w:right w:val="nil"/>
                <w:between w:val="nil"/>
              </w:pBdr>
              <w:jc w:val="both"/>
              <w:rPr>
                <w:rFonts w:ascii="Arial" w:eastAsia="Arial" w:hAnsi="Arial" w:cs="Arial"/>
              </w:rPr>
            </w:pPr>
          </w:p>
          <w:p w14:paraId="00000696"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697" w14:textId="77777777" w:rsidR="001C40B0" w:rsidRDefault="00291712">
            <w:pPr>
              <w:pBdr>
                <w:top w:val="nil"/>
                <w:left w:val="nil"/>
                <w:bottom w:val="nil"/>
                <w:right w:val="nil"/>
                <w:between w:val="nil"/>
              </w:pBdr>
              <w:spacing w:after="160"/>
              <w:jc w:val="both"/>
              <w:rPr>
                <w:rFonts w:ascii="Arial" w:eastAsia="Arial" w:hAnsi="Arial" w:cs="Arial"/>
                <w:color w:val="000000"/>
              </w:rPr>
            </w:pPr>
            <w:r>
              <w:rPr>
                <w:rFonts w:ascii="Arial" w:eastAsia="Arial" w:hAnsi="Arial" w:cs="Arial"/>
              </w:rPr>
              <w:t>La normatividad técnica, criterios de inclusión, lineamientos operativos, mecanismos de priorización, así como la logística y funcionamiento del registro, serán definidos y actualizados periódicamente por e</w:t>
            </w:r>
            <w:r>
              <w:rPr>
                <w:rFonts w:ascii="Arial" w:eastAsia="Arial" w:hAnsi="Arial" w:cs="Arial"/>
                <w:color w:val="1F1F1F"/>
                <w:highlight w:val="white"/>
              </w:rPr>
              <w:t>l</w:t>
            </w:r>
            <w:r>
              <w:rPr>
                <w:rFonts w:ascii="Arial" w:eastAsia="Arial" w:hAnsi="Arial" w:cs="Arial"/>
                <w:b/>
                <w:bCs/>
                <w:color w:val="1F1F1F"/>
                <w:highlight w:val="white"/>
                <w:u w:val="single"/>
              </w:rPr>
              <w:t xml:space="preserve"> Instituto Nacional de Salud (</w:t>
            </w:r>
            <w:r>
              <w:rPr>
                <w:rFonts w:ascii="Arial" w:eastAsia="Arial" w:hAnsi="Arial" w:cs="Arial"/>
                <w:b/>
                <w:bCs/>
                <w:highlight w:val="white"/>
                <w:u w:val="single"/>
              </w:rPr>
              <w:t xml:space="preserve">INS), o quien haga sus veces, </w:t>
            </w:r>
            <w:r>
              <w:rPr>
                <w:rFonts w:ascii="Arial" w:eastAsia="Arial" w:hAnsi="Arial" w:cs="Arial"/>
                <w:highlight w:val="yellow"/>
              </w:rPr>
              <w:t xml:space="preserve"> </w:t>
            </w:r>
            <w:r>
              <w:rPr>
                <w:rFonts w:ascii="Arial" w:eastAsia="Arial" w:hAnsi="Arial" w:cs="Arial"/>
              </w:rPr>
              <w:t>conforme a los avances científicos, tecnológicos y las mejores prácticas internacionales.</w:t>
            </w:r>
          </w:p>
        </w:tc>
        <w:tc>
          <w:tcPr>
            <w:tcW w:w="2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98" w14:textId="77777777" w:rsidR="001C40B0" w:rsidRDefault="00291712">
            <w:pPr>
              <w:rPr>
                <w:rFonts w:ascii="Arial" w:eastAsia="Arial" w:hAnsi="Arial" w:cs="Arial"/>
                <w:color w:val="000000"/>
              </w:rPr>
            </w:pPr>
            <w:r>
              <w:rPr>
                <w:rFonts w:ascii="Arial" w:eastAsia="Arial" w:hAnsi="Arial" w:cs="Arial"/>
              </w:rPr>
              <w:lastRenderedPageBreak/>
              <w:t>Se ajusta la redacción.</w:t>
            </w:r>
          </w:p>
        </w:tc>
      </w:tr>
      <w:tr w:rsidR="001C40B0" w14:paraId="26A5C16D" w14:textId="77777777">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99"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lastRenderedPageBreak/>
              <w:t>ARTÍCULO 24. IMPLEMENTACIÓN DE UNIDADES DE CUIDADOS INTENSIVOS</w:t>
            </w:r>
            <w:r>
              <w:rPr>
                <w:rFonts w:ascii="Arial" w:eastAsia="Arial" w:hAnsi="Arial" w:cs="Arial"/>
                <w:color w:val="000000"/>
              </w:rPr>
              <w:t xml:space="preserve"> </w:t>
            </w:r>
            <w:r>
              <w:rPr>
                <w:rFonts w:ascii="Arial" w:eastAsia="Arial" w:hAnsi="Arial" w:cs="Arial"/>
                <w:b/>
                <w:bCs/>
                <w:color w:val="000000"/>
              </w:rPr>
              <w:t xml:space="preserve">ORIENTADAS A LA DONACIÓN (CIOD). </w:t>
            </w:r>
            <w:r>
              <w:rPr>
                <w:rFonts w:ascii="Arial" w:eastAsia="Arial" w:hAnsi="Arial" w:cs="Arial"/>
                <w:color w:val="000000"/>
              </w:rPr>
              <w:t>Las instituciones prestadoras de servicios de salud de nivel III y IV de complejidad, públicas o privadas, que cuenten con unidades de cuidado intensivo (UCI) y autorización para actividades relacionadas con donación y trasplante, deberán incorporar progresivamente protocolos de cuidado intensivo orientado a la donación como parte de su modelo asistencial.</w:t>
            </w:r>
          </w:p>
          <w:p w14:paraId="0000069A"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69B"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Parágrafo 1. </w:t>
            </w:r>
            <w:r>
              <w:rPr>
                <w:rFonts w:ascii="Arial" w:eastAsia="Arial" w:hAnsi="Arial" w:cs="Arial"/>
                <w:color w:val="000000"/>
              </w:rPr>
              <w:t xml:space="preserve">El Ministerio de Salud y Protección Social, en coordinación con el Instituto Nacional de Salud, reglamentará en un plazo máximo de doce (12) meses a </w:t>
            </w:r>
            <w:r>
              <w:rPr>
                <w:rFonts w:ascii="Arial" w:eastAsia="Arial" w:hAnsi="Arial" w:cs="Arial"/>
                <w:color w:val="000000"/>
              </w:rPr>
              <w:lastRenderedPageBreak/>
              <w:t>partir de la entrada en vigencia de la presente ley, los criterios técnicos, operativos y éticos para la implementación de protocolos de cuidado intensivo orientado a la donación</w:t>
            </w:r>
            <w:r>
              <w:rPr>
                <w:rFonts w:ascii="Arial" w:eastAsia="Arial" w:hAnsi="Arial" w:cs="Arial"/>
                <w:b/>
                <w:bCs/>
                <w:color w:val="000000"/>
              </w:rPr>
              <w:t xml:space="preserve">, </w:t>
            </w:r>
            <w:r>
              <w:rPr>
                <w:rFonts w:ascii="Arial" w:eastAsia="Arial" w:hAnsi="Arial" w:cs="Arial"/>
                <w:color w:val="000000"/>
              </w:rPr>
              <w:t>incluyendo los requisitos de habilitación, formación del talento humano, condiciones de infraestructura y mecanismos de seguimiento y evaluación.</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9C"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lastRenderedPageBreak/>
              <w:t>ARTÍCULO 24. IMPLEMENTACIÓN DE UNIDADES DE CUIDADOS INTENSIVOS</w:t>
            </w:r>
            <w:r>
              <w:rPr>
                <w:rFonts w:ascii="Arial" w:eastAsia="Arial" w:hAnsi="Arial" w:cs="Arial"/>
                <w:color w:val="000000"/>
              </w:rPr>
              <w:t xml:space="preserve"> </w:t>
            </w:r>
            <w:r>
              <w:rPr>
                <w:rFonts w:ascii="Arial" w:eastAsia="Arial" w:hAnsi="Arial" w:cs="Arial"/>
                <w:b/>
                <w:bCs/>
                <w:color w:val="000000"/>
              </w:rPr>
              <w:t xml:space="preserve">ORIENTADAS A LA DONACIÓN (CIOD). </w:t>
            </w:r>
            <w:r>
              <w:rPr>
                <w:rFonts w:ascii="Arial" w:eastAsia="Arial" w:hAnsi="Arial" w:cs="Arial"/>
                <w:color w:val="000000"/>
              </w:rPr>
              <w:t xml:space="preserve">Las instituciones prestadoras de </w:t>
            </w:r>
            <w:r>
              <w:rPr>
                <w:rFonts w:ascii="Arial" w:eastAsia="Arial" w:hAnsi="Arial" w:cs="Arial"/>
                <w:strike/>
                <w:color w:val="000000"/>
              </w:rPr>
              <w:t>servicios de</w:t>
            </w:r>
            <w:r>
              <w:rPr>
                <w:rFonts w:ascii="Arial" w:eastAsia="Arial" w:hAnsi="Arial" w:cs="Arial"/>
                <w:color w:val="000000"/>
              </w:rPr>
              <w:t xml:space="preserve"> salud (</w:t>
            </w:r>
            <w:r>
              <w:rPr>
                <w:rFonts w:ascii="Arial" w:eastAsia="Arial" w:hAnsi="Arial" w:cs="Arial"/>
                <w:b/>
                <w:bCs/>
                <w:color w:val="000000"/>
                <w:u w:val="single"/>
              </w:rPr>
              <w:t>IPS)</w:t>
            </w:r>
            <w:r>
              <w:rPr>
                <w:rFonts w:ascii="Arial" w:eastAsia="Arial" w:hAnsi="Arial" w:cs="Arial"/>
                <w:color w:val="000000"/>
              </w:rPr>
              <w:t xml:space="preserve"> de nivel III y IV de complejidad, públicas o privadas, que cuenten con unidades de cuidado intensivo (UCI) y autorización para actividades relacionadas con donación y trasplante, deberán incorporar progresivamente protocolos de cuidado intensivo orientado a la donación como parte de su modelo asistencial.</w:t>
            </w:r>
          </w:p>
          <w:p w14:paraId="0000069D"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69E" w14:textId="77777777" w:rsidR="001C40B0" w:rsidRDefault="00291712">
            <w:pPr>
              <w:pBdr>
                <w:top w:val="nil"/>
                <w:left w:val="nil"/>
                <w:bottom w:val="nil"/>
                <w:right w:val="nil"/>
                <w:between w:val="nil"/>
              </w:pBdr>
              <w:jc w:val="both"/>
              <w:rPr>
                <w:rFonts w:ascii="Arial" w:eastAsia="Arial" w:hAnsi="Arial" w:cs="Arial"/>
                <w:color w:val="000000"/>
              </w:rPr>
            </w:pPr>
            <w:r>
              <w:rPr>
                <w:rFonts w:ascii="Arial" w:eastAsia="Arial" w:hAnsi="Arial" w:cs="Arial"/>
                <w:b/>
                <w:bCs/>
              </w:rPr>
              <w:t xml:space="preserve">Parágrafo 1. </w:t>
            </w:r>
            <w:r>
              <w:rPr>
                <w:rFonts w:ascii="Arial" w:eastAsia="Arial" w:hAnsi="Arial" w:cs="Arial"/>
              </w:rPr>
              <w:t xml:space="preserve">El Ministerio de Salud y Protección Social, en coordinación con el Instituto Nacional de Salud, reglamentará en un plazo máximo de doce (12) meses a </w:t>
            </w:r>
            <w:r>
              <w:rPr>
                <w:rFonts w:ascii="Arial" w:eastAsia="Arial" w:hAnsi="Arial" w:cs="Arial"/>
              </w:rPr>
              <w:lastRenderedPageBreak/>
              <w:t>partir de la entrada en vigencia de la presente ley, los criterios técnicos, operativos y éticos para la implementación de protocolos de cuidado intensivo orientado a la donación</w:t>
            </w:r>
            <w:r>
              <w:rPr>
                <w:rFonts w:ascii="Arial" w:eastAsia="Arial" w:hAnsi="Arial" w:cs="Arial"/>
                <w:b/>
                <w:bCs/>
              </w:rPr>
              <w:t xml:space="preserve">, </w:t>
            </w:r>
            <w:r>
              <w:rPr>
                <w:rFonts w:ascii="Arial" w:eastAsia="Arial" w:hAnsi="Arial" w:cs="Arial"/>
              </w:rPr>
              <w:t>incluyendo los requisitos de habilitación, formación del talento humano, condiciones de infraestructura y mecanismos de seguimiento y evaluación.</w:t>
            </w:r>
          </w:p>
        </w:tc>
        <w:tc>
          <w:tcPr>
            <w:tcW w:w="2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9F" w14:textId="77777777" w:rsidR="001C40B0" w:rsidRDefault="00291712">
            <w:pPr>
              <w:pBdr>
                <w:top w:val="nil"/>
                <w:left w:val="nil"/>
                <w:bottom w:val="nil"/>
                <w:right w:val="nil"/>
                <w:between w:val="nil"/>
              </w:pBdr>
              <w:jc w:val="both"/>
              <w:rPr>
                <w:rFonts w:ascii="Arial" w:eastAsia="Arial" w:hAnsi="Arial" w:cs="Arial"/>
                <w:color w:val="000000"/>
              </w:rPr>
            </w:pPr>
            <w:r>
              <w:rPr>
                <w:rFonts w:ascii="Arial" w:eastAsia="Arial" w:hAnsi="Arial" w:cs="Arial"/>
              </w:rPr>
              <w:lastRenderedPageBreak/>
              <w:t xml:space="preserve">Se ajusta la redacción. </w:t>
            </w:r>
          </w:p>
        </w:tc>
      </w:tr>
      <w:tr w:rsidR="001C40B0" w14:paraId="3FFA428C" w14:textId="77777777">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A0"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lastRenderedPageBreak/>
              <w:t>ARTÍCULO 25. PROCESOS DE PRESERVACIÓN, EVALUACIÓN, MODIFICACIÓN Y</w:t>
            </w:r>
            <w:r>
              <w:rPr>
                <w:rFonts w:ascii="Arial" w:eastAsia="Arial" w:hAnsi="Arial" w:cs="Arial"/>
                <w:color w:val="000000"/>
              </w:rPr>
              <w:t xml:space="preserve"> </w:t>
            </w:r>
            <w:r>
              <w:rPr>
                <w:rFonts w:ascii="Arial" w:eastAsia="Arial" w:hAnsi="Arial" w:cs="Arial"/>
                <w:b/>
                <w:bCs/>
                <w:color w:val="000000"/>
              </w:rPr>
              <w:t xml:space="preserve">REPARACIÓN DE ÓRGANOS, TEJIDOS Y CÉLULAS PARA TRASPLANTE. </w:t>
            </w:r>
            <w:r>
              <w:rPr>
                <w:rFonts w:ascii="Arial" w:eastAsia="Arial" w:hAnsi="Arial" w:cs="Arial"/>
                <w:color w:val="000000"/>
              </w:rPr>
              <w:t>Con el fin de mejorar los resultados clínicos, aumentar la disponibilidad de órganos aptos para trasplante y promover el acceso equitativo de los pacientes, se autoriza e incorpora al marco regulatorio nacional el desarrollo, implementación, certificación y control de procesos tecnológicos orientados a la preservación, transporte, evaluación, tratamiento, reparación, reacondicionamiento o modificación de órganos, tejidos y células destinados al trasplante o autotrasplante humano.</w:t>
            </w:r>
          </w:p>
          <w:p w14:paraId="000006A1"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6A2"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Estos procesos podrán incluir, entre otros, el uso de tecnologías de perfusión ex vivo, edición génica, modulación inmunológica, terapias celulares, transferencia mitocondrial, </w:t>
            </w:r>
            <w:r>
              <w:rPr>
                <w:rFonts w:ascii="Arial" w:eastAsia="Arial" w:hAnsi="Arial" w:cs="Arial"/>
                <w:color w:val="000000"/>
              </w:rPr>
              <w:lastRenderedPageBreak/>
              <w:t>ingeniería tisular, nanotecnología, inteligencia artificial, biomateriales y otras estrategias biomédicas emergentes.</w:t>
            </w:r>
          </w:p>
          <w:p w14:paraId="000006A3"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6A4"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Los procedimientos podrán llevarse a cabo en instituciones habilitadas para trasplante o en centros especializados autorizados por el Ministerio de Salud y Protección Social, conforme a la regulación vigente. Estas entidades deberán contar con aval científico, bioético y sanitario, bajo criterios de trazabilidad, bioseguridad, vigilancia sanitaria y respeto a los derechos fundamentales.</w:t>
            </w:r>
          </w:p>
          <w:p w14:paraId="000006A5"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6A6"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Ministerio de Salud y Protección Social, en coordinación con el Instituto Nacional de Salud y los comités de expertos por órgano, reglamentará los lineamientos técnicos, operativos y éticos correspondientes en un plazo no mayor a doce (12) meses desde la entrada en vigencia de la presente ley.</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A7"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lastRenderedPageBreak/>
              <w:t>ARTÍCULO 25. PROCESOS DE PRESERVACIÓN, EVALUACIÓN, MODIFICACIÓN Y</w:t>
            </w:r>
            <w:r>
              <w:rPr>
                <w:rFonts w:ascii="Arial" w:eastAsia="Arial" w:hAnsi="Arial" w:cs="Arial"/>
                <w:color w:val="000000"/>
              </w:rPr>
              <w:t xml:space="preserve"> </w:t>
            </w:r>
            <w:r>
              <w:rPr>
                <w:rFonts w:ascii="Arial" w:eastAsia="Arial" w:hAnsi="Arial" w:cs="Arial"/>
                <w:b/>
                <w:bCs/>
                <w:color w:val="000000"/>
              </w:rPr>
              <w:t xml:space="preserve">REPARACIÓN DE ÓRGANOS, TEJIDOS, </w:t>
            </w:r>
            <w:r>
              <w:rPr>
                <w:rFonts w:ascii="Arial" w:eastAsia="Arial" w:hAnsi="Arial" w:cs="Arial"/>
                <w:b/>
                <w:bCs/>
                <w:strike/>
              </w:rPr>
              <w:t>Y</w:t>
            </w:r>
            <w:r>
              <w:rPr>
                <w:rFonts w:ascii="Arial" w:eastAsia="Arial" w:hAnsi="Arial" w:cs="Arial"/>
                <w:b/>
                <w:bCs/>
                <w:color w:val="000000"/>
              </w:rPr>
              <w:t xml:space="preserve"> CÉLULAS</w:t>
            </w:r>
            <w:r>
              <w:rPr>
                <w:rFonts w:ascii="Arial" w:eastAsia="Arial" w:hAnsi="Arial" w:cs="Arial"/>
                <w:b/>
                <w:bCs/>
              </w:rPr>
              <w:t xml:space="preserve"> </w:t>
            </w:r>
            <w:r>
              <w:rPr>
                <w:rFonts w:ascii="Arial" w:eastAsia="Arial" w:hAnsi="Arial" w:cs="Arial"/>
                <w:b/>
                <w:bCs/>
                <w:u w:val="single"/>
              </w:rPr>
              <w:t>Y DERIVADOS</w:t>
            </w:r>
            <w:r>
              <w:rPr>
                <w:rFonts w:ascii="Arial" w:eastAsia="Arial" w:hAnsi="Arial" w:cs="Arial"/>
                <w:b/>
                <w:bCs/>
                <w:color w:val="000000"/>
              </w:rPr>
              <w:t xml:space="preserve"> PARA TRASPLANTE. </w:t>
            </w:r>
            <w:r>
              <w:rPr>
                <w:rFonts w:ascii="Arial" w:eastAsia="Arial" w:hAnsi="Arial" w:cs="Arial"/>
                <w:color w:val="000000"/>
              </w:rPr>
              <w:t xml:space="preserve">Con el fin de mejorar los resultados clínicos, aumentar la disponibilidad de órganos, </w:t>
            </w:r>
            <w:r>
              <w:rPr>
                <w:rFonts w:ascii="Arial" w:eastAsia="Arial" w:hAnsi="Arial" w:cs="Arial"/>
                <w:b/>
                <w:bCs/>
                <w:color w:val="000000"/>
                <w:u w:val="single"/>
              </w:rPr>
              <w:t>teji</w:t>
            </w:r>
            <w:r>
              <w:rPr>
                <w:rFonts w:ascii="Arial" w:eastAsia="Arial" w:hAnsi="Arial" w:cs="Arial"/>
                <w:b/>
                <w:bCs/>
                <w:u w:val="single"/>
              </w:rPr>
              <w:t>dos, células y derivados</w:t>
            </w:r>
            <w:r>
              <w:rPr>
                <w:rFonts w:ascii="Arial" w:eastAsia="Arial" w:hAnsi="Arial" w:cs="Arial"/>
                <w:color w:val="000000"/>
              </w:rPr>
              <w:t xml:space="preserve"> aptos para trasplante y promover el acceso equitativo de los pacientes, se autoriza e incorpora al marco regulatorio nacional el desarrollo, implementación, certificación y control de procesos tecnológicos orientados a la preservación, transporte, evaluación, tratamiento, reparación, reacondicionamiento o modificación de órganos, tejidos y células destinados al trasplante o autotrasplante humano.</w:t>
            </w:r>
          </w:p>
          <w:p w14:paraId="000006A8"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6A9"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Estos procesos podrán incluir, entre otros, el uso de tecnologías de perfusión ex vivo, edición génica, modulación inmunológica, </w:t>
            </w:r>
            <w:r>
              <w:rPr>
                <w:rFonts w:ascii="Arial" w:eastAsia="Arial" w:hAnsi="Arial" w:cs="Arial"/>
                <w:color w:val="000000"/>
              </w:rPr>
              <w:lastRenderedPageBreak/>
              <w:t>terapias celulares, transferencia mitocondrial, ingeniería tisular, nanotecnología, inteligencia artificial, biomateriales y otras estrategias biomédicas emergentes.</w:t>
            </w:r>
          </w:p>
          <w:p w14:paraId="000006AA"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6AB"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Los procedimientos podrán llevarse a cabo en instituciones habilitadas para trasplante o en centros especializados autorizados por el Ministerio de Salud y Protección Social, conforme a la regulación vigente. Estas entidades deberán contar con aval científico, bioético y sanitario, bajo criterios de trazabilidad, bioseguridad, vigilancia sanitaria y respeto a los derechos fundamentales.</w:t>
            </w:r>
          </w:p>
          <w:p w14:paraId="000006AC"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6AD" w14:textId="77777777" w:rsidR="001C40B0" w:rsidRDefault="00291712">
            <w:pPr>
              <w:pBdr>
                <w:top w:val="nil"/>
                <w:left w:val="nil"/>
                <w:bottom w:val="nil"/>
                <w:right w:val="nil"/>
                <w:between w:val="nil"/>
              </w:pBdr>
              <w:jc w:val="both"/>
              <w:rPr>
                <w:rFonts w:ascii="Arial" w:eastAsia="Arial" w:hAnsi="Arial" w:cs="Arial"/>
                <w:color w:val="000000"/>
              </w:rPr>
            </w:pPr>
            <w:r>
              <w:rPr>
                <w:rFonts w:ascii="Arial" w:eastAsia="Arial" w:hAnsi="Arial" w:cs="Arial"/>
              </w:rPr>
              <w:t>El Ministerio de Salud y Protección Social, en coordinación con el Instituto Nacional de Salud y los Comités de Expertos por órgano, reglamentará los lineamientos técnicos, operativos y éticos correspondientes en un plazo no mayor a doce (12) meses desde la entrada en vigencia de la presente ley.</w:t>
            </w:r>
          </w:p>
        </w:tc>
        <w:tc>
          <w:tcPr>
            <w:tcW w:w="2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AE" w14:textId="77777777" w:rsidR="001C40B0" w:rsidRDefault="00291712">
            <w:pPr>
              <w:rPr>
                <w:rFonts w:ascii="Arial" w:eastAsia="Arial" w:hAnsi="Arial" w:cs="Arial"/>
              </w:rPr>
            </w:pPr>
            <w:r>
              <w:rPr>
                <w:rFonts w:ascii="Arial" w:eastAsia="Arial" w:hAnsi="Arial" w:cs="Arial"/>
              </w:rPr>
              <w:lastRenderedPageBreak/>
              <w:t xml:space="preserve">Se ajusta la redacción. </w:t>
            </w:r>
          </w:p>
        </w:tc>
      </w:tr>
      <w:tr w:rsidR="001C40B0" w14:paraId="7ED7C76D" w14:textId="77777777">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AF"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lastRenderedPageBreak/>
              <w:t xml:space="preserve">ARTÍCULO 26. COOPERACIÓN Y ALIANZAS INTERNACIONALES. </w:t>
            </w:r>
            <w:r>
              <w:rPr>
                <w:rFonts w:ascii="Arial" w:eastAsia="Arial" w:hAnsi="Arial" w:cs="Arial"/>
                <w:color w:val="000000"/>
              </w:rPr>
              <w:t xml:space="preserve">El Gobierno Nacional, por intermedio del Ministerio de Salud y Protección Social, promoverá la cooperación internacional en materia de donación y trasplantes, fomentando el intercambio de </w:t>
            </w:r>
            <w:r>
              <w:rPr>
                <w:rFonts w:ascii="Arial" w:eastAsia="Arial" w:hAnsi="Arial" w:cs="Arial"/>
                <w:color w:val="000000"/>
              </w:rPr>
              <w:lastRenderedPageBreak/>
              <w:t>conocimientos, investigación y formación de talento humano.</w:t>
            </w:r>
          </w:p>
          <w:p w14:paraId="000006B0"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6B1"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Así mismo, garantizará la participación activa de Colombia en escenarios multilaterales como la Asamblea Mundial de la Salud, la Organización Mundial de la Salud y demás foros internacionales, con el fin de incidir en la definición de estándares, buenas prácticas y lineamientos globales en la materia.</w:t>
            </w:r>
          </w:p>
          <w:p w14:paraId="000006B2"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6B3"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Parágrafo. </w:t>
            </w:r>
            <w:r>
              <w:rPr>
                <w:rFonts w:ascii="Arial" w:eastAsia="Arial" w:hAnsi="Arial" w:cs="Arial"/>
                <w:color w:val="000000"/>
              </w:rPr>
              <w:t>El Ministerio de Relaciones Exteriores y APC Colombia apoyarán la gestión, celebración y seguimiento de convenios y alianzas que se deriven de este artículo.</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B4"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lastRenderedPageBreak/>
              <w:t xml:space="preserve">ARTÍCULO 26. COOPERACIÓN Y ALIANZAS INTERNACIONALES. </w:t>
            </w:r>
            <w:r>
              <w:rPr>
                <w:rFonts w:ascii="Arial" w:eastAsia="Arial" w:hAnsi="Arial" w:cs="Arial"/>
                <w:color w:val="000000"/>
              </w:rPr>
              <w:t xml:space="preserve">El Gobierno Nacional, por intermedio del Ministerio de Salud y Protección Social, promoverá la cooperación internacional en materia de donación y trasplantes, fomentando el intercambio de </w:t>
            </w:r>
            <w:r>
              <w:rPr>
                <w:rFonts w:ascii="Arial" w:eastAsia="Arial" w:hAnsi="Arial" w:cs="Arial"/>
                <w:color w:val="000000"/>
              </w:rPr>
              <w:lastRenderedPageBreak/>
              <w:t>conocimientos, investigación y formación de talento humano.</w:t>
            </w:r>
          </w:p>
          <w:p w14:paraId="000006B5"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6B6"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Así mismo, garantizará la participación activa de Colombia en escenarios multilaterales como la Asamblea Mundial de la Salud, la Organización Mundial de la Salud y demás foros internacionales, con el fin de incidir en la definición de estándares, buenas prácticas y lineamientos globales en la materia.</w:t>
            </w:r>
          </w:p>
          <w:p w14:paraId="000006B7" w14:textId="77777777" w:rsidR="001C40B0" w:rsidRDefault="001C40B0">
            <w:pPr>
              <w:widowControl/>
              <w:pBdr>
                <w:top w:val="nil"/>
                <w:left w:val="nil"/>
                <w:bottom w:val="nil"/>
                <w:right w:val="nil"/>
                <w:between w:val="nil"/>
              </w:pBdr>
              <w:jc w:val="both"/>
              <w:rPr>
                <w:rFonts w:ascii="Arial" w:eastAsia="Arial" w:hAnsi="Arial" w:cs="Arial"/>
                <w:color w:val="000000"/>
              </w:rPr>
            </w:pPr>
          </w:p>
          <w:p w14:paraId="000006B8" w14:textId="77777777" w:rsidR="001C40B0" w:rsidRDefault="00291712">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Parágrafo. </w:t>
            </w:r>
            <w:r>
              <w:rPr>
                <w:rFonts w:ascii="Arial" w:eastAsia="Arial" w:hAnsi="Arial" w:cs="Arial"/>
                <w:color w:val="000000"/>
              </w:rPr>
              <w:t xml:space="preserve">El Ministerio de Relaciones Exteriores y </w:t>
            </w:r>
            <w:r>
              <w:rPr>
                <w:rFonts w:ascii="Arial" w:eastAsia="Arial" w:hAnsi="Arial" w:cs="Arial"/>
                <w:strike/>
                <w:color w:val="000000"/>
              </w:rPr>
              <w:t>APC Colombia</w:t>
            </w:r>
            <w:r>
              <w:rPr>
                <w:rFonts w:ascii="Arial" w:eastAsia="Arial" w:hAnsi="Arial" w:cs="Arial"/>
                <w:color w:val="000000"/>
              </w:rPr>
              <w:t xml:space="preserve"> </w:t>
            </w:r>
            <w:r>
              <w:rPr>
                <w:rFonts w:ascii="Arial" w:eastAsia="Arial" w:hAnsi="Arial" w:cs="Arial"/>
                <w:b/>
                <w:bCs/>
                <w:color w:val="000000"/>
                <w:u w:val="single"/>
              </w:rPr>
              <w:t xml:space="preserve">la </w:t>
            </w:r>
            <w:r>
              <w:rPr>
                <w:rFonts w:ascii="Arial" w:eastAsia="Arial" w:hAnsi="Arial" w:cs="Arial"/>
                <w:b/>
                <w:bCs/>
                <w:u w:val="single"/>
              </w:rPr>
              <w:t>Agencia Presidencial para la Cooperación Internacional de Colombia</w:t>
            </w:r>
            <w:r>
              <w:rPr>
                <w:rFonts w:ascii="Arial" w:eastAsia="Arial" w:hAnsi="Arial" w:cs="Arial"/>
                <w:b/>
                <w:bCs/>
                <w:color w:val="767676"/>
                <w:highlight w:val="white"/>
              </w:rPr>
              <w:t xml:space="preserve"> </w:t>
            </w:r>
            <w:r>
              <w:rPr>
                <w:rFonts w:ascii="Arial" w:eastAsia="Arial" w:hAnsi="Arial" w:cs="Arial"/>
                <w:color w:val="000000"/>
              </w:rPr>
              <w:t>apoyarán la gestión, celebración y seguimiento de convenios y alianzas que se deriven de este artículo.</w:t>
            </w:r>
          </w:p>
        </w:tc>
        <w:tc>
          <w:tcPr>
            <w:tcW w:w="2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B9" w14:textId="77777777" w:rsidR="001C40B0" w:rsidRDefault="00291712">
            <w:pPr>
              <w:rPr>
                <w:rFonts w:ascii="Arial" w:eastAsia="Arial" w:hAnsi="Arial" w:cs="Arial"/>
                <w:color w:val="000000"/>
              </w:rPr>
            </w:pPr>
            <w:r>
              <w:rPr>
                <w:rFonts w:ascii="Arial" w:eastAsia="Arial" w:hAnsi="Arial" w:cs="Arial"/>
              </w:rPr>
              <w:lastRenderedPageBreak/>
              <w:t>Se ajusta la redacción.</w:t>
            </w:r>
          </w:p>
        </w:tc>
      </w:tr>
      <w:tr w:rsidR="001C40B0" w14:paraId="2EBEDF19" w14:textId="77777777">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BA" w14:textId="77777777" w:rsidR="001C40B0" w:rsidRDefault="00291712">
            <w:pPr>
              <w:jc w:val="both"/>
              <w:rPr>
                <w:rFonts w:ascii="Arial" w:eastAsia="Arial" w:hAnsi="Arial" w:cs="Arial"/>
              </w:rPr>
            </w:pPr>
            <w:r>
              <w:rPr>
                <w:rFonts w:ascii="Arial" w:eastAsia="Arial" w:hAnsi="Arial" w:cs="Arial"/>
                <w:b/>
                <w:bCs/>
              </w:rPr>
              <w:lastRenderedPageBreak/>
              <w:t xml:space="preserve">ARTÍCULO 27. ARTICULACIÓN DEL INSTITUTO NACIONAL DE MEDICINA LEGAL Y CIENCIAS FORENSES. </w:t>
            </w:r>
            <w:r>
              <w:rPr>
                <w:rFonts w:ascii="Arial" w:eastAsia="Arial" w:hAnsi="Arial" w:cs="Arial"/>
              </w:rPr>
              <w:t xml:space="preserve">El Instituto Nacional de Medicina Legal y Ciencias Forenses deberá articularse con la Red Nacional de Trasplante de órganos, Tejidos y células bajo la coordinación del Instituto Nacional de Salud con el fin de identificar posibles donantes y garantizar las condiciones de preservación y viabilidad de los tejidos para tal efecto el Instituto Nacional de Medicina Legal deberá implementar infraestructura física y tecnológica para el </w:t>
            </w:r>
            <w:r>
              <w:rPr>
                <w:rFonts w:ascii="Arial" w:eastAsia="Arial" w:hAnsi="Arial" w:cs="Arial"/>
              </w:rPr>
              <w:lastRenderedPageBreak/>
              <w:t>mantenimiento temporal de los cuerpos con el objeto de ampliar los rangos de viabilidad de los órganos y tejidos para su rescate. Establecer de manera conjunta con el Instituto Nacional de Salud, las Secretarías de Salud y los Bancos de Tejidos autorizados para la remisión y preservación oportuna de los tejidos y órganos, capacitar al personal médico y técnico en los procedimientos básicos de identificación y preservación de donantes potenciales. El Gobierno Nacional implementará y reglamentará la articulación necesaria incluyendo las fuentes de financiación para el fortalecimiento de la infraestructura y la capacidad del personal de Medicina Legal, esta se hará en un plazo no mayor a 12 meses a partir de la promulgación de la presente ley.</w:t>
            </w:r>
          </w:p>
        </w:tc>
        <w:tc>
          <w:tcPr>
            <w:tcW w:w="32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6BB" w14:textId="77777777" w:rsidR="001C40B0" w:rsidRDefault="00291712">
            <w:pPr>
              <w:jc w:val="both"/>
              <w:rPr>
                <w:rFonts w:ascii="Arial" w:eastAsia="Arial" w:hAnsi="Arial" w:cs="Arial"/>
                <w:highlight w:val="white"/>
              </w:rPr>
            </w:pPr>
            <w:r>
              <w:rPr>
                <w:rFonts w:ascii="Arial" w:eastAsia="Arial" w:hAnsi="Arial" w:cs="Arial"/>
                <w:b/>
                <w:bCs/>
                <w:highlight w:val="white"/>
              </w:rPr>
              <w:lastRenderedPageBreak/>
              <w:t xml:space="preserve">ARTÍCULO 27. ARTICULACIÓN DEL INSTITUTO NACIONAL DE MEDICINA LEGAL Y CIENCIAS FORENSES. </w:t>
            </w:r>
            <w:r>
              <w:rPr>
                <w:rFonts w:ascii="Arial" w:eastAsia="Arial" w:hAnsi="Arial" w:cs="Arial"/>
                <w:highlight w:val="white"/>
              </w:rPr>
              <w:t xml:space="preserve">El Instituto Nacional de Medicina Legal y Ciencias Forenses deberá articularse con la Red Nacional de </w:t>
            </w:r>
            <w:r>
              <w:rPr>
                <w:rFonts w:ascii="Arial" w:eastAsia="Arial" w:hAnsi="Arial" w:cs="Arial"/>
                <w:b/>
                <w:bCs/>
                <w:highlight w:val="white"/>
                <w:u w:val="single"/>
              </w:rPr>
              <w:t>Donación y</w:t>
            </w:r>
            <w:r>
              <w:rPr>
                <w:rFonts w:ascii="Arial" w:eastAsia="Arial" w:hAnsi="Arial" w:cs="Arial"/>
                <w:highlight w:val="white"/>
              </w:rPr>
              <w:t xml:space="preserve"> Trasplantes de Órganos y Tejidos bajo la coordinación del Instituto Nacional de Salud con el fin de identificar posibles donantes y garantizar las condiciones de preservación y viabilidad de los tejidos</w:t>
            </w:r>
            <w:r>
              <w:rPr>
                <w:rFonts w:ascii="Arial" w:eastAsia="Arial" w:hAnsi="Arial" w:cs="Arial"/>
                <w:b/>
                <w:bCs/>
                <w:highlight w:val="white"/>
                <w:u w:val="single"/>
              </w:rPr>
              <w:t>.</w:t>
            </w:r>
            <w:r>
              <w:rPr>
                <w:rFonts w:ascii="Arial" w:eastAsia="Arial" w:hAnsi="Arial" w:cs="Arial"/>
                <w:highlight w:val="white"/>
              </w:rPr>
              <w:t xml:space="preserve"> </w:t>
            </w:r>
            <w:r>
              <w:rPr>
                <w:rFonts w:ascii="Arial" w:eastAsia="Arial" w:hAnsi="Arial" w:cs="Arial"/>
                <w:b/>
                <w:bCs/>
                <w:highlight w:val="white"/>
                <w:u w:val="single"/>
              </w:rPr>
              <w:t>P</w:t>
            </w:r>
            <w:r>
              <w:rPr>
                <w:rFonts w:ascii="Arial" w:eastAsia="Arial" w:hAnsi="Arial" w:cs="Arial"/>
                <w:highlight w:val="white"/>
              </w:rPr>
              <w:t>ara tal efecto</w:t>
            </w:r>
            <w:r>
              <w:rPr>
                <w:rFonts w:ascii="Arial" w:eastAsia="Arial" w:hAnsi="Arial" w:cs="Arial"/>
                <w:b/>
                <w:bCs/>
                <w:highlight w:val="white"/>
                <w:u w:val="single"/>
              </w:rPr>
              <w:t>,</w:t>
            </w:r>
            <w:r>
              <w:rPr>
                <w:rFonts w:ascii="Arial" w:eastAsia="Arial" w:hAnsi="Arial" w:cs="Arial"/>
                <w:highlight w:val="white"/>
              </w:rPr>
              <w:t xml:space="preserve">el Instituto Nacional de Medicina Legal deberá implementar la infraestructura física y tecnológica </w:t>
            </w:r>
            <w:r>
              <w:rPr>
                <w:rFonts w:ascii="Arial" w:eastAsia="Arial" w:hAnsi="Arial" w:cs="Arial"/>
                <w:b/>
                <w:bCs/>
                <w:highlight w:val="white"/>
                <w:u w:val="single"/>
              </w:rPr>
              <w:t>necesaria</w:t>
            </w:r>
            <w:r>
              <w:rPr>
                <w:rFonts w:ascii="Arial" w:eastAsia="Arial" w:hAnsi="Arial" w:cs="Arial"/>
                <w:highlight w:val="white"/>
              </w:rPr>
              <w:t xml:space="preserve"> </w:t>
            </w:r>
            <w:r>
              <w:rPr>
                <w:rFonts w:ascii="Arial" w:eastAsia="Arial" w:hAnsi="Arial" w:cs="Arial"/>
                <w:highlight w:val="white"/>
              </w:rPr>
              <w:lastRenderedPageBreak/>
              <w:t>para el mantenimiento temporal de los cuerpos, con el objeto de ampliar los rangos de viabilidad de los órganos</w:t>
            </w:r>
            <w:r>
              <w:rPr>
                <w:rFonts w:ascii="Arial" w:eastAsia="Arial" w:hAnsi="Arial" w:cs="Arial"/>
                <w:b/>
                <w:bCs/>
                <w:highlight w:val="white"/>
                <w:u w:val="single"/>
              </w:rPr>
              <w:t>,</w:t>
            </w:r>
            <w:r>
              <w:rPr>
                <w:rFonts w:ascii="Arial" w:eastAsia="Arial" w:hAnsi="Arial" w:cs="Arial"/>
                <w:highlight w:val="white"/>
              </w:rPr>
              <w:t xml:space="preserve"> </w:t>
            </w:r>
            <w:r>
              <w:rPr>
                <w:rFonts w:ascii="Arial" w:eastAsia="Arial" w:hAnsi="Arial" w:cs="Arial"/>
                <w:strike/>
                <w:highlight w:val="white"/>
              </w:rPr>
              <w:t xml:space="preserve">y </w:t>
            </w:r>
            <w:r>
              <w:rPr>
                <w:rFonts w:ascii="Arial" w:eastAsia="Arial" w:hAnsi="Arial" w:cs="Arial"/>
                <w:highlight w:val="white"/>
              </w:rPr>
              <w:t>tejidos</w:t>
            </w:r>
            <w:r>
              <w:rPr>
                <w:rFonts w:ascii="Arial" w:eastAsia="Arial" w:hAnsi="Arial" w:cs="Arial"/>
                <w:b/>
                <w:bCs/>
                <w:highlight w:val="white"/>
                <w:u w:val="single"/>
              </w:rPr>
              <w:t>, células</w:t>
            </w:r>
            <w:r>
              <w:rPr>
                <w:rFonts w:ascii="Arial" w:eastAsia="Arial" w:hAnsi="Arial" w:cs="Arial"/>
                <w:highlight w:val="white"/>
              </w:rPr>
              <w:t xml:space="preserve"> </w:t>
            </w:r>
            <w:r>
              <w:rPr>
                <w:rFonts w:ascii="Arial" w:eastAsia="Arial" w:hAnsi="Arial" w:cs="Arial"/>
                <w:b/>
                <w:bCs/>
                <w:highlight w:val="white"/>
                <w:u w:val="single"/>
              </w:rPr>
              <w:t>y derivados</w:t>
            </w:r>
            <w:r>
              <w:rPr>
                <w:rFonts w:ascii="Arial" w:eastAsia="Arial" w:hAnsi="Arial" w:cs="Arial"/>
                <w:highlight w:val="white"/>
              </w:rPr>
              <w:t xml:space="preserve"> para su rescate. </w:t>
            </w:r>
            <w:r>
              <w:rPr>
                <w:rFonts w:ascii="Arial" w:eastAsia="Arial" w:hAnsi="Arial" w:cs="Arial"/>
                <w:b/>
                <w:bCs/>
                <w:highlight w:val="white"/>
                <w:u w:val="single"/>
              </w:rPr>
              <w:t>Asimismo, deberá</w:t>
            </w:r>
            <w:r>
              <w:rPr>
                <w:rFonts w:ascii="Arial" w:eastAsia="Arial" w:hAnsi="Arial" w:cs="Arial"/>
                <w:highlight w:val="white"/>
              </w:rPr>
              <w:t xml:space="preserve"> establecer de manera conjunta con el Instituto Nacional de Salud, las Secretarías de Salud y los Bancos de Tejidos autorizados, </w:t>
            </w:r>
            <w:r>
              <w:rPr>
                <w:rFonts w:ascii="Arial" w:eastAsia="Arial" w:hAnsi="Arial" w:cs="Arial"/>
                <w:b/>
                <w:bCs/>
                <w:highlight w:val="white"/>
                <w:u w:val="single"/>
              </w:rPr>
              <w:t>los procedimientos</w:t>
            </w:r>
            <w:r>
              <w:rPr>
                <w:rFonts w:ascii="Arial" w:eastAsia="Arial" w:hAnsi="Arial" w:cs="Arial"/>
                <w:highlight w:val="white"/>
              </w:rPr>
              <w:t xml:space="preserve"> para la remisión y preservación oportuna de los tejidos y órganos </w:t>
            </w:r>
            <w:r>
              <w:rPr>
                <w:rFonts w:ascii="Arial" w:eastAsia="Arial" w:hAnsi="Arial" w:cs="Arial"/>
                <w:b/>
                <w:bCs/>
                <w:highlight w:val="white"/>
                <w:u w:val="single"/>
              </w:rPr>
              <w:t>y</w:t>
            </w:r>
            <w:r>
              <w:rPr>
                <w:rFonts w:ascii="Arial" w:eastAsia="Arial" w:hAnsi="Arial" w:cs="Arial"/>
                <w:highlight w:val="white"/>
              </w:rPr>
              <w:t xml:space="preserve"> capacitar al personal médico, </w:t>
            </w:r>
            <w:sdt>
              <w:sdtPr>
                <w:tag w:val="goog_rdk_6"/>
                <w:id w:val="-1142526323"/>
              </w:sdtPr>
              <w:sdtEndPr/>
              <w:sdtContent>
                <w:commentRangeStart w:id="9"/>
              </w:sdtContent>
            </w:sdt>
            <w:r>
              <w:rPr>
                <w:rFonts w:ascii="Arial" w:eastAsia="Arial" w:hAnsi="Arial" w:cs="Arial"/>
                <w:b/>
                <w:bCs/>
                <w:highlight w:val="white"/>
                <w:u w:val="single"/>
              </w:rPr>
              <w:t>judicial</w:t>
            </w:r>
            <w:r>
              <w:rPr>
                <w:rFonts w:ascii="Arial" w:eastAsia="Arial" w:hAnsi="Arial" w:cs="Arial"/>
                <w:highlight w:val="white"/>
              </w:rPr>
              <w:t xml:space="preserve"> y técnico en los procedimientos básicos de </w:t>
            </w:r>
            <w:r>
              <w:rPr>
                <w:rFonts w:ascii="Arial" w:eastAsia="Arial" w:hAnsi="Arial" w:cs="Arial"/>
                <w:b/>
                <w:bCs/>
                <w:highlight w:val="white"/>
                <w:u w:val="single"/>
              </w:rPr>
              <w:t xml:space="preserve">donación, trasplantes, </w:t>
            </w:r>
            <w:commentRangeEnd w:id="9"/>
            <w:r>
              <w:commentReference w:id="9"/>
            </w:r>
            <w:r>
              <w:rPr>
                <w:rFonts w:ascii="Arial" w:eastAsia="Arial" w:hAnsi="Arial" w:cs="Arial"/>
                <w:highlight w:val="white"/>
              </w:rPr>
              <w:t xml:space="preserve">identificación y preservación de donantes potenciales. El Gobierno Nacional implementará y reglamentará la articulación necesaria, incluyendo las fuentes de financiación para el fortalecimiento de la infraestructura y la capacidad del personal de Medicina Legal, </w:t>
            </w:r>
            <w:r>
              <w:rPr>
                <w:rFonts w:ascii="Arial" w:eastAsia="Arial" w:hAnsi="Arial" w:cs="Arial"/>
                <w:strike/>
                <w:highlight w:val="white"/>
              </w:rPr>
              <w:t>esta se hará</w:t>
            </w:r>
            <w:r>
              <w:rPr>
                <w:rFonts w:ascii="Arial" w:eastAsia="Arial" w:hAnsi="Arial" w:cs="Arial"/>
                <w:highlight w:val="white"/>
              </w:rPr>
              <w:t xml:space="preserve"> en un plazo no mayor a </w:t>
            </w:r>
            <w:r>
              <w:rPr>
                <w:rFonts w:ascii="Arial" w:eastAsia="Arial" w:hAnsi="Arial" w:cs="Arial"/>
                <w:b/>
                <w:bCs/>
                <w:highlight w:val="white"/>
                <w:u w:val="single"/>
              </w:rPr>
              <w:t>doce</w:t>
            </w:r>
            <w:r>
              <w:rPr>
                <w:rFonts w:ascii="Arial" w:eastAsia="Arial" w:hAnsi="Arial" w:cs="Arial"/>
                <w:b/>
                <w:bCs/>
                <w:highlight w:val="white"/>
              </w:rPr>
              <w:t xml:space="preserve"> (</w:t>
            </w:r>
            <w:r>
              <w:rPr>
                <w:rFonts w:ascii="Arial" w:eastAsia="Arial" w:hAnsi="Arial" w:cs="Arial"/>
                <w:highlight w:val="white"/>
              </w:rPr>
              <w:t xml:space="preserve">12) meses </w:t>
            </w:r>
            <w:r>
              <w:rPr>
                <w:rFonts w:ascii="Arial" w:eastAsia="Arial" w:hAnsi="Arial" w:cs="Arial"/>
                <w:b/>
                <w:bCs/>
                <w:highlight w:val="white"/>
                <w:u w:val="single"/>
              </w:rPr>
              <w:t>contados</w:t>
            </w:r>
            <w:r>
              <w:rPr>
                <w:rFonts w:ascii="Arial" w:eastAsia="Arial" w:hAnsi="Arial" w:cs="Arial"/>
                <w:highlight w:val="white"/>
              </w:rPr>
              <w:t xml:space="preserve"> a partir de la promulgación de la presente ley.</w:t>
            </w:r>
          </w:p>
        </w:tc>
        <w:tc>
          <w:tcPr>
            <w:tcW w:w="2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BC" w14:textId="77777777" w:rsidR="001C40B0" w:rsidRDefault="00291712">
            <w:pPr>
              <w:rPr>
                <w:rFonts w:ascii="Arial" w:eastAsia="Arial" w:hAnsi="Arial" w:cs="Arial"/>
                <w:highlight w:val="yellow"/>
              </w:rPr>
            </w:pPr>
            <w:r>
              <w:rPr>
                <w:rFonts w:ascii="Arial" w:eastAsia="Arial" w:hAnsi="Arial" w:cs="Arial"/>
              </w:rPr>
              <w:lastRenderedPageBreak/>
              <w:t xml:space="preserve">Se ajusta la redacción. </w:t>
            </w:r>
            <w:r>
              <w:rPr>
                <w:rFonts w:ascii="Arial" w:eastAsia="Arial" w:hAnsi="Arial" w:cs="Arial"/>
              </w:rPr>
              <w:br/>
            </w:r>
            <w:r>
              <w:rPr>
                <w:rFonts w:ascii="Arial" w:eastAsia="Arial" w:hAnsi="Arial" w:cs="Arial"/>
              </w:rPr>
              <w:br/>
            </w:r>
          </w:p>
        </w:tc>
      </w:tr>
      <w:tr w:rsidR="001C40B0" w14:paraId="6B81994C" w14:textId="77777777">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BD" w14:textId="77777777" w:rsidR="001C40B0" w:rsidRDefault="00291712">
            <w:pPr>
              <w:spacing w:after="160"/>
              <w:jc w:val="both"/>
              <w:rPr>
                <w:rFonts w:ascii="Arial" w:eastAsia="Arial" w:hAnsi="Arial" w:cs="Arial"/>
              </w:rPr>
            </w:pPr>
            <w:r>
              <w:rPr>
                <w:rFonts w:ascii="Arial" w:eastAsia="Arial" w:hAnsi="Arial" w:cs="Arial"/>
                <w:b/>
                <w:bCs/>
              </w:rPr>
              <w:lastRenderedPageBreak/>
              <w:t xml:space="preserve">ARTÍCULO 28. IGUALDAD DE CONDICIONES PARA LOS BANCOS DE TEJIDOS NACIONALES. </w:t>
            </w:r>
            <w:r>
              <w:rPr>
                <w:rFonts w:ascii="Arial" w:eastAsia="Arial" w:hAnsi="Arial" w:cs="Arial"/>
              </w:rPr>
              <w:t xml:space="preserve">El Ministerio de Salud y Protección Social y el INVIMA, deberán garantizar que los productos elaborados por los bancos de tejido nacional se sometan a un régimen regulatorio equivalente al aplicable a los productos importados de naturaleza similar que ingresan </w:t>
            </w:r>
            <w:r>
              <w:rPr>
                <w:rFonts w:ascii="Arial" w:eastAsia="Arial" w:hAnsi="Arial" w:cs="Arial"/>
              </w:rPr>
              <w:lastRenderedPageBreak/>
              <w:t>al país bajo la categoría de dispositivos médicos. En ningún caso podrán establecerse cargas normativas adicionales que generen desventajas injustificadas a los productos nacionales frente a los productos de origen extranjero.</w:t>
            </w:r>
          </w:p>
          <w:p w14:paraId="000006BE" w14:textId="77777777" w:rsidR="001C40B0" w:rsidRDefault="00291712">
            <w:pPr>
              <w:spacing w:after="160"/>
              <w:jc w:val="both"/>
              <w:rPr>
                <w:rFonts w:ascii="Arial" w:eastAsia="Arial" w:hAnsi="Arial" w:cs="Arial"/>
              </w:rPr>
            </w:pPr>
            <w:r>
              <w:rPr>
                <w:rFonts w:ascii="Arial" w:eastAsia="Arial" w:hAnsi="Arial" w:cs="Arial"/>
              </w:rPr>
              <w:t xml:space="preserve"> El Gobierno Nacional expedirá la reglamentación que armonice los requisitos de habilitación, certificación, vigilancia y distribución de los bancos de tejidos nacionales, con el fin de garantizar equidad de oportunidades en el mercado, este se hará dentro de los seis meses siguientes a la entrada en vigencia de la presente ley.</w:t>
            </w:r>
          </w:p>
          <w:p w14:paraId="000006BF" w14:textId="77777777" w:rsidR="001C40B0" w:rsidRDefault="00291712">
            <w:pPr>
              <w:spacing w:after="160"/>
              <w:jc w:val="both"/>
              <w:rPr>
                <w:rFonts w:ascii="Arial" w:eastAsia="Arial" w:hAnsi="Arial" w:cs="Arial"/>
              </w:rPr>
            </w:pPr>
            <w:r>
              <w:rPr>
                <w:rFonts w:ascii="Arial" w:eastAsia="Arial" w:hAnsi="Arial" w:cs="Arial"/>
                <w:b/>
                <w:bCs/>
              </w:rPr>
              <w:t xml:space="preserve">Parágrafo. </w:t>
            </w:r>
            <w:r>
              <w:rPr>
                <w:rFonts w:ascii="Arial" w:eastAsia="Arial" w:hAnsi="Arial" w:cs="Arial"/>
              </w:rPr>
              <w:t>El INVIMA, regulará los ajustes necesarios para la homologación técnica y científica de los productos nacionales con los estándares internacionales vigentes.</w:t>
            </w:r>
          </w:p>
        </w:tc>
        <w:tc>
          <w:tcPr>
            <w:tcW w:w="32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6C0" w14:textId="77777777" w:rsidR="001C40B0" w:rsidRDefault="00291712">
            <w:pPr>
              <w:spacing w:after="160"/>
              <w:jc w:val="both"/>
              <w:rPr>
                <w:rFonts w:ascii="Arial" w:eastAsia="Arial" w:hAnsi="Arial" w:cs="Arial"/>
              </w:rPr>
            </w:pPr>
            <w:r>
              <w:rPr>
                <w:rFonts w:ascii="Arial" w:eastAsia="Arial" w:hAnsi="Arial" w:cs="Arial"/>
                <w:b/>
                <w:bCs/>
              </w:rPr>
              <w:lastRenderedPageBreak/>
              <w:t xml:space="preserve">ARTÍCULO 28. IGUALDAD DE CONDICIONES PARA LOS BANCOS DE TEJIDOS NACIONALES. </w:t>
            </w:r>
            <w:r>
              <w:rPr>
                <w:rFonts w:ascii="Arial" w:eastAsia="Arial" w:hAnsi="Arial" w:cs="Arial"/>
              </w:rPr>
              <w:t xml:space="preserve">El Ministerio de Salud y Protección Social y el INVIMA, deberán garantizar que los productos elaborados por los bancos de tejido nacional se sometan a un régimen regulatorio equivalente al aplicable a los productos importados de naturaleza similar que ingresan al país </w:t>
            </w:r>
            <w:r>
              <w:rPr>
                <w:rFonts w:ascii="Arial" w:eastAsia="Arial" w:hAnsi="Arial" w:cs="Arial"/>
              </w:rPr>
              <w:lastRenderedPageBreak/>
              <w:t xml:space="preserve">bajo la categoría de dispositivos médicos. En ningún caso podrán establecerse cargas normativas adicionales que generen desventajas injustificadas a los productos nacionales frente a los productos de origen extranjero. </w:t>
            </w:r>
          </w:p>
          <w:p w14:paraId="000006C1" w14:textId="77777777" w:rsidR="001C40B0" w:rsidRDefault="00291712">
            <w:pPr>
              <w:spacing w:after="160"/>
              <w:jc w:val="both"/>
              <w:rPr>
                <w:rFonts w:ascii="Arial" w:eastAsia="Arial" w:hAnsi="Arial" w:cs="Arial"/>
                <w:strike/>
              </w:rPr>
            </w:pPr>
            <w:r>
              <w:rPr>
                <w:rFonts w:ascii="Arial" w:eastAsia="Arial" w:hAnsi="Arial" w:cs="Arial"/>
              </w:rPr>
              <w:t xml:space="preserve">El Gobierno Nacional expedirá, </w:t>
            </w:r>
            <w:r>
              <w:rPr>
                <w:rFonts w:ascii="Arial" w:eastAsia="Arial" w:hAnsi="Arial" w:cs="Arial"/>
                <w:b/>
                <w:bCs/>
                <w:u w:val="single"/>
              </w:rPr>
              <w:t>dentro de los seis (6) meses siguientes a la entrada en vigencia de la presente ley,</w:t>
            </w:r>
            <w:r>
              <w:rPr>
                <w:rFonts w:ascii="Arial" w:eastAsia="Arial" w:hAnsi="Arial" w:cs="Arial"/>
              </w:rPr>
              <w:t xml:space="preserve"> la reglamentación que armonice los requisitos de habilitación, certificación, vigilancia y distribución de los bancos de tejidos nacionales, con el fin de garantizar </w:t>
            </w:r>
            <w:r>
              <w:rPr>
                <w:rFonts w:ascii="Arial" w:eastAsia="Arial" w:hAnsi="Arial" w:cs="Arial"/>
                <w:strike/>
              </w:rPr>
              <w:t xml:space="preserve">equidad de </w:t>
            </w:r>
            <w:r>
              <w:rPr>
                <w:rFonts w:ascii="Arial" w:eastAsia="Arial" w:hAnsi="Arial" w:cs="Arial"/>
              </w:rPr>
              <w:t xml:space="preserve">oportunidades </w:t>
            </w:r>
            <w:r>
              <w:rPr>
                <w:rFonts w:ascii="Arial" w:eastAsia="Arial" w:hAnsi="Arial" w:cs="Arial"/>
                <w:b/>
                <w:bCs/>
                <w:u w:val="single"/>
              </w:rPr>
              <w:t xml:space="preserve">equitativas de participación </w:t>
            </w:r>
            <w:r>
              <w:rPr>
                <w:rFonts w:ascii="Arial" w:eastAsia="Arial" w:hAnsi="Arial" w:cs="Arial"/>
              </w:rPr>
              <w:t>en el mercado,</w:t>
            </w:r>
            <w:r>
              <w:rPr>
                <w:rFonts w:ascii="Arial" w:eastAsia="Arial" w:hAnsi="Arial" w:cs="Arial"/>
                <w:strike/>
              </w:rPr>
              <w:t xml:space="preserve"> este se hará dentro de los seis (6) meses siguientes a la entrada en vigencia de la presente ley.</w:t>
            </w:r>
          </w:p>
          <w:p w14:paraId="000006C2" w14:textId="77777777" w:rsidR="001C40B0" w:rsidRDefault="00291712">
            <w:pPr>
              <w:spacing w:after="160"/>
              <w:jc w:val="both"/>
              <w:rPr>
                <w:rFonts w:ascii="Arial" w:eastAsia="Arial" w:hAnsi="Arial" w:cs="Arial"/>
              </w:rPr>
            </w:pPr>
            <w:r>
              <w:rPr>
                <w:rFonts w:ascii="Arial" w:eastAsia="Arial" w:hAnsi="Arial" w:cs="Arial"/>
                <w:b/>
                <w:bCs/>
              </w:rPr>
              <w:t xml:space="preserve">Parágrafo. </w:t>
            </w:r>
            <w:r>
              <w:rPr>
                <w:rFonts w:ascii="Arial" w:eastAsia="Arial" w:hAnsi="Arial" w:cs="Arial"/>
              </w:rPr>
              <w:t>El INVIMA, regulará los ajustes necesarios para la homologación técnica y científica de los productos nacionales con los estándares internacionales vigentes.</w:t>
            </w:r>
          </w:p>
        </w:tc>
        <w:tc>
          <w:tcPr>
            <w:tcW w:w="2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C3" w14:textId="77777777" w:rsidR="001C40B0" w:rsidRDefault="00291712">
            <w:pPr>
              <w:rPr>
                <w:rFonts w:ascii="Arial" w:eastAsia="Arial" w:hAnsi="Arial" w:cs="Arial"/>
                <w:color w:val="000000"/>
              </w:rPr>
            </w:pPr>
            <w:r>
              <w:rPr>
                <w:rFonts w:ascii="Arial" w:eastAsia="Arial" w:hAnsi="Arial" w:cs="Arial"/>
              </w:rPr>
              <w:lastRenderedPageBreak/>
              <w:t>Se ajusta la redacción.</w:t>
            </w:r>
          </w:p>
        </w:tc>
      </w:tr>
      <w:tr w:rsidR="001C40B0" w14:paraId="65E2E2EE" w14:textId="77777777">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C4" w14:textId="77777777" w:rsidR="001C40B0" w:rsidRDefault="00291712">
            <w:pPr>
              <w:widowControl/>
              <w:jc w:val="both"/>
              <w:rPr>
                <w:rFonts w:ascii="Arial" w:eastAsia="Arial" w:hAnsi="Arial" w:cs="Arial"/>
              </w:rPr>
            </w:pPr>
            <w:r>
              <w:rPr>
                <w:rFonts w:ascii="Arial" w:eastAsia="Arial" w:hAnsi="Arial" w:cs="Arial"/>
                <w:b/>
                <w:bCs/>
              </w:rPr>
              <w:lastRenderedPageBreak/>
              <w:t>ARTÍCULO 29. PROGRAMAS PERMANENTES DE EDUCACIÓN Y SENSIBILIZACIÓN</w:t>
            </w:r>
            <w:r>
              <w:rPr>
                <w:rFonts w:ascii="Arial" w:eastAsia="Arial" w:hAnsi="Arial" w:cs="Arial"/>
              </w:rPr>
              <w:t xml:space="preserve"> </w:t>
            </w:r>
            <w:r>
              <w:rPr>
                <w:rFonts w:ascii="Arial" w:eastAsia="Arial" w:hAnsi="Arial" w:cs="Arial"/>
                <w:b/>
                <w:bCs/>
              </w:rPr>
              <w:t xml:space="preserve">EN DONACIÓN. </w:t>
            </w:r>
            <w:r>
              <w:rPr>
                <w:rFonts w:ascii="Arial" w:eastAsia="Arial" w:hAnsi="Arial" w:cs="Arial"/>
              </w:rPr>
              <w:t xml:space="preserve">El Ministerio de Salud y Protección Social en coordinación con el Instituto Nacional de Salud en coordinación con las Secretarías distritales, departamentales y municipales implementarán de manera permanente campañas de educación y sensibilización </w:t>
            </w:r>
            <w:r>
              <w:rPr>
                <w:rFonts w:ascii="Arial" w:eastAsia="Arial" w:hAnsi="Arial" w:cs="Arial"/>
              </w:rPr>
              <w:lastRenderedPageBreak/>
              <w:t>ciudadana en torno a la donación, trasplante de órganos, tejidos y componentes anatómicos. Estas campañas tendrán como objetivo preparar a la población para asumir en la donación un acto de solidaridad y responsabilidad social que permitan reducir la resistencia en los momentos de duelo y fomenten la responsabilidad en vida.</w:t>
            </w:r>
          </w:p>
          <w:p w14:paraId="000006C5" w14:textId="77777777" w:rsidR="001C40B0" w:rsidRDefault="00291712">
            <w:pPr>
              <w:widowControl/>
              <w:jc w:val="both"/>
              <w:rPr>
                <w:rFonts w:ascii="Arial" w:eastAsia="Arial" w:hAnsi="Arial" w:cs="Arial"/>
              </w:rPr>
            </w:pPr>
            <w:r>
              <w:rPr>
                <w:rFonts w:ascii="Arial" w:eastAsia="Arial" w:hAnsi="Arial" w:cs="Arial"/>
              </w:rPr>
              <w:t xml:space="preserve"> </w:t>
            </w:r>
          </w:p>
          <w:p w14:paraId="000006C6" w14:textId="77777777" w:rsidR="001C40B0" w:rsidRDefault="00291712">
            <w:pPr>
              <w:widowControl/>
              <w:jc w:val="both"/>
              <w:rPr>
                <w:rFonts w:ascii="Arial" w:eastAsia="Arial" w:hAnsi="Arial" w:cs="Arial"/>
              </w:rPr>
            </w:pPr>
            <w:r>
              <w:rPr>
                <w:rFonts w:ascii="Arial" w:eastAsia="Arial" w:hAnsi="Arial" w:cs="Arial"/>
              </w:rPr>
              <w:t xml:space="preserve"> </w:t>
            </w:r>
          </w:p>
          <w:p w14:paraId="000006C7" w14:textId="77777777" w:rsidR="001C40B0" w:rsidRDefault="00291712">
            <w:pPr>
              <w:widowControl/>
              <w:jc w:val="both"/>
              <w:rPr>
                <w:rFonts w:ascii="Arial" w:eastAsia="Arial" w:hAnsi="Arial" w:cs="Arial"/>
              </w:rPr>
            </w:pPr>
            <w:r>
              <w:rPr>
                <w:rFonts w:ascii="Arial" w:eastAsia="Arial" w:hAnsi="Arial" w:cs="Arial"/>
              </w:rPr>
              <w:t xml:space="preserve"> </w:t>
            </w:r>
          </w:p>
          <w:p w14:paraId="000006C8" w14:textId="77777777" w:rsidR="001C40B0" w:rsidRDefault="00291712">
            <w:pPr>
              <w:widowControl/>
              <w:jc w:val="both"/>
              <w:rPr>
                <w:rFonts w:ascii="Arial" w:eastAsia="Arial" w:hAnsi="Arial" w:cs="Arial"/>
              </w:rPr>
            </w:pPr>
            <w:r>
              <w:rPr>
                <w:rFonts w:ascii="Arial" w:eastAsia="Arial" w:hAnsi="Arial" w:cs="Arial"/>
              </w:rPr>
              <w:t xml:space="preserve"> </w:t>
            </w:r>
          </w:p>
          <w:p w14:paraId="000006C9" w14:textId="77777777" w:rsidR="001C40B0" w:rsidRDefault="001C40B0">
            <w:pPr>
              <w:widowControl/>
              <w:jc w:val="both"/>
              <w:rPr>
                <w:rFonts w:ascii="Arial" w:eastAsia="Arial" w:hAnsi="Arial" w:cs="Arial"/>
              </w:rPr>
            </w:pPr>
          </w:p>
          <w:p w14:paraId="000006CA" w14:textId="77777777" w:rsidR="001C40B0" w:rsidRDefault="001C40B0">
            <w:pPr>
              <w:widowControl/>
              <w:jc w:val="both"/>
              <w:rPr>
                <w:rFonts w:ascii="Arial" w:eastAsia="Arial" w:hAnsi="Arial" w:cs="Arial"/>
              </w:rPr>
            </w:pPr>
          </w:p>
          <w:p w14:paraId="000006CB" w14:textId="77777777" w:rsidR="001C40B0" w:rsidRDefault="00291712">
            <w:pPr>
              <w:widowControl/>
              <w:jc w:val="both"/>
              <w:rPr>
                <w:rFonts w:ascii="Arial" w:eastAsia="Arial" w:hAnsi="Arial" w:cs="Arial"/>
              </w:rPr>
            </w:pPr>
            <w:r>
              <w:rPr>
                <w:rFonts w:ascii="Arial" w:eastAsia="Arial" w:hAnsi="Arial" w:cs="Arial"/>
                <w:b/>
                <w:bCs/>
              </w:rPr>
              <w:t xml:space="preserve">Parágrafo 1. </w:t>
            </w:r>
            <w:r>
              <w:rPr>
                <w:rFonts w:ascii="Arial" w:eastAsia="Arial" w:hAnsi="Arial" w:cs="Arial"/>
              </w:rPr>
              <w:t>Las campañas deberán difundirse en medios de comunicación masiva, redes digitales, instituciones educativas en todos los niveles a través de EPS, IPS, garantizando un alcance nacional y regional.</w:t>
            </w:r>
          </w:p>
          <w:p w14:paraId="000006CC" w14:textId="77777777" w:rsidR="001C40B0" w:rsidRDefault="00291712">
            <w:pPr>
              <w:widowControl/>
              <w:jc w:val="both"/>
              <w:rPr>
                <w:rFonts w:ascii="Arial" w:eastAsia="Arial" w:hAnsi="Arial" w:cs="Arial"/>
              </w:rPr>
            </w:pPr>
            <w:r>
              <w:rPr>
                <w:rFonts w:ascii="Arial" w:eastAsia="Arial" w:hAnsi="Arial" w:cs="Arial"/>
              </w:rPr>
              <w:t xml:space="preserve"> </w:t>
            </w:r>
          </w:p>
          <w:p w14:paraId="000006CD" w14:textId="77777777" w:rsidR="001C40B0" w:rsidRDefault="001C40B0">
            <w:pPr>
              <w:widowControl/>
              <w:jc w:val="both"/>
              <w:rPr>
                <w:rFonts w:ascii="Arial" w:eastAsia="Arial" w:hAnsi="Arial" w:cs="Arial"/>
              </w:rPr>
            </w:pPr>
          </w:p>
          <w:p w14:paraId="000006CE" w14:textId="77777777" w:rsidR="001C40B0" w:rsidRDefault="001C40B0">
            <w:pPr>
              <w:widowControl/>
              <w:jc w:val="both"/>
              <w:rPr>
                <w:rFonts w:ascii="Arial" w:eastAsia="Arial" w:hAnsi="Arial" w:cs="Arial"/>
              </w:rPr>
            </w:pPr>
          </w:p>
          <w:p w14:paraId="000006CF" w14:textId="77777777" w:rsidR="001C40B0" w:rsidRDefault="001C40B0">
            <w:pPr>
              <w:widowControl/>
              <w:jc w:val="both"/>
              <w:rPr>
                <w:rFonts w:ascii="Arial" w:eastAsia="Arial" w:hAnsi="Arial" w:cs="Arial"/>
              </w:rPr>
            </w:pPr>
          </w:p>
          <w:p w14:paraId="000006D0" w14:textId="77777777" w:rsidR="001C40B0" w:rsidRDefault="00291712">
            <w:pPr>
              <w:widowControl/>
              <w:jc w:val="both"/>
              <w:rPr>
                <w:rFonts w:ascii="Arial" w:eastAsia="Arial" w:hAnsi="Arial" w:cs="Arial"/>
              </w:rPr>
            </w:pPr>
            <w:r>
              <w:rPr>
                <w:rFonts w:ascii="Arial" w:eastAsia="Arial" w:hAnsi="Arial" w:cs="Arial"/>
                <w:b/>
                <w:bCs/>
              </w:rPr>
              <w:t xml:space="preserve">Parágrafo 2. </w:t>
            </w:r>
            <w:r>
              <w:rPr>
                <w:rFonts w:ascii="Arial" w:eastAsia="Arial" w:hAnsi="Arial" w:cs="Arial"/>
              </w:rPr>
              <w:t>El Ministerio de Educación Nacional módulos de cultura ciudadana en donación de órganos y tejidos en programas de educación básica y media con enfoque en principios y valores en solidaridad y derechos humanos.</w:t>
            </w:r>
          </w:p>
        </w:tc>
        <w:tc>
          <w:tcPr>
            <w:tcW w:w="32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6D1" w14:textId="77777777" w:rsidR="001C40B0" w:rsidRDefault="00291712">
            <w:pPr>
              <w:jc w:val="both"/>
              <w:rPr>
                <w:rFonts w:ascii="Arial" w:eastAsia="Arial" w:hAnsi="Arial" w:cs="Arial"/>
              </w:rPr>
            </w:pPr>
            <w:r>
              <w:rPr>
                <w:rFonts w:ascii="Arial" w:eastAsia="Arial" w:hAnsi="Arial" w:cs="Arial"/>
                <w:b/>
                <w:bCs/>
              </w:rPr>
              <w:lastRenderedPageBreak/>
              <w:t>ARTÍCULO 29. PROGRAMAS PERMANENTES DE EDUCACIÓN Y SENSIBILIZACIÓN</w:t>
            </w:r>
            <w:r>
              <w:rPr>
                <w:rFonts w:ascii="Arial" w:eastAsia="Arial" w:hAnsi="Arial" w:cs="Arial"/>
              </w:rPr>
              <w:t xml:space="preserve"> </w:t>
            </w:r>
            <w:r>
              <w:rPr>
                <w:rFonts w:ascii="Arial" w:eastAsia="Arial" w:hAnsi="Arial" w:cs="Arial"/>
                <w:b/>
                <w:bCs/>
              </w:rPr>
              <w:t xml:space="preserve">EN DONACIÓN. </w:t>
            </w:r>
            <w:r>
              <w:rPr>
                <w:rFonts w:ascii="Arial" w:eastAsia="Arial" w:hAnsi="Arial" w:cs="Arial"/>
              </w:rPr>
              <w:t>El Ministerio de Salud y Protección Social</w:t>
            </w:r>
            <w:r>
              <w:rPr>
                <w:rFonts w:ascii="Arial" w:eastAsia="Arial" w:hAnsi="Arial" w:cs="Arial"/>
                <w:b/>
                <w:bCs/>
                <w:u w:val="single"/>
              </w:rPr>
              <w:t>,</w:t>
            </w:r>
            <w:r>
              <w:rPr>
                <w:rFonts w:ascii="Arial" w:eastAsia="Arial" w:hAnsi="Arial" w:cs="Arial"/>
              </w:rPr>
              <w:t xml:space="preserve"> en coordinación con el Instituto Nacional de Salud </w:t>
            </w:r>
            <w:r>
              <w:rPr>
                <w:rFonts w:ascii="Arial" w:eastAsia="Arial" w:hAnsi="Arial" w:cs="Arial"/>
                <w:b/>
                <w:bCs/>
                <w:u w:val="single"/>
              </w:rPr>
              <w:t>y</w:t>
            </w:r>
            <w:r>
              <w:rPr>
                <w:rFonts w:ascii="Arial" w:eastAsia="Arial" w:hAnsi="Arial" w:cs="Arial"/>
                <w:b/>
                <w:bCs/>
              </w:rPr>
              <w:t xml:space="preserve"> </w:t>
            </w:r>
            <w:r>
              <w:rPr>
                <w:rFonts w:ascii="Arial" w:eastAsia="Arial" w:hAnsi="Arial" w:cs="Arial"/>
                <w:strike/>
              </w:rPr>
              <w:t>con en coordinación con</w:t>
            </w:r>
            <w:r>
              <w:rPr>
                <w:rFonts w:ascii="Arial" w:eastAsia="Arial" w:hAnsi="Arial" w:cs="Arial"/>
              </w:rPr>
              <w:t xml:space="preserve"> las secretarías distritales, departamentales y municipales</w:t>
            </w:r>
            <w:r>
              <w:rPr>
                <w:rFonts w:ascii="Arial" w:eastAsia="Arial" w:hAnsi="Arial" w:cs="Arial"/>
                <w:b/>
                <w:bCs/>
                <w:u w:val="single"/>
              </w:rPr>
              <w:t>,</w:t>
            </w:r>
            <w:r>
              <w:rPr>
                <w:rFonts w:ascii="Arial" w:eastAsia="Arial" w:hAnsi="Arial" w:cs="Arial"/>
              </w:rPr>
              <w:t xml:space="preserve">implementará de manera permanente campañas de educación y sensibilización </w:t>
            </w:r>
            <w:r>
              <w:rPr>
                <w:rFonts w:ascii="Arial" w:eastAsia="Arial" w:hAnsi="Arial" w:cs="Arial"/>
              </w:rPr>
              <w:lastRenderedPageBreak/>
              <w:t>ciudadana en torno a la donación, el trasplante de órganos, tejidos</w:t>
            </w:r>
            <w:r>
              <w:rPr>
                <w:rFonts w:ascii="Arial" w:eastAsia="Arial" w:hAnsi="Arial" w:cs="Arial"/>
                <w:b/>
                <w:bCs/>
                <w:u w:val="single"/>
              </w:rPr>
              <w:t>,</w:t>
            </w:r>
            <w:r>
              <w:rPr>
                <w:rFonts w:ascii="Arial" w:eastAsia="Arial" w:hAnsi="Arial" w:cs="Arial"/>
              </w:rPr>
              <w:t xml:space="preserve"> </w:t>
            </w:r>
            <w:r>
              <w:rPr>
                <w:rFonts w:ascii="Arial" w:eastAsia="Arial" w:hAnsi="Arial" w:cs="Arial"/>
                <w:b/>
                <w:bCs/>
                <w:u w:val="single"/>
              </w:rPr>
              <w:t>células</w:t>
            </w:r>
            <w:r>
              <w:rPr>
                <w:rFonts w:ascii="Arial" w:eastAsia="Arial" w:hAnsi="Arial" w:cs="Arial"/>
                <w:u w:val="single"/>
              </w:rPr>
              <w:t xml:space="preserve"> </w:t>
            </w:r>
            <w:r>
              <w:rPr>
                <w:rFonts w:ascii="Arial" w:eastAsia="Arial" w:hAnsi="Arial" w:cs="Arial"/>
                <w:b/>
                <w:bCs/>
                <w:u w:val="single"/>
              </w:rPr>
              <w:t xml:space="preserve">y derivados </w:t>
            </w:r>
            <w:r>
              <w:rPr>
                <w:rFonts w:ascii="Arial" w:eastAsia="Arial" w:hAnsi="Arial" w:cs="Arial"/>
                <w:strike/>
              </w:rPr>
              <w:t>y componentes anatómicos</w:t>
            </w:r>
            <w:r>
              <w:rPr>
                <w:rFonts w:ascii="Arial" w:eastAsia="Arial" w:hAnsi="Arial" w:cs="Arial"/>
              </w:rPr>
              <w:t xml:space="preserve">. Estas campañas tendrán como objetivo promover en la población </w:t>
            </w:r>
            <w:r>
              <w:rPr>
                <w:rFonts w:ascii="Arial" w:eastAsia="Arial" w:hAnsi="Arial" w:cs="Arial"/>
                <w:strike/>
              </w:rPr>
              <w:t>para asumir en</w:t>
            </w:r>
            <w:r>
              <w:rPr>
                <w:rFonts w:ascii="Arial" w:eastAsia="Arial" w:hAnsi="Arial" w:cs="Arial"/>
              </w:rPr>
              <w:t xml:space="preserve"> la donación </w:t>
            </w:r>
            <w:r>
              <w:rPr>
                <w:rFonts w:ascii="Arial" w:eastAsia="Arial" w:hAnsi="Arial" w:cs="Arial"/>
                <w:b/>
                <w:bCs/>
                <w:u w:val="single"/>
              </w:rPr>
              <w:t>como</w:t>
            </w:r>
            <w:r>
              <w:rPr>
                <w:rFonts w:ascii="Arial" w:eastAsia="Arial" w:hAnsi="Arial" w:cs="Arial"/>
              </w:rPr>
              <w:t xml:space="preserve"> un acto de solidaridad y responsabilidad social, </w:t>
            </w:r>
            <w:r>
              <w:rPr>
                <w:rFonts w:ascii="Arial" w:eastAsia="Arial" w:hAnsi="Arial" w:cs="Arial"/>
                <w:strike/>
              </w:rPr>
              <w:t>que permitan</w:t>
            </w:r>
            <w:r>
              <w:rPr>
                <w:rFonts w:ascii="Arial" w:eastAsia="Arial" w:hAnsi="Arial" w:cs="Arial"/>
              </w:rPr>
              <w:t xml:space="preserve"> con el fin de reducir la resistencia </w:t>
            </w:r>
            <w:r>
              <w:rPr>
                <w:rFonts w:ascii="Arial" w:eastAsia="Arial" w:hAnsi="Arial" w:cs="Arial"/>
                <w:b/>
                <w:bCs/>
                <w:u w:val="single"/>
              </w:rPr>
              <w:t>frente a la donación</w:t>
            </w:r>
            <w:r>
              <w:rPr>
                <w:rFonts w:ascii="Arial" w:eastAsia="Arial" w:hAnsi="Arial" w:cs="Arial"/>
              </w:rPr>
              <w:t xml:space="preserve"> en los momentos de duelo y </w:t>
            </w:r>
            <w:r>
              <w:rPr>
                <w:rFonts w:ascii="Arial" w:eastAsia="Arial" w:hAnsi="Arial" w:cs="Arial"/>
                <w:strike/>
              </w:rPr>
              <w:t>fomenten</w:t>
            </w:r>
            <w:r>
              <w:rPr>
                <w:rFonts w:ascii="Arial" w:eastAsia="Arial" w:hAnsi="Arial" w:cs="Arial"/>
              </w:rPr>
              <w:t xml:space="preserve"> </w:t>
            </w:r>
            <w:r>
              <w:rPr>
                <w:rFonts w:ascii="Arial" w:eastAsia="Arial" w:hAnsi="Arial" w:cs="Arial"/>
                <w:b/>
                <w:bCs/>
                <w:u w:val="single"/>
              </w:rPr>
              <w:t>fomentar</w:t>
            </w:r>
            <w:r>
              <w:rPr>
                <w:rFonts w:ascii="Arial" w:eastAsia="Arial" w:hAnsi="Arial" w:cs="Arial"/>
              </w:rPr>
              <w:t xml:space="preserve"> la </w:t>
            </w:r>
            <w:r>
              <w:rPr>
                <w:rFonts w:ascii="Arial" w:eastAsia="Arial" w:hAnsi="Arial" w:cs="Arial"/>
                <w:b/>
                <w:bCs/>
                <w:u w:val="single"/>
              </w:rPr>
              <w:t xml:space="preserve">manifestación </w:t>
            </w:r>
            <w:r>
              <w:rPr>
                <w:rFonts w:ascii="Arial" w:eastAsia="Arial" w:hAnsi="Arial" w:cs="Arial"/>
                <w:strike/>
              </w:rPr>
              <w:t>responsabilidad</w:t>
            </w:r>
            <w:r>
              <w:rPr>
                <w:rFonts w:ascii="Arial" w:eastAsia="Arial" w:hAnsi="Arial" w:cs="Arial"/>
              </w:rPr>
              <w:t xml:space="preserve"> responsable </w:t>
            </w:r>
            <w:r>
              <w:rPr>
                <w:rFonts w:ascii="Arial" w:eastAsia="Arial" w:hAnsi="Arial" w:cs="Arial"/>
                <w:b/>
                <w:bCs/>
                <w:u w:val="single"/>
              </w:rPr>
              <w:t xml:space="preserve">de la voluntad </w:t>
            </w:r>
            <w:r>
              <w:rPr>
                <w:rFonts w:ascii="Arial" w:eastAsia="Arial" w:hAnsi="Arial" w:cs="Arial"/>
              </w:rPr>
              <w:t>en vida.</w:t>
            </w:r>
          </w:p>
          <w:p w14:paraId="000006D2" w14:textId="77777777" w:rsidR="001C40B0" w:rsidRDefault="00291712">
            <w:pPr>
              <w:jc w:val="both"/>
              <w:rPr>
                <w:rFonts w:ascii="Arial" w:eastAsia="Arial" w:hAnsi="Arial" w:cs="Arial"/>
              </w:rPr>
            </w:pPr>
            <w:r>
              <w:rPr>
                <w:rFonts w:ascii="Arial" w:eastAsia="Arial" w:hAnsi="Arial" w:cs="Arial"/>
              </w:rPr>
              <w:t xml:space="preserve"> </w:t>
            </w:r>
          </w:p>
          <w:p w14:paraId="000006D3" w14:textId="77777777" w:rsidR="001C40B0" w:rsidRDefault="00291712">
            <w:pPr>
              <w:jc w:val="both"/>
              <w:rPr>
                <w:rFonts w:ascii="Arial" w:eastAsia="Arial" w:hAnsi="Arial" w:cs="Arial"/>
              </w:rPr>
            </w:pPr>
            <w:r>
              <w:rPr>
                <w:rFonts w:ascii="Arial" w:eastAsia="Arial" w:hAnsi="Arial" w:cs="Arial"/>
                <w:b/>
                <w:bCs/>
              </w:rPr>
              <w:t xml:space="preserve">Parágrafo 1. </w:t>
            </w:r>
            <w:r>
              <w:rPr>
                <w:rFonts w:ascii="Arial" w:eastAsia="Arial" w:hAnsi="Arial" w:cs="Arial"/>
              </w:rPr>
              <w:t xml:space="preserve">Las campañas deberán difundirse a través de medios de comunicación masiva, redes digitales, instituciones educativas en todos los niveles, </w:t>
            </w:r>
            <w:r>
              <w:rPr>
                <w:rFonts w:ascii="Arial" w:eastAsia="Arial" w:hAnsi="Arial" w:cs="Arial"/>
                <w:strike/>
              </w:rPr>
              <w:t>a través de</w:t>
            </w:r>
            <w:r>
              <w:rPr>
                <w:rFonts w:ascii="Arial" w:eastAsia="Arial" w:hAnsi="Arial" w:cs="Arial"/>
              </w:rPr>
              <w:t xml:space="preserve"> </w:t>
            </w:r>
            <w:r>
              <w:rPr>
                <w:rFonts w:ascii="Arial" w:eastAsia="Arial" w:hAnsi="Arial" w:cs="Arial"/>
                <w:b/>
                <w:bCs/>
                <w:color w:val="001D35"/>
                <w:highlight w:val="white"/>
                <w:u w:val="single"/>
              </w:rPr>
              <w:t xml:space="preserve">Entidades Promotoras de Salud </w:t>
            </w:r>
            <w:r>
              <w:rPr>
                <w:rFonts w:ascii="Arial" w:eastAsia="Arial" w:hAnsi="Arial" w:cs="Arial"/>
                <w:color w:val="001D35"/>
                <w:highlight w:val="white"/>
              </w:rPr>
              <w:t>(</w:t>
            </w:r>
            <w:r>
              <w:rPr>
                <w:rFonts w:ascii="Arial" w:eastAsia="Arial" w:hAnsi="Arial" w:cs="Arial"/>
              </w:rPr>
              <w:t xml:space="preserve">EPS) </w:t>
            </w:r>
            <w:r>
              <w:rPr>
                <w:rFonts w:ascii="Arial" w:eastAsia="Arial" w:hAnsi="Arial" w:cs="Arial"/>
                <w:b/>
                <w:bCs/>
                <w:u w:val="single"/>
              </w:rPr>
              <w:t>e</w:t>
            </w:r>
            <w:r>
              <w:rPr>
                <w:rFonts w:ascii="Arial" w:eastAsia="Arial" w:hAnsi="Arial" w:cs="Arial"/>
                <w:u w:val="single"/>
              </w:rPr>
              <w:t xml:space="preserve"> </w:t>
            </w:r>
            <w:r>
              <w:rPr>
                <w:rFonts w:ascii="Arial" w:eastAsia="Arial" w:hAnsi="Arial" w:cs="Arial"/>
                <w:b/>
                <w:bCs/>
                <w:u w:val="single"/>
              </w:rPr>
              <w:t>Instituciones Prestadoras de Salud</w:t>
            </w:r>
            <w:r>
              <w:rPr>
                <w:rFonts w:ascii="Arial" w:eastAsia="Arial" w:hAnsi="Arial" w:cs="Arial"/>
              </w:rPr>
              <w:t xml:space="preserve"> (IPS), garantizando un alcance nacional y regional.</w:t>
            </w:r>
          </w:p>
          <w:p w14:paraId="000006D4" w14:textId="77777777" w:rsidR="001C40B0" w:rsidRDefault="00291712">
            <w:pPr>
              <w:jc w:val="both"/>
              <w:rPr>
                <w:rFonts w:ascii="Arial" w:eastAsia="Arial" w:hAnsi="Arial" w:cs="Arial"/>
              </w:rPr>
            </w:pPr>
            <w:r>
              <w:rPr>
                <w:rFonts w:ascii="Arial" w:eastAsia="Arial" w:hAnsi="Arial" w:cs="Arial"/>
              </w:rPr>
              <w:t xml:space="preserve"> </w:t>
            </w:r>
          </w:p>
          <w:p w14:paraId="000006D5" w14:textId="77777777" w:rsidR="001C40B0" w:rsidRDefault="00291712">
            <w:pPr>
              <w:jc w:val="both"/>
              <w:rPr>
                <w:rFonts w:ascii="Arial" w:eastAsia="Arial" w:hAnsi="Arial" w:cs="Arial"/>
              </w:rPr>
            </w:pPr>
            <w:r>
              <w:rPr>
                <w:rFonts w:ascii="Arial" w:eastAsia="Arial" w:hAnsi="Arial" w:cs="Arial"/>
                <w:b/>
                <w:bCs/>
              </w:rPr>
              <w:t xml:space="preserve">Parágrafo 2. </w:t>
            </w:r>
            <w:r>
              <w:rPr>
                <w:rFonts w:ascii="Arial" w:eastAsia="Arial" w:hAnsi="Arial" w:cs="Arial"/>
              </w:rPr>
              <w:t xml:space="preserve">El Ministerio de Educación Nacional </w:t>
            </w:r>
            <w:r>
              <w:rPr>
                <w:rFonts w:ascii="Arial" w:eastAsia="Arial" w:hAnsi="Arial" w:cs="Arial"/>
                <w:b/>
                <w:bCs/>
                <w:u w:val="single"/>
              </w:rPr>
              <w:t>implementará</w:t>
            </w:r>
            <w:r>
              <w:rPr>
                <w:rFonts w:ascii="Arial" w:eastAsia="Arial" w:hAnsi="Arial" w:cs="Arial"/>
                <w:b/>
                <w:bCs/>
                <w:i/>
                <w:iCs/>
              </w:rPr>
              <w:t xml:space="preserve"> </w:t>
            </w:r>
            <w:r>
              <w:rPr>
                <w:rFonts w:ascii="Arial" w:eastAsia="Arial" w:hAnsi="Arial" w:cs="Arial"/>
              </w:rPr>
              <w:t>módulos de cultura ciudadana sobre donación de órganos</w:t>
            </w:r>
            <w:r>
              <w:rPr>
                <w:rFonts w:ascii="Arial" w:eastAsia="Arial" w:hAnsi="Arial" w:cs="Arial"/>
                <w:b/>
                <w:bCs/>
                <w:u w:val="single"/>
              </w:rPr>
              <w:t>,</w:t>
            </w:r>
            <w:r>
              <w:rPr>
                <w:rFonts w:ascii="Arial" w:eastAsia="Arial" w:hAnsi="Arial" w:cs="Arial"/>
              </w:rPr>
              <w:t xml:space="preserve"> </w:t>
            </w:r>
            <w:r>
              <w:rPr>
                <w:rFonts w:ascii="Arial" w:eastAsia="Arial" w:hAnsi="Arial" w:cs="Arial"/>
                <w:strike/>
              </w:rPr>
              <w:t xml:space="preserve">y </w:t>
            </w:r>
            <w:r>
              <w:rPr>
                <w:rFonts w:ascii="Arial" w:eastAsia="Arial" w:hAnsi="Arial" w:cs="Arial"/>
              </w:rPr>
              <w:t xml:space="preserve">tejidos, </w:t>
            </w:r>
            <w:r>
              <w:rPr>
                <w:rFonts w:ascii="Arial" w:eastAsia="Arial" w:hAnsi="Arial" w:cs="Arial"/>
                <w:b/>
                <w:bCs/>
                <w:u w:val="single"/>
              </w:rPr>
              <w:t>células</w:t>
            </w:r>
            <w:r>
              <w:rPr>
                <w:rFonts w:ascii="Arial" w:eastAsia="Arial" w:hAnsi="Arial" w:cs="Arial"/>
                <w:u w:val="single"/>
              </w:rPr>
              <w:t xml:space="preserve"> </w:t>
            </w:r>
            <w:r>
              <w:rPr>
                <w:rFonts w:ascii="Arial" w:eastAsia="Arial" w:hAnsi="Arial" w:cs="Arial"/>
                <w:b/>
                <w:bCs/>
                <w:u w:val="single"/>
              </w:rPr>
              <w:t>y derivados</w:t>
            </w:r>
            <w:r>
              <w:rPr>
                <w:rFonts w:ascii="Arial" w:eastAsia="Arial" w:hAnsi="Arial" w:cs="Arial"/>
              </w:rPr>
              <w:t xml:space="preserve"> en </w:t>
            </w:r>
            <w:r>
              <w:rPr>
                <w:rFonts w:ascii="Arial" w:eastAsia="Arial" w:hAnsi="Arial" w:cs="Arial"/>
                <w:b/>
                <w:bCs/>
                <w:u w:val="single"/>
              </w:rPr>
              <w:t>los</w:t>
            </w:r>
            <w:r>
              <w:rPr>
                <w:rFonts w:ascii="Arial" w:eastAsia="Arial" w:hAnsi="Arial" w:cs="Arial"/>
              </w:rPr>
              <w:t xml:space="preserve"> programas de educación básica y media</w:t>
            </w:r>
            <w:r>
              <w:rPr>
                <w:rFonts w:ascii="Arial" w:eastAsia="Arial" w:hAnsi="Arial" w:cs="Arial"/>
                <w:b/>
                <w:bCs/>
                <w:u w:val="single"/>
              </w:rPr>
              <w:t>,</w:t>
            </w:r>
            <w:r>
              <w:rPr>
                <w:rFonts w:ascii="Arial" w:eastAsia="Arial" w:hAnsi="Arial" w:cs="Arial"/>
              </w:rPr>
              <w:t xml:space="preserve"> con enfoque en principios y valores de solidaridad y derechos humanos.</w:t>
            </w:r>
          </w:p>
        </w:tc>
        <w:tc>
          <w:tcPr>
            <w:tcW w:w="2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D6" w14:textId="77777777" w:rsidR="001C40B0" w:rsidRDefault="00291712">
            <w:pPr>
              <w:rPr>
                <w:rFonts w:ascii="Arial" w:eastAsia="Arial" w:hAnsi="Arial" w:cs="Arial"/>
              </w:rPr>
            </w:pPr>
            <w:r>
              <w:rPr>
                <w:rFonts w:ascii="Arial" w:eastAsia="Arial" w:hAnsi="Arial" w:cs="Arial"/>
              </w:rPr>
              <w:lastRenderedPageBreak/>
              <w:t xml:space="preserve">Se ajusta la redacción. </w:t>
            </w:r>
          </w:p>
        </w:tc>
      </w:tr>
      <w:tr w:rsidR="001C40B0" w14:paraId="4C28BB12" w14:textId="77777777">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D7" w14:textId="77777777" w:rsidR="001C40B0" w:rsidRDefault="00291712">
            <w:pPr>
              <w:jc w:val="both"/>
              <w:rPr>
                <w:rFonts w:ascii="Arial" w:eastAsia="Arial" w:hAnsi="Arial" w:cs="Arial"/>
              </w:rPr>
            </w:pPr>
            <w:r>
              <w:rPr>
                <w:rFonts w:ascii="Arial" w:eastAsia="Arial" w:hAnsi="Arial" w:cs="Arial"/>
                <w:b/>
                <w:bCs/>
              </w:rPr>
              <w:lastRenderedPageBreak/>
              <w:t>ARTÍCULO 30. ACOMPAÑAMIENTO TÉCNICO PRIORITARIO (ATP).</w:t>
            </w:r>
            <w:r>
              <w:rPr>
                <w:rFonts w:ascii="Arial" w:eastAsia="Arial" w:hAnsi="Arial" w:cs="Arial"/>
              </w:rPr>
              <w:t xml:space="preserve"> El Ministerio de Salud y Protección Social, en </w:t>
            </w:r>
            <w:r>
              <w:rPr>
                <w:rFonts w:ascii="Arial" w:eastAsia="Arial" w:hAnsi="Arial" w:cs="Arial"/>
              </w:rPr>
              <w:lastRenderedPageBreak/>
              <w:t xml:space="preserve">coordinación con el Instituto Nacional de Salud (INS) y las Secretarías Departamentales y Distritales de Salud, diseñarán e implementarán un programa de Acompañamiento Técnico Prioritario (ATP) dirigido a aquellos departamentos como a distritos y territorios que, de acuerdo con los indicadores del Sistema Nacional de Información en donación y transplantes, representen: </w:t>
            </w:r>
          </w:p>
          <w:p w14:paraId="000006D8" w14:textId="77777777" w:rsidR="001C40B0" w:rsidRDefault="00291712">
            <w:pPr>
              <w:jc w:val="both"/>
              <w:rPr>
                <w:rFonts w:ascii="Arial" w:eastAsia="Arial" w:hAnsi="Arial" w:cs="Arial"/>
              </w:rPr>
            </w:pPr>
            <w:r>
              <w:rPr>
                <w:rFonts w:ascii="Arial" w:eastAsia="Arial" w:hAnsi="Arial" w:cs="Arial"/>
              </w:rPr>
              <w:t xml:space="preserve"> </w:t>
            </w:r>
          </w:p>
          <w:p w14:paraId="000006D9" w14:textId="77777777" w:rsidR="001C40B0" w:rsidRDefault="00291712">
            <w:pPr>
              <w:jc w:val="both"/>
              <w:rPr>
                <w:rFonts w:ascii="Arial" w:eastAsia="Arial" w:hAnsi="Arial" w:cs="Arial"/>
              </w:rPr>
            </w:pPr>
            <w:r>
              <w:rPr>
                <w:rFonts w:ascii="Arial" w:eastAsia="Arial" w:hAnsi="Arial" w:cs="Arial"/>
              </w:rPr>
              <w:t xml:space="preserve"> </w:t>
            </w:r>
          </w:p>
          <w:p w14:paraId="000006DA" w14:textId="77777777" w:rsidR="001C40B0" w:rsidRDefault="001C40B0">
            <w:pPr>
              <w:jc w:val="both"/>
              <w:rPr>
                <w:rFonts w:ascii="Arial" w:eastAsia="Arial" w:hAnsi="Arial" w:cs="Arial"/>
              </w:rPr>
            </w:pPr>
          </w:p>
          <w:p w14:paraId="000006DB" w14:textId="77777777" w:rsidR="001C40B0" w:rsidRDefault="001C40B0">
            <w:pPr>
              <w:jc w:val="both"/>
              <w:rPr>
                <w:rFonts w:ascii="Arial" w:eastAsia="Arial" w:hAnsi="Arial" w:cs="Arial"/>
              </w:rPr>
            </w:pPr>
          </w:p>
          <w:p w14:paraId="000006DC" w14:textId="77777777" w:rsidR="001C40B0" w:rsidRDefault="00291712">
            <w:pPr>
              <w:jc w:val="both"/>
              <w:rPr>
                <w:rFonts w:ascii="Arial" w:eastAsia="Arial" w:hAnsi="Arial" w:cs="Arial"/>
              </w:rPr>
            </w:pPr>
            <w:r>
              <w:rPr>
                <w:rFonts w:ascii="Arial" w:eastAsia="Arial" w:hAnsi="Arial" w:cs="Arial"/>
              </w:rPr>
              <w:t xml:space="preserve">1. Tasa de donación inferior a 3 donantes por millón de habitantes en el último año disponible. </w:t>
            </w:r>
          </w:p>
          <w:p w14:paraId="000006DD" w14:textId="77777777" w:rsidR="001C40B0" w:rsidRDefault="00291712">
            <w:pPr>
              <w:jc w:val="both"/>
              <w:rPr>
                <w:rFonts w:ascii="Arial" w:eastAsia="Arial" w:hAnsi="Arial" w:cs="Arial"/>
              </w:rPr>
            </w:pPr>
            <w:r>
              <w:rPr>
                <w:rFonts w:ascii="Arial" w:eastAsia="Arial" w:hAnsi="Arial" w:cs="Arial"/>
              </w:rPr>
              <w:t xml:space="preserve"> </w:t>
            </w:r>
          </w:p>
          <w:p w14:paraId="000006DE" w14:textId="77777777" w:rsidR="001C40B0" w:rsidRDefault="00291712">
            <w:pPr>
              <w:jc w:val="both"/>
              <w:rPr>
                <w:rFonts w:ascii="Arial" w:eastAsia="Arial" w:hAnsi="Arial" w:cs="Arial"/>
              </w:rPr>
            </w:pPr>
            <w:r>
              <w:rPr>
                <w:rFonts w:ascii="Arial" w:eastAsia="Arial" w:hAnsi="Arial" w:cs="Arial"/>
              </w:rPr>
              <w:t xml:space="preserve">2. Ausencia de Instituciones Prestadoras de Salud (INS) habilitadas para la realización de trasplantes en su territorio. </w:t>
            </w:r>
          </w:p>
          <w:p w14:paraId="000006DF" w14:textId="77777777" w:rsidR="001C40B0" w:rsidRDefault="00291712">
            <w:pPr>
              <w:jc w:val="both"/>
              <w:rPr>
                <w:rFonts w:ascii="Arial" w:eastAsia="Arial" w:hAnsi="Arial" w:cs="Arial"/>
              </w:rPr>
            </w:pPr>
            <w:r>
              <w:rPr>
                <w:rFonts w:ascii="Arial" w:eastAsia="Arial" w:hAnsi="Arial" w:cs="Arial"/>
              </w:rPr>
              <w:t xml:space="preserve"> </w:t>
            </w:r>
          </w:p>
          <w:p w14:paraId="000006E0" w14:textId="77777777" w:rsidR="001C40B0" w:rsidRDefault="00291712">
            <w:pPr>
              <w:jc w:val="both"/>
              <w:rPr>
                <w:rFonts w:ascii="Arial" w:eastAsia="Arial" w:hAnsi="Arial" w:cs="Arial"/>
              </w:rPr>
            </w:pPr>
            <w:r>
              <w:rPr>
                <w:rFonts w:ascii="Arial" w:eastAsia="Arial" w:hAnsi="Arial" w:cs="Arial"/>
              </w:rPr>
              <w:t>3. Lista de espera activa de pacientes con enfermedad crónica trasplantable sin acceso oportuno a evaluación o trasplante en su región.</w:t>
            </w:r>
          </w:p>
          <w:p w14:paraId="000006E1" w14:textId="77777777" w:rsidR="001C40B0" w:rsidRDefault="00291712">
            <w:pPr>
              <w:jc w:val="both"/>
              <w:rPr>
                <w:rFonts w:ascii="Arial" w:eastAsia="Arial" w:hAnsi="Arial" w:cs="Arial"/>
              </w:rPr>
            </w:pPr>
            <w:r>
              <w:rPr>
                <w:rFonts w:ascii="Arial" w:eastAsia="Arial" w:hAnsi="Arial" w:cs="Arial"/>
              </w:rPr>
              <w:t xml:space="preserve"> </w:t>
            </w:r>
          </w:p>
          <w:p w14:paraId="000006E2" w14:textId="77777777" w:rsidR="001C40B0" w:rsidRDefault="00291712">
            <w:pPr>
              <w:jc w:val="both"/>
              <w:rPr>
                <w:rFonts w:ascii="Arial" w:eastAsia="Arial" w:hAnsi="Arial" w:cs="Arial"/>
              </w:rPr>
            </w:pPr>
            <w:r>
              <w:rPr>
                <w:rFonts w:ascii="Arial" w:eastAsia="Arial" w:hAnsi="Arial" w:cs="Arial"/>
              </w:rPr>
              <w:t>4. Tasa de negativa familiar superior a 85% durante los 2 últimos años consecutivos.</w:t>
            </w:r>
          </w:p>
          <w:p w14:paraId="000006E3" w14:textId="77777777" w:rsidR="001C40B0" w:rsidRDefault="00291712">
            <w:pPr>
              <w:jc w:val="both"/>
              <w:rPr>
                <w:rFonts w:ascii="Arial" w:eastAsia="Arial" w:hAnsi="Arial" w:cs="Arial"/>
              </w:rPr>
            </w:pPr>
            <w:r>
              <w:rPr>
                <w:rFonts w:ascii="Arial" w:eastAsia="Arial" w:hAnsi="Arial" w:cs="Arial"/>
              </w:rPr>
              <w:t xml:space="preserve"> </w:t>
            </w:r>
          </w:p>
          <w:p w14:paraId="000006E4" w14:textId="77777777" w:rsidR="001C40B0" w:rsidRDefault="00291712">
            <w:pPr>
              <w:jc w:val="both"/>
              <w:rPr>
                <w:rFonts w:ascii="Arial" w:eastAsia="Arial" w:hAnsi="Arial" w:cs="Arial"/>
              </w:rPr>
            </w:pPr>
            <w:r>
              <w:rPr>
                <w:rFonts w:ascii="Arial" w:eastAsia="Arial" w:hAnsi="Arial" w:cs="Arial"/>
              </w:rPr>
              <w:t xml:space="preserve">5. Limitaciones geográficas, logísticas o de infraestructura que afecten la viabilidad de la donación y el trasplante. </w:t>
            </w:r>
          </w:p>
          <w:p w14:paraId="000006E5" w14:textId="77777777" w:rsidR="001C40B0" w:rsidRDefault="00291712">
            <w:pPr>
              <w:jc w:val="both"/>
              <w:rPr>
                <w:rFonts w:ascii="Arial" w:eastAsia="Arial" w:hAnsi="Arial" w:cs="Arial"/>
              </w:rPr>
            </w:pPr>
            <w:r>
              <w:rPr>
                <w:rFonts w:ascii="Arial" w:eastAsia="Arial" w:hAnsi="Arial" w:cs="Arial"/>
              </w:rPr>
              <w:t xml:space="preserve"> </w:t>
            </w:r>
          </w:p>
          <w:p w14:paraId="000006E6" w14:textId="77777777" w:rsidR="001C40B0" w:rsidRDefault="00291712">
            <w:pPr>
              <w:jc w:val="both"/>
              <w:rPr>
                <w:rFonts w:ascii="Arial" w:eastAsia="Arial" w:hAnsi="Arial" w:cs="Arial"/>
              </w:rPr>
            </w:pPr>
            <w:r>
              <w:rPr>
                <w:rFonts w:ascii="Arial" w:eastAsia="Arial" w:hAnsi="Arial" w:cs="Arial"/>
                <w:b/>
                <w:bCs/>
              </w:rPr>
              <w:t>Parágrafo 1.</w:t>
            </w:r>
            <w:r>
              <w:rPr>
                <w:rFonts w:ascii="Arial" w:eastAsia="Arial" w:hAnsi="Arial" w:cs="Arial"/>
              </w:rPr>
              <w:t xml:space="preserve"> El Instituto Nacional de Salud (INS) publicará anualmente, a más tardar el 31 de marzo de cada año, un mapa de priorización </w:t>
            </w:r>
            <w:r>
              <w:rPr>
                <w:rFonts w:ascii="Arial" w:eastAsia="Arial" w:hAnsi="Arial" w:cs="Arial"/>
              </w:rPr>
              <w:lastRenderedPageBreak/>
              <w:t>territorial con base en los criterios anteriores, el cual servirá como insumo para la focalización del ATP.</w:t>
            </w:r>
          </w:p>
          <w:p w14:paraId="000006E7" w14:textId="77777777" w:rsidR="001C40B0" w:rsidRDefault="00291712">
            <w:pPr>
              <w:jc w:val="both"/>
              <w:rPr>
                <w:rFonts w:ascii="Arial" w:eastAsia="Arial" w:hAnsi="Arial" w:cs="Arial"/>
              </w:rPr>
            </w:pPr>
            <w:r>
              <w:rPr>
                <w:rFonts w:ascii="Arial" w:eastAsia="Arial" w:hAnsi="Arial" w:cs="Arial"/>
              </w:rPr>
              <w:t xml:space="preserve"> </w:t>
            </w:r>
          </w:p>
          <w:p w14:paraId="000006E8" w14:textId="77777777" w:rsidR="001C40B0" w:rsidRDefault="00291712">
            <w:pPr>
              <w:spacing w:after="160"/>
              <w:jc w:val="both"/>
              <w:rPr>
                <w:rFonts w:ascii="Arial" w:eastAsia="Arial" w:hAnsi="Arial" w:cs="Arial"/>
              </w:rPr>
            </w:pPr>
            <w:r>
              <w:rPr>
                <w:rFonts w:ascii="Arial" w:eastAsia="Arial" w:hAnsi="Arial" w:cs="Arial"/>
                <w:b/>
                <w:bCs/>
              </w:rPr>
              <w:t>Parágrafo 2.</w:t>
            </w:r>
            <w:r>
              <w:rPr>
                <w:rFonts w:ascii="Arial" w:eastAsia="Arial" w:hAnsi="Arial" w:cs="Arial"/>
              </w:rPr>
              <w:t xml:space="preserve"> La inclusión en el Programa de Acompañamiento Técnico Prioritario no será sancionatoria ni generará consecuencias negativas para los territorios; por el contrario, implicará mayor asignación de recursos técnicos como financieros y de asistencia especializada por parte de nivel nacional.</w:t>
            </w:r>
          </w:p>
        </w:tc>
        <w:tc>
          <w:tcPr>
            <w:tcW w:w="32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6E9" w14:textId="77777777" w:rsidR="001C40B0" w:rsidRDefault="00291712">
            <w:pPr>
              <w:jc w:val="both"/>
              <w:rPr>
                <w:rFonts w:ascii="Arial" w:eastAsia="Arial" w:hAnsi="Arial" w:cs="Arial"/>
              </w:rPr>
            </w:pPr>
            <w:r>
              <w:rPr>
                <w:rFonts w:ascii="Arial" w:eastAsia="Arial" w:hAnsi="Arial" w:cs="Arial"/>
                <w:b/>
                <w:bCs/>
              </w:rPr>
              <w:lastRenderedPageBreak/>
              <w:t>ARTÍCULO 30. ACOMPAÑAMIENTO TÉCNICO PRIORITARIO (ATP).</w:t>
            </w:r>
            <w:r>
              <w:rPr>
                <w:rFonts w:ascii="Arial" w:eastAsia="Arial" w:hAnsi="Arial" w:cs="Arial"/>
              </w:rPr>
              <w:t xml:space="preserve"> El Ministerio de Salud y Protección Social, en </w:t>
            </w:r>
            <w:r>
              <w:rPr>
                <w:rFonts w:ascii="Arial" w:eastAsia="Arial" w:hAnsi="Arial" w:cs="Arial"/>
              </w:rPr>
              <w:lastRenderedPageBreak/>
              <w:t>coordinación con el Instituto Nacional de Salud (INS) y las secretarías departamentales y distritales de salud, diseñará</w:t>
            </w:r>
            <w:r>
              <w:rPr>
                <w:rFonts w:ascii="Arial" w:eastAsia="Arial" w:hAnsi="Arial" w:cs="Arial"/>
                <w:strike/>
              </w:rPr>
              <w:t>n</w:t>
            </w:r>
            <w:r>
              <w:rPr>
                <w:rFonts w:ascii="Arial" w:eastAsia="Arial" w:hAnsi="Arial" w:cs="Arial"/>
              </w:rPr>
              <w:t xml:space="preserve"> e implementará</w:t>
            </w:r>
            <w:r>
              <w:rPr>
                <w:rFonts w:ascii="Arial" w:eastAsia="Arial" w:hAnsi="Arial" w:cs="Arial"/>
                <w:strike/>
              </w:rPr>
              <w:t>n</w:t>
            </w:r>
            <w:r>
              <w:rPr>
                <w:rFonts w:ascii="Arial" w:eastAsia="Arial" w:hAnsi="Arial" w:cs="Arial"/>
              </w:rPr>
              <w:t xml:space="preserve"> un programa de Acompañamiento Técnico Prioritario (ATP) dirigido a</w:t>
            </w:r>
            <w:r>
              <w:rPr>
                <w:rFonts w:ascii="Arial" w:eastAsia="Arial" w:hAnsi="Arial" w:cs="Arial"/>
                <w:strike/>
              </w:rPr>
              <w:t xml:space="preserve"> aquellos</w:t>
            </w:r>
            <w:r>
              <w:rPr>
                <w:rFonts w:ascii="Arial" w:eastAsia="Arial" w:hAnsi="Arial" w:cs="Arial"/>
              </w:rPr>
              <w:t xml:space="preserve"> departamentos</w:t>
            </w:r>
            <w:r>
              <w:rPr>
                <w:rFonts w:ascii="Arial" w:eastAsia="Arial" w:hAnsi="Arial" w:cs="Arial"/>
                <w:b/>
                <w:bCs/>
                <w:u w:val="single"/>
              </w:rPr>
              <w:t>,</w:t>
            </w:r>
            <w:r>
              <w:rPr>
                <w:rFonts w:ascii="Arial" w:eastAsia="Arial" w:hAnsi="Arial" w:cs="Arial"/>
              </w:rPr>
              <w:t xml:space="preserve"> </w:t>
            </w:r>
            <w:r>
              <w:rPr>
                <w:rFonts w:ascii="Arial" w:eastAsia="Arial" w:hAnsi="Arial" w:cs="Arial"/>
                <w:strike/>
              </w:rPr>
              <w:t>como a</w:t>
            </w:r>
            <w:r>
              <w:rPr>
                <w:rFonts w:ascii="Arial" w:eastAsia="Arial" w:hAnsi="Arial" w:cs="Arial"/>
              </w:rPr>
              <w:t xml:space="preserve"> distritos y territorios que, de acuerdo con los indicadores del Sistema </w:t>
            </w:r>
            <w:r>
              <w:rPr>
                <w:rFonts w:ascii="Arial" w:eastAsia="Arial" w:hAnsi="Arial" w:cs="Arial"/>
                <w:strike/>
              </w:rPr>
              <w:t>Nacional</w:t>
            </w:r>
            <w:r>
              <w:rPr>
                <w:rFonts w:ascii="Arial" w:eastAsia="Arial" w:hAnsi="Arial" w:cs="Arial"/>
              </w:rPr>
              <w:t xml:space="preserve"> de Información </w:t>
            </w:r>
            <w:r>
              <w:rPr>
                <w:rFonts w:ascii="Arial" w:eastAsia="Arial" w:hAnsi="Arial" w:cs="Arial"/>
                <w:b/>
                <w:bCs/>
                <w:u w:val="single"/>
              </w:rPr>
              <w:t>Nacional de la Red de Donación y Trasplantes, cumplan uno o más de los siguientes criterios:</w:t>
            </w:r>
            <w:r>
              <w:rPr>
                <w:rFonts w:ascii="Arial" w:eastAsia="Arial" w:hAnsi="Arial" w:cs="Arial"/>
              </w:rPr>
              <w:t xml:space="preserve"> </w:t>
            </w:r>
          </w:p>
          <w:p w14:paraId="000006EA" w14:textId="77777777" w:rsidR="001C40B0" w:rsidRDefault="00291712">
            <w:pPr>
              <w:jc w:val="both"/>
              <w:rPr>
                <w:rFonts w:ascii="Arial" w:eastAsia="Arial" w:hAnsi="Arial" w:cs="Arial"/>
              </w:rPr>
            </w:pPr>
            <w:r>
              <w:rPr>
                <w:rFonts w:ascii="Arial" w:eastAsia="Arial" w:hAnsi="Arial" w:cs="Arial"/>
              </w:rPr>
              <w:t xml:space="preserve"> </w:t>
            </w:r>
          </w:p>
          <w:p w14:paraId="000006EB" w14:textId="77777777" w:rsidR="001C40B0" w:rsidRDefault="00291712">
            <w:pPr>
              <w:jc w:val="both"/>
              <w:rPr>
                <w:rFonts w:ascii="Arial" w:eastAsia="Arial" w:hAnsi="Arial" w:cs="Arial"/>
              </w:rPr>
            </w:pPr>
            <w:r>
              <w:rPr>
                <w:rFonts w:ascii="Arial" w:eastAsia="Arial" w:hAnsi="Arial" w:cs="Arial"/>
              </w:rPr>
              <w:t xml:space="preserve">1. Tasa de donación inferior a 3 donantes por millón de habitantes en el último año disponible. </w:t>
            </w:r>
          </w:p>
          <w:p w14:paraId="000006EC" w14:textId="77777777" w:rsidR="001C40B0" w:rsidRDefault="00291712">
            <w:pPr>
              <w:jc w:val="both"/>
              <w:rPr>
                <w:rFonts w:ascii="Arial" w:eastAsia="Arial" w:hAnsi="Arial" w:cs="Arial"/>
              </w:rPr>
            </w:pPr>
            <w:r>
              <w:rPr>
                <w:rFonts w:ascii="Arial" w:eastAsia="Arial" w:hAnsi="Arial" w:cs="Arial"/>
              </w:rPr>
              <w:t xml:space="preserve"> </w:t>
            </w:r>
          </w:p>
          <w:p w14:paraId="000006ED" w14:textId="77777777" w:rsidR="001C40B0" w:rsidRDefault="00291712">
            <w:pPr>
              <w:jc w:val="both"/>
              <w:rPr>
                <w:rFonts w:ascii="Arial" w:eastAsia="Arial" w:hAnsi="Arial" w:cs="Arial"/>
              </w:rPr>
            </w:pPr>
            <w:r>
              <w:rPr>
                <w:rFonts w:ascii="Arial" w:eastAsia="Arial" w:hAnsi="Arial" w:cs="Arial"/>
              </w:rPr>
              <w:t xml:space="preserve">2. Ausencia de Instituciones Prestadoras de Salud (INS) habilitadas para la realización de trasplantes en su territorio. </w:t>
            </w:r>
          </w:p>
          <w:p w14:paraId="000006EE" w14:textId="77777777" w:rsidR="001C40B0" w:rsidRDefault="00291712">
            <w:pPr>
              <w:jc w:val="both"/>
              <w:rPr>
                <w:rFonts w:ascii="Arial" w:eastAsia="Arial" w:hAnsi="Arial" w:cs="Arial"/>
              </w:rPr>
            </w:pPr>
            <w:r>
              <w:rPr>
                <w:rFonts w:ascii="Arial" w:eastAsia="Arial" w:hAnsi="Arial" w:cs="Arial"/>
              </w:rPr>
              <w:t xml:space="preserve"> </w:t>
            </w:r>
          </w:p>
          <w:p w14:paraId="000006EF" w14:textId="77777777" w:rsidR="001C40B0" w:rsidRDefault="00291712">
            <w:pPr>
              <w:jc w:val="both"/>
              <w:rPr>
                <w:rFonts w:ascii="Arial" w:eastAsia="Arial" w:hAnsi="Arial" w:cs="Arial"/>
              </w:rPr>
            </w:pPr>
            <w:r>
              <w:rPr>
                <w:rFonts w:ascii="Arial" w:eastAsia="Arial" w:hAnsi="Arial" w:cs="Arial"/>
              </w:rPr>
              <w:t>3. Lista de espera activa de pacientes con enfermedad crónica trasplantable sin acceso oportuno a evaluación o trasplante en su región.</w:t>
            </w:r>
          </w:p>
          <w:p w14:paraId="000006F0" w14:textId="77777777" w:rsidR="001C40B0" w:rsidRDefault="00291712">
            <w:pPr>
              <w:jc w:val="both"/>
              <w:rPr>
                <w:rFonts w:ascii="Arial" w:eastAsia="Arial" w:hAnsi="Arial" w:cs="Arial"/>
              </w:rPr>
            </w:pPr>
            <w:r>
              <w:rPr>
                <w:rFonts w:ascii="Arial" w:eastAsia="Arial" w:hAnsi="Arial" w:cs="Arial"/>
              </w:rPr>
              <w:t xml:space="preserve"> </w:t>
            </w:r>
          </w:p>
          <w:p w14:paraId="000006F1" w14:textId="77777777" w:rsidR="001C40B0" w:rsidRDefault="00291712">
            <w:pPr>
              <w:jc w:val="both"/>
              <w:rPr>
                <w:rFonts w:ascii="Arial" w:eastAsia="Arial" w:hAnsi="Arial" w:cs="Arial"/>
              </w:rPr>
            </w:pPr>
            <w:r>
              <w:rPr>
                <w:rFonts w:ascii="Arial" w:eastAsia="Arial" w:hAnsi="Arial" w:cs="Arial"/>
              </w:rPr>
              <w:t>4. Tasa de negativa familiar superior a 85% durante los 2 últimos años consecutivos.</w:t>
            </w:r>
          </w:p>
          <w:p w14:paraId="000006F2" w14:textId="77777777" w:rsidR="001C40B0" w:rsidRDefault="00291712">
            <w:pPr>
              <w:jc w:val="both"/>
              <w:rPr>
                <w:rFonts w:ascii="Arial" w:eastAsia="Arial" w:hAnsi="Arial" w:cs="Arial"/>
              </w:rPr>
            </w:pPr>
            <w:r>
              <w:rPr>
                <w:rFonts w:ascii="Arial" w:eastAsia="Arial" w:hAnsi="Arial" w:cs="Arial"/>
              </w:rPr>
              <w:t xml:space="preserve"> </w:t>
            </w:r>
          </w:p>
          <w:p w14:paraId="000006F3" w14:textId="77777777" w:rsidR="001C40B0" w:rsidRDefault="00291712">
            <w:pPr>
              <w:jc w:val="both"/>
              <w:rPr>
                <w:rFonts w:ascii="Arial" w:eastAsia="Arial" w:hAnsi="Arial" w:cs="Arial"/>
              </w:rPr>
            </w:pPr>
            <w:r>
              <w:rPr>
                <w:rFonts w:ascii="Arial" w:eastAsia="Arial" w:hAnsi="Arial" w:cs="Arial"/>
              </w:rPr>
              <w:t>5. Limitaciones geográficas, logísticas o de infraestructura que afecten la viabilidad de la donación y</w:t>
            </w:r>
            <w:r>
              <w:rPr>
                <w:rFonts w:ascii="Arial" w:eastAsia="Arial" w:hAnsi="Arial" w:cs="Arial"/>
                <w:b/>
                <w:bCs/>
                <w:u w:val="single"/>
              </w:rPr>
              <w:t>/o</w:t>
            </w:r>
            <w:r>
              <w:rPr>
                <w:rFonts w:ascii="Arial" w:eastAsia="Arial" w:hAnsi="Arial" w:cs="Arial"/>
              </w:rPr>
              <w:t xml:space="preserve"> el trasplante. </w:t>
            </w:r>
          </w:p>
          <w:p w14:paraId="000006F4" w14:textId="77777777" w:rsidR="001C40B0" w:rsidRDefault="00291712">
            <w:pPr>
              <w:jc w:val="both"/>
              <w:rPr>
                <w:rFonts w:ascii="Arial" w:eastAsia="Arial" w:hAnsi="Arial" w:cs="Arial"/>
              </w:rPr>
            </w:pPr>
            <w:r>
              <w:rPr>
                <w:rFonts w:ascii="Arial" w:eastAsia="Arial" w:hAnsi="Arial" w:cs="Arial"/>
              </w:rPr>
              <w:t xml:space="preserve"> </w:t>
            </w:r>
          </w:p>
          <w:p w14:paraId="000006F5" w14:textId="77777777" w:rsidR="001C40B0" w:rsidRDefault="00291712">
            <w:pPr>
              <w:jc w:val="both"/>
              <w:rPr>
                <w:rFonts w:ascii="Arial" w:eastAsia="Arial" w:hAnsi="Arial" w:cs="Arial"/>
              </w:rPr>
            </w:pPr>
            <w:r>
              <w:rPr>
                <w:rFonts w:ascii="Arial" w:eastAsia="Arial" w:hAnsi="Arial" w:cs="Arial"/>
                <w:b/>
                <w:bCs/>
              </w:rPr>
              <w:t>Parágrafo 1.</w:t>
            </w:r>
            <w:r>
              <w:rPr>
                <w:rFonts w:ascii="Arial" w:eastAsia="Arial" w:hAnsi="Arial" w:cs="Arial"/>
              </w:rPr>
              <w:t xml:space="preserve"> El Instituto Nacional de Salud (INS) publicará anualmente, a más tardar el 31 de marzo de cada año, un mapa de priorización </w:t>
            </w:r>
            <w:r>
              <w:rPr>
                <w:rFonts w:ascii="Arial" w:eastAsia="Arial" w:hAnsi="Arial" w:cs="Arial"/>
              </w:rPr>
              <w:lastRenderedPageBreak/>
              <w:t>territorial con base en los criterios anteriores, el cual servirá como insumo para la focalización del ATP.</w:t>
            </w:r>
          </w:p>
          <w:p w14:paraId="000006F6" w14:textId="77777777" w:rsidR="001C40B0" w:rsidRDefault="00291712">
            <w:pPr>
              <w:jc w:val="both"/>
              <w:rPr>
                <w:rFonts w:ascii="Arial" w:eastAsia="Arial" w:hAnsi="Arial" w:cs="Arial"/>
              </w:rPr>
            </w:pPr>
            <w:r>
              <w:rPr>
                <w:rFonts w:ascii="Arial" w:eastAsia="Arial" w:hAnsi="Arial" w:cs="Arial"/>
              </w:rPr>
              <w:t xml:space="preserve"> </w:t>
            </w:r>
          </w:p>
          <w:p w14:paraId="000006F7" w14:textId="77777777" w:rsidR="001C40B0" w:rsidRDefault="00291712">
            <w:pPr>
              <w:jc w:val="both"/>
              <w:rPr>
                <w:rFonts w:ascii="Arial" w:eastAsia="Arial" w:hAnsi="Arial" w:cs="Arial"/>
              </w:rPr>
            </w:pPr>
            <w:r>
              <w:rPr>
                <w:rFonts w:ascii="Arial" w:eastAsia="Arial" w:hAnsi="Arial" w:cs="Arial"/>
                <w:b/>
                <w:bCs/>
              </w:rPr>
              <w:t>Parágrafo 2.</w:t>
            </w:r>
            <w:r>
              <w:rPr>
                <w:rFonts w:ascii="Arial" w:eastAsia="Arial" w:hAnsi="Arial" w:cs="Arial"/>
              </w:rPr>
              <w:t xml:space="preserve"> La inclusión en el Programa de Acompañamiento Técnico Prioritario no </w:t>
            </w:r>
            <w:r>
              <w:rPr>
                <w:rFonts w:ascii="Arial" w:eastAsia="Arial" w:hAnsi="Arial" w:cs="Arial"/>
                <w:strike/>
              </w:rPr>
              <w:t>será</w:t>
            </w:r>
            <w:r>
              <w:rPr>
                <w:rFonts w:ascii="Arial" w:eastAsia="Arial" w:hAnsi="Arial" w:cs="Arial"/>
              </w:rPr>
              <w:t xml:space="preserve"> </w:t>
            </w:r>
            <w:r>
              <w:rPr>
                <w:rFonts w:ascii="Arial" w:eastAsia="Arial" w:hAnsi="Arial" w:cs="Arial"/>
                <w:b/>
                <w:bCs/>
              </w:rPr>
              <w:t>tendrá carácter</w:t>
            </w:r>
            <w:r>
              <w:rPr>
                <w:rFonts w:ascii="Arial" w:eastAsia="Arial" w:hAnsi="Arial" w:cs="Arial"/>
              </w:rPr>
              <w:t xml:space="preserve"> sancionatori</w:t>
            </w:r>
            <w:r>
              <w:rPr>
                <w:rFonts w:ascii="Arial" w:eastAsia="Arial" w:hAnsi="Arial" w:cs="Arial"/>
                <w:b/>
                <w:bCs/>
                <w:u w:val="single"/>
              </w:rPr>
              <w:t>o,</w:t>
            </w:r>
            <w:r>
              <w:rPr>
                <w:rFonts w:ascii="Arial" w:eastAsia="Arial" w:hAnsi="Arial" w:cs="Arial"/>
                <w:b/>
                <w:bCs/>
              </w:rPr>
              <w:t xml:space="preserve"> </w:t>
            </w:r>
            <w:r>
              <w:rPr>
                <w:rFonts w:ascii="Arial" w:eastAsia="Arial" w:hAnsi="Arial" w:cs="Arial"/>
                <w:strike/>
              </w:rPr>
              <w:t>a</w:t>
            </w:r>
            <w:r>
              <w:rPr>
                <w:rFonts w:ascii="Arial" w:eastAsia="Arial" w:hAnsi="Arial" w:cs="Arial"/>
              </w:rPr>
              <w:t xml:space="preserve"> ni generará consecuencias negativas para los territorios; por el contrario, implicará </w:t>
            </w:r>
            <w:r>
              <w:rPr>
                <w:rFonts w:ascii="Arial" w:eastAsia="Arial" w:hAnsi="Arial" w:cs="Arial"/>
                <w:b/>
                <w:bCs/>
                <w:u w:val="single"/>
              </w:rPr>
              <w:t xml:space="preserve">una </w:t>
            </w:r>
            <w:r>
              <w:rPr>
                <w:rFonts w:ascii="Arial" w:eastAsia="Arial" w:hAnsi="Arial" w:cs="Arial"/>
              </w:rPr>
              <w:t xml:space="preserve">mayor asignación de recursos técnicos, </w:t>
            </w:r>
            <w:r>
              <w:rPr>
                <w:rFonts w:ascii="Arial" w:eastAsia="Arial" w:hAnsi="Arial" w:cs="Arial"/>
                <w:strike/>
              </w:rPr>
              <w:t>como</w:t>
            </w:r>
            <w:r>
              <w:rPr>
                <w:rFonts w:ascii="Arial" w:eastAsia="Arial" w:hAnsi="Arial" w:cs="Arial"/>
              </w:rPr>
              <w:t xml:space="preserve"> financieros y de asistencia especializada por parte de nivel nacional.</w:t>
            </w:r>
          </w:p>
        </w:tc>
        <w:tc>
          <w:tcPr>
            <w:tcW w:w="2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F8" w14:textId="77777777" w:rsidR="001C40B0" w:rsidRDefault="00291712">
            <w:pPr>
              <w:rPr>
                <w:rFonts w:ascii="Arial" w:eastAsia="Arial" w:hAnsi="Arial" w:cs="Arial"/>
              </w:rPr>
            </w:pPr>
            <w:r>
              <w:rPr>
                <w:rFonts w:ascii="Arial" w:eastAsia="Arial" w:hAnsi="Arial" w:cs="Arial"/>
              </w:rPr>
              <w:lastRenderedPageBreak/>
              <w:t>Se ajusta la redacción.</w:t>
            </w:r>
          </w:p>
        </w:tc>
      </w:tr>
      <w:tr w:rsidR="001C40B0" w14:paraId="519D8FFC" w14:textId="77777777">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F9" w14:textId="77777777" w:rsidR="001C40B0" w:rsidRDefault="00291712">
            <w:pPr>
              <w:pBdr>
                <w:top w:val="nil"/>
                <w:left w:val="nil"/>
                <w:bottom w:val="nil"/>
                <w:right w:val="nil"/>
                <w:between w:val="nil"/>
              </w:pBdr>
              <w:spacing w:after="160"/>
              <w:jc w:val="both"/>
              <w:rPr>
                <w:rFonts w:ascii="Arial" w:eastAsia="Arial" w:hAnsi="Arial" w:cs="Arial"/>
                <w:color w:val="000000"/>
              </w:rPr>
            </w:pPr>
            <w:r>
              <w:rPr>
                <w:rFonts w:ascii="Arial" w:eastAsia="Arial" w:hAnsi="Arial" w:cs="Arial"/>
                <w:b/>
                <w:bCs/>
                <w:color w:val="000000"/>
              </w:rPr>
              <w:lastRenderedPageBreak/>
              <w:t>ARTÍCULO 31. VIGENCIA Y DEROGACIONES.</w:t>
            </w:r>
            <w:r>
              <w:rPr>
                <w:rFonts w:ascii="Arial" w:eastAsia="Arial" w:hAnsi="Arial" w:cs="Arial"/>
                <w:color w:val="000000"/>
              </w:rPr>
              <w:t xml:space="preserve"> La presente ley rige a partir de su publicación en el Diario Oficial y deroga todas las disposiciones legales o reglamentarias que le sean contrarias.</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FA" w14:textId="77777777" w:rsidR="001C40B0" w:rsidRDefault="00291712">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3</w:t>
            </w:r>
            <w:r>
              <w:rPr>
                <w:rFonts w:ascii="Arial" w:eastAsia="Arial" w:hAnsi="Arial" w:cs="Arial"/>
                <w:b/>
                <w:bCs/>
              </w:rPr>
              <w:t>1</w:t>
            </w:r>
            <w:r>
              <w:rPr>
                <w:rFonts w:ascii="Arial" w:eastAsia="Arial" w:hAnsi="Arial" w:cs="Arial"/>
                <w:b/>
                <w:bCs/>
                <w:color w:val="000000"/>
              </w:rPr>
              <w:t>. VIGENCIA Y DEROGACIONES.</w:t>
            </w:r>
            <w:r>
              <w:rPr>
                <w:rFonts w:ascii="Arial" w:eastAsia="Arial" w:hAnsi="Arial" w:cs="Arial"/>
                <w:color w:val="000000"/>
              </w:rPr>
              <w:t xml:space="preserve"> La presente ley rige a partir de su publicación en el Diario Oficial y deroga todas las disposiciones legales o reglamentarias que le sean contrarias.</w:t>
            </w:r>
          </w:p>
        </w:tc>
        <w:tc>
          <w:tcPr>
            <w:tcW w:w="25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6FB" w14:textId="77777777" w:rsidR="001C40B0" w:rsidRDefault="00291712">
            <w:pPr>
              <w:rPr>
                <w:rFonts w:ascii="Arial" w:eastAsia="Arial" w:hAnsi="Arial" w:cs="Arial"/>
              </w:rPr>
            </w:pPr>
            <w:r>
              <w:rPr>
                <w:rFonts w:ascii="Arial" w:eastAsia="Arial" w:hAnsi="Arial" w:cs="Arial"/>
              </w:rPr>
              <w:t xml:space="preserve">Sin modificaciones. </w:t>
            </w:r>
          </w:p>
        </w:tc>
      </w:tr>
    </w:tbl>
    <w:p w14:paraId="000006FC" w14:textId="77777777" w:rsidR="001C40B0" w:rsidRDefault="001C40B0">
      <w:pPr>
        <w:rPr>
          <w:rFonts w:ascii="Arial" w:eastAsia="Arial" w:hAnsi="Arial" w:cs="Arial"/>
          <w:sz w:val="22"/>
          <w:szCs w:val="22"/>
        </w:rPr>
      </w:pPr>
    </w:p>
    <w:p w14:paraId="000006FD" w14:textId="77777777" w:rsidR="001C40B0" w:rsidRDefault="001C40B0">
      <w:pPr>
        <w:rPr>
          <w:rFonts w:ascii="Arial" w:eastAsia="Arial" w:hAnsi="Arial" w:cs="Arial"/>
          <w:sz w:val="22"/>
          <w:szCs w:val="22"/>
        </w:rPr>
      </w:pPr>
    </w:p>
    <w:p w14:paraId="000006FE" w14:textId="77777777" w:rsidR="001C40B0" w:rsidRDefault="00291712">
      <w:pPr>
        <w:numPr>
          <w:ilvl w:val="0"/>
          <w:numId w:val="1"/>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IMPACTO FISCAL</w:t>
      </w:r>
    </w:p>
    <w:p w14:paraId="000006FF" w14:textId="77777777" w:rsidR="001C40B0" w:rsidRDefault="001C40B0">
      <w:pPr>
        <w:jc w:val="both"/>
        <w:rPr>
          <w:rFonts w:ascii="Arial" w:eastAsia="Arial" w:hAnsi="Arial" w:cs="Arial"/>
          <w:sz w:val="22"/>
          <w:szCs w:val="22"/>
        </w:rPr>
      </w:pPr>
    </w:p>
    <w:p w14:paraId="00000700" w14:textId="77777777" w:rsidR="001C40B0" w:rsidRDefault="00291712">
      <w:pPr>
        <w:jc w:val="both"/>
        <w:rPr>
          <w:rFonts w:ascii="Arial" w:eastAsia="Arial" w:hAnsi="Arial" w:cs="Arial"/>
          <w:sz w:val="22"/>
          <w:szCs w:val="22"/>
        </w:rPr>
      </w:pPr>
      <w:r>
        <w:rPr>
          <w:rFonts w:ascii="Arial" w:eastAsia="Arial" w:hAnsi="Arial" w:cs="Arial"/>
          <w:sz w:val="22"/>
          <w:szCs w:val="22"/>
        </w:rPr>
        <w:t>La Ley 819 de 2003 en su artículo 7°, establece sobre el análisis de impacto fiscal de las normas:</w:t>
      </w:r>
    </w:p>
    <w:p w14:paraId="00000701" w14:textId="77777777" w:rsidR="001C40B0" w:rsidRDefault="001C40B0">
      <w:pPr>
        <w:jc w:val="both"/>
        <w:rPr>
          <w:rFonts w:ascii="Arial" w:eastAsia="Arial" w:hAnsi="Arial" w:cs="Arial"/>
          <w:sz w:val="22"/>
          <w:szCs w:val="22"/>
        </w:rPr>
      </w:pPr>
    </w:p>
    <w:p w14:paraId="00000702" w14:textId="77777777" w:rsidR="001C40B0" w:rsidRDefault="00291712">
      <w:pPr>
        <w:ind w:left="708"/>
        <w:jc w:val="both"/>
        <w:rPr>
          <w:rFonts w:ascii="Arial" w:eastAsia="Arial" w:hAnsi="Arial" w:cs="Arial"/>
          <w:i/>
          <w:iCs/>
          <w:sz w:val="22"/>
          <w:szCs w:val="22"/>
        </w:rPr>
      </w:pPr>
      <w:r>
        <w:rPr>
          <w:rFonts w:ascii="Arial" w:eastAsia="Arial" w:hAnsi="Arial" w:cs="Arial"/>
          <w:i/>
          <w:iCs/>
          <w:sz w:val="22"/>
          <w:szCs w:val="22"/>
        </w:rPr>
        <w:t>“Artículo 7°. Análisis del impacto fiscal de las normas. En todo momento, el impacto fiscal de cualquier proyecto de ley, ordenanza o acuerdo, que ordene gasto o que otorgue beneficios tributarios, deberá hacerse explícito y deberá ser compatible con el Marco Fiscal de Mediano Plazo. Para estos propósitos, deberá incluirse expresamente en la exposición de motivos y en las ponencias de trámite respectivas, los costos fiscales de la iniciativa y la fuente de ingreso adicional generada para el financiamiento de dicho costo.”</w:t>
      </w:r>
    </w:p>
    <w:p w14:paraId="00000703" w14:textId="77777777" w:rsidR="001C40B0" w:rsidRDefault="001C40B0">
      <w:pPr>
        <w:jc w:val="both"/>
        <w:rPr>
          <w:rFonts w:ascii="Arial" w:eastAsia="Arial" w:hAnsi="Arial" w:cs="Arial"/>
          <w:sz w:val="22"/>
          <w:szCs w:val="22"/>
        </w:rPr>
      </w:pPr>
    </w:p>
    <w:p w14:paraId="00000704"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El Ministerio de Hacienda y Crédito Público, en cualquier tiempo durante el respectivo trámite en el Congreso de la República, deberá rendir su concepto frente a la consistencia de lo dispuesto en el inciso anterior. En ningún caso este concepto podrá ir en contravía del Marco Fiscal de Mediano Plazo. Los proyectos de ley de iniciativa gubernamental, que planteen un gasto adicional o una reducción de ingresos, deberán contener la correspondiente fuente sustitutiva por disminución de gasto o aumentos de ingresos, lo cual deberá ser analizado y </w:t>
      </w:r>
      <w:r>
        <w:rPr>
          <w:rFonts w:ascii="Arial" w:eastAsia="Arial" w:hAnsi="Arial" w:cs="Arial"/>
          <w:sz w:val="22"/>
          <w:szCs w:val="22"/>
        </w:rPr>
        <w:lastRenderedPageBreak/>
        <w:t>aprobado por el Ministerio de Hacienda y Crédito Público. En las entidades territoriales, el trámite previsto en el inciso anterior será surtido ante la respectiva Secretaría de Hacienda o quien haga sus veces.</w:t>
      </w:r>
    </w:p>
    <w:p w14:paraId="00000705" w14:textId="77777777" w:rsidR="001C40B0" w:rsidRDefault="001C40B0">
      <w:pPr>
        <w:jc w:val="both"/>
        <w:rPr>
          <w:rFonts w:ascii="Arial" w:eastAsia="Arial" w:hAnsi="Arial" w:cs="Arial"/>
          <w:sz w:val="22"/>
          <w:szCs w:val="22"/>
        </w:rPr>
      </w:pPr>
    </w:p>
    <w:p w14:paraId="00000706" w14:textId="77777777" w:rsidR="001C40B0" w:rsidRDefault="00291712">
      <w:pPr>
        <w:jc w:val="both"/>
        <w:rPr>
          <w:rFonts w:ascii="Arial" w:eastAsia="Arial" w:hAnsi="Arial" w:cs="Arial"/>
          <w:sz w:val="22"/>
          <w:szCs w:val="22"/>
        </w:rPr>
      </w:pPr>
      <w:r>
        <w:rPr>
          <w:rFonts w:ascii="Arial" w:eastAsia="Arial" w:hAnsi="Arial" w:cs="Arial"/>
          <w:sz w:val="22"/>
          <w:szCs w:val="22"/>
        </w:rPr>
        <w:t>Si bien esto indica que es responsabilidad del legislador plantear un análisis de costos fiscales en la exposición de motivos de las iniciativas de origen parlamentario, la Corte Constitucional en la Sentencia C-110 de 2019 estableció que:</w:t>
      </w:r>
    </w:p>
    <w:p w14:paraId="00000707" w14:textId="77777777" w:rsidR="001C40B0" w:rsidRDefault="001C40B0">
      <w:pPr>
        <w:jc w:val="both"/>
        <w:rPr>
          <w:rFonts w:ascii="Arial" w:eastAsia="Arial" w:hAnsi="Arial" w:cs="Arial"/>
          <w:sz w:val="22"/>
          <w:szCs w:val="22"/>
        </w:rPr>
      </w:pPr>
    </w:p>
    <w:p w14:paraId="00000708" w14:textId="77777777" w:rsidR="001C40B0" w:rsidRDefault="00291712">
      <w:pPr>
        <w:ind w:left="708"/>
        <w:jc w:val="both"/>
        <w:rPr>
          <w:rFonts w:ascii="Arial" w:eastAsia="Arial" w:hAnsi="Arial" w:cs="Arial"/>
          <w:i/>
          <w:iCs/>
          <w:sz w:val="22"/>
          <w:szCs w:val="22"/>
        </w:rPr>
      </w:pPr>
      <w:r>
        <w:rPr>
          <w:rFonts w:ascii="Arial" w:eastAsia="Arial" w:hAnsi="Arial" w:cs="Arial"/>
          <w:i/>
          <w:iCs/>
          <w:sz w:val="22"/>
          <w:szCs w:val="22"/>
        </w:rPr>
        <w:t>“80.3. Con el propósito de unificar la interpretación en esta materia, la Corte estima necesario precisar (i) que el Congreso tiene la responsabilidad -como lo dejó dicho la Sentencia C-502 de 2007 y con fundamento en el artículo 7° de la Ley 819 de 2003- de valorar las incidencias fiscales del proyecto de ley. Tal carga (ii) no exige un análisis detallado o exhaustivo del costo fiscal y las fuentes de financiamiento. Sin embargo, (iii) sí demanda una mínima consideración al respecto, de modo que sea posible establecer los referentes básicos para analizar los efectos fiscales del proyecto de ley. En todo caso (iv) la carga principal se encuentra radicada en el MHCP por sus conocimientos técnicos y por su condición de principal ejecutor del gasto público. En consecuencia, (v) el incumplimiento del Gobierno no afecta la decisión del Congreso cuando este ha cumplido su deber. A su vez (vi) si el Gobierno atiende su obligación de emitir su concepto, se radica en el Congreso el deber de estudiarlo y discutirlo -ver num. 79.3 y 90-.”</w:t>
      </w:r>
    </w:p>
    <w:p w14:paraId="00000709" w14:textId="77777777" w:rsidR="001C40B0" w:rsidRDefault="001C40B0">
      <w:pPr>
        <w:jc w:val="both"/>
        <w:rPr>
          <w:rFonts w:ascii="Arial" w:eastAsia="Arial" w:hAnsi="Arial" w:cs="Arial"/>
          <w:sz w:val="22"/>
          <w:szCs w:val="22"/>
        </w:rPr>
      </w:pPr>
    </w:p>
    <w:p w14:paraId="0000070A" w14:textId="77777777" w:rsidR="001C40B0" w:rsidRDefault="00291712">
      <w:pPr>
        <w:jc w:val="both"/>
        <w:rPr>
          <w:rFonts w:ascii="Arial" w:eastAsia="Arial" w:hAnsi="Arial" w:cs="Arial"/>
          <w:sz w:val="22"/>
          <w:szCs w:val="22"/>
        </w:rPr>
      </w:pPr>
      <w:r>
        <w:rPr>
          <w:rFonts w:ascii="Arial" w:eastAsia="Arial" w:hAnsi="Arial" w:cs="Arial"/>
          <w:sz w:val="22"/>
          <w:szCs w:val="22"/>
        </w:rPr>
        <w:t>Por todo lo anterior, se plantea que el presente proyecto de ley al ser una actualización de una ley ordinaria con el propósito de dar seguridad jurídica a una práctica que se desarrolla en la actualidad por parte de los diferentes actores del sector salud bajo la coordinación de la Red Nacional de Donación y Trasplante de Órganos y Tejidos, no implica un nuevo gasto del erario público que pudiera verse reflejado en un impacto fiscal sobre las partidas del Presupuesto General de la Nación o del Marco Fiscal de Mediano Plazo.</w:t>
      </w:r>
    </w:p>
    <w:p w14:paraId="0000070B" w14:textId="77777777" w:rsidR="001C40B0" w:rsidRDefault="001C40B0">
      <w:pPr>
        <w:jc w:val="both"/>
        <w:rPr>
          <w:rFonts w:ascii="Arial" w:eastAsia="Arial" w:hAnsi="Arial" w:cs="Arial"/>
          <w:sz w:val="22"/>
          <w:szCs w:val="22"/>
        </w:rPr>
      </w:pPr>
    </w:p>
    <w:p w14:paraId="0000070C" w14:textId="77777777" w:rsidR="001C40B0" w:rsidRDefault="00291712">
      <w:pPr>
        <w:jc w:val="both"/>
        <w:rPr>
          <w:rFonts w:ascii="Arial" w:eastAsia="Arial" w:hAnsi="Arial" w:cs="Arial"/>
          <w:sz w:val="22"/>
          <w:szCs w:val="22"/>
        </w:rPr>
      </w:pPr>
      <w:r>
        <w:rPr>
          <w:rFonts w:ascii="Arial" w:eastAsia="Arial" w:hAnsi="Arial" w:cs="Arial"/>
          <w:sz w:val="22"/>
          <w:szCs w:val="22"/>
        </w:rPr>
        <w:t>El cambio propuesto en el proyecto de ley pretende aclarar la interpretación de la norma, dando claridad acerca de la posibilidad de realizar donación y trasplantes de órganos y tejidos como consecuencia del cese irreversible de la función circulatoria, con el fin de brindar seguridad jurídica a los equipos médicos e instituciones. La logística y coordinación necesaria para desplegar este criterio de donación no supone actividades distintas de las que ya se adelantan para realizar la donación y trasplante como consecuencia de la muerte cerebral, distinto a la creación de una reglamentación que desarrolle los procedimientos y criterios de detección, evaluación, mantenimiento y extracción de órganos y tejidos de donantes fallecidos por parada circulatoria por parte del Ministerio de Salud y Protección Social con apoyo de las sociedades científicas. En el caso de la redacción propuesta para el artículo nuevo sobre promoción educativa de la donación de órganos para el talento humano en salud, se resalta que en la Ley 1806 de 2016 en su artículo 5° se establece una disposición presupuestal para este mismo propósito, por lo cual no implica un gasto adicional ni afectaría el MFMP.</w:t>
      </w:r>
    </w:p>
    <w:p w14:paraId="0000070D" w14:textId="77777777" w:rsidR="001C40B0" w:rsidRDefault="001C40B0">
      <w:pPr>
        <w:jc w:val="both"/>
        <w:rPr>
          <w:rFonts w:ascii="Arial" w:eastAsia="Arial" w:hAnsi="Arial" w:cs="Arial"/>
          <w:sz w:val="22"/>
          <w:szCs w:val="22"/>
        </w:rPr>
      </w:pPr>
    </w:p>
    <w:p w14:paraId="0000070E" w14:textId="77777777" w:rsidR="001C40B0" w:rsidRDefault="00291712">
      <w:pPr>
        <w:numPr>
          <w:ilvl w:val="0"/>
          <w:numId w:val="1"/>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CONFLICTO DE INTERESES</w:t>
      </w:r>
    </w:p>
    <w:p w14:paraId="0000070F" w14:textId="77777777" w:rsidR="001C40B0" w:rsidRDefault="001C40B0">
      <w:pPr>
        <w:pBdr>
          <w:top w:val="nil"/>
          <w:left w:val="nil"/>
          <w:bottom w:val="nil"/>
          <w:right w:val="nil"/>
          <w:between w:val="nil"/>
        </w:pBdr>
        <w:ind w:left="1080"/>
        <w:jc w:val="both"/>
        <w:rPr>
          <w:rFonts w:ascii="Arial" w:eastAsia="Arial" w:hAnsi="Arial" w:cs="Arial"/>
          <w:b/>
          <w:bCs/>
          <w:color w:val="000000"/>
          <w:sz w:val="22"/>
          <w:szCs w:val="22"/>
        </w:rPr>
      </w:pPr>
    </w:p>
    <w:p w14:paraId="00000710"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Dando alcance a lo establecido en el artículo 3 de la Ley 2003 de 2019, “Por la cual se modifica parcialmente la Ley 5 de 1992”, se hacen las siguientes consideraciones a fin de describir las circunstancias o eventos que podrían generar conflicto de interés en la discusión y votación </w:t>
      </w:r>
      <w:r>
        <w:rPr>
          <w:rFonts w:ascii="Arial" w:eastAsia="Arial" w:hAnsi="Arial" w:cs="Arial"/>
          <w:sz w:val="22"/>
          <w:szCs w:val="22"/>
        </w:rPr>
        <w:lastRenderedPageBreak/>
        <w:t>de la presente iniciativa legislativa, de conformidad con el artículo 286 de la Ley 5 de 1992, modificado por el artículo 1 de la Ley 2003 de 2019, a cuyo tenor reza:</w:t>
      </w:r>
    </w:p>
    <w:p w14:paraId="00000711" w14:textId="77777777" w:rsidR="001C40B0" w:rsidRDefault="001C40B0">
      <w:pPr>
        <w:jc w:val="both"/>
        <w:rPr>
          <w:rFonts w:ascii="Arial" w:eastAsia="Arial" w:hAnsi="Arial" w:cs="Arial"/>
          <w:sz w:val="22"/>
          <w:szCs w:val="22"/>
        </w:rPr>
      </w:pPr>
    </w:p>
    <w:p w14:paraId="00000712" w14:textId="77777777" w:rsidR="001C40B0" w:rsidRDefault="00291712">
      <w:pPr>
        <w:ind w:left="708"/>
        <w:jc w:val="both"/>
        <w:rPr>
          <w:rFonts w:ascii="Arial" w:eastAsia="Arial" w:hAnsi="Arial" w:cs="Arial"/>
          <w:i/>
          <w:iCs/>
          <w:sz w:val="22"/>
          <w:szCs w:val="22"/>
        </w:rPr>
      </w:pPr>
      <w:r>
        <w:rPr>
          <w:rFonts w:ascii="Arial" w:eastAsia="Arial" w:hAnsi="Arial" w:cs="Arial"/>
          <w:i/>
          <w:iCs/>
          <w:sz w:val="22"/>
          <w:szCs w:val="22"/>
        </w:rPr>
        <w:t>“Artículo 286. Régimen de conflicto de interés de los congresistas. Todos los congresistas deberán declarar los conflictos de intereses que pudieran surgir en ejercicio de sus funciones.</w:t>
      </w:r>
    </w:p>
    <w:p w14:paraId="00000713" w14:textId="77777777" w:rsidR="001C40B0" w:rsidRDefault="00291712">
      <w:pPr>
        <w:ind w:left="708"/>
        <w:jc w:val="both"/>
        <w:rPr>
          <w:rFonts w:ascii="Arial" w:eastAsia="Arial" w:hAnsi="Arial" w:cs="Arial"/>
          <w:i/>
          <w:iCs/>
          <w:sz w:val="22"/>
          <w:szCs w:val="22"/>
        </w:rPr>
      </w:pPr>
      <w:r>
        <w:rPr>
          <w:rFonts w:ascii="Arial" w:eastAsia="Arial" w:hAnsi="Arial" w:cs="Arial"/>
          <w:i/>
          <w:iCs/>
          <w:sz w:val="22"/>
          <w:szCs w:val="22"/>
        </w:rPr>
        <w:t xml:space="preserve"> </w:t>
      </w:r>
    </w:p>
    <w:p w14:paraId="00000714" w14:textId="77777777" w:rsidR="001C40B0" w:rsidRDefault="00291712">
      <w:pPr>
        <w:ind w:left="708"/>
        <w:jc w:val="both"/>
        <w:rPr>
          <w:rFonts w:ascii="Arial" w:eastAsia="Arial" w:hAnsi="Arial" w:cs="Arial"/>
          <w:i/>
          <w:iCs/>
          <w:sz w:val="22"/>
          <w:szCs w:val="22"/>
        </w:rPr>
      </w:pPr>
      <w:r>
        <w:rPr>
          <w:rFonts w:ascii="Arial" w:eastAsia="Arial" w:hAnsi="Arial" w:cs="Arial"/>
          <w:i/>
          <w:iCs/>
          <w:sz w:val="22"/>
          <w:szCs w:val="22"/>
        </w:rPr>
        <w:t>Se entiende como conflicto de interés una situación donde la discusión o votación de un proyecto de ley o acto legislativo o artículo, pueda resultar en un beneficio particular, actual y directo a favor del congresista.</w:t>
      </w:r>
    </w:p>
    <w:p w14:paraId="00000715" w14:textId="77777777" w:rsidR="001C40B0" w:rsidRDefault="001C40B0">
      <w:pPr>
        <w:jc w:val="both"/>
        <w:rPr>
          <w:rFonts w:ascii="Arial" w:eastAsia="Arial" w:hAnsi="Arial" w:cs="Arial"/>
          <w:i/>
          <w:iCs/>
          <w:sz w:val="22"/>
          <w:szCs w:val="22"/>
        </w:rPr>
      </w:pPr>
    </w:p>
    <w:p w14:paraId="00000716" w14:textId="77777777" w:rsidR="001C40B0" w:rsidRDefault="00291712">
      <w:pPr>
        <w:numPr>
          <w:ilvl w:val="0"/>
          <w:numId w:val="5"/>
        </w:numPr>
        <w:pBdr>
          <w:top w:val="nil"/>
          <w:left w:val="nil"/>
          <w:bottom w:val="nil"/>
          <w:right w:val="nil"/>
          <w:between w:val="nil"/>
        </w:pBdr>
        <w:jc w:val="both"/>
        <w:rPr>
          <w:rFonts w:ascii="Arial" w:eastAsia="Arial" w:hAnsi="Arial" w:cs="Arial"/>
          <w:i/>
          <w:iCs/>
          <w:color w:val="000000"/>
          <w:sz w:val="22"/>
          <w:szCs w:val="22"/>
        </w:rPr>
      </w:pPr>
      <w:r>
        <w:rPr>
          <w:rFonts w:ascii="Arial" w:eastAsia="Arial" w:hAnsi="Arial" w:cs="Arial"/>
          <w:i/>
          <w:iCs/>
          <w:color w:val="000000"/>
          <w:sz w:val="22"/>
          <w:szCs w:val="22"/>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00000717" w14:textId="77777777" w:rsidR="001C40B0" w:rsidRDefault="00291712">
      <w:pPr>
        <w:numPr>
          <w:ilvl w:val="0"/>
          <w:numId w:val="5"/>
        </w:numPr>
        <w:pBdr>
          <w:top w:val="nil"/>
          <w:left w:val="nil"/>
          <w:bottom w:val="nil"/>
          <w:right w:val="nil"/>
          <w:between w:val="nil"/>
        </w:pBdr>
        <w:jc w:val="both"/>
        <w:rPr>
          <w:rFonts w:ascii="Arial" w:eastAsia="Arial" w:hAnsi="Arial" w:cs="Arial"/>
          <w:i/>
          <w:iCs/>
          <w:color w:val="000000"/>
          <w:sz w:val="22"/>
          <w:szCs w:val="22"/>
        </w:rPr>
      </w:pPr>
      <w:r>
        <w:rPr>
          <w:rFonts w:ascii="Arial" w:eastAsia="Arial" w:hAnsi="Arial" w:cs="Arial"/>
          <w:i/>
          <w:iCs/>
          <w:color w:val="000000"/>
          <w:sz w:val="22"/>
          <w:szCs w:val="22"/>
        </w:rPr>
        <w:t>Beneficio actual: aquel que efectivamente se configura en las circunstancias presentes y existentes al momento en el que el congresista participa de la decisión.</w:t>
      </w:r>
    </w:p>
    <w:p w14:paraId="00000718" w14:textId="77777777" w:rsidR="001C40B0" w:rsidRDefault="00291712">
      <w:pPr>
        <w:numPr>
          <w:ilvl w:val="0"/>
          <w:numId w:val="5"/>
        </w:numPr>
        <w:pBdr>
          <w:top w:val="nil"/>
          <w:left w:val="nil"/>
          <w:bottom w:val="nil"/>
          <w:right w:val="nil"/>
          <w:between w:val="nil"/>
        </w:pBdr>
        <w:jc w:val="both"/>
        <w:rPr>
          <w:rFonts w:ascii="Arial" w:eastAsia="Arial" w:hAnsi="Arial" w:cs="Arial"/>
          <w:i/>
          <w:iCs/>
          <w:color w:val="000000"/>
          <w:sz w:val="22"/>
          <w:szCs w:val="22"/>
        </w:rPr>
      </w:pPr>
      <w:r>
        <w:rPr>
          <w:rFonts w:ascii="Arial" w:eastAsia="Arial" w:hAnsi="Arial" w:cs="Arial"/>
          <w:i/>
          <w:iCs/>
          <w:color w:val="000000"/>
          <w:sz w:val="22"/>
          <w:szCs w:val="22"/>
        </w:rPr>
        <w:t>Beneficio directo: aquel que se produzca de forma específica respecto del congresista, de su cónyuge, compañero o compañera permanente, o parientes dentro del segundo grado de consanguinidad, segundo de afinidad o primero civil. (…)”</w:t>
      </w:r>
    </w:p>
    <w:p w14:paraId="00000719" w14:textId="77777777" w:rsidR="001C40B0" w:rsidRDefault="001C40B0">
      <w:pPr>
        <w:jc w:val="both"/>
        <w:rPr>
          <w:rFonts w:ascii="Arial" w:eastAsia="Arial" w:hAnsi="Arial" w:cs="Arial"/>
          <w:sz w:val="22"/>
          <w:szCs w:val="22"/>
        </w:rPr>
      </w:pPr>
    </w:p>
    <w:p w14:paraId="0000071A" w14:textId="77777777" w:rsidR="001C40B0" w:rsidRDefault="00291712">
      <w:pPr>
        <w:jc w:val="both"/>
        <w:rPr>
          <w:rFonts w:ascii="Arial" w:eastAsia="Arial" w:hAnsi="Arial" w:cs="Arial"/>
          <w:sz w:val="22"/>
          <w:szCs w:val="22"/>
        </w:rPr>
      </w:pPr>
      <w:r>
        <w:rPr>
          <w:rFonts w:ascii="Arial" w:eastAsia="Arial" w:hAnsi="Arial" w:cs="Arial"/>
          <w:sz w:val="22"/>
          <w:szCs w:val="22"/>
        </w:rPr>
        <w:t>Sobre este asunto la Sala Plena Contenciosa Administrativa del Honorable Consejo de Estado en su sentencia 02830 del 16 de julio de 2019, M.P. Carlos Enrique Moreno Rubio, señaló que:</w:t>
      </w:r>
    </w:p>
    <w:p w14:paraId="0000071B" w14:textId="77777777" w:rsidR="001C40B0" w:rsidRDefault="001C40B0">
      <w:pPr>
        <w:jc w:val="both"/>
        <w:rPr>
          <w:rFonts w:ascii="Arial" w:eastAsia="Arial" w:hAnsi="Arial" w:cs="Arial"/>
          <w:sz w:val="22"/>
          <w:szCs w:val="22"/>
        </w:rPr>
      </w:pPr>
    </w:p>
    <w:p w14:paraId="0000071C" w14:textId="77777777" w:rsidR="001C40B0" w:rsidRDefault="00291712">
      <w:pPr>
        <w:ind w:left="708"/>
        <w:jc w:val="both"/>
        <w:rPr>
          <w:rFonts w:ascii="Arial" w:eastAsia="Arial" w:hAnsi="Arial" w:cs="Arial"/>
          <w:i/>
          <w:iCs/>
          <w:sz w:val="22"/>
          <w:szCs w:val="22"/>
        </w:rPr>
      </w:pPr>
      <w:r>
        <w:rPr>
          <w:rFonts w:ascii="Arial" w:eastAsia="Arial" w:hAnsi="Arial" w:cs="Arial"/>
          <w:i/>
          <w:iCs/>
          <w:sz w:val="22"/>
          <w:szCs w:val="22"/>
        </w:rPr>
        <w:t>“No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14:paraId="0000071D" w14:textId="77777777" w:rsidR="001C40B0" w:rsidRDefault="001C40B0">
      <w:pPr>
        <w:jc w:val="both"/>
        <w:rPr>
          <w:rFonts w:ascii="Arial" w:eastAsia="Arial" w:hAnsi="Arial" w:cs="Arial"/>
          <w:sz w:val="22"/>
          <w:szCs w:val="22"/>
        </w:rPr>
      </w:pPr>
    </w:p>
    <w:p w14:paraId="0000071E" w14:textId="77777777" w:rsidR="001C40B0" w:rsidRDefault="00291712">
      <w:pPr>
        <w:jc w:val="both"/>
        <w:rPr>
          <w:rFonts w:ascii="Arial" w:eastAsia="Arial" w:hAnsi="Arial" w:cs="Arial"/>
          <w:sz w:val="22"/>
          <w:szCs w:val="22"/>
        </w:rPr>
      </w:pPr>
      <w:r>
        <w:rPr>
          <w:rFonts w:ascii="Arial" w:eastAsia="Arial" w:hAnsi="Arial" w:cs="Arial"/>
          <w:sz w:val="22"/>
          <w:szCs w:val="22"/>
        </w:rPr>
        <w:t>Por lo anterior, se estima que el presente proyecto de ley no genera conflictos de interés para su discusión y votación, toda vez que se trata de un proyecto de carácter general que no genera un beneficio o perjuicio particular, actual y directo. No obstante, lo anterior, es menester precisar que la descripción de los posibles conflictos de interés que se puedan presentar frente al trámite o votación del presente Proyecto de Ley, conforme a lo dispuesto en el artículo 291 de la Ley 5 de 1992 modificado por la Ley 2003 de 2019, no exime al Congresista de identificar causales adicionales en las que pueda estar inmerso.</w:t>
      </w:r>
    </w:p>
    <w:p w14:paraId="0000071F" w14:textId="013B8A21" w:rsidR="001C40B0" w:rsidRDefault="001C40B0">
      <w:pPr>
        <w:jc w:val="both"/>
        <w:rPr>
          <w:rFonts w:ascii="Arial" w:eastAsia="Arial" w:hAnsi="Arial" w:cs="Arial"/>
          <w:sz w:val="22"/>
          <w:szCs w:val="22"/>
        </w:rPr>
      </w:pPr>
    </w:p>
    <w:p w14:paraId="642EB3E8" w14:textId="6EB8B3A8" w:rsidR="00DF5C34" w:rsidRDefault="00DF5C34">
      <w:pPr>
        <w:jc w:val="both"/>
        <w:rPr>
          <w:rFonts w:ascii="Arial" w:eastAsia="Arial" w:hAnsi="Arial" w:cs="Arial"/>
          <w:sz w:val="22"/>
          <w:szCs w:val="22"/>
        </w:rPr>
      </w:pPr>
    </w:p>
    <w:p w14:paraId="3ED11A4F" w14:textId="76EB204A" w:rsidR="00DF5C34" w:rsidRDefault="00DF5C34">
      <w:pPr>
        <w:jc w:val="both"/>
        <w:rPr>
          <w:rFonts w:ascii="Arial" w:eastAsia="Arial" w:hAnsi="Arial" w:cs="Arial"/>
          <w:sz w:val="22"/>
          <w:szCs w:val="22"/>
        </w:rPr>
      </w:pPr>
    </w:p>
    <w:p w14:paraId="35429DAF" w14:textId="77777777" w:rsidR="00DF5C34" w:rsidRDefault="00DF5C34">
      <w:pPr>
        <w:jc w:val="both"/>
        <w:rPr>
          <w:rFonts w:ascii="Arial" w:eastAsia="Arial" w:hAnsi="Arial" w:cs="Arial"/>
          <w:sz w:val="22"/>
          <w:szCs w:val="22"/>
        </w:rPr>
      </w:pPr>
    </w:p>
    <w:p w14:paraId="00000720" w14:textId="77777777" w:rsidR="001C40B0" w:rsidRDefault="001C40B0">
      <w:pPr>
        <w:jc w:val="both"/>
        <w:rPr>
          <w:rFonts w:ascii="Arial" w:eastAsia="Arial" w:hAnsi="Arial" w:cs="Arial"/>
          <w:sz w:val="22"/>
          <w:szCs w:val="22"/>
        </w:rPr>
      </w:pPr>
    </w:p>
    <w:p w14:paraId="00000721" w14:textId="77777777" w:rsidR="001C40B0" w:rsidRDefault="00291712">
      <w:pPr>
        <w:numPr>
          <w:ilvl w:val="0"/>
          <w:numId w:val="1"/>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lastRenderedPageBreak/>
        <w:t>PROPOSICIÓN</w:t>
      </w:r>
    </w:p>
    <w:p w14:paraId="00000722" w14:textId="77777777" w:rsidR="001C40B0" w:rsidRDefault="001C40B0">
      <w:pPr>
        <w:jc w:val="both"/>
        <w:rPr>
          <w:rFonts w:ascii="Arial" w:eastAsia="Arial" w:hAnsi="Arial" w:cs="Arial"/>
          <w:sz w:val="22"/>
          <w:szCs w:val="22"/>
        </w:rPr>
      </w:pPr>
    </w:p>
    <w:p w14:paraId="00000723"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Haciendo uso de las facultades conferidas por la Ley 5 de 1992, de conformidad con las consideraciones expuestas, me permito rendir informe de PONENCIA POSITIVA y respetuosamente sugiero a los Honorables Representantes DAR SEGUNDO DEBATE al Proyecto de Ley No. 428 de 2025 Cámara - 155 de 2024 Senado </w:t>
      </w:r>
      <w:r>
        <w:rPr>
          <w:rFonts w:ascii="Arial" w:eastAsia="Arial" w:hAnsi="Arial" w:cs="Arial"/>
          <w:i/>
          <w:iCs/>
          <w:sz w:val="22"/>
          <w:szCs w:val="22"/>
        </w:rPr>
        <w:t>“Por medio de la cual se modifica la estructura nacional de donación, trasplante de órganos y componentes anatómicos, la Ley 9 de 1979, la Ley 1805 de 2016 y se dictan otras disposiciones”</w:t>
      </w:r>
      <w:r>
        <w:rPr>
          <w:rFonts w:ascii="Arial" w:eastAsia="Arial" w:hAnsi="Arial" w:cs="Arial"/>
          <w:sz w:val="22"/>
          <w:szCs w:val="22"/>
        </w:rPr>
        <w:t xml:space="preserve"> de conformidad con el texto propuesto. </w:t>
      </w:r>
    </w:p>
    <w:p w14:paraId="00000724" w14:textId="77777777" w:rsidR="001C40B0" w:rsidRDefault="001C40B0">
      <w:pPr>
        <w:jc w:val="both"/>
        <w:rPr>
          <w:rFonts w:ascii="Arial" w:eastAsia="Arial" w:hAnsi="Arial" w:cs="Arial"/>
          <w:sz w:val="22"/>
          <w:szCs w:val="22"/>
        </w:rPr>
      </w:pPr>
    </w:p>
    <w:p w14:paraId="71A25413" w14:textId="77777777" w:rsidR="00DF5C34" w:rsidRDefault="00DF5C34">
      <w:pPr>
        <w:jc w:val="both"/>
        <w:rPr>
          <w:rFonts w:ascii="Arial" w:eastAsia="Arial" w:hAnsi="Arial" w:cs="Arial"/>
          <w:sz w:val="22"/>
          <w:szCs w:val="22"/>
        </w:rPr>
      </w:pPr>
    </w:p>
    <w:p w14:paraId="00000725" w14:textId="2C631ED3" w:rsidR="001C40B0" w:rsidRDefault="00291712">
      <w:pPr>
        <w:jc w:val="both"/>
        <w:rPr>
          <w:rFonts w:ascii="Arial" w:eastAsia="Arial" w:hAnsi="Arial" w:cs="Arial"/>
          <w:sz w:val="22"/>
          <w:szCs w:val="22"/>
        </w:rPr>
      </w:pPr>
      <w:r>
        <w:rPr>
          <w:rFonts w:ascii="Arial" w:eastAsia="Arial" w:hAnsi="Arial" w:cs="Arial"/>
          <w:sz w:val="22"/>
          <w:szCs w:val="22"/>
        </w:rPr>
        <w:t>Cordialmente,</w:t>
      </w:r>
    </w:p>
    <w:p w14:paraId="00000726" w14:textId="77777777" w:rsidR="001C40B0" w:rsidRDefault="001C40B0">
      <w:pPr>
        <w:jc w:val="both"/>
        <w:rPr>
          <w:rFonts w:ascii="Arial" w:eastAsia="Arial" w:hAnsi="Arial" w:cs="Arial"/>
          <w:sz w:val="22"/>
          <w:szCs w:val="22"/>
        </w:rPr>
      </w:pPr>
    </w:p>
    <w:p w14:paraId="00000727" w14:textId="57A82481" w:rsidR="001C40B0" w:rsidRDefault="001C40B0">
      <w:pPr>
        <w:jc w:val="both"/>
        <w:rPr>
          <w:rFonts w:ascii="Arial" w:eastAsia="Arial" w:hAnsi="Arial" w:cs="Arial"/>
          <w:sz w:val="22"/>
          <w:szCs w:val="22"/>
        </w:rPr>
      </w:pPr>
    </w:p>
    <w:p w14:paraId="688D5236" w14:textId="77777777" w:rsidR="00DF5C34" w:rsidRDefault="00DF5C34">
      <w:pPr>
        <w:jc w:val="both"/>
        <w:rPr>
          <w:rFonts w:ascii="Arial" w:eastAsia="Arial" w:hAnsi="Arial" w:cs="Arial"/>
          <w:sz w:val="22"/>
          <w:szCs w:val="22"/>
        </w:rPr>
      </w:pPr>
    </w:p>
    <w:p w14:paraId="00000728" w14:textId="77777777" w:rsidR="001C40B0" w:rsidRDefault="001C40B0">
      <w:pPr>
        <w:jc w:val="both"/>
        <w:rPr>
          <w:rFonts w:ascii="Arial" w:eastAsia="Arial" w:hAnsi="Arial" w:cs="Arial"/>
          <w:sz w:val="22"/>
          <w:szCs w:val="22"/>
        </w:rPr>
      </w:pPr>
    </w:p>
    <w:p w14:paraId="00000729" w14:textId="77777777" w:rsidR="001C40B0" w:rsidRDefault="001C40B0">
      <w:pPr>
        <w:jc w:val="both"/>
        <w:rPr>
          <w:rFonts w:ascii="Arial" w:eastAsia="Arial" w:hAnsi="Arial" w:cs="Arial"/>
          <w:sz w:val="22"/>
          <w:szCs w:val="22"/>
        </w:rPr>
      </w:pPr>
    </w:p>
    <w:p w14:paraId="0000072A" w14:textId="77777777" w:rsidR="001C40B0" w:rsidRDefault="00291712">
      <w:pPr>
        <w:jc w:val="center"/>
        <w:rPr>
          <w:rFonts w:ascii="Arial" w:eastAsia="Arial" w:hAnsi="Arial" w:cs="Arial"/>
          <w:b/>
          <w:bCs/>
          <w:sz w:val="22"/>
          <w:szCs w:val="22"/>
        </w:rPr>
      </w:pPr>
      <w:r>
        <w:rPr>
          <w:rFonts w:ascii="Arial" w:eastAsia="Arial" w:hAnsi="Arial" w:cs="Arial"/>
          <w:b/>
          <w:bCs/>
          <w:sz w:val="22"/>
          <w:szCs w:val="22"/>
        </w:rPr>
        <w:t>HERNÁN DARÍO CADAVID MÁRQUEZ</w:t>
      </w:r>
    </w:p>
    <w:p w14:paraId="0000072B" w14:textId="77777777" w:rsidR="001C40B0" w:rsidRDefault="00291712">
      <w:pPr>
        <w:jc w:val="center"/>
        <w:rPr>
          <w:rFonts w:ascii="Arial" w:eastAsia="Arial" w:hAnsi="Arial" w:cs="Arial"/>
          <w:b/>
          <w:bCs/>
          <w:sz w:val="22"/>
          <w:szCs w:val="22"/>
        </w:rPr>
      </w:pPr>
      <w:r>
        <w:rPr>
          <w:rFonts w:ascii="Arial" w:eastAsia="Arial" w:hAnsi="Arial" w:cs="Arial"/>
          <w:b/>
          <w:bCs/>
          <w:sz w:val="22"/>
          <w:szCs w:val="22"/>
        </w:rPr>
        <w:t>Representante a la Cámara</w:t>
      </w:r>
    </w:p>
    <w:p w14:paraId="0000072C" w14:textId="77777777" w:rsidR="001C40B0" w:rsidRDefault="00291712">
      <w:pPr>
        <w:jc w:val="center"/>
        <w:rPr>
          <w:rFonts w:ascii="Arial" w:eastAsia="Arial" w:hAnsi="Arial" w:cs="Arial"/>
          <w:sz w:val="22"/>
          <w:szCs w:val="22"/>
        </w:rPr>
      </w:pPr>
      <w:r>
        <w:rPr>
          <w:rFonts w:ascii="Arial" w:eastAsia="Arial" w:hAnsi="Arial" w:cs="Arial"/>
          <w:b/>
          <w:bCs/>
          <w:sz w:val="22"/>
          <w:szCs w:val="22"/>
        </w:rPr>
        <w:t>Ponente</w:t>
      </w:r>
    </w:p>
    <w:p w14:paraId="0000072D" w14:textId="77777777" w:rsidR="001C40B0" w:rsidRDefault="001C40B0">
      <w:pPr>
        <w:jc w:val="both"/>
        <w:rPr>
          <w:rFonts w:ascii="Arial" w:eastAsia="Arial" w:hAnsi="Arial" w:cs="Arial"/>
          <w:sz w:val="22"/>
          <w:szCs w:val="22"/>
        </w:rPr>
      </w:pPr>
    </w:p>
    <w:p w14:paraId="0000072E" w14:textId="1097CA4C" w:rsidR="001C40B0" w:rsidRDefault="001C40B0">
      <w:pPr>
        <w:jc w:val="both"/>
        <w:rPr>
          <w:rFonts w:ascii="Arial" w:eastAsia="Arial" w:hAnsi="Arial" w:cs="Arial"/>
          <w:sz w:val="22"/>
          <w:szCs w:val="22"/>
        </w:rPr>
      </w:pPr>
    </w:p>
    <w:p w14:paraId="2A386F92" w14:textId="521D0316" w:rsidR="00DF5C34" w:rsidRDefault="00DF5C34">
      <w:pPr>
        <w:jc w:val="both"/>
        <w:rPr>
          <w:rFonts w:ascii="Arial" w:eastAsia="Arial" w:hAnsi="Arial" w:cs="Arial"/>
          <w:sz w:val="22"/>
          <w:szCs w:val="22"/>
        </w:rPr>
      </w:pPr>
    </w:p>
    <w:p w14:paraId="3E0C5509" w14:textId="7A26FF46" w:rsidR="00DF5C34" w:rsidRDefault="00DF5C34">
      <w:pPr>
        <w:jc w:val="both"/>
        <w:rPr>
          <w:rFonts w:ascii="Arial" w:eastAsia="Arial" w:hAnsi="Arial" w:cs="Arial"/>
          <w:sz w:val="22"/>
          <w:szCs w:val="22"/>
        </w:rPr>
      </w:pPr>
    </w:p>
    <w:p w14:paraId="451C2BCC" w14:textId="64C90540" w:rsidR="00DF5C34" w:rsidRDefault="00DF5C34">
      <w:pPr>
        <w:jc w:val="both"/>
        <w:rPr>
          <w:rFonts w:ascii="Arial" w:eastAsia="Arial" w:hAnsi="Arial" w:cs="Arial"/>
          <w:sz w:val="22"/>
          <w:szCs w:val="22"/>
        </w:rPr>
      </w:pPr>
    </w:p>
    <w:p w14:paraId="0EDB67C8" w14:textId="12291CFB" w:rsidR="00DF5C34" w:rsidRDefault="00DF5C34">
      <w:pPr>
        <w:jc w:val="both"/>
        <w:rPr>
          <w:rFonts w:ascii="Arial" w:eastAsia="Arial" w:hAnsi="Arial" w:cs="Arial"/>
          <w:sz w:val="22"/>
          <w:szCs w:val="22"/>
        </w:rPr>
      </w:pPr>
    </w:p>
    <w:p w14:paraId="4E497AEF" w14:textId="73FE140A" w:rsidR="00DF5C34" w:rsidRDefault="00DF5C34">
      <w:pPr>
        <w:jc w:val="both"/>
        <w:rPr>
          <w:rFonts w:ascii="Arial" w:eastAsia="Arial" w:hAnsi="Arial" w:cs="Arial"/>
          <w:sz w:val="22"/>
          <w:szCs w:val="22"/>
        </w:rPr>
      </w:pPr>
    </w:p>
    <w:p w14:paraId="7553AF14" w14:textId="26707E64" w:rsidR="00DF5C34" w:rsidRDefault="00DF5C34">
      <w:pPr>
        <w:jc w:val="both"/>
        <w:rPr>
          <w:rFonts w:ascii="Arial" w:eastAsia="Arial" w:hAnsi="Arial" w:cs="Arial"/>
          <w:sz w:val="22"/>
          <w:szCs w:val="22"/>
        </w:rPr>
      </w:pPr>
      <w:bookmarkStart w:id="10" w:name="_GoBack"/>
      <w:bookmarkEnd w:id="10"/>
    </w:p>
    <w:p w14:paraId="44AD7A00" w14:textId="4E2E2A44" w:rsidR="00DF5C34" w:rsidRDefault="00DF5C34">
      <w:pPr>
        <w:jc w:val="both"/>
        <w:rPr>
          <w:rFonts w:ascii="Arial" w:eastAsia="Arial" w:hAnsi="Arial" w:cs="Arial"/>
          <w:sz w:val="22"/>
          <w:szCs w:val="22"/>
        </w:rPr>
      </w:pPr>
    </w:p>
    <w:p w14:paraId="5C184B7E" w14:textId="2B1503FB" w:rsidR="00DF5C34" w:rsidRDefault="00DF5C34">
      <w:pPr>
        <w:jc w:val="both"/>
        <w:rPr>
          <w:rFonts w:ascii="Arial" w:eastAsia="Arial" w:hAnsi="Arial" w:cs="Arial"/>
          <w:sz w:val="22"/>
          <w:szCs w:val="22"/>
        </w:rPr>
      </w:pPr>
    </w:p>
    <w:p w14:paraId="60467A8A" w14:textId="0AD7EF7B" w:rsidR="00DF5C34" w:rsidRDefault="00DF5C34">
      <w:pPr>
        <w:jc w:val="both"/>
        <w:rPr>
          <w:rFonts w:ascii="Arial" w:eastAsia="Arial" w:hAnsi="Arial" w:cs="Arial"/>
          <w:sz w:val="22"/>
          <w:szCs w:val="22"/>
        </w:rPr>
      </w:pPr>
    </w:p>
    <w:p w14:paraId="190AF204" w14:textId="53F33CFF" w:rsidR="00DF5C34" w:rsidRDefault="00DF5C34">
      <w:pPr>
        <w:jc w:val="both"/>
        <w:rPr>
          <w:rFonts w:ascii="Arial" w:eastAsia="Arial" w:hAnsi="Arial" w:cs="Arial"/>
          <w:sz w:val="22"/>
          <w:szCs w:val="22"/>
        </w:rPr>
      </w:pPr>
    </w:p>
    <w:p w14:paraId="3577EFA9" w14:textId="5531E4E2" w:rsidR="00DF5C34" w:rsidRDefault="00DF5C34">
      <w:pPr>
        <w:jc w:val="both"/>
        <w:rPr>
          <w:rFonts w:ascii="Arial" w:eastAsia="Arial" w:hAnsi="Arial" w:cs="Arial"/>
          <w:sz w:val="22"/>
          <w:szCs w:val="22"/>
        </w:rPr>
      </w:pPr>
    </w:p>
    <w:p w14:paraId="76269EAB" w14:textId="42A20DE4" w:rsidR="00DF5C34" w:rsidRDefault="00DF5C34">
      <w:pPr>
        <w:jc w:val="both"/>
        <w:rPr>
          <w:rFonts w:ascii="Arial" w:eastAsia="Arial" w:hAnsi="Arial" w:cs="Arial"/>
          <w:sz w:val="22"/>
          <w:szCs w:val="22"/>
        </w:rPr>
      </w:pPr>
    </w:p>
    <w:p w14:paraId="5DFBC2C3" w14:textId="1E6B9200" w:rsidR="00DF5C34" w:rsidRDefault="00DF5C34">
      <w:pPr>
        <w:jc w:val="both"/>
        <w:rPr>
          <w:rFonts w:ascii="Arial" w:eastAsia="Arial" w:hAnsi="Arial" w:cs="Arial"/>
          <w:sz w:val="22"/>
          <w:szCs w:val="22"/>
        </w:rPr>
      </w:pPr>
    </w:p>
    <w:p w14:paraId="1FCCD7B4" w14:textId="107BD5BB" w:rsidR="00DF5C34" w:rsidRDefault="00DF5C34">
      <w:pPr>
        <w:jc w:val="both"/>
        <w:rPr>
          <w:rFonts w:ascii="Arial" w:eastAsia="Arial" w:hAnsi="Arial" w:cs="Arial"/>
          <w:sz w:val="22"/>
          <w:szCs w:val="22"/>
        </w:rPr>
      </w:pPr>
    </w:p>
    <w:p w14:paraId="79C32964" w14:textId="4F17E5F3" w:rsidR="00DF5C34" w:rsidRDefault="00DF5C34">
      <w:pPr>
        <w:jc w:val="both"/>
        <w:rPr>
          <w:rFonts w:ascii="Arial" w:eastAsia="Arial" w:hAnsi="Arial" w:cs="Arial"/>
          <w:sz w:val="22"/>
          <w:szCs w:val="22"/>
        </w:rPr>
      </w:pPr>
    </w:p>
    <w:p w14:paraId="62DD8899" w14:textId="67CE2FF2" w:rsidR="00DF5C34" w:rsidRDefault="00DF5C34">
      <w:pPr>
        <w:jc w:val="both"/>
        <w:rPr>
          <w:rFonts w:ascii="Arial" w:eastAsia="Arial" w:hAnsi="Arial" w:cs="Arial"/>
          <w:sz w:val="22"/>
          <w:szCs w:val="22"/>
        </w:rPr>
      </w:pPr>
    </w:p>
    <w:p w14:paraId="6C123300" w14:textId="113B69E9" w:rsidR="00DF5C34" w:rsidRDefault="00DF5C34">
      <w:pPr>
        <w:jc w:val="both"/>
        <w:rPr>
          <w:rFonts w:ascii="Arial" w:eastAsia="Arial" w:hAnsi="Arial" w:cs="Arial"/>
          <w:sz w:val="22"/>
          <w:szCs w:val="22"/>
        </w:rPr>
      </w:pPr>
    </w:p>
    <w:p w14:paraId="2F5ABA21" w14:textId="46A35D74" w:rsidR="00DF5C34" w:rsidRDefault="00DF5C34">
      <w:pPr>
        <w:jc w:val="both"/>
        <w:rPr>
          <w:rFonts w:ascii="Arial" w:eastAsia="Arial" w:hAnsi="Arial" w:cs="Arial"/>
          <w:sz w:val="22"/>
          <w:szCs w:val="22"/>
        </w:rPr>
      </w:pPr>
    </w:p>
    <w:p w14:paraId="04450057" w14:textId="662AAADF" w:rsidR="00DF5C34" w:rsidRDefault="00DF5C34">
      <w:pPr>
        <w:jc w:val="both"/>
        <w:rPr>
          <w:rFonts w:ascii="Arial" w:eastAsia="Arial" w:hAnsi="Arial" w:cs="Arial"/>
          <w:sz w:val="22"/>
          <w:szCs w:val="22"/>
        </w:rPr>
      </w:pPr>
    </w:p>
    <w:p w14:paraId="0DEA1FBB" w14:textId="69CFFFEE" w:rsidR="00DF5C34" w:rsidRDefault="00DF5C34">
      <w:pPr>
        <w:jc w:val="both"/>
        <w:rPr>
          <w:rFonts w:ascii="Arial" w:eastAsia="Arial" w:hAnsi="Arial" w:cs="Arial"/>
          <w:sz w:val="22"/>
          <w:szCs w:val="22"/>
        </w:rPr>
      </w:pPr>
    </w:p>
    <w:p w14:paraId="6B9A33BC" w14:textId="15BFB12E" w:rsidR="00DF5C34" w:rsidRDefault="00DF5C34">
      <w:pPr>
        <w:jc w:val="both"/>
        <w:rPr>
          <w:rFonts w:ascii="Arial" w:eastAsia="Arial" w:hAnsi="Arial" w:cs="Arial"/>
          <w:sz w:val="22"/>
          <w:szCs w:val="22"/>
        </w:rPr>
      </w:pPr>
    </w:p>
    <w:p w14:paraId="75FCEB2E" w14:textId="02D729C4" w:rsidR="00DF5C34" w:rsidRDefault="00DF5C34">
      <w:pPr>
        <w:jc w:val="both"/>
        <w:rPr>
          <w:rFonts w:ascii="Arial" w:eastAsia="Arial" w:hAnsi="Arial" w:cs="Arial"/>
          <w:sz w:val="22"/>
          <w:szCs w:val="22"/>
        </w:rPr>
      </w:pPr>
    </w:p>
    <w:p w14:paraId="136A06F8" w14:textId="659A0580" w:rsidR="00DF5C34" w:rsidRDefault="00DF5C34">
      <w:pPr>
        <w:jc w:val="both"/>
        <w:rPr>
          <w:rFonts w:ascii="Arial" w:eastAsia="Arial" w:hAnsi="Arial" w:cs="Arial"/>
          <w:sz w:val="22"/>
          <w:szCs w:val="22"/>
        </w:rPr>
      </w:pPr>
    </w:p>
    <w:p w14:paraId="60D1F330" w14:textId="716B63A8" w:rsidR="00DF5C34" w:rsidRDefault="00DF5C34">
      <w:pPr>
        <w:jc w:val="both"/>
        <w:rPr>
          <w:rFonts w:ascii="Arial" w:eastAsia="Arial" w:hAnsi="Arial" w:cs="Arial"/>
          <w:sz w:val="22"/>
          <w:szCs w:val="22"/>
        </w:rPr>
      </w:pPr>
    </w:p>
    <w:p w14:paraId="3FDB2176" w14:textId="549F8867" w:rsidR="00DF5C34" w:rsidRDefault="00DF5C34">
      <w:pPr>
        <w:jc w:val="both"/>
        <w:rPr>
          <w:rFonts w:ascii="Arial" w:eastAsia="Arial" w:hAnsi="Arial" w:cs="Arial"/>
          <w:sz w:val="22"/>
          <w:szCs w:val="22"/>
        </w:rPr>
      </w:pPr>
    </w:p>
    <w:p w14:paraId="0740BDC6" w14:textId="59BD0D0D" w:rsidR="00DF5C34" w:rsidRDefault="00DF5C34">
      <w:pPr>
        <w:jc w:val="both"/>
        <w:rPr>
          <w:rFonts w:ascii="Arial" w:eastAsia="Arial" w:hAnsi="Arial" w:cs="Arial"/>
          <w:sz w:val="22"/>
          <w:szCs w:val="22"/>
        </w:rPr>
      </w:pPr>
    </w:p>
    <w:p w14:paraId="44AA876F" w14:textId="5D1A93C0" w:rsidR="00DF5C34" w:rsidRDefault="00DF5C34">
      <w:pPr>
        <w:jc w:val="both"/>
        <w:rPr>
          <w:rFonts w:ascii="Arial" w:eastAsia="Arial" w:hAnsi="Arial" w:cs="Arial"/>
          <w:sz w:val="22"/>
          <w:szCs w:val="22"/>
        </w:rPr>
      </w:pPr>
    </w:p>
    <w:p w14:paraId="5FA31234" w14:textId="77777777" w:rsidR="00DF5C34" w:rsidRDefault="00DF5C34">
      <w:pPr>
        <w:jc w:val="both"/>
        <w:rPr>
          <w:rFonts w:ascii="Arial" w:eastAsia="Arial" w:hAnsi="Arial" w:cs="Arial"/>
          <w:sz w:val="22"/>
          <w:szCs w:val="22"/>
        </w:rPr>
      </w:pPr>
    </w:p>
    <w:p w14:paraId="0000072F" w14:textId="77777777" w:rsidR="001C40B0" w:rsidRDefault="00291712">
      <w:pPr>
        <w:jc w:val="center"/>
        <w:rPr>
          <w:rFonts w:ascii="Arial" w:eastAsia="Arial" w:hAnsi="Arial" w:cs="Arial"/>
          <w:b/>
          <w:bCs/>
          <w:sz w:val="22"/>
          <w:szCs w:val="22"/>
        </w:rPr>
      </w:pPr>
      <w:r>
        <w:rPr>
          <w:rFonts w:ascii="Arial" w:eastAsia="Arial" w:hAnsi="Arial" w:cs="Arial"/>
          <w:b/>
          <w:bCs/>
          <w:sz w:val="22"/>
          <w:szCs w:val="22"/>
        </w:rPr>
        <w:t>TEXTO PROPUESTO PARA SEGUNDO DEBATE EN LA PLENARIA DE LA CÁMARA DE REPRESENTANTES AL PROYECTO DE LEY N.º 428 DE 2025 CÁMARA – 155 DE 2024 SENADO</w:t>
      </w:r>
    </w:p>
    <w:p w14:paraId="00000730" w14:textId="77777777" w:rsidR="001C40B0" w:rsidRDefault="001C40B0">
      <w:pPr>
        <w:jc w:val="both"/>
        <w:rPr>
          <w:rFonts w:ascii="Arial" w:eastAsia="Arial" w:hAnsi="Arial" w:cs="Arial"/>
          <w:sz w:val="22"/>
          <w:szCs w:val="22"/>
        </w:rPr>
      </w:pPr>
    </w:p>
    <w:p w14:paraId="00000731" w14:textId="132BE3FB" w:rsidR="001C40B0" w:rsidRDefault="00291712">
      <w:pPr>
        <w:jc w:val="center"/>
        <w:rPr>
          <w:rFonts w:ascii="Arial" w:eastAsia="Arial" w:hAnsi="Arial" w:cs="Arial"/>
          <w:b/>
          <w:bCs/>
          <w:sz w:val="22"/>
          <w:szCs w:val="22"/>
          <w:highlight w:val="white"/>
        </w:rPr>
      </w:pPr>
      <w:r>
        <w:rPr>
          <w:rFonts w:ascii="Arial" w:eastAsia="Arial" w:hAnsi="Arial" w:cs="Arial"/>
          <w:b/>
          <w:bCs/>
          <w:sz w:val="22"/>
          <w:szCs w:val="22"/>
          <w:highlight w:val="white"/>
        </w:rPr>
        <w:t xml:space="preserve">“Por medio de la cual se modifica la estructura nacional de donación, trasplante de órganos, tejidos, células y </w:t>
      </w:r>
      <w:r w:rsidR="00DF5C34">
        <w:rPr>
          <w:rFonts w:ascii="Arial" w:eastAsia="Arial" w:hAnsi="Arial" w:cs="Arial"/>
          <w:b/>
          <w:bCs/>
          <w:sz w:val="22"/>
          <w:szCs w:val="22"/>
          <w:highlight w:val="white"/>
        </w:rPr>
        <w:t>derivados, la</w:t>
      </w:r>
      <w:r>
        <w:rPr>
          <w:rFonts w:ascii="Arial" w:eastAsia="Arial" w:hAnsi="Arial" w:cs="Arial"/>
          <w:b/>
          <w:bCs/>
          <w:sz w:val="22"/>
          <w:szCs w:val="22"/>
          <w:highlight w:val="white"/>
        </w:rPr>
        <w:t xml:space="preserve"> Ley 9 de 1979, la Ley 1805 de 2016 y se dictan otras disposiciones”</w:t>
      </w:r>
    </w:p>
    <w:p w14:paraId="00000732" w14:textId="77777777" w:rsidR="001C40B0" w:rsidRDefault="001C40B0">
      <w:pPr>
        <w:jc w:val="center"/>
        <w:rPr>
          <w:rFonts w:ascii="Arial" w:eastAsia="Arial" w:hAnsi="Arial" w:cs="Arial"/>
          <w:b/>
          <w:bCs/>
          <w:sz w:val="22"/>
          <w:szCs w:val="22"/>
        </w:rPr>
      </w:pPr>
    </w:p>
    <w:p w14:paraId="00000733" w14:textId="77777777" w:rsidR="001C40B0" w:rsidRDefault="001C40B0">
      <w:pPr>
        <w:jc w:val="center"/>
        <w:rPr>
          <w:rFonts w:ascii="Arial" w:eastAsia="Arial" w:hAnsi="Arial" w:cs="Arial"/>
          <w:b/>
          <w:bCs/>
          <w:sz w:val="22"/>
          <w:szCs w:val="22"/>
        </w:rPr>
      </w:pPr>
    </w:p>
    <w:p w14:paraId="00000734" w14:textId="77777777" w:rsidR="001C40B0" w:rsidRDefault="00291712">
      <w:pPr>
        <w:jc w:val="center"/>
        <w:rPr>
          <w:rFonts w:ascii="Arial" w:eastAsia="Arial" w:hAnsi="Arial" w:cs="Arial"/>
          <w:b/>
          <w:bCs/>
          <w:sz w:val="22"/>
          <w:szCs w:val="22"/>
        </w:rPr>
      </w:pPr>
      <w:r>
        <w:rPr>
          <w:rFonts w:ascii="Arial" w:eastAsia="Arial" w:hAnsi="Arial" w:cs="Arial"/>
          <w:b/>
          <w:bCs/>
          <w:sz w:val="22"/>
          <w:szCs w:val="22"/>
        </w:rPr>
        <w:t xml:space="preserve">EL CONGRESO DE COLOMBIA </w:t>
      </w:r>
    </w:p>
    <w:p w14:paraId="00000735" w14:textId="77777777" w:rsidR="001C40B0" w:rsidRDefault="001C40B0">
      <w:pPr>
        <w:jc w:val="center"/>
        <w:rPr>
          <w:rFonts w:ascii="Arial" w:eastAsia="Arial" w:hAnsi="Arial" w:cs="Arial"/>
          <w:b/>
          <w:bCs/>
          <w:sz w:val="22"/>
          <w:szCs w:val="22"/>
        </w:rPr>
      </w:pPr>
    </w:p>
    <w:p w14:paraId="00000736" w14:textId="77777777" w:rsidR="001C40B0" w:rsidRDefault="00291712">
      <w:pPr>
        <w:jc w:val="center"/>
        <w:rPr>
          <w:rFonts w:ascii="Arial" w:eastAsia="Arial" w:hAnsi="Arial" w:cs="Arial"/>
          <w:b/>
          <w:bCs/>
          <w:sz w:val="22"/>
          <w:szCs w:val="22"/>
        </w:rPr>
      </w:pPr>
      <w:r>
        <w:rPr>
          <w:rFonts w:ascii="Arial" w:eastAsia="Arial" w:hAnsi="Arial" w:cs="Arial"/>
          <w:b/>
          <w:bCs/>
          <w:sz w:val="22"/>
          <w:szCs w:val="22"/>
        </w:rPr>
        <w:t xml:space="preserve">DECRETA </w:t>
      </w:r>
    </w:p>
    <w:p w14:paraId="00000737" w14:textId="77777777" w:rsidR="001C40B0" w:rsidRDefault="001C40B0">
      <w:pPr>
        <w:rPr>
          <w:rFonts w:ascii="Arial" w:eastAsia="Arial" w:hAnsi="Arial" w:cs="Arial"/>
          <w:sz w:val="22"/>
          <w:szCs w:val="22"/>
        </w:rPr>
      </w:pPr>
    </w:p>
    <w:p w14:paraId="00000738" w14:textId="77777777" w:rsidR="001C40B0" w:rsidRDefault="00291712">
      <w:pPr>
        <w:jc w:val="both"/>
        <w:rPr>
          <w:rFonts w:ascii="Arial" w:eastAsia="Arial" w:hAnsi="Arial" w:cs="Arial"/>
          <w:sz w:val="22"/>
          <w:szCs w:val="22"/>
        </w:rPr>
      </w:pPr>
      <w:r>
        <w:rPr>
          <w:rFonts w:ascii="Arial" w:eastAsia="Arial" w:hAnsi="Arial" w:cs="Arial"/>
          <w:b/>
          <w:bCs/>
          <w:sz w:val="22"/>
          <w:szCs w:val="22"/>
        </w:rPr>
        <w:t>ARTÍCULO 1. OBJETO.</w:t>
      </w:r>
      <w:r>
        <w:rPr>
          <w:rFonts w:ascii="Arial" w:eastAsia="Arial" w:hAnsi="Arial" w:cs="Arial"/>
          <w:sz w:val="22"/>
          <w:szCs w:val="22"/>
        </w:rPr>
        <w:t xml:space="preserve"> La presente ley tiene por objeto actualizar la normativa del sistema de donación de órganos y/o tejidos previsto en el artículo 542 de la Ley 9 de 1979, agregar algunas modificaciones a la Ley 1805 de 2016 y dictar otras disposiciones; para dar mayor claridad, seguridad jurídica y eficiencia, y a la luz de los avances científicos y tecnológicos, salvar muchas más vidas.</w:t>
      </w:r>
    </w:p>
    <w:p w14:paraId="00000739"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3A" w14:textId="77777777" w:rsidR="001C40B0" w:rsidRDefault="00291712">
      <w:pPr>
        <w:jc w:val="both"/>
        <w:rPr>
          <w:rFonts w:ascii="Arial" w:eastAsia="Arial" w:hAnsi="Arial" w:cs="Arial"/>
          <w:sz w:val="22"/>
          <w:szCs w:val="22"/>
        </w:rPr>
      </w:pPr>
      <w:r>
        <w:rPr>
          <w:rFonts w:ascii="Arial" w:eastAsia="Arial" w:hAnsi="Arial" w:cs="Arial"/>
          <w:sz w:val="22"/>
          <w:szCs w:val="22"/>
        </w:rPr>
        <w:t>Esta ley se interpretará y se aplicará con base en los principios de dignidad humana, autonomía de la voluntad, equidad y solidaridad.</w:t>
      </w:r>
    </w:p>
    <w:p w14:paraId="0000073B" w14:textId="77777777" w:rsidR="001C40B0" w:rsidRDefault="001C40B0">
      <w:pPr>
        <w:jc w:val="both"/>
        <w:rPr>
          <w:rFonts w:ascii="Arial" w:eastAsia="Arial" w:hAnsi="Arial" w:cs="Arial"/>
          <w:sz w:val="22"/>
          <w:szCs w:val="22"/>
        </w:rPr>
      </w:pPr>
    </w:p>
    <w:p w14:paraId="0000073C" w14:textId="77777777" w:rsidR="001C40B0" w:rsidRDefault="001C40B0">
      <w:pPr>
        <w:jc w:val="both"/>
        <w:rPr>
          <w:rFonts w:ascii="Arial" w:eastAsia="Arial" w:hAnsi="Arial" w:cs="Arial"/>
          <w:b/>
          <w:bCs/>
          <w:sz w:val="22"/>
          <w:szCs w:val="22"/>
        </w:rPr>
      </w:pPr>
    </w:p>
    <w:p w14:paraId="0000073D" w14:textId="77777777" w:rsidR="001C40B0" w:rsidRDefault="00291712">
      <w:pPr>
        <w:jc w:val="both"/>
        <w:rPr>
          <w:rFonts w:ascii="Arial" w:eastAsia="Arial" w:hAnsi="Arial" w:cs="Arial"/>
          <w:sz w:val="22"/>
          <w:szCs w:val="22"/>
        </w:rPr>
      </w:pPr>
      <w:r>
        <w:rPr>
          <w:rFonts w:ascii="Arial" w:eastAsia="Arial" w:hAnsi="Arial" w:cs="Arial"/>
          <w:b/>
          <w:bCs/>
          <w:sz w:val="22"/>
          <w:szCs w:val="22"/>
        </w:rPr>
        <w:t xml:space="preserve">ARTÍCULO 2. </w:t>
      </w:r>
      <w:r>
        <w:rPr>
          <w:rFonts w:ascii="Arial" w:eastAsia="Arial" w:hAnsi="Arial" w:cs="Arial"/>
          <w:sz w:val="22"/>
          <w:szCs w:val="22"/>
        </w:rPr>
        <w:t>Modifíquese el artículo 542 de la Ley 9ª de 1979, el cual quedará así:</w:t>
      </w:r>
    </w:p>
    <w:p w14:paraId="0000073E"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3F" w14:textId="77777777" w:rsidR="001C40B0" w:rsidRDefault="00291712">
      <w:pPr>
        <w:jc w:val="both"/>
        <w:rPr>
          <w:rFonts w:ascii="Arial" w:eastAsia="Arial" w:hAnsi="Arial" w:cs="Arial"/>
          <w:sz w:val="22"/>
          <w:szCs w:val="22"/>
        </w:rPr>
      </w:pPr>
      <w:r>
        <w:rPr>
          <w:rFonts w:ascii="Arial" w:eastAsia="Arial" w:hAnsi="Arial" w:cs="Arial"/>
          <w:b/>
          <w:bCs/>
          <w:sz w:val="22"/>
          <w:szCs w:val="22"/>
        </w:rPr>
        <w:t>ARTÍCULO 542.</w:t>
      </w:r>
      <w:r>
        <w:rPr>
          <w:rFonts w:ascii="Arial" w:eastAsia="Arial" w:hAnsi="Arial" w:cs="Arial"/>
          <w:sz w:val="22"/>
          <w:szCs w:val="22"/>
        </w:rPr>
        <w:t xml:space="preserve"> El Ministerio de Salud y Protección Social conforme a los criterios estandarizados de la Organización Mundial de la Salud (OMS) y convenios internacionales deberá:</w:t>
      </w:r>
    </w:p>
    <w:p w14:paraId="00000740"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41" w14:textId="77777777" w:rsidR="001C40B0" w:rsidRDefault="00291712">
      <w:pPr>
        <w:jc w:val="both"/>
        <w:rPr>
          <w:rFonts w:ascii="Arial" w:eastAsia="Arial" w:hAnsi="Arial" w:cs="Arial"/>
          <w:sz w:val="22"/>
          <w:szCs w:val="22"/>
        </w:rPr>
      </w:pPr>
      <w:r>
        <w:rPr>
          <w:rFonts w:ascii="Arial" w:eastAsia="Arial" w:hAnsi="Arial" w:cs="Arial"/>
          <w:sz w:val="22"/>
          <w:szCs w:val="22"/>
        </w:rPr>
        <w:t>a) Determinar y mantener actualizados, previa consulta a las sociedades científicas relacionadas con esta materia, los criterios para establecer la muerte encefálica o por cese irreversible de las funciones cardiorrespiratorias de un paciente.</w:t>
      </w:r>
    </w:p>
    <w:p w14:paraId="00000742"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43" w14:textId="77777777" w:rsidR="001C40B0" w:rsidRDefault="00291712">
      <w:pPr>
        <w:jc w:val="both"/>
        <w:rPr>
          <w:rFonts w:ascii="Arial" w:eastAsia="Arial" w:hAnsi="Arial" w:cs="Arial"/>
          <w:sz w:val="22"/>
          <w:szCs w:val="22"/>
        </w:rPr>
      </w:pPr>
      <w:r>
        <w:rPr>
          <w:rFonts w:ascii="Arial" w:eastAsia="Arial" w:hAnsi="Arial" w:cs="Arial"/>
          <w:sz w:val="22"/>
          <w:szCs w:val="22"/>
        </w:rPr>
        <w:t>b) Mantener actualizados los criterios que deberán ser constatados por quienes expidan el certificado de defunción.</w:t>
      </w:r>
    </w:p>
    <w:p w14:paraId="00000744" w14:textId="77777777" w:rsidR="001C40B0" w:rsidRDefault="00291712">
      <w:pPr>
        <w:jc w:val="both"/>
        <w:rPr>
          <w:rFonts w:ascii="Arial" w:eastAsia="Arial" w:hAnsi="Arial" w:cs="Arial"/>
          <w:b/>
          <w:bCs/>
          <w:sz w:val="22"/>
          <w:szCs w:val="22"/>
        </w:rPr>
      </w:pPr>
      <w:r>
        <w:rPr>
          <w:rFonts w:ascii="Arial" w:eastAsia="Arial" w:hAnsi="Arial" w:cs="Arial"/>
          <w:b/>
          <w:bCs/>
          <w:sz w:val="22"/>
          <w:szCs w:val="22"/>
        </w:rPr>
        <w:t xml:space="preserve"> </w:t>
      </w:r>
    </w:p>
    <w:p w14:paraId="00000745" w14:textId="77777777" w:rsidR="001C40B0" w:rsidRDefault="001C40B0">
      <w:pPr>
        <w:jc w:val="both"/>
        <w:rPr>
          <w:rFonts w:ascii="Arial" w:eastAsia="Arial" w:hAnsi="Arial" w:cs="Arial"/>
          <w:b/>
          <w:bCs/>
          <w:sz w:val="22"/>
          <w:szCs w:val="22"/>
        </w:rPr>
      </w:pPr>
    </w:p>
    <w:p w14:paraId="00000746" w14:textId="77777777" w:rsidR="001C40B0" w:rsidRDefault="00291712">
      <w:pPr>
        <w:jc w:val="both"/>
        <w:rPr>
          <w:rFonts w:ascii="Arial" w:eastAsia="Arial" w:hAnsi="Arial" w:cs="Arial"/>
          <w:sz w:val="22"/>
          <w:szCs w:val="22"/>
        </w:rPr>
      </w:pPr>
      <w:r>
        <w:rPr>
          <w:rFonts w:ascii="Arial" w:eastAsia="Arial" w:hAnsi="Arial" w:cs="Arial"/>
          <w:b/>
          <w:bCs/>
          <w:sz w:val="22"/>
          <w:szCs w:val="22"/>
        </w:rPr>
        <w:t>ARTÍCULO 3.</w:t>
      </w:r>
      <w:r>
        <w:rPr>
          <w:rFonts w:ascii="Arial" w:eastAsia="Arial" w:hAnsi="Arial" w:cs="Arial"/>
          <w:b/>
          <w:bCs/>
          <w:sz w:val="22"/>
          <w:szCs w:val="22"/>
          <w:highlight w:val="white"/>
        </w:rPr>
        <w:t xml:space="preserve"> </w:t>
      </w:r>
      <w:r>
        <w:rPr>
          <w:rFonts w:ascii="Arial" w:eastAsia="Arial" w:hAnsi="Arial" w:cs="Arial"/>
          <w:sz w:val="22"/>
          <w:szCs w:val="22"/>
        </w:rPr>
        <w:t>Modifíquese el artículo 6° de la Ley 1805 de 2016, el cual quedará así:</w:t>
      </w:r>
    </w:p>
    <w:p w14:paraId="00000747" w14:textId="77777777" w:rsidR="001C40B0" w:rsidRDefault="001C40B0">
      <w:pPr>
        <w:jc w:val="both"/>
        <w:rPr>
          <w:rFonts w:ascii="Arial" w:eastAsia="Arial" w:hAnsi="Arial" w:cs="Arial"/>
          <w:sz w:val="22"/>
          <w:szCs w:val="22"/>
        </w:rPr>
      </w:pPr>
    </w:p>
    <w:p w14:paraId="00000748" w14:textId="77777777" w:rsidR="001C40B0" w:rsidRDefault="00291712">
      <w:pPr>
        <w:jc w:val="both"/>
        <w:rPr>
          <w:rFonts w:ascii="Arial" w:eastAsia="Arial" w:hAnsi="Arial" w:cs="Arial"/>
          <w:sz w:val="22"/>
          <w:szCs w:val="22"/>
        </w:rPr>
      </w:pPr>
      <w:r>
        <w:rPr>
          <w:rFonts w:ascii="Arial" w:eastAsia="Arial" w:hAnsi="Arial" w:cs="Arial"/>
          <w:b/>
          <w:bCs/>
          <w:sz w:val="22"/>
          <w:szCs w:val="22"/>
        </w:rPr>
        <w:t>ARTÍCULO 6.</w:t>
      </w:r>
      <w:r>
        <w:rPr>
          <w:rFonts w:ascii="Arial" w:eastAsia="Arial" w:hAnsi="Arial" w:cs="Arial"/>
          <w:sz w:val="22"/>
          <w:szCs w:val="22"/>
        </w:rPr>
        <w:t xml:space="preserve"> Por lo menos una proporción equivalente al quince por ciento (15%) del presupuesto asignado a la pauta oficial de aquellas entidades del sector Salud tanto de la Rama Ejecutiva del orden nacional, departamental y municipal, como del Sector Descentralizado por Servicios, se destinará a promocionar la donación de órganos, tejidos y derivados y a explicar el alcance y naturaleza de la presunción legal de donación. Los proyectos, programas y/o actividades que se financien con estos recursos, deberán propender porque la donación y el trasplante de órganos, tejidos y derivados sea entendido como un acto </w:t>
      </w:r>
      <w:r>
        <w:rPr>
          <w:rFonts w:ascii="Arial" w:eastAsia="Arial" w:hAnsi="Arial" w:cs="Arial"/>
          <w:sz w:val="22"/>
          <w:szCs w:val="22"/>
        </w:rPr>
        <w:lastRenderedPageBreak/>
        <w:t>enteramente voluntario, difundir el Registro Nacional de Donantes y la opción de manifestar la voluntad negativa a la donación. Lo anterior, sin perjuicio de la inversión que pueda promoverse por parte de los organismos e instituciones privadas.</w:t>
      </w:r>
    </w:p>
    <w:p w14:paraId="00000749" w14:textId="77777777" w:rsidR="001C40B0" w:rsidRDefault="001C40B0">
      <w:pPr>
        <w:jc w:val="both"/>
        <w:rPr>
          <w:rFonts w:ascii="Arial" w:eastAsia="Arial" w:hAnsi="Arial" w:cs="Arial"/>
          <w:sz w:val="22"/>
          <w:szCs w:val="22"/>
        </w:rPr>
      </w:pPr>
    </w:p>
    <w:p w14:paraId="0000074A" w14:textId="77777777" w:rsidR="001C40B0" w:rsidRDefault="00291712">
      <w:pPr>
        <w:rPr>
          <w:rFonts w:ascii="Arial" w:eastAsia="Arial" w:hAnsi="Arial" w:cs="Arial"/>
          <w:sz w:val="22"/>
          <w:szCs w:val="22"/>
        </w:rPr>
      </w:pPr>
      <w:r>
        <w:rPr>
          <w:rFonts w:ascii="Arial" w:eastAsia="Arial" w:hAnsi="Arial" w:cs="Arial"/>
          <w:b/>
          <w:bCs/>
          <w:sz w:val="22"/>
          <w:szCs w:val="22"/>
        </w:rPr>
        <w:t xml:space="preserve">PARÁGRAFO: </w:t>
      </w:r>
      <w:r>
        <w:rPr>
          <w:rFonts w:ascii="Arial" w:eastAsia="Arial" w:hAnsi="Arial" w:cs="Arial"/>
          <w:sz w:val="22"/>
          <w:szCs w:val="22"/>
        </w:rPr>
        <w:t>El Ministerio de Salud y Protección Social deberá publicar anualmente en su página web oficial un informe de las inversiones de las campañas realizadas y el impacto alcanzado en número de donantes y trasplantes en Colombia.</w:t>
      </w:r>
    </w:p>
    <w:p w14:paraId="0000074B" w14:textId="77777777" w:rsidR="001C40B0" w:rsidRDefault="001C40B0">
      <w:pPr>
        <w:jc w:val="both"/>
        <w:rPr>
          <w:rFonts w:ascii="Arial" w:eastAsia="Arial" w:hAnsi="Arial" w:cs="Arial"/>
          <w:b/>
          <w:bCs/>
          <w:sz w:val="22"/>
          <w:szCs w:val="22"/>
        </w:rPr>
      </w:pPr>
    </w:p>
    <w:p w14:paraId="0000074C" w14:textId="77777777" w:rsidR="001C40B0" w:rsidRDefault="00291712">
      <w:pPr>
        <w:spacing w:before="240"/>
        <w:jc w:val="both"/>
        <w:rPr>
          <w:rFonts w:ascii="Arial" w:eastAsia="Arial" w:hAnsi="Arial" w:cs="Arial"/>
          <w:sz w:val="22"/>
          <w:szCs w:val="22"/>
        </w:rPr>
      </w:pPr>
      <w:r>
        <w:rPr>
          <w:rFonts w:ascii="Arial" w:eastAsia="Arial" w:hAnsi="Arial" w:cs="Arial"/>
          <w:b/>
          <w:bCs/>
          <w:sz w:val="22"/>
          <w:szCs w:val="22"/>
        </w:rPr>
        <w:t xml:space="preserve">ARTÍCULO 4. </w:t>
      </w:r>
      <w:r>
        <w:rPr>
          <w:rFonts w:ascii="Arial" w:eastAsia="Arial" w:hAnsi="Arial" w:cs="Arial"/>
          <w:sz w:val="22"/>
          <w:szCs w:val="22"/>
        </w:rPr>
        <w:t>Modifíquese el artículo 8° de la Ley 1805 de 2016, el cual quedará así:</w:t>
      </w:r>
    </w:p>
    <w:p w14:paraId="0000074D" w14:textId="77777777" w:rsidR="001C40B0" w:rsidRDefault="001C40B0">
      <w:pPr>
        <w:jc w:val="both"/>
        <w:rPr>
          <w:rFonts w:ascii="Arial" w:eastAsia="Arial" w:hAnsi="Arial" w:cs="Arial"/>
          <w:sz w:val="22"/>
          <w:szCs w:val="22"/>
        </w:rPr>
      </w:pPr>
    </w:p>
    <w:p w14:paraId="0000074E" w14:textId="77777777" w:rsidR="001C40B0" w:rsidRDefault="00291712">
      <w:pPr>
        <w:jc w:val="both"/>
        <w:rPr>
          <w:rFonts w:ascii="Arial" w:eastAsia="Arial" w:hAnsi="Arial" w:cs="Arial"/>
          <w:sz w:val="22"/>
          <w:szCs w:val="22"/>
        </w:rPr>
      </w:pPr>
      <w:r>
        <w:rPr>
          <w:rFonts w:ascii="Arial" w:eastAsia="Arial" w:hAnsi="Arial" w:cs="Arial"/>
          <w:b/>
          <w:bCs/>
          <w:sz w:val="22"/>
          <w:szCs w:val="22"/>
        </w:rPr>
        <w:t xml:space="preserve">ARTÍCULO 8. </w:t>
      </w:r>
      <w:r>
        <w:rPr>
          <w:rFonts w:ascii="Arial" w:eastAsia="Arial" w:hAnsi="Arial" w:cs="Arial"/>
          <w:sz w:val="22"/>
          <w:szCs w:val="22"/>
        </w:rPr>
        <w:t>Las Instituciones Prestadoras de Salud (IPS), deberán contar con los recursos humanos, tecnológicos, formativos, éticos y técnicos idóneos con el fin de detectar en tiempo real a los posibles donantes de acuerdo con los criterios y competencias que establezca el Instituto Nacional de Salud (INS), o quien haga sus veces.</w:t>
      </w:r>
    </w:p>
    <w:p w14:paraId="0000074F" w14:textId="77777777" w:rsidR="001C40B0" w:rsidRDefault="001C40B0">
      <w:pPr>
        <w:jc w:val="both"/>
        <w:rPr>
          <w:rFonts w:ascii="Arial" w:eastAsia="Arial" w:hAnsi="Arial" w:cs="Arial"/>
          <w:sz w:val="22"/>
          <w:szCs w:val="22"/>
        </w:rPr>
      </w:pPr>
    </w:p>
    <w:p w14:paraId="00000750" w14:textId="77777777" w:rsidR="001C40B0" w:rsidRDefault="00291712">
      <w:pPr>
        <w:jc w:val="both"/>
        <w:rPr>
          <w:rFonts w:ascii="Arial" w:eastAsia="Arial" w:hAnsi="Arial" w:cs="Arial"/>
          <w:sz w:val="22"/>
          <w:szCs w:val="22"/>
        </w:rPr>
      </w:pPr>
      <w:r>
        <w:rPr>
          <w:rFonts w:ascii="Arial" w:eastAsia="Arial" w:hAnsi="Arial" w:cs="Arial"/>
          <w:sz w:val="22"/>
          <w:szCs w:val="22"/>
        </w:rPr>
        <w:t>Las Instituciones Prestadoras de Salud (IPS), de Nivel II con Unidad de Cuidados Intensivos (UCI) y las Instituciones Prestadoras de Salud (IPS), de Nivel III y IV, deberán contar con los recursos humanos, tecnológicos, formativos, éticos y técnicos necesarios para realizar el diagnóstico de la muerte y el mantenimiento del donante hasta su rescate. Para tal fin, deberán contar con médicos coordinadores operativos. Igualmente, podrán disponer de la participación de otros profesionales de la salud para apoyar la comunicación del diagnóstico de muerte a los familiares</w:t>
      </w:r>
      <w:r>
        <w:rPr>
          <w:rFonts w:ascii="Arial" w:eastAsia="Arial" w:hAnsi="Arial" w:cs="Arial"/>
          <w:b/>
          <w:bCs/>
          <w:sz w:val="22"/>
          <w:szCs w:val="22"/>
        </w:rPr>
        <w:t>.</w:t>
      </w:r>
      <w:r>
        <w:rPr>
          <w:rFonts w:ascii="Arial" w:eastAsia="Arial" w:hAnsi="Arial" w:cs="Arial"/>
          <w:sz w:val="22"/>
          <w:szCs w:val="22"/>
        </w:rPr>
        <w:t xml:space="preserve"> Estos recursos serán un requisito de habilitación.</w:t>
      </w:r>
    </w:p>
    <w:p w14:paraId="00000751" w14:textId="77777777" w:rsidR="001C40B0" w:rsidRDefault="001C40B0">
      <w:pPr>
        <w:jc w:val="both"/>
        <w:rPr>
          <w:rFonts w:ascii="Arial" w:eastAsia="Arial" w:hAnsi="Arial" w:cs="Arial"/>
          <w:sz w:val="22"/>
          <w:szCs w:val="22"/>
        </w:rPr>
      </w:pPr>
    </w:p>
    <w:p w14:paraId="00000752" w14:textId="77777777" w:rsidR="001C40B0" w:rsidRDefault="00291712">
      <w:pPr>
        <w:jc w:val="both"/>
        <w:rPr>
          <w:rFonts w:ascii="Arial" w:eastAsia="Arial" w:hAnsi="Arial" w:cs="Arial"/>
          <w:sz w:val="22"/>
          <w:szCs w:val="22"/>
        </w:rPr>
      </w:pPr>
      <w:r>
        <w:rPr>
          <w:rFonts w:ascii="Arial" w:eastAsia="Arial" w:hAnsi="Arial" w:cs="Arial"/>
          <w:sz w:val="22"/>
          <w:szCs w:val="22"/>
        </w:rPr>
        <w:t>Las disposiciones previstas en este artículo se aplicarán de acuerdo con los lineamientos establecidos por el Instituto Nacional de Salud (INS), o quien haga sus veces.</w:t>
      </w:r>
    </w:p>
    <w:p w14:paraId="00000753"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54" w14:textId="77777777" w:rsidR="001C40B0" w:rsidRDefault="00291712">
      <w:pPr>
        <w:jc w:val="both"/>
        <w:rPr>
          <w:rFonts w:ascii="Arial" w:eastAsia="Arial" w:hAnsi="Arial" w:cs="Arial"/>
          <w:sz w:val="22"/>
          <w:szCs w:val="22"/>
        </w:rPr>
      </w:pPr>
      <w:r>
        <w:rPr>
          <w:rFonts w:ascii="Arial" w:eastAsia="Arial" w:hAnsi="Arial" w:cs="Arial"/>
          <w:sz w:val="22"/>
          <w:szCs w:val="22"/>
        </w:rPr>
        <w:t>La auditoría de estos procedimientos estará a cargo del Instituto Nacional de Salud (INS), o quien haga sus veces, quien podrá delegar dicha función en las coordinaciones regionales de la Red de Donación y Trasplantes.</w:t>
      </w:r>
    </w:p>
    <w:p w14:paraId="00000755" w14:textId="77777777" w:rsidR="001C40B0" w:rsidRDefault="001C40B0">
      <w:pPr>
        <w:jc w:val="both"/>
        <w:rPr>
          <w:rFonts w:ascii="Arial" w:eastAsia="Arial" w:hAnsi="Arial" w:cs="Arial"/>
          <w:sz w:val="22"/>
          <w:szCs w:val="22"/>
        </w:rPr>
      </w:pPr>
    </w:p>
    <w:p w14:paraId="00000756" w14:textId="77777777" w:rsidR="001C40B0" w:rsidRDefault="00291712">
      <w:pPr>
        <w:jc w:val="both"/>
        <w:rPr>
          <w:rFonts w:ascii="Arial" w:eastAsia="Arial" w:hAnsi="Arial" w:cs="Arial"/>
          <w:sz w:val="22"/>
          <w:szCs w:val="22"/>
        </w:rPr>
      </w:pPr>
      <w:r>
        <w:rPr>
          <w:rFonts w:ascii="Arial" w:eastAsia="Arial" w:hAnsi="Arial" w:cs="Arial"/>
          <w:b/>
          <w:bCs/>
          <w:sz w:val="22"/>
          <w:szCs w:val="22"/>
        </w:rPr>
        <w:t xml:space="preserve">PARÁGRAFO 1. </w:t>
      </w:r>
      <w:r>
        <w:rPr>
          <w:rFonts w:ascii="Arial" w:eastAsia="Arial" w:hAnsi="Arial" w:cs="Arial"/>
          <w:sz w:val="22"/>
          <w:szCs w:val="22"/>
        </w:rPr>
        <w:t>El Ministerio de Salud y Protección Social podrá otorgar recursos técnicos y financieros a las Instituciones Prestadoras de Salud (IPS), que lo requieran para cumplir con las disposiciones de este Esto será reglamentado y tendrá un carácter transitorio.</w:t>
      </w:r>
    </w:p>
    <w:p w14:paraId="00000757" w14:textId="77777777" w:rsidR="001C40B0" w:rsidRDefault="001C40B0">
      <w:pPr>
        <w:jc w:val="both"/>
        <w:rPr>
          <w:rFonts w:ascii="Arial" w:eastAsia="Arial" w:hAnsi="Arial" w:cs="Arial"/>
          <w:sz w:val="22"/>
          <w:szCs w:val="22"/>
        </w:rPr>
      </w:pPr>
    </w:p>
    <w:p w14:paraId="00000758" w14:textId="77777777" w:rsidR="001C40B0" w:rsidRDefault="00291712">
      <w:pPr>
        <w:jc w:val="both"/>
        <w:rPr>
          <w:rFonts w:ascii="Arial" w:eastAsia="Arial" w:hAnsi="Arial" w:cs="Arial"/>
          <w:sz w:val="22"/>
          <w:szCs w:val="22"/>
        </w:rPr>
      </w:pPr>
      <w:r>
        <w:rPr>
          <w:rFonts w:ascii="Arial" w:eastAsia="Arial" w:hAnsi="Arial" w:cs="Arial"/>
          <w:b/>
          <w:bCs/>
          <w:sz w:val="22"/>
          <w:szCs w:val="22"/>
        </w:rPr>
        <w:t>PARÁGRAFO 2.</w:t>
      </w:r>
      <w:r>
        <w:rPr>
          <w:rFonts w:ascii="Arial" w:eastAsia="Arial" w:hAnsi="Arial" w:cs="Arial"/>
          <w:sz w:val="22"/>
          <w:szCs w:val="22"/>
        </w:rPr>
        <w:t xml:space="preserve"> El Gobierno reglamentará lo relativo a este artículo en un plazo no mayor a seis (6) meses, contados a partir de la entrada en vigencia de la presente Ley.</w:t>
      </w:r>
    </w:p>
    <w:p w14:paraId="00000759" w14:textId="77777777" w:rsidR="001C40B0" w:rsidRDefault="00291712">
      <w:pPr>
        <w:spacing w:after="160"/>
        <w:jc w:val="both"/>
        <w:rPr>
          <w:rFonts w:ascii="Arial" w:eastAsia="Arial" w:hAnsi="Arial" w:cs="Arial"/>
          <w:b/>
          <w:bCs/>
          <w:sz w:val="22"/>
          <w:szCs w:val="22"/>
        </w:rPr>
      </w:pPr>
      <w:r>
        <w:rPr>
          <w:rFonts w:ascii="Arial" w:eastAsia="Arial" w:hAnsi="Arial" w:cs="Arial"/>
          <w:b/>
          <w:bCs/>
          <w:sz w:val="22"/>
          <w:szCs w:val="22"/>
        </w:rPr>
        <w:t xml:space="preserve"> </w:t>
      </w:r>
    </w:p>
    <w:p w14:paraId="0000075A" w14:textId="77777777" w:rsidR="001C40B0" w:rsidRDefault="00291712">
      <w:pPr>
        <w:spacing w:after="160"/>
        <w:jc w:val="both"/>
        <w:rPr>
          <w:rFonts w:ascii="Arial" w:eastAsia="Arial" w:hAnsi="Arial" w:cs="Arial"/>
          <w:sz w:val="22"/>
          <w:szCs w:val="22"/>
        </w:rPr>
      </w:pPr>
      <w:r>
        <w:rPr>
          <w:rFonts w:ascii="Arial" w:eastAsia="Arial" w:hAnsi="Arial" w:cs="Arial"/>
          <w:b/>
          <w:bCs/>
          <w:sz w:val="22"/>
          <w:szCs w:val="22"/>
        </w:rPr>
        <w:t xml:space="preserve">ARTÍCULO 5. </w:t>
      </w:r>
      <w:r>
        <w:rPr>
          <w:rFonts w:ascii="Arial" w:eastAsia="Arial" w:hAnsi="Arial" w:cs="Arial"/>
          <w:sz w:val="22"/>
          <w:szCs w:val="22"/>
        </w:rPr>
        <w:t>Modifíquese el artículo 15° de la Ley 1805 de 2016, el cual quedará así:</w:t>
      </w:r>
    </w:p>
    <w:p w14:paraId="0000075B" w14:textId="77777777" w:rsidR="001C40B0" w:rsidRDefault="00291712">
      <w:pPr>
        <w:spacing w:after="160"/>
        <w:jc w:val="both"/>
        <w:rPr>
          <w:rFonts w:ascii="Arial" w:eastAsia="Arial" w:hAnsi="Arial" w:cs="Arial"/>
          <w:sz w:val="22"/>
          <w:szCs w:val="22"/>
        </w:rPr>
      </w:pPr>
      <w:r>
        <w:rPr>
          <w:rFonts w:ascii="Arial" w:eastAsia="Arial" w:hAnsi="Arial" w:cs="Arial"/>
          <w:b/>
          <w:bCs/>
          <w:sz w:val="22"/>
          <w:szCs w:val="22"/>
        </w:rPr>
        <w:t xml:space="preserve">ARTÍCULO 15. </w:t>
      </w:r>
      <w:r>
        <w:rPr>
          <w:rFonts w:ascii="Arial" w:eastAsia="Arial" w:hAnsi="Arial" w:cs="Arial"/>
          <w:sz w:val="22"/>
          <w:szCs w:val="22"/>
        </w:rPr>
        <w:t>Los menores de edad podrán ser donantes de órganos, tejidos y derivados, siempre y cuando sus representantes legales expresen su consentimiento informado para tal fin después de su fallecimiento, en los términos descritos en el literal a) del Artículo 542 de la Ley 9 de 1979.</w:t>
      </w:r>
    </w:p>
    <w:p w14:paraId="0000075C" w14:textId="77777777" w:rsidR="001C40B0" w:rsidRDefault="00291712">
      <w:pPr>
        <w:spacing w:after="160"/>
        <w:jc w:val="both"/>
        <w:rPr>
          <w:rFonts w:ascii="Arial" w:eastAsia="Arial" w:hAnsi="Arial" w:cs="Arial"/>
          <w:sz w:val="22"/>
          <w:szCs w:val="22"/>
        </w:rPr>
      </w:pPr>
      <w:r>
        <w:rPr>
          <w:rFonts w:ascii="Arial" w:eastAsia="Arial" w:hAnsi="Arial" w:cs="Arial"/>
          <w:sz w:val="22"/>
          <w:szCs w:val="22"/>
        </w:rPr>
        <w:t>El médico coordinador operativo de trasplantes deberá informarles sus derechos y los beneficios de la donación a los representantes del menor.</w:t>
      </w:r>
    </w:p>
    <w:p w14:paraId="0000075D" w14:textId="77777777" w:rsidR="001C40B0" w:rsidRDefault="001C40B0">
      <w:pPr>
        <w:spacing w:after="160"/>
        <w:jc w:val="both"/>
        <w:rPr>
          <w:rFonts w:ascii="Arial" w:eastAsia="Arial" w:hAnsi="Arial" w:cs="Arial"/>
          <w:sz w:val="22"/>
          <w:szCs w:val="22"/>
        </w:rPr>
      </w:pPr>
    </w:p>
    <w:p w14:paraId="0000075E" w14:textId="77777777" w:rsidR="001C40B0" w:rsidRDefault="00291712">
      <w:pPr>
        <w:spacing w:before="240"/>
        <w:jc w:val="both"/>
        <w:rPr>
          <w:rFonts w:ascii="Arial" w:eastAsia="Arial" w:hAnsi="Arial" w:cs="Arial"/>
          <w:sz w:val="22"/>
          <w:szCs w:val="22"/>
        </w:rPr>
      </w:pPr>
      <w:r>
        <w:rPr>
          <w:rFonts w:ascii="Arial" w:eastAsia="Arial" w:hAnsi="Arial" w:cs="Arial"/>
          <w:b/>
          <w:bCs/>
          <w:sz w:val="22"/>
          <w:szCs w:val="22"/>
        </w:rPr>
        <w:lastRenderedPageBreak/>
        <w:t>ARTÍCULO 6. COMPONENTE EDUCATIVO.</w:t>
      </w:r>
      <w:r>
        <w:rPr>
          <w:rFonts w:ascii="Arial" w:eastAsia="Arial" w:hAnsi="Arial" w:cs="Arial"/>
          <w:sz w:val="22"/>
          <w:szCs w:val="22"/>
        </w:rPr>
        <w:t xml:space="preserve"> Las Instituciones de Educación Superior podrán incluir en los programas académicos que versen sobre las diferentes áreas de la salud y bienestar, la formación técnica, legal, ética y psicosocial necesaria en los procedimientos de donación y trasplante de órganos, tejidos y derivados, bajo los parámetros técnicos y legales vigentes.</w:t>
      </w:r>
    </w:p>
    <w:p w14:paraId="0000075F"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60" w14:textId="77777777" w:rsidR="001C40B0" w:rsidRDefault="00291712">
      <w:pPr>
        <w:jc w:val="both"/>
        <w:rPr>
          <w:rFonts w:ascii="Arial" w:eastAsia="Arial" w:hAnsi="Arial" w:cs="Arial"/>
          <w:sz w:val="22"/>
          <w:szCs w:val="22"/>
        </w:rPr>
      </w:pPr>
      <w:r>
        <w:rPr>
          <w:rFonts w:ascii="Arial" w:eastAsia="Arial" w:hAnsi="Arial" w:cs="Arial"/>
          <w:sz w:val="22"/>
          <w:szCs w:val="22"/>
        </w:rPr>
        <w:t>Las instituciones prestadoras de salud (IPS), los pagadores y las EPS o quien haga sus veces, deberán incluir programas de educación y difusión de la normatividad y procesos operativos de donación y trasplante dirigido a sus trabajadores, colaboradores y afiliados.</w:t>
      </w:r>
    </w:p>
    <w:p w14:paraId="00000761" w14:textId="77777777" w:rsidR="001C40B0" w:rsidRDefault="00291712">
      <w:pPr>
        <w:spacing w:after="160"/>
        <w:jc w:val="both"/>
        <w:rPr>
          <w:rFonts w:ascii="Arial" w:eastAsia="Arial" w:hAnsi="Arial" w:cs="Arial"/>
          <w:sz w:val="22"/>
          <w:szCs w:val="22"/>
        </w:rPr>
      </w:pPr>
      <w:r>
        <w:rPr>
          <w:rFonts w:ascii="Arial" w:eastAsia="Arial" w:hAnsi="Arial" w:cs="Arial"/>
          <w:sz w:val="22"/>
          <w:szCs w:val="22"/>
        </w:rPr>
        <w:br/>
        <w:t xml:space="preserve"> El Ministerio de Salud y Protección Social deberá realizar capacitaciones o actualizaciones en materia de donación de órganos, tejidos y derivados para las Instituciones de Educación Superior y particulares interesados, con medición de impacto a nivel nacional y regional.</w:t>
      </w:r>
    </w:p>
    <w:p w14:paraId="00000762"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763" w14:textId="77777777" w:rsidR="001C40B0" w:rsidRDefault="00291712">
      <w:pPr>
        <w:jc w:val="both"/>
        <w:rPr>
          <w:rFonts w:ascii="Arial" w:eastAsia="Arial" w:hAnsi="Arial" w:cs="Arial"/>
          <w:sz w:val="22"/>
          <w:szCs w:val="22"/>
        </w:rPr>
      </w:pPr>
      <w:r>
        <w:rPr>
          <w:rFonts w:ascii="Arial" w:eastAsia="Arial" w:hAnsi="Arial" w:cs="Arial"/>
          <w:b/>
          <w:bCs/>
          <w:sz w:val="22"/>
          <w:szCs w:val="22"/>
        </w:rPr>
        <w:t>ARTÍCULO 7. FORMACIÓN DE LOS COORDINADORES DE TRASPLANTES EN LA GESTIÓN OPERATIVA DE LA DONACIÓN.</w:t>
      </w:r>
      <w:r>
        <w:rPr>
          <w:rFonts w:ascii="Arial" w:eastAsia="Arial" w:hAnsi="Arial" w:cs="Arial"/>
          <w:sz w:val="22"/>
          <w:szCs w:val="22"/>
        </w:rPr>
        <w:t xml:space="preserve"> El Instituto Nacional de Salud (INS), o quien haga sus veces, será el encargado de definir los contenidos de formación de los Coordinadores Operativos de Trasplantes en Colombia, con base en los cuales los certificará.</w:t>
      </w:r>
    </w:p>
    <w:p w14:paraId="00000764" w14:textId="77777777" w:rsidR="001C40B0" w:rsidRDefault="00291712">
      <w:pPr>
        <w:spacing w:after="160"/>
        <w:jc w:val="both"/>
        <w:rPr>
          <w:rFonts w:ascii="Arial" w:eastAsia="Arial" w:hAnsi="Arial" w:cs="Arial"/>
          <w:sz w:val="22"/>
          <w:szCs w:val="22"/>
        </w:rPr>
      </w:pPr>
      <w:r>
        <w:rPr>
          <w:rFonts w:ascii="Arial" w:eastAsia="Arial" w:hAnsi="Arial" w:cs="Arial"/>
          <w:sz w:val="22"/>
          <w:szCs w:val="22"/>
        </w:rPr>
        <w:br/>
        <w:t xml:space="preserve"> El proceso de certificación se llevará a cabo mediante mecanismos que, en cualquier caso, garanticen la disponibilidad continua y permanente de opciones de certificación por parte del Instituto Nacional de Salud (INS), o quien haga sus veces. Dicha formación será </w:t>
      </w:r>
      <w:r>
        <w:rPr>
          <w:rFonts w:ascii="Arial" w:eastAsia="Arial" w:hAnsi="Arial" w:cs="Arial"/>
          <w:sz w:val="22"/>
          <w:szCs w:val="22"/>
          <w:highlight w:val="white"/>
        </w:rPr>
        <w:t>impartida</w:t>
      </w:r>
      <w:r>
        <w:rPr>
          <w:rFonts w:ascii="Arial" w:eastAsia="Arial" w:hAnsi="Arial" w:cs="Arial"/>
          <w:sz w:val="22"/>
          <w:szCs w:val="22"/>
        </w:rPr>
        <w:t xml:space="preserve"> directamente por el Instituto Nacional de Salud (INS), o quien haga sus veces, o a través de alianzas con terceros autorizados por éste y deberá asegurar un tiempo mínimo de formación teórica y práctica para los profesionales de la salud objeto de certificación.</w:t>
      </w:r>
    </w:p>
    <w:p w14:paraId="00000765" w14:textId="77777777" w:rsidR="001C40B0" w:rsidRDefault="00291712">
      <w:pPr>
        <w:jc w:val="both"/>
        <w:rPr>
          <w:rFonts w:ascii="Arial" w:eastAsia="Arial" w:hAnsi="Arial" w:cs="Arial"/>
          <w:b/>
          <w:bCs/>
          <w:sz w:val="22"/>
          <w:szCs w:val="22"/>
        </w:rPr>
      </w:pPr>
      <w:r>
        <w:rPr>
          <w:rFonts w:ascii="Arial" w:eastAsia="Arial" w:hAnsi="Arial" w:cs="Arial"/>
          <w:b/>
          <w:bCs/>
          <w:sz w:val="22"/>
          <w:szCs w:val="22"/>
        </w:rPr>
        <w:t xml:space="preserve"> </w:t>
      </w:r>
    </w:p>
    <w:p w14:paraId="00000766" w14:textId="77777777" w:rsidR="001C40B0" w:rsidRDefault="00291712">
      <w:pPr>
        <w:jc w:val="both"/>
        <w:rPr>
          <w:rFonts w:ascii="Arial" w:eastAsia="Arial" w:hAnsi="Arial" w:cs="Arial"/>
          <w:sz w:val="22"/>
          <w:szCs w:val="22"/>
        </w:rPr>
      </w:pPr>
      <w:r>
        <w:rPr>
          <w:rFonts w:ascii="Arial" w:eastAsia="Arial" w:hAnsi="Arial" w:cs="Arial"/>
          <w:b/>
          <w:bCs/>
          <w:sz w:val="22"/>
          <w:szCs w:val="22"/>
        </w:rPr>
        <w:t>ARTÍCULO 8. PROCEDIMIENTO EN CASO DE MUERTE POR PARADA CIRCULATORIA Y RESPIRATORIA IRREVERSIBLE Y MUERTE NEUROLÓGICA.</w:t>
      </w:r>
      <w:r>
        <w:rPr>
          <w:rFonts w:ascii="Arial" w:eastAsia="Arial" w:hAnsi="Arial" w:cs="Arial"/>
          <w:sz w:val="22"/>
          <w:szCs w:val="22"/>
        </w:rPr>
        <w:t xml:space="preserve"> El Ministerio de Salud y</w:t>
      </w:r>
      <w:r>
        <w:rPr>
          <w:rFonts w:ascii="Arial" w:eastAsia="Arial" w:hAnsi="Arial" w:cs="Arial"/>
          <w:b/>
          <w:bCs/>
          <w:sz w:val="22"/>
          <w:szCs w:val="22"/>
        </w:rPr>
        <w:t xml:space="preserve"> </w:t>
      </w:r>
      <w:r>
        <w:rPr>
          <w:rFonts w:ascii="Arial" w:eastAsia="Arial" w:hAnsi="Arial" w:cs="Arial"/>
          <w:sz w:val="22"/>
          <w:szCs w:val="22"/>
        </w:rPr>
        <w:t>Protección Social en coordinación con el Instituto Nacional de Salud (INS), o quien haga sus veces, expedirá</w:t>
      </w:r>
      <w:r>
        <w:rPr>
          <w:rFonts w:ascii="Arial" w:eastAsia="Arial" w:hAnsi="Arial" w:cs="Arial"/>
          <w:b/>
          <w:bCs/>
          <w:sz w:val="22"/>
          <w:szCs w:val="22"/>
        </w:rPr>
        <w:t xml:space="preserve"> </w:t>
      </w:r>
      <w:r>
        <w:rPr>
          <w:rFonts w:ascii="Arial" w:eastAsia="Arial" w:hAnsi="Arial" w:cs="Arial"/>
          <w:sz w:val="22"/>
          <w:szCs w:val="22"/>
        </w:rPr>
        <w:t>los procedimientos y criterios de detección, evaluación, mantenimiento y</w:t>
      </w:r>
      <w:r>
        <w:rPr>
          <w:rFonts w:ascii="Arial" w:eastAsia="Arial" w:hAnsi="Arial" w:cs="Arial"/>
          <w:b/>
          <w:bCs/>
          <w:sz w:val="22"/>
          <w:szCs w:val="22"/>
        </w:rPr>
        <w:t xml:space="preserve"> </w:t>
      </w:r>
      <w:r>
        <w:rPr>
          <w:rFonts w:ascii="Arial" w:eastAsia="Arial" w:hAnsi="Arial" w:cs="Arial"/>
          <w:sz w:val="22"/>
          <w:szCs w:val="22"/>
        </w:rPr>
        <w:t>extracción de órganos, tejidos y derivados de donantes fallecidos, así como la forma en</w:t>
      </w:r>
      <w:r>
        <w:rPr>
          <w:rFonts w:ascii="Arial" w:eastAsia="Arial" w:hAnsi="Arial" w:cs="Arial"/>
          <w:b/>
          <w:bCs/>
          <w:sz w:val="22"/>
          <w:szCs w:val="22"/>
        </w:rPr>
        <w:t xml:space="preserve"> </w:t>
      </w:r>
      <w:r>
        <w:rPr>
          <w:rFonts w:ascii="Arial" w:eastAsia="Arial" w:hAnsi="Arial" w:cs="Arial"/>
          <w:sz w:val="22"/>
          <w:szCs w:val="22"/>
        </w:rPr>
        <w:t>que se adelantarán las campañas de concientización de la población y se fortalecerá la formación del personal de salud, garantizando el pleno respeto por la dignidad humana y la inviolabilidad del derecho a la vida.</w:t>
      </w:r>
    </w:p>
    <w:p w14:paraId="00000767"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68" w14:textId="77777777" w:rsidR="001C40B0" w:rsidRDefault="00291712">
      <w:pPr>
        <w:jc w:val="both"/>
        <w:rPr>
          <w:rFonts w:ascii="Arial" w:eastAsia="Arial" w:hAnsi="Arial" w:cs="Arial"/>
          <w:sz w:val="22"/>
          <w:szCs w:val="22"/>
        </w:rPr>
      </w:pPr>
      <w:r>
        <w:rPr>
          <w:rFonts w:ascii="Arial" w:eastAsia="Arial" w:hAnsi="Arial" w:cs="Arial"/>
          <w:sz w:val="22"/>
          <w:szCs w:val="22"/>
        </w:rPr>
        <w:t>Estos protocolos deberán garantizar que el cuerpo médico lleve a cabo todos los esfuerzos de reanimación del paciente en vida. La certificación de la muerte deberá realizarse de acuerdo a los estándares médicos vigentes.</w:t>
      </w:r>
    </w:p>
    <w:p w14:paraId="00000769"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6A" w14:textId="77777777" w:rsidR="001C40B0" w:rsidRDefault="00291712">
      <w:pPr>
        <w:jc w:val="both"/>
        <w:rPr>
          <w:rFonts w:ascii="Arial" w:eastAsia="Arial" w:hAnsi="Arial" w:cs="Arial"/>
          <w:sz w:val="22"/>
          <w:szCs w:val="22"/>
        </w:rPr>
      </w:pPr>
      <w:r>
        <w:rPr>
          <w:rFonts w:ascii="Arial" w:eastAsia="Arial" w:hAnsi="Arial" w:cs="Arial"/>
          <w:sz w:val="22"/>
          <w:szCs w:val="22"/>
        </w:rPr>
        <w:t>El procedimiento de donación de órganos, tejidos y derivados  bajo protocolos de asistolia se podrá llevar a cabo siempre y cuando la decisión de realizar dicho procedimiento haya sido tomada de forma independiente, ética y médica, en beneficio exclusivo del paciente. Para tales efectos, se deberá garantizar que la familia sea informada plenamente del estado del paciente.</w:t>
      </w:r>
    </w:p>
    <w:p w14:paraId="0000076B"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6C" w14:textId="77777777" w:rsidR="001C40B0" w:rsidRDefault="00291712">
      <w:pPr>
        <w:jc w:val="both"/>
        <w:rPr>
          <w:rFonts w:ascii="Arial" w:eastAsia="Arial" w:hAnsi="Arial" w:cs="Arial"/>
          <w:sz w:val="22"/>
          <w:szCs w:val="22"/>
        </w:rPr>
      </w:pPr>
      <w:r>
        <w:rPr>
          <w:rFonts w:ascii="Arial" w:eastAsia="Arial" w:hAnsi="Arial" w:cs="Arial"/>
          <w:sz w:val="22"/>
          <w:szCs w:val="22"/>
        </w:rPr>
        <w:lastRenderedPageBreak/>
        <w:t>La extracción de órganos o tejidos sólo podrá realizarse tras la certificación plena, por un equipo médico independiente del equipo que certifica la muerte, del fallecimiento del paciente en condiciones de certeza biológica absoluta de acuerdo a los estándares científicos vigentes.</w:t>
      </w:r>
    </w:p>
    <w:p w14:paraId="0000076D"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6E" w14:textId="77777777" w:rsidR="001C40B0" w:rsidRDefault="00291712">
      <w:pPr>
        <w:jc w:val="both"/>
        <w:rPr>
          <w:rFonts w:ascii="Arial" w:eastAsia="Arial" w:hAnsi="Arial" w:cs="Arial"/>
          <w:sz w:val="22"/>
          <w:szCs w:val="22"/>
        </w:rPr>
      </w:pPr>
      <w:r>
        <w:rPr>
          <w:rFonts w:ascii="Arial" w:eastAsia="Arial" w:hAnsi="Arial" w:cs="Arial"/>
          <w:sz w:val="22"/>
          <w:szCs w:val="22"/>
        </w:rPr>
        <w:t>El Ministerio de Salud y Protección Social reglamentará los protocolos, procedimientos y criterios establecidos en el presente artículo en un plazo no mayor a seis (6) meses, contados a partir de la entrada en vigencia de la presente ley. Para tal fin, deberá contar con la participación de sociedades científicas, expertos en bioética y representantes de asociaciones defensoras de la vida y derechos humanos.</w:t>
      </w:r>
    </w:p>
    <w:p w14:paraId="0000076F" w14:textId="77777777" w:rsidR="001C40B0" w:rsidRDefault="001C40B0">
      <w:pPr>
        <w:spacing w:after="160"/>
        <w:jc w:val="both"/>
        <w:rPr>
          <w:rFonts w:ascii="Arial" w:eastAsia="Arial" w:hAnsi="Arial" w:cs="Arial"/>
          <w:sz w:val="22"/>
          <w:szCs w:val="22"/>
        </w:rPr>
      </w:pPr>
    </w:p>
    <w:p w14:paraId="00000770" w14:textId="77777777" w:rsidR="001C40B0" w:rsidRDefault="00291712">
      <w:pPr>
        <w:spacing w:after="160"/>
        <w:jc w:val="both"/>
        <w:rPr>
          <w:rFonts w:ascii="Arial" w:eastAsia="Arial" w:hAnsi="Arial" w:cs="Arial"/>
          <w:sz w:val="22"/>
          <w:szCs w:val="22"/>
        </w:rPr>
      </w:pPr>
      <w:r>
        <w:rPr>
          <w:rFonts w:ascii="Arial" w:eastAsia="Arial" w:hAnsi="Arial" w:cs="Arial"/>
          <w:b/>
          <w:bCs/>
          <w:sz w:val="22"/>
          <w:szCs w:val="22"/>
        </w:rPr>
        <w:t>Parágrafo.</w:t>
      </w:r>
      <w:r>
        <w:rPr>
          <w:rFonts w:ascii="Arial" w:eastAsia="Arial" w:hAnsi="Arial" w:cs="Arial"/>
          <w:sz w:val="22"/>
          <w:szCs w:val="22"/>
        </w:rPr>
        <w:t xml:space="preserve"> En ningún caso la donación de órganos y/o tejidos con fines de trasplante podrá usarse como justificación para conllevar a la terminación de la vida.</w:t>
      </w:r>
    </w:p>
    <w:p w14:paraId="00000771"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772" w14:textId="77777777" w:rsidR="001C40B0" w:rsidRDefault="00291712">
      <w:pPr>
        <w:jc w:val="both"/>
        <w:rPr>
          <w:rFonts w:ascii="Arial" w:eastAsia="Arial" w:hAnsi="Arial" w:cs="Arial"/>
          <w:sz w:val="22"/>
          <w:szCs w:val="22"/>
        </w:rPr>
      </w:pPr>
      <w:r>
        <w:rPr>
          <w:rFonts w:ascii="Arial" w:eastAsia="Arial" w:hAnsi="Arial" w:cs="Arial"/>
          <w:b/>
          <w:bCs/>
          <w:sz w:val="22"/>
          <w:szCs w:val="22"/>
        </w:rPr>
        <w:t>ARTÍCULO 9.  FUNCIONAMIENTO Y FINANCIACIÓN DE LA RED DE DONACIÓN Y</w:t>
      </w:r>
      <w:r>
        <w:rPr>
          <w:rFonts w:ascii="Arial" w:eastAsia="Arial" w:hAnsi="Arial" w:cs="Arial"/>
          <w:sz w:val="22"/>
          <w:szCs w:val="22"/>
        </w:rPr>
        <w:t xml:space="preserve"> </w:t>
      </w:r>
      <w:r>
        <w:rPr>
          <w:rFonts w:ascii="Arial" w:eastAsia="Arial" w:hAnsi="Arial" w:cs="Arial"/>
          <w:b/>
          <w:bCs/>
          <w:sz w:val="22"/>
          <w:szCs w:val="22"/>
        </w:rPr>
        <w:t xml:space="preserve">TRASPLANTES. </w:t>
      </w:r>
      <w:r>
        <w:rPr>
          <w:rFonts w:ascii="Arial" w:eastAsia="Arial" w:hAnsi="Arial" w:cs="Arial"/>
          <w:sz w:val="22"/>
          <w:szCs w:val="22"/>
        </w:rPr>
        <w:t>Las funciones de la Red de Donación y Trasplantes a nivel departamental serán definidas por el Instituto Nacional de Salud (INS), o por quien haga sus veces.</w:t>
      </w:r>
    </w:p>
    <w:p w14:paraId="00000773"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74" w14:textId="77777777" w:rsidR="001C40B0" w:rsidRDefault="00291712">
      <w:pPr>
        <w:jc w:val="both"/>
        <w:rPr>
          <w:rFonts w:ascii="Arial" w:eastAsia="Arial" w:hAnsi="Arial" w:cs="Arial"/>
          <w:sz w:val="22"/>
          <w:szCs w:val="22"/>
        </w:rPr>
      </w:pPr>
      <w:r>
        <w:rPr>
          <w:rFonts w:ascii="Arial" w:eastAsia="Arial" w:hAnsi="Arial" w:cs="Arial"/>
          <w:sz w:val="22"/>
          <w:szCs w:val="22"/>
        </w:rPr>
        <w:t>Las funciones del nivel departamental, incluidas la auditoría, la organización y el funcionamiento de la Red de Donación y Trasplantes, serán definidas por el Instituto Nacional de Salud (INS), o quien haga sus veces.</w:t>
      </w:r>
      <w:r>
        <w:rPr>
          <w:rFonts w:ascii="Arial" w:eastAsia="Arial" w:hAnsi="Arial" w:cs="Arial"/>
          <w:strike/>
          <w:sz w:val="22"/>
          <w:szCs w:val="22"/>
        </w:rPr>
        <w:t xml:space="preserve"> </w:t>
      </w:r>
      <w:r>
        <w:rPr>
          <w:rFonts w:ascii="Arial" w:eastAsia="Arial" w:hAnsi="Arial" w:cs="Arial"/>
          <w:sz w:val="22"/>
          <w:szCs w:val="22"/>
        </w:rPr>
        <w:t>Dichas funciones deberán ser asumidas por las secretarías de salud en el marco de sus competencias, autonomía y capacidades institucionales. El financiamiento de las actividades de promoción a la donación deberá, además, fortalecerse a través de los planes de intervenciones colectivas a nivel departamental, sin perjuicio de la concurrencia de recursos del nivel nacional. En todo caso, el Instituto Nacional de Salud (INS), o quien haga sus veces y la Superintendencia Nacional de Salud vigilarán y controlarán el funcionamiento adecuado de las coordinaciones departamentales.</w:t>
      </w:r>
    </w:p>
    <w:p w14:paraId="00000775"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76" w14:textId="77777777" w:rsidR="001C40B0" w:rsidRDefault="00291712">
      <w:pPr>
        <w:jc w:val="both"/>
        <w:rPr>
          <w:rFonts w:ascii="Arial" w:eastAsia="Arial" w:hAnsi="Arial" w:cs="Arial"/>
          <w:sz w:val="22"/>
          <w:szCs w:val="22"/>
        </w:rPr>
      </w:pPr>
      <w:r>
        <w:rPr>
          <w:rFonts w:ascii="Arial" w:eastAsia="Arial" w:hAnsi="Arial" w:cs="Arial"/>
          <w:sz w:val="22"/>
          <w:szCs w:val="22"/>
        </w:rPr>
        <w:t>Las secretarías de salud municipales, departamentales y distritales, en coordinación con la Red de Donación y Trasplantes, en el marco de su</w:t>
      </w:r>
    </w:p>
    <w:p w14:paraId="00000777" w14:textId="77777777" w:rsidR="001C40B0" w:rsidRDefault="00291712">
      <w:pPr>
        <w:jc w:val="both"/>
        <w:rPr>
          <w:rFonts w:ascii="Arial" w:eastAsia="Arial" w:hAnsi="Arial" w:cs="Arial"/>
          <w:sz w:val="22"/>
          <w:szCs w:val="22"/>
        </w:rPr>
      </w:pPr>
      <w:r>
        <w:rPr>
          <w:rFonts w:ascii="Arial" w:eastAsia="Arial" w:hAnsi="Arial" w:cs="Arial"/>
          <w:sz w:val="22"/>
          <w:szCs w:val="22"/>
        </w:rPr>
        <w:t>autonomía y disponibilidad de recursos, aportarán sus capacidades logísticas de comunicación, software y transporte para la gestión del trasplante de órganos, tejidos y derivados y designarán una coordinación encargada de esta gestión. En los lugares donde no exista dicha coordinación, se deberá contar con al menos un funcionario encargado de esta función.</w:t>
      </w:r>
    </w:p>
    <w:p w14:paraId="00000778"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79" w14:textId="77777777" w:rsidR="001C40B0" w:rsidRDefault="00291712">
      <w:pPr>
        <w:jc w:val="both"/>
        <w:rPr>
          <w:rFonts w:ascii="Arial" w:eastAsia="Arial" w:hAnsi="Arial" w:cs="Arial"/>
          <w:sz w:val="22"/>
          <w:szCs w:val="22"/>
        </w:rPr>
      </w:pPr>
      <w:r>
        <w:rPr>
          <w:rFonts w:ascii="Arial" w:eastAsia="Arial" w:hAnsi="Arial" w:cs="Arial"/>
          <w:sz w:val="22"/>
          <w:szCs w:val="22"/>
        </w:rPr>
        <w:t>La certificación y vigilancia de los bancos de tejidos estarán a cargo del Instituto Nacional de Vigilancia de Medicamentos y Alimentos (INVIMA) o quien haga sus veces, de acuerdo con la reglamentación que expida el Ministerio de Salud y Protección Social en la materia. El Instituto Nacional de Salud (INS), o quien haga sus veces, deberá coordinar con el INVIMA las acciones necesarias para fortalecer la donación, vigilancia, el seguimiento, distribución y demás aspectos de calidad para el uso de tejidos en Colombia y la aplicación de los reglamentos técnicos que expida el Ministerio de Salud y Protección Social sobre la materia.</w:t>
      </w:r>
    </w:p>
    <w:p w14:paraId="0000077A" w14:textId="77777777" w:rsidR="001C40B0" w:rsidRDefault="00291712">
      <w:pPr>
        <w:spacing w:after="160"/>
        <w:jc w:val="both"/>
        <w:rPr>
          <w:rFonts w:ascii="Arial" w:eastAsia="Arial" w:hAnsi="Arial" w:cs="Arial"/>
          <w:sz w:val="22"/>
          <w:szCs w:val="22"/>
        </w:rPr>
      </w:pPr>
      <w:r>
        <w:rPr>
          <w:rFonts w:ascii="Arial" w:eastAsia="Arial" w:hAnsi="Arial" w:cs="Arial"/>
          <w:sz w:val="22"/>
          <w:szCs w:val="22"/>
        </w:rPr>
        <w:br/>
        <w:t xml:space="preserve">El Departamento Nacional de Planeación deberá presentar anualmente al Congreso de la República, un informe ejecutivo sobre el comportamiento de los recursos asignados a los proyectos de inversión y los recursos propios asignados al Instituto Nacional de Salud INS, o </w:t>
      </w:r>
      <w:r>
        <w:rPr>
          <w:rFonts w:ascii="Arial" w:eastAsia="Arial" w:hAnsi="Arial" w:cs="Arial"/>
          <w:sz w:val="22"/>
          <w:szCs w:val="22"/>
        </w:rPr>
        <w:lastRenderedPageBreak/>
        <w:t>quien haga sus veces (para garantizar el cumplimiento de las funciones dispuestas en la presente Ley y sus actos reglamentarios.</w:t>
      </w:r>
    </w:p>
    <w:p w14:paraId="0000077B" w14:textId="77777777" w:rsidR="001C40B0" w:rsidRDefault="001C40B0">
      <w:pPr>
        <w:jc w:val="both"/>
        <w:rPr>
          <w:rFonts w:ascii="Arial" w:eastAsia="Arial" w:hAnsi="Arial" w:cs="Arial"/>
          <w:sz w:val="22"/>
          <w:szCs w:val="22"/>
        </w:rPr>
      </w:pPr>
    </w:p>
    <w:p w14:paraId="0000077C" w14:textId="77777777" w:rsidR="001C40B0" w:rsidRDefault="00291712">
      <w:pPr>
        <w:jc w:val="both"/>
        <w:rPr>
          <w:rFonts w:ascii="Arial" w:eastAsia="Arial" w:hAnsi="Arial" w:cs="Arial"/>
          <w:sz w:val="22"/>
          <w:szCs w:val="22"/>
        </w:rPr>
      </w:pPr>
      <w:r>
        <w:rPr>
          <w:rFonts w:ascii="Arial" w:eastAsia="Arial" w:hAnsi="Arial" w:cs="Arial"/>
          <w:b/>
          <w:bCs/>
          <w:sz w:val="22"/>
          <w:szCs w:val="22"/>
        </w:rPr>
        <w:t xml:space="preserve">ARTÍCULO 10. SISTEMA DE INFORMACIÓN NACIONAL. </w:t>
      </w:r>
      <w:r>
        <w:rPr>
          <w:rFonts w:ascii="Arial" w:eastAsia="Arial" w:hAnsi="Arial" w:cs="Arial"/>
          <w:sz w:val="22"/>
          <w:szCs w:val="22"/>
        </w:rPr>
        <w:t>El Ministerio de Salud y Protección Social o quien haga sus veces, será el responsable de crear, administrar, actualizar y garantizar la articulación del Sistema de Información Nacional de la Red de Donación y Trasplantes con el Sistema Integral de Información de la Protección Social – SISPRO, en el marco de sus competencias y funciones de rectoría del sector salud.</w:t>
      </w:r>
    </w:p>
    <w:p w14:paraId="0000077D"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7E" w14:textId="77777777" w:rsidR="001C40B0" w:rsidRDefault="00291712">
      <w:pPr>
        <w:jc w:val="both"/>
        <w:rPr>
          <w:rFonts w:ascii="Arial" w:eastAsia="Arial" w:hAnsi="Arial" w:cs="Arial"/>
          <w:sz w:val="22"/>
          <w:szCs w:val="22"/>
        </w:rPr>
      </w:pPr>
      <w:r>
        <w:rPr>
          <w:rFonts w:ascii="Arial" w:eastAsia="Arial" w:hAnsi="Arial" w:cs="Arial"/>
          <w:sz w:val="22"/>
          <w:szCs w:val="22"/>
        </w:rPr>
        <w:t>Cada entidad de la red y ente territorial deberá integrarse al sistema de información nacional a través de un software al cual tendrán acceso las Instituciones Prestadoras de Salud (IPS), trasplantadoras y generadoras que realizan trasplantes, los Bancos de Tejidos, los laboratorios de inmunología, las EPS, o quien haga sus veces, las coordinaciones departamentales y todos los demás actores que el Instituto Nacional de Salud (INS), o quien haga sus veces, considere pertinente. El sistema de información deberá proveer información pública actualizada en tiempo real, garantizando la protección de los datos personales en cumplimiento de la Ley Estatutaria 1581 de 2012 y demás normas concordantes.</w:t>
      </w:r>
    </w:p>
    <w:p w14:paraId="0000077F"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80" w14:textId="77777777" w:rsidR="001C40B0" w:rsidRDefault="00291712">
      <w:pPr>
        <w:jc w:val="both"/>
        <w:rPr>
          <w:rFonts w:ascii="Arial" w:eastAsia="Arial" w:hAnsi="Arial" w:cs="Arial"/>
          <w:sz w:val="22"/>
          <w:szCs w:val="22"/>
        </w:rPr>
      </w:pPr>
      <w:r>
        <w:rPr>
          <w:rFonts w:ascii="Arial" w:eastAsia="Arial" w:hAnsi="Arial" w:cs="Arial"/>
          <w:sz w:val="22"/>
          <w:szCs w:val="22"/>
        </w:rPr>
        <w:t>El Ministerio de Salud y Protección Social garantizará la articulación del Sistema de Información Nacional de la Red de Donación y Trasplantes con el SISPRO.</w:t>
      </w:r>
    </w:p>
    <w:p w14:paraId="00000781" w14:textId="77777777" w:rsidR="001C40B0" w:rsidRDefault="00291712">
      <w:pPr>
        <w:spacing w:after="160"/>
        <w:jc w:val="both"/>
        <w:rPr>
          <w:rFonts w:ascii="Arial" w:eastAsia="Arial" w:hAnsi="Arial" w:cs="Arial"/>
          <w:sz w:val="22"/>
          <w:szCs w:val="22"/>
        </w:rPr>
      </w:pPr>
      <w:r>
        <w:rPr>
          <w:rFonts w:ascii="Arial" w:eastAsia="Arial" w:hAnsi="Arial" w:cs="Arial"/>
          <w:sz w:val="22"/>
          <w:szCs w:val="22"/>
        </w:rPr>
        <w:br/>
      </w:r>
      <w:r>
        <w:rPr>
          <w:rFonts w:ascii="Arial" w:eastAsia="Arial" w:hAnsi="Arial" w:cs="Arial"/>
          <w:b/>
          <w:bCs/>
          <w:sz w:val="22"/>
          <w:szCs w:val="22"/>
        </w:rPr>
        <w:t>Parágrafo 1</w:t>
      </w:r>
      <w:r>
        <w:rPr>
          <w:rFonts w:ascii="Arial" w:eastAsia="Arial" w:hAnsi="Arial" w:cs="Arial"/>
          <w:sz w:val="22"/>
          <w:szCs w:val="22"/>
        </w:rPr>
        <w:t>. El Ministerio de Salud y Protección Social, en coordinación con el Instituto Nacional de Salud (INS), o quien haga sus veces, garantizará la protección del tratamiento de los datos personales, de conformidad con la Ley 1581 de 2012, o las normas que la modifiquen, adicionen o sustituyan, y los lineamientos establecidos en la presente ley.</w:t>
      </w:r>
    </w:p>
    <w:p w14:paraId="00000782" w14:textId="77777777" w:rsidR="001C40B0" w:rsidRDefault="001C40B0">
      <w:pPr>
        <w:spacing w:after="160"/>
        <w:jc w:val="both"/>
        <w:rPr>
          <w:rFonts w:ascii="Arial" w:eastAsia="Arial" w:hAnsi="Arial" w:cs="Arial"/>
          <w:sz w:val="22"/>
          <w:szCs w:val="22"/>
        </w:rPr>
      </w:pPr>
    </w:p>
    <w:p w14:paraId="00000783" w14:textId="77777777" w:rsidR="001C40B0" w:rsidRDefault="00291712">
      <w:pPr>
        <w:jc w:val="both"/>
        <w:rPr>
          <w:rFonts w:ascii="Arial" w:eastAsia="Arial" w:hAnsi="Arial" w:cs="Arial"/>
          <w:b/>
          <w:bCs/>
          <w:sz w:val="22"/>
          <w:szCs w:val="22"/>
        </w:rPr>
      </w:pPr>
      <w:r>
        <w:rPr>
          <w:rFonts w:ascii="Arial" w:eastAsia="Arial" w:hAnsi="Arial" w:cs="Arial"/>
          <w:b/>
          <w:bCs/>
          <w:sz w:val="22"/>
          <w:szCs w:val="22"/>
        </w:rPr>
        <w:t>ARTÍCULO 11. DISTRIBUCIÓN Y ASIGNACIÓN DE ÓRGANOS, TEJIDOS, CÉLULAS Y DERIVADOS.</w:t>
      </w:r>
    </w:p>
    <w:p w14:paraId="00000784"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785" w14:textId="77777777" w:rsidR="001C40B0" w:rsidRDefault="00291712">
      <w:pPr>
        <w:jc w:val="both"/>
        <w:rPr>
          <w:rFonts w:ascii="Arial" w:eastAsia="Arial" w:hAnsi="Arial" w:cs="Arial"/>
          <w:sz w:val="22"/>
          <w:szCs w:val="22"/>
        </w:rPr>
      </w:pPr>
      <w:r>
        <w:rPr>
          <w:rFonts w:ascii="Arial" w:eastAsia="Arial" w:hAnsi="Arial" w:cs="Arial"/>
          <w:sz w:val="22"/>
          <w:szCs w:val="22"/>
        </w:rPr>
        <w:t>Los criterios de distribución y asignación para los posibles receptores de los órganos, tejidos, células y derivados serán establecidos por el Instituto Nacional de Salud (INS) o quien haga sus veces, los cuales serán formulados con participación de una comisión de expertos. La Lista de Espera deberá ser nacional, cumpliendo con la reglamentación sobre tratamiento de datos personales aplicable.</w:t>
      </w:r>
    </w:p>
    <w:p w14:paraId="00000786"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87" w14:textId="77777777" w:rsidR="001C40B0" w:rsidRDefault="00291712">
      <w:pPr>
        <w:jc w:val="both"/>
        <w:rPr>
          <w:rFonts w:ascii="Arial" w:eastAsia="Arial" w:hAnsi="Arial" w:cs="Arial"/>
          <w:sz w:val="22"/>
          <w:szCs w:val="22"/>
        </w:rPr>
      </w:pPr>
      <w:r>
        <w:rPr>
          <w:rFonts w:ascii="Arial" w:eastAsia="Arial" w:hAnsi="Arial" w:cs="Arial"/>
          <w:sz w:val="22"/>
          <w:szCs w:val="22"/>
        </w:rPr>
        <w:t>Habrá una Comisión de Expertos por cada órgano y tejido. Cada comisión estará integrada por representantes de todas las instituciones trasplantadoras y generadoras del respectivo órgano, de los bancos de tejidos, de la Asociación Colombiana de Trasplante de Órganos, de la Asociación Colombiana de Banco de Tejidos, y dos representantes del Instituto Nacional de Salud (INS) o quien haga sus veces. El Ministerio de Salud y Protección Social podrá designar un delegado para participar en las sesiones y discusiones de la Comisión de Expertos. Dicho delegado deberá contar con formación, experiencia y conocimientos técnico científicos en la materia.</w:t>
      </w:r>
    </w:p>
    <w:p w14:paraId="00000788"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89" w14:textId="77777777" w:rsidR="001C40B0" w:rsidRDefault="00291712">
      <w:pPr>
        <w:jc w:val="both"/>
        <w:rPr>
          <w:rFonts w:ascii="Arial" w:eastAsia="Arial" w:hAnsi="Arial" w:cs="Arial"/>
          <w:sz w:val="22"/>
          <w:szCs w:val="22"/>
        </w:rPr>
      </w:pPr>
      <w:r>
        <w:rPr>
          <w:rFonts w:ascii="Arial" w:eastAsia="Arial" w:hAnsi="Arial" w:cs="Arial"/>
          <w:sz w:val="22"/>
          <w:szCs w:val="22"/>
        </w:rPr>
        <w:lastRenderedPageBreak/>
        <w:t>La Comisión de Expertos emitirá recomendaciones técnicas dirigidas al Instituto Nacional de Salud, las Secretarías de Salud y el Ministerio de Salud y Protección Social, con el fin de fortalecer el Sistema Nacional de Donación y Trasplante.</w:t>
      </w:r>
    </w:p>
    <w:p w14:paraId="0000078A"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8B" w14:textId="77777777" w:rsidR="001C40B0" w:rsidRDefault="00291712">
      <w:pPr>
        <w:jc w:val="both"/>
        <w:rPr>
          <w:rFonts w:ascii="Arial" w:eastAsia="Arial" w:hAnsi="Arial" w:cs="Arial"/>
          <w:sz w:val="22"/>
          <w:szCs w:val="22"/>
        </w:rPr>
      </w:pPr>
      <w:r>
        <w:rPr>
          <w:rFonts w:ascii="Arial" w:eastAsia="Arial" w:hAnsi="Arial" w:cs="Arial"/>
          <w:sz w:val="22"/>
          <w:szCs w:val="22"/>
        </w:rPr>
        <w:t>Instituto Nacional de Salud (INS), o quien haga sus veces, definirá la organización y funcionamiento de la Comisión de Expertos dentro de los seis (6) meses siguientes a la promulgación de la presente ley, para lo cual podrá establecer subcomisiones diferenciadas, según el órgano o tejido de que se trate.</w:t>
      </w:r>
    </w:p>
    <w:p w14:paraId="0000078C"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8D" w14:textId="77777777" w:rsidR="001C40B0" w:rsidRDefault="00291712">
      <w:pPr>
        <w:jc w:val="both"/>
        <w:rPr>
          <w:rFonts w:ascii="Arial" w:eastAsia="Arial" w:hAnsi="Arial" w:cs="Arial"/>
          <w:sz w:val="22"/>
          <w:szCs w:val="22"/>
        </w:rPr>
      </w:pPr>
      <w:r>
        <w:rPr>
          <w:rFonts w:ascii="Arial" w:eastAsia="Arial" w:hAnsi="Arial" w:cs="Arial"/>
          <w:sz w:val="22"/>
          <w:szCs w:val="22"/>
        </w:rPr>
        <w:t>Dentro de los criterios de asignación y distribución deberá prevalecer el beneficio esperado del trasplante para cada paciente, de conformidad con las guías y consensos actualizados por el Instituto Nacional de Salud (INS), o quien haga sus veces, con base en la evidencia científica disponible. Con base en lo anterior, el paciente que, de acuerdo con criterios objetivos estandarizados, presente el mayor beneficio esperado del trasplante, tendrá prioridad en la asignación.</w:t>
      </w:r>
    </w:p>
    <w:p w14:paraId="0000078E"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8F" w14:textId="77777777" w:rsidR="001C40B0" w:rsidRDefault="00291712">
      <w:pPr>
        <w:jc w:val="both"/>
        <w:rPr>
          <w:rFonts w:ascii="Arial" w:eastAsia="Arial" w:hAnsi="Arial" w:cs="Arial"/>
          <w:sz w:val="22"/>
          <w:szCs w:val="22"/>
        </w:rPr>
      </w:pPr>
      <w:r>
        <w:rPr>
          <w:rFonts w:ascii="Arial" w:eastAsia="Arial" w:hAnsi="Arial" w:cs="Arial"/>
          <w:sz w:val="22"/>
          <w:szCs w:val="22"/>
        </w:rPr>
        <w:t>El Instituto Nacional de Salud (INS), o quien haga sus veces, podrá revisar y actualizar los criterios de asignación y distribución de órganos, tejidos, células y derivados cuando lo estime conveniente, cuando lo solicite una parte interesada, o cuando se produzcan cambios relevantes en las guías clínicas internacionales aplicables a la asignación de órganos o tejidos.</w:t>
      </w:r>
    </w:p>
    <w:p w14:paraId="00000790" w14:textId="77777777" w:rsidR="001C40B0" w:rsidRDefault="00291712">
      <w:pPr>
        <w:spacing w:after="160"/>
        <w:jc w:val="both"/>
        <w:rPr>
          <w:rFonts w:ascii="Arial" w:eastAsia="Arial" w:hAnsi="Arial" w:cs="Arial"/>
          <w:sz w:val="22"/>
          <w:szCs w:val="22"/>
        </w:rPr>
      </w:pPr>
      <w:r>
        <w:rPr>
          <w:rFonts w:ascii="Arial" w:eastAsia="Arial" w:hAnsi="Arial" w:cs="Arial"/>
          <w:sz w:val="22"/>
          <w:szCs w:val="22"/>
        </w:rPr>
        <w:br/>
      </w:r>
      <w:r>
        <w:rPr>
          <w:rFonts w:ascii="Arial" w:eastAsia="Arial" w:hAnsi="Arial" w:cs="Arial"/>
          <w:b/>
          <w:bCs/>
          <w:sz w:val="22"/>
          <w:szCs w:val="22"/>
        </w:rPr>
        <w:t>Parágrafo 1.</w:t>
      </w:r>
      <w:r>
        <w:rPr>
          <w:rFonts w:ascii="Arial" w:eastAsia="Arial" w:hAnsi="Arial" w:cs="Arial"/>
          <w:sz w:val="22"/>
          <w:szCs w:val="22"/>
        </w:rPr>
        <w:t xml:space="preserve"> Lo previsto en este artículo se desarrollará de acuerdo a la disponibilidad presupuestal con la que cuente el Instituto Nacional de Salud (INS), o quien haga sus veces.</w:t>
      </w:r>
    </w:p>
    <w:p w14:paraId="00000791" w14:textId="77777777" w:rsidR="001C40B0" w:rsidRDefault="001C40B0">
      <w:pPr>
        <w:spacing w:after="160"/>
        <w:jc w:val="both"/>
        <w:rPr>
          <w:rFonts w:ascii="Arial" w:eastAsia="Arial" w:hAnsi="Arial" w:cs="Arial"/>
          <w:sz w:val="22"/>
          <w:szCs w:val="22"/>
        </w:rPr>
      </w:pPr>
    </w:p>
    <w:p w14:paraId="00000792" w14:textId="77777777" w:rsidR="001C40B0" w:rsidRDefault="00291712">
      <w:pPr>
        <w:jc w:val="both"/>
        <w:rPr>
          <w:rFonts w:ascii="Arial" w:eastAsia="Arial" w:hAnsi="Arial" w:cs="Arial"/>
          <w:sz w:val="22"/>
          <w:szCs w:val="22"/>
        </w:rPr>
      </w:pPr>
      <w:r>
        <w:rPr>
          <w:rFonts w:ascii="Arial" w:eastAsia="Arial" w:hAnsi="Arial" w:cs="Arial"/>
          <w:b/>
          <w:bCs/>
          <w:sz w:val="22"/>
          <w:szCs w:val="22"/>
        </w:rPr>
        <w:t>ARTÍCULO 12. MODELO INTEGRADO DE</w:t>
      </w:r>
      <w:r>
        <w:rPr>
          <w:rFonts w:ascii="Arial" w:eastAsia="Arial" w:hAnsi="Arial" w:cs="Arial"/>
          <w:b/>
          <w:bCs/>
          <w:sz w:val="22"/>
          <w:szCs w:val="22"/>
          <w:u w:val="single"/>
        </w:rPr>
        <w:t xml:space="preserve"> </w:t>
      </w:r>
      <w:r>
        <w:rPr>
          <w:rFonts w:ascii="Arial" w:eastAsia="Arial" w:hAnsi="Arial" w:cs="Arial"/>
          <w:b/>
          <w:bCs/>
          <w:sz w:val="22"/>
          <w:szCs w:val="22"/>
        </w:rPr>
        <w:t>GESTIÓN OPERATIVA DE LA DONACIÓN.</w:t>
      </w:r>
      <w:r>
        <w:rPr>
          <w:rFonts w:ascii="Arial" w:eastAsia="Arial" w:hAnsi="Arial" w:cs="Arial"/>
          <w:sz w:val="22"/>
          <w:szCs w:val="22"/>
        </w:rPr>
        <w:t xml:space="preserve"> A partir de la promulgación de la presente Ley, se establece en Colombia el modelo integrado de gestión operativa de donación. El modelo podrá implementarse de forma intrahospitalaria y extrahospitalaria, a través de unidades de gestión operativa de la donación. El Ministerio de Salud y Protección Social expedirá los requisitos de funcionamiento del modelo, dentro de los seis (6) meses siguientes a la fecha de promulgación de la presente ley, mediante la reglamentación de los requisitos de habilitación de servicios de salud. Para ello, contará con el apoyo técnico del Instituto Nacional de Salud (INS), o quien haga sus veces y de la Comisión de Expertos que exista por cada órgano y tejido.</w:t>
      </w:r>
    </w:p>
    <w:p w14:paraId="00000793"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94" w14:textId="77777777" w:rsidR="001C40B0" w:rsidRDefault="00291712">
      <w:pPr>
        <w:jc w:val="both"/>
        <w:rPr>
          <w:rFonts w:ascii="Arial" w:eastAsia="Arial" w:hAnsi="Arial" w:cs="Arial"/>
          <w:sz w:val="22"/>
          <w:szCs w:val="22"/>
        </w:rPr>
      </w:pPr>
      <w:r>
        <w:rPr>
          <w:rFonts w:ascii="Arial" w:eastAsia="Arial" w:hAnsi="Arial" w:cs="Arial"/>
          <w:sz w:val="22"/>
          <w:szCs w:val="22"/>
        </w:rPr>
        <w:t>Las obligaciones de las unidades de gestión operativa de la donación intra y extra hospitalaria, serán definidas por el Instituto Nacional de Salud (INS), o quien haga sus veces, junto con la Comisión de Expertos que exista por cada órgano y tejido, de acuerdo con lo establecido en el artículo 13 de la presente Ley.</w:t>
      </w:r>
    </w:p>
    <w:p w14:paraId="00000795"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96" w14:textId="77777777" w:rsidR="001C40B0" w:rsidRDefault="00291712">
      <w:pPr>
        <w:jc w:val="both"/>
        <w:rPr>
          <w:rFonts w:ascii="Arial" w:eastAsia="Arial" w:hAnsi="Arial" w:cs="Arial"/>
          <w:sz w:val="22"/>
          <w:szCs w:val="22"/>
        </w:rPr>
      </w:pPr>
      <w:r>
        <w:rPr>
          <w:rFonts w:ascii="Arial" w:eastAsia="Arial" w:hAnsi="Arial" w:cs="Arial"/>
          <w:b/>
          <w:bCs/>
          <w:sz w:val="22"/>
          <w:szCs w:val="22"/>
        </w:rPr>
        <w:t xml:space="preserve">PARÁGRAFO 1. </w:t>
      </w:r>
      <w:r>
        <w:rPr>
          <w:rFonts w:ascii="Arial" w:eastAsia="Arial" w:hAnsi="Arial" w:cs="Arial"/>
          <w:sz w:val="22"/>
          <w:szCs w:val="22"/>
        </w:rPr>
        <w:t>Las Instituciones Prestadoras de Salud (IPS) trasplantadoras y generadoras, y los Bancos de Tejidos, podrán tener coordinadores operativos y extrahospitalarios cuando no exista coordinación intrahospitalaria, o como apoyo y coordinación a ésta, con el fin de apoyar y realizar gestiones de donación, el uso de ECMO, la perfusión dinámica, el transporte de órganos (incluido el uso de vehículos de emergencia para disminuir tiempos de isquemia de órganos, en especial en urgencia 0), tejidos, células y derivados , la logística, la educación y la promoción de la donación.</w:t>
      </w:r>
    </w:p>
    <w:p w14:paraId="00000797"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98" w14:textId="77777777" w:rsidR="001C40B0" w:rsidRDefault="00291712">
      <w:pPr>
        <w:jc w:val="both"/>
        <w:rPr>
          <w:rFonts w:ascii="Arial" w:eastAsia="Arial" w:hAnsi="Arial" w:cs="Arial"/>
          <w:sz w:val="22"/>
          <w:szCs w:val="22"/>
        </w:rPr>
      </w:pPr>
      <w:r>
        <w:rPr>
          <w:rFonts w:ascii="Arial" w:eastAsia="Arial" w:hAnsi="Arial" w:cs="Arial"/>
          <w:b/>
          <w:bCs/>
          <w:sz w:val="22"/>
          <w:szCs w:val="22"/>
        </w:rPr>
        <w:lastRenderedPageBreak/>
        <w:t xml:space="preserve">PARÁGRAFO 2. </w:t>
      </w:r>
      <w:r>
        <w:rPr>
          <w:rFonts w:ascii="Arial" w:eastAsia="Arial" w:hAnsi="Arial" w:cs="Arial"/>
          <w:sz w:val="22"/>
          <w:szCs w:val="22"/>
        </w:rPr>
        <w:t>Los coordinadores de trasplantes deberán estar inscritos ante la Red de Donación y Trasplantes por intermedio de las Instituciones Prestadoras de Salud (IPS) generadoras o trasplantadoras que estén previamente habilitadas e inscritas ante la red.</w:t>
      </w:r>
    </w:p>
    <w:p w14:paraId="00000799"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9A" w14:textId="77777777" w:rsidR="001C40B0" w:rsidRDefault="00291712">
      <w:pPr>
        <w:jc w:val="both"/>
        <w:rPr>
          <w:rFonts w:ascii="Arial" w:eastAsia="Arial" w:hAnsi="Arial" w:cs="Arial"/>
          <w:sz w:val="22"/>
          <w:szCs w:val="22"/>
        </w:rPr>
      </w:pPr>
      <w:r>
        <w:rPr>
          <w:rFonts w:ascii="Arial" w:eastAsia="Arial" w:hAnsi="Arial" w:cs="Arial"/>
          <w:b/>
          <w:bCs/>
          <w:sz w:val="22"/>
          <w:szCs w:val="22"/>
        </w:rPr>
        <w:t xml:space="preserve">PARÁGRAFO 3. </w:t>
      </w:r>
      <w:r>
        <w:rPr>
          <w:rFonts w:ascii="Arial" w:eastAsia="Arial" w:hAnsi="Arial" w:cs="Arial"/>
          <w:sz w:val="22"/>
          <w:szCs w:val="22"/>
        </w:rPr>
        <w:t>El Gobierno Nacional a través del Ministerio de Hacienda y Crédito Público emitirá concepto de aval fiscal previo a la implementación del modelo de gestión operativa de la donación con el fin de que se garantice la sostenibilidad financiera del presente proyecto.</w:t>
      </w:r>
    </w:p>
    <w:p w14:paraId="0000079B"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9C" w14:textId="77777777" w:rsidR="001C40B0" w:rsidRDefault="00291712">
      <w:pPr>
        <w:jc w:val="both"/>
        <w:rPr>
          <w:rFonts w:ascii="Arial" w:eastAsia="Arial" w:hAnsi="Arial" w:cs="Arial"/>
          <w:sz w:val="22"/>
          <w:szCs w:val="22"/>
        </w:rPr>
      </w:pPr>
      <w:r>
        <w:rPr>
          <w:rFonts w:ascii="Arial" w:eastAsia="Arial" w:hAnsi="Arial" w:cs="Arial"/>
          <w:b/>
          <w:bCs/>
          <w:sz w:val="22"/>
          <w:szCs w:val="22"/>
        </w:rPr>
        <w:t xml:space="preserve">PARÁGRAFO 4. </w:t>
      </w:r>
      <w:r>
        <w:rPr>
          <w:rFonts w:ascii="Arial" w:eastAsia="Arial" w:hAnsi="Arial" w:cs="Arial"/>
          <w:sz w:val="22"/>
          <w:szCs w:val="22"/>
        </w:rPr>
        <w:t>El coordinador será un requisito de habilitación de las Instituciones Prestadoras de Salud (IPS) en los niveles señalados en la presente ley. El gobierno nacional, a través de las entidades responsables, reglamentará en un término no mayor de seis meses las competencias, los perfiles, los manuales de funciones y los requisitos de acreditación de los coordinadores.</w:t>
      </w:r>
    </w:p>
    <w:p w14:paraId="0000079D" w14:textId="77777777" w:rsidR="001C40B0" w:rsidRDefault="00291712">
      <w:pPr>
        <w:spacing w:after="160"/>
        <w:jc w:val="both"/>
        <w:rPr>
          <w:rFonts w:ascii="Arial" w:eastAsia="Arial" w:hAnsi="Arial" w:cs="Arial"/>
          <w:sz w:val="22"/>
          <w:szCs w:val="22"/>
        </w:rPr>
      </w:pPr>
      <w:r>
        <w:rPr>
          <w:rFonts w:ascii="Arial" w:eastAsia="Arial" w:hAnsi="Arial" w:cs="Arial"/>
          <w:sz w:val="22"/>
          <w:szCs w:val="22"/>
        </w:rPr>
        <w:br/>
      </w:r>
      <w:r>
        <w:rPr>
          <w:rFonts w:ascii="Arial" w:eastAsia="Arial" w:hAnsi="Arial" w:cs="Arial"/>
          <w:b/>
          <w:bCs/>
          <w:sz w:val="22"/>
          <w:szCs w:val="22"/>
        </w:rPr>
        <w:t>PARÁGRAFO TRANSITORIO.</w:t>
      </w:r>
      <w:r>
        <w:rPr>
          <w:rFonts w:ascii="Arial" w:eastAsia="Arial" w:hAnsi="Arial" w:cs="Arial"/>
          <w:sz w:val="22"/>
          <w:szCs w:val="22"/>
        </w:rPr>
        <w:t xml:space="preserve"> Las Instituciones Prestadoras de Salud (IPS) de segundo nivel que cuenten con UCI, así como las Instituciones Prestadoras de Salud (IPS) de tercer y cuarto nivel, tendrán un plazo máximo de doce meses contados a partir de la entrada en vigencia de la presente ley para contratar, capacitar y acreditar a sus coordinadores operativos de donación, sin que durante dicho periodo se afecte su habilitación por esta causa.</w:t>
      </w:r>
    </w:p>
    <w:p w14:paraId="0000079E" w14:textId="77777777" w:rsidR="001C40B0" w:rsidRDefault="001C40B0">
      <w:pPr>
        <w:spacing w:after="160"/>
        <w:jc w:val="both"/>
        <w:rPr>
          <w:rFonts w:ascii="Arial" w:eastAsia="Arial" w:hAnsi="Arial" w:cs="Arial"/>
          <w:sz w:val="22"/>
          <w:szCs w:val="22"/>
        </w:rPr>
      </w:pPr>
    </w:p>
    <w:p w14:paraId="0000079F" w14:textId="77777777" w:rsidR="001C40B0" w:rsidRDefault="00291712">
      <w:pPr>
        <w:jc w:val="both"/>
        <w:rPr>
          <w:rFonts w:ascii="Arial" w:eastAsia="Arial" w:hAnsi="Arial" w:cs="Arial"/>
          <w:sz w:val="22"/>
          <w:szCs w:val="22"/>
        </w:rPr>
      </w:pPr>
      <w:r>
        <w:rPr>
          <w:rFonts w:ascii="Arial" w:eastAsia="Arial" w:hAnsi="Arial" w:cs="Arial"/>
          <w:b/>
          <w:bCs/>
          <w:sz w:val="22"/>
          <w:szCs w:val="22"/>
        </w:rPr>
        <w:t>ARTÍCULO 13. SOSTENIBILIDAD DEL SISTEMA.</w:t>
      </w:r>
      <w:r>
        <w:rPr>
          <w:rFonts w:ascii="Arial" w:eastAsia="Arial" w:hAnsi="Arial" w:cs="Arial"/>
          <w:sz w:val="22"/>
          <w:szCs w:val="22"/>
        </w:rPr>
        <w:t xml:space="preserve"> El Ministerio de Salud y Protección Social determinará el porcentaje de la UPC destinado al financiamiento de las acciones relacionadas con la  donación por parada cardiorrespiratoria, así como las actividades de perfusión dinámica de órganos. El financiamiento de los procedimientos de trasplante y de donante vivo deberán ser reglamentados por el Ministerio de Salud en los planes de beneficios en salud y su pago estará a cargo de los aseguradores de los receptores.</w:t>
      </w:r>
    </w:p>
    <w:p w14:paraId="000007A0"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A1" w14:textId="77777777" w:rsidR="001C40B0" w:rsidRDefault="00291712">
      <w:pPr>
        <w:jc w:val="both"/>
        <w:rPr>
          <w:rFonts w:ascii="Arial" w:eastAsia="Arial" w:hAnsi="Arial" w:cs="Arial"/>
          <w:sz w:val="22"/>
          <w:szCs w:val="22"/>
        </w:rPr>
      </w:pPr>
      <w:r>
        <w:rPr>
          <w:rFonts w:ascii="Arial" w:eastAsia="Arial" w:hAnsi="Arial" w:cs="Arial"/>
          <w:sz w:val="22"/>
          <w:szCs w:val="22"/>
        </w:rPr>
        <w:t>La tecnología necesaria para el mantenimiento de donantes en muerte encefálica, fallecidos por parada circulatoria, y para la perfusión de órganos, incluyendo ECMO, máquinas de perfusión in situ o ex situ o nuevas tecnologías, serán asumidos por el pagador correspondiente dentro del sistema de salud.</w:t>
      </w:r>
    </w:p>
    <w:p w14:paraId="000007A2"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A3" w14:textId="77777777" w:rsidR="001C40B0" w:rsidRDefault="00291712">
      <w:pPr>
        <w:jc w:val="both"/>
        <w:rPr>
          <w:rFonts w:ascii="Arial" w:eastAsia="Arial" w:hAnsi="Arial" w:cs="Arial"/>
          <w:sz w:val="22"/>
          <w:szCs w:val="22"/>
        </w:rPr>
      </w:pPr>
      <w:r>
        <w:rPr>
          <w:rFonts w:ascii="Arial" w:eastAsia="Arial" w:hAnsi="Arial" w:cs="Arial"/>
          <w:sz w:val="22"/>
          <w:szCs w:val="22"/>
        </w:rPr>
        <w:t>En caso de implementación de nuevas tecnologías y procedimientos para donación y trasplantes, cuyo uso sea avalado por el Ministerio de Salud y Protección Social, su financiación estará a cargo de la UPC.  Los procedimientos específicos para su reconocimiento y pago serán determinados por la Dirección de Beneficios,Costos y Tarifas del Ministerio de Salud y Protección Social.</w:t>
      </w:r>
    </w:p>
    <w:p w14:paraId="000007A4"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A5" w14:textId="77777777" w:rsidR="001C40B0" w:rsidRDefault="00291712">
      <w:pPr>
        <w:jc w:val="both"/>
        <w:rPr>
          <w:rFonts w:ascii="Arial" w:eastAsia="Arial" w:hAnsi="Arial" w:cs="Arial"/>
          <w:sz w:val="22"/>
          <w:szCs w:val="22"/>
        </w:rPr>
      </w:pPr>
      <w:r>
        <w:rPr>
          <w:rFonts w:ascii="Arial" w:eastAsia="Arial" w:hAnsi="Arial" w:cs="Arial"/>
          <w:sz w:val="22"/>
          <w:szCs w:val="22"/>
        </w:rPr>
        <w:t>Las EPS o las entidades que hagan sus veces, no podrán imponer barreras administrativas, glosas ni trámites no clínicos que retrasen la autorización o realización de procedimientos de donación, trasplante o postrasplante, so pena de sanción por parte de la Superintendencia Nacional de Salud.</w:t>
      </w:r>
    </w:p>
    <w:p w14:paraId="000007A6"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7A7" w14:textId="77777777" w:rsidR="001C40B0" w:rsidRDefault="001C40B0">
      <w:pPr>
        <w:jc w:val="both"/>
        <w:rPr>
          <w:rFonts w:ascii="Arial" w:eastAsia="Arial" w:hAnsi="Arial" w:cs="Arial"/>
          <w:sz w:val="22"/>
          <w:szCs w:val="22"/>
        </w:rPr>
      </w:pPr>
    </w:p>
    <w:p w14:paraId="000007A8" w14:textId="77777777" w:rsidR="001C40B0" w:rsidRDefault="00291712">
      <w:pPr>
        <w:jc w:val="both"/>
        <w:rPr>
          <w:rFonts w:ascii="Arial" w:eastAsia="Arial" w:hAnsi="Arial" w:cs="Arial"/>
          <w:sz w:val="22"/>
          <w:szCs w:val="22"/>
        </w:rPr>
      </w:pPr>
      <w:r>
        <w:rPr>
          <w:rFonts w:ascii="Arial" w:eastAsia="Arial" w:hAnsi="Arial" w:cs="Arial"/>
          <w:b/>
          <w:bCs/>
          <w:sz w:val="22"/>
          <w:szCs w:val="22"/>
        </w:rPr>
        <w:t xml:space="preserve">ARTÍCULO 14. DONACIÓN EN LA CÉDULA DE CIUDADANÍA. </w:t>
      </w:r>
      <w:r>
        <w:rPr>
          <w:rFonts w:ascii="Arial" w:eastAsia="Arial" w:hAnsi="Arial" w:cs="Arial"/>
          <w:sz w:val="22"/>
          <w:szCs w:val="22"/>
        </w:rPr>
        <w:t xml:space="preserve">La Registraduría Nacional del Estado Civil incorporará mecanismos seguros para registrar la manifestación expresa de </w:t>
      </w:r>
      <w:r>
        <w:rPr>
          <w:rFonts w:ascii="Arial" w:eastAsia="Arial" w:hAnsi="Arial" w:cs="Arial"/>
          <w:sz w:val="22"/>
          <w:szCs w:val="22"/>
        </w:rPr>
        <w:lastRenderedPageBreak/>
        <w:t xml:space="preserve">aceptación o rechazo de la condición de donante de órganos, tejidos o componentes anatómicos en la cédula de ciudadanía o en sus sistemas interoperables asociados. </w:t>
      </w:r>
    </w:p>
    <w:p w14:paraId="000007A9"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7AA"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La voluntad expresa registrada por el ciudadano tendrá plena validez jurídica y prevalecerá sobre cualquier manifestación posterior de terceros, salvo prueba de revocatoria conforme a la ley. </w:t>
      </w:r>
    </w:p>
    <w:p w14:paraId="000007AB"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7AC" w14:textId="77777777" w:rsidR="001C40B0" w:rsidRDefault="00291712">
      <w:pPr>
        <w:jc w:val="both"/>
        <w:rPr>
          <w:rFonts w:ascii="Arial" w:eastAsia="Arial" w:hAnsi="Arial" w:cs="Arial"/>
          <w:sz w:val="22"/>
          <w:szCs w:val="22"/>
        </w:rPr>
      </w:pPr>
      <w:r>
        <w:rPr>
          <w:rFonts w:ascii="Arial" w:eastAsia="Arial" w:hAnsi="Arial" w:cs="Arial"/>
          <w:sz w:val="22"/>
          <w:szCs w:val="22"/>
        </w:rPr>
        <w:t>La modificación prevista en este artículo sólo aplicará a documentos expedidos con posterioridad a la entrada en vigencia de la presente ley, sin afectar la validez de documentos previamente expedidos.</w:t>
      </w:r>
    </w:p>
    <w:p w14:paraId="000007AD"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7AE" w14:textId="77777777" w:rsidR="001C40B0" w:rsidRDefault="00291712">
      <w:pPr>
        <w:jc w:val="both"/>
        <w:rPr>
          <w:rFonts w:ascii="Arial" w:eastAsia="Arial" w:hAnsi="Arial" w:cs="Arial"/>
          <w:sz w:val="22"/>
          <w:szCs w:val="22"/>
        </w:rPr>
      </w:pPr>
      <w:r>
        <w:rPr>
          <w:rFonts w:ascii="Arial" w:eastAsia="Arial" w:hAnsi="Arial" w:cs="Arial"/>
          <w:b/>
          <w:bCs/>
          <w:sz w:val="22"/>
          <w:szCs w:val="22"/>
        </w:rPr>
        <w:t xml:space="preserve">Parágrafo. </w:t>
      </w:r>
      <w:r>
        <w:rPr>
          <w:rFonts w:ascii="Arial" w:eastAsia="Arial" w:hAnsi="Arial" w:cs="Arial"/>
          <w:sz w:val="22"/>
          <w:szCs w:val="22"/>
        </w:rPr>
        <w:t>La manifestación de la voluntad de donación consignada en la cédula de ciudadanía constituye un mecanismo de publicidad y certeza de la decisión del ciudadano, el cual complementa y refuerza, mas no sustituye ni deroga, la presunción legal de donación establecida en el artículo 2° de la Ley 1805 del 2016. En todo caso, se mantendrá la prevalencia de la voluntad del donante expresada en vida conforme a la normativa vigente, siendo el sistema de información nacional y la consulta en el Registro Nacional de Donantes los instrumentos idóneos para verificar dicha condición, garantizando siempre el respeto a los derechos fundamentales y la dignidad humana.</w:t>
      </w:r>
    </w:p>
    <w:p w14:paraId="000007AF"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7B0" w14:textId="77777777" w:rsidR="001C40B0" w:rsidRDefault="001C40B0">
      <w:pPr>
        <w:jc w:val="both"/>
        <w:rPr>
          <w:rFonts w:ascii="Arial" w:eastAsia="Arial" w:hAnsi="Arial" w:cs="Arial"/>
          <w:sz w:val="22"/>
          <w:szCs w:val="22"/>
        </w:rPr>
      </w:pPr>
    </w:p>
    <w:p w14:paraId="000007B1" w14:textId="77777777" w:rsidR="001C40B0" w:rsidRDefault="00291712">
      <w:pPr>
        <w:jc w:val="both"/>
        <w:rPr>
          <w:rFonts w:ascii="Arial" w:eastAsia="Arial" w:hAnsi="Arial" w:cs="Arial"/>
          <w:sz w:val="22"/>
          <w:szCs w:val="22"/>
        </w:rPr>
      </w:pPr>
      <w:r>
        <w:rPr>
          <w:rFonts w:ascii="Arial" w:eastAsia="Arial" w:hAnsi="Arial" w:cs="Arial"/>
          <w:b/>
          <w:bCs/>
          <w:sz w:val="22"/>
          <w:szCs w:val="22"/>
        </w:rPr>
        <w:t>ARTÍCULO 15</w:t>
      </w:r>
      <w:r>
        <w:rPr>
          <w:rFonts w:ascii="Arial" w:eastAsia="Arial" w:hAnsi="Arial" w:cs="Arial"/>
          <w:sz w:val="22"/>
          <w:szCs w:val="22"/>
        </w:rPr>
        <w:t>. Las personas que, en razón de una condición debidamente certificada conforme a criterios médico-científicos, no se encuentren en posibilidad de expresar su voluntad de manera autónoma al momento de su fallecimiento, podrán ser donantes de órganos, tejidos, células y derivados, siempre y cuando sus representantes legales expresen su consentimiento informado para tal fin después de su fallecimiento, en los términos descritos en el literal a) del Artículo 542 de la Ley 9 de 1979.</w:t>
      </w:r>
    </w:p>
    <w:p w14:paraId="000007B2"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B3" w14:textId="77777777" w:rsidR="001C40B0" w:rsidRDefault="00291712">
      <w:pPr>
        <w:jc w:val="both"/>
        <w:rPr>
          <w:rFonts w:ascii="Arial" w:eastAsia="Arial" w:hAnsi="Arial" w:cs="Arial"/>
          <w:sz w:val="22"/>
          <w:szCs w:val="22"/>
        </w:rPr>
      </w:pPr>
      <w:r>
        <w:rPr>
          <w:rFonts w:ascii="Arial" w:eastAsia="Arial" w:hAnsi="Arial" w:cs="Arial"/>
          <w:sz w:val="22"/>
          <w:szCs w:val="22"/>
        </w:rPr>
        <w:t>El médico coordinador operativo de trasplantes deberá informarles sus derechos y los beneficios de la donación a los representantes legales.</w:t>
      </w:r>
    </w:p>
    <w:p w14:paraId="000007B4"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7B5" w14:textId="77777777" w:rsidR="001C40B0" w:rsidRDefault="001C40B0">
      <w:pPr>
        <w:jc w:val="both"/>
        <w:rPr>
          <w:rFonts w:ascii="Arial" w:eastAsia="Arial" w:hAnsi="Arial" w:cs="Arial"/>
          <w:sz w:val="22"/>
          <w:szCs w:val="22"/>
        </w:rPr>
      </w:pPr>
    </w:p>
    <w:p w14:paraId="000007B6" w14:textId="77777777" w:rsidR="001C40B0" w:rsidRDefault="00291712">
      <w:pPr>
        <w:jc w:val="both"/>
        <w:rPr>
          <w:rFonts w:ascii="Arial" w:eastAsia="Arial" w:hAnsi="Arial" w:cs="Arial"/>
          <w:sz w:val="22"/>
          <w:szCs w:val="22"/>
        </w:rPr>
      </w:pPr>
      <w:r>
        <w:rPr>
          <w:rFonts w:ascii="Arial" w:eastAsia="Arial" w:hAnsi="Arial" w:cs="Arial"/>
          <w:b/>
          <w:bCs/>
          <w:sz w:val="22"/>
          <w:szCs w:val="22"/>
        </w:rPr>
        <w:t xml:space="preserve">ARTÍCULO 16. LIBRE ESCOGENCIA. </w:t>
      </w:r>
      <w:r>
        <w:rPr>
          <w:rFonts w:ascii="Arial" w:eastAsia="Arial" w:hAnsi="Arial" w:cs="Arial"/>
          <w:sz w:val="22"/>
          <w:szCs w:val="22"/>
        </w:rPr>
        <w:t>Todo paciente con enfermedad crónica trasplantable, susceptible de evaluación o trasplante tendrá el derecho a elegir libremente el centro trasplantador en el cual desee ser atendido. Se priorizará la remisión a centros ubicados cerca de su lugar de residencia o núcleo familiar.</w:t>
      </w:r>
    </w:p>
    <w:p w14:paraId="000007B7"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B8" w14:textId="77777777" w:rsidR="001C40B0" w:rsidRDefault="00291712">
      <w:pPr>
        <w:jc w:val="both"/>
        <w:rPr>
          <w:rFonts w:ascii="Arial" w:eastAsia="Arial" w:hAnsi="Arial" w:cs="Arial"/>
          <w:sz w:val="22"/>
          <w:szCs w:val="22"/>
        </w:rPr>
      </w:pPr>
      <w:r>
        <w:rPr>
          <w:rFonts w:ascii="Arial" w:eastAsia="Arial" w:hAnsi="Arial" w:cs="Arial"/>
          <w:sz w:val="22"/>
          <w:szCs w:val="22"/>
        </w:rPr>
        <w:t>El sistema de salud deberá garantizar la cobertura y pago del procedimiento de trasplante, el seguimiento posterior y el suministro de medicamentos, conforme a lo dispuesto por la ley.</w:t>
      </w:r>
    </w:p>
    <w:p w14:paraId="000007B9"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BA" w14:textId="77777777" w:rsidR="001C40B0" w:rsidRDefault="00291712">
      <w:pPr>
        <w:jc w:val="both"/>
        <w:rPr>
          <w:rFonts w:ascii="Arial" w:eastAsia="Arial" w:hAnsi="Arial" w:cs="Arial"/>
          <w:sz w:val="22"/>
          <w:szCs w:val="22"/>
        </w:rPr>
      </w:pPr>
      <w:r>
        <w:rPr>
          <w:rFonts w:ascii="Arial" w:eastAsia="Arial" w:hAnsi="Arial" w:cs="Arial"/>
          <w:sz w:val="22"/>
          <w:szCs w:val="22"/>
        </w:rPr>
        <w:t>El Instituto Nacional de Salud (INS), o quien haga sus veces, deberá proveer al paciente la información clara, actualizada y accesible sobre los centros autorizados a nivel nacional, así como los indicadores de calidad y resultados de dichas instituciones.</w:t>
      </w:r>
    </w:p>
    <w:p w14:paraId="000007BB"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7BC" w14:textId="77777777" w:rsidR="001C40B0" w:rsidRDefault="001C40B0">
      <w:pPr>
        <w:jc w:val="both"/>
        <w:rPr>
          <w:rFonts w:ascii="Arial" w:eastAsia="Arial" w:hAnsi="Arial" w:cs="Arial"/>
          <w:sz w:val="22"/>
          <w:szCs w:val="22"/>
        </w:rPr>
      </w:pPr>
    </w:p>
    <w:p w14:paraId="000007BD" w14:textId="77777777" w:rsidR="001C40B0" w:rsidRDefault="00291712">
      <w:pPr>
        <w:jc w:val="both"/>
        <w:rPr>
          <w:rFonts w:ascii="Arial" w:eastAsia="Arial" w:hAnsi="Arial" w:cs="Arial"/>
          <w:sz w:val="22"/>
          <w:szCs w:val="22"/>
        </w:rPr>
      </w:pPr>
      <w:r>
        <w:rPr>
          <w:rFonts w:ascii="Arial" w:eastAsia="Arial" w:hAnsi="Arial" w:cs="Arial"/>
          <w:b/>
          <w:bCs/>
          <w:sz w:val="22"/>
          <w:szCs w:val="22"/>
        </w:rPr>
        <w:t>ARTÍCULO 17. ESTUDIO NACIONAL.</w:t>
      </w:r>
      <w:r>
        <w:rPr>
          <w:rFonts w:ascii="Arial" w:eastAsia="Arial" w:hAnsi="Arial" w:cs="Arial"/>
          <w:sz w:val="22"/>
          <w:szCs w:val="22"/>
        </w:rPr>
        <w:t xml:space="preserve"> El Ministerio de Salud y Protección Social, en coordinación con el Instituto Nacional de Salud (INS), o quien haga sus veces, realizará un estudio sobre la efectividad de la reincorporación laboral, social y educativa de los pacientes </w:t>
      </w:r>
      <w:r>
        <w:rPr>
          <w:rFonts w:ascii="Arial" w:eastAsia="Arial" w:hAnsi="Arial" w:cs="Arial"/>
          <w:sz w:val="22"/>
          <w:szCs w:val="22"/>
        </w:rPr>
        <w:lastRenderedPageBreak/>
        <w:t>trasplantados. Con base en el resultado de dicho estudio, formulará e implementará políticas dirigidas a esta población.</w:t>
      </w:r>
    </w:p>
    <w:p w14:paraId="000007BE"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7BF" w14:textId="77777777" w:rsidR="001C40B0" w:rsidRDefault="00291712">
      <w:pPr>
        <w:jc w:val="both"/>
        <w:rPr>
          <w:rFonts w:ascii="Arial" w:eastAsia="Arial" w:hAnsi="Arial" w:cs="Arial"/>
          <w:sz w:val="22"/>
          <w:szCs w:val="22"/>
        </w:rPr>
      </w:pPr>
      <w:r>
        <w:rPr>
          <w:rFonts w:ascii="Arial" w:eastAsia="Arial" w:hAnsi="Arial" w:cs="Arial"/>
          <w:b/>
          <w:bCs/>
          <w:sz w:val="22"/>
          <w:szCs w:val="22"/>
        </w:rPr>
        <w:t>Parágrafo.</w:t>
      </w:r>
      <w:r>
        <w:rPr>
          <w:rFonts w:ascii="Arial" w:eastAsia="Arial" w:hAnsi="Arial" w:cs="Arial"/>
          <w:sz w:val="22"/>
          <w:szCs w:val="22"/>
        </w:rPr>
        <w:t xml:space="preserve"> El Instituto Nacional de Salud (INS), o quien haga sus veces, así como la Superintendencia Nacional de Salud realizarán anualmente un análisis de los indicadores de resultado de los trasplantes efectuados, con el fin de determinar las causas atribuibles al aseguramiento del paciente en los desenlaces controlables durante el postrasplante. La Superintendencia Nacional de Salud sancionará los incumplimientos atribuibles a  las EPS o quien haga sus veces, relacionados con el seguimiento postrasplante de la población receptora.</w:t>
      </w:r>
    </w:p>
    <w:p w14:paraId="000007C0"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7C1" w14:textId="77777777" w:rsidR="001C40B0" w:rsidRDefault="001C40B0">
      <w:pPr>
        <w:jc w:val="both"/>
        <w:rPr>
          <w:rFonts w:ascii="Arial" w:eastAsia="Arial" w:hAnsi="Arial" w:cs="Arial"/>
          <w:sz w:val="22"/>
          <w:szCs w:val="22"/>
        </w:rPr>
      </w:pPr>
    </w:p>
    <w:p w14:paraId="000007C2" w14:textId="77777777" w:rsidR="001C40B0" w:rsidRDefault="00291712">
      <w:pPr>
        <w:jc w:val="both"/>
        <w:rPr>
          <w:rFonts w:ascii="Arial" w:eastAsia="Arial" w:hAnsi="Arial" w:cs="Arial"/>
          <w:sz w:val="22"/>
          <w:szCs w:val="22"/>
        </w:rPr>
      </w:pPr>
      <w:r>
        <w:rPr>
          <w:rFonts w:ascii="Arial" w:eastAsia="Arial" w:hAnsi="Arial" w:cs="Arial"/>
          <w:b/>
          <w:bCs/>
          <w:sz w:val="22"/>
          <w:szCs w:val="22"/>
        </w:rPr>
        <w:t>ARTÍCULO 18. PERFUSIÓN DINÁMICA DE ÓRGANOS</w:t>
      </w:r>
      <w:r>
        <w:rPr>
          <w:rFonts w:ascii="Arial" w:eastAsia="Arial" w:hAnsi="Arial" w:cs="Arial"/>
          <w:b/>
          <w:bCs/>
          <w:sz w:val="22"/>
          <w:szCs w:val="22"/>
          <w:u w:val="single"/>
        </w:rPr>
        <w:t>,</w:t>
      </w:r>
      <w:r>
        <w:rPr>
          <w:rFonts w:ascii="Arial" w:eastAsia="Arial" w:hAnsi="Arial" w:cs="Arial"/>
          <w:b/>
          <w:bCs/>
          <w:sz w:val="22"/>
          <w:szCs w:val="22"/>
        </w:rPr>
        <w:t xml:space="preserve"> TEJIDOS, CÉLULAS Y DERIVADOS. </w:t>
      </w:r>
      <w:r>
        <w:rPr>
          <w:rFonts w:ascii="Arial" w:eastAsia="Arial" w:hAnsi="Arial" w:cs="Arial"/>
          <w:sz w:val="22"/>
          <w:szCs w:val="22"/>
        </w:rPr>
        <w:t>Las Instituciones Prestadoras de Salud (IPS) que realizan trasplantes podrán adquirir y utilizar máquinas de perfusión dinámica in situ y ex situ para donantes y para órganos, o las que existan de acuerdo a la técnica.</w:t>
      </w:r>
    </w:p>
    <w:p w14:paraId="000007C3"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C4" w14:textId="77777777" w:rsidR="001C40B0" w:rsidRDefault="00291712">
      <w:pPr>
        <w:jc w:val="both"/>
        <w:rPr>
          <w:rFonts w:ascii="Arial" w:eastAsia="Arial" w:hAnsi="Arial" w:cs="Arial"/>
          <w:sz w:val="22"/>
          <w:szCs w:val="22"/>
        </w:rPr>
      </w:pPr>
      <w:r>
        <w:rPr>
          <w:rFonts w:ascii="Arial" w:eastAsia="Arial" w:hAnsi="Arial" w:cs="Arial"/>
          <w:sz w:val="22"/>
          <w:szCs w:val="22"/>
        </w:rPr>
        <w:t>Se podrán implementar Centros de Perfusión Dinámica de iniciativa privada y/o pública. El gobierno nacional permitirá la creación de Centros de Perfusión Dinámica de órganos para trasplante en los centros hospitalarios trasplantadores. La reglamentación de estos centros y los criterios de asignación y distribución de los órganos allí perfundidos serán reglamentados de manera objetiva por el Instituto Nacional de Salud (INS), o quien haga sus veces, junto con la Comisión de Expertos que exista por cada órgano y tejido.</w:t>
      </w:r>
    </w:p>
    <w:p w14:paraId="000007C5"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C6" w14:textId="77777777" w:rsidR="001C40B0" w:rsidRDefault="00291712">
      <w:pPr>
        <w:jc w:val="both"/>
        <w:rPr>
          <w:rFonts w:ascii="Arial" w:eastAsia="Arial" w:hAnsi="Arial" w:cs="Arial"/>
          <w:sz w:val="22"/>
          <w:szCs w:val="22"/>
        </w:rPr>
      </w:pPr>
      <w:r>
        <w:rPr>
          <w:rFonts w:ascii="Arial" w:eastAsia="Arial" w:hAnsi="Arial" w:cs="Arial"/>
          <w:sz w:val="22"/>
          <w:szCs w:val="22"/>
        </w:rPr>
        <w:t>Los cargos presupuestales asociados a la perfusión, la logística y el transporte de dichos órganos serán asumidos por el sistema de salud con cargo a la UPC. Los procedimientos específicos serán determinados por la Dirección de Beneficios Costos y Tarifas del Ministerio de Salud y Protección Social.</w:t>
      </w:r>
    </w:p>
    <w:p w14:paraId="000007C7"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C8" w14:textId="77777777" w:rsidR="001C40B0" w:rsidRDefault="00291712">
      <w:pPr>
        <w:jc w:val="both"/>
        <w:rPr>
          <w:rFonts w:ascii="Arial" w:eastAsia="Arial" w:hAnsi="Arial" w:cs="Arial"/>
          <w:sz w:val="22"/>
          <w:szCs w:val="22"/>
        </w:rPr>
      </w:pPr>
      <w:r>
        <w:rPr>
          <w:rFonts w:ascii="Arial" w:eastAsia="Arial" w:hAnsi="Arial" w:cs="Arial"/>
          <w:sz w:val="22"/>
          <w:szCs w:val="22"/>
        </w:rPr>
        <w:t>El gobierno nacional permitirá y facilitará la importación y/o producción nacional de los equipos de perfusión dinámica de órganos. Se autoriza al Ministerio de Salud para destinar un rubro presupuestal a la adquisición, mantenimiento y reemplazo de estos equipos.</w:t>
      </w:r>
    </w:p>
    <w:p w14:paraId="000007C9"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7CA" w14:textId="77777777" w:rsidR="001C40B0" w:rsidRDefault="001C40B0">
      <w:pPr>
        <w:jc w:val="both"/>
        <w:rPr>
          <w:rFonts w:ascii="Arial" w:eastAsia="Arial" w:hAnsi="Arial" w:cs="Arial"/>
          <w:sz w:val="22"/>
          <w:szCs w:val="22"/>
        </w:rPr>
      </w:pPr>
    </w:p>
    <w:p w14:paraId="000007CB" w14:textId="77777777" w:rsidR="001C40B0" w:rsidRDefault="00291712">
      <w:pPr>
        <w:jc w:val="both"/>
        <w:rPr>
          <w:rFonts w:ascii="Arial" w:eastAsia="Arial" w:hAnsi="Arial" w:cs="Arial"/>
          <w:sz w:val="22"/>
          <w:szCs w:val="22"/>
        </w:rPr>
      </w:pPr>
      <w:r>
        <w:rPr>
          <w:rFonts w:ascii="Arial" w:eastAsia="Arial" w:hAnsi="Arial" w:cs="Arial"/>
          <w:b/>
          <w:bCs/>
          <w:sz w:val="22"/>
          <w:szCs w:val="22"/>
        </w:rPr>
        <w:t xml:space="preserve">ARTÍCULO 19. COMPONENTES ANATÓMICOS PARA INVESTIGACIÓN. </w:t>
      </w:r>
      <w:r>
        <w:rPr>
          <w:rFonts w:ascii="Arial" w:eastAsia="Arial" w:hAnsi="Arial" w:cs="Arial"/>
          <w:sz w:val="22"/>
          <w:szCs w:val="22"/>
        </w:rPr>
        <w:t>Los componentes anatómicos utilizados para investigación deberán rescatarse por las Instituciones Prestadoras de Salud (IPS) trasplantadoras y bancos de tejidos inscritos ante el Instituto Nacional de Salud (INS), o quien haga sus veces. Para ello, deberán presentar un proyecto de investigación aprobado por el comité de ética institucional correspondiente y, además, deberán ser remitidos, registrados, aprobados y difundidos por el Instituto Nacional de Salud (INS), o quien haga sus veces para su desarrollo.</w:t>
      </w:r>
    </w:p>
    <w:p w14:paraId="000007CC"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7CD" w14:textId="77777777" w:rsidR="001C40B0" w:rsidRDefault="00291712">
      <w:pPr>
        <w:jc w:val="both"/>
        <w:rPr>
          <w:rFonts w:ascii="Arial" w:eastAsia="Arial" w:hAnsi="Arial" w:cs="Arial"/>
          <w:sz w:val="22"/>
          <w:szCs w:val="22"/>
        </w:rPr>
      </w:pPr>
      <w:r>
        <w:rPr>
          <w:rFonts w:ascii="Arial" w:eastAsia="Arial" w:hAnsi="Arial" w:cs="Arial"/>
          <w:sz w:val="22"/>
          <w:szCs w:val="22"/>
        </w:rPr>
        <w:t>Los tejidos rescatados que no cumplan los criterios de calidad para el trasplante, podrán ser utilizados para investigación y docencia, siempre que se reporte su destinación al Instituto Nacional de Salud (INS), o quien haga sus veces y se cumpla con la cadena de custodia y los estándares de disposición final.</w:t>
      </w:r>
    </w:p>
    <w:p w14:paraId="000007CE"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7CF" w14:textId="77777777" w:rsidR="001C40B0" w:rsidRDefault="001C40B0">
      <w:pPr>
        <w:jc w:val="both"/>
        <w:rPr>
          <w:rFonts w:ascii="Arial" w:eastAsia="Arial" w:hAnsi="Arial" w:cs="Arial"/>
          <w:sz w:val="22"/>
          <w:szCs w:val="22"/>
        </w:rPr>
      </w:pPr>
    </w:p>
    <w:p w14:paraId="000007D0" w14:textId="77777777" w:rsidR="001C40B0" w:rsidRDefault="00291712">
      <w:pPr>
        <w:jc w:val="both"/>
        <w:rPr>
          <w:rFonts w:ascii="Arial" w:eastAsia="Arial" w:hAnsi="Arial" w:cs="Arial"/>
          <w:b/>
          <w:bCs/>
          <w:sz w:val="22"/>
          <w:szCs w:val="22"/>
        </w:rPr>
      </w:pPr>
      <w:r>
        <w:rPr>
          <w:rFonts w:ascii="Arial" w:eastAsia="Arial" w:hAnsi="Arial" w:cs="Arial"/>
          <w:b/>
          <w:bCs/>
          <w:sz w:val="22"/>
          <w:szCs w:val="22"/>
        </w:rPr>
        <w:lastRenderedPageBreak/>
        <w:t>ARTÍCULO 20. Modifíquese el artículo 19° de la Ley 1805 de 2016, el cual</w:t>
      </w:r>
      <w:r>
        <w:rPr>
          <w:rFonts w:ascii="Arial" w:eastAsia="Arial" w:hAnsi="Arial" w:cs="Arial"/>
          <w:sz w:val="22"/>
          <w:szCs w:val="22"/>
        </w:rPr>
        <w:t xml:space="preserve"> </w:t>
      </w:r>
      <w:r>
        <w:rPr>
          <w:rFonts w:ascii="Arial" w:eastAsia="Arial" w:hAnsi="Arial" w:cs="Arial"/>
          <w:b/>
          <w:bCs/>
          <w:sz w:val="22"/>
          <w:szCs w:val="22"/>
        </w:rPr>
        <w:t>quedará así:</w:t>
      </w:r>
    </w:p>
    <w:p w14:paraId="000007D1"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D2"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Los trasplantes de otros órganos o tejidos compuestos que se introduzcan al país como método de tratamiento o manejo de condiciones establecidas por la literatura médica mundial, deberán cumplir los requisitos de habilitación. </w:t>
      </w:r>
    </w:p>
    <w:p w14:paraId="000007D3"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D4" w14:textId="77777777" w:rsidR="001C40B0" w:rsidRDefault="00291712">
      <w:pPr>
        <w:jc w:val="both"/>
        <w:rPr>
          <w:rFonts w:ascii="Arial" w:eastAsia="Arial" w:hAnsi="Arial" w:cs="Arial"/>
          <w:sz w:val="22"/>
          <w:szCs w:val="22"/>
        </w:rPr>
      </w:pPr>
      <w:r>
        <w:rPr>
          <w:rFonts w:ascii="Arial" w:eastAsia="Arial" w:hAnsi="Arial" w:cs="Arial"/>
          <w:sz w:val="22"/>
          <w:szCs w:val="22"/>
        </w:rPr>
        <w:t>En todo caso, en el evento que un tejido compuesto se llegue a considerar como un dispositivo médico, el mismo deberá cumplir con los requisitos que establezca el INVIMA para la materia. Se deberá garantizar que los dispositivos médicos que ingresen al país no correspondan a tejidos de origen humano, salvo aquellos regulados expresamente por la normatividad vigente en materia de donación y trasplantes.</w:t>
      </w:r>
    </w:p>
    <w:p w14:paraId="000007D5" w14:textId="77777777" w:rsidR="001C40B0" w:rsidRDefault="001C40B0">
      <w:pPr>
        <w:jc w:val="both"/>
        <w:rPr>
          <w:rFonts w:ascii="Arial" w:eastAsia="Arial" w:hAnsi="Arial" w:cs="Arial"/>
          <w:sz w:val="22"/>
          <w:szCs w:val="22"/>
        </w:rPr>
      </w:pPr>
    </w:p>
    <w:p w14:paraId="000007D6" w14:textId="77777777" w:rsidR="001C40B0" w:rsidRDefault="00291712">
      <w:pPr>
        <w:jc w:val="both"/>
        <w:rPr>
          <w:rFonts w:ascii="Arial" w:eastAsia="Arial" w:hAnsi="Arial" w:cs="Arial"/>
          <w:sz w:val="22"/>
          <w:szCs w:val="22"/>
        </w:rPr>
      </w:pPr>
      <w:r>
        <w:rPr>
          <w:rFonts w:ascii="Arial" w:eastAsia="Arial" w:hAnsi="Arial" w:cs="Arial"/>
          <w:sz w:val="22"/>
          <w:szCs w:val="22"/>
        </w:rPr>
        <w:br/>
        <w:t xml:space="preserve"> </w:t>
      </w:r>
      <w:r>
        <w:rPr>
          <w:rFonts w:ascii="Arial" w:eastAsia="Arial" w:hAnsi="Arial" w:cs="Arial"/>
          <w:b/>
          <w:bCs/>
          <w:sz w:val="22"/>
          <w:szCs w:val="22"/>
        </w:rPr>
        <w:t xml:space="preserve">ARTÍCULO 21. DONANTE UNIVERSAL. </w:t>
      </w:r>
      <w:r>
        <w:rPr>
          <w:rFonts w:ascii="Arial" w:eastAsia="Arial" w:hAnsi="Arial" w:cs="Arial"/>
          <w:sz w:val="22"/>
          <w:szCs w:val="22"/>
        </w:rPr>
        <w:t>La gestión de donación que realicen las unidades de gestión operativa de la donación se propenderá por asegurar la donación completa de órganos, tejidos, células y derivados de todos los donantes. La determinación de los órganos, tejidos, células y derivados que finalmente se extraigan se definirá con base en criterios técnicos que serán auditados en forma sistemática por el Instituto Nacional de Salud (INS) o quien haga sus veces.</w:t>
      </w:r>
    </w:p>
    <w:p w14:paraId="000007D7"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D8" w14:textId="77777777" w:rsidR="001C40B0" w:rsidRDefault="00291712">
      <w:pPr>
        <w:jc w:val="both"/>
        <w:rPr>
          <w:rFonts w:ascii="Arial" w:eastAsia="Arial" w:hAnsi="Arial" w:cs="Arial"/>
          <w:sz w:val="22"/>
          <w:szCs w:val="22"/>
        </w:rPr>
      </w:pPr>
      <w:r>
        <w:rPr>
          <w:rFonts w:ascii="Arial" w:eastAsia="Arial" w:hAnsi="Arial" w:cs="Arial"/>
          <w:sz w:val="22"/>
          <w:szCs w:val="22"/>
        </w:rPr>
        <w:t>Los grupos de trasplante y bancos de tejidos también propenderá por el rescate de órganos, tejidos, células y derivados  en donantes cadavéricos con muerte encefálica o parada cardiaca atendiendo las necesidades nacionales de donación.</w:t>
      </w:r>
    </w:p>
    <w:p w14:paraId="000007D9"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7DA" w14:textId="77777777" w:rsidR="001C40B0" w:rsidRDefault="001C40B0">
      <w:pPr>
        <w:jc w:val="both"/>
        <w:rPr>
          <w:rFonts w:ascii="Arial" w:eastAsia="Arial" w:hAnsi="Arial" w:cs="Arial"/>
          <w:sz w:val="22"/>
          <w:szCs w:val="22"/>
        </w:rPr>
      </w:pPr>
    </w:p>
    <w:p w14:paraId="000007DB" w14:textId="77777777" w:rsidR="001C40B0" w:rsidRDefault="00291712">
      <w:pPr>
        <w:jc w:val="both"/>
        <w:rPr>
          <w:rFonts w:ascii="Arial" w:eastAsia="Arial" w:hAnsi="Arial" w:cs="Arial"/>
          <w:sz w:val="22"/>
          <w:szCs w:val="22"/>
        </w:rPr>
      </w:pPr>
      <w:r>
        <w:rPr>
          <w:rFonts w:ascii="Arial" w:eastAsia="Arial" w:hAnsi="Arial" w:cs="Arial"/>
          <w:b/>
          <w:bCs/>
          <w:sz w:val="22"/>
          <w:szCs w:val="22"/>
        </w:rPr>
        <w:t>ARTÍCULO 22. INTEGRACIÓN DE UN SISTEMA DE INTELIGENCIA ARTIFICIAL EN LOS</w:t>
      </w:r>
      <w:r>
        <w:rPr>
          <w:rFonts w:ascii="Arial" w:eastAsia="Arial" w:hAnsi="Arial" w:cs="Arial"/>
          <w:sz w:val="22"/>
          <w:szCs w:val="22"/>
        </w:rPr>
        <w:t xml:space="preserve"> </w:t>
      </w:r>
      <w:r>
        <w:rPr>
          <w:rFonts w:ascii="Arial" w:eastAsia="Arial" w:hAnsi="Arial" w:cs="Arial"/>
          <w:b/>
          <w:bCs/>
          <w:sz w:val="22"/>
          <w:szCs w:val="22"/>
        </w:rPr>
        <w:t xml:space="preserve">PROCESOS DE DONACIÓN DE ÓRGANOS, TEJIDOS, CÉLULAS Y DERIVADOS. </w:t>
      </w:r>
      <w:r>
        <w:rPr>
          <w:rFonts w:ascii="Arial" w:eastAsia="Arial" w:hAnsi="Arial" w:cs="Arial"/>
          <w:sz w:val="22"/>
          <w:szCs w:val="22"/>
        </w:rPr>
        <w:t>El Ministerio de Salud y Protección Social podrá implementar un sistema de inteligencia artificial (IA), para potenciar la interoperabilidad de los sistemas de información en salud. Su uso se orientará a optimizar procesos operativos, administrativos y de análisis de información en el sistema de trasplantes, con énfasis en la equidad, la eficiencia, la seguridad, la privacidad y la transparencia. Su implementación deberá enfocarse en el mejoramiento de la calidad de los datos, el soporte a la toma de decisiones administrativas, la trazabilidad de los procesos y el fortalecimiento de los sistemas de información, contribuyendo a la reducción de tiempos críticos y a la coordinación institucional.</w:t>
      </w:r>
    </w:p>
    <w:p w14:paraId="000007DC"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DD" w14:textId="77777777" w:rsidR="001C40B0" w:rsidRDefault="00291712">
      <w:pPr>
        <w:jc w:val="both"/>
        <w:rPr>
          <w:rFonts w:ascii="Arial" w:eastAsia="Arial" w:hAnsi="Arial" w:cs="Arial"/>
          <w:sz w:val="22"/>
          <w:szCs w:val="22"/>
        </w:rPr>
      </w:pPr>
      <w:r>
        <w:rPr>
          <w:rFonts w:ascii="Arial" w:eastAsia="Arial" w:hAnsi="Arial" w:cs="Arial"/>
          <w:sz w:val="22"/>
          <w:szCs w:val="22"/>
        </w:rPr>
        <w:t>En ningún caso el sistema de IA intervendrá en la identificación de donantes, la asignación de órganos, la gestión de la lista de espera ni en decisiones relacionadas con la determinación de la muerte, ni sustituirá el juicio clínico ni los procesos científicos y clínicos que rigen el trasplante de órganos, tejidos, células y derivados.</w:t>
      </w:r>
    </w:p>
    <w:p w14:paraId="000007DE"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DF" w14:textId="77777777" w:rsidR="001C40B0" w:rsidRDefault="00291712">
      <w:pPr>
        <w:jc w:val="both"/>
        <w:rPr>
          <w:rFonts w:ascii="Arial" w:eastAsia="Arial" w:hAnsi="Arial" w:cs="Arial"/>
          <w:sz w:val="22"/>
          <w:szCs w:val="22"/>
        </w:rPr>
      </w:pPr>
      <w:r>
        <w:rPr>
          <w:rFonts w:ascii="Arial" w:eastAsia="Arial" w:hAnsi="Arial" w:cs="Arial"/>
          <w:b/>
          <w:bCs/>
          <w:sz w:val="22"/>
          <w:szCs w:val="22"/>
        </w:rPr>
        <w:t>Parágrafo 1.</w:t>
      </w:r>
      <w:r>
        <w:rPr>
          <w:rFonts w:ascii="Arial" w:eastAsia="Arial" w:hAnsi="Arial" w:cs="Arial"/>
          <w:sz w:val="22"/>
          <w:szCs w:val="22"/>
        </w:rPr>
        <w:t xml:space="preserve"> El uso del sistema de Inteligencia Artificial deberá cumplir con estándares de seguridad cibernética y protección de datos sensibles, conforme a lo dispuesto en la Ley 1581 de 2012 y la Ley 2015 de 2020. En coordinación con el Ministerio de Tecnologías de la Información y las Comunicaciones, se aplicarán criterios de minimización, seudonimización, o anonimización cuando corresponda, controles de acceso, trazabilidad y gestión de incidentes, con el fin de prevenir ataques, detectar intrusiones y responder a incidentes de seguridad.</w:t>
      </w:r>
    </w:p>
    <w:p w14:paraId="000007E0"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E1" w14:textId="77777777" w:rsidR="001C40B0" w:rsidRDefault="00291712">
      <w:pPr>
        <w:jc w:val="both"/>
        <w:rPr>
          <w:rFonts w:ascii="Arial" w:eastAsia="Arial" w:hAnsi="Arial" w:cs="Arial"/>
          <w:sz w:val="22"/>
          <w:szCs w:val="22"/>
        </w:rPr>
      </w:pPr>
      <w:r>
        <w:rPr>
          <w:rFonts w:ascii="Arial" w:eastAsia="Arial" w:hAnsi="Arial" w:cs="Arial"/>
          <w:b/>
          <w:bCs/>
          <w:sz w:val="22"/>
          <w:szCs w:val="22"/>
        </w:rPr>
        <w:lastRenderedPageBreak/>
        <w:t xml:space="preserve">Parágrafo 2. </w:t>
      </w:r>
      <w:r>
        <w:rPr>
          <w:rFonts w:ascii="Arial" w:eastAsia="Arial" w:hAnsi="Arial" w:cs="Arial"/>
          <w:sz w:val="22"/>
          <w:szCs w:val="22"/>
        </w:rPr>
        <w:t>La Superintendencia de Industria y Comercio implementará procesos de auditoría del sistema de inteligencia artificial previamente a su operación y de manera periódica durante su funcionamiento, con el propósito de garantizar la protección de los derechos de los usuarios, sus datos personales y el cumplimiento de lo previsto en la presente ley.</w:t>
      </w:r>
    </w:p>
    <w:p w14:paraId="000007E2"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7E3" w14:textId="77777777" w:rsidR="001C40B0" w:rsidRDefault="001C40B0">
      <w:pPr>
        <w:jc w:val="both"/>
        <w:rPr>
          <w:rFonts w:ascii="Arial" w:eastAsia="Arial" w:hAnsi="Arial" w:cs="Arial"/>
          <w:b/>
          <w:bCs/>
          <w:sz w:val="22"/>
          <w:szCs w:val="22"/>
        </w:rPr>
      </w:pPr>
    </w:p>
    <w:p w14:paraId="000007E4" w14:textId="77777777" w:rsidR="001C40B0" w:rsidRDefault="00291712">
      <w:pPr>
        <w:jc w:val="both"/>
        <w:rPr>
          <w:rFonts w:ascii="Arial" w:eastAsia="Arial" w:hAnsi="Arial" w:cs="Arial"/>
          <w:sz w:val="22"/>
          <w:szCs w:val="22"/>
        </w:rPr>
      </w:pPr>
      <w:r>
        <w:rPr>
          <w:rFonts w:ascii="Arial" w:eastAsia="Arial" w:hAnsi="Arial" w:cs="Arial"/>
          <w:b/>
          <w:bCs/>
          <w:sz w:val="22"/>
          <w:szCs w:val="22"/>
        </w:rPr>
        <w:t>ARTÍCULO 23. REGISTRO NACIONAL DE DONANTES INCOMPATIBLES Y RECEPTORES</w:t>
      </w:r>
      <w:r>
        <w:rPr>
          <w:rFonts w:ascii="Arial" w:eastAsia="Arial" w:hAnsi="Arial" w:cs="Arial"/>
          <w:sz w:val="22"/>
          <w:szCs w:val="22"/>
        </w:rPr>
        <w:t xml:space="preserve"> </w:t>
      </w:r>
      <w:r>
        <w:rPr>
          <w:rFonts w:ascii="Arial" w:eastAsia="Arial" w:hAnsi="Arial" w:cs="Arial"/>
          <w:b/>
          <w:bCs/>
          <w:sz w:val="22"/>
          <w:szCs w:val="22"/>
        </w:rPr>
        <w:t>ALTAMENTE SENSIBILIZADOS.</w:t>
      </w:r>
      <w:r>
        <w:rPr>
          <w:rFonts w:ascii="Arial" w:eastAsia="Arial" w:hAnsi="Arial" w:cs="Arial"/>
          <w:sz w:val="22"/>
          <w:szCs w:val="22"/>
        </w:rPr>
        <w:t xml:space="preserve"> Créase el Registro Nacional de Donantes Incompatibles y Receptores Altamente Sensibilizados, como un instrumento técnico y estratégico del Sistema Nacional de Donación y Trasplante de Órganos y Tejidos, con el objetivo de optimizar las oportunidades de trasplante para aquellos receptores con alto grado de sensibilización inmunológica o con dificultades para encontrar donantes compatibles.</w:t>
      </w:r>
    </w:p>
    <w:p w14:paraId="000007E5"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E6" w14:textId="77777777" w:rsidR="001C40B0" w:rsidRDefault="00291712">
      <w:pPr>
        <w:jc w:val="both"/>
        <w:rPr>
          <w:rFonts w:ascii="Arial" w:eastAsia="Arial" w:hAnsi="Arial" w:cs="Arial"/>
          <w:sz w:val="22"/>
          <w:szCs w:val="22"/>
        </w:rPr>
      </w:pPr>
      <w:r>
        <w:rPr>
          <w:rFonts w:ascii="Arial" w:eastAsia="Arial" w:hAnsi="Arial" w:cs="Arial"/>
          <w:sz w:val="22"/>
          <w:szCs w:val="22"/>
        </w:rPr>
        <w:t>El registro será administrado por el</w:t>
      </w:r>
      <w:r>
        <w:rPr>
          <w:rFonts w:ascii="Arial" w:eastAsia="Arial" w:hAnsi="Arial" w:cs="Arial"/>
          <w:color w:val="1F1F1F"/>
          <w:sz w:val="22"/>
          <w:szCs w:val="22"/>
          <w:highlight w:val="white"/>
        </w:rPr>
        <w:t xml:space="preserve"> Instituto Nacional de Salud (</w:t>
      </w:r>
      <w:r>
        <w:rPr>
          <w:rFonts w:ascii="Arial" w:eastAsia="Arial" w:hAnsi="Arial" w:cs="Arial"/>
          <w:sz w:val="22"/>
          <w:szCs w:val="22"/>
        </w:rPr>
        <w:t>INS) o quien haga su veces y contendrá información estandarizada, actualizada y protegida, sobre los receptores altamente sensibilizados, así como sobre potenciales donantes incompatibles que puedan ser incluidos en programas especiales como intercambios pareados, trasplantes dominó u otras estrategias reconocidas internacionalmente.</w:t>
      </w:r>
    </w:p>
    <w:p w14:paraId="000007E7"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7E8" w14:textId="77777777" w:rsidR="001C40B0" w:rsidRDefault="00291712">
      <w:pPr>
        <w:jc w:val="both"/>
        <w:rPr>
          <w:rFonts w:ascii="Arial" w:eastAsia="Arial" w:hAnsi="Arial" w:cs="Arial"/>
          <w:sz w:val="22"/>
          <w:szCs w:val="22"/>
        </w:rPr>
      </w:pPr>
      <w:r>
        <w:rPr>
          <w:rFonts w:ascii="Arial" w:eastAsia="Arial" w:hAnsi="Arial" w:cs="Arial"/>
          <w:sz w:val="22"/>
          <w:szCs w:val="22"/>
        </w:rPr>
        <w:t>La normatividad técnica, criterios de inclusión, lineamientos operativos, mecanismos de priorización, así como la logística y funcionamiento del registro, serán definidos y actualizados periódicamente por e</w:t>
      </w:r>
      <w:r>
        <w:rPr>
          <w:rFonts w:ascii="Arial" w:eastAsia="Arial" w:hAnsi="Arial" w:cs="Arial"/>
          <w:color w:val="1F1F1F"/>
          <w:sz w:val="22"/>
          <w:szCs w:val="22"/>
          <w:highlight w:val="white"/>
        </w:rPr>
        <w:t>l Instituto Nacional de Salud (</w:t>
      </w:r>
      <w:r>
        <w:rPr>
          <w:rFonts w:ascii="Arial" w:eastAsia="Arial" w:hAnsi="Arial" w:cs="Arial"/>
          <w:sz w:val="22"/>
          <w:szCs w:val="22"/>
          <w:highlight w:val="white"/>
        </w:rPr>
        <w:t xml:space="preserve">INS), o quien haga sus veces, </w:t>
      </w:r>
      <w:r>
        <w:rPr>
          <w:rFonts w:ascii="Arial" w:eastAsia="Arial" w:hAnsi="Arial" w:cs="Arial"/>
          <w:sz w:val="22"/>
          <w:szCs w:val="22"/>
        </w:rPr>
        <w:t>conforme a los avances científicos, tecnológicos y las mejores prácticas internacionales.</w:t>
      </w:r>
    </w:p>
    <w:p w14:paraId="000007E9"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7EA" w14:textId="77777777" w:rsidR="001C40B0" w:rsidRDefault="001C40B0">
      <w:pPr>
        <w:jc w:val="both"/>
        <w:rPr>
          <w:rFonts w:ascii="Arial" w:eastAsia="Arial" w:hAnsi="Arial" w:cs="Arial"/>
          <w:sz w:val="22"/>
          <w:szCs w:val="22"/>
        </w:rPr>
      </w:pPr>
    </w:p>
    <w:p w14:paraId="000007EB" w14:textId="77777777" w:rsidR="001C40B0" w:rsidRDefault="00291712">
      <w:pPr>
        <w:jc w:val="both"/>
        <w:rPr>
          <w:rFonts w:ascii="Arial" w:eastAsia="Arial" w:hAnsi="Arial" w:cs="Arial"/>
          <w:sz w:val="22"/>
          <w:szCs w:val="22"/>
        </w:rPr>
      </w:pPr>
      <w:r>
        <w:rPr>
          <w:rFonts w:ascii="Arial" w:eastAsia="Arial" w:hAnsi="Arial" w:cs="Arial"/>
          <w:b/>
          <w:bCs/>
          <w:sz w:val="22"/>
          <w:szCs w:val="22"/>
        </w:rPr>
        <w:t>ARTÍCULO 24. IMPLEMENTACIÓN DE UNIDADES DE CUIDADOS INTENSIVOS</w:t>
      </w:r>
      <w:r>
        <w:rPr>
          <w:rFonts w:ascii="Arial" w:eastAsia="Arial" w:hAnsi="Arial" w:cs="Arial"/>
          <w:sz w:val="22"/>
          <w:szCs w:val="22"/>
        </w:rPr>
        <w:t xml:space="preserve"> </w:t>
      </w:r>
      <w:r>
        <w:rPr>
          <w:rFonts w:ascii="Arial" w:eastAsia="Arial" w:hAnsi="Arial" w:cs="Arial"/>
          <w:b/>
          <w:bCs/>
          <w:sz w:val="22"/>
          <w:szCs w:val="22"/>
        </w:rPr>
        <w:t xml:space="preserve">ORIENTADAS A LA DONACIÓN (CIOD). </w:t>
      </w:r>
      <w:r>
        <w:rPr>
          <w:rFonts w:ascii="Arial" w:eastAsia="Arial" w:hAnsi="Arial" w:cs="Arial"/>
          <w:sz w:val="22"/>
          <w:szCs w:val="22"/>
        </w:rPr>
        <w:t>Las instituciones prestadoras de salud (IPS) de nivel III y IV de complejidad, públicas o privadas, que cuenten con unidades de cuidado intensivo (UCI) y autorización para actividades relacionadas con donación y trasplante, deberán incorporar progresivamente protocolos de cuidado intensivo orientado a la donación como parte de su modelo asistencial.</w:t>
      </w:r>
    </w:p>
    <w:p w14:paraId="000007EC"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ED" w14:textId="77777777" w:rsidR="001C40B0" w:rsidRDefault="00291712">
      <w:pPr>
        <w:jc w:val="both"/>
        <w:rPr>
          <w:rFonts w:ascii="Arial" w:eastAsia="Arial" w:hAnsi="Arial" w:cs="Arial"/>
          <w:sz w:val="22"/>
          <w:szCs w:val="22"/>
        </w:rPr>
      </w:pPr>
      <w:r>
        <w:rPr>
          <w:rFonts w:ascii="Arial" w:eastAsia="Arial" w:hAnsi="Arial" w:cs="Arial"/>
          <w:b/>
          <w:bCs/>
          <w:sz w:val="22"/>
          <w:szCs w:val="22"/>
        </w:rPr>
        <w:t xml:space="preserve">Parágrafo 1. </w:t>
      </w:r>
      <w:r>
        <w:rPr>
          <w:rFonts w:ascii="Arial" w:eastAsia="Arial" w:hAnsi="Arial" w:cs="Arial"/>
          <w:sz w:val="22"/>
          <w:szCs w:val="22"/>
        </w:rPr>
        <w:t>El Ministerio de Salud y Protección Social, en coordinación con el Instituto Nacional de Salud, reglamentará en un plazo máximo de doce (12) meses a partir de la entrada en vigencia de la presente ley, los criterios técnicos, operativos y éticos para la implementación de protocolos de cuidado intensivo orientado a la donación</w:t>
      </w:r>
      <w:r>
        <w:rPr>
          <w:rFonts w:ascii="Arial" w:eastAsia="Arial" w:hAnsi="Arial" w:cs="Arial"/>
          <w:b/>
          <w:bCs/>
          <w:sz w:val="22"/>
          <w:szCs w:val="22"/>
        </w:rPr>
        <w:t xml:space="preserve">, </w:t>
      </w:r>
      <w:r>
        <w:rPr>
          <w:rFonts w:ascii="Arial" w:eastAsia="Arial" w:hAnsi="Arial" w:cs="Arial"/>
          <w:sz w:val="22"/>
          <w:szCs w:val="22"/>
        </w:rPr>
        <w:t>incluyendo los requisitos de habilitación, formación del talento humano, condiciones de infraestructura y mecanismos de seguimiento y evaluación.</w:t>
      </w:r>
    </w:p>
    <w:p w14:paraId="000007EE"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7EF" w14:textId="77777777" w:rsidR="001C40B0" w:rsidRDefault="001C40B0">
      <w:pPr>
        <w:jc w:val="both"/>
        <w:rPr>
          <w:rFonts w:ascii="Arial" w:eastAsia="Arial" w:hAnsi="Arial" w:cs="Arial"/>
          <w:sz w:val="22"/>
          <w:szCs w:val="22"/>
        </w:rPr>
      </w:pPr>
    </w:p>
    <w:p w14:paraId="000007F0" w14:textId="77777777" w:rsidR="001C40B0" w:rsidRDefault="00291712">
      <w:pPr>
        <w:jc w:val="both"/>
        <w:rPr>
          <w:rFonts w:ascii="Arial" w:eastAsia="Arial" w:hAnsi="Arial" w:cs="Arial"/>
          <w:sz w:val="22"/>
          <w:szCs w:val="22"/>
        </w:rPr>
      </w:pPr>
      <w:r>
        <w:rPr>
          <w:rFonts w:ascii="Arial" w:eastAsia="Arial" w:hAnsi="Arial" w:cs="Arial"/>
          <w:b/>
          <w:bCs/>
          <w:sz w:val="22"/>
          <w:szCs w:val="22"/>
        </w:rPr>
        <w:t>ARTÍCULO 25. PROCESOS DE PRESERVACIÓN, EVALUACIÓN, MODIFICACIÓN Y</w:t>
      </w:r>
      <w:r>
        <w:rPr>
          <w:rFonts w:ascii="Arial" w:eastAsia="Arial" w:hAnsi="Arial" w:cs="Arial"/>
          <w:sz w:val="22"/>
          <w:szCs w:val="22"/>
        </w:rPr>
        <w:t xml:space="preserve"> </w:t>
      </w:r>
      <w:r>
        <w:rPr>
          <w:rFonts w:ascii="Arial" w:eastAsia="Arial" w:hAnsi="Arial" w:cs="Arial"/>
          <w:b/>
          <w:bCs/>
          <w:sz w:val="22"/>
          <w:szCs w:val="22"/>
        </w:rPr>
        <w:t xml:space="preserve">REPARACIÓN DE ÓRGANOS, TEJIDOS, CÉLULAS Y DERIVADOS PARA TRASPLANTE. </w:t>
      </w:r>
      <w:r>
        <w:rPr>
          <w:rFonts w:ascii="Arial" w:eastAsia="Arial" w:hAnsi="Arial" w:cs="Arial"/>
          <w:sz w:val="22"/>
          <w:szCs w:val="22"/>
        </w:rPr>
        <w:t xml:space="preserve">Con el fin de mejorar los resultados clínicos, aumentar la disponibilidad de órganos, tejidos, células y derivados aptos para trasplante y promover el acceso equitativo de los pacientes, se autoriza e incorpora al marco regulatorio nacional el desarrollo, implementación, certificación y control de procesos tecnológicos orientados a la preservación, transporte, evaluación, </w:t>
      </w:r>
      <w:r>
        <w:rPr>
          <w:rFonts w:ascii="Arial" w:eastAsia="Arial" w:hAnsi="Arial" w:cs="Arial"/>
          <w:sz w:val="22"/>
          <w:szCs w:val="22"/>
        </w:rPr>
        <w:lastRenderedPageBreak/>
        <w:t>tratamiento, reparación, reacondicionamiento o modificación de órganos, tejidos y células destinados al trasplante o autotrasplante humano.</w:t>
      </w:r>
    </w:p>
    <w:p w14:paraId="000007F1"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F2" w14:textId="77777777" w:rsidR="001C40B0" w:rsidRDefault="00291712">
      <w:pPr>
        <w:jc w:val="both"/>
        <w:rPr>
          <w:rFonts w:ascii="Arial" w:eastAsia="Arial" w:hAnsi="Arial" w:cs="Arial"/>
          <w:sz w:val="22"/>
          <w:szCs w:val="22"/>
        </w:rPr>
      </w:pPr>
      <w:r>
        <w:rPr>
          <w:rFonts w:ascii="Arial" w:eastAsia="Arial" w:hAnsi="Arial" w:cs="Arial"/>
          <w:sz w:val="22"/>
          <w:szCs w:val="22"/>
        </w:rPr>
        <w:t>Estos procesos podrán incluir, entre otros, el uso de tecnologías de perfusión ex vivo, edición génica, modulación inmunológica, terapias celulares, transferencia mitocondrial, ingeniería tisular, nanotecnología, inteligencia artificial, biomateriales y otras estrategias biomédicas emergentes.</w:t>
      </w:r>
    </w:p>
    <w:p w14:paraId="000007F3"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F4" w14:textId="77777777" w:rsidR="001C40B0" w:rsidRDefault="00291712">
      <w:pPr>
        <w:jc w:val="both"/>
        <w:rPr>
          <w:rFonts w:ascii="Arial" w:eastAsia="Arial" w:hAnsi="Arial" w:cs="Arial"/>
          <w:sz w:val="22"/>
          <w:szCs w:val="22"/>
        </w:rPr>
      </w:pPr>
      <w:r>
        <w:rPr>
          <w:rFonts w:ascii="Arial" w:eastAsia="Arial" w:hAnsi="Arial" w:cs="Arial"/>
          <w:sz w:val="22"/>
          <w:szCs w:val="22"/>
        </w:rPr>
        <w:t>Los procedimientos podrán llevarse a cabo en instituciones habilitadas para trasplante o en centros especializados autorizados por el Ministerio de Salud y Protección Social, conforme a la regulación vigente. Estas entidades deberán contar con aval científico, bioético y sanitario, bajo criterios de trazabilidad, bioseguridad, vigilancia sanitaria y respeto a los derechos fundamentales.</w:t>
      </w:r>
    </w:p>
    <w:p w14:paraId="000007F5"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F6" w14:textId="77777777" w:rsidR="001C40B0" w:rsidRDefault="00291712">
      <w:pPr>
        <w:jc w:val="both"/>
        <w:rPr>
          <w:rFonts w:ascii="Arial" w:eastAsia="Arial" w:hAnsi="Arial" w:cs="Arial"/>
          <w:sz w:val="22"/>
          <w:szCs w:val="22"/>
        </w:rPr>
      </w:pPr>
      <w:r>
        <w:rPr>
          <w:rFonts w:ascii="Arial" w:eastAsia="Arial" w:hAnsi="Arial" w:cs="Arial"/>
          <w:sz w:val="22"/>
          <w:szCs w:val="22"/>
        </w:rPr>
        <w:t>El Ministerio de Salud y Protección Social, en coordinación con el Instituto Nacional de Salud y los Comités de Expertos por órgano, reglamentará los lineamientos técnicos, operativos y éticos correspondientes en un plazo no mayor a doce (12) meses desde la entrada en vigencia de la presente ley.</w:t>
      </w:r>
    </w:p>
    <w:p w14:paraId="000007F7"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7F8" w14:textId="77777777" w:rsidR="001C40B0" w:rsidRDefault="001C40B0">
      <w:pPr>
        <w:jc w:val="both"/>
        <w:rPr>
          <w:rFonts w:ascii="Arial" w:eastAsia="Arial" w:hAnsi="Arial" w:cs="Arial"/>
          <w:sz w:val="22"/>
          <w:szCs w:val="22"/>
        </w:rPr>
      </w:pPr>
    </w:p>
    <w:p w14:paraId="000007F9" w14:textId="77777777" w:rsidR="001C40B0" w:rsidRDefault="00291712">
      <w:pPr>
        <w:jc w:val="both"/>
        <w:rPr>
          <w:rFonts w:ascii="Arial" w:eastAsia="Arial" w:hAnsi="Arial" w:cs="Arial"/>
          <w:sz w:val="22"/>
          <w:szCs w:val="22"/>
        </w:rPr>
      </w:pPr>
      <w:r>
        <w:rPr>
          <w:rFonts w:ascii="Arial" w:eastAsia="Arial" w:hAnsi="Arial" w:cs="Arial"/>
          <w:b/>
          <w:bCs/>
          <w:sz w:val="22"/>
          <w:szCs w:val="22"/>
        </w:rPr>
        <w:t xml:space="preserve">ARTÍCULO 26. COOPERACIÓN Y ALIANZAS INTERNACIONALES. </w:t>
      </w:r>
      <w:r>
        <w:rPr>
          <w:rFonts w:ascii="Arial" w:eastAsia="Arial" w:hAnsi="Arial" w:cs="Arial"/>
          <w:sz w:val="22"/>
          <w:szCs w:val="22"/>
        </w:rPr>
        <w:t>El Gobierno Nacional, por intermedio del Ministerio de Salud y Protección Social, promoverá la cooperación internacional en materia de donación y trasplantes, fomentando el intercambio de conocimientos, investigación y formación de talento humano.</w:t>
      </w:r>
    </w:p>
    <w:p w14:paraId="000007FA"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FB" w14:textId="77777777" w:rsidR="001C40B0" w:rsidRDefault="00291712">
      <w:pPr>
        <w:jc w:val="both"/>
        <w:rPr>
          <w:rFonts w:ascii="Arial" w:eastAsia="Arial" w:hAnsi="Arial" w:cs="Arial"/>
          <w:sz w:val="22"/>
          <w:szCs w:val="22"/>
        </w:rPr>
      </w:pPr>
      <w:r>
        <w:rPr>
          <w:rFonts w:ascii="Arial" w:eastAsia="Arial" w:hAnsi="Arial" w:cs="Arial"/>
          <w:sz w:val="22"/>
          <w:szCs w:val="22"/>
        </w:rPr>
        <w:t>Así mismo, garantizará la participación activa de Colombia en escenarios multilaterales como la Asamblea Mundial de la Salud, la Organización Mundial de la Salud y demás foros internacionales, con el fin de incidir en la definición de estándares, buenas prácticas y lineamientos globales en la materia.</w:t>
      </w:r>
    </w:p>
    <w:p w14:paraId="000007FC" w14:textId="77777777" w:rsidR="001C40B0" w:rsidRDefault="00291712">
      <w:pPr>
        <w:rPr>
          <w:rFonts w:ascii="Arial" w:eastAsia="Arial" w:hAnsi="Arial" w:cs="Arial"/>
          <w:sz w:val="22"/>
          <w:szCs w:val="22"/>
        </w:rPr>
      </w:pPr>
      <w:r>
        <w:rPr>
          <w:rFonts w:ascii="Arial" w:eastAsia="Arial" w:hAnsi="Arial" w:cs="Arial"/>
          <w:sz w:val="22"/>
          <w:szCs w:val="22"/>
        </w:rPr>
        <w:t xml:space="preserve"> </w:t>
      </w:r>
    </w:p>
    <w:p w14:paraId="000007FD" w14:textId="77777777" w:rsidR="001C40B0" w:rsidRDefault="00291712">
      <w:pPr>
        <w:jc w:val="both"/>
        <w:rPr>
          <w:rFonts w:ascii="Arial" w:eastAsia="Arial" w:hAnsi="Arial" w:cs="Arial"/>
          <w:sz w:val="22"/>
          <w:szCs w:val="22"/>
        </w:rPr>
      </w:pPr>
      <w:r>
        <w:rPr>
          <w:rFonts w:ascii="Arial" w:eastAsia="Arial" w:hAnsi="Arial" w:cs="Arial"/>
          <w:b/>
          <w:bCs/>
          <w:sz w:val="22"/>
          <w:szCs w:val="22"/>
        </w:rPr>
        <w:t xml:space="preserve">Parágrafo. </w:t>
      </w:r>
      <w:r>
        <w:rPr>
          <w:rFonts w:ascii="Arial" w:eastAsia="Arial" w:hAnsi="Arial" w:cs="Arial"/>
          <w:sz w:val="22"/>
          <w:szCs w:val="22"/>
        </w:rPr>
        <w:t>El Ministerio de Relaciones Exteriores y la Agencia Presidencial para la Cooperación Internacional de Colombia</w:t>
      </w:r>
      <w:r>
        <w:rPr>
          <w:rFonts w:ascii="Arial" w:eastAsia="Arial" w:hAnsi="Arial" w:cs="Arial"/>
          <w:b/>
          <w:bCs/>
          <w:color w:val="767676"/>
          <w:sz w:val="22"/>
          <w:szCs w:val="22"/>
          <w:highlight w:val="white"/>
        </w:rPr>
        <w:t xml:space="preserve"> </w:t>
      </w:r>
      <w:r>
        <w:rPr>
          <w:rFonts w:ascii="Arial" w:eastAsia="Arial" w:hAnsi="Arial" w:cs="Arial"/>
          <w:sz w:val="22"/>
          <w:szCs w:val="22"/>
        </w:rPr>
        <w:t>apoyarán la gestión, celebración y seguimiento de convenios y alianzas que se deriven de este artículo.</w:t>
      </w:r>
    </w:p>
    <w:p w14:paraId="000007FE"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7FF" w14:textId="77777777" w:rsidR="001C40B0" w:rsidRDefault="001C40B0">
      <w:pPr>
        <w:jc w:val="both"/>
        <w:rPr>
          <w:rFonts w:ascii="Arial" w:eastAsia="Arial" w:hAnsi="Arial" w:cs="Arial"/>
          <w:sz w:val="22"/>
          <w:szCs w:val="22"/>
        </w:rPr>
      </w:pPr>
    </w:p>
    <w:p w14:paraId="00000800" w14:textId="77777777" w:rsidR="001C40B0" w:rsidRDefault="00291712">
      <w:pPr>
        <w:jc w:val="both"/>
        <w:rPr>
          <w:rFonts w:ascii="Arial" w:eastAsia="Arial" w:hAnsi="Arial" w:cs="Arial"/>
          <w:sz w:val="22"/>
          <w:szCs w:val="22"/>
        </w:rPr>
      </w:pPr>
      <w:r>
        <w:rPr>
          <w:rFonts w:ascii="Arial" w:eastAsia="Arial" w:hAnsi="Arial" w:cs="Arial"/>
          <w:b/>
          <w:bCs/>
          <w:sz w:val="22"/>
          <w:szCs w:val="22"/>
        </w:rPr>
        <w:t xml:space="preserve">ARTÍCULO 27. ARTICULACIÓN DEL INSTITUTO NACIONAL DE MEDICINA LEGAL Y CIENCIAS FORENSES. </w:t>
      </w:r>
      <w:r>
        <w:rPr>
          <w:rFonts w:ascii="Arial" w:eastAsia="Arial" w:hAnsi="Arial" w:cs="Arial"/>
          <w:sz w:val="22"/>
          <w:szCs w:val="22"/>
        </w:rPr>
        <w:t xml:space="preserve">El Instituto Nacional de Medicina Legal y Ciencias Forenses deberá articularse con la Red Nacional de Donación y Trasplantes de Órganos y Tejidos bajo la coordinación del Instituto Nacional de Salud con el fin de identificar posibles donantes y garantizar las condiciones de preservación y viabilidad de los tejidos. Para tal efecto, el Instituto Nacional de Medicina Legal deberá implementar la infraestructura física y tecnológica necesaria para el mantenimiento temporal de los cuerpos, con el objeto de ampliar los rangos de viabilidad de los órganos, tejidos, células y derivados para su rescate. Asimismo, deberá establecer de manera conjunta con el Instituto Nacional de Salud, las Secretarías de Salud y los Bancos de Tejidos autorizados, los procedimientos para la remisión y preservación oportuna de los tejidos y órganos y capacitar al personal médico, judicial y técnico en los procedimientos básicos de donación, trasplantes, identificación y preservación de donantes potenciales. El Gobierno Nacional implementará y reglamentará la articulación necesaria, </w:t>
      </w:r>
      <w:r>
        <w:rPr>
          <w:rFonts w:ascii="Arial" w:eastAsia="Arial" w:hAnsi="Arial" w:cs="Arial"/>
          <w:sz w:val="22"/>
          <w:szCs w:val="22"/>
        </w:rPr>
        <w:lastRenderedPageBreak/>
        <w:t>incluyendo las fuentes de financiación para el fortalecimiento de la infraestructura y la capacidad del personal de Medicina Legal, en un plazo no mayor a doce (12) meses contados a partir de la promulgación de la presente ley.</w:t>
      </w:r>
    </w:p>
    <w:p w14:paraId="00000801"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802" w14:textId="77777777" w:rsidR="001C40B0" w:rsidRDefault="001C40B0">
      <w:pPr>
        <w:jc w:val="both"/>
        <w:rPr>
          <w:rFonts w:ascii="Arial" w:eastAsia="Arial" w:hAnsi="Arial" w:cs="Arial"/>
          <w:sz w:val="22"/>
          <w:szCs w:val="22"/>
        </w:rPr>
      </w:pPr>
    </w:p>
    <w:p w14:paraId="00000803" w14:textId="77777777" w:rsidR="001C40B0" w:rsidRDefault="00291712">
      <w:pPr>
        <w:spacing w:after="160"/>
        <w:jc w:val="both"/>
        <w:rPr>
          <w:rFonts w:ascii="Arial" w:eastAsia="Arial" w:hAnsi="Arial" w:cs="Arial"/>
          <w:sz w:val="22"/>
          <w:szCs w:val="22"/>
        </w:rPr>
      </w:pPr>
      <w:r>
        <w:rPr>
          <w:rFonts w:ascii="Arial" w:eastAsia="Arial" w:hAnsi="Arial" w:cs="Arial"/>
          <w:b/>
          <w:bCs/>
          <w:sz w:val="22"/>
          <w:szCs w:val="22"/>
        </w:rPr>
        <w:t xml:space="preserve">ARTÍCULO 28. IGUALDAD DE CONDICIONES PARA LOS BANCOS DE TEJIDOS NACIONALES. </w:t>
      </w:r>
      <w:r>
        <w:rPr>
          <w:rFonts w:ascii="Arial" w:eastAsia="Arial" w:hAnsi="Arial" w:cs="Arial"/>
          <w:sz w:val="22"/>
          <w:szCs w:val="22"/>
        </w:rPr>
        <w:t xml:space="preserve">El Ministerio de Salud y Protección Social y el INVIMA, deberán garantizar que los productos elaborados por los bancos de tejido nacional se sometan a un régimen regulatorio equivalente al aplicable a los productos importados de naturaleza similar que ingresan al país bajo la categoría de dispositivos médicos. En ningún caso podrán establecerse cargas normativas adicionales que generen desventajas injustificadas a los productos nacionales frente a los productos de origen extranjero. </w:t>
      </w:r>
    </w:p>
    <w:p w14:paraId="00000804" w14:textId="77777777" w:rsidR="001C40B0" w:rsidRDefault="00291712">
      <w:pPr>
        <w:spacing w:after="160"/>
        <w:jc w:val="both"/>
        <w:rPr>
          <w:rFonts w:ascii="Arial" w:eastAsia="Arial" w:hAnsi="Arial" w:cs="Arial"/>
          <w:sz w:val="22"/>
          <w:szCs w:val="22"/>
        </w:rPr>
      </w:pPr>
      <w:r>
        <w:rPr>
          <w:rFonts w:ascii="Arial" w:eastAsia="Arial" w:hAnsi="Arial" w:cs="Arial"/>
          <w:sz w:val="22"/>
          <w:szCs w:val="22"/>
        </w:rPr>
        <w:t>El Gobierno Nacional expedirá, dentro de los seis (6) meses siguientes a la entrada en vigencia de la presente ley, la reglamentación que armonice los requisitos de habilitación, certificación, vigilancia y distribución de los bancos de tejidos nacionales, con el fin de garantizar oportunidades equitativas de participación</w:t>
      </w:r>
      <w:r>
        <w:rPr>
          <w:rFonts w:ascii="Arial" w:eastAsia="Arial" w:hAnsi="Arial" w:cs="Arial"/>
          <w:b/>
          <w:bCs/>
          <w:sz w:val="22"/>
          <w:szCs w:val="22"/>
          <w:u w:val="single"/>
        </w:rPr>
        <w:t xml:space="preserve"> </w:t>
      </w:r>
      <w:r>
        <w:rPr>
          <w:rFonts w:ascii="Arial" w:eastAsia="Arial" w:hAnsi="Arial" w:cs="Arial"/>
          <w:sz w:val="22"/>
          <w:szCs w:val="22"/>
        </w:rPr>
        <w:t>en el mercado.</w:t>
      </w:r>
    </w:p>
    <w:p w14:paraId="00000805" w14:textId="77777777" w:rsidR="001C40B0" w:rsidRDefault="00291712">
      <w:pPr>
        <w:jc w:val="both"/>
        <w:rPr>
          <w:rFonts w:ascii="Arial" w:eastAsia="Arial" w:hAnsi="Arial" w:cs="Arial"/>
          <w:sz w:val="22"/>
          <w:szCs w:val="22"/>
        </w:rPr>
      </w:pPr>
      <w:r>
        <w:rPr>
          <w:rFonts w:ascii="Arial" w:eastAsia="Arial" w:hAnsi="Arial" w:cs="Arial"/>
          <w:b/>
          <w:bCs/>
          <w:sz w:val="22"/>
          <w:szCs w:val="22"/>
        </w:rPr>
        <w:t xml:space="preserve">Parágrafo. </w:t>
      </w:r>
      <w:r>
        <w:rPr>
          <w:rFonts w:ascii="Arial" w:eastAsia="Arial" w:hAnsi="Arial" w:cs="Arial"/>
          <w:sz w:val="22"/>
          <w:szCs w:val="22"/>
        </w:rPr>
        <w:t>El INVIMA regulará los ajustes necesarios para la homologación técnica y científica de los productos nacionales con los estándares internacionales vigentes.</w:t>
      </w:r>
    </w:p>
    <w:p w14:paraId="00000806"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807"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808" w14:textId="77777777" w:rsidR="001C40B0" w:rsidRDefault="00291712">
      <w:pPr>
        <w:jc w:val="both"/>
        <w:rPr>
          <w:rFonts w:ascii="Arial" w:eastAsia="Arial" w:hAnsi="Arial" w:cs="Arial"/>
          <w:sz w:val="22"/>
          <w:szCs w:val="22"/>
        </w:rPr>
      </w:pPr>
      <w:r>
        <w:rPr>
          <w:rFonts w:ascii="Arial" w:eastAsia="Arial" w:hAnsi="Arial" w:cs="Arial"/>
          <w:b/>
          <w:bCs/>
          <w:sz w:val="22"/>
          <w:szCs w:val="22"/>
        </w:rPr>
        <w:t>ARTÍCULO 29. PROGRAMAS PERMANENTES DE EDUCACIÓN Y SENSIBILIZACIÓN</w:t>
      </w:r>
      <w:r>
        <w:rPr>
          <w:rFonts w:ascii="Arial" w:eastAsia="Arial" w:hAnsi="Arial" w:cs="Arial"/>
          <w:sz w:val="22"/>
          <w:szCs w:val="22"/>
        </w:rPr>
        <w:t xml:space="preserve"> </w:t>
      </w:r>
      <w:r>
        <w:rPr>
          <w:rFonts w:ascii="Arial" w:eastAsia="Arial" w:hAnsi="Arial" w:cs="Arial"/>
          <w:b/>
          <w:bCs/>
          <w:sz w:val="22"/>
          <w:szCs w:val="22"/>
        </w:rPr>
        <w:t xml:space="preserve">EN DONACIÓN. </w:t>
      </w:r>
      <w:r>
        <w:rPr>
          <w:rFonts w:ascii="Arial" w:eastAsia="Arial" w:hAnsi="Arial" w:cs="Arial"/>
          <w:sz w:val="22"/>
          <w:szCs w:val="22"/>
        </w:rPr>
        <w:t>El Ministerio de Salud y Protección Social</w:t>
      </w:r>
      <w:r>
        <w:rPr>
          <w:rFonts w:ascii="Arial" w:eastAsia="Arial" w:hAnsi="Arial" w:cs="Arial"/>
          <w:b/>
          <w:bCs/>
          <w:sz w:val="22"/>
          <w:szCs w:val="22"/>
          <w:u w:val="single"/>
        </w:rPr>
        <w:t>,</w:t>
      </w:r>
      <w:r>
        <w:rPr>
          <w:rFonts w:ascii="Arial" w:eastAsia="Arial" w:hAnsi="Arial" w:cs="Arial"/>
          <w:sz w:val="22"/>
          <w:szCs w:val="22"/>
        </w:rPr>
        <w:t xml:space="preserve"> en coordinación con el Instituto Nacional de Salud y las secretarías distritales, departamentales y municipales, implementará de manera permanente campañas de educación y sensibilización ciudadana en torno a la donación, el trasplante de órganos, tejidos, células y derivados. Estas campañas tendrán como objetivo promover en la población la donación como un acto de solidaridad y responsabilidad social, con el fin de reducir la resistencia frente a la donación en los momentos de duelo y fomentar la manifestación responsable de la voluntad en vida.</w:t>
      </w:r>
    </w:p>
    <w:p w14:paraId="00000809"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80A"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Parágrafo 1. Las campañas deberán difundirse a través de medios de comunicación masiva, redes digitales, instituciones educativas en todos los niveles, </w:t>
      </w:r>
      <w:r>
        <w:rPr>
          <w:rFonts w:ascii="Arial" w:eastAsia="Arial" w:hAnsi="Arial" w:cs="Arial"/>
          <w:color w:val="001D35"/>
          <w:sz w:val="22"/>
          <w:szCs w:val="22"/>
          <w:highlight w:val="white"/>
        </w:rPr>
        <w:t>Entidades Promotoras de Salud (</w:t>
      </w:r>
      <w:r>
        <w:rPr>
          <w:rFonts w:ascii="Arial" w:eastAsia="Arial" w:hAnsi="Arial" w:cs="Arial"/>
          <w:sz w:val="22"/>
          <w:szCs w:val="22"/>
        </w:rPr>
        <w:t>EPS), e Instituciones Prestadoras de Salud (IPS), garantizando un alcance nacional y regional.</w:t>
      </w:r>
    </w:p>
    <w:p w14:paraId="0000080B"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80C" w14:textId="77777777" w:rsidR="001C40B0" w:rsidRDefault="00291712">
      <w:pPr>
        <w:jc w:val="both"/>
        <w:rPr>
          <w:rFonts w:ascii="Arial" w:eastAsia="Arial" w:hAnsi="Arial" w:cs="Arial"/>
          <w:sz w:val="22"/>
          <w:szCs w:val="22"/>
        </w:rPr>
      </w:pPr>
      <w:r>
        <w:rPr>
          <w:rFonts w:ascii="Arial" w:eastAsia="Arial" w:hAnsi="Arial" w:cs="Arial"/>
          <w:sz w:val="22"/>
          <w:szCs w:val="22"/>
        </w:rPr>
        <w:t>Parágrafo 2. El Ministerio de Educación Nacional implementará</w:t>
      </w:r>
      <w:r>
        <w:rPr>
          <w:rFonts w:ascii="Arial" w:eastAsia="Arial" w:hAnsi="Arial" w:cs="Arial"/>
          <w:i/>
          <w:iCs/>
          <w:sz w:val="22"/>
          <w:szCs w:val="22"/>
        </w:rPr>
        <w:t xml:space="preserve"> </w:t>
      </w:r>
      <w:r>
        <w:rPr>
          <w:rFonts w:ascii="Arial" w:eastAsia="Arial" w:hAnsi="Arial" w:cs="Arial"/>
          <w:sz w:val="22"/>
          <w:szCs w:val="22"/>
        </w:rPr>
        <w:t>módulos de cultura ciudadana sobre donación de órganos, tejidos, células y derivados en los programas de educación básica y media, con enfoque en principios y valores de solidaridad y derechos humanos.</w:t>
      </w:r>
    </w:p>
    <w:p w14:paraId="0000080D" w14:textId="77777777" w:rsidR="001C40B0" w:rsidRDefault="001C40B0">
      <w:pPr>
        <w:jc w:val="both"/>
        <w:rPr>
          <w:rFonts w:ascii="Arial" w:eastAsia="Arial" w:hAnsi="Arial" w:cs="Arial"/>
          <w:sz w:val="22"/>
          <w:szCs w:val="22"/>
        </w:rPr>
      </w:pPr>
    </w:p>
    <w:p w14:paraId="0000080E" w14:textId="77777777" w:rsidR="001C40B0" w:rsidRDefault="00291712">
      <w:pPr>
        <w:jc w:val="both"/>
        <w:rPr>
          <w:rFonts w:ascii="Arial" w:eastAsia="Arial" w:hAnsi="Arial" w:cs="Arial"/>
          <w:sz w:val="22"/>
          <w:szCs w:val="22"/>
        </w:rPr>
      </w:pPr>
      <w:r>
        <w:rPr>
          <w:rFonts w:ascii="Arial" w:eastAsia="Arial" w:hAnsi="Arial" w:cs="Arial"/>
          <w:sz w:val="22"/>
          <w:szCs w:val="22"/>
        </w:rPr>
        <w:br/>
      </w:r>
      <w:r>
        <w:rPr>
          <w:rFonts w:ascii="Arial" w:eastAsia="Arial" w:hAnsi="Arial" w:cs="Arial"/>
          <w:b/>
          <w:bCs/>
          <w:sz w:val="22"/>
          <w:szCs w:val="22"/>
        </w:rPr>
        <w:t>ARTÍCULO 30. ACOMPAÑAMIENTO TÉCNICO PRIORITARIO (ATP).</w:t>
      </w:r>
      <w:r>
        <w:rPr>
          <w:rFonts w:ascii="Arial" w:eastAsia="Arial" w:hAnsi="Arial" w:cs="Arial"/>
          <w:sz w:val="22"/>
          <w:szCs w:val="22"/>
        </w:rPr>
        <w:t xml:space="preserve"> El Ministerio de Salud y Protección Social, en coordinación con el Instituto Nacional de Salud (INS) y las secretarías departamentales y distritales de salud, diseñará e implementará un programa de Acompañamiento Técnico Prioritario (ATP) dirigido a departamentos</w:t>
      </w:r>
      <w:r>
        <w:rPr>
          <w:rFonts w:ascii="Arial" w:eastAsia="Arial" w:hAnsi="Arial" w:cs="Arial"/>
          <w:b/>
          <w:bCs/>
          <w:sz w:val="22"/>
          <w:szCs w:val="22"/>
          <w:u w:val="single"/>
        </w:rPr>
        <w:t>,</w:t>
      </w:r>
      <w:r>
        <w:rPr>
          <w:rFonts w:ascii="Arial" w:eastAsia="Arial" w:hAnsi="Arial" w:cs="Arial"/>
          <w:sz w:val="22"/>
          <w:szCs w:val="22"/>
        </w:rPr>
        <w:t xml:space="preserve"> distritos y territorios que, de acuerdo con los indicadores del Sistema de Información Nacional de la Red de Donación y Trasplantes, cumplan uno o más de los siguientes criterios: </w:t>
      </w:r>
    </w:p>
    <w:p w14:paraId="0000080F"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810"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1. Tasa de donación inferior a 3 donantes por millón de habitantes en el último año disponible. </w:t>
      </w:r>
    </w:p>
    <w:p w14:paraId="00000811" w14:textId="77777777" w:rsidR="001C40B0" w:rsidRDefault="00291712">
      <w:pPr>
        <w:jc w:val="both"/>
        <w:rPr>
          <w:rFonts w:ascii="Arial" w:eastAsia="Arial" w:hAnsi="Arial" w:cs="Arial"/>
          <w:sz w:val="22"/>
          <w:szCs w:val="22"/>
        </w:rPr>
      </w:pPr>
      <w:r>
        <w:rPr>
          <w:rFonts w:ascii="Arial" w:eastAsia="Arial" w:hAnsi="Arial" w:cs="Arial"/>
          <w:sz w:val="22"/>
          <w:szCs w:val="22"/>
        </w:rPr>
        <w:lastRenderedPageBreak/>
        <w:t xml:space="preserve"> </w:t>
      </w:r>
    </w:p>
    <w:p w14:paraId="00000812"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2. Ausencia de Instituciones Prestadoras de Salud (INS) habilitadas para la realización de trasplantes en su territorio. </w:t>
      </w:r>
    </w:p>
    <w:p w14:paraId="00000813"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814" w14:textId="77777777" w:rsidR="001C40B0" w:rsidRDefault="00291712">
      <w:pPr>
        <w:jc w:val="both"/>
        <w:rPr>
          <w:rFonts w:ascii="Arial" w:eastAsia="Arial" w:hAnsi="Arial" w:cs="Arial"/>
          <w:sz w:val="22"/>
          <w:szCs w:val="22"/>
        </w:rPr>
      </w:pPr>
      <w:r>
        <w:rPr>
          <w:rFonts w:ascii="Arial" w:eastAsia="Arial" w:hAnsi="Arial" w:cs="Arial"/>
          <w:sz w:val="22"/>
          <w:szCs w:val="22"/>
        </w:rPr>
        <w:t>3. Lista de espera activa de pacientes con enfermedad crónica trasplantable sin acceso oportuno a evaluación o trasplante en su región.</w:t>
      </w:r>
    </w:p>
    <w:p w14:paraId="00000815"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816" w14:textId="77777777" w:rsidR="001C40B0" w:rsidRDefault="00291712">
      <w:pPr>
        <w:jc w:val="both"/>
        <w:rPr>
          <w:rFonts w:ascii="Arial" w:eastAsia="Arial" w:hAnsi="Arial" w:cs="Arial"/>
          <w:sz w:val="22"/>
          <w:szCs w:val="22"/>
        </w:rPr>
      </w:pPr>
      <w:r>
        <w:rPr>
          <w:rFonts w:ascii="Arial" w:eastAsia="Arial" w:hAnsi="Arial" w:cs="Arial"/>
          <w:sz w:val="22"/>
          <w:szCs w:val="22"/>
        </w:rPr>
        <w:t>4. Tasa de negativa familiar superior a 85% durante los 2 últimos años consecutivos.</w:t>
      </w:r>
    </w:p>
    <w:p w14:paraId="00000817"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818" w14:textId="77777777" w:rsidR="001C40B0" w:rsidRDefault="00291712">
      <w:pPr>
        <w:jc w:val="both"/>
        <w:rPr>
          <w:rFonts w:ascii="Arial" w:eastAsia="Arial" w:hAnsi="Arial" w:cs="Arial"/>
          <w:sz w:val="22"/>
          <w:szCs w:val="22"/>
        </w:rPr>
      </w:pPr>
      <w:r>
        <w:rPr>
          <w:rFonts w:ascii="Arial" w:eastAsia="Arial" w:hAnsi="Arial" w:cs="Arial"/>
          <w:sz w:val="22"/>
          <w:szCs w:val="22"/>
        </w:rPr>
        <w:t>5. Limitaciones geográficas, logísticas o de infraestructura que afecten la viabilidad de la donación y</w:t>
      </w:r>
      <w:r>
        <w:rPr>
          <w:rFonts w:ascii="Arial" w:eastAsia="Arial" w:hAnsi="Arial" w:cs="Arial"/>
          <w:b/>
          <w:bCs/>
          <w:sz w:val="22"/>
          <w:szCs w:val="22"/>
          <w:u w:val="single"/>
        </w:rPr>
        <w:t>/</w:t>
      </w:r>
      <w:r>
        <w:rPr>
          <w:rFonts w:ascii="Arial" w:eastAsia="Arial" w:hAnsi="Arial" w:cs="Arial"/>
          <w:sz w:val="22"/>
          <w:szCs w:val="22"/>
        </w:rPr>
        <w:t xml:space="preserve">o el trasplante. </w:t>
      </w:r>
    </w:p>
    <w:p w14:paraId="00000819"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81A" w14:textId="77777777" w:rsidR="001C40B0" w:rsidRDefault="00291712">
      <w:pPr>
        <w:jc w:val="both"/>
        <w:rPr>
          <w:rFonts w:ascii="Arial" w:eastAsia="Arial" w:hAnsi="Arial" w:cs="Arial"/>
          <w:sz w:val="22"/>
          <w:szCs w:val="22"/>
        </w:rPr>
      </w:pPr>
      <w:r>
        <w:rPr>
          <w:rFonts w:ascii="Arial" w:eastAsia="Arial" w:hAnsi="Arial" w:cs="Arial"/>
          <w:b/>
          <w:bCs/>
          <w:sz w:val="22"/>
          <w:szCs w:val="22"/>
        </w:rPr>
        <w:t>Parágrafo 1.</w:t>
      </w:r>
      <w:r>
        <w:rPr>
          <w:rFonts w:ascii="Arial" w:eastAsia="Arial" w:hAnsi="Arial" w:cs="Arial"/>
          <w:sz w:val="22"/>
          <w:szCs w:val="22"/>
        </w:rPr>
        <w:t xml:space="preserve"> El Instituto Nacional de Salud (INS) publicará anualmente, a más tardar el 31 de marzo de cada año, un mapa de priorización territorial con base en los criterios anteriores, el cual servirá como insumo para la focalización del ATP.</w:t>
      </w:r>
    </w:p>
    <w:p w14:paraId="0000081B"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81C" w14:textId="77777777" w:rsidR="001C40B0" w:rsidRDefault="00291712">
      <w:pPr>
        <w:jc w:val="both"/>
        <w:rPr>
          <w:rFonts w:ascii="Arial" w:eastAsia="Arial" w:hAnsi="Arial" w:cs="Arial"/>
          <w:sz w:val="22"/>
          <w:szCs w:val="22"/>
        </w:rPr>
      </w:pPr>
      <w:r>
        <w:rPr>
          <w:rFonts w:ascii="Arial" w:eastAsia="Arial" w:hAnsi="Arial" w:cs="Arial"/>
          <w:b/>
          <w:bCs/>
          <w:sz w:val="22"/>
          <w:szCs w:val="22"/>
        </w:rPr>
        <w:t>Parágrafo 2.</w:t>
      </w:r>
      <w:r>
        <w:rPr>
          <w:rFonts w:ascii="Arial" w:eastAsia="Arial" w:hAnsi="Arial" w:cs="Arial"/>
          <w:sz w:val="22"/>
          <w:szCs w:val="22"/>
        </w:rPr>
        <w:t xml:space="preserve"> La inclusión en el Programa de Acompañamiento Técnico Prioritario no tendrá carácter sancionatorio, ni generará consecuencias negativas para los territorios; por el contrario, implicará una mayor asignación de recursos técnicos, financieros y de asistencia especializada por parte de nivel nacional.</w:t>
      </w:r>
    </w:p>
    <w:p w14:paraId="0000081D"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0000081E" w14:textId="77777777" w:rsidR="001C40B0" w:rsidRDefault="001C40B0">
      <w:pPr>
        <w:jc w:val="both"/>
        <w:rPr>
          <w:rFonts w:ascii="Arial" w:eastAsia="Arial" w:hAnsi="Arial" w:cs="Arial"/>
          <w:sz w:val="22"/>
          <w:szCs w:val="22"/>
        </w:rPr>
      </w:pPr>
    </w:p>
    <w:p w14:paraId="0000081F" w14:textId="77777777" w:rsidR="001C40B0" w:rsidRDefault="00291712">
      <w:pPr>
        <w:jc w:val="both"/>
        <w:rPr>
          <w:rFonts w:ascii="Arial" w:eastAsia="Arial" w:hAnsi="Arial" w:cs="Arial"/>
          <w:sz w:val="22"/>
          <w:szCs w:val="22"/>
        </w:rPr>
      </w:pPr>
      <w:r>
        <w:rPr>
          <w:rFonts w:ascii="Arial" w:eastAsia="Arial" w:hAnsi="Arial" w:cs="Arial"/>
          <w:b/>
          <w:bCs/>
          <w:sz w:val="22"/>
          <w:szCs w:val="22"/>
        </w:rPr>
        <w:t>ARTÍCULO 31. VIGENCIA Y DEROGACIONES.</w:t>
      </w:r>
      <w:r>
        <w:rPr>
          <w:rFonts w:ascii="Arial" w:eastAsia="Arial" w:hAnsi="Arial" w:cs="Arial"/>
          <w:sz w:val="22"/>
          <w:szCs w:val="22"/>
        </w:rPr>
        <w:t xml:space="preserve"> La presente ley rige a partir de su publicación en el Diario Oficial y deroga todas las disposiciones legales o reglamentarias que le sean contrarias.</w:t>
      </w:r>
    </w:p>
    <w:p w14:paraId="00000820" w14:textId="15D5D73F" w:rsidR="001C40B0" w:rsidRDefault="00291712">
      <w:pPr>
        <w:jc w:val="both"/>
        <w:rPr>
          <w:rFonts w:ascii="Arial" w:eastAsia="Arial" w:hAnsi="Arial" w:cs="Arial"/>
          <w:sz w:val="22"/>
          <w:szCs w:val="22"/>
        </w:rPr>
      </w:pPr>
      <w:r>
        <w:rPr>
          <w:rFonts w:ascii="Arial" w:eastAsia="Arial" w:hAnsi="Arial" w:cs="Arial"/>
          <w:sz w:val="22"/>
          <w:szCs w:val="22"/>
        </w:rPr>
        <w:t xml:space="preserve"> </w:t>
      </w:r>
    </w:p>
    <w:p w14:paraId="47AF552B" w14:textId="77777777" w:rsidR="00DF5C34" w:rsidRDefault="00DF5C34">
      <w:pPr>
        <w:jc w:val="both"/>
        <w:rPr>
          <w:rFonts w:ascii="Arial" w:eastAsia="Arial" w:hAnsi="Arial" w:cs="Arial"/>
          <w:sz w:val="22"/>
          <w:szCs w:val="22"/>
        </w:rPr>
      </w:pPr>
    </w:p>
    <w:p w14:paraId="00000821" w14:textId="77777777" w:rsidR="001C40B0" w:rsidRDefault="00291712">
      <w:pPr>
        <w:jc w:val="both"/>
        <w:rPr>
          <w:rFonts w:ascii="Arial" w:eastAsia="Arial" w:hAnsi="Arial" w:cs="Arial"/>
          <w:sz w:val="22"/>
          <w:szCs w:val="22"/>
        </w:rPr>
      </w:pPr>
      <w:r>
        <w:rPr>
          <w:rFonts w:ascii="Arial" w:eastAsia="Arial" w:hAnsi="Arial" w:cs="Arial"/>
          <w:sz w:val="22"/>
          <w:szCs w:val="22"/>
        </w:rPr>
        <w:t xml:space="preserve"> Cordialmente,</w:t>
      </w:r>
    </w:p>
    <w:p w14:paraId="00000822" w14:textId="77777777" w:rsidR="001C40B0" w:rsidRDefault="001C40B0">
      <w:pPr>
        <w:jc w:val="both"/>
        <w:rPr>
          <w:rFonts w:ascii="Arial" w:eastAsia="Arial" w:hAnsi="Arial" w:cs="Arial"/>
          <w:sz w:val="22"/>
          <w:szCs w:val="22"/>
        </w:rPr>
      </w:pPr>
    </w:p>
    <w:p w14:paraId="00000823" w14:textId="77777777" w:rsidR="001C40B0" w:rsidRDefault="001C40B0">
      <w:pPr>
        <w:jc w:val="both"/>
        <w:rPr>
          <w:rFonts w:ascii="Arial" w:eastAsia="Arial" w:hAnsi="Arial" w:cs="Arial"/>
          <w:sz w:val="22"/>
          <w:szCs w:val="22"/>
        </w:rPr>
      </w:pPr>
    </w:p>
    <w:p w14:paraId="00000824" w14:textId="77777777" w:rsidR="001C40B0" w:rsidRDefault="001C40B0">
      <w:pPr>
        <w:jc w:val="both"/>
        <w:rPr>
          <w:rFonts w:ascii="Arial" w:eastAsia="Arial" w:hAnsi="Arial" w:cs="Arial"/>
          <w:sz w:val="22"/>
          <w:szCs w:val="22"/>
        </w:rPr>
      </w:pPr>
    </w:p>
    <w:p w14:paraId="00000825" w14:textId="77777777" w:rsidR="001C40B0" w:rsidRDefault="001C40B0">
      <w:pPr>
        <w:jc w:val="both"/>
        <w:rPr>
          <w:rFonts w:ascii="Arial" w:eastAsia="Arial" w:hAnsi="Arial" w:cs="Arial"/>
          <w:sz w:val="22"/>
          <w:szCs w:val="22"/>
        </w:rPr>
      </w:pPr>
    </w:p>
    <w:p w14:paraId="00000826" w14:textId="77777777" w:rsidR="001C40B0" w:rsidRDefault="00291712">
      <w:pPr>
        <w:jc w:val="center"/>
        <w:rPr>
          <w:rFonts w:ascii="Arial" w:eastAsia="Arial" w:hAnsi="Arial" w:cs="Arial"/>
          <w:b/>
          <w:bCs/>
          <w:sz w:val="22"/>
          <w:szCs w:val="22"/>
        </w:rPr>
      </w:pPr>
      <w:r>
        <w:rPr>
          <w:rFonts w:ascii="Arial" w:eastAsia="Arial" w:hAnsi="Arial" w:cs="Arial"/>
          <w:b/>
          <w:bCs/>
          <w:sz w:val="22"/>
          <w:szCs w:val="22"/>
        </w:rPr>
        <w:t>HERNÁN DARÍO CADAVID MÁRQUEZ</w:t>
      </w:r>
    </w:p>
    <w:p w14:paraId="00000827" w14:textId="77777777" w:rsidR="001C40B0" w:rsidRDefault="00291712">
      <w:pPr>
        <w:jc w:val="center"/>
        <w:rPr>
          <w:rFonts w:ascii="Arial" w:eastAsia="Arial" w:hAnsi="Arial" w:cs="Arial"/>
          <w:b/>
          <w:bCs/>
          <w:sz w:val="22"/>
          <w:szCs w:val="22"/>
        </w:rPr>
      </w:pPr>
      <w:r>
        <w:rPr>
          <w:rFonts w:ascii="Arial" w:eastAsia="Arial" w:hAnsi="Arial" w:cs="Arial"/>
          <w:b/>
          <w:bCs/>
          <w:sz w:val="22"/>
          <w:szCs w:val="22"/>
        </w:rPr>
        <w:t>Representante a la Cámara</w:t>
      </w:r>
    </w:p>
    <w:p w14:paraId="00000828" w14:textId="77777777" w:rsidR="001C40B0" w:rsidRDefault="00291712">
      <w:pPr>
        <w:jc w:val="center"/>
        <w:rPr>
          <w:rFonts w:ascii="Arial" w:eastAsia="Arial" w:hAnsi="Arial" w:cs="Arial"/>
          <w:sz w:val="22"/>
          <w:szCs w:val="22"/>
        </w:rPr>
      </w:pPr>
      <w:r>
        <w:rPr>
          <w:rFonts w:ascii="Arial" w:eastAsia="Arial" w:hAnsi="Arial" w:cs="Arial"/>
          <w:b/>
          <w:bCs/>
          <w:sz w:val="22"/>
          <w:szCs w:val="22"/>
        </w:rPr>
        <w:t>Ponente</w:t>
      </w:r>
    </w:p>
    <w:sectPr w:rsidR="001C40B0">
      <w:headerReference w:type="default" r:id="rId20"/>
      <w:footerReference w:type="default" r:id="rId21"/>
      <w:pgSz w:w="12240" w:h="15840"/>
      <w:pgMar w:top="1417" w:right="1467" w:bottom="1417" w:left="1701"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Athenea Saavedra" w:date="2026-05-02T13:43:00Z" w:initials="">
    <w:p w14:paraId="0000083F" w14:textId="77777777" w:rsidR="001C40B0" w:rsidRDefault="00291712">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Comentario General: en algunos momentos se habla de Red de Donación y Trasplantes de Órganos, Tejidos y Células pero en otros sólo de Red de Donación y Trasplantes. Se debe unificar el término para no generar confusión</w:t>
      </w:r>
    </w:p>
  </w:comment>
  <w:comment w:id="4" w:author="Athenea Saavedra" w:date="2026-05-05T15:01:00Z" w:initials="">
    <w:p w14:paraId="00000840" w14:textId="77777777" w:rsidR="001C40B0" w:rsidRDefault="00291712">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Simplifiqué para no generar confusiones. Unifiqué todo a Red de Donación y Trasplantes</w:t>
      </w:r>
    </w:p>
  </w:comment>
  <w:comment w:id="5" w:author="Athenea Saavedra" w:date="2026-05-02T18:56:00Z" w:initials="">
    <w:p w14:paraId="0000083C" w14:textId="77777777" w:rsidR="001C40B0" w:rsidRDefault="00291712">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Haciendo una búsqueda en Google de esta asociación, no se encontraron resultados</w:t>
      </w:r>
    </w:p>
  </w:comment>
  <w:comment w:id="6" w:author="Athenea Saavedra" w:date="2026-05-02T18:58:00Z" w:initials="">
    <w:p w14:paraId="0000083D" w14:textId="77777777" w:rsidR="001C40B0" w:rsidRDefault="00291712">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En la medida que la comisión emitirá recomendaciones para el INS por temas de independencia, consideran que la participación en la comisión con 2 representantes es favorable? o por el contrario, consideran que le resta independencia?</w:t>
      </w:r>
    </w:p>
  </w:comment>
  <w:comment w:id="7" w:author="Athenea Saavedra" w:date="2026-05-04T23:58:00Z" w:initials="">
    <w:p w14:paraId="0000083E" w14:textId="77777777" w:rsidR="001C40B0" w:rsidRDefault="00291712">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El párrafo del delegado del Ministerio de Salud podría ser así: El Ministerio de Salud y Protección Social podrá designar un delegado para participar en las sesiones y discusiones de la Comisión de Expertos. Dicho delegado deberá contar con formación, experiencia y conocimientos técnico científicos.</w:t>
      </w:r>
    </w:p>
  </w:comment>
  <w:comment w:id="8" w:author="Athenea Saavedra" w:date="2026-05-05T15:26:00Z" w:initials="">
    <w:p w14:paraId="0000083B" w14:textId="77777777" w:rsidR="001C40B0" w:rsidRDefault="00291712">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Aquí reflejó lo que señaló el Dr de la red</w:t>
      </w:r>
    </w:p>
  </w:comment>
  <w:comment w:id="9" w:author="Athenea Saavedra" w:date="2026-05-05T15:23:00Z" w:initials="">
    <w:p w14:paraId="00000841" w14:textId="77777777" w:rsidR="001C40B0" w:rsidRDefault="00291712">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Esto en línea con la necesidad de educar también a los jueces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00083F" w15:done="0"/>
  <w15:commentEx w15:paraId="00000840" w15:paraIdParent="0000083F" w15:done="0"/>
  <w15:commentEx w15:paraId="0000083C" w15:done="0"/>
  <w15:commentEx w15:paraId="0000083D" w15:done="0"/>
  <w15:commentEx w15:paraId="0000083E" w15:paraIdParent="0000083D" w15:done="0"/>
  <w15:commentEx w15:paraId="0000083B" w15:done="0"/>
  <w15:commentEx w15:paraId="00000841"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806F2B" w14:textId="77777777" w:rsidR="0025096F" w:rsidRDefault="0025096F">
      <w:r>
        <w:separator/>
      </w:r>
    </w:p>
  </w:endnote>
  <w:endnote w:type="continuationSeparator" w:id="0">
    <w:p w14:paraId="4EEFD0D0" w14:textId="77777777" w:rsidR="0025096F" w:rsidRDefault="00250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2DA48CC7-5F58-45E6-AE83-6CCA86D6833C}"/>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9A24D84-F97B-4ED5-817C-E6CD6B1EA530}"/>
  </w:font>
  <w:font w:name="Georgia">
    <w:panose1 w:val="02040502050405020303"/>
    <w:charset w:val="00"/>
    <w:family w:val="roman"/>
    <w:pitch w:val="variable"/>
    <w:sig w:usb0="00000287" w:usb1="00000000" w:usb2="00000000" w:usb3="00000000" w:csb0="0000009F" w:csb1="00000000"/>
    <w:embedItalic r:id="rId3" w:fontKey="{98FA62AF-59E9-48DB-AD0E-656914BB849A}"/>
  </w:font>
  <w:font w:name="Segoe UI">
    <w:panose1 w:val="020B0502040204020203"/>
    <w:charset w:val="00"/>
    <w:family w:val="swiss"/>
    <w:pitch w:val="variable"/>
    <w:sig w:usb0="E4002EFF" w:usb1="C000E47F" w:usb2="00000009" w:usb3="00000000" w:csb0="000001FF" w:csb1="00000000"/>
    <w:embedRegular r:id="rId4" w:fontKey="{EABE3720-1FCB-4543-B8DD-E5ED83118B3D}"/>
  </w:font>
  <w:font w:name="Playfair Display">
    <w:altName w:val="Times New Roman"/>
    <w:panose1 w:val="00000000000000000000"/>
    <w:charset w:val="00"/>
    <w:family w:val="roman"/>
    <w:notTrueType/>
    <w:pitch w:val="default"/>
  </w:font>
  <w:font w:name="Raleway">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5" w:fontKey="{67582EE8-AF29-4782-B138-3BC42EC9709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2333593"/>
      <w:docPartObj>
        <w:docPartGallery w:val="Page Numbers (Bottom of Page)"/>
        <w:docPartUnique/>
      </w:docPartObj>
    </w:sdtPr>
    <w:sdtEndPr/>
    <w:sdtContent>
      <w:p w14:paraId="3B895ED2" w14:textId="09456C6A" w:rsidR="00DF5C34" w:rsidRDefault="00DF5C34">
        <w:pPr>
          <w:pStyle w:val="Piedepgina"/>
          <w:jc w:val="right"/>
        </w:pPr>
        <w:r>
          <w:fldChar w:fldCharType="begin"/>
        </w:r>
        <w:r>
          <w:instrText>PAGE   \* MERGEFORMAT</w:instrText>
        </w:r>
        <w:r>
          <w:fldChar w:fldCharType="separate"/>
        </w:r>
        <w:r w:rsidR="006D465F" w:rsidRPr="006D465F">
          <w:rPr>
            <w:noProof/>
            <w:lang w:val="es-ES"/>
          </w:rPr>
          <w:t>96</w:t>
        </w:r>
        <w:r>
          <w:fldChar w:fldCharType="end"/>
        </w:r>
      </w:p>
    </w:sdtContent>
  </w:sdt>
  <w:p w14:paraId="700B25DF" w14:textId="77777777" w:rsidR="00DF5C34" w:rsidRDefault="00DF5C3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51F522" w14:textId="77777777" w:rsidR="0025096F" w:rsidRDefault="0025096F">
      <w:r>
        <w:separator/>
      </w:r>
    </w:p>
  </w:footnote>
  <w:footnote w:type="continuationSeparator" w:id="0">
    <w:p w14:paraId="444D7AB5" w14:textId="77777777" w:rsidR="0025096F" w:rsidRDefault="0025096F">
      <w:r>
        <w:continuationSeparator/>
      </w:r>
    </w:p>
  </w:footnote>
  <w:footnote w:id="1">
    <w:p w14:paraId="00000829" w14:textId="77777777" w:rsidR="001C40B0" w:rsidRDefault="0029171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2 https://www.ins.gov.co/Noticias/Paginas/Balance-de-trasplantes.aspx</w:t>
      </w:r>
    </w:p>
  </w:footnote>
  <w:footnote w:id="2">
    <w:p w14:paraId="0000082A" w14:textId="77777777" w:rsidR="001C40B0" w:rsidRDefault="0029171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Instituto Nacional de Salud, “Crece cifra de donación y trasplantes en Colombia” https://www.ins.gov.co/Noticias/Paginas/Crece-cifra-de-donaci%C3%B3n-y-trasplantes-en-Colombia.aspx</w:t>
      </w:r>
    </w:p>
  </w:footnote>
  <w:footnote w:id="3">
    <w:p w14:paraId="0000082B" w14:textId="77777777" w:rsidR="001C40B0" w:rsidRDefault="0029171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Rev Panam Salud Publica 46, 2022 | www.paho.org/journal | https://doi.org/10.26633/RPSP.2022.97</w:t>
      </w:r>
    </w:p>
  </w:footnote>
  <w:footnote w:id="4">
    <w:p w14:paraId="0000082C" w14:textId="77777777" w:rsidR="001C40B0" w:rsidRDefault="0029171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1">
        <w:r>
          <w:rPr>
            <w:color w:val="0563C1"/>
            <w:sz w:val="20"/>
            <w:szCs w:val="20"/>
            <w:u w:val="single"/>
          </w:rPr>
          <w:t>https://www.semana.com/salud/articulo/trasplantes-de-organos-en-colombia-hay-3663-personas-en-la-lista-de- espera/202313/</w:t>
        </w:r>
      </w:hyperlink>
    </w:p>
  </w:footnote>
  <w:footnote w:id="5">
    <w:p w14:paraId="0000082D" w14:textId="77777777" w:rsidR="001C40B0" w:rsidRDefault="0029171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Ídem. Instituto Nacional de Salud, Boletín de Prensa “Balance de Trasplantes</w:t>
      </w:r>
    </w:p>
  </w:footnote>
  <w:footnote w:id="6">
    <w:p w14:paraId="0000082E" w14:textId="77777777" w:rsidR="001C40B0" w:rsidRDefault="0029171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20"/>
          <w:szCs w:val="20"/>
        </w:rPr>
        <w:t xml:space="preserve">Hessheimer, A.J., Gastaca, M., Miñambres, E., Colmenero, J., Fondevila, C. and (2020), Donation after circulatory death today: an updated overview of the European landscape. Transpl Int </w:t>
      </w:r>
    </w:p>
  </w:footnote>
  <w:footnote w:id="7">
    <w:p w14:paraId="0000082F" w14:textId="77777777" w:rsidR="001C40B0" w:rsidRDefault="0029171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Ministerio de Sanidad de España, Boletín de Prensa “España aporta 1 de cada 3 donantes en asistolia de la Unión Europea”. https://www.sanidad.gob.es/gabinete/notasPrensa.do?id=4683</w:t>
      </w:r>
    </w:p>
  </w:footnote>
  <w:footnote w:id="8">
    <w:p w14:paraId="00000830" w14:textId="77777777" w:rsidR="001C40B0" w:rsidRDefault="0029171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20"/>
          <w:szCs w:val="20"/>
        </w:rPr>
        <w:t>Instituto Nacional de Salud, Informe Anual 2020 Red de Donación y Trasplantes Colombia. Edición en Línea: ISSN 2256-408X, Vol. 10, año 2020 https://</w:t>
      </w:r>
      <w:hyperlink r:id="rId2">
        <w:r>
          <w:rPr>
            <w:rFonts w:ascii="Arial" w:eastAsia="Arial" w:hAnsi="Arial" w:cs="Arial"/>
            <w:color w:val="000000"/>
            <w:sz w:val="20"/>
            <w:szCs w:val="20"/>
          </w:rPr>
          <w:t>www.ins.gov.co/BibliotecaDigital/Informe-red-donacion-y-trasplantes-2020.pdf</w:t>
        </w:r>
      </w:hyperlink>
    </w:p>
  </w:footnote>
  <w:footnote w:id="9">
    <w:p w14:paraId="00000831" w14:textId="77777777" w:rsidR="001C40B0" w:rsidRDefault="0029171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Comparison of Kidney Function Between Donation After Cardiac Death and Donation After Brain Death Kidney Transplantation. Wadei, Hani M; Heckman, Michael G; Rawal, Bhupendra; Taner, C. Burcin; Farahat, Waleed; Nur, Laila; Mai, Martin L.; Prendergast, Mary; Gonwa, Thomas A. Transplantation: August 15th, 2013 - Volume 96 - Issue https://journals.lww.com/transplantjournal/fulltext/2013/08150/Comparison_of_Kidney_Function_Between_Donation.1 aspx</w:t>
      </w:r>
    </w:p>
  </w:footnote>
  <w:footnote w:id="10">
    <w:p w14:paraId="00000832" w14:textId="77777777" w:rsidR="001C40B0" w:rsidRDefault="0029171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Pitarch Martínez M, Sánchez Pérez B, León Díaz FJ, Fernández Aguilar JL, Pérez Daga JA, Montiel Casado MC, Aranda Narváez JM, Suárez Muñoz MÁ, Santoyo Santoyo J. Donation After Cardiac Death in Liver Transplantation: An Additional Source of Organs With Similar Results to Donation After Brain Death. Transplant Proc. 2019 Jan-Feb;51(1):4-8. doi: 10.1016/j.transproceed.2018.02.208.</w:t>
      </w:r>
      <w:r>
        <w:rPr>
          <w:color w:val="000000"/>
          <w:sz w:val="20"/>
          <w:szCs w:val="20"/>
        </w:rPr>
        <w:tab/>
        <w:t>Epub</w:t>
      </w:r>
      <w:r>
        <w:rPr>
          <w:color w:val="000000"/>
          <w:sz w:val="20"/>
          <w:szCs w:val="20"/>
        </w:rPr>
        <w:tab/>
        <w:t>2018</w:t>
      </w:r>
      <w:r>
        <w:rPr>
          <w:color w:val="000000"/>
          <w:sz w:val="20"/>
          <w:szCs w:val="20"/>
        </w:rPr>
        <w:tab/>
        <w:t>Jun PMID:    30655142.</w:t>
      </w:r>
    </w:p>
    <w:p w14:paraId="00000833" w14:textId="77777777" w:rsidR="001C40B0" w:rsidRDefault="00291712">
      <w:pPr>
        <w:pBdr>
          <w:top w:val="nil"/>
          <w:left w:val="nil"/>
          <w:bottom w:val="nil"/>
          <w:right w:val="nil"/>
          <w:between w:val="nil"/>
        </w:pBdr>
        <w:rPr>
          <w:color w:val="000000"/>
          <w:sz w:val="20"/>
          <w:szCs w:val="20"/>
        </w:rPr>
      </w:pPr>
      <w:r>
        <w:rPr>
          <w:color w:val="000000"/>
          <w:sz w:val="20"/>
          <w:szCs w:val="20"/>
        </w:rPr>
        <w:t>https://www.ncbi.nlm.nih.gov/pubmed/30655142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834" w14:textId="77777777" w:rsidR="001C40B0" w:rsidRDefault="00291712">
    <w:pPr>
      <w:pBdr>
        <w:top w:val="nil"/>
        <w:left w:val="nil"/>
        <w:bottom w:val="nil"/>
        <w:right w:val="nil"/>
        <w:between w:val="nil"/>
      </w:pBdr>
      <w:tabs>
        <w:tab w:val="center" w:pos="4419"/>
        <w:tab w:val="right" w:pos="8838"/>
      </w:tabs>
      <w:rPr>
        <w:color w:val="000000"/>
      </w:rPr>
    </w:pPr>
    <w:r>
      <w:rPr>
        <w:noProof/>
      </w:rPr>
      <mc:AlternateContent>
        <mc:Choice Requires="wpg">
          <w:drawing>
            <wp:anchor distT="0" distB="0" distL="114300" distR="114300" simplePos="0" relativeHeight="251658240" behindDoc="0" locked="0" layoutInCell="1" hidden="0" allowOverlap="1">
              <wp:simplePos x="0" y="0"/>
              <wp:positionH relativeFrom="column">
                <wp:posOffset>1596389</wp:posOffset>
              </wp:positionH>
              <wp:positionV relativeFrom="paragraph">
                <wp:posOffset>-154302</wp:posOffset>
              </wp:positionV>
              <wp:extent cx="2466975" cy="561975"/>
              <wp:effectExtent l="0" t="0" r="0" b="0"/>
              <wp:wrapNone/>
              <wp:docPr id="6" name="Grupo 6"/>
              <wp:cNvGraphicFramePr/>
              <a:graphic xmlns:a="http://schemas.openxmlformats.org/drawingml/2006/main">
                <a:graphicData uri="http://schemas.microsoft.com/office/word/2010/wordprocessingGroup">
                  <wpg:wgp>
                    <wpg:cNvGrpSpPr/>
                    <wpg:grpSpPr>
                      <a:xfrm>
                        <a:off x="0" y="0"/>
                        <a:ext cx="2466975" cy="561975"/>
                        <a:chOff x="4112500" y="3499000"/>
                        <a:chExt cx="2467000" cy="562000"/>
                      </a:xfrm>
                    </wpg:grpSpPr>
                    <wpg:grpSp>
                      <wpg:cNvPr id="1" name="Grupo 1"/>
                      <wpg:cNvGrpSpPr/>
                      <wpg:grpSpPr>
                        <a:xfrm>
                          <a:off x="4112513" y="3499013"/>
                          <a:ext cx="2466975" cy="561975"/>
                          <a:chOff x="4112500" y="3499000"/>
                          <a:chExt cx="2467000" cy="562000"/>
                        </a:xfrm>
                      </wpg:grpSpPr>
                      <wps:wsp>
                        <wps:cNvPr id="2" name="Rectángulo 2"/>
                        <wps:cNvSpPr/>
                        <wps:spPr>
                          <a:xfrm>
                            <a:off x="4112500" y="3499000"/>
                            <a:ext cx="2467000" cy="562000"/>
                          </a:xfrm>
                          <a:prstGeom prst="rect">
                            <a:avLst/>
                          </a:prstGeom>
                          <a:noFill/>
                          <a:ln>
                            <a:noFill/>
                          </a:ln>
                        </wps:spPr>
                        <wps:txbx>
                          <w:txbxContent>
                            <w:p w14:paraId="1574B594" w14:textId="77777777" w:rsidR="001C40B0" w:rsidRDefault="001C40B0">
                              <w:pPr>
                                <w:textDirection w:val="btLr"/>
                              </w:pPr>
                            </w:p>
                          </w:txbxContent>
                        </wps:txbx>
                        <wps:bodyPr spcFirstLastPara="1" wrap="square" lIns="91425" tIns="91425" rIns="91425" bIns="91425" anchor="ctr" anchorCtr="0">
                          <a:noAutofit/>
                        </wps:bodyPr>
                      </wps:wsp>
                      <wpg:grpSp>
                        <wpg:cNvPr id="3" name="Grupo 3"/>
                        <wpg:cNvGrpSpPr/>
                        <wpg:grpSpPr>
                          <a:xfrm>
                            <a:off x="4112513" y="3499013"/>
                            <a:ext cx="2466975" cy="561975"/>
                            <a:chOff x="4112500" y="3499000"/>
                            <a:chExt cx="2467000" cy="562000"/>
                          </a:xfrm>
                        </wpg:grpSpPr>
                        <wps:wsp>
                          <wps:cNvPr id="4" name="Rectángulo 4"/>
                          <wps:cNvSpPr/>
                          <wps:spPr>
                            <a:xfrm>
                              <a:off x="4112500" y="3499000"/>
                              <a:ext cx="2467000" cy="562000"/>
                            </a:xfrm>
                            <a:prstGeom prst="rect">
                              <a:avLst/>
                            </a:prstGeom>
                            <a:noFill/>
                            <a:ln>
                              <a:noFill/>
                            </a:ln>
                          </wps:spPr>
                          <wps:txbx>
                            <w:txbxContent>
                              <w:p w14:paraId="0EF9FC8A" w14:textId="77777777" w:rsidR="001C40B0" w:rsidRDefault="001C40B0">
                                <w:pPr>
                                  <w:textDirection w:val="btLr"/>
                                </w:pPr>
                              </w:p>
                            </w:txbxContent>
                          </wps:txbx>
                          <wps:bodyPr spcFirstLastPara="1" wrap="square" lIns="91425" tIns="91425" rIns="91425" bIns="91425" anchor="ctr" anchorCtr="0">
                            <a:noAutofit/>
                          </wps:bodyPr>
                        </wps:wsp>
                        <wpg:grpSp>
                          <wpg:cNvPr id="5" name="Grupo 5"/>
                          <wpg:cNvGrpSpPr/>
                          <wpg:grpSpPr>
                            <a:xfrm>
                              <a:off x="4112513" y="3499013"/>
                              <a:ext cx="2466975" cy="561975"/>
                              <a:chOff x="1142666" y="0"/>
                              <a:chExt cx="6252858" cy="1321327"/>
                            </a:xfrm>
                          </wpg:grpSpPr>
                          <wps:wsp>
                            <wps:cNvPr id="7" name="Rectángulo 7"/>
                            <wps:cNvSpPr/>
                            <wps:spPr>
                              <a:xfrm>
                                <a:off x="1142666" y="0"/>
                                <a:ext cx="6252850" cy="1321325"/>
                              </a:xfrm>
                              <a:prstGeom prst="rect">
                                <a:avLst/>
                              </a:prstGeom>
                              <a:noFill/>
                              <a:ln>
                                <a:noFill/>
                              </a:ln>
                            </wps:spPr>
                            <wps:txbx>
                              <w:txbxContent>
                                <w:p w14:paraId="5911563E" w14:textId="77777777" w:rsidR="001C40B0" w:rsidRDefault="001C40B0">
                                  <w:pPr>
                                    <w:textDirection w:val="btLr"/>
                                  </w:pPr>
                                </w:p>
                              </w:txbxContent>
                            </wps:txbx>
                            <wps:bodyPr spcFirstLastPara="1" wrap="square" lIns="91425" tIns="91425" rIns="91425" bIns="91425" anchor="ctr" anchorCtr="0">
                              <a:noAutofit/>
                            </wps:bodyPr>
                          </wps:wsp>
                          <pic:pic xmlns:pic="http://schemas.openxmlformats.org/drawingml/2006/picture">
                            <pic:nvPicPr>
                              <pic:cNvPr id="31" name="Shape 31"/>
                              <pic:cNvPicPr preferRelativeResize="0"/>
                            </pic:nvPicPr>
                            <pic:blipFill rotWithShape="1">
                              <a:blip r:embed="rId1">
                                <a:alphaModFix/>
                              </a:blip>
                              <a:srcRect/>
                              <a:stretch/>
                            </pic:blipFill>
                            <pic:spPr>
                              <a:xfrm>
                                <a:off x="1142666" y="0"/>
                                <a:ext cx="4443244" cy="1312099"/>
                              </a:xfrm>
                              <a:prstGeom prst="rect">
                                <a:avLst/>
                              </a:prstGeom>
                              <a:noFill/>
                              <a:ln>
                                <a:noFill/>
                              </a:ln>
                            </pic:spPr>
                          </pic:pic>
                          <pic:pic xmlns:pic="http://schemas.openxmlformats.org/drawingml/2006/picture">
                            <pic:nvPicPr>
                              <pic:cNvPr id="32" name="Shape 32"/>
                              <pic:cNvPicPr preferRelativeResize="0"/>
                            </pic:nvPicPr>
                            <pic:blipFill rotWithShape="1">
                              <a:blip r:embed="rId2">
                                <a:alphaModFix/>
                              </a:blip>
                              <a:srcRect l="4248" t="8275" b="636"/>
                              <a:stretch/>
                            </pic:blipFill>
                            <pic:spPr>
                              <a:xfrm>
                                <a:off x="5873910" y="0"/>
                                <a:ext cx="1521614" cy="1321327"/>
                              </a:xfrm>
                              <a:prstGeom prst="rect">
                                <a:avLst/>
                              </a:prstGeom>
                              <a:noFill/>
                              <a:ln>
                                <a:noFill/>
                              </a:ln>
                            </pic:spPr>
                          </pic:pic>
                        </wpg:grpSp>
                      </wpg:grpSp>
                    </wpg:grpSp>
                  </wpg:wgp>
                </a:graphicData>
              </a:graphic>
            </wp:anchor>
          </w:drawing>
        </mc:Choice>
        <mc:Fallback>
          <w:pict>
            <v:group id="Grupo 6" o:spid="_x0000_s1026" style="position:absolute;margin-left:125.7pt;margin-top:-12.15pt;width:194.25pt;height:44.25pt;z-index:251658240" coordorigin="41125,34990" coordsize="24670,5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">
              <v:group id="Grupo 1" o:spid="_x0000_s1027" style="position:absolute;left:41125;top:34990;width:24669;height:5619" coordorigin="41125,34990" coordsize="24670,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left:41125;top:34990;width:24670;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574B594" w14:textId="77777777" w:rsidR="001C40B0" w:rsidRDefault="001C40B0">
                        <w:pPr>
                          <w:textDirection w:val="btLr"/>
                        </w:pPr>
                      </w:p>
                    </w:txbxContent>
                  </v:textbox>
                </v:rect>
                <v:group id="Grupo 3" o:spid="_x0000_s1029" style="position:absolute;left:41125;top:34990;width:24669;height:5619" coordorigin="41125,34990" coordsize="24670,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30" style="position:absolute;left:41125;top:34990;width:24670;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0EF9FC8A" w14:textId="77777777" w:rsidR="001C40B0" w:rsidRDefault="001C40B0">
                          <w:pPr>
                            <w:textDirection w:val="btLr"/>
                          </w:pPr>
                        </w:p>
                      </w:txbxContent>
                    </v:textbox>
                  </v:rect>
                  <v:group id="Grupo 5" o:spid="_x0000_s1031" style="position:absolute;left:41125;top:34990;width:24669;height:5619" coordorigin="11426" coordsize="62528,1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ángulo 7" o:spid="_x0000_s1032" style="position:absolute;left:11426;width:62529;height:13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5911563E" w14:textId="77777777" w:rsidR="001C40B0" w:rsidRDefault="001C40B0">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1" o:spid="_x0000_s1033" type="#_x0000_t75" style="position:absolute;left:11426;width:44433;height:131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">
                      <v:imagedata r:id="rId3" o:title=""/>
                    </v:shape>
                    <v:shape id="Shape 32" o:spid="_x0000_s1034" type="#_x0000_t75" style="position:absolute;left:58739;width:15216;height:132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">
                      <v:imagedata r:id="rId4" o:title="" croptop="5423f" cropbottom="417f" cropleft="2784f"/>
                    </v:shape>
                  </v:group>
                </v:group>
              </v:group>
            </v:group>
          </w:pict>
        </mc:Fallback>
      </mc:AlternateContent>
    </w:r>
  </w:p>
  <w:p w14:paraId="00000835" w14:textId="77777777" w:rsidR="001C40B0" w:rsidRDefault="001C40B0">
    <w:pPr>
      <w:pBdr>
        <w:top w:val="nil"/>
        <w:left w:val="nil"/>
        <w:bottom w:val="nil"/>
        <w:right w:val="nil"/>
        <w:between w:val="nil"/>
      </w:pBdr>
      <w:tabs>
        <w:tab w:val="center" w:pos="4419"/>
        <w:tab w:val="right" w:pos="8838"/>
      </w:tabs>
      <w:rPr>
        <w:color w:val="000000"/>
      </w:rPr>
    </w:pPr>
  </w:p>
  <w:p w14:paraId="00000836" w14:textId="77777777" w:rsidR="001C40B0" w:rsidRDefault="00291712">
    <w:pPr>
      <w:pBdr>
        <w:top w:val="nil"/>
        <w:left w:val="nil"/>
        <w:bottom w:val="nil"/>
        <w:right w:val="nil"/>
        <w:between w:val="nil"/>
      </w:pBdr>
      <w:tabs>
        <w:tab w:val="center" w:pos="4419"/>
        <w:tab w:val="right" w:pos="8838"/>
      </w:tabs>
      <w:rPr>
        <w:color w:val="000000"/>
      </w:rPr>
    </w:pPr>
    <w:r>
      <w:rPr>
        <w:noProof/>
      </w:rPr>
      <mc:AlternateContent>
        <mc:Choice Requires="wps">
          <w:drawing>
            <wp:anchor distT="0" distB="0" distL="114300" distR="114300" simplePos="0" relativeHeight="251659264" behindDoc="0" locked="0" layoutInCell="1" hidden="0" allowOverlap="1" wp14:editId="2D364BF7">
              <wp:simplePos x="0" y="0"/>
              <wp:positionH relativeFrom="margin">
                <wp:align>center</wp:align>
              </wp:positionH>
              <wp:positionV relativeFrom="paragraph">
                <wp:posOffset>87630</wp:posOffset>
              </wp:positionV>
              <wp:extent cx="2790825" cy="200025"/>
              <wp:effectExtent l="0" t="0" r="9525" b="9525"/>
              <wp:wrapNone/>
              <wp:docPr id="8" name="Rectángulo 8"/>
              <wp:cNvGraphicFramePr/>
              <a:graphic xmlns:a="http://schemas.openxmlformats.org/drawingml/2006/main">
                <a:graphicData uri="http://schemas.microsoft.com/office/word/2010/wordprocessingShape">
                  <wps:wsp>
                    <wps:cNvSpPr/>
                    <wps:spPr>
                      <a:xfrm>
                        <a:off x="0" y="0"/>
                        <a:ext cx="2790825" cy="200025"/>
                      </a:xfrm>
                      <a:prstGeom prst="rect">
                        <a:avLst/>
                      </a:prstGeom>
                      <a:noFill/>
                      <a:ln>
                        <a:noFill/>
                      </a:ln>
                    </wps:spPr>
                    <wps:txbx>
                      <w:txbxContent>
                        <w:p w14:paraId="2EC5093D" w14:textId="77777777" w:rsidR="001C40B0" w:rsidRPr="00DF5C34" w:rsidRDefault="00291712">
                          <w:pPr>
                            <w:jc w:val="center"/>
                            <w:textDirection w:val="btLr"/>
                            <w:rPr>
                              <w:rFonts w:ascii="Arial" w:hAnsi="Arial" w:cs="Arial"/>
                            </w:rPr>
                          </w:pPr>
                          <w:r w:rsidRPr="00DF5C34">
                            <w:rPr>
                              <w:rFonts w:ascii="Arial" w:eastAsia="Playfair Display" w:hAnsi="Arial" w:cs="Arial"/>
                              <w:b/>
                              <w:color w:val="BD9E55"/>
                              <w:sz w:val="22"/>
                            </w:rPr>
                            <w:t>HERNÁN DARÍO CADAVID MÁRQUEZ</w:t>
                          </w:r>
                        </w:p>
                      </w:txbxContent>
                    </wps:txbx>
                    <wps:bodyPr spcFirstLastPara="1" wrap="square" lIns="0" tIns="0" rIns="0" bIns="0" anchor="t" anchorCtr="0">
                      <a:noAutofit/>
                    </wps:bodyPr>
                  </wps:wsp>
                </a:graphicData>
              </a:graphic>
            </wp:anchor>
          </w:drawing>
        </mc:Choice>
        <mc:Fallback>
          <w:pict>
            <v:rect id="Rectángulo 8" o:spid="_x0000_s1035" style="position:absolute;margin-left:0;margin-top:6.9pt;width:219.75pt;height:15.7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" filled="f" stroked="f">
              <v:textbox inset="0,0,0,0">
                <w:txbxContent>
                  <w:p w14:paraId="2EC5093D" w14:textId="77777777" w:rsidR="001C40B0" w:rsidRPr="00DF5C34" w:rsidRDefault="00291712">
                    <w:pPr>
                      <w:jc w:val="center"/>
                      <w:textDirection w:val="btLr"/>
                      <w:rPr>
                        <w:rFonts w:ascii="Arial" w:hAnsi="Arial" w:cs="Arial"/>
                      </w:rPr>
                    </w:pPr>
                    <w:r w:rsidRPr="00DF5C34">
                      <w:rPr>
                        <w:rFonts w:ascii="Arial" w:eastAsia="Playfair Display" w:hAnsi="Arial" w:cs="Arial"/>
                        <w:b/>
                        <w:color w:val="BD9E55"/>
                        <w:sz w:val="22"/>
                      </w:rPr>
                      <w:t>HERNÁN DARÍO CADAVID MÁRQUEZ</w:t>
                    </w:r>
                  </w:p>
                </w:txbxContent>
              </v:textbox>
              <w10:wrap anchorx="margin"/>
            </v:rect>
          </w:pict>
        </mc:Fallback>
      </mc:AlternateContent>
    </w:r>
  </w:p>
  <w:p w14:paraId="00000837" w14:textId="77777777" w:rsidR="001C40B0" w:rsidRDefault="00291712">
    <w:pPr>
      <w:pBdr>
        <w:top w:val="nil"/>
        <w:left w:val="nil"/>
        <w:bottom w:val="nil"/>
        <w:right w:val="nil"/>
        <w:between w:val="nil"/>
      </w:pBdr>
      <w:tabs>
        <w:tab w:val="center" w:pos="4419"/>
        <w:tab w:val="right" w:pos="8838"/>
      </w:tabs>
      <w:rPr>
        <w:color w:val="000000"/>
      </w:rPr>
    </w:pPr>
    <w:r>
      <w:rPr>
        <w:noProof/>
      </w:rPr>
      <mc:AlternateContent>
        <mc:Choice Requires="wps">
          <w:drawing>
            <wp:anchor distT="0" distB="0" distL="114300" distR="114300" simplePos="0" relativeHeight="251660288" behindDoc="0" locked="0" layoutInCell="1" hidden="0" allowOverlap="1">
              <wp:simplePos x="0" y="0"/>
              <wp:positionH relativeFrom="column">
                <wp:posOffset>1715452</wp:posOffset>
              </wp:positionH>
              <wp:positionV relativeFrom="paragraph">
                <wp:posOffset>55493</wp:posOffset>
              </wp:positionV>
              <wp:extent cx="2209800" cy="333375"/>
              <wp:effectExtent l="0" t="0" r="0" b="0"/>
              <wp:wrapNone/>
              <wp:docPr id="9" name="Rectángulo 9"/>
              <wp:cNvGraphicFramePr/>
              <a:graphic xmlns:a="http://schemas.openxmlformats.org/drawingml/2006/main">
                <a:graphicData uri="http://schemas.microsoft.com/office/word/2010/wordprocessingShape">
                  <wps:wsp>
                    <wps:cNvSpPr/>
                    <wps:spPr>
                      <a:xfrm>
                        <a:off x="4255388" y="3627600"/>
                        <a:ext cx="2181225" cy="304800"/>
                      </a:xfrm>
                      <a:prstGeom prst="rect">
                        <a:avLst/>
                      </a:prstGeom>
                      <a:noFill/>
                      <a:ln>
                        <a:noFill/>
                      </a:ln>
                    </wps:spPr>
                    <wps:txbx>
                      <w:txbxContent>
                        <w:p w14:paraId="3E88E475" w14:textId="77777777" w:rsidR="001C40B0" w:rsidRPr="00DF5C34" w:rsidRDefault="00291712">
                          <w:pPr>
                            <w:jc w:val="center"/>
                            <w:textDirection w:val="btLr"/>
                            <w:rPr>
                              <w:rFonts w:ascii="Arial" w:hAnsi="Arial" w:cs="Arial"/>
                            </w:rPr>
                          </w:pPr>
                          <w:r w:rsidRPr="00DF5C34">
                            <w:rPr>
                              <w:rFonts w:ascii="Arial" w:eastAsia="Raleway" w:hAnsi="Arial" w:cs="Arial"/>
                              <w:b/>
                              <w:color w:val="C1A164"/>
                              <w:sz w:val="20"/>
                            </w:rPr>
                            <w:t>Representante a la Cámara</w:t>
                          </w:r>
                        </w:p>
                        <w:p w14:paraId="24B12E2E" w14:textId="77777777" w:rsidR="001C40B0" w:rsidRPr="00DF5C34" w:rsidRDefault="00291712">
                          <w:pPr>
                            <w:jc w:val="center"/>
                            <w:textDirection w:val="btLr"/>
                            <w:rPr>
                              <w:rFonts w:ascii="Arial" w:hAnsi="Arial" w:cs="Arial"/>
                            </w:rPr>
                          </w:pPr>
                          <w:r w:rsidRPr="00DF5C34">
                            <w:rPr>
                              <w:rFonts w:ascii="Arial" w:eastAsia="Raleway" w:hAnsi="Arial" w:cs="Arial"/>
                              <w:b/>
                              <w:color w:val="C1A164"/>
                              <w:sz w:val="20"/>
                            </w:rPr>
                            <w:t>Departamento de Antioquia</w:t>
                          </w:r>
                        </w:p>
                      </w:txbxContent>
                    </wps:txbx>
                    <wps:bodyPr spcFirstLastPara="1" wrap="square" lIns="0" tIns="0" rIns="0" bIns="0" anchor="t" anchorCtr="0">
                      <a:noAutofit/>
                    </wps:bodyPr>
                  </wps:wsp>
                </a:graphicData>
              </a:graphic>
            </wp:anchor>
          </w:drawing>
        </mc:Choice>
        <mc:Fallback>
          <w:pict>
            <v:rect id="Rectángulo 9" o:spid="_x0000_s1036" style="position:absolute;margin-left:135.05pt;margin-top:4.35pt;width:174pt;height:26.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" filled="f" stroked="f">
              <v:textbox inset="0,0,0,0">
                <w:txbxContent>
                  <w:p w14:paraId="3E88E475" w14:textId="77777777" w:rsidR="001C40B0" w:rsidRPr="00DF5C34" w:rsidRDefault="00291712">
                    <w:pPr>
                      <w:jc w:val="center"/>
                      <w:textDirection w:val="btLr"/>
                      <w:rPr>
                        <w:rFonts w:ascii="Arial" w:hAnsi="Arial" w:cs="Arial"/>
                      </w:rPr>
                    </w:pPr>
                    <w:r w:rsidRPr="00DF5C34">
                      <w:rPr>
                        <w:rFonts w:ascii="Arial" w:eastAsia="Raleway" w:hAnsi="Arial" w:cs="Arial"/>
                        <w:b/>
                        <w:color w:val="C1A164"/>
                        <w:sz w:val="20"/>
                      </w:rPr>
                      <w:t>Representante a la Cámara</w:t>
                    </w:r>
                  </w:p>
                  <w:p w14:paraId="24B12E2E" w14:textId="77777777" w:rsidR="001C40B0" w:rsidRPr="00DF5C34" w:rsidRDefault="00291712">
                    <w:pPr>
                      <w:jc w:val="center"/>
                      <w:textDirection w:val="btLr"/>
                      <w:rPr>
                        <w:rFonts w:ascii="Arial" w:hAnsi="Arial" w:cs="Arial"/>
                      </w:rPr>
                    </w:pPr>
                    <w:r w:rsidRPr="00DF5C34">
                      <w:rPr>
                        <w:rFonts w:ascii="Arial" w:eastAsia="Raleway" w:hAnsi="Arial" w:cs="Arial"/>
                        <w:b/>
                        <w:color w:val="C1A164"/>
                        <w:sz w:val="20"/>
                      </w:rPr>
                      <w:t>Departamento de Antioquia</w:t>
                    </w:r>
                  </w:p>
                </w:txbxContent>
              </v:textbox>
            </v:rect>
          </w:pict>
        </mc:Fallback>
      </mc:AlternateContent>
    </w:r>
  </w:p>
  <w:p w14:paraId="00000838" w14:textId="77777777" w:rsidR="001C40B0" w:rsidRDefault="001C40B0">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8A58EE"/>
    <w:multiLevelType w:val="multilevel"/>
    <w:tmpl w:val="F282F8F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49E4985"/>
    <w:multiLevelType w:val="multilevel"/>
    <w:tmpl w:val="86B2FA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F9E3342"/>
    <w:multiLevelType w:val="multilevel"/>
    <w:tmpl w:val="7010777C"/>
    <w:lvl w:ilvl="0">
      <w:start w:val="1"/>
      <w:numFmt w:val="bullet"/>
      <w:lvlText w:val="•"/>
      <w:lvlJc w:val="left"/>
      <w:pPr>
        <w:ind w:left="1060" w:hanging="70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BF4760B"/>
    <w:multiLevelType w:val="multilevel"/>
    <w:tmpl w:val="C4102C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EA30F1D"/>
    <w:multiLevelType w:val="multilevel"/>
    <w:tmpl w:val="1116C8F4"/>
    <w:lvl w:ilvl="0">
      <w:start w:val="1"/>
      <w:numFmt w:val="decimal"/>
      <w:lvlText w:val="%1."/>
      <w:lvlJc w:val="left"/>
      <w:pPr>
        <w:ind w:left="1060" w:hanging="70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0B0"/>
    <w:rsid w:val="001C40B0"/>
    <w:rsid w:val="0025096F"/>
    <w:rsid w:val="00291712"/>
    <w:rsid w:val="00375BD2"/>
    <w:rsid w:val="006D465F"/>
    <w:rsid w:val="009B135E"/>
    <w:rsid w:val="00DF5C3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1FACF8"/>
  <w15:docId w15:val="{697F569D-3B0D-4490-BE06-DCF343A4B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pPr>
      <w:keepNext/>
      <w:keepLines/>
      <w:spacing w:before="40"/>
      <w:outlineLvl w:val="2"/>
    </w:pPr>
    <w:rPr>
      <w:rFonts w:ascii="Calibri" w:eastAsia="Calibri" w:hAnsi="Calibri" w:cs="Calibri"/>
      <w:color w:val="1F3863"/>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40"/>
      <w:outlineLvl w:val="4"/>
    </w:pPr>
    <w:rPr>
      <w:rFonts w:ascii="Calibri" w:eastAsia="Calibri" w:hAnsi="Calibri" w:cs="Calibri"/>
      <w:color w:val="2F5496"/>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pPr>
      <w:widowControl w:val="0"/>
    </w:pPr>
    <w:rPr>
      <w:sz w:val="22"/>
      <w:szCs w:val="22"/>
    </w:rPr>
    <w:tblPr>
      <w:tblStyleRowBandSize w:val="1"/>
      <w:tblStyleColBandSize w:val="1"/>
      <w:tblCellMar>
        <w:top w:w="0" w:type="dxa"/>
        <w:left w:w="0" w:type="dxa"/>
        <w:bottom w:w="0" w:type="dxa"/>
        <w:right w:w="0" w:type="dxa"/>
      </w:tblCellMar>
    </w:tblPr>
  </w:style>
  <w:style w:type="table" w:customStyle="1" w:styleId="a2">
    <w:basedOn w:val="TableNormal"/>
    <w:pPr>
      <w:widowControl w:val="0"/>
    </w:pPr>
    <w:rPr>
      <w:sz w:val="22"/>
      <w:szCs w:val="22"/>
    </w:rPr>
    <w:tblPr>
      <w:tblStyleRowBandSize w:val="1"/>
      <w:tblStyleColBandSize w:val="1"/>
      <w:tblCellMar>
        <w:top w:w="0" w:type="dxa"/>
        <w:left w:w="0" w:type="dxa"/>
        <w:bottom w:w="0" w:type="dxa"/>
        <w:right w:w="0" w:type="dxa"/>
      </w:tblCellMar>
    </w:tblPr>
  </w:style>
  <w:style w:type="table" w:customStyle="1" w:styleId="a3">
    <w:basedOn w:val="TableNormal"/>
    <w:pPr>
      <w:widowControl w:val="0"/>
    </w:pPr>
    <w:rPr>
      <w:sz w:val="22"/>
      <w:szCs w:val="22"/>
    </w:rPr>
    <w:tblPr>
      <w:tblStyleRowBandSize w:val="1"/>
      <w:tblStyleColBandSize w:val="1"/>
      <w:tblCellMar>
        <w:top w:w="0" w:type="dxa"/>
        <w:left w:w="0" w:type="dxa"/>
        <w:bottom w:w="0" w:type="dxa"/>
        <w:right w:w="0" w:type="dxa"/>
      </w:tblCellMar>
    </w:tblPr>
  </w:style>
  <w:style w:type="table" w:customStyle="1" w:styleId="a4">
    <w:basedOn w:val="TableNormal"/>
    <w:pPr>
      <w:widowControl w:val="0"/>
    </w:pPr>
    <w:rPr>
      <w:sz w:val="22"/>
      <w:szCs w:val="22"/>
    </w:rPr>
    <w:tblPr>
      <w:tblStyleRowBandSize w:val="1"/>
      <w:tblStyleColBandSize w:val="1"/>
      <w:tblCellMar>
        <w:top w:w="0" w:type="dxa"/>
        <w:left w:w="0" w:type="dxa"/>
        <w:bottom w:w="0" w:type="dxa"/>
        <w:right w:w="0" w:type="dxa"/>
      </w:tblCellMar>
    </w:tblPr>
  </w:style>
  <w:style w:type="table" w:customStyle="1" w:styleId="a5">
    <w:basedOn w:val="TableNormal"/>
    <w:pPr>
      <w:widowControl w:val="0"/>
    </w:pPr>
    <w:rPr>
      <w:sz w:val="22"/>
      <w:szCs w:val="22"/>
    </w:rPr>
    <w:tblPr>
      <w:tblStyleRowBandSize w:val="1"/>
      <w:tblStyleColBandSize w:val="1"/>
      <w:tblCellMar>
        <w:top w:w="0" w:type="dxa"/>
        <w:left w:w="0" w:type="dxa"/>
        <w:bottom w:w="0" w:type="dxa"/>
        <w:right w:w="0" w:type="dxa"/>
      </w:tblCellMar>
    </w:tblPr>
  </w:style>
  <w:style w:type="table" w:customStyle="1" w:styleId="a6">
    <w:basedOn w:val="TableNormal"/>
    <w:pPr>
      <w:widowControl w:val="0"/>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Encabezado">
    <w:name w:val="header"/>
    <w:basedOn w:val="Normal"/>
    <w:link w:val="EncabezadoCar"/>
    <w:uiPriority w:val="99"/>
    <w:unhideWhenUsed/>
    <w:rsid w:val="00DF5C34"/>
    <w:pPr>
      <w:tabs>
        <w:tab w:val="center" w:pos="4419"/>
        <w:tab w:val="right" w:pos="8838"/>
      </w:tabs>
    </w:pPr>
  </w:style>
  <w:style w:type="character" w:customStyle="1" w:styleId="EncabezadoCar">
    <w:name w:val="Encabezado Car"/>
    <w:basedOn w:val="Fuentedeprrafopredeter"/>
    <w:link w:val="Encabezado"/>
    <w:uiPriority w:val="99"/>
    <w:rsid w:val="00DF5C34"/>
  </w:style>
  <w:style w:type="paragraph" w:styleId="Piedepgina">
    <w:name w:val="footer"/>
    <w:basedOn w:val="Normal"/>
    <w:link w:val="PiedepginaCar"/>
    <w:uiPriority w:val="99"/>
    <w:unhideWhenUsed/>
    <w:rsid w:val="00DF5C34"/>
    <w:pPr>
      <w:tabs>
        <w:tab w:val="center" w:pos="4419"/>
        <w:tab w:val="right" w:pos="8838"/>
      </w:tabs>
    </w:pPr>
  </w:style>
  <w:style w:type="character" w:customStyle="1" w:styleId="PiedepginaCar">
    <w:name w:val="Pie de página Car"/>
    <w:basedOn w:val="Fuentedeprrafopredeter"/>
    <w:link w:val="Piedepgina"/>
    <w:uiPriority w:val="99"/>
    <w:rsid w:val="00DF5C34"/>
  </w:style>
  <w:style w:type="paragraph" w:styleId="Textodeglobo">
    <w:name w:val="Balloon Text"/>
    <w:basedOn w:val="Normal"/>
    <w:link w:val="TextodegloboCar"/>
    <w:uiPriority w:val="99"/>
    <w:semiHidden/>
    <w:unhideWhenUsed/>
    <w:rsid w:val="00DF5C3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F5C34"/>
    <w:rPr>
      <w:rFonts w:ascii="Segoe UI" w:hAnsi="Segoe UI" w:cs="Segoe UI"/>
      <w:sz w:val="18"/>
      <w:szCs w:val="18"/>
    </w:rPr>
  </w:style>
  <w:style w:type="paragraph" w:styleId="Textonotapie">
    <w:name w:val="footnote text"/>
    <w:basedOn w:val="Normal"/>
    <w:link w:val="TextonotapieCar"/>
    <w:uiPriority w:val="99"/>
    <w:semiHidden/>
    <w:unhideWhenUsed/>
    <w:rsid w:val="00DF5C34"/>
    <w:rPr>
      <w:sz w:val="20"/>
      <w:szCs w:val="20"/>
    </w:rPr>
  </w:style>
  <w:style w:type="character" w:customStyle="1" w:styleId="TextonotapieCar">
    <w:name w:val="Texto nota pie Car"/>
    <w:basedOn w:val="Fuentedeprrafopredeter"/>
    <w:link w:val="Textonotapie"/>
    <w:uiPriority w:val="99"/>
    <w:semiHidden/>
    <w:rsid w:val="00DF5C34"/>
    <w:rPr>
      <w:sz w:val="20"/>
      <w:szCs w:val="20"/>
    </w:rPr>
  </w:style>
  <w:style w:type="character" w:styleId="Refdenotaalpie">
    <w:name w:val="footnote reference"/>
    <w:basedOn w:val="Fuentedeprrafopredeter"/>
    <w:uiPriority w:val="99"/>
    <w:semiHidden/>
    <w:unhideWhenUsed/>
    <w:rsid w:val="00DF5C3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omments" Target="comments.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www.ins.gov.co/BibliotecaDigital/Informe-red-donacion-y-trasplantes-2020.pdf" TargetMode="External"/><Relationship Id="rId1" Type="http://schemas.openxmlformats.org/officeDocument/2006/relationships/hyperlink" Target="https://www.semana.com/salud/articulo/trasplantes-de-organos-en-colombia-hay-3663-personas-en-la-lista-de-%20espera/202313/"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xR69EP6A9KwDsDzEQ6tApnac4w==">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969ABCB-2771-48E8-A5D0-DBA353B2F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34388</Words>
  <Characters>189139</Characters>
  <Application>Microsoft Office Word</Application>
  <DocSecurity>0</DocSecurity>
  <Lines>1576</Lines>
  <Paragraphs>446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223081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Alexandra Cortes Olivares</dc:creator>
  <cp:lastModifiedBy>Nelsy Tirado</cp:lastModifiedBy>
  <cp:revision>2</cp:revision>
  <cp:lastPrinted>2026-05-06T15:35:00Z</cp:lastPrinted>
  <dcterms:created xsi:type="dcterms:W3CDTF">2026-05-06T16:01:00Z</dcterms:created>
  <dcterms:modified xsi:type="dcterms:W3CDTF">2026-05-06T16:01:00Z</dcterms:modified>
</cp:coreProperties>
</file>