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1863" w14:textId="77777777" w:rsidR="00BE3FCE" w:rsidRPr="00C33074" w:rsidRDefault="00BE3FCE" w:rsidP="00BE3FCE">
      <w:pPr>
        <w:jc w:val="right"/>
        <w:rPr>
          <w:rFonts w:ascii="Times New Roman" w:hAnsi="Times New Roman" w:cs="Times New Roman"/>
          <w:b/>
          <w:bCs/>
        </w:rPr>
      </w:pPr>
      <w:r w:rsidRPr="00C33074">
        <w:rPr>
          <w:rFonts w:ascii="Times New Roman" w:hAnsi="Times New Roman" w:cs="Times New Roman"/>
          <w:b/>
          <w:bCs/>
        </w:rPr>
        <w:t>Bogotá D.C., mayo de 2026</w:t>
      </w:r>
    </w:p>
    <w:p w14:paraId="13AF61F6" w14:textId="77777777" w:rsidR="00BE3FCE" w:rsidRPr="00C33074" w:rsidRDefault="00BE3FCE" w:rsidP="00BE3FCE">
      <w:pPr>
        <w:rPr>
          <w:rFonts w:ascii="Times New Roman" w:hAnsi="Times New Roman" w:cs="Times New Roman"/>
          <w:b/>
          <w:bCs/>
        </w:rPr>
      </w:pPr>
    </w:p>
    <w:p w14:paraId="4A4DE598" w14:textId="77777777" w:rsidR="00BE3FCE" w:rsidRPr="00C33074" w:rsidRDefault="00BE3FCE" w:rsidP="00BE3FCE">
      <w:pPr>
        <w:rPr>
          <w:rFonts w:ascii="Times New Roman" w:hAnsi="Times New Roman" w:cs="Times New Roman"/>
        </w:rPr>
      </w:pPr>
    </w:p>
    <w:p w14:paraId="4D863E47" w14:textId="77777777" w:rsidR="00BE3FCE" w:rsidRDefault="00BE3FCE" w:rsidP="00BE3FCE">
      <w:pPr>
        <w:rPr>
          <w:rFonts w:ascii="Times New Roman" w:hAnsi="Times New Roman" w:cs="Times New Roman"/>
        </w:rPr>
      </w:pPr>
    </w:p>
    <w:p w14:paraId="296DE025" w14:textId="5E6B180B" w:rsidR="00BE3FCE" w:rsidRPr="00C33074" w:rsidRDefault="00BE3FCE" w:rsidP="00BE3FCE">
      <w:pPr>
        <w:rPr>
          <w:rFonts w:ascii="Times New Roman" w:hAnsi="Times New Roman" w:cs="Times New Roman"/>
        </w:rPr>
      </w:pPr>
      <w:r w:rsidRPr="00C33074">
        <w:rPr>
          <w:rFonts w:ascii="Times New Roman" w:hAnsi="Times New Roman" w:cs="Times New Roman"/>
        </w:rPr>
        <w:t>Honorable Representante,</w:t>
      </w:r>
    </w:p>
    <w:p w14:paraId="773CC2CE"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Orlando Castillo Advincula</w:t>
      </w:r>
    </w:p>
    <w:p w14:paraId="710A5118"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Vicepresidente</w:t>
      </w:r>
    </w:p>
    <w:p w14:paraId="33D5F417"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 xml:space="preserve">Comisión Primera Constitucional </w:t>
      </w:r>
    </w:p>
    <w:p w14:paraId="3201DF43"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Cámara de Representantes</w:t>
      </w:r>
    </w:p>
    <w:p w14:paraId="0CDEDD11" w14:textId="77777777" w:rsidR="00BE3FCE" w:rsidRPr="00C33074" w:rsidRDefault="00BE3FCE" w:rsidP="00BE3FCE">
      <w:pPr>
        <w:rPr>
          <w:rFonts w:ascii="Times New Roman" w:hAnsi="Times New Roman" w:cs="Times New Roman"/>
        </w:rPr>
      </w:pPr>
    </w:p>
    <w:p w14:paraId="5CD392D7" w14:textId="77777777" w:rsidR="00BE3FCE" w:rsidRPr="00C33074" w:rsidRDefault="00BE3FCE" w:rsidP="00BE3FCE">
      <w:pPr>
        <w:jc w:val="both"/>
        <w:rPr>
          <w:rFonts w:ascii="Times New Roman" w:hAnsi="Times New Roman" w:cs="Times New Roman"/>
          <w:lang w:val="es-419"/>
        </w:rPr>
      </w:pPr>
      <w:r w:rsidRPr="00C33074">
        <w:rPr>
          <w:rFonts w:ascii="Times New Roman" w:hAnsi="Times New Roman" w:cs="Times New Roman"/>
          <w:b/>
          <w:bCs/>
        </w:rPr>
        <w:t xml:space="preserve">Ref. </w:t>
      </w:r>
      <w:r w:rsidRPr="00C33074">
        <w:rPr>
          <w:rFonts w:ascii="Times New Roman" w:hAnsi="Times New Roman" w:cs="Times New Roman"/>
        </w:rPr>
        <w:t>Ponencia para primer debate al Proyecto de Ley No. 413 de 2025 Cámara “</w:t>
      </w:r>
      <w:r w:rsidRPr="00C33074">
        <w:rPr>
          <w:rFonts w:ascii="Times New Roman" w:hAnsi="Times New Roman" w:cs="Times New Roman"/>
          <w:lang w:val="es-419"/>
        </w:rPr>
        <w:t>Por medio del cual se modifica la Ley 1448 de 2011 y se dictan disposiciones para la reparación integral de los Sujetos de Reparación Colectiva bajo la modalidad de restitución en materia tributaria”</w:t>
      </w:r>
    </w:p>
    <w:p w14:paraId="3BB52EC1" w14:textId="77777777" w:rsidR="00BE3FCE" w:rsidRPr="00C33074" w:rsidRDefault="00BE3FCE" w:rsidP="00BE3FCE">
      <w:pPr>
        <w:jc w:val="both"/>
        <w:rPr>
          <w:rFonts w:ascii="Times New Roman" w:hAnsi="Times New Roman" w:cs="Times New Roman"/>
          <w:lang w:val="es-419"/>
        </w:rPr>
      </w:pPr>
    </w:p>
    <w:p w14:paraId="30CF6420" w14:textId="77777777" w:rsidR="00BE3FCE" w:rsidRPr="00C33074" w:rsidRDefault="00BE3FCE" w:rsidP="00BE3FCE">
      <w:pPr>
        <w:jc w:val="both"/>
        <w:rPr>
          <w:rFonts w:ascii="Times New Roman" w:hAnsi="Times New Roman" w:cs="Times New Roman"/>
          <w:lang w:val="es-419"/>
        </w:rPr>
      </w:pPr>
      <w:r w:rsidRPr="00C33074">
        <w:rPr>
          <w:rFonts w:ascii="Times New Roman" w:hAnsi="Times New Roman" w:cs="Times New Roman"/>
          <w:lang w:val="es-419"/>
        </w:rPr>
        <w:t xml:space="preserve">De acuerdo con la honrosa designación realizada por la célula legislativa, rindo informe de ponencia positiva para primer debate del proyecto de ley </w:t>
      </w:r>
      <w:r w:rsidRPr="00C33074">
        <w:rPr>
          <w:rFonts w:ascii="Times New Roman" w:hAnsi="Times New Roman" w:cs="Times New Roman"/>
        </w:rPr>
        <w:t>No. 413 de 2025 Cámara “</w:t>
      </w:r>
      <w:r w:rsidRPr="00C33074">
        <w:rPr>
          <w:rFonts w:ascii="Times New Roman" w:hAnsi="Times New Roman" w:cs="Times New Roman"/>
          <w:lang w:val="es-419"/>
        </w:rPr>
        <w:t>Por medio del cual se modifica la Ley 1448 de 2011 y se dictan disposiciones para la reparación integral de los Sujetos de Reparación Colectiva bajo la modalidad de restitución en materia tributaria”. Lo anterior, de acuerdo con el mandato constitucional consagrado en el artículo 150 y la Ley 5 de 1992, así como las demás normas que desarrollan el procedimiento legislativo ordinario.</w:t>
      </w:r>
    </w:p>
    <w:p w14:paraId="1F40FA71" w14:textId="77777777" w:rsidR="00BE3FCE" w:rsidRPr="00C33074" w:rsidRDefault="00BE3FCE" w:rsidP="00BE3FCE">
      <w:pPr>
        <w:jc w:val="both"/>
        <w:rPr>
          <w:rFonts w:ascii="Times New Roman" w:hAnsi="Times New Roman" w:cs="Times New Roman"/>
          <w:lang w:val="es-419"/>
        </w:rPr>
      </w:pPr>
    </w:p>
    <w:p w14:paraId="1AD47A39" w14:textId="77777777" w:rsidR="00BE3FCE" w:rsidRPr="00C33074" w:rsidRDefault="00BE3FCE" w:rsidP="00BE3FCE">
      <w:pPr>
        <w:rPr>
          <w:rFonts w:ascii="Times New Roman" w:hAnsi="Times New Roman" w:cs="Times New Roman"/>
          <w:lang w:val="es-419"/>
        </w:rPr>
      </w:pPr>
    </w:p>
    <w:p w14:paraId="6461A6E2" w14:textId="77777777" w:rsidR="00BE3FCE" w:rsidRPr="00C33074" w:rsidRDefault="00BE3FCE" w:rsidP="00BE3FCE">
      <w:pPr>
        <w:rPr>
          <w:rFonts w:ascii="Times New Roman" w:hAnsi="Times New Roman" w:cs="Times New Roman"/>
          <w:lang w:val="es-419"/>
        </w:rPr>
      </w:pPr>
      <w:r w:rsidRPr="00C33074">
        <w:rPr>
          <w:rFonts w:ascii="Times New Roman" w:hAnsi="Times New Roman" w:cs="Times New Roman"/>
          <w:lang w:val="es-419"/>
        </w:rPr>
        <w:t>Cordialmente,</w:t>
      </w:r>
    </w:p>
    <w:p w14:paraId="114C2590" w14:textId="160842C4" w:rsidR="00BE3FCE" w:rsidRPr="007A19CF" w:rsidRDefault="00BE3FCE" w:rsidP="00BE3FCE">
      <w:pPr>
        <w:rPr>
          <w:rFonts w:ascii="Times New Roman" w:hAnsi="Times New Roman" w:cs="Times New Roman"/>
          <w:lang w:val="es-419"/>
        </w:rPr>
      </w:pPr>
    </w:p>
    <w:p w14:paraId="3149C9A6" w14:textId="77777777" w:rsidR="00BE3FCE" w:rsidRDefault="00BE3FCE" w:rsidP="00BE3FCE">
      <w:pPr>
        <w:rPr>
          <w:rFonts w:ascii="Times New Roman" w:hAnsi="Times New Roman" w:cs="Times New Roman"/>
        </w:rPr>
      </w:pPr>
    </w:p>
    <w:p w14:paraId="76C9B1F4" w14:textId="77777777" w:rsidR="00BE3FCE" w:rsidRDefault="00BE3FCE" w:rsidP="00BE3FCE">
      <w:pPr>
        <w:rPr>
          <w:rFonts w:ascii="Times New Roman" w:hAnsi="Times New Roman" w:cs="Times New Roman"/>
        </w:rPr>
      </w:pPr>
    </w:p>
    <w:p w14:paraId="32BCD6E0" w14:textId="77777777" w:rsidR="00BE3FCE" w:rsidRDefault="00BE3FCE" w:rsidP="00BE3FCE">
      <w:pPr>
        <w:rPr>
          <w:rFonts w:ascii="Times New Roman" w:hAnsi="Times New Roman" w:cs="Times New Roman"/>
        </w:rPr>
      </w:pPr>
    </w:p>
    <w:p w14:paraId="118C2552"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Gabriel Becerra Yáñez</w:t>
      </w:r>
    </w:p>
    <w:p w14:paraId="48807B61"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Presidente</w:t>
      </w:r>
    </w:p>
    <w:p w14:paraId="040A01BF"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Comisión Primera Constitucional</w:t>
      </w:r>
    </w:p>
    <w:p w14:paraId="0EF1B722" w14:textId="77777777" w:rsidR="00BE3FCE" w:rsidRPr="00C33074" w:rsidRDefault="00BE3FCE" w:rsidP="00BE3FCE">
      <w:pPr>
        <w:rPr>
          <w:rFonts w:ascii="Times New Roman" w:hAnsi="Times New Roman" w:cs="Times New Roman"/>
        </w:rPr>
      </w:pPr>
      <w:r w:rsidRPr="00C33074">
        <w:rPr>
          <w:rFonts w:ascii="Times New Roman" w:hAnsi="Times New Roman" w:cs="Times New Roman"/>
        </w:rPr>
        <w:t>Cámara de Representantes</w:t>
      </w:r>
    </w:p>
    <w:p w14:paraId="6A0B5669" w14:textId="77777777" w:rsidR="00BE3FCE" w:rsidRPr="00C33074" w:rsidRDefault="00BE3FCE" w:rsidP="00BE3FCE">
      <w:pPr>
        <w:rPr>
          <w:rFonts w:ascii="Times New Roman" w:hAnsi="Times New Roman" w:cs="Times New Roman"/>
          <w:lang w:val="es-419"/>
        </w:rPr>
      </w:pPr>
    </w:p>
    <w:p w14:paraId="4FFEE9C9" w14:textId="77777777" w:rsidR="00BE3FCE" w:rsidRPr="00C33074" w:rsidRDefault="00BE3FCE" w:rsidP="00BE3FCE">
      <w:pPr>
        <w:rPr>
          <w:rFonts w:ascii="Times New Roman" w:hAnsi="Times New Roman" w:cs="Times New Roman"/>
          <w:lang w:val="es-419"/>
        </w:rPr>
      </w:pPr>
    </w:p>
    <w:p w14:paraId="015BB697" w14:textId="77777777" w:rsidR="00BE3FCE" w:rsidRPr="00C33074" w:rsidRDefault="00BE3FCE" w:rsidP="00BE3FCE">
      <w:pPr>
        <w:rPr>
          <w:rFonts w:ascii="Times New Roman" w:hAnsi="Times New Roman" w:cs="Times New Roman"/>
          <w:lang w:val="es-419"/>
        </w:rPr>
      </w:pPr>
    </w:p>
    <w:p w14:paraId="367867EB" w14:textId="20434871" w:rsidR="00BE3FCE" w:rsidRDefault="00BE3FCE" w:rsidP="00BE3FCE">
      <w:pPr>
        <w:rPr>
          <w:rFonts w:ascii="Times New Roman" w:hAnsi="Times New Roman" w:cs="Times New Roman"/>
          <w:lang w:val="es-419"/>
        </w:rPr>
      </w:pPr>
    </w:p>
    <w:p w14:paraId="503ECF19" w14:textId="149BC6D4" w:rsidR="00BE3FCE" w:rsidRDefault="00BE3FCE" w:rsidP="00BE3FCE">
      <w:pPr>
        <w:rPr>
          <w:rFonts w:ascii="Times New Roman" w:hAnsi="Times New Roman" w:cs="Times New Roman"/>
          <w:lang w:val="es-419"/>
        </w:rPr>
      </w:pPr>
    </w:p>
    <w:p w14:paraId="37277734" w14:textId="0014C49C" w:rsidR="00BE3FCE" w:rsidRDefault="00BE3FCE" w:rsidP="00BE3FCE">
      <w:pPr>
        <w:rPr>
          <w:rFonts w:ascii="Times New Roman" w:hAnsi="Times New Roman" w:cs="Times New Roman"/>
          <w:lang w:val="es-419"/>
        </w:rPr>
      </w:pPr>
    </w:p>
    <w:p w14:paraId="37C7496C" w14:textId="73588947" w:rsidR="00BE3FCE" w:rsidRDefault="00BE3FCE" w:rsidP="00BE3FCE">
      <w:pPr>
        <w:rPr>
          <w:rFonts w:ascii="Times New Roman" w:hAnsi="Times New Roman" w:cs="Times New Roman"/>
          <w:lang w:val="es-419"/>
        </w:rPr>
      </w:pPr>
    </w:p>
    <w:p w14:paraId="2697567D" w14:textId="16DDD041" w:rsidR="00BE3FCE" w:rsidRDefault="00BE3FCE" w:rsidP="00BE3FCE">
      <w:pPr>
        <w:rPr>
          <w:rFonts w:ascii="Times New Roman" w:hAnsi="Times New Roman" w:cs="Times New Roman"/>
          <w:lang w:val="es-419"/>
        </w:rPr>
      </w:pPr>
    </w:p>
    <w:p w14:paraId="568B1518" w14:textId="30B51E80" w:rsidR="00BE3FCE" w:rsidRDefault="00BE3FCE" w:rsidP="00BE3FCE">
      <w:pPr>
        <w:rPr>
          <w:rFonts w:ascii="Times New Roman" w:hAnsi="Times New Roman" w:cs="Times New Roman"/>
          <w:lang w:val="es-419"/>
        </w:rPr>
      </w:pPr>
    </w:p>
    <w:p w14:paraId="2F5FD3BE" w14:textId="0A4ADF31" w:rsidR="00BE3FCE" w:rsidRDefault="00BE3FCE" w:rsidP="00BE3FCE">
      <w:pPr>
        <w:rPr>
          <w:rFonts w:ascii="Times New Roman" w:hAnsi="Times New Roman" w:cs="Times New Roman"/>
          <w:lang w:val="es-419"/>
        </w:rPr>
      </w:pPr>
    </w:p>
    <w:p w14:paraId="756112FE" w14:textId="2822A352" w:rsidR="00BE3FCE" w:rsidRDefault="00BE3FCE" w:rsidP="00BE3FCE">
      <w:pPr>
        <w:rPr>
          <w:rFonts w:ascii="Times New Roman" w:hAnsi="Times New Roman" w:cs="Times New Roman"/>
          <w:lang w:val="es-419"/>
        </w:rPr>
      </w:pPr>
    </w:p>
    <w:p w14:paraId="4A8A3213" w14:textId="77777777" w:rsidR="00BE3FCE" w:rsidRPr="00C33074" w:rsidRDefault="00BE3FCE" w:rsidP="00BE3FCE">
      <w:pPr>
        <w:pStyle w:val="Prrafodelista"/>
        <w:numPr>
          <w:ilvl w:val="0"/>
          <w:numId w:val="6"/>
        </w:numPr>
        <w:spacing w:after="160" w:line="278" w:lineRule="auto"/>
        <w:jc w:val="both"/>
        <w:rPr>
          <w:rFonts w:ascii="Times New Roman" w:hAnsi="Times New Roman" w:cs="Times New Roman"/>
          <w:b/>
          <w:bCs/>
        </w:rPr>
      </w:pPr>
      <w:r w:rsidRPr="00C33074">
        <w:rPr>
          <w:rFonts w:ascii="Times New Roman" w:hAnsi="Times New Roman" w:cs="Times New Roman"/>
          <w:b/>
          <w:bCs/>
        </w:rPr>
        <w:lastRenderedPageBreak/>
        <w:t>Antecedentes de la iniciativa</w:t>
      </w:r>
    </w:p>
    <w:p w14:paraId="32AFD4CD"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rPr>
        <w:t xml:space="preserve">El pasado 15 de octubre de 2025 los representantes a la cámara Eduard Giovanny Sarmiento Hidalgo, Erick Adrián Velasco Burbano, Gabriel Becerra Yáñez, Gabriel Ernesto Parrado Durán, Gildardo Silva Molina, </w:t>
      </w:r>
      <w:proofErr w:type="spellStart"/>
      <w:r w:rsidRPr="00C33074">
        <w:rPr>
          <w:rFonts w:ascii="Times New Roman" w:hAnsi="Times New Roman" w:cs="Times New Roman"/>
        </w:rPr>
        <w:t>Haiver</w:t>
      </w:r>
      <w:proofErr w:type="spellEnd"/>
      <w:r w:rsidRPr="00C33074">
        <w:rPr>
          <w:rFonts w:ascii="Times New Roman" w:hAnsi="Times New Roman" w:cs="Times New Roman"/>
        </w:rPr>
        <w:t xml:space="preserve"> Rincón Gutiérrez, Jairo Reinaldo Cala Suárez, James Hermenegildo Mosquera Torres, </w:t>
      </w:r>
      <w:proofErr w:type="spellStart"/>
      <w:r w:rsidRPr="00C33074">
        <w:rPr>
          <w:rFonts w:ascii="Times New Roman" w:hAnsi="Times New Roman" w:cs="Times New Roman"/>
        </w:rPr>
        <w:t>Jhon</w:t>
      </w:r>
      <w:proofErr w:type="spellEnd"/>
      <w:r w:rsidRPr="00C33074">
        <w:rPr>
          <w:rFonts w:ascii="Times New Roman" w:hAnsi="Times New Roman" w:cs="Times New Roman"/>
        </w:rPr>
        <w:t xml:space="preserve"> Fredi Valencia Caicedo, Jorge Andrés Cancimance López, Karen Astrith Manrique Olarte, Santiago Osorio Marín y los senadores </w:t>
      </w:r>
      <w:r w:rsidRPr="00C33074">
        <w:rPr>
          <w:rFonts w:ascii="Times New Roman" w:hAnsi="Times New Roman" w:cs="Times New Roman"/>
          <w:lang w:val="es-419"/>
        </w:rPr>
        <w:t>Aida Yolanda Avella Esquivel, Jael Quiroga Carrillo, Robert Daza Guevara radicaron el PL “Por medio del cual se modifica la Ley 1448 de 2011 y se dictan disposiciones para la reparación integral de los Sujetos de Reparación Colectiva bajo la modalidad de restitución en materia tributaria”</w:t>
      </w:r>
      <w:r>
        <w:rPr>
          <w:rFonts w:ascii="Times New Roman" w:hAnsi="Times New Roman" w:cs="Times New Roman"/>
          <w:lang w:val="es-419"/>
        </w:rPr>
        <w:t xml:space="preserve"> </w:t>
      </w:r>
      <w:r w:rsidRPr="00C33074">
        <w:rPr>
          <w:rFonts w:ascii="Times New Roman" w:hAnsi="Times New Roman" w:cs="Times New Roman"/>
          <w:lang w:val="es-419"/>
        </w:rPr>
        <w:t>(PL</w:t>
      </w:r>
      <w:r>
        <w:rPr>
          <w:rFonts w:ascii="Times New Roman" w:hAnsi="Times New Roman" w:cs="Times New Roman"/>
          <w:lang w:val="es-419"/>
        </w:rPr>
        <w:t>,</w:t>
      </w:r>
      <w:r w:rsidRPr="00C33074">
        <w:rPr>
          <w:rFonts w:ascii="Times New Roman" w:hAnsi="Times New Roman" w:cs="Times New Roman"/>
          <w:lang w:val="es-419"/>
        </w:rPr>
        <w:t xml:space="preserve"> el proyecto de ley</w:t>
      </w:r>
      <w:r>
        <w:rPr>
          <w:rFonts w:ascii="Times New Roman" w:hAnsi="Times New Roman" w:cs="Times New Roman"/>
          <w:lang w:val="es-419"/>
        </w:rPr>
        <w:t xml:space="preserve"> o la iniciativa</w:t>
      </w:r>
      <w:r w:rsidRPr="00C33074">
        <w:rPr>
          <w:rFonts w:ascii="Times New Roman" w:hAnsi="Times New Roman" w:cs="Times New Roman"/>
          <w:lang w:val="es-419"/>
        </w:rPr>
        <w:t>).</w:t>
      </w:r>
    </w:p>
    <w:p w14:paraId="1E838468"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El PL fue publicado en la Gaceta del Congreso No. 1998 del 21 de octubre de 2025.</w:t>
      </w:r>
    </w:p>
    <w:p w14:paraId="367B4BA5"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lang w:val="es-419"/>
        </w:rPr>
        <w:t xml:space="preserve">El 19 de febrero de 2026 mediante la Gaceta del Congreso No. 113 se publicó nota aclaratoria al proyecto de ley en relación con la subsanación formal del yerro indicado en el </w:t>
      </w:r>
      <w:r w:rsidRPr="00C33074">
        <w:rPr>
          <w:rFonts w:ascii="Times New Roman" w:hAnsi="Times New Roman" w:cs="Times New Roman"/>
        </w:rPr>
        <w:t>oficio C.P.CO. 3.1.-0608 -202 de la Corporación Legislativa en relación con el cumplimiento de la declaración que ordena integrar el artículo 193 de la Ley 5ª de 1992.</w:t>
      </w:r>
    </w:p>
    <w:p w14:paraId="3311C5D2"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lang w:val="es-419"/>
        </w:rPr>
        <w:t xml:space="preserve">El </w:t>
      </w:r>
      <w:r>
        <w:rPr>
          <w:rFonts w:ascii="Times New Roman" w:hAnsi="Times New Roman" w:cs="Times New Roman"/>
          <w:lang w:val="es-419"/>
        </w:rPr>
        <w:t xml:space="preserve">9 de abril de 2026 mediante oficio C.P.C.P 3.1-0886-2026 </w:t>
      </w:r>
      <w:r w:rsidRPr="00C33074">
        <w:rPr>
          <w:rFonts w:ascii="Times New Roman" w:hAnsi="Times New Roman" w:cs="Times New Roman"/>
          <w:lang w:val="es-419"/>
        </w:rPr>
        <w:t xml:space="preserve">la Mesa Directiva de la Comisión Primera Constitucional de la Cámara de Representantes designó al suscrito como ponente </w:t>
      </w:r>
      <w:r>
        <w:rPr>
          <w:rFonts w:ascii="Times New Roman" w:hAnsi="Times New Roman" w:cs="Times New Roman"/>
          <w:lang w:val="es-419"/>
        </w:rPr>
        <w:t xml:space="preserve">único </w:t>
      </w:r>
      <w:r w:rsidRPr="00C33074">
        <w:rPr>
          <w:rFonts w:ascii="Times New Roman" w:hAnsi="Times New Roman" w:cs="Times New Roman"/>
          <w:lang w:val="es-419"/>
        </w:rPr>
        <w:t>para</w:t>
      </w:r>
      <w:r>
        <w:rPr>
          <w:rFonts w:ascii="Times New Roman" w:hAnsi="Times New Roman" w:cs="Times New Roman"/>
          <w:lang w:val="es-419"/>
        </w:rPr>
        <w:t xml:space="preserve"> rendir informe del</w:t>
      </w:r>
      <w:r w:rsidRPr="00C33074">
        <w:rPr>
          <w:rFonts w:ascii="Times New Roman" w:hAnsi="Times New Roman" w:cs="Times New Roman"/>
          <w:lang w:val="es-419"/>
        </w:rPr>
        <w:t xml:space="preserve"> PL referenciado anteriormente.</w:t>
      </w:r>
    </w:p>
    <w:p w14:paraId="4BDECAB3" w14:textId="77777777" w:rsidR="00BE3FCE" w:rsidRPr="00C33074" w:rsidRDefault="00BE3FCE" w:rsidP="00BE3FCE">
      <w:pPr>
        <w:pStyle w:val="Prrafodelista"/>
        <w:numPr>
          <w:ilvl w:val="0"/>
          <w:numId w:val="6"/>
        </w:numPr>
        <w:spacing w:after="160" w:line="300" w:lineRule="exact"/>
        <w:jc w:val="both"/>
        <w:rPr>
          <w:rFonts w:ascii="Times New Roman" w:hAnsi="Times New Roman" w:cs="Times New Roman"/>
          <w:b/>
          <w:bCs/>
        </w:rPr>
      </w:pPr>
      <w:r w:rsidRPr="00C33074">
        <w:rPr>
          <w:rFonts w:ascii="Times New Roman" w:hAnsi="Times New Roman" w:cs="Times New Roman"/>
          <w:b/>
          <w:bCs/>
        </w:rPr>
        <w:t>Objeto del Proyecto de Ley</w:t>
      </w:r>
    </w:p>
    <w:p w14:paraId="3D1324D2"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rPr>
        <w:t xml:space="preserve">El objeto del PL es </w:t>
      </w:r>
      <w:r w:rsidRPr="00C33074">
        <w:rPr>
          <w:rFonts w:ascii="Times New Roman" w:hAnsi="Times New Roman" w:cs="Times New Roman"/>
          <w:lang w:val="es-419"/>
        </w:rPr>
        <w:t>modificar la Ley 1448 de 2011, adicionando disposiciones para establecer medidas de alivios en materia tributaria para los Sujetos de Reparación Colectiva</w:t>
      </w:r>
      <w:r>
        <w:rPr>
          <w:rFonts w:ascii="Times New Roman" w:hAnsi="Times New Roman" w:cs="Times New Roman"/>
          <w:lang w:val="es-419"/>
        </w:rPr>
        <w:t xml:space="preserve"> (SRC o victimas colectivas)</w:t>
      </w:r>
      <w:r w:rsidRPr="00C33074">
        <w:rPr>
          <w:rFonts w:ascii="Times New Roman" w:hAnsi="Times New Roman" w:cs="Times New Roman"/>
          <w:lang w:val="es-419"/>
        </w:rPr>
        <w:t xml:space="preserve"> reconocidos por la Unidad para la Atención y Reparación Integral a las Víctimas (UARIV), con el fin de garantizar el principio de reparación integral. Busca proteger y garantizar los derechos de las víctimas colectivas en materia de sostenibilidad financiera, ejecución de los Planes Integrales de Reparación Colectiva y la efectividad del principio </w:t>
      </w:r>
      <w:proofErr w:type="spellStart"/>
      <w:r w:rsidRPr="00C33074">
        <w:rPr>
          <w:rFonts w:ascii="Times New Roman" w:hAnsi="Times New Roman" w:cs="Times New Roman"/>
          <w:lang w:val="es-419"/>
        </w:rPr>
        <w:t>pro-víctima</w:t>
      </w:r>
      <w:proofErr w:type="spellEnd"/>
      <w:r w:rsidRPr="00C33074">
        <w:rPr>
          <w:rFonts w:ascii="Times New Roman" w:hAnsi="Times New Roman" w:cs="Times New Roman"/>
          <w:lang w:val="es-419"/>
        </w:rPr>
        <w:t xml:space="preserve"> en materia tributaria.</w:t>
      </w:r>
    </w:p>
    <w:p w14:paraId="2278666E"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lang w:val="es-419"/>
        </w:rPr>
        <w:t>El problema jurídico que busca solucionar el PL es la tensión entre la legalidad tributaria y los derechos de las v</w:t>
      </w:r>
      <w:r>
        <w:rPr>
          <w:rFonts w:ascii="Times New Roman" w:hAnsi="Times New Roman" w:cs="Times New Roman"/>
          <w:lang w:val="es-419"/>
        </w:rPr>
        <w:t>í</w:t>
      </w:r>
      <w:r w:rsidRPr="00C33074">
        <w:rPr>
          <w:rFonts w:ascii="Times New Roman" w:hAnsi="Times New Roman" w:cs="Times New Roman"/>
          <w:lang w:val="es-419"/>
        </w:rPr>
        <w:t>ctimas colectiva</w:t>
      </w:r>
      <w:r>
        <w:rPr>
          <w:rFonts w:ascii="Times New Roman" w:hAnsi="Times New Roman" w:cs="Times New Roman"/>
          <w:lang w:val="es-419"/>
        </w:rPr>
        <w:t>s</w:t>
      </w:r>
      <w:r w:rsidRPr="00C33074">
        <w:rPr>
          <w:rFonts w:ascii="Times New Roman" w:hAnsi="Times New Roman" w:cs="Times New Roman"/>
          <w:lang w:val="es-419"/>
        </w:rPr>
        <w:t xml:space="preserve"> del conflicto armado nacional. Estas últimas se ven cargadas de una serie de obligaciones tributarias imposibles de satisfacer porque hay perjuicios materiales subsistentes, los cuales serán resarcidos solo si se aminoran y flexibilizan dichas obligaciones. En ese sentido, la serie de medidas de alivio tributario que se buscan implementar son un trato desigual autorizado por la Constitución a partir de la aplicación de</w:t>
      </w:r>
      <w:r>
        <w:rPr>
          <w:rFonts w:ascii="Times New Roman" w:hAnsi="Times New Roman" w:cs="Times New Roman"/>
          <w:lang w:val="es-419"/>
        </w:rPr>
        <w:t xml:space="preserve">l principio constitucional de promoción de la igualdad material y real. </w:t>
      </w:r>
    </w:p>
    <w:p w14:paraId="7FFE5124" w14:textId="77777777" w:rsidR="00BE3FCE" w:rsidRPr="00C33074" w:rsidRDefault="00BE3FCE" w:rsidP="00BE3FCE">
      <w:pPr>
        <w:pStyle w:val="Prrafodelista"/>
        <w:numPr>
          <w:ilvl w:val="0"/>
          <w:numId w:val="6"/>
        </w:numPr>
        <w:spacing w:after="160" w:line="300" w:lineRule="exact"/>
        <w:jc w:val="both"/>
        <w:rPr>
          <w:rFonts w:ascii="Times New Roman" w:hAnsi="Times New Roman" w:cs="Times New Roman"/>
          <w:b/>
          <w:bCs/>
        </w:rPr>
      </w:pPr>
      <w:r w:rsidRPr="00C33074">
        <w:rPr>
          <w:rFonts w:ascii="Times New Roman" w:hAnsi="Times New Roman" w:cs="Times New Roman"/>
          <w:b/>
          <w:bCs/>
        </w:rPr>
        <w:t xml:space="preserve"> Exposición de motivos</w:t>
      </w:r>
    </w:p>
    <w:p w14:paraId="5A7BC158" w14:textId="77777777" w:rsidR="00BE3FCE" w:rsidRPr="00C33074" w:rsidRDefault="00BE3FCE" w:rsidP="00BE3FCE">
      <w:pPr>
        <w:pStyle w:val="Prrafodelista"/>
        <w:spacing w:line="300" w:lineRule="exact"/>
        <w:ind w:left="1080"/>
        <w:jc w:val="both"/>
        <w:rPr>
          <w:rFonts w:ascii="Times New Roman" w:hAnsi="Times New Roman" w:cs="Times New Roman"/>
          <w:b/>
          <w:bCs/>
        </w:rPr>
      </w:pPr>
    </w:p>
    <w:p w14:paraId="58B54321" w14:textId="77777777" w:rsidR="00BE3FCE" w:rsidRPr="00C33074" w:rsidRDefault="00BE3FCE" w:rsidP="00BE3FCE">
      <w:pPr>
        <w:pStyle w:val="Prrafodelista"/>
        <w:numPr>
          <w:ilvl w:val="0"/>
          <w:numId w:val="7"/>
        </w:numPr>
        <w:spacing w:after="160" w:line="300" w:lineRule="exact"/>
        <w:jc w:val="both"/>
        <w:rPr>
          <w:rFonts w:ascii="Times New Roman" w:hAnsi="Times New Roman" w:cs="Times New Roman"/>
          <w:b/>
          <w:bCs/>
          <w:i/>
          <w:iCs/>
        </w:rPr>
      </w:pPr>
      <w:r w:rsidRPr="00C33074">
        <w:rPr>
          <w:rFonts w:ascii="Times New Roman" w:hAnsi="Times New Roman" w:cs="Times New Roman"/>
          <w:b/>
          <w:bCs/>
          <w:i/>
          <w:iCs/>
        </w:rPr>
        <w:t>Competencia legal</w:t>
      </w:r>
    </w:p>
    <w:p w14:paraId="3CDD33FD"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El artículo 150 constitucional establece la competencia general de configuración normativa del Congreso. Este art</w:t>
      </w:r>
      <w:r>
        <w:rPr>
          <w:rFonts w:ascii="Times New Roman" w:hAnsi="Times New Roman" w:cs="Times New Roman"/>
        </w:rPr>
        <w:t>í</w:t>
      </w:r>
      <w:r w:rsidRPr="00C33074">
        <w:rPr>
          <w:rFonts w:ascii="Times New Roman" w:hAnsi="Times New Roman" w:cs="Times New Roman"/>
        </w:rPr>
        <w:t>culo postula, “corresponde al Congreso hacer las leyes”. A su vez, la Ley 3° de 1992, a la altura del art</w:t>
      </w:r>
      <w:r>
        <w:rPr>
          <w:rFonts w:ascii="Times New Roman" w:hAnsi="Times New Roman" w:cs="Times New Roman"/>
        </w:rPr>
        <w:t>í</w:t>
      </w:r>
      <w:r w:rsidRPr="00C33074">
        <w:rPr>
          <w:rFonts w:ascii="Times New Roman" w:hAnsi="Times New Roman" w:cs="Times New Roman"/>
        </w:rPr>
        <w:t xml:space="preserve">culo 2 establece que la Comisión Primera de la Cámara de Representantes conocerá de las iniciativas legislativas </w:t>
      </w:r>
      <w:r w:rsidRPr="00C33074">
        <w:rPr>
          <w:rFonts w:ascii="Times New Roman" w:hAnsi="Times New Roman" w:cs="Times New Roman"/>
        </w:rPr>
        <w:lastRenderedPageBreak/>
        <w:t>cuya materia sean los derechos, las garantías y los deberes. Así, la competencia del Congreso para legislar sobre la materia se encuentra sustentada en ambas disposiciones.</w:t>
      </w:r>
    </w:p>
    <w:p w14:paraId="0D203313" w14:textId="77777777" w:rsidR="00BE3FCE" w:rsidRPr="00C33074" w:rsidRDefault="00BE3FCE" w:rsidP="00BE3FCE">
      <w:pPr>
        <w:spacing w:line="300" w:lineRule="exact"/>
        <w:jc w:val="both"/>
        <w:rPr>
          <w:rFonts w:ascii="Times New Roman" w:hAnsi="Times New Roman" w:cs="Times New Roman"/>
          <w:i/>
          <w:iCs/>
        </w:rPr>
      </w:pPr>
      <w:r w:rsidRPr="00C33074">
        <w:rPr>
          <w:rFonts w:ascii="Times New Roman" w:hAnsi="Times New Roman" w:cs="Times New Roman"/>
        </w:rPr>
        <w:t>Por su parte, en tanto el centro del PL son los derechos de las v</w:t>
      </w:r>
      <w:r>
        <w:rPr>
          <w:rFonts w:ascii="Times New Roman" w:hAnsi="Times New Roman" w:cs="Times New Roman"/>
        </w:rPr>
        <w:t>í</w:t>
      </w:r>
      <w:r w:rsidRPr="00C33074">
        <w:rPr>
          <w:rFonts w:ascii="Times New Roman" w:hAnsi="Times New Roman" w:cs="Times New Roman"/>
        </w:rPr>
        <w:t>ctimas del conflicto armado a la reparación integral, el nudo argumentativo que da sustento jurídico son los derechos fundamentales de las mismas. Así lo ha reconocido la Corte Constitucional en una línea jurisprudencial consistente y vigente – C-037/06, C-052/12 y SU-254/13 -. El tribunal de cierre ha establecido que los derechos de las v</w:t>
      </w:r>
      <w:r>
        <w:rPr>
          <w:rFonts w:ascii="Times New Roman" w:hAnsi="Times New Roman" w:cs="Times New Roman"/>
        </w:rPr>
        <w:t>í</w:t>
      </w:r>
      <w:r w:rsidRPr="00C33074">
        <w:rPr>
          <w:rFonts w:ascii="Times New Roman" w:hAnsi="Times New Roman" w:cs="Times New Roman"/>
        </w:rPr>
        <w:t xml:space="preserve">ctimas </w:t>
      </w:r>
      <w:r w:rsidRPr="00C33074">
        <w:rPr>
          <w:rFonts w:ascii="Times New Roman" w:hAnsi="Times New Roman" w:cs="Times New Roman"/>
          <w:i/>
          <w:iCs/>
        </w:rPr>
        <w:t> se encuentran reconocidos por el derecho internacional, lo cual tiene una evidente relevancia constitucional (i) de conformidad con el artículo 93 superior, por tratarse de tratados y convenios internacionales ratificados por el Congreso, que reconocen derechos humanos, prohíben su limitación en los estados de excepción y prevalecen en el orden interno, (</w:t>
      </w:r>
      <w:proofErr w:type="spellStart"/>
      <w:r w:rsidRPr="00C33074">
        <w:rPr>
          <w:rFonts w:ascii="Times New Roman" w:hAnsi="Times New Roman" w:cs="Times New Roman"/>
          <w:i/>
          <w:iCs/>
        </w:rPr>
        <w:t>ii</w:t>
      </w:r>
      <w:proofErr w:type="spellEnd"/>
      <w:r w:rsidRPr="00C33074">
        <w:rPr>
          <w:rFonts w:ascii="Times New Roman" w:hAnsi="Times New Roman" w:cs="Times New Roman"/>
          <w:i/>
          <w:iCs/>
        </w:rPr>
        <w:t>) por cuanto los derechos constitucionales deben ser interpretados de conformidad con los tratados de derechos humanos ratificados por Colombia, y (</w:t>
      </w:r>
      <w:proofErr w:type="spellStart"/>
      <w:r w:rsidRPr="00C33074">
        <w:rPr>
          <w:rFonts w:ascii="Times New Roman" w:hAnsi="Times New Roman" w:cs="Times New Roman"/>
          <w:i/>
          <w:iCs/>
        </w:rPr>
        <w:t>iii</w:t>
      </w:r>
      <w:proofErr w:type="spellEnd"/>
      <w:r w:rsidRPr="00C33074">
        <w:rPr>
          <w:rFonts w:ascii="Times New Roman" w:hAnsi="Times New Roman" w:cs="Times New Roman"/>
          <w:i/>
          <w:iCs/>
        </w:rPr>
        <w:t>) esta Corporación ha reconocido el carácter prevalente de las normas de Derecho Internacional Humanitario y del Derecho Internacional de los Derechos Humanos, y los derechos fundamentales de la población desplazada</w:t>
      </w:r>
      <w:r w:rsidRPr="00C33074">
        <w:rPr>
          <w:rStyle w:val="Refdenotaalpie"/>
          <w:rFonts w:ascii="Times New Roman" w:hAnsi="Times New Roman" w:cs="Times New Roman"/>
          <w:i/>
          <w:iCs/>
        </w:rPr>
        <w:footnoteReference w:id="1"/>
      </w:r>
      <w:r w:rsidRPr="00C33074">
        <w:rPr>
          <w:rFonts w:ascii="Times New Roman" w:hAnsi="Times New Roman" w:cs="Times New Roman"/>
          <w:i/>
          <w:iCs/>
        </w:rPr>
        <w:t>.</w:t>
      </w:r>
    </w:p>
    <w:p w14:paraId="2754224A"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Por lo anterior, la célula legislativa a la cual se dirige el presente informe es competente para dar el trámite respectivo a la iniciativa.</w:t>
      </w:r>
    </w:p>
    <w:p w14:paraId="61B4482C" w14:textId="77777777" w:rsidR="00BE3FCE" w:rsidRPr="00C33074" w:rsidRDefault="00BE3FCE" w:rsidP="00BE3FCE">
      <w:pPr>
        <w:pStyle w:val="Prrafodelista"/>
        <w:numPr>
          <w:ilvl w:val="0"/>
          <w:numId w:val="7"/>
        </w:numPr>
        <w:spacing w:after="160" w:line="300" w:lineRule="exact"/>
        <w:jc w:val="both"/>
        <w:rPr>
          <w:rFonts w:ascii="Times New Roman" w:hAnsi="Times New Roman" w:cs="Times New Roman"/>
          <w:b/>
          <w:bCs/>
          <w:i/>
          <w:iCs/>
        </w:rPr>
      </w:pPr>
      <w:r w:rsidRPr="00C33074">
        <w:rPr>
          <w:rFonts w:ascii="Times New Roman" w:hAnsi="Times New Roman" w:cs="Times New Roman"/>
          <w:b/>
          <w:bCs/>
          <w:i/>
          <w:iCs/>
        </w:rPr>
        <w:t>Consideración preliminar: el deber de reparar restituyendo a la v</w:t>
      </w:r>
      <w:r>
        <w:rPr>
          <w:rFonts w:ascii="Times New Roman" w:hAnsi="Times New Roman" w:cs="Times New Roman"/>
          <w:b/>
          <w:bCs/>
          <w:i/>
          <w:iCs/>
        </w:rPr>
        <w:t>í</w:t>
      </w:r>
      <w:r w:rsidRPr="00C33074">
        <w:rPr>
          <w:rFonts w:ascii="Times New Roman" w:hAnsi="Times New Roman" w:cs="Times New Roman"/>
          <w:b/>
          <w:bCs/>
          <w:i/>
          <w:iCs/>
        </w:rPr>
        <w:t>ctima</w:t>
      </w:r>
    </w:p>
    <w:p w14:paraId="5C41B146" w14:textId="77777777" w:rsidR="00BE3FCE" w:rsidRDefault="00BE3FCE" w:rsidP="00BE3FCE">
      <w:pPr>
        <w:spacing w:line="300" w:lineRule="exact"/>
        <w:jc w:val="both"/>
        <w:rPr>
          <w:rFonts w:ascii="Times New Roman" w:hAnsi="Times New Roman" w:cs="Times New Roman"/>
        </w:rPr>
      </w:pPr>
      <w:r w:rsidRPr="00C33074">
        <w:rPr>
          <w:rFonts w:ascii="Times New Roman" w:hAnsi="Times New Roman" w:cs="Times New Roman"/>
        </w:rPr>
        <w:t>Los alivios tributarios como medidas de reparación</w:t>
      </w:r>
      <w:r>
        <w:rPr>
          <w:rFonts w:ascii="Times New Roman" w:hAnsi="Times New Roman" w:cs="Times New Roman"/>
        </w:rPr>
        <w:t xml:space="preserve"> se enmarcan</w:t>
      </w:r>
      <w:r w:rsidRPr="00C33074">
        <w:rPr>
          <w:rFonts w:ascii="Times New Roman" w:hAnsi="Times New Roman" w:cs="Times New Roman"/>
        </w:rPr>
        <w:t xml:space="preserve"> </w:t>
      </w:r>
      <w:r>
        <w:rPr>
          <w:rFonts w:ascii="Times New Roman" w:hAnsi="Times New Roman" w:cs="Times New Roman"/>
        </w:rPr>
        <w:t>en el régimen de</w:t>
      </w:r>
      <w:r w:rsidRPr="00C33074">
        <w:rPr>
          <w:rFonts w:ascii="Times New Roman" w:hAnsi="Times New Roman" w:cs="Times New Roman"/>
        </w:rPr>
        <w:t xml:space="preserve"> responsabilidad del Estado con los S</w:t>
      </w:r>
      <w:r>
        <w:rPr>
          <w:rFonts w:ascii="Times New Roman" w:hAnsi="Times New Roman" w:cs="Times New Roman"/>
        </w:rPr>
        <w:t xml:space="preserve">RC. El artículo 90 constitucional establece la denominada clausula general de responsabilidad, indica que, </w:t>
      </w:r>
      <w:r>
        <w:rPr>
          <w:rFonts w:ascii="Times New Roman" w:hAnsi="Times New Roman" w:cs="Times New Roman"/>
          <w:i/>
          <w:iCs/>
        </w:rPr>
        <w:t>e</w:t>
      </w:r>
      <w:r w:rsidRPr="00363D84">
        <w:rPr>
          <w:rFonts w:ascii="Times New Roman" w:hAnsi="Times New Roman" w:cs="Times New Roman"/>
          <w:i/>
          <w:iCs/>
        </w:rPr>
        <w:t>l Estado responderá patrimonialmente por los daños antijurídicos que le sean imputables, causados por la acción o la omisión de las autoridades públicas.</w:t>
      </w:r>
      <w:r w:rsidRPr="00C33074">
        <w:rPr>
          <w:rFonts w:ascii="Times New Roman" w:hAnsi="Times New Roman" w:cs="Times New Roman"/>
        </w:rPr>
        <w:t xml:space="preserve"> </w:t>
      </w:r>
      <w:r>
        <w:rPr>
          <w:rFonts w:ascii="Times New Roman" w:hAnsi="Times New Roman" w:cs="Times New Roman"/>
        </w:rPr>
        <w:t>En l</w:t>
      </w:r>
      <w:r w:rsidRPr="00C33074">
        <w:rPr>
          <w:rFonts w:ascii="Times New Roman" w:hAnsi="Times New Roman" w:cs="Times New Roman"/>
        </w:rPr>
        <w:t>a sentencia C-333</w:t>
      </w:r>
      <w:r>
        <w:rPr>
          <w:rFonts w:ascii="Times New Roman" w:hAnsi="Times New Roman" w:cs="Times New Roman"/>
        </w:rPr>
        <w:t>/</w:t>
      </w:r>
      <w:r w:rsidRPr="00C33074">
        <w:rPr>
          <w:rFonts w:ascii="Times New Roman" w:hAnsi="Times New Roman" w:cs="Times New Roman"/>
        </w:rPr>
        <w:t xml:space="preserve">1996 </w:t>
      </w:r>
      <w:r>
        <w:rPr>
          <w:rFonts w:ascii="Times New Roman" w:hAnsi="Times New Roman" w:cs="Times New Roman"/>
        </w:rPr>
        <w:t>la</w:t>
      </w:r>
      <w:r w:rsidRPr="00C33074">
        <w:rPr>
          <w:rFonts w:ascii="Times New Roman" w:hAnsi="Times New Roman" w:cs="Times New Roman"/>
        </w:rPr>
        <w:t xml:space="preserve"> Corte</w:t>
      </w:r>
      <w:r>
        <w:rPr>
          <w:rFonts w:ascii="Times New Roman" w:hAnsi="Times New Roman" w:cs="Times New Roman"/>
        </w:rPr>
        <w:t xml:space="preserve"> Constitucional</w:t>
      </w:r>
      <w:r w:rsidRPr="00C33074">
        <w:rPr>
          <w:rFonts w:ascii="Times New Roman" w:hAnsi="Times New Roman" w:cs="Times New Roman"/>
        </w:rPr>
        <w:t xml:space="preserve"> precisó que la responsabilidad del Estado no distingue entre ámbitos contractuales y extracontractuales, y no se centra en la conducta de la autoridad</w:t>
      </w:r>
      <w:r>
        <w:rPr>
          <w:rFonts w:ascii="Times New Roman" w:hAnsi="Times New Roman" w:cs="Times New Roman"/>
        </w:rPr>
        <w:t>. Por el contrario, la providencia señala</w:t>
      </w:r>
      <w:r w:rsidRPr="00C33074">
        <w:rPr>
          <w:rFonts w:ascii="Times New Roman" w:hAnsi="Times New Roman" w:cs="Times New Roman"/>
        </w:rPr>
        <w:t xml:space="preserve"> que </w:t>
      </w:r>
      <w:r>
        <w:rPr>
          <w:rFonts w:ascii="Times New Roman" w:hAnsi="Times New Roman" w:cs="Times New Roman"/>
        </w:rPr>
        <w:t xml:space="preserve">la responsabilidad estatal </w:t>
      </w:r>
      <w:r w:rsidRPr="00C33074">
        <w:rPr>
          <w:rFonts w:ascii="Times New Roman" w:hAnsi="Times New Roman" w:cs="Times New Roman"/>
        </w:rPr>
        <w:t>se centra en</w:t>
      </w:r>
      <w:r>
        <w:rPr>
          <w:rFonts w:ascii="Times New Roman" w:hAnsi="Times New Roman" w:cs="Times New Roman"/>
        </w:rPr>
        <w:t xml:space="preserve"> el daño y su imputación</w:t>
      </w:r>
      <w:r w:rsidRPr="00C33074">
        <w:rPr>
          <w:rFonts w:ascii="Times New Roman" w:hAnsi="Times New Roman" w:cs="Times New Roman"/>
        </w:rPr>
        <w:t>, sin que sea relevante distinguir entre la legitimidad o ilegitimidad de las actuaciones de la administración</w:t>
      </w:r>
      <w:r>
        <w:rPr>
          <w:rFonts w:ascii="Times New Roman" w:hAnsi="Times New Roman" w:cs="Times New Roman"/>
        </w:rPr>
        <w:t>.</w:t>
      </w:r>
    </w:p>
    <w:p w14:paraId="5F3ABCD8" w14:textId="77777777" w:rsidR="00BE3FCE" w:rsidRDefault="00BE3FCE" w:rsidP="00BE3FCE">
      <w:pPr>
        <w:spacing w:line="300" w:lineRule="exact"/>
        <w:jc w:val="both"/>
        <w:rPr>
          <w:rFonts w:ascii="Times New Roman" w:hAnsi="Times New Roman" w:cs="Times New Roman"/>
        </w:rPr>
      </w:pPr>
      <w:r w:rsidRPr="00C02081">
        <w:rPr>
          <w:rFonts w:ascii="Times New Roman" w:hAnsi="Times New Roman" w:cs="Times New Roman"/>
        </w:rPr>
        <w:t>“El actual mandato constitucional es no sólo imperativo -ya que ordena al Estado responder- sino que no establece distinciones según los ámbitos de actuación de las autoridades públicas. En efecto, la norma simplemente establece dos requisitos para que opere la responsabilidad, a saber, que haya un daño antijurídico y que éste sea imputable a una acción u omisión de una autoridad pública. Pero el artículo 90 no restringe esta responsabilidad patrimonial al campo extracontractual sino que consagra un régimen general (…) para esta Corporación el inciso primero del artículo 90 consagra la cláusula general de responsabilidad patrimonial del Estado y comprende por ende no sólo la  responsabilidad extracontractual  sino también el sistema de responsabilidad precontractual (derivado de la ruptura de la relación jurídico-administrativa precontractual)  así como también la responsabilidad patrimonial del Estado de carácter contractual.”</w:t>
      </w:r>
      <w:r>
        <w:rPr>
          <w:rStyle w:val="Refdenotaalpie"/>
          <w:rFonts w:ascii="Times New Roman" w:hAnsi="Times New Roman" w:cs="Times New Roman"/>
        </w:rPr>
        <w:footnoteReference w:id="2"/>
      </w:r>
    </w:p>
    <w:p w14:paraId="6B6B9251" w14:textId="77777777" w:rsidR="00BE3FCE" w:rsidRDefault="00BE3FCE" w:rsidP="00BE3FCE">
      <w:pPr>
        <w:spacing w:line="300" w:lineRule="exact"/>
        <w:jc w:val="both"/>
        <w:rPr>
          <w:rFonts w:ascii="Times New Roman" w:hAnsi="Times New Roman" w:cs="Times New Roman"/>
        </w:rPr>
      </w:pPr>
      <w:r>
        <w:rPr>
          <w:rFonts w:ascii="Times New Roman" w:hAnsi="Times New Roman" w:cs="Times New Roman"/>
        </w:rPr>
        <w:t>Esta cláusula armonizada con</w:t>
      </w:r>
      <w:r w:rsidRPr="00C33074">
        <w:rPr>
          <w:rFonts w:ascii="Times New Roman" w:hAnsi="Times New Roman" w:cs="Times New Roman"/>
        </w:rPr>
        <w:t xml:space="preserve"> los principios de solidaridad e igualdad frente a las cargas públicas</w:t>
      </w:r>
      <w:r>
        <w:rPr>
          <w:rFonts w:ascii="Times New Roman" w:hAnsi="Times New Roman" w:cs="Times New Roman"/>
        </w:rPr>
        <w:t xml:space="preserve"> se concluye que el Estado es responsable por los daños antijurídicos causados</w:t>
      </w:r>
      <w:r w:rsidRPr="00C33074">
        <w:rPr>
          <w:rFonts w:ascii="Times New Roman" w:hAnsi="Times New Roman" w:cs="Times New Roman"/>
        </w:rPr>
        <w:t xml:space="preserve">, por su acción u omisión, </w:t>
      </w:r>
      <w:r>
        <w:rPr>
          <w:rFonts w:ascii="Times New Roman" w:hAnsi="Times New Roman" w:cs="Times New Roman"/>
        </w:rPr>
        <w:t>a</w:t>
      </w:r>
      <w:r w:rsidRPr="00C33074">
        <w:rPr>
          <w:rFonts w:ascii="Times New Roman" w:hAnsi="Times New Roman" w:cs="Times New Roman"/>
        </w:rPr>
        <w:t xml:space="preserve"> l</w:t>
      </w:r>
      <w:r>
        <w:rPr>
          <w:rFonts w:ascii="Times New Roman" w:hAnsi="Times New Roman" w:cs="Times New Roman"/>
        </w:rPr>
        <w:t>o</w:t>
      </w:r>
      <w:r w:rsidRPr="00C33074">
        <w:rPr>
          <w:rFonts w:ascii="Times New Roman" w:hAnsi="Times New Roman" w:cs="Times New Roman"/>
        </w:rPr>
        <w:t xml:space="preserve">s </w:t>
      </w:r>
      <w:r>
        <w:rPr>
          <w:rFonts w:ascii="Times New Roman" w:hAnsi="Times New Roman" w:cs="Times New Roman"/>
        </w:rPr>
        <w:t xml:space="preserve">ciudadanos </w:t>
      </w:r>
      <w:r>
        <w:rPr>
          <w:rFonts w:ascii="Times New Roman" w:hAnsi="Times New Roman" w:cs="Times New Roman"/>
        </w:rPr>
        <w:lastRenderedPageBreak/>
        <w:t>que</w:t>
      </w:r>
      <w:r w:rsidRPr="00C33074">
        <w:rPr>
          <w:rFonts w:ascii="Times New Roman" w:hAnsi="Times New Roman" w:cs="Times New Roman"/>
        </w:rPr>
        <w:t xml:space="preserve"> no est</w:t>
      </w:r>
      <w:r>
        <w:rPr>
          <w:rFonts w:ascii="Times New Roman" w:hAnsi="Times New Roman" w:cs="Times New Roman"/>
        </w:rPr>
        <w:t>aban</w:t>
      </w:r>
      <w:r w:rsidRPr="00C33074">
        <w:rPr>
          <w:rFonts w:ascii="Times New Roman" w:hAnsi="Times New Roman" w:cs="Times New Roman"/>
        </w:rPr>
        <w:t xml:space="preserve"> en el deber de soportar.</w:t>
      </w:r>
      <w:r>
        <w:rPr>
          <w:rFonts w:ascii="Times New Roman" w:hAnsi="Times New Roman" w:cs="Times New Roman"/>
        </w:rPr>
        <w:t xml:space="preserve"> Como es el caso de aquellas victimas que padecen vulneraciones a sus derechos personales y fundamentales con ocasión del Conflicto Armado y Social (el Conflicto).</w:t>
      </w:r>
    </w:p>
    <w:p w14:paraId="18D92431" w14:textId="77777777" w:rsidR="00BE3FCE" w:rsidRPr="00C33074" w:rsidRDefault="00BE3FCE" w:rsidP="00BE3FCE">
      <w:pPr>
        <w:spacing w:line="300" w:lineRule="exact"/>
        <w:jc w:val="both"/>
        <w:rPr>
          <w:rFonts w:ascii="Times New Roman" w:hAnsi="Times New Roman" w:cs="Times New Roman"/>
        </w:rPr>
      </w:pPr>
      <w:r>
        <w:rPr>
          <w:rFonts w:ascii="Times New Roman" w:hAnsi="Times New Roman" w:cs="Times New Roman"/>
        </w:rPr>
        <w:t>Esta regla general constitucional habilita la implementación de</w:t>
      </w:r>
      <w:r w:rsidRPr="00C33074">
        <w:rPr>
          <w:rFonts w:ascii="Times New Roman" w:hAnsi="Times New Roman" w:cs="Times New Roman"/>
        </w:rPr>
        <w:t xml:space="preserve"> medidas reparadoras </w:t>
      </w:r>
      <w:r>
        <w:rPr>
          <w:rFonts w:ascii="Times New Roman" w:hAnsi="Times New Roman" w:cs="Times New Roman"/>
        </w:rPr>
        <w:t>derivadas, no solo de sentencias judiciales, sino de actuaciones de la administración como el aminoramiento de</w:t>
      </w:r>
      <w:r w:rsidRPr="00C33074">
        <w:rPr>
          <w:rFonts w:ascii="Times New Roman" w:hAnsi="Times New Roman" w:cs="Times New Roman"/>
        </w:rPr>
        <w:t xml:space="preserve"> </w:t>
      </w:r>
      <w:r>
        <w:rPr>
          <w:rFonts w:ascii="Times New Roman" w:hAnsi="Times New Roman" w:cs="Times New Roman"/>
        </w:rPr>
        <w:t>las</w:t>
      </w:r>
      <w:r w:rsidRPr="00C33074">
        <w:rPr>
          <w:rFonts w:ascii="Times New Roman" w:hAnsi="Times New Roman" w:cs="Times New Roman"/>
        </w:rPr>
        <w:t xml:space="preserve"> deudas y sanciones </w:t>
      </w:r>
      <w:r>
        <w:rPr>
          <w:rFonts w:ascii="Times New Roman" w:hAnsi="Times New Roman" w:cs="Times New Roman"/>
        </w:rPr>
        <w:t>a cargo de</w:t>
      </w:r>
      <w:r w:rsidRPr="00C33074">
        <w:rPr>
          <w:rFonts w:ascii="Times New Roman" w:hAnsi="Times New Roman" w:cs="Times New Roman"/>
        </w:rPr>
        <w:t xml:space="preserve"> la DIAN</w:t>
      </w:r>
      <w:r>
        <w:rPr>
          <w:rFonts w:ascii="Times New Roman" w:hAnsi="Times New Roman" w:cs="Times New Roman"/>
        </w:rPr>
        <w:t xml:space="preserve"> en contra de los SRC que establece la Ley 1448 de 2011</w:t>
      </w:r>
      <w:r w:rsidRPr="00C33074">
        <w:rPr>
          <w:rFonts w:ascii="Times New Roman" w:hAnsi="Times New Roman" w:cs="Times New Roman"/>
        </w:rPr>
        <w:t>.</w:t>
      </w:r>
    </w:p>
    <w:p w14:paraId="5D4E1B87" w14:textId="77777777" w:rsidR="00BE3FCE" w:rsidRPr="00C33074" w:rsidRDefault="00BE3FCE" w:rsidP="00BE3FCE">
      <w:pPr>
        <w:spacing w:line="300" w:lineRule="exact"/>
        <w:jc w:val="both"/>
        <w:rPr>
          <w:rFonts w:ascii="Times New Roman" w:hAnsi="Times New Roman" w:cs="Times New Roman"/>
        </w:rPr>
      </w:pPr>
      <w:r>
        <w:rPr>
          <w:rFonts w:ascii="Times New Roman" w:hAnsi="Times New Roman" w:cs="Times New Roman"/>
        </w:rPr>
        <w:t>L</w:t>
      </w:r>
      <w:r w:rsidRPr="00C33074">
        <w:rPr>
          <w:rFonts w:ascii="Times New Roman" w:hAnsi="Times New Roman" w:cs="Times New Roman"/>
        </w:rPr>
        <w:t xml:space="preserve">os alivios tributarios </w:t>
      </w:r>
      <w:r>
        <w:rPr>
          <w:rFonts w:ascii="Times New Roman" w:hAnsi="Times New Roman" w:cs="Times New Roman"/>
        </w:rPr>
        <w:t xml:space="preserve">que propone </w:t>
      </w:r>
      <w:r w:rsidRPr="00C33074">
        <w:rPr>
          <w:rFonts w:ascii="Times New Roman" w:hAnsi="Times New Roman" w:cs="Times New Roman"/>
        </w:rPr>
        <w:t>el presente PL consisten en la disminución de las sanciones</w:t>
      </w:r>
      <w:r>
        <w:rPr>
          <w:rFonts w:ascii="Times New Roman" w:hAnsi="Times New Roman" w:cs="Times New Roman"/>
        </w:rPr>
        <w:t xml:space="preserve"> y la mora, así como</w:t>
      </w:r>
      <w:r w:rsidRPr="00C33074">
        <w:rPr>
          <w:rFonts w:ascii="Times New Roman" w:hAnsi="Times New Roman" w:cs="Times New Roman"/>
        </w:rPr>
        <w:t xml:space="preserve"> </w:t>
      </w:r>
      <w:r>
        <w:rPr>
          <w:rFonts w:ascii="Times New Roman" w:hAnsi="Times New Roman" w:cs="Times New Roman"/>
        </w:rPr>
        <w:t>e</w:t>
      </w:r>
      <w:r w:rsidRPr="00C33074">
        <w:rPr>
          <w:rFonts w:ascii="Times New Roman" w:hAnsi="Times New Roman" w:cs="Times New Roman"/>
        </w:rPr>
        <w:t>l establecimiento de facilidades de pago que permitan re</w:t>
      </w:r>
      <w:r>
        <w:rPr>
          <w:rFonts w:ascii="Times New Roman" w:hAnsi="Times New Roman" w:cs="Times New Roman"/>
        </w:rPr>
        <w:t>negociar</w:t>
      </w:r>
      <w:r w:rsidRPr="00C33074">
        <w:rPr>
          <w:rFonts w:ascii="Times New Roman" w:hAnsi="Times New Roman" w:cs="Times New Roman"/>
        </w:rPr>
        <w:t xml:space="preserve"> y extender el pago de los pasivos </w:t>
      </w:r>
      <w:r>
        <w:rPr>
          <w:rFonts w:ascii="Times New Roman" w:hAnsi="Times New Roman" w:cs="Times New Roman"/>
        </w:rPr>
        <w:t>de los SRC que cuenten con obligaciones tributarias pendientes.</w:t>
      </w:r>
      <w:r w:rsidRPr="00C33074">
        <w:rPr>
          <w:rFonts w:ascii="Times New Roman" w:hAnsi="Times New Roman" w:cs="Times New Roman"/>
        </w:rPr>
        <w:t xml:space="preserve"> </w:t>
      </w:r>
      <w:r>
        <w:rPr>
          <w:rFonts w:ascii="Times New Roman" w:hAnsi="Times New Roman" w:cs="Times New Roman"/>
        </w:rPr>
        <w:t>Este trato desigual estaría en marcado en</w:t>
      </w:r>
      <w:r w:rsidRPr="00C33074">
        <w:rPr>
          <w:rFonts w:ascii="Times New Roman" w:hAnsi="Times New Roman" w:cs="Times New Roman"/>
        </w:rPr>
        <w:t xml:space="preserve"> unas condiciones diferenciales que le sean asequibles a los </w:t>
      </w:r>
      <w:r>
        <w:rPr>
          <w:rFonts w:ascii="Times New Roman" w:hAnsi="Times New Roman" w:cs="Times New Roman"/>
        </w:rPr>
        <w:t xml:space="preserve">SRC para cumplir parcialmente sus obligaciones </w:t>
      </w:r>
      <w:r w:rsidRPr="00C33074">
        <w:rPr>
          <w:rFonts w:ascii="Times New Roman" w:hAnsi="Times New Roman" w:cs="Times New Roman"/>
        </w:rPr>
        <w:t xml:space="preserve">frente a la DIAN. </w:t>
      </w:r>
    </w:p>
    <w:p w14:paraId="1882FEEF"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 xml:space="preserve">Más aún, es necesario precisar que dichos alivios no constituyen exclusiones ni exenciones del pago de las obligaciones tributarias </w:t>
      </w:r>
      <w:r>
        <w:rPr>
          <w:rFonts w:ascii="Times New Roman" w:hAnsi="Times New Roman" w:cs="Times New Roman"/>
        </w:rPr>
        <w:t>a cargo de los SRC.</w:t>
      </w:r>
      <w:r w:rsidRPr="00C33074">
        <w:rPr>
          <w:rFonts w:ascii="Times New Roman" w:hAnsi="Times New Roman" w:cs="Times New Roman"/>
        </w:rPr>
        <w:t xml:space="preserve"> Por el contrario, se trata de medidas que deben otorgarse a quienes las soliciten, </w:t>
      </w:r>
      <w:r>
        <w:rPr>
          <w:rFonts w:ascii="Times New Roman" w:hAnsi="Times New Roman" w:cs="Times New Roman"/>
        </w:rPr>
        <w:t xml:space="preserve">de acuerdo con la reglamentación </w:t>
      </w:r>
      <w:r w:rsidRPr="00C33074">
        <w:rPr>
          <w:rFonts w:ascii="Times New Roman" w:hAnsi="Times New Roman" w:cs="Times New Roman"/>
        </w:rPr>
        <w:t xml:space="preserve">que expida la DIAN </w:t>
      </w:r>
      <w:r>
        <w:rPr>
          <w:rFonts w:ascii="Times New Roman" w:hAnsi="Times New Roman" w:cs="Times New Roman"/>
        </w:rPr>
        <w:t>para cumplir las disposiciones de la futura ley</w:t>
      </w:r>
      <w:r w:rsidRPr="00C33074">
        <w:rPr>
          <w:rFonts w:ascii="Times New Roman" w:hAnsi="Times New Roman" w:cs="Times New Roman"/>
        </w:rPr>
        <w:t>. Dichas medidas deberán establecerse bajo condiciones diferenciadas, en atención al principio de solidaridad y al derecho a la igualdad, y ser proporcionales a las realidades y necesidades de los S</w:t>
      </w:r>
      <w:r>
        <w:rPr>
          <w:rFonts w:ascii="Times New Roman" w:hAnsi="Times New Roman" w:cs="Times New Roman"/>
        </w:rPr>
        <w:t>RC</w:t>
      </w:r>
      <w:r w:rsidRPr="00C33074">
        <w:rPr>
          <w:rFonts w:ascii="Times New Roman" w:hAnsi="Times New Roman" w:cs="Times New Roman"/>
        </w:rPr>
        <w:t>, pactando plazos razonables y convenientes para ambas partes.</w:t>
      </w:r>
    </w:p>
    <w:p w14:paraId="747AD815"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lang w:val="es-419"/>
        </w:rPr>
        <w:t>Los compromisos internacionales d</w:t>
      </w:r>
      <w:r>
        <w:rPr>
          <w:rFonts w:ascii="Times New Roman" w:hAnsi="Times New Roman" w:cs="Times New Roman"/>
          <w:lang w:val="es-419"/>
        </w:rPr>
        <w:t>el país</w:t>
      </w:r>
      <w:r w:rsidRPr="00C33074">
        <w:rPr>
          <w:rFonts w:ascii="Times New Roman" w:hAnsi="Times New Roman" w:cs="Times New Roman"/>
          <w:lang w:val="es-419"/>
        </w:rPr>
        <w:t xml:space="preserve"> por medio del sistema universal de derechos humanos implican la creación de medidas como las </w:t>
      </w:r>
      <w:r>
        <w:rPr>
          <w:rFonts w:ascii="Times New Roman" w:hAnsi="Times New Roman" w:cs="Times New Roman"/>
          <w:lang w:val="es-419"/>
        </w:rPr>
        <w:t>aquí propuestas</w:t>
      </w:r>
      <w:r w:rsidRPr="00C33074">
        <w:rPr>
          <w:rFonts w:ascii="Times New Roman" w:hAnsi="Times New Roman" w:cs="Times New Roman"/>
          <w:lang w:val="es-419"/>
        </w:rPr>
        <w:t xml:space="preserve">. Las obligaciones jurídicas establecidas en la Resolución No. 60/147 del 16 de diciembre de 2005 de la ONU </w:t>
      </w:r>
      <w:r>
        <w:rPr>
          <w:rFonts w:ascii="Times New Roman" w:hAnsi="Times New Roman" w:cs="Times New Roman"/>
          <w:lang w:val="es-419"/>
        </w:rPr>
        <w:t>contemplan</w:t>
      </w:r>
      <w:r w:rsidRPr="00C33074">
        <w:rPr>
          <w:rFonts w:ascii="Times New Roman" w:hAnsi="Times New Roman" w:cs="Times New Roman"/>
          <w:lang w:val="es-419"/>
        </w:rPr>
        <w:t xml:space="preserve"> el deber jurídico a </w:t>
      </w:r>
      <w:r w:rsidRPr="00C33074">
        <w:rPr>
          <w:rFonts w:ascii="Times New Roman" w:hAnsi="Times New Roman" w:cs="Times New Roman"/>
        </w:rPr>
        <w:t xml:space="preserve">[conceder] </w:t>
      </w:r>
      <w:r w:rsidRPr="00C33074">
        <w:rPr>
          <w:rFonts w:ascii="Times New Roman" w:hAnsi="Times New Roman" w:cs="Times New Roman"/>
          <w:i/>
          <w:iCs/>
        </w:rPr>
        <w:t xml:space="preserve">reparación a las víctimas por las acciones u omisiones que puedan atribuirse al Estado y constituyan violaciones manifiestas de las normas internacionales de derechos humanos o violaciones graves del derecho internacional humanitario. </w:t>
      </w:r>
      <w:r w:rsidRPr="00C33074">
        <w:rPr>
          <w:rFonts w:ascii="Times New Roman" w:hAnsi="Times New Roman" w:cs="Times New Roman"/>
        </w:rPr>
        <w:t>Las modalidades de reparación pueden ser las señaladas en los numeral</w:t>
      </w:r>
      <w:r>
        <w:rPr>
          <w:rFonts w:ascii="Times New Roman" w:hAnsi="Times New Roman" w:cs="Times New Roman"/>
        </w:rPr>
        <w:t>es</w:t>
      </w:r>
      <w:r w:rsidRPr="00C33074">
        <w:rPr>
          <w:rFonts w:ascii="Times New Roman" w:hAnsi="Times New Roman" w:cs="Times New Roman"/>
        </w:rPr>
        <w:t xml:space="preserve"> 19 al 23. Estas formas de reparación están incorporadas en el derecho interno </w:t>
      </w:r>
      <w:r>
        <w:rPr>
          <w:rFonts w:ascii="Times New Roman" w:hAnsi="Times New Roman" w:cs="Times New Roman"/>
        </w:rPr>
        <w:t xml:space="preserve">en virtud del artículo 93 constitucional. </w:t>
      </w:r>
    </w:p>
    <w:p w14:paraId="27C0A5DA" w14:textId="77777777" w:rsidR="00BE3FCE" w:rsidRPr="00C33074" w:rsidRDefault="00BE3FCE" w:rsidP="00BE3FCE">
      <w:pPr>
        <w:spacing w:line="300" w:lineRule="exact"/>
        <w:jc w:val="both"/>
        <w:rPr>
          <w:rFonts w:ascii="Times New Roman" w:hAnsi="Times New Roman" w:cs="Times New Roman"/>
          <w:i/>
          <w:iCs/>
        </w:rPr>
      </w:pPr>
      <w:r>
        <w:rPr>
          <w:rFonts w:ascii="Times New Roman" w:hAnsi="Times New Roman" w:cs="Times New Roman"/>
        </w:rPr>
        <w:t>Por su parte,</w:t>
      </w:r>
      <w:r w:rsidRPr="00C33074">
        <w:rPr>
          <w:rFonts w:ascii="Times New Roman" w:hAnsi="Times New Roman" w:cs="Times New Roman"/>
        </w:rPr>
        <w:t xml:space="preserve"> los Principios </w:t>
      </w:r>
      <w:proofErr w:type="spellStart"/>
      <w:r w:rsidRPr="00C33074">
        <w:rPr>
          <w:rFonts w:ascii="Times New Roman" w:hAnsi="Times New Roman" w:cs="Times New Roman"/>
        </w:rPr>
        <w:t>Joinet</w:t>
      </w:r>
      <w:proofErr w:type="spellEnd"/>
      <w:r w:rsidRPr="00C33074">
        <w:rPr>
          <w:rFonts w:ascii="Times New Roman" w:hAnsi="Times New Roman" w:cs="Times New Roman"/>
        </w:rPr>
        <w:t xml:space="preserve"> de la ONU de 1997 contempl</w:t>
      </w:r>
      <w:r>
        <w:rPr>
          <w:rFonts w:ascii="Times New Roman" w:hAnsi="Times New Roman" w:cs="Times New Roman"/>
        </w:rPr>
        <w:t>an que</w:t>
      </w:r>
      <w:r w:rsidRPr="00C33074">
        <w:rPr>
          <w:rFonts w:ascii="Times New Roman" w:hAnsi="Times New Roman" w:cs="Times New Roman"/>
        </w:rPr>
        <w:t xml:space="preserve"> el derecho a la reparación de las víctimas de vulneraciones a los bienes jurídicos amparados internacionalmente </w:t>
      </w:r>
      <w:r w:rsidRPr="00C33074">
        <w:rPr>
          <w:rFonts w:ascii="Times New Roman" w:hAnsi="Times New Roman" w:cs="Times New Roman"/>
          <w:i/>
          <w:iCs/>
        </w:rPr>
        <w:t xml:space="preserve">debe cubrir la integralidad de perjuicios sufridos por la víctima. </w:t>
      </w:r>
      <w:r w:rsidRPr="00C33074">
        <w:rPr>
          <w:rFonts w:ascii="Times New Roman" w:hAnsi="Times New Roman" w:cs="Times New Roman"/>
        </w:rPr>
        <w:t>A su vez, la Resolución 56/83 del 12 de diciembre de 2001 de la ONU señal</w:t>
      </w:r>
      <w:r>
        <w:rPr>
          <w:rFonts w:ascii="Times New Roman" w:hAnsi="Times New Roman" w:cs="Times New Roman"/>
        </w:rPr>
        <w:t xml:space="preserve">a </w:t>
      </w:r>
      <w:r w:rsidRPr="00C33074">
        <w:rPr>
          <w:rFonts w:ascii="Times New Roman" w:hAnsi="Times New Roman" w:cs="Times New Roman"/>
        </w:rPr>
        <w:t xml:space="preserve">que </w:t>
      </w:r>
      <w:r>
        <w:rPr>
          <w:rFonts w:ascii="Times New Roman" w:hAnsi="Times New Roman" w:cs="Times New Roman"/>
          <w:i/>
          <w:iCs/>
        </w:rPr>
        <w:t>la</w:t>
      </w:r>
      <w:r w:rsidRPr="00C33074">
        <w:rPr>
          <w:rFonts w:ascii="Times New Roman" w:hAnsi="Times New Roman" w:cs="Times New Roman"/>
          <w:i/>
          <w:iCs/>
        </w:rPr>
        <w:t xml:space="preserve"> reparación íntegra del perjuicio causado por el hecho internacionalmente ilícito adoptará la forma de restitución, de indemnización y de satisfacción, ya sea de manera única o combinada, de conformidad con las disposiciones del presente capítulo.</w:t>
      </w:r>
    </w:p>
    <w:p w14:paraId="24A7585D"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 xml:space="preserve">Con las normas precitadas se torna evidente que el bloque de constitucionalidad en sentido extenso que ordena el artículo 93 constitucional incorpora interpretaciones amplias sobre las formas de reparación. El derecho internacional de los derechos humanos implica el cumplimiento de una serie de obligaciones a cargo del Estado. Estos deberes implican la creación de medidas tributarias diferenciales para restituir a las víctimas colectivas. La recaudación tributaria no puede implicar la inobservancia de estos mandatos, por el contrario, es deber del conjunto del Estado reparar integralmente los daños causados a las personas jurídicas con registro tributario que se vieron afectadas en su pecunio por el </w:t>
      </w:r>
      <w:r>
        <w:rPr>
          <w:rFonts w:ascii="Times New Roman" w:hAnsi="Times New Roman" w:cs="Times New Roman"/>
        </w:rPr>
        <w:t>Conflicto</w:t>
      </w:r>
      <w:r w:rsidRPr="00C33074">
        <w:rPr>
          <w:rFonts w:ascii="Times New Roman" w:hAnsi="Times New Roman" w:cs="Times New Roman"/>
        </w:rPr>
        <w:t>. La U</w:t>
      </w:r>
      <w:r>
        <w:rPr>
          <w:rFonts w:ascii="Times New Roman" w:hAnsi="Times New Roman" w:cs="Times New Roman"/>
        </w:rPr>
        <w:t>ARIV</w:t>
      </w:r>
      <w:r w:rsidRPr="00C33074">
        <w:rPr>
          <w:rFonts w:ascii="Times New Roman" w:hAnsi="Times New Roman" w:cs="Times New Roman"/>
        </w:rPr>
        <w:t xml:space="preserve"> ha reconocido una amplia lista de este tipo de personas jurídicas, por lo tanto, es deber del Congreso establecer medidas de alivio tributario.</w:t>
      </w:r>
    </w:p>
    <w:p w14:paraId="42F5BC28" w14:textId="77777777" w:rsidR="00BE3FCE" w:rsidRPr="00C33074" w:rsidRDefault="00BE3FCE" w:rsidP="00BE3FCE">
      <w:pPr>
        <w:pStyle w:val="Prrafodelista"/>
        <w:numPr>
          <w:ilvl w:val="0"/>
          <w:numId w:val="7"/>
        </w:numPr>
        <w:spacing w:after="160" w:line="300" w:lineRule="exact"/>
        <w:jc w:val="both"/>
        <w:rPr>
          <w:rFonts w:ascii="Times New Roman" w:hAnsi="Times New Roman" w:cs="Times New Roman"/>
          <w:b/>
          <w:bCs/>
          <w:i/>
          <w:iCs/>
        </w:rPr>
      </w:pPr>
      <w:r w:rsidRPr="00C33074">
        <w:rPr>
          <w:rFonts w:ascii="Times New Roman" w:hAnsi="Times New Roman" w:cs="Times New Roman"/>
          <w:b/>
          <w:bCs/>
          <w:i/>
          <w:iCs/>
        </w:rPr>
        <w:t>Convencionalidad interamericana de las medidas</w:t>
      </w:r>
    </w:p>
    <w:p w14:paraId="6840123C" w14:textId="77777777" w:rsidR="00BE3FCE" w:rsidRPr="00C33074"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sidRPr="00C33074">
        <w:rPr>
          <w:rFonts w:ascii="Times New Roman" w:eastAsia="Google Sans" w:hAnsi="Times New Roman" w:cs="Times New Roman"/>
        </w:rPr>
        <w:lastRenderedPageBreak/>
        <w:t>E</w:t>
      </w:r>
      <w:r>
        <w:rPr>
          <w:rFonts w:ascii="Times New Roman" w:eastAsia="Google Sans" w:hAnsi="Times New Roman" w:cs="Times New Roman"/>
        </w:rPr>
        <w:t>sta iniciativa</w:t>
      </w:r>
      <w:r w:rsidRPr="00C33074">
        <w:rPr>
          <w:rFonts w:ascii="Times New Roman" w:eastAsia="Google Sans" w:hAnsi="Times New Roman" w:cs="Times New Roman"/>
        </w:rPr>
        <w:t xml:space="preserve"> se articula sólidamente con los estándares interamericanos, particularmente con la Resolución No. 2/26 sobre Políticas Fiscales y Derechos Humanos en las Américas, adoptada por la Comisión Interamericana de Derechos Humanos (CIDH) y su Relatoría Especial sobre Derechos Económicos, Sociales, Culturales y Ambientales (REDESCA).</w:t>
      </w:r>
    </w:p>
    <w:p w14:paraId="7D08817A" w14:textId="77777777" w:rsidR="00BE3FCE" w:rsidRPr="00C33074"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sidRPr="00C33074">
        <w:rPr>
          <w:rFonts w:ascii="Times New Roman" w:eastAsia="Google Sans" w:hAnsi="Times New Roman" w:cs="Times New Roman"/>
        </w:rPr>
        <w:t>En su parte resolutiva, este instrumento establece derroteros imperativos que legitiman la adopción de medidas de alivio tributario para colectivos altamente vulnerables</w:t>
      </w:r>
      <w:r>
        <w:rPr>
          <w:rFonts w:ascii="Times New Roman" w:eastAsia="Google Sans" w:hAnsi="Times New Roman" w:cs="Times New Roman"/>
        </w:rPr>
        <w:t xml:space="preserve">. </w:t>
      </w:r>
    </w:p>
    <w:p w14:paraId="4A5C24EC" w14:textId="77777777" w:rsidR="00BE3FCE"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Pr>
          <w:rFonts w:ascii="Times New Roman" w:eastAsia="Google Sans" w:hAnsi="Times New Roman" w:cs="Times New Roman"/>
        </w:rPr>
        <w:t xml:space="preserve">El </w:t>
      </w:r>
      <w:r w:rsidRPr="00C33074">
        <w:rPr>
          <w:rFonts w:ascii="Times New Roman" w:eastAsia="Google Sans" w:hAnsi="Times New Roman" w:cs="Times New Roman"/>
        </w:rPr>
        <w:t>punto 1.2 de la Resolución obliga a los Estados a orientar sus decisiones de recaudación y asignación de recursos a la garantía de los derechos humanos y a la reducción de desigualdades estructurales. Asimismo, exige en sus puntos 1.4 y 1.5 la aplicación de enfoques diferenciados, interseccionales e interculturales en las políticas fiscales para identificar, prevenir y corregir los impactos desproporcionados sobre grupos históricamente discriminados o en situación de vulnerabilidad. Obligar a los SRC a soportar sanciones exorbitantes resulta en un efecto discriminatorio indirecto que el Estado debe suprimir en concordancia con el punto 2.4 de la Resolución.</w:t>
      </w:r>
    </w:p>
    <w:p w14:paraId="4C015876" w14:textId="77777777" w:rsidR="00BE3FCE"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Pr>
          <w:rFonts w:ascii="Times New Roman" w:eastAsia="Google Sans" w:hAnsi="Times New Roman" w:cs="Times New Roman"/>
        </w:rPr>
        <w:t>Los puntos descritos son del siguiente tenor:</w:t>
      </w:r>
    </w:p>
    <w:p w14:paraId="6AAB81D4"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Pr>
          <w:rFonts w:ascii="Times New Roman" w:eastAsia="Google Sans" w:hAnsi="Times New Roman" w:cs="Times New Roman"/>
        </w:rPr>
        <w:t>“</w:t>
      </w:r>
      <w:r w:rsidRPr="006D169F">
        <w:rPr>
          <w:rFonts w:ascii="Times New Roman" w:eastAsia="Google Sans" w:hAnsi="Times New Roman" w:cs="Times New Roman"/>
          <w:b/>
          <w:bCs/>
        </w:rPr>
        <w:t xml:space="preserve">1.2. Orientación de las políticas fiscales hacia la garantía de derechos </w:t>
      </w:r>
    </w:p>
    <w:p w14:paraId="50A08F7C" w14:textId="77777777" w:rsidR="00BE3FCE"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rPr>
        <w:t>Los Estados deben orientar sus decisiones de recaudación y asignación de recursos a la garantía de los derechos humanos, tanto los derechos civiles y políticos como los derechos económicos, sociales, culturales y ambientales, con atención a la igualdad y no discriminación, la reducción de desigualdades estructurales y el fortalecimiento de las condiciones democráticas.</w:t>
      </w:r>
    </w:p>
    <w:p w14:paraId="3AAD7059" w14:textId="77777777" w:rsidR="00BE3FCE"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Pr>
          <w:rFonts w:ascii="Times New Roman" w:eastAsia="Google Sans" w:hAnsi="Times New Roman" w:cs="Times New Roman"/>
        </w:rPr>
        <w:t>(…)</w:t>
      </w:r>
    </w:p>
    <w:p w14:paraId="2ABBDA2E"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b/>
          <w:bCs/>
        </w:rPr>
        <w:t xml:space="preserve">1.4. Igualdad y no discriminación </w:t>
      </w:r>
    </w:p>
    <w:p w14:paraId="03ADD402"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rPr>
        <w:t xml:space="preserve">Los Estados deben asegurar la aplicación transversal de los principios de igualdad y no discriminación en el diseño, adopción, implementación, seguimiento y evaluación de las políticas fiscales. A tal efecto, deben abstenerse de adoptar medidas discriminatorias o con efectos discriminatorios indirectos, revisar y corregir estructuras fiscales que reproduzcan o profundicen desigualdades estructurales, como la discriminación racial y de género, y adoptar, cuando corresponda, medidas específicas orientadas a prevenir, reducir y revertir tales desigualdades. </w:t>
      </w:r>
    </w:p>
    <w:p w14:paraId="3EAAF42B"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b/>
          <w:bCs/>
        </w:rPr>
        <w:t xml:space="preserve">1.5. Enfoques diferenciados, interseccionales e interculturales </w:t>
      </w:r>
    </w:p>
    <w:p w14:paraId="3F65EC3D" w14:textId="77777777" w:rsidR="00BE3FCE"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rPr>
        <w:t xml:space="preserve">Los Estados deben incorporar enfoques diferenciados, interseccionales e interculturales en el diseño, adopción, implementación, seguimiento y evaluación de las políticas fiscales, a fin de asegurar la protección integral de los derechos de personas y grupos históricamente discriminados o en situación de vulnerabilidad. Esto implica que los Estados deben identificar, prevenir y corregir impactos diferenciados o desproporcionados de las medidas fiscales sobre dichas personas y grupos. Para ello, deben realizar </w:t>
      </w:r>
      <w:r w:rsidRPr="006D169F">
        <w:rPr>
          <w:rFonts w:ascii="Times New Roman" w:eastAsia="Google Sans" w:hAnsi="Times New Roman" w:cs="Times New Roman"/>
        </w:rPr>
        <w:lastRenderedPageBreak/>
        <w:t xml:space="preserve">evaluaciones </w:t>
      </w:r>
      <w:r w:rsidRPr="006D169F">
        <w:rPr>
          <w:rFonts w:ascii="Times New Roman" w:eastAsia="Google Sans" w:hAnsi="Times New Roman" w:cs="Times New Roman"/>
          <w:i/>
          <w:iCs/>
        </w:rPr>
        <w:t xml:space="preserve">ex ante </w:t>
      </w:r>
      <w:r w:rsidRPr="006D169F">
        <w:rPr>
          <w:rFonts w:ascii="Times New Roman" w:eastAsia="Google Sans" w:hAnsi="Times New Roman" w:cs="Times New Roman"/>
        </w:rPr>
        <w:t xml:space="preserve">y </w:t>
      </w:r>
      <w:r w:rsidRPr="006D169F">
        <w:rPr>
          <w:rFonts w:ascii="Times New Roman" w:eastAsia="Google Sans" w:hAnsi="Times New Roman" w:cs="Times New Roman"/>
          <w:i/>
          <w:iCs/>
        </w:rPr>
        <w:t xml:space="preserve">ex post </w:t>
      </w:r>
      <w:r w:rsidRPr="006D169F">
        <w:rPr>
          <w:rFonts w:ascii="Times New Roman" w:eastAsia="Google Sans" w:hAnsi="Times New Roman" w:cs="Times New Roman"/>
        </w:rPr>
        <w:t>de su impacto distributivo y en derechos humanos, con información suficiente y desagregada, asegurando transparencia, participación y rendición de cuentas en tales procesos.</w:t>
      </w:r>
    </w:p>
    <w:p w14:paraId="4424B91A" w14:textId="77777777" w:rsidR="00BE3FCE"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Pr>
          <w:rFonts w:ascii="Times New Roman" w:eastAsia="Google Sans" w:hAnsi="Times New Roman" w:cs="Times New Roman"/>
        </w:rPr>
        <w:t>(…)</w:t>
      </w:r>
    </w:p>
    <w:p w14:paraId="4FDDE539"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b/>
          <w:bCs/>
        </w:rPr>
        <w:t xml:space="preserve">2.4. Igualdad y no discriminación en la normativa tributaria </w:t>
      </w:r>
    </w:p>
    <w:p w14:paraId="0EAFA030" w14:textId="77777777" w:rsidR="00BE3FCE" w:rsidRPr="00C33074"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rPr>
        <w:t>Los Estados deben identificar, prevenir, corregir y eliminar sesgos o efectos discriminatorios en la normativa y en la práctica tributarias, incluidas aquellas estructuras que puedan afectar de manera desproporcionada a mujeres, pueblos indígenas, personas afrodescendientes, personas migrantes, personas con discapacidad, y otros grupos históricamente discriminados o en situación de vulnerabilidad.</w:t>
      </w:r>
      <w:r>
        <w:rPr>
          <w:rFonts w:ascii="Times New Roman" w:eastAsia="Google Sans" w:hAnsi="Times New Roman" w:cs="Times New Roman"/>
        </w:rPr>
        <w:t>”</w:t>
      </w:r>
      <w:r>
        <w:rPr>
          <w:rStyle w:val="Refdenotaalpie"/>
          <w:rFonts w:ascii="Times New Roman" w:eastAsia="Google Sans" w:hAnsi="Times New Roman" w:cs="Times New Roman"/>
        </w:rPr>
        <w:footnoteReference w:id="3"/>
      </w:r>
    </w:p>
    <w:p w14:paraId="02A11B2C" w14:textId="77777777" w:rsidR="00BE3FCE"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sidRPr="00C33074">
        <w:rPr>
          <w:rFonts w:ascii="Times New Roman" w:eastAsia="Google Sans" w:hAnsi="Times New Roman" w:cs="Times New Roman"/>
        </w:rPr>
        <w:t xml:space="preserve">Los puntos 5.1 y 5.3 instan a los Estados a implementar respuestas fiscales orientadas a prevenir y mitigar crisis sociales </w:t>
      </w:r>
      <w:r>
        <w:rPr>
          <w:rFonts w:ascii="Times New Roman" w:eastAsia="Google Sans" w:hAnsi="Times New Roman" w:cs="Times New Roman"/>
        </w:rPr>
        <w:t xml:space="preserve">- </w:t>
      </w:r>
      <w:r w:rsidRPr="00C33074">
        <w:rPr>
          <w:rFonts w:ascii="Times New Roman" w:eastAsia="Google Sans" w:hAnsi="Times New Roman" w:cs="Times New Roman"/>
        </w:rPr>
        <w:t>como los impactos derivados del conflicto armad</w:t>
      </w:r>
      <w:r>
        <w:rPr>
          <w:rFonts w:ascii="Times New Roman" w:eastAsia="Google Sans" w:hAnsi="Times New Roman" w:cs="Times New Roman"/>
        </w:rPr>
        <w:t>o -</w:t>
      </w:r>
      <w:r w:rsidRPr="00C33074">
        <w:rPr>
          <w:rFonts w:ascii="Times New Roman" w:eastAsia="Google Sans" w:hAnsi="Times New Roman" w:cs="Times New Roman"/>
        </w:rPr>
        <w:t xml:space="preserve"> mediante mecanismos de estabilización que fortalezcan los sistemas de protección del ingreso y aseguren niveles adecuados de protección social, evitando afectaciones desproporcionadas en poblaciones vulnerables.</w:t>
      </w:r>
    </w:p>
    <w:p w14:paraId="799C1044" w14:textId="77777777" w:rsidR="00BE3FCE"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Pr>
          <w:rFonts w:ascii="Times New Roman" w:eastAsia="Google Sans" w:hAnsi="Times New Roman" w:cs="Times New Roman"/>
        </w:rPr>
        <w:t>Los mencionados puntos indican:</w:t>
      </w:r>
    </w:p>
    <w:p w14:paraId="73290420"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Pr>
          <w:rFonts w:ascii="Times New Roman" w:eastAsia="Google Sans" w:hAnsi="Times New Roman" w:cs="Times New Roman"/>
        </w:rPr>
        <w:t>“</w:t>
      </w:r>
      <w:r w:rsidRPr="006D169F">
        <w:rPr>
          <w:rFonts w:ascii="Times New Roman" w:eastAsia="Google Sans" w:hAnsi="Times New Roman" w:cs="Times New Roman"/>
          <w:b/>
          <w:bCs/>
        </w:rPr>
        <w:t xml:space="preserve">5.1. Prevención y respuesta fiscal compatible con los derechos humanos </w:t>
      </w:r>
    </w:p>
    <w:p w14:paraId="07904779" w14:textId="77777777" w:rsidR="00BE3FCE"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rPr>
        <w:t>Los Estados deben adoptar políticas fiscales orientadas a prevenir y mitigar crisis recurrentes y a fortalecer la resiliencia frente a crisis económicas, financieras, sanitarias,</w:t>
      </w:r>
      <w:r>
        <w:rPr>
          <w:rFonts w:ascii="Times New Roman" w:eastAsia="Google Sans" w:hAnsi="Times New Roman" w:cs="Times New Roman"/>
        </w:rPr>
        <w:t xml:space="preserve"> </w:t>
      </w:r>
      <w:r w:rsidRPr="006D169F">
        <w:rPr>
          <w:rFonts w:ascii="Times New Roman" w:eastAsia="Google Sans" w:hAnsi="Times New Roman" w:cs="Times New Roman"/>
        </w:rPr>
        <w:t>sociales, ambientales, de seguridad, incluidos conflictos armados o situaciones de criminalidad organizada, o de otra naturaleza, incluso mediante la ampliación del espacio fiscal, la gestión responsable del gasto público y mecanismos de estabilización compatibles con los derechos humanos y que no impliquen una regresividad incompatible con las obligaciones internacionales aplicables.</w:t>
      </w:r>
    </w:p>
    <w:p w14:paraId="4512AC92" w14:textId="77777777" w:rsidR="00BE3FCE"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Pr>
          <w:rFonts w:ascii="Times New Roman" w:eastAsia="Google Sans" w:hAnsi="Times New Roman" w:cs="Times New Roman"/>
        </w:rPr>
        <w:t>(…)</w:t>
      </w:r>
    </w:p>
    <w:p w14:paraId="78733F0B" w14:textId="77777777" w:rsidR="00BE3FCE" w:rsidRPr="006D169F"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b/>
          <w:bCs/>
        </w:rPr>
        <w:t xml:space="preserve">5.3. Protección social y protección del ingreso frente a crisis </w:t>
      </w:r>
    </w:p>
    <w:p w14:paraId="7846794F" w14:textId="77777777" w:rsidR="00BE3FCE" w:rsidRPr="00C33074" w:rsidRDefault="00BE3FCE" w:rsidP="00BE3FCE">
      <w:pPr>
        <w:pBdr>
          <w:top w:val="nil"/>
          <w:left w:val="nil"/>
          <w:bottom w:val="nil"/>
          <w:right w:val="nil"/>
          <w:between w:val="nil"/>
        </w:pBdr>
        <w:spacing w:after="150" w:line="300" w:lineRule="exact"/>
        <w:ind w:left="284"/>
        <w:jc w:val="both"/>
        <w:rPr>
          <w:rFonts w:ascii="Times New Roman" w:eastAsia="Google Sans" w:hAnsi="Times New Roman" w:cs="Times New Roman"/>
        </w:rPr>
      </w:pPr>
      <w:r w:rsidRPr="006D169F">
        <w:rPr>
          <w:rFonts w:ascii="Times New Roman" w:eastAsia="Google Sans" w:hAnsi="Times New Roman" w:cs="Times New Roman"/>
        </w:rPr>
        <w:t xml:space="preserve">Los Estados deben fortalecer los sistemas de seguridad social y los mecanismos de protección del ingreso frente a </w:t>
      </w:r>
      <w:r w:rsidRPr="006D169F">
        <w:rPr>
          <w:rFonts w:ascii="Times New Roman" w:eastAsia="Google Sans" w:hAnsi="Times New Roman" w:cs="Times New Roman"/>
          <w:i/>
          <w:iCs/>
        </w:rPr>
        <w:t xml:space="preserve">shocks </w:t>
      </w:r>
      <w:r w:rsidRPr="006D169F">
        <w:rPr>
          <w:rFonts w:ascii="Times New Roman" w:eastAsia="Google Sans" w:hAnsi="Times New Roman" w:cs="Times New Roman"/>
        </w:rPr>
        <w:t>económicos, climáticos o sanitarios, para asegurar niveles adecuados de protección social y evitar afectaciones desproporcionadas sobre personas y grupos en situación de vulnerabilidad. Con ese fin, deben considerar, según corresponda, medidas tales como pisos mínimos de protección social, transferencias de emergencia, subsidios, acceso ampliado a servicios esenciales —incluidos salud y cuidados— y otras acciones orientadas a proteger el empleo, el ingreso y el acceso a alimentos, medicamentos y energía; con especial atención a mujeres, niñas, niños y adolescentes, personas mayores, personas trabajadoras informales, pueblos indígenas, personas afrodescendientes y otros grupos históricamente discriminados o en situación de vulnerabilidad.</w:t>
      </w:r>
      <w:r>
        <w:rPr>
          <w:rFonts w:ascii="Times New Roman" w:eastAsia="Google Sans" w:hAnsi="Times New Roman" w:cs="Times New Roman"/>
        </w:rPr>
        <w:t>”</w:t>
      </w:r>
    </w:p>
    <w:p w14:paraId="42A8D6B1" w14:textId="77777777" w:rsidR="00BE3FCE" w:rsidRPr="00C33074" w:rsidRDefault="00BE3FCE" w:rsidP="00BE3FCE">
      <w:pPr>
        <w:pBdr>
          <w:top w:val="nil"/>
          <w:left w:val="nil"/>
          <w:bottom w:val="nil"/>
          <w:right w:val="nil"/>
          <w:between w:val="nil"/>
        </w:pBdr>
        <w:spacing w:after="150" w:line="300" w:lineRule="exact"/>
        <w:jc w:val="both"/>
        <w:rPr>
          <w:rFonts w:ascii="Times New Roman" w:eastAsia="Google Sans" w:hAnsi="Times New Roman" w:cs="Times New Roman"/>
        </w:rPr>
      </w:pPr>
      <w:r w:rsidRPr="00C33074">
        <w:rPr>
          <w:rFonts w:ascii="Times New Roman" w:eastAsia="Google Sans" w:hAnsi="Times New Roman" w:cs="Times New Roman"/>
        </w:rPr>
        <w:lastRenderedPageBreak/>
        <w:t xml:space="preserve">Las medidas propuestas en </w:t>
      </w:r>
      <w:r>
        <w:rPr>
          <w:rFonts w:ascii="Times New Roman" w:eastAsia="Google Sans" w:hAnsi="Times New Roman" w:cs="Times New Roman"/>
        </w:rPr>
        <w:t>el</w:t>
      </w:r>
      <w:r w:rsidRPr="00C33074">
        <w:rPr>
          <w:rFonts w:ascii="Times New Roman" w:eastAsia="Google Sans" w:hAnsi="Times New Roman" w:cs="Times New Roman"/>
        </w:rPr>
        <w:t xml:space="preserve"> </w:t>
      </w:r>
      <w:r>
        <w:rPr>
          <w:rFonts w:ascii="Times New Roman" w:eastAsia="Google Sans" w:hAnsi="Times New Roman" w:cs="Times New Roman"/>
        </w:rPr>
        <w:t>PL</w:t>
      </w:r>
      <w:r w:rsidRPr="00C33074">
        <w:rPr>
          <w:rFonts w:ascii="Times New Roman" w:eastAsia="Google Sans" w:hAnsi="Times New Roman" w:cs="Times New Roman"/>
        </w:rPr>
        <w:t xml:space="preserve"> acatan de manera directa estas obligaciones interamericanas, utilizando la política fiscal </w:t>
      </w:r>
      <w:r>
        <w:rPr>
          <w:rFonts w:ascii="Times New Roman" w:eastAsia="Google Sans" w:hAnsi="Times New Roman" w:cs="Times New Roman"/>
        </w:rPr>
        <w:t>c</w:t>
      </w:r>
      <w:r w:rsidRPr="00C33074">
        <w:rPr>
          <w:rFonts w:ascii="Times New Roman" w:eastAsia="Google Sans" w:hAnsi="Times New Roman" w:cs="Times New Roman"/>
        </w:rPr>
        <w:t>omo herramienta correctiva frente a las vulneraciones y deudas originadas precisamente durante los contextos de c</w:t>
      </w:r>
      <w:r>
        <w:rPr>
          <w:rFonts w:ascii="Times New Roman" w:eastAsia="Google Sans" w:hAnsi="Times New Roman" w:cs="Times New Roman"/>
        </w:rPr>
        <w:t>onflicto armado.</w:t>
      </w:r>
    </w:p>
    <w:p w14:paraId="62411C0A" w14:textId="77777777" w:rsidR="00BE3FCE" w:rsidRPr="00C33074" w:rsidRDefault="00BE3FCE" w:rsidP="00BE3FCE">
      <w:pPr>
        <w:pStyle w:val="Prrafodelista"/>
        <w:numPr>
          <w:ilvl w:val="0"/>
          <w:numId w:val="7"/>
        </w:numPr>
        <w:spacing w:after="160" w:line="300" w:lineRule="exact"/>
        <w:jc w:val="both"/>
        <w:rPr>
          <w:rFonts w:ascii="Times New Roman" w:hAnsi="Times New Roman" w:cs="Times New Roman"/>
          <w:b/>
          <w:bCs/>
        </w:rPr>
      </w:pPr>
      <w:r w:rsidRPr="00C33074">
        <w:rPr>
          <w:rFonts w:ascii="Times New Roman" w:hAnsi="Times New Roman" w:cs="Times New Roman"/>
          <w:b/>
          <w:bCs/>
          <w:i/>
          <w:iCs/>
        </w:rPr>
        <w:t>Constituciona</w:t>
      </w:r>
      <w:r>
        <w:rPr>
          <w:rFonts w:ascii="Times New Roman" w:hAnsi="Times New Roman" w:cs="Times New Roman"/>
          <w:b/>
          <w:bCs/>
          <w:i/>
          <w:iCs/>
        </w:rPr>
        <w:t>lización</w:t>
      </w:r>
      <w:r w:rsidRPr="00C33074">
        <w:rPr>
          <w:rFonts w:ascii="Times New Roman" w:hAnsi="Times New Roman" w:cs="Times New Roman"/>
          <w:b/>
          <w:bCs/>
          <w:i/>
          <w:iCs/>
        </w:rPr>
        <w:t xml:space="preserve"> de la iniciativa: Aplicación del test integrado de igualdad</w:t>
      </w:r>
    </w:p>
    <w:p w14:paraId="76DDA05E"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En la tradición de nuestro ordenamiento jurídico, las altas cortes han erigido métodos argumentativos para sopesar si una medida discriminatoria</w:t>
      </w:r>
      <w:r>
        <w:rPr>
          <w:rFonts w:ascii="Times New Roman" w:hAnsi="Times New Roman" w:cs="Times New Roman"/>
        </w:rPr>
        <w:t xml:space="preserve"> positiva</w:t>
      </w:r>
      <w:r w:rsidRPr="00C33074">
        <w:rPr>
          <w:rFonts w:ascii="Times New Roman" w:hAnsi="Times New Roman" w:cs="Times New Roman"/>
        </w:rPr>
        <w:t xml:space="preserve"> a favor de un grupo desfavorecido es admisible desde la óptica constitucional. En ese sentido, para la adopción de las medidas de alivio tributario en beneficio de las v</w:t>
      </w:r>
      <w:r>
        <w:rPr>
          <w:rFonts w:ascii="Times New Roman" w:hAnsi="Times New Roman" w:cs="Times New Roman"/>
        </w:rPr>
        <w:t>í</w:t>
      </w:r>
      <w:r w:rsidRPr="00C33074">
        <w:rPr>
          <w:rFonts w:ascii="Times New Roman" w:hAnsi="Times New Roman" w:cs="Times New Roman"/>
        </w:rPr>
        <w:t>ctimas colectivas del conflicto armado que contempla el articulado de esta iniciativa, se procederá a aplicar un juicio integrado de igualdad a partir de la estructura del artículo 13 constitucional, el nivel de escrutinio exigido por la Corte Constitucional para casos similares y se concluirá con la aplicación del principio de proporcionalidad.</w:t>
      </w:r>
    </w:p>
    <w:p w14:paraId="2F5E3634" w14:textId="77777777" w:rsidR="00BE3FCE" w:rsidRDefault="00BE3FCE" w:rsidP="00BE3FCE">
      <w:pPr>
        <w:spacing w:line="300" w:lineRule="exact"/>
        <w:jc w:val="both"/>
        <w:rPr>
          <w:rFonts w:ascii="Times New Roman" w:hAnsi="Times New Roman" w:cs="Times New Roman"/>
        </w:rPr>
      </w:pPr>
      <w:r w:rsidRPr="00C33074">
        <w:rPr>
          <w:rFonts w:ascii="Times New Roman" w:hAnsi="Times New Roman" w:cs="Times New Roman"/>
        </w:rPr>
        <w:t>La doctrina señala con claridad que este método es aplicable a las medidas de promoción y protección que establecen los incisos 2° y 3° del art</w:t>
      </w:r>
      <w:r>
        <w:rPr>
          <w:rFonts w:ascii="Times New Roman" w:hAnsi="Times New Roman" w:cs="Times New Roman"/>
        </w:rPr>
        <w:t>í</w:t>
      </w:r>
      <w:r w:rsidRPr="00C33074">
        <w:rPr>
          <w:rFonts w:ascii="Times New Roman" w:hAnsi="Times New Roman" w:cs="Times New Roman"/>
        </w:rPr>
        <w:t>culo 13 constitucional. En el presente caso, se trata de una serie de medidas que autorizan un trato de discriminación positiva a partir de un criterio no contemplado en la carta política</w:t>
      </w:r>
      <w:r>
        <w:rPr>
          <w:rFonts w:ascii="Times New Roman" w:hAnsi="Times New Roman" w:cs="Times New Roman"/>
        </w:rPr>
        <w:t xml:space="preserve">, el cual </w:t>
      </w:r>
      <w:r w:rsidRPr="00C33074">
        <w:rPr>
          <w:rFonts w:ascii="Times New Roman" w:hAnsi="Times New Roman" w:cs="Times New Roman"/>
        </w:rPr>
        <w:t>busca</w:t>
      </w:r>
      <w:r>
        <w:rPr>
          <w:rFonts w:ascii="Times New Roman" w:hAnsi="Times New Roman" w:cs="Times New Roman"/>
        </w:rPr>
        <w:t xml:space="preserve"> </w:t>
      </w:r>
      <w:r w:rsidRPr="00C33074">
        <w:rPr>
          <w:rFonts w:ascii="Times New Roman" w:hAnsi="Times New Roman" w:cs="Times New Roman"/>
        </w:rPr>
        <w:t>admitir un trato desigual para la c</w:t>
      </w:r>
      <w:r>
        <w:rPr>
          <w:rFonts w:ascii="Times New Roman" w:hAnsi="Times New Roman" w:cs="Times New Roman"/>
        </w:rPr>
        <w:t>onc</w:t>
      </w:r>
      <w:r w:rsidRPr="00C33074">
        <w:rPr>
          <w:rFonts w:ascii="Times New Roman" w:hAnsi="Times New Roman" w:cs="Times New Roman"/>
        </w:rPr>
        <w:t xml:space="preserve">reción de un orden social justo en favor de las personas beneficiarias de las medidas.  </w:t>
      </w:r>
    </w:p>
    <w:p w14:paraId="4C522CB3" w14:textId="77777777" w:rsidR="00BE3FCE" w:rsidRPr="00C33074" w:rsidRDefault="00BE3FCE" w:rsidP="00BE3FCE">
      <w:pPr>
        <w:spacing w:line="300" w:lineRule="exact"/>
        <w:jc w:val="both"/>
        <w:rPr>
          <w:rFonts w:ascii="Times New Roman" w:hAnsi="Times New Roman" w:cs="Times New Roman"/>
        </w:rPr>
      </w:pPr>
      <w:r>
        <w:rPr>
          <w:rFonts w:ascii="Times New Roman" w:hAnsi="Times New Roman" w:cs="Times New Roman"/>
        </w:rPr>
        <w:t>La Corte Constitucional ha decantado el método pertinente para evaluar si una medida que afecta el principio de igualdad se apega a los mandatos fundamentales del artículo 13 constitucional. En otra línea jurisprudencial contundente y vigente – C-104/16 y C-589/16 – la alta Corporación ha definido que el juicio integrado de igualdad inicia con la determinación de los criterios de comparación y la aplicación del juicio de razonabilidad de la medida. De acuerdo con estas directrices se procede a aplicar el juicio de igualdad.</w:t>
      </w:r>
    </w:p>
    <w:p w14:paraId="0789B7A2" w14:textId="77777777" w:rsidR="00BE3FCE" w:rsidRDefault="00BE3FCE" w:rsidP="00BE3FCE">
      <w:pPr>
        <w:spacing w:line="300" w:lineRule="exact"/>
        <w:jc w:val="both"/>
        <w:rPr>
          <w:rFonts w:ascii="Times New Roman" w:hAnsi="Times New Roman" w:cs="Times New Roman"/>
          <w:b/>
          <w:bCs/>
        </w:rPr>
      </w:pPr>
      <w:r w:rsidRPr="00C33074">
        <w:rPr>
          <w:rFonts w:ascii="Times New Roman" w:hAnsi="Times New Roman" w:cs="Times New Roman"/>
          <w:b/>
          <w:bCs/>
        </w:rPr>
        <w:t>Presupuestos de aplicación</w:t>
      </w:r>
    </w:p>
    <w:p w14:paraId="495664D8" w14:textId="77777777" w:rsidR="00BE3FCE" w:rsidRPr="00B42DFF" w:rsidRDefault="00BE3FCE" w:rsidP="00BE3FCE">
      <w:pPr>
        <w:spacing w:line="300" w:lineRule="exact"/>
        <w:jc w:val="both"/>
        <w:rPr>
          <w:rFonts w:ascii="Times New Roman" w:hAnsi="Times New Roman" w:cs="Times New Roman"/>
        </w:rPr>
      </w:pPr>
      <w:r w:rsidRPr="001D1F61">
        <w:rPr>
          <w:rFonts w:ascii="Times New Roman" w:hAnsi="Times New Roman" w:cs="Times New Roman"/>
        </w:rPr>
        <w:t xml:space="preserve">La presente iniciativa plantea una diferencia de trato justificada entre los contribuyentes ordinarios y los Sujetos de Reparación Colectiva (SRC) que ostentan personería jurídica </w:t>
      </w:r>
      <w:r>
        <w:rPr>
          <w:rFonts w:ascii="Times New Roman" w:hAnsi="Times New Roman" w:cs="Times New Roman"/>
        </w:rPr>
        <w:t>y</w:t>
      </w:r>
      <w:r w:rsidRPr="001D1F61">
        <w:rPr>
          <w:rFonts w:ascii="Times New Roman" w:hAnsi="Times New Roman" w:cs="Times New Roman"/>
        </w:rPr>
        <w:t xml:space="preserve"> registro tributario y se encuentran acreditados en el Registro Único de Víctimas (RUV). Exigir el cumplimiento de las obligaciones tributarias y sancionatorias bajo las reglas </w:t>
      </w:r>
      <w:r>
        <w:rPr>
          <w:rFonts w:ascii="Times New Roman" w:hAnsi="Times New Roman" w:cs="Times New Roman"/>
        </w:rPr>
        <w:t>del Estatuto Tributario</w:t>
      </w:r>
      <w:r w:rsidRPr="001D1F61">
        <w:rPr>
          <w:rFonts w:ascii="Times New Roman" w:hAnsi="Times New Roman" w:cs="Times New Roman"/>
        </w:rPr>
        <w:t xml:space="preserve"> a este grupo poblacional configuraría un trato igual entre desiguales. Los SRC sufrieron una aminoración patrimonial directa derivada de hechos imprevisibles e irresistibles en el marco del conflicto armado, lo que los ubica en una circunstancia de debilidad manifiesta económica. Por consiguiente, el trato asimétrico propuesto es una materialización del mandato de igualdad material y </w:t>
      </w:r>
      <w:r>
        <w:rPr>
          <w:rFonts w:ascii="Times New Roman" w:hAnsi="Times New Roman" w:cs="Times New Roman"/>
        </w:rPr>
        <w:t>real</w:t>
      </w:r>
      <w:r w:rsidRPr="001D1F61">
        <w:rPr>
          <w:rFonts w:ascii="Times New Roman" w:hAnsi="Times New Roman" w:cs="Times New Roman"/>
        </w:rPr>
        <w:t>.</w:t>
      </w:r>
    </w:p>
    <w:p w14:paraId="126785A4" w14:textId="77777777" w:rsidR="00BE3FCE" w:rsidRPr="00C33074" w:rsidRDefault="00BE3FCE" w:rsidP="00BE3FCE">
      <w:pPr>
        <w:spacing w:line="300" w:lineRule="exact"/>
        <w:jc w:val="both"/>
        <w:rPr>
          <w:rFonts w:ascii="Times New Roman" w:hAnsi="Times New Roman" w:cs="Times New Roman"/>
          <w:b/>
          <w:bCs/>
        </w:rPr>
      </w:pPr>
      <w:r w:rsidRPr="00C33074">
        <w:rPr>
          <w:rFonts w:ascii="Times New Roman" w:hAnsi="Times New Roman" w:cs="Times New Roman"/>
          <w:b/>
          <w:bCs/>
        </w:rPr>
        <w:t>Principio de proporcionalidad</w:t>
      </w:r>
      <w:r>
        <w:rPr>
          <w:rFonts w:ascii="Times New Roman" w:hAnsi="Times New Roman" w:cs="Times New Roman"/>
          <w:b/>
          <w:bCs/>
        </w:rPr>
        <w:t>: determinar si se trata de una diferencia de trato justificada</w:t>
      </w:r>
    </w:p>
    <w:p w14:paraId="287EAFE2" w14:textId="77777777" w:rsidR="00BE3FCE" w:rsidRPr="001D1F61" w:rsidRDefault="00BE3FCE" w:rsidP="00BE3FCE">
      <w:pPr>
        <w:spacing w:line="300" w:lineRule="exact"/>
        <w:jc w:val="both"/>
        <w:rPr>
          <w:rFonts w:ascii="Times New Roman" w:hAnsi="Times New Roman" w:cs="Times New Roman"/>
          <w:b/>
          <w:bCs/>
        </w:rPr>
      </w:pPr>
      <w:r>
        <w:rPr>
          <w:rFonts w:ascii="Times New Roman" w:hAnsi="Times New Roman" w:cs="Times New Roman"/>
          <w:b/>
          <w:bCs/>
        </w:rPr>
        <w:t>1</w:t>
      </w:r>
      <w:r w:rsidRPr="001D1F61">
        <w:rPr>
          <w:rFonts w:ascii="Times New Roman" w:hAnsi="Times New Roman" w:cs="Times New Roman"/>
          <w:b/>
          <w:bCs/>
        </w:rPr>
        <w:t>. Subprincipio de Idoneidad</w:t>
      </w:r>
    </w:p>
    <w:p w14:paraId="1F2E39A2" w14:textId="77777777" w:rsidR="00BE3FCE" w:rsidRPr="001D1F61" w:rsidRDefault="00BE3FCE" w:rsidP="00BE3FCE">
      <w:pPr>
        <w:spacing w:line="300" w:lineRule="exact"/>
        <w:jc w:val="both"/>
        <w:rPr>
          <w:rFonts w:ascii="Times New Roman" w:hAnsi="Times New Roman" w:cs="Times New Roman"/>
        </w:rPr>
      </w:pPr>
      <w:r w:rsidRPr="001D1F61">
        <w:rPr>
          <w:rFonts w:ascii="Times New Roman" w:hAnsi="Times New Roman" w:cs="Times New Roman"/>
        </w:rPr>
        <w:t>La medida legislativa resulta sustancialmente idónea para proteger al grupo poblacional desfavorecido. El objetivo constitucionalmente imperioso es la sostenibilidad financiera de las organizaciones sociales para que puedan ejecutar materialmente sus Planes Integrales de Reparación Colectiva (PIRC). Frente a la imposibilidad sobrevenida de pago, los mecanismos creados por este proyecto —la reducción de sanciones e intereses moratorios al diez por ciento (10%), la concesión de facilidades de pago de hasta treinta (30) años y la dación en pago necesaria con bienes inmuebles— conjuran la excesiva onerosidad que pesa sobre las víctimas, operando en la práctica como auténticas medidas de reparación integral.</w:t>
      </w:r>
    </w:p>
    <w:p w14:paraId="4B65CF19" w14:textId="77777777" w:rsidR="00BE3FCE" w:rsidRPr="001D1F61" w:rsidRDefault="00BE3FCE" w:rsidP="00BE3FCE">
      <w:pPr>
        <w:spacing w:line="300" w:lineRule="exact"/>
        <w:jc w:val="both"/>
        <w:rPr>
          <w:rFonts w:ascii="Times New Roman" w:hAnsi="Times New Roman" w:cs="Times New Roman"/>
          <w:b/>
          <w:bCs/>
        </w:rPr>
      </w:pPr>
      <w:r>
        <w:rPr>
          <w:rFonts w:ascii="Times New Roman" w:hAnsi="Times New Roman" w:cs="Times New Roman"/>
          <w:b/>
          <w:bCs/>
        </w:rPr>
        <w:lastRenderedPageBreak/>
        <w:t>2</w:t>
      </w:r>
      <w:r w:rsidRPr="001D1F61">
        <w:rPr>
          <w:rFonts w:ascii="Times New Roman" w:hAnsi="Times New Roman" w:cs="Times New Roman"/>
          <w:b/>
          <w:bCs/>
        </w:rPr>
        <w:t>. Subprincipio de Necesidad</w:t>
      </w:r>
    </w:p>
    <w:p w14:paraId="2DC0F47F" w14:textId="77777777" w:rsidR="00BE3FCE" w:rsidRDefault="00BE3FCE" w:rsidP="00BE3FCE">
      <w:pPr>
        <w:spacing w:line="300" w:lineRule="exact"/>
        <w:jc w:val="both"/>
        <w:rPr>
          <w:rFonts w:ascii="Times New Roman" w:hAnsi="Times New Roman" w:cs="Times New Roman"/>
        </w:rPr>
      </w:pPr>
    </w:p>
    <w:p w14:paraId="1BC6C45B" w14:textId="3210134B" w:rsidR="00BE3FCE" w:rsidRPr="001D1F61" w:rsidRDefault="00BE3FCE" w:rsidP="00BE3FCE">
      <w:pPr>
        <w:spacing w:line="300" w:lineRule="exact"/>
        <w:jc w:val="both"/>
        <w:rPr>
          <w:rFonts w:ascii="Times New Roman" w:hAnsi="Times New Roman" w:cs="Times New Roman"/>
        </w:rPr>
      </w:pPr>
      <w:r w:rsidRPr="001D1F61">
        <w:rPr>
          <w:rFonts w:ascii="Times New Roman" w:hAnsi="Times New Roman" w:cs="Times New Roman"/>
        </w:rPr>
        <w:t>El trato diferenciado es estrictamente necesario, toda vez que no existe en el ordenamiento jurídico actual, ni en los planes ordinarios de atención a víctimas, una medida alternativa que revista la misma idoneidad probada y que implique una menor injerencia en el principio de igualdad formal.</w:t>
      </w:r>
    </w:p>
    <w:p w14:paraId="33679B78" w14:textId="77777777" w:rsidR="00BE3FCE" w:rsidRPr="001D1F61" w:rsidRDefault="00BE3FCE" w:rsidP="00BE3FCE">
      <w:pPr>
        <w:spacing w:line="300" w:lineRule="exact"/>
        <w:jc w:val="both"/>
        <w:rPr>
          <w:rFonts w:ascii="Times New Roman" w:hAnsi="Times New Roman" w:cs="Times New Roman"/>
        </w:rPr>
      </w:pPr>
      <w:r w:rsidRPr="001D1F61">
        <w:rPr>
          <w:rFonts w:ascii="Times New Roman" w:hAnsi="Times New Roman" w:cs="Times New Roman"/>
        </w:rPr>
        <w:t xml:space="preserve">Para salvaguardar la estructura tributaria y demostrar la necesidad de la medida sin incurrir en excesos, el articulado contiene delimitaciones </w:t>
      </w:r>
      <w:r>
        <w:rPr>
          <w:rFonts w:ascii="Times New Roman" w:hAnsi="Times New Roman" w:cs="Times New Roman"/>
        </w:rPr>
        <w:t>claras:</w:t>
      </w:r>
    </w:p>
    <w:p w14:paraId="28C41E37" w14:textId="77777777" w:rsidR="00BE3FCE" w:rsidRDefault="00BE3FCE" w:rsidP="00BE3FCE">
      <w:pPr>
        <w:pStyle w:val="Prrafodelista"/>
        <w:numPr>
          <w:ilvl w:val="0"/>
          <w:numId w:val="10"/>
        </w:numPr>
        <w:spacing w:after="160" w:line="300" w:lineRule="exact"/>
        <w:jc w:val="both"/>
        <w:rPr>
          <w:rFonts w:ascii="Times New Roman" w:hAnsi="Times New Roman" w:cs="Times New Roman"/>
        </w:rPr>
      </w:pPr>
      <w:r w:rsidRPr="00C4550C">
        <w:rPr>
          <w:rFonts w:ascii="Times New Roman" w:hAnsi="Times New Roman" w:cs="Times New Roman"/>
          <w:b/>
          <w:bCs/>
        </w:rPr>
        <w:t>Intangibilidad de recursos de terceros</w:t>
      </w:r>
      <w:r w:rsidRPr="00C4550C">
        <w:rPr>
          <w:rFonts w:ascii="Times New Roman" w:hAnsi="Times New Roman" w:cs="Times New Roman"/>
        </w:rPr>
        <w:t>: Se prohíbe de manera expresa y absoluta la condonación del monto base de capital correspondiente al Impuesto al Valor Agregado (IVA) o retenciones en la fuente.</w:t>
      </w:r>
    </w:p>
    <w:p w14:paraId="06C7F2BC" w14:textId="77777777" w:rsidR="00BE3FCE" w:rsidRPr="00C4550C" w:rsidRDefault="00BE3FCE" w:rsidP="00BE3FCE">
      <w:pPr>
        <w:pStyle w:val="Prrafodelista"/>
        <w:spacing w:line="300" w:lineRule="exact"/>
        <w:jc w:val="both"/>
        <w:rPr>
          <w:rFonts w:ascii="Times New Roman" w:hAnsi="Times New Roman" w:cs="Times New Roman"/>
        </w:rPr>
      </w:pPr>
    </w:p>
    <w:p w14:paraId="3FB7C61A" w14:textId="77777777" w:rsidR="00BE3FCE" w:rsidRDefault="00BE3FCE" w:rsidP="00BE3FCE">
      <w:pPr>
        <w:pStyle w:val="Prrafodelista"/>
        <w:numPr>
          <w:ilvl w:val="0"/>
          <w:numId w:val="10"/>
        </w:numPr>
        <w:spacing w:after="160" w:line="300" w:lineRule="exact"/>
        <w:jc w:val="both"/>
        <w:rPr>
          <w:rFonts w:ascii="Times New Roman" w:hAnsi="Times New Roman" w:cs="Times New Roman"/>
        </w:rPr>
      </w:pPr>
      <w:r w:rsidRPr="00C4550C">
        <w:rPr>
          <w:rFonts w:ascii="Times New Roman" w:hAnsi="Times New Roman" w:cs="Times New Roman"/>
          <w:b/>
          <w:bCs/>
        </w:rPr>
        <w:t>Focalización estricta</w:t>
      </w:r>
      <w:r w:rsidRPr="00C4550C">
        <w:rPr>
          <w:rFonts w:ascii="Times New Roman" w:hAnsi="Times New Roman" w:cs="Times New Roman"/>
        </w:rPr>
        <w:t>: El beneficio no se concede de forma generalizada, sino que se restringe a un censo cerrado de beneficiarios formalmente certificados por la UARIV.</w:t>
      </w:r>
    </w:p>
    <w:p w14:paraId="0837A8F1" w14:textId="77777777" w:rsidR="00BE3FCE" w:rsidRPr="00C4550C" w:rsidRDefault="00BE3FCE" w:rsidP="00BE3FCE">
      <w:pPr>
        <w:spacing w:line="300" w:lineRule="exact"/>
        <w:jc w:val="both"/>
        <w:rPr>
          <w:rFonts w:ascii="Times New Roman" w:hAnsi="Times New Roman" w:cs="Times New Roman"/>
        </w:rPr>
      </w:pPr>
    </w:p>
    <w:p w14:paraId="5A58E2B1" w14:textId="77777777" w:rsidR="00BE3FCE" w:rsidRPr="00C4550C" w:rsidRDefault="00BE3FCE" w:rsidP="00BE3FCE">
      <w:pPr>
        <w:pStyle w:val="Prrafodelista"/>
        <w:numPr>
          <w:ilvl w:val="0"/>
          <w:numId w:val="10"/>
        </w:numPr>
        <w:spacing w:after="160" w:line="300" w:lineRule="exact"/>
        <w:jc w:val="both"/>
        <w:rPr>
          <w:rFonts w:ascii="Times New Roman" w:hAnsi="Times New Roman" w:cs="Times New Roman"/>
        </w:rPr>
      </w:pPr>
      <w:r w:rsidRPr="00C4550C">
        <w:rPr>
          <w:rFonts w:ascii="Times New Roman" w:hAnsi="Times New Roman" w:cs="Times New Roman"/>
          <w:b/>
          <w:bCs/>
        </w:rPr>
        <w:t>Acotación temporal:</w:t>
      </w:r>
      <w:r w:rsidRPr="00C4550C">
        <w:rPr>
          <w:rFonts w:ascii="Times New Roman" w:hAnsi="Times New Roman" w:cs="Times New Roman"/>
        </w:rPr>
        <w:t xml:space="preserve"> El alivio es transitorio y cobija únicamente obligaciones causadas con anterioridad a la vigencia de la ley, neutralizando cualquier incentivo perverso hacia el incumplimiento fiscal futuro.</w:t>
      </w:r>
    </w:p>
    <w:p w14:paraId="1EFD8289" w14:textId="77777777" w:rsidR="00BE3FCE" w:rsidRPr="00B42DFF" w:rsidRDefault="00BE3FCE" w:rsidP="00BE3FCE">
      <w:pPr>
        <w:spacing w:line="300" w:lineRule="exact"/>
        <w:jc w:val="both"/>
        <w:rPr>
          <w:rFonts w:ascii="Times New Roman" w:hAnsi="Times New Roman" w:cs="Times New Roman"/>
          <w:b/>
          <w:bCs/>
        </w:rPr>
      </w:pPr>
      <w:r>
        <w:rPr>
          <w:rFonts w:ascii="Times New Roman" w:hAnsi="Times New Roman" w:cs="Times New Roman"/>
          <w:b/>
          <w:bCs/>
        </w:rPr>
        <w:t>3</w:t>
      </w:r>
      <w:r w:rsidRPr="00B42DFF">
        <w:rPr>
          <w:rFonts w:ascii="Times New Roman" w:hAnsi="Times New Roman" w:cs="Times New Roman"/>
          <w:b/>
          <w:bCs/>
        </w:rPr>
        <w:t>. Subprincipio de Proporcionalidad en sentido estricto</w:t>
      </w:r>
    </w:p>
    <w:p w14:paraId="7E857A43" w14:textId="77777777" w:rsidR="00BE3FCE" w:rsidRPr="001D1F61" w:rsidRDefault="00BE3FCE" w:rsidP="00BE3FCE">
      <w:pPr>
        <w:spacing w:line="300" w:lineRule="exact"/>
        <w:jc w:val="both"/>
        <w:rPr>
          <w:rFonts w:ascii="Times New Roman" w:hAnsi="Times New Roman" w:cs="Times New Roman"/>
        </w:rPr>
      </w:pPr>
      <w:r w:rsidRPr="001D1F61">
        <w:rPr>
          <w:rFonts w:ascii="Times New Roman" w:hAnsi="Times New Roman" w:cs="Times New Roman"/>
        </w:rPr>
        <w:t xml:space="preserve">Finalmente, el trato es proporcional en sentido estricto porque el grado de promoción y protección de los derechos fundamentales de las víctimas </w:t>
      </w:r>
      <w:r>
        <w:rPr>
          <w:rFonts w:ascii="Times New Roman" w:hAnsi="Times New Roman" w:cs="Times New Roman"/>
        </w:rPr>
        <w:t xml:space="preserve">- </w:t>
      </w:r>
      <w:r w:rsidRPr="001D1F61">
        <w:rPr>
          <w:rFonts w:ascii="Times New Roman" w:hAnsi="Times New Roman" w:cs="Times New Roman"/>
        </w:rPr>
        <w:t>acceso a la reparación</w:t>
      </w:r>
      <w:r>
        <w:rPr>
          <w:rFonts w:ascii="Times New Roman" w:hAnsi="Times New Roman" w:cs="Times New Roman"/>
        </w:rPr>
        <w:t xml:space="preserve"> -</w:t>
      </w:r>
      <w:r w:rsidRPr="001D1F61">
        <w:rPr>
          <w:rFonts w:ascii="Times New Roman" w:hAnsi="Times New Roman" w:cs="Times New Roman"/>
        </w:rPr>
        <w:t xml:space="preserve"> es abiertamente superior al grado de afectación temporal del principio de igualdad tributaria.</w:t>
      </w:r>
    </w:p>
    <w:p w14:paraId="61B05AE4" w14:textId="77777777" w:rsidR="00BE3FCE" w:rsidRPr="001D1F61" w:rsidRDefault="00BE3FCE" w:rsidP="00BE3FCE">
      <w:pPr>
        <w:spacing w:line="300" w:lineRule="exact"/>
        <w:jc w:val="both"/>
        <w:rPr>
          <w:rFonts w:ascii="Times New Roman" w:hAnsi="Times New Roman" w:cs="Times New Roman"/>
        </w:rPr>
      </w:pPr>
      <w:r w:rsidRPr="001D1F61">
        <w:rPr>
          <w:rFonts w:ascii="Times New Roman" w:hAnsi="Times New Roman" w:cs="Times New Roman"/>
        </w:rPr>
        <w:t>La injerencia sobre el recaudo sancionatorio ordinario es leve y se encuentra plenamente justificada. De hecho, al perdonar los intereses de organizaciones insolventes y facilitar daciones en pago u horizontes de tiempo realistas, el Estado logra recuperar el tributo base de una cartera calificada como de difícil o imposible recuperación. Así las cosas, el sacrificio de los accesorios fiscales consolida un escenario de justicia transicional que armoniza el derecho resarcible de la víctima con el saneamiento de las finanzas públicas, ajustándose a plenitud a los preceptos de la Constitución Política.</w:t>
      </w:r>
    </w:p>
    <w:p w14:paraId="459BD517" w14:textId="77777777" w:rsidR="00BE3FCE" w:rsidRPr="00C33074" w:rsidRDefault="00BE3FCE" w:rsidP="00BE3FCE">
      <w:pPr>
        <w:pStyle w:val="Prrafodelista"/>
        <w:numPr>
          <w:ilvl w:val="0"/>
          <w:numId w:val="7"/>
        </w:numPr>
        <w:spacing w:after="160" w:line="300" w:lineRule="exact"/>
        <w:jc w:val="both"/>
        <w:rPr>
          <w:rFonts w:ascii="Times New Roman" w:hAnsi="Times New Roman" w:cs="Times New Roman"/>
          <w:b/>
          <w:bCs/>
          <w:i/>
          <w:iCs/>
        </w:rPr>
      </w:pPr>
      <w:r w:rsidRPr="00C33074">
        <w:rPr>
          <w:rFonts w:ascii="Times New Roman" w:hAnsi="Times New Roman" w:cs="Times New Roman"/>
          <w:b/>
          <w:bCs/>
          <w:i/>
          <w:iCs/>
        </w:rPr>
        <w:t>Ajuste a la legalidad: Imposibilidad sobrevenida y comparación normativa</w:t>
      </w:r>
    </w:p>
    <w:p w14:paraId="064A9B4A"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La medida de la reparación es el daño propiamente dicho. Los planes de atención y reparación integral que ordenan las disposiciones nacionales e internacionales no contemplan medidas de alivio tributario para restituir a las víctimas de daños por vulneración a los derechos humanos de los individuos que integraban los SRC. Sin embargo, tampoco se prohíbe su declaratoria mediante Ley. El precedente constitucional citado es enfático en ese amplio margen de configuración normativo en la materia</w:t>
      </w:r>
      <w:r w:rsidRPr="00C33074">
        <w:rPr>
          <w:rFonts w:ascii="Times New Roman" w:hAnsi="Times New Roman" w:cs="Times New Roman"/>
          <w:vertAlign w:val="superscript"/>
        </w:rPr>
        <w:footnoteReference w:id="4"/>
      </w:r>
      <w:r w:rsidRPr="00C33074">
        <w:rPr>
          <w:rFonts w:ascii="Times New Roman" w:hAnsi="Times New Roman" w:cs="Times New Roman"/>
        </w:rPr>
        <w:t>. La legislación colombiana ha admitido el incumplimiento de las obligaciones tributarias cuando se causan imposibilidades sobrevenidas. Por ejemplo, el siguiente art</w:t>
      </w:r>
      <w:r>
        <w:rPr>
          <w:rFonts w:ascii="Times New Roman" w:hAnsi="Times New Roman" w:cs="Times New Roman"/>
        </w:rPr>
        <w:t>í</w:t>
      </w:r>
      <w:r w:rsidRPr="00C33074">
        <w:rPr>
          <w:rFonts w:ascii="Times New Roman" w:hAnsi="Times New Roman" w:cs="Times New Roman"/>
        </w:rPr>
        <w:t>culo:</w:t>
      </w:r>
    </w:p>
    <w:p w14:paraId="773427BE" w14:textId="77777777" w:rsidR="00BE3FCE" w:rsidRPr="00C33074" w:rsidRDefault="00BE3FCE" w:rsidP="00BE3FCE">
      <w:pPr>
        <w:spacing w:line="300" w:lineRule="exact"/>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9350"/>
      </w:tblGrid>
      <w:tr w:rsidR="00BE3FCE" w:rsidRPr="00C33074" w14:paraId="0E178113" w14:textId="77777777" w:rsidTr="00D6536D">
        <w:tc>
          <w:tcPr>
            <w:tcW w:w="9350" w:type="dxa"/>
            <w:tcBorders>
              <w:top w:val="single" w:sz="4" w:space="0" w:color="auto"/>
              <w:left w:val="single" w:sz="4" w:space="0" w:color="auto"/>
              <w:bottom w:val="single" w:sz="4" w:space="0" w:color="auto"/>
              <w:right w:val="single" w:sz="4" w:space="0" w:color="auto"/>
            </w:tcBorders>
          </w:tcPr>
          <w:p w14:paraId="26E59744" w14:textId="77777777" w:rsidR="00BE3FCE" w:rsidRPr="00C33074" w:rsidRDefault="00BE3FCE" w:rsidP="00D6536D">
            <w:pPr>
              <w:spacing w:after="160" w:line="300" w:lineRule="exact"/>
              <w:jc w:val="both"/>
              <w:rPr>
                <w:rFonts w:ascii="Times New Roman" w:hAnsi="Times New Roman" w:cs="Times New Roman"/>
                <w:b/>
                <w:bCs/>
              </w:rPr>
            </w:pPr>
            <w:r w:rsidRPr="00C33074">
              <w:rPr>
                <w:rFonts w:ascii="Times New Roman" w:hAnsi="Times New Roman" w:cs="Times New Roman"/>
                <w:b/>
                <w:bCs/>
              </w:rPr>
              <w:lastRenderedPageBreak/>
              <w:t>Ley 2155 de 2021</w:t>
            </w:r>
            <w:r w:rsidRPr="00C33074">
              <w:rPr>
                <w:rFonts w:ascii="Times New Roman" w:hAnsi="Times New Roman" w:cs="Times New Roman"/>
              </w:rPr>
              <w:t xml:space="preserve"> “Por medio de la cual se expide la Ley de Inversión Social y se dictan otras disposiciones.”</w:t>
            </w:r>
          </w:p>
          <w:p w14:paraId="50E8CD44" w14:textId="77777777" w:rsidR="00BE3FCE" w:rsidRPr="00C33074" w:rsidRDefault="00BE3FCE" w:rsidP="00D6536D">
            <w:pPr>
              <w:spacing w:line="300" w:lineRule="exact"/>
              <w:jc w:val="both"/>
              <w:rPr>
                <w:rFonts w:ascii="Times New Roman" w:hAnsi="Times New Roman" w:cs="Times New Roman"/>
              </w:rPr>
            </w:pPr>
          </w:p>
        </w:tc>
      </w:tr>
      <w:tr w:rsidR="00BE3FCE" w:rsidRPr="00C33074" w14:paraId="3925BAE0" w14:textId="77777777" w:rsidTr="00D6536D">
        <w:tc>
          <w:tcPr>
            <w:tcW w:w="9350" w:type="dxa"/>
            <w:tcBorders>
              <w:top w:val="single" w:sz="4" w:space="0" w:color="auto"/>
              <w:left w:val="single" w:sz="4" w:space="0" w:color="auto"/>
              <w:bottom w:val="single" w:sz="4" w:space="0" w:color="auto"/>
              <w:right w:val="single" w:sz="4" w:space="0" w:color="auto"/>
            </w:tcBorders>
          </w:tcPr>
          <w:p w14:paraId="36BF6170"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b/>
                <w:bCs/>
              </w:rPr>
              <w:t>ARTÍCULO 45. REDUCCIÓN TRANSITORIA DE SANCIONES Y DE TASA DE INTERÉS PARA LOS SUJETOS DE OBLIGACIONES ADMINISTRADAS POR LA DIAN, ASÍ COMO RESPECTO DE LOS IMPUESTOS, TASAS Y CONTRIBUCIONES DEL ORDEN TERRITORIAL.</w:t>
            </w:r>
            <w:r w:rsidRPr="00C33074">
              <w:rPr>
                <w:rFonts w:ascii="Times New Roman" w:hAnsi="Times New Roman" w:cs="Times New Roman"/>
              </w:rPr>
              <w:t xml:space="preserve"> Para las obligaciones administradas por la Dirección de Impuestos y Aduanas Nacionales – DIAN, así como respecto de los impuestos, tasas y contribuciones del orden territorial, que se paguen hasta el treinta y uno (31) de diciembre de 2021, y para las facilidades de pago que se suscriban con la DIAN y los entes territoriales hasta el treinta y uno (31) de diciembre de 2021 respecto a las obligaciones que presenten mora en el pago a treinta (30) de junio de 2021, </w:t>
            </w:r>
            <w:r w:rsidRPr="00C33074">
              <w:rPr>
                <w:rFonts w:ascii="Times New Roman" w:hAnsi="Times New Roman" w:cs="Times New Roman"/>
                <w:u w:val="single"/>
              </w:rPr>
              <w:t>y cuyo incumplimiento se haya ocasionado o agravado</w:t>
            </w:r>
            <w:r w:rsidRPr="00C33074">
              <w:rPr>
                <w:rFonts w:ascii="Times New Roman" w:hAnsi="Times New Roman" w:cs="Times New Roman"/>
              </w:rPr>
              <w:t xml:space="preserve"> </w:t>
            </w:r>
            <w:r w:rsidRPr="00C33074">
              <w:rPr>
                <w:rFonts w:ascii="Times New Roman" w:hAnsi="Times New Roman" w:cs="Times New Roman"/>
                <w:u w:val="single"/>
              </w:rPr>
              <w:t>como consecuencia de la pandemia generada por el COVID-19</w:t>
            </w:r>
            <w:r w:rsidRPr="00C33074">
              <w:rPr>
                <w:rFonts w:ascii="Times New Roman" w:hAnsi="Times New Roman" w:cs="Times New Roman"/>
              </w:rPr>
              <w:t>, las sanciones y la tasa de interés moratoria se reducirán y liquidarán en los siguientes términos:</w:t>
            </w:r>
          </w:p>
          <w:p w14:paraId="6709CD9E" w14:textId="77777777" w:rsidR="00BE3FCE" w:rsidRPr="00C33074" w:rsidRDefault="00BE3FCE" w:rsidP="00D6536D">
            <w:pPr>
              <w:spacing w:after="160" w:line="300" w:lineRule="exact"/>
              <w:jc w:val="both"/>
              <w:rPr>
                <w:rFonts w:ascii="Times New Roman" w:hAnsi="Times New Roman" w:cs="Times New Roman"/>
              </w:rPr>
            </w:pPr>
          </w:p>
          <w:p w14:paraId="7E220E9F"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rPr>
              <w:t>A. Las sanciones, incluyendo aquellas que se liquiden en actos administrativos independientes, y sus actualizaciones se reducirán al veinte por ciento (20%) del monto previsto en la legislación aduanera, cambiaria o tributaria.</w:t>
            </w:r>
          </w:p>
          <w:p w14:paraId="7B97DD00" w14:textId="77777777" w:rsidR="00BE3FCE" w:rsidRPr="00C33074" w:rsidRDefault="00BE3FCE" w:rsidP="00D6536D">
            <w:pPr>
              <w:spacing w:after="160" w:line="300" w:lineRule="exact"/>
              <w:jc w:val="both"/>
              <w:rPr>
                <w:rFonts w:ascii="Times New Roman" w:hAnsi="Times New Roman" w:cs="Times New Roman"/>
              </w:rPr>
            </w:pPr>
          </w:p>
          <w:p w14:paraId="0C0630EE"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rPr>
              <w:t>B. La tasa de interés moratoria establecida en el artículo </w:t>
            </w:r>
            <w:hyperlink r:id="rId8" w:anchor="635" w:history="1">
              <w:r w:rsidRPr="00C33074">
                <w:rPr>
                  <w:rStyle w:val="Hipervnculo"/>
                  <w:rFonts w:ascii="Times New Roman" w:hAnsi="Times New Roman" w:cs="Times New Roman"/>
                </w:rPr>
                <w:t>635</w:t>
              </w:r>
            </w:hyperlink>
            <w:r w:rsidRPr="00C33074">
              <w:rPr>
                <w:rFonts w:ascii="Times New Roman" w:hAnsi="Times New Roman" w:cs="Times New Roman"/>
              </w:rPr>
              <w:t> del Estatuto Tributario será liquidada diariamente a una tasa de interés diario que sea equivalente al veinte por ciento (20%) de la tasa de interés bancario corriente para la modalidad de créditos de consumo y ordinario, certificado por la Superintendencia Financiera de Colombia.</w:t>
            </w:r>
          </w:p>
          <w:p w14:paraId="648FCB89" w14:textId="77777777" w:rsidR="00BE3FCE" w:rsidRPr="00C33074" w:rsidRDefault="00BE3FCE" w:rsidP="00D6536D">
            <w:pPr>
              <w:spacing w:after="160" w:line="300" w:lineRule="exact"/>
              <w:jc w:val="both"/>
              <w:rPr>
                <w:rFonts w:ascii="Times New Roman" w:hAnsi="Times New Roman" w:cs="Times New Roman"/>
                <w:b/>
                <w:bCs/>
              </w:rPr>
            </w:pPr>
          </w:p>
          <w:p w14:paraId="7B8045FF"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b/>
                <w:bCs/>
              </w:rPr>
              <w:t>PARÁGRAFO 1o.</w:t>
            </w:r>
            <w:r w:rsidRPr="00C33074">
              <w:rPr>
                <w:rFonts w:ascii="Times New Roman" w:hAnsi="Times New Roman" w:cs="Times New Roman"/>
              </w:rPr>
              <w:t> En caso de incumplimiento, las resoluciones mediante las cuales se otorgó la facilidad de pago prestarán mérito ejecutivo, sin que se requiera de liquidación oficial u otro acto, y procederá el procedimiento de cobro coactivo respectivo por la suma total de la obligación más el ciento por ciento (100%) de las sanciones e intereses sobre los cuales versa dicha facilidad de pago. Para tal fin, los intereses serán reliquidados a la tasa establecida en el artículo </w:t>
            </w:r>
            <w:hyperlink r:id="rId9" w:anchor="635" w:history="1">
              <w:r w:rsidRPr="00C33074">
                <w:rPr>
                  <w:rStyle w:val="Hipervnculo"/>
                  <w:rFonts w:ascii="Times New Roman" w:hAnsi="Times New Roman" w:cs="Times New Roman"/>
                </w:rPr>
                <w:t>635</w:t>
              </w:r>
            </w:hyperlink>
            <w:r w:rsidRPr="00C33074">
              <w:rPr>
                <w:rFonts w:ascii="Times New Roman" w:hAnsi="Times New Roman" w:cs="Times New Roman"/>
              </w:rPr>
              <w:t> del Estatuto Tributario. Si el incumplimiento de la facilidad de pago corresponde a la declaración de retención en la fuente, se aplicará lo dispuesto en el artículo </w:t>
            </w:r>
            <w:hyperlink r:id="rId10" w:anchor="580-1" w:history="1">
              <w:r w:rsidRPr="00C33074">
                <w:rPr>
                  <w:rStyle w:val="Hipervnculo"/>
                  <w:rFonts w:ascii="Times New Roman" w:hAnsi="Times New Roman" w:cs="Times New Roman"/>
                </w:rPr>
                <w:t>580-1</w:t>
              </w:r>
            </w:hyperlink>
            <w:r w:rsidRPr="00C33074">
              <w:rPr>
                <w:rFonts w:ascii="Times New Roman" w:hAnsi="Times New Roman" w:cs="Times New Roman"/>
              </w:rPr>
              <w:t> del Estatuto Tributario.</w:t>
            </w:r>
          </w:p>
          <w:p w14:paraId="030A31D0" w14:textId="77777777" w:rsidR="00BE3FCE" w:rsidRPr="00C33074" w:rsidRDefault="00BE3FCE" w:rsidP="00D6536D">
            <w:pPr>
              <w:spacing w:line="300" w:lineRule="exact"/>
              <w:jc w:val="both"/>
              <w:rPr>
                <w:rFonts w:ascii="Times New Roman" w:hAnsi="Times New Roman" w:cs="Times New Roman"/>
              </w:rPr>
            </w:pPr>
          </w:p>
        </w:tc>
      </w:tr>
    </w:tbl>
    <w:p w14:paraId="777EF3B3" w14:textId="77777777" w:rsidR="00BE3FCE" w:rsidRPr="00C33074" w:rsidRDefault="00BE3FCE" w:rsidP="00BE3FCE">
      <w:pPr>
        <w:spacing w:line="300" w:lineRule="exact"/>
        <w:jc w:val="both"/>
        <w:rPr>
          <w:rFonts w:ascii="Times New Roman" w:hAnsi="Times New Roman" w:cs="Times New Roman"/>
        </w:rPr>
      </w:pPr>
    </w:p>
    <w:p w14:paraId="5C580014"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lastRenderedPageBreak/>
        <w:t>En el artículo precitado se denota que el vínculo causal del incumplimiento y las medidas son las consecuencias de la pandemia del COVID – 19. Esta situación fáctica fue ocasionada por un hecho imprevisible e irresistible, el cual evidentemente afectó la capacidad de cumplimiento de las obligaciones tributarias de las personas qu</w:t>
      </w:r>
      <w:r>
        <w:rPr>
          <w:rFonts w:ascii="Times New Roman" w:hAnsi="Times New Roman" w:cs="Times New Roman"/>
        </w:rPr>
        <w:t>e generan tributo</w:t>
      </w:r>
      <w:r w:rsidRPr="00C33074">
        <w:rPr>
          <w:rFonts w:ascii="Times New Roman" w:hAnsi="Times New Roman" w:cs="Times New Roman"/>
        </w:rPr>
        <w:t xml:space="preserve">. El actual </w:t>
      </w:r>
      <w:r>
        <w:rPr>
          <w:rFonts w:ascii="Times New Roman" w:hAnsi="Times New Roman" w:cs="Times New Roman"/>
        </w:rPr>
        <w:t>PL</w:t>
      </w:r>
      <w:r w:rsidRPr="00C33074">
        <w:rPr>
          <w:rFonts w:ascii="Times New Roman" w:hAnsi="Times New Roman" w:cs="Times New Roman"/>
        </w:rPr>
        <w:t xml:space="preserve"> busca sustentar la causa de incumplimiento parcial de la obligación a partir de la siguiente razón:</w:t>
      </w:r>
    </w:p>
    <w:tbl>
      <w:tblPr>
        <w:tblStyle w:val="Tablaconcuadrcula"/>
        <w:tblW w:w="0" w:type="auto"/>
        <w:tblLook w:val="04A0" w:firstRow="1" w:lastRow="0" w:firstColumn="1" w:lastColumn="0" w:noHBand="0" w:noVBand="1"/>
      </w:tblPr>
      <w:tblGrid>
        <w:gridCol w:w="8828"/>
      </w:tblGrid>
      <w:tr w:rsidR="00BE3FCE" w:rsidRPr="00C33074" w14:paraId="61027A7D" w14:textId="77777777" w:rsidTr="00D6536D">
        <w:tc>
          <w:tcPr>
            <w:tcW w:w="8828" w:type="dxa"/>
            <w:tcBorders>
              <w:top w:val="single" w:sz="4" w:space="0" w:color="auto"/>
              <w:left w:val="single" w:sz="4" w:space="0" w:color="auto"/>
              <w:bottom w:val="single" w:sz="4" w:space="0" w:color="auto"/>
              <w:right w:val="single" w:sz="4" w:space="0" w:color="auto"/>
            </w:tcBorders>
            <w:vAlign w:val="center"/>
          </w:tcPr>
          <w:p w14:paraId="3707E864"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4°</w:t>
            </w:r>
            <w:r w:rsidRPr="00C33074">
              <w:rPr>
                <w:rFonts w:ascii="Times New Roman" w:hAnsi="Times New Roman" w:cs="Times New Roman"/>
                <w:lang w:val="es-419"/>
              </w:rPr>
              <w:t>. Adiciónese el artículo 152B al capítulo X del título IV de la Ley 1448 de 2011, el cual quedará así:</w:t>
            </w:r>
          </w:p>
          <w:p w14:paraId="456B1819" w14:textId="77777777" w:rsidR="00BE3FCE" w:rsidRDefault="00BE3FCE" w:rsidP="00D6536D">
            <w:pPr>
              <w:spacing w:after="160" w:line="278" w:lineRule="auto"/>
              <w:jc w:val="both"/>
              <w:rPr>
                <w:rFonts w:ascii="Times New Roman" w:hAnsi="Times New Roman" w:cs="Times New Roman"/>
                <w:lang w:val="es-419"/>
              </w:rPr>
            </w:pPr>
            <w:r w:rsidRPr="00C4550C">
              <w:rPr>
                <w:rFonts w:ascii="Times New Roman" w:hAnsi="Times New Roman" w:cs="Times New Roman"/>
                <w:b/>
                <w:bCs/>
                <w:lang w:val="es-419"/>
              </w:rPr>
              <w:t>Artículo 152B.</w:t>
            </w:r>
            <w:r w:rsidRPr="00C33074">
              <w:rPr>
                <w:rFonts w:ascii="Times New Roman" w:hAnsi="Times New Roman" w:cs="Times New Roman"/>
                <w:lang w:val="es-419"/>
              </w:rPr>
              <w:t xml:space="preserve"> Medidas de alivio en materia tributaria. Las sanciones y tasas de interés moratoria </w:t>
            </w:r>
            <w:r w:rsidRPr="00C4550C">
              <w:rPr>
                <w:rFonts w:ascii="Times New Roman" w:hAnsi="Times New Roman" w:cs="Times New Roman"/>
                <w:u w:val="single"/>
                <w:lang w:val="es-419"/>
              </w:rPr>
              <w:t>cuyo incumplimiento se hayan ocasionado o agravado como consecuencia de los daños patrimoniales causados por el desarrollo del Conflicto Armado Colombiano</w:t>
            </w:r>
            <w:r w:rsidRPr="00C33074">
              <w:rPr>
                <w:rFonts w:ascii="Times New Roman" w:hAnsi="Times New Roman" w:cs="Times New Roman"/>
                <w:lang w:val="es-419"/>
              </w:rPr>
              <w:t xml:space="preserve">, y que hayan representado afectaciones en los derechos personales de los sujetos beneficiarios, serán reducidas de acuerdo con los siguientes artículos. </w:t>
            </w:r>
          </w:p>
          <w:p w14:paraId="388853C5"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lang w:val="es-419"/>
              </w:rPr>
              <w:t>Así mismo, las facilidades de pago que se celebren entre los sujetos beneficiarios se regirán por los artículos subsiguientes.</w:t>
            </w:r>
          </w:p>
        </w:tc>
      </w:tr>
    </w:tbl>
    <w:p w14:paraId="37220A04" w14:textId="77777777" w:rsidR="00BE3FCE" w:rsidRPr="00C33074" w:rsidRDefault="00BE3FCE" w:rsidP="00BE3FCE">
      <w:pPr>
        <w:spacing w:line="300" w:lineRule="exact"/>
        <w:jc w:val="both"/>
        <w:rPr>
          <w:rFonts w:ascii="Times New Roman" w:hAnsi="Times New Roman" w:cs="Times New Roman"/>
          <w:lang w:val="es-419"/>
        </w:rPr>
      </w:pPr>
    </w:p>
    <w:p w14:paraId="2FE717EA" w14:textId="77777777" w:rsidR="00BE3FCE" w:rsidRPr="00D55886" w:rsidRDefault="00BE3FCE" w:rsidP="00BE3FCE">
      <w:pPr>
        <w:spacing w:line="300" w:lineRule="exact"/>
        <w:jc w:val="both"/>
        <w:rPr>
          <w:rFonts w:ascii="Times New Roman" w:hAnsi="Times New Roman" w:cs="Times New Roman"/>
        </w:rPr>
      </w:pPr>
      <w:r w:rsidRPr="00D55886">
        <w:rPr>
          <w:rFonts w:ascii="Times New Roman" w:hAnsi="Times New Roman" w:cs="Times New Roman"/>
        </w:rPr>
        <w:t>El deber de contribuir al financiamiento de los gastos e inversiones del Estado, consagrado en el artículo 95.9 de la Constitución Política, presupone una capacidad contributiva real y el disfrute pacífico del patrimonio. Sin embargo, los Sujetos de Reparación Colectiva (SRC) experimentaron una alteración abrupta, imprevisible e irresistible de sus condiciones económicas a causa del conflicto armado, configurando un escenario innegable de fuerza mayor que les impidió el cumplimiento oportuno de sus obligaciones formales y sustanciales ante la administración tributaria.</w:t>
      </w:r>
    </w:p>
    <w:p w14:paraId="4F8D4B64" w14:textId="77777777" w:rsidR="00BE3FCE" w:rsidRPr="00D55886" w:rsidRDefault="00BE3FCE" w:rsidP="00BE3FCE">
      <w:pPr>
        <w:spacing w:line="300" w:lineRule="exact"/>
        <w:jc w:val="both"/>
        <w:rPr>
          <w:rFonts w:ascii="Times New Roman" w:hAnsi="Times New Roman" w:cs="Times New Roman"/>
        </w:rPr>
      </w:pPr>
      <w:r w:rsidRPr="00D55886">
        <w:rPr>
          <w:rFonts w:ascii="Times New Roman" w:hAnsi="Times New Roman" w:cs="Times New Roman"/>
        </w:rPr>
        <w:t>Exigir el pago de penalidades, sanciones e intereses moratorios a estas organizaciones equivale a penalizarlas por los daños antijurídicos que el mismo Estado no pudo prevenir. En el marco de la justicia transicional y el principio de solidaridad, el alivio de los accesorios tributarios no constituye una amnistía injustificada, sino una medida afirmativa y de reparación material. Permite restablecer el equilibrio frente a las cargas públicas y garantiza que la carga impositiva no se convierta en un obstáculo expropiatorio que impida la reactivación de su objeto social y la ejecución de sus Planes Integrales de Reparación Colectiva.</w:t>
      </w:r>
    </w:p>
    <w:p w14:paraId="7A921DEE"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La legislación colombiana ha estipulado claramente que la reparación debe ser integral, esto implica medidas de restitución o retorno al statu quo previo al daño. Así mismo, encargó a la U</w:t>
      </w:r>
      <w:r>
        <w:rPr>
          <w:rFonts w:ascii="Times New Roman" w:hAnsi="Times New Roman" w:cs="Times New Roman"/>
          <w:lang w:val="es-419"/>
        </w:rPr>
        <w:t>ARIV</w:t>
      </w:r>
      <w:r w:rsidRPr="00C33074">
        <w:rPr>
          <w:rFonts w:ascii="Times New Roman" w:hAnsi="Times New Roman" w:cs="Times New Roman"/>
          <w:lang w:val="es-419"/>
        </w:rPr>
        <w:t xml:space="preserve"> como autoridad administrativa encargada de certificar y acreditar </w:t>
      </w:r>
      <w:r>
        <w:rPr>
          <w:rFonts w:ascii="Times New Roman" w:hAnsi="Times New Roman" w:cs="Times New Roman"/>
          <w:lang w:val="es-419"/>
        </w:rPr>
        <w:t>cuales</w:t>
      </w:r>
      <w:r w:rsidRPr="00C33074">
        <w:rPr>
          <w:rFonts w:ascii="Times New Roman" w:hAnsi="Times New Roman" w:cs="Times New Roman"/>
          <w:lang w:val="es-419"/>
        </w:rPr>
        <w:t xml:space="preserve"> personas jurídicas o v</w:t>
      </w:r>
      <w:r>
        <w:rPr>
          <w:rFonts w:ascii="Times New Roman" w:hAnsi="Times New Roman" w:cs="Times New Roman"/>
          <w:lang w:val="es-419"/>
        </w:rPr>
        <w:t>í</w:t>
      </w:r>
      <w:r w:rsidRPr="00C33074">
        <w:rPr>
          <w:rFonts w:ascii="Times New Roman" w:hAnsi="Times New Roman" w:cs="Times New Roman"/>
          <w:lang w:val="es-419"/>
        </w:rPr>
        <w:t xml:space="preserve">ctimas colectivas son víctimas del Conflicto. Las personas jurídicas que hayan sido reconocidas como </w:t>
      </w:r>
      <w:r>
        <w:rPr>
          <w:rFonts w:ascii="Times New Roman" w:hAnsi="Times New Roman" w:cs="Times New Roman"/>
          <w:lang w:val="es-419"/>
        </w:rPr>
        <w:t>SRC</w:t>
      </w:r>
      <w:r w:rsidRPr="00C33074">
        <w:rPr>
          <w:rFonts w:ascii="Times New Roman" w:hAnsi="Times New Roman" w:cs="Times New Roman"/>
          <w:lang w:val="es-419"/>
        </w:rPr>
        <w:t xml:space="preserve"> serán los sujetos beneficiarios de la ley. Lo anterior, pues las motivaciones de las resoluciones de la autoridad establecen con claridad como se causaron los daños por el Conflicto Armado Colombiano y las declaraciones de los sujetos permiten señalar como se</w:t>
      </w:r>
      <w:r>
        <w:rPr>
          <w:rFonts w:ascii="Times New Roman" w:hAnsi="Times New Roman" w:cs="Times New Roman"/>
          <w:lang w:val="es-419"/>
        </w:rPr>
        <w:t xml:space="preserve"> </w:t>
      </w:r>
      <w:r w:rsidRPr="00C33074">
        <w:rPr>
          <w:rFonts w:ascii="Times New Roman" w:hAnsi="Times New Roman" w:cs="Times New Roman"/>
          <w:lang w:val="es-419"/>
        </w:rPr>
        <w:t>causaron</w:t>
      </w:r>
      <w:r>
        <w:rPr>
          <w:rFonts w:ascii="Times New Roman" w:hAnsi="Times New Roman" w:cs="Times New Roman"/>
          <w:lang w:val="es-419"/>
        </w:rPr>
        <w:t xml:space="preserve"> las</w:t>
      </w:r>
      <w:r w:rsidRPr="00C33074">
        <w:rPr>
          <w:rFonts w:ascii="Times New Roman" w:hAnsi="Times New Roman" w:cs="Times New Roman"/>
          <w:lang w:val="es-419"/>
        </w:rPr>
        <w:t xml:space="preserve"> aminoraciones patrimoniales.</w:t>
      </w:r>
    </w:p>
    <w:p w14:paraId="52933529"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 xml:space="preserve">Se trata de una medida </w:t>
      </w:r>
      <w:r w:rsidRPr="00D20B5E">
        <w:rPr>
          <w:rFonts w:ascii="Times New Roman" w:hAnsi="Times New Roman" w:cs="Times New Roman"/>
          <w:lang w:val="es-419"/>
        </w:rPr>
        <w:t>transitoria y focalizada, que</w:t>
      </w:r>
      <w:r w:rsidRPr="00C33074">
        <w:rPr>
          <w:rFonts w:ascii="Times New Roman" w:hAnsi="Times New Roman" w:cs="Times New Roman"/>
          <w:lang w:val="es-419"/>
        </w:rPr>
        <w:t xml:space="preserve"> no altera la estructura permanente del Estatuto Tributario, y cuyo impacto fiscal estará delimitado por topes y la estricta aplicación a los Sujetos de Reparación Colectiva certificados por la UARIV.</w:t>
      </w:r>
    </w:p>
    <w:p w14:paraId="746B4FEA" w14:textId="77777777" w:rsidR="00BE3FCE" w:rsidRPr="00C33074" w:rsidRDefault="00BE3FCE" w:rsidP="00BE3FCE">
      <w:pPr>
        <w:spacing w:line="300" w:lineRule="exact"/>
        <w:jc w:val="both"/>
        <w:rPr>
          <w:rFonts w:ascii="Times New Roman" w:hAnsi="Times New Roman" w:cs="Times New Roman"/>
          <w:b/>
          <w:bCs/>
          <w:lang w:val="es-419"/>
        </w:rPr>
      </w:pPr>
      <w:r w:rsidRPr="00C33074">
        <w:rPr>
          <w:rFonts w:ascii="Times New Roman" w:hAnsi="Times New Roman" w:cs="Times New Roman"/>
          <w:b/>
          <w:bCs/>
          <w:lang w:val="es-419"/>
        </w:rPr>
        <w:lastRenderedPageBreak/>
        <w:t>Justificación de la modificación de la Ley 1448 de 2011</w:t>
      </w:r>
    </w:p>
    <w:p w14:paraId="53E5C509"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 xml:space="preserve">Las víctimas del conflicto armado reconocidas como SRC son objeto de la reparación que trata la Ley 1448 de 2011. En ese sentido, la Ley determinó el tipo de causas reconocidas como daños a los mismos sujetos. Este tipo de daños poseen una entidad patrimonial cuando se trata de SRC con </w:t>
      </w:r>
      <w:r>
        <w:rPr>
          <w:rFonts w:ascii="Times New Roman" w:hAnsi="Times New Roman" w:cs="Times New Roman"/>
          <w:lang w:val="es-419"/>
        </w:rPr>
        <w:t>RUT</w:t>
      </w:r>
      <w:r w:rsidRPr="00C33074">
        <w:rPr>
          <w:rFonts w:ascii="Times New Roman" w:hAnsi="Times New Roman" w:cs="Times New Roman"/>
          <w:lang w:val="es-419"/>
        </w:rPr>
        <w:t xml:space="preserve">, pues antes de la ocurrencia de los daños eran personas jurídicas que causaban hechos generadores de tributo. En ese sentido, la afectación a sus derechos fundamentales implicó una aminoración patrimonial que la Ley no prevé reparar. </w:t>
      </w:r>
    </w:p>
    <w:p w14:paraId="30C4BC04"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La ley en mención contempla medidas de similar entidad ontológica, pues establece disposiciones que buscan mermar las cargas públicas de las víctimas del conflicto armado. Véase como ejemplo el siguiente artículo:</w:t>
      </w:r>
    </w:p>
    <w:p w14:paraId="066DC5D1" w14:textId="77777777" w:rsidR="00BE3FCE" w:rsidRPr="00C33074" w:rsidRDefault="00BE3FCE" w:rsidP="00BE3FCE">
      <w:pPr>
        <w:spacing w:line="300" w:lineRule="exact"/>
        <w:jc w:val="both"/>
        <w:rPr>
          <w:rFonts w:ascii="Times New Roman" w:hAnsi="Times New Roman" w:cs="Times New Roman"/>
          <w:lang w:val="es-419"/>
        </w:rPr>
      </w:pPr>
    </w:p>
    <w:tbl>
      <w:tblPr>
        <w:tblStyle w:val="Tablaconcuadrcula"/>
        <w:tblW w:w="0" w:type="auto"/>
        <w:tblLook w:val="04A0" w:firstRow="1" w:lastRow="0" w:firstColumn="1" w:lastColumn="0" w:noHBand="0" w:noVBand="1"/>
      </w:tblPr>
      <w:tblGrid>
        <w:gridCol w:w="9350"/>
      </w:tblGrid>
      <w:tr w:rsidR="00BE3FCE" w:rsidRPr="00C33074" w14:paraId="5F6DD908" w14:textId="77777777" w:rsidTr="00D6536D">
        <w:tc>
          <w:tcPr>
            <w:tcW w:w="9350" w:type="dxa"/>
            <w:tcBorders>
              <w:top w:val="single" w:sz="4" w:space="0" w:color="auto"/>
              <w:left w:val="single" w:sz="4" w:space="0" w:color="auto"/>
              <w:bottom w:val="single" w:sz="4" w:space="0" w:color="auto"/>
              <w:right w:val="single" w:sz="4" w:space="0" w:color="auto"/>
            </w:tcBorders>
          </w:tcPr>
          <w:p w14:paraId="3C4A86AB"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b/>
                <w:bCs/>
              </w:rPr>
              <w:t>ARTÍCULO 121. MECANISMOS REPARATIVOS EN RELACIÓN CON LOS PASIVOS. </w:t>
            </w:r>
            <w:r w:rsidRPr="00C33074">
              <w:rPr>
                <w:rFonts w:ascii="Times New Roman" w:hAnsi="Times New Roman" w:cs="Times New Roman"/>
              </w:rPr>
              <w:t>En relación con los pasivos de las víctimas, generados durante la época del despojo o el desplazamiento, las autoridades deberán tener en cuenta como medidas con efecto reparador, las siguientes:</w:t>
            </w:r>
          </w:p>
          <w:p w14:paraId="121D1A40"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rPr>
              <w:t>1.Sistemas de alivio y/o exoneración de la cartera morosa del impuesto predial u otros impuestos, tasas o contribuciones del orden municipal o distrital relacionadas con el predio restituido o formalizado. Para estos efectos las entidades territoriales establecerán mecanismos de alivio y/o exoneración de estos pasivos a favor de las víctimas del despojo o abandono forzado.</w:t>
            </w:r>
          </w:p>
          <w:p w14:paraId="0184D1B6" w14:textId="77777777" w:rsidR="00BE3FCE" w:rsidRPr="00C33074" w:rsidRDefault="00BE3FCE" w:rsidP="00D6536D">
            <w:pPr>
              <w:spacing w:after="160" w:line="300" w:lineRule="exact"/>
              <w:jc w:val="both"/>
              <w:rPr>
                <w:rFonts w:ascii="Times New Roman" w:hAnsi="Times New Roman" w:cs="Times New Roman"/>
              </w:rPr>
            </w:pPr>
            <w:r w:rsidRPr="00C33074">
              <w:rPr>
                <w:rFonts w:ascii="Times New Roman" w:hAnsi="Times New Roman" w:cs="Times New Roman"/>
              </w:rPr>
              <w:t>2. La cartera morosa de servicios públicos domiciliarios relacionada con la prestación de servicios y las deudas crediticias del sector financiero existentes al momento de los hechos a los predios restituidos o formalizados deberá ser objeto de un programa de condonación de cartera que podrá estar a cargo del Plan Nacional para la Atención y Reparación Integral a las Víctimas.</w:t>
            </w:r>
          </w:p>
        </w:tc>
      </w:tr>
    </w:tbl>
    <w:p w14:paraId="142BDE4E" w14:textId="77777777" w:rsidR="00BE3FCE" w:rsidRPr="00C33074" w:rsidRDefault="00BE3FCE" w:rsidP="00BE3FCE">
      <w:pPr>
        <w:spacing w:line="300" w:lineRule="exact"/>
        <w:jc w:val="both"/>
        <w:rPr>
          <w:rFonts w:ascii="Times New Roman" w:hAnsi="Times New Roman" w:cs="Times New Roman"/>
          <w:lang w:val="es-419"/>
        </w:rPr>
      </w:pPr>
    </w:p>
    <w:p w14:paraId="71FBFF78"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 xml:space="preserve">Las medidas contempladas en el artículo en cita hacen parte de las disposiciones sobre la restitución de tierras de las víctimas de despojo y desplazamiento forzado. En ese sentido, la restitución busca no agravar las condiciones de vida de las víctimas del conflicto armado por el deber de cumplimiento de las cargas tributarias lícitas. Las medidas contempladas en el presente proyecto de ley buscan restituir los derechos patrimoniales de los SRC para que la acción lícita del Estado no implique la merma de la puesta en marcha de su objeto social ni sus objetivos misionales. </w:t>
      </w:r>
    </w:p>
    <w:p w14:paraId="6B849414"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lang w:val="es-419"/>
        </w:rPr>
        <w:t xml:space="preserve">Así mismo, el artículo 3° de la ley precitada establece una cláusula abierta para considerar la reparación de este tipo de daño. En sus palabras, la disposición contempla que </w:t>
      </w:r>
      <w:r w:rsidRPr="00C33074">
        <w:rPr>
          <w:rFonts w:ascii="Times New Roman" w:hAnsi="Times New Roman" w:cs="Times New Roman"/>
          <w:i/>
          <w:iCs/>
          <w:lang w:val="es-419"/>
        </w:rPr>
        <w:t xml:space="preserve">se consideran víctimas, para los efectos de esta ley, aquellas personas que individual o colectivamente hayan sufrido un daño a sus derechos. </w:t>
      </w:r>
      <w:r w:rsidRPr="00C33074">
        <w:rPr>
          <w:rFonts w:ascii="Times New Roman" w:hAnsi="Times New Roman" w:cs="Times New Roman"/>
          <w:lang w:val="es-419"/>
        </w:rPr>
        <w:t>Lo citado habilita al legislador para definir cuales daños, de acuerdo con el derecho afectado, deben ser reparados. Así, la presente ley busca fundamentalmente ampliar el margen de reparación de los SRC para que estos puedan mantenerse financieramente en el tiempo y se garantice la efectividad de la reparación integral, esto es, a la reparación de todas las aminoraciones patrimoniales que sufrieron como consecuencias de los daños causados por el Conflicto.</w:t>
      </w:r>
    </w:p>
    <w:p w14:paraId="5831BC46" w14:textId="77777777" w:rsidR="00BE3FCE" w:rsidRPr="00C33074" w:rsidRDefault="00BE3FCE" w:rsidP="00BE3FCE">
      <w:pPr>
        <w:pStyle w:val="Prrafodelista"/>
        <w:numPr>
          <w:ilvl w:val="0"/>
          <w:numId w:val="6"/>
        </w:numPr>
        <w:spacing w:after="160" w:line="300" w:lineRule="exact"/>
        <w:jc w:val="both"/>
        <w:rPr>
          <w:rFonts w:ascii="Times New Roman" w:hAnsi="Times New Roman" w:cs="Times New Roman"/>
          <w:b/>
          <w:bCs/>
        </w:rPr>
      </w:pPr>
      <w:r w:rsidRPr="00C33074">
        <w:rPr>
          <w:rFonts w:ascii="Times New Roman" w:hAnsi="Times New Roman" w:cs="Times New Roman"/>
          <w:b/>
          <w:bCs/>
        </w:rPr>
        <w:lastRenderedPageBreak/>
        <w:t>Conflicto de intereses</w:t>
      </w:r>
    </w:p>
    <w:p w14:paraId="0710B0C2" w14:textId="77777777" w:rsidR="00BE3FCE" w:rsidRPr="00C33074" w:rsidRDefault="00BE3FCE" w:rsidP="00BE3FCE">
      <w:pPr>
        <w:spacing w:line="300" w:lineRule="exact"/>
        <w:jc w:val="both"/>
        <w:rPr>
          <w:rFonts w:ascii="Times New Roman" w:hAnsi="Times New Roman" w:cs="Times New Roman"/>
          <w:lang w:val="es-419"/>
        </w:rPr>
      </w:pPr>
      <w:r w:rsidRPr="00C33074">
        <w:rPr>
          <w:rFonts w:ascii="Times New Roman" w:hAnsi="Times New Roman" w:cs="Times New Roman"/>
        </w:rPr>
        <w:t>En virtud de lo señalado en el artículo 291 de la Ley 5° de 1991 que indica, “</w:t>
      </w:r>
      <w:r w:rsidRPr="00C33074">
        <w:rPr>
          <w:rFonts w:ascii="Times New Roman" w:hAnsi="Times New Roman" w:cs="Times New Roman"/>
          <w:lang w:val="es-419"/>
        </w:rPr>
        <w:t>El autor del proyecto y el ponente presentarán en el cuerpo de la exposición de motivos un acápite que describa las circunstancias o eventos que podrían generar un conflicto de interés para la discusión y votación del proyecto, de acuerdo al artículo 286.” En ese sentido, teniendo en cuenta la regla general instituida en el artículo 286 de la misma ley, enlisto los posibles conflictos de intereses en los que se podrían ver inmersos los miembros de la Corporación Legislativa:</w:t>
      </w:r>
    </w:p>
    <w:p w14:paraId="2659C876" w14:textId="77777777" w:rsidR="00BE3FCE" w:rsidRPr="00C33074" w:rsidRDefault="00BE3FCE" w:rsidP="00BE3FCE">
      <w:pPr>
        <w:numPr>
          <w:ilvl w:val="0"/>
          <w:numId w:val="8"/>
        </w:numPr>
        <w:spacing w:after="160" w:line="300" w:lineRule="exact"/>
        <w:jc w:val="both"/>
        <w:rPr>
          <w:rFonts w:ascii="Times New Roman" w:hAnsi="Times New Roman" w:cs="Times New Roman"/>
        </w:rPr>
      </w:pPr>
      <w:r w:rsidRPr="00C33074">
        <w:rPr>
          <w:rFonts w:ascii="Times New Roman" w:hAnsi="Times New Roman" w:cs="Times New Roman"/>
        </w:rPr>
        <w:t>El presente proyecto de ley busca establecer alivios tributarios para los SRC. Los impactos patrimoniales de la implementación de las medidas implicarían un beneficio directo, particular y real para aquellos congresistas que sean parte de los cuerpos colegiados que representen legalmente a las organizaciones y colectivos declarados como Sujetos de Reparación Colectiva y deban comparecer ante la DIAN para saldar penalidades, sanciones y/o sean objeto de procesos de cobro coactivo ante la entidad.</w:t>
      </w:r>
    </w:p>
    <w:p w14:paraId="5D6C235E" w14:textId="77777777" w:rsidR="00BE3FCE" w:rsidRPr="00C33074" w:rsidRDefault="00BE3FCE" w:rsidP="00BE3FCE">
      <w:pPr>
        <w:spacing w:line="300" w:lineRule="exact"/>
        <w:jc w:val="both"/>
        <w:rPr>
          <w:rFonts w:ascii="Times New Roman" w:hAnsi="Times New Roman" w:cs="Times New Roman"/>
        </w:rPr>
      </w:pPr>
      <w:r w:rsidRPr="00C33074">
        <w:rPr>
          <w:rFonts w:ascii="Times New Roman" w:hAnsi="Times New Roman" w:cs="Times New Roman"/>
        </w:rPr>
        <w:t>Este elemento no exime a los congresistas para cumplir sus deberes legales y constitucionales para declarar particularmente el impedimento respectivo.</w:t>
      </w:r>
    </w:p>
    <w:p w14:paraId="1895B873" w14:textId="77777777" w:rsidR="00BE3FCE" w:rsidRPr="00C33074" w:rsidRDefault="00BE3FCE" w:rsidP="00BE3FCE">
      <w:pPr>
        <w:pStyle w:val="Prrafodelista"/>
        <w:numPr>
          <w:ilvl w:val="0"/>
          <w:numId w:val="6"/>
        </w:numPr>
        <w:spacing w:after="160" w:line="300" w:lineRule="exact"/>
        <w:jc w:val="both"/>
        <w:rPr>
          <w:rFonts w:ascii="Times New Roman" w:hAnsi="Times New Roman" w:cs="Times New Roman"/>
          <w:b/>
          <w:bCs/>
        </w:rPr>
      </w:pPr>
      <w:r w:rsidRPr="00C33074">
        <w:rPr>
          <w:rFonts w:ascii="Times New Roman" w:hAnsi="Times New Roman" w:cs="Times New Roman"/>
          <w:b/>
          <w:bCs/>
        </w:rPr>
        <w:t>Impacto Fiscal</w:t>
      </w:r>
    </w:p>
    <w:p w14:paraId="42D1CB73"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444746"/>
          <w:vertAlign w:val="superscript"/>
        </w:rPr>
      </w:pPr>
      <w:r w:rsidRPr="00C33074">
        <w:rPr>
          <w:rFonts w:ascii="Times New Roman" w:eastAsia="Google Sans" w:hAnsi="Times New Roman" w:cs="Times New Roman"/>
          <w:color w:val="1F1F1F"/>
        </w:rPr>
        <w:t>El trámite de iniciativas legislativas que consagran beneficios tributarios o impactan el recaudo se encuentra subordinado al estricto cumplimiento del artículo 7 de la Ley 819 de 2003, relativo al análisis de impacto fiscal y su armonización con el Marco Fiscal de Mediano Plazo (MFMP).</w:t>
      </w:r>
    </w:p>
    <w:p w14:paraId="0576D30C"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444746"/>
          <w:vertAlign w:val="superscript"/>
        </w:rPr>
      </w:pPr>
      <w:r w:rsidRPr="00C33074">
        <w:rPr>
          <w:rFonts w:ascii="Times New Roman" w:eastAsia="Google Sans" w:hAnsi="Times New Roman" w:cs="Times New Roman"/>
          <w:color w:val="1F1F1F"/>
        </w:rPr>
        <w:t>La jurisprudencia reciente de la Corte Constitucional, cristalizada en las Sentencias C-170 de 2021, C-085 de 2022 y C-424 de 2023, ha modulado la aplicación de esta exigencia, precisando que se trata de una responsabilidad compartida entre el Congreso de la República y el Gobierno Nacional (Ministerio de Hacienda y Crédito Público). El deber a cargo del Congreso consiste en incluir en las exposiciones de motivos y ponencias una estimación general de los costos y hacer explícita la compatibilidad con el marco macroeconómico, sin que se exija un estudio econométrico exhaustivo (tarea que recae en el Ministerio, el cual puede rendir su concepto en cualquier etapa del trámite).</w:t>
      </w:r>
    </w:p>
    <w:p w14:paraId="3A8B25C9"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color w:val="1F1F1F"/>
        </w:rPr>
        <w:t>Desde esta perspectiva parlamentaria, el análisis fiscal de la presente ponencia concluye que la iniciativa es responsable y compatible con la sostenibilidad macroeconómica por los siguientes fundamentos:</w:t>
      </w:r>
    </w:p>
    <w:p w14:paraId="0735733A" w14:textId="77777777" w:rsidR="00BE3FCE" w:rsidRPr="00C33074" w:rsidRDefault="00BE3FCE" w:rsidP="00BE3FCE">
      <w:pPr>
        <w:widowControl w:val="0"/>
        <w:numPr>
          <w:ilvl w:val="0"/>
          <w:numId w:val="9"/>
        </w:numPr>
        <w:pBdr>
          <w:top w:val="nil"/>
          <w:left w:val="nil"/>
          <w:bottom w:val="nil"/>
          <w:right w:val="nil"/>
          <w:between w:val="nil"/>
        </w:pBdr>
        <w:spacing w:line="275" w:lineRule="auto"/>
        <w:jc w:val="both"/>
        <w:rPr>
          <w:rFonts w:ascii="Times New Roman" w:hAnsi="Times New Roman" w:cs="Times New Roman"/>
        </w:rPr>
      </w:pPr>
      <w:r w:rsidRPr="00C33074">
        <w:rPr>
          <w:rFonts w:ascii="Times New Roman" w:eastAsia="Google Sans" w:hAnsi="Times New Roman" w:cs="Times New Roman"/>
          <w:b/>
          <w:bCs/>
          <w:color w:val="1F1F1F"/>
        </w:rPr>
        <w:t>Sinceramiento de Cartera:</w:t>
      </w:r>
      <w:r w:rsidRPr="00C33074">
        <w:rPr>
          <w:rFonts w:ascii="Times New Roman" w:eastAsia="Google Sans" w:hAnsi="Times New Roman" w:cs="Times New Roman"/>
          <w:color w:val="1F1F1F"/>
        </w:rPr>
        <w:t xml:space="preserve"> El beneficio no implica una renuncia a flujos de caja líquidos que el Estado perciba con regularidad. Las astronómicas deudas de los SRC corresponden, en su gran mayoría, a un pasivo en mora histórica que figura en los libros contables de la DIAN como cartera de difícil o imposible recuperación.</w:t>
      </w:r>
      <w:r w:rsidRPr="00C33074">
        <w:rPr>
          <w:rFonts w:ascii="Times New Roman" w:eastAsia="Google Sans" w:hAnsi="Times New Roman" w:cs="Times New Roman"/>
          <w:color w:val="444746"/>
          <w:vertAlign w:val="superscript"/>
        </w:rPr>
        <w:t>1</w:t>
      </w:r>
      <w:r w:rsidRPr="00C33074">
        <w:rPr>
          <w:rFonts w:ascii="Times New Roman" w:eastAsia="Google Sans" w:hAnsi="Times New Roman" w:cs="Times New Roman"/>
          <w:color w:val="1F1F1F"/>
        </w:rPr>
        <w:t xml:space="preserve"> Las organizaciones afectadas no poseen el flujo financiero para solventarlas, y el cobro coactivo resulta ineficaz frente a entes empobrecidos. Al perdonar los accesorios (sanciones e intereses moratorios) y viabilizar acuerdos de pago a largo plazo o daciones en especie sobre el capital, el Estado logra </w:t>
      </w:r>
      <w:r w:rsidRPr="00C33074">
        <w:rPr>
          <w:rFonts w:ascii="Times New Roman" w:eastAsia="Google Sans" w:hAnsi="Times New Roman" w:cs="Times New Roman"/>
          <w:i/>
          <w:iCs/>
          <w:color w:val="1F1F1F"/>
        </w:rPr>
        <w:t>recuperar</w:t>
      </w:r>
      <w:r w:rsidRPr="00C33074">
        <w:rPr>
          <w:rFonts w:ascii="Times New Roman" w:eastAsia="Google Sans" w:hAnsi="Times New Roman" w:cs="Times New Roman"/>
          <w:color w:val="1F1F1F"/>
        </w:rPr>
        <w:t xml:space="preserve"> parte del tributo base que, de otro modo, caducaría o prescribiría. El impacto real sobre el recaudo es un blanqueamiento contable positivo.</w:t>
      </w:r>
    </w:p>
    <w:p w14:paraId="28923E6E" w14:textId="77777777" w:rsidR="00BE3FCE" w:rsidRPr="00C33074" w:rsidRDefault="00BE3FCE" w:rsidP="00BE3FCE">
      <w:pPr>
        <w:widowControl w:val="0"/>
        <w:pBdr>
          <w:top w:val="nil"/>
          <w:left w:val="nil"/>
          <w:bottom w:val="nil"/>
          <w:right w:val="nil"/>
          <w:between w:val="nil"/>
        </w:pBdr>
        <w:spacing w:line="275" w:lineRule="auto"/>
        <w:ind w:left="570"/>
        <w:jc w:val="both"/>
        <w:rPr>
          <w:rFonts w:ascii="Times New Roman" w:hAnsi="Times New Roman" w:cs="Times New Roman"/>
        </w:rPr>
      </w:pPr>
    </w:p>
    <w:p w14:paraId="0D71CAF2" w14:textId="77777777" w:rsidR="00BE3FCE" w:rsidRPr="00C33074" w:rsidRDefault="00BE3FCE" w:rsidP="00BE3FCE">
      <w:pPr>
        <w:widowControl w:val="0"/>
        <w:numPr>
          <w:ilvl w:val="0"/>
          <w:numId w:val="9"/>
        </w:numPr>
        <w:pBdr>
          <w:top w:val="nil"/>
          <w:left w:val="nil"/>
          <w:bottom w:val="nil"/>
          <w:right w:val="nil"/>
          <w:between w:val="nil"/>
        </w:pBdr>
        <w:spacing w:line="275" w:lineRule="auto"/>
        <w:jc w:val="both"/>
        <w:rPr>
          <w:rFonts w:ascii="Times New Roman" w:hAnsi="Times New Roman" w:cs="Times New Roman"/>
        </w:rPr>
      </w:pPr>
      <w:r w:rsidRPr="00C33074">
        <w:rPr>
          <w:rFonts w:ascii="Times New Roman" w:eastAsia="Google Sans" w:hAnsi="Times New Roman" w:cs="Times New Roman"/>
          <w:b/>
          <w:bCs/>
          <w:color w:val="1F1F1F"/>
        </w:rPr>
        <w:t>Protección a los Tributos Cedidos y de Terceros:</w:t>
      </w:r>
      <w:r w:rsidRPr="00C33074">
        <w:rPr>
          <w:rFonts w:ascii="Times New Roman" w:eastAsia="Google Sans" w:hAnsi="Times New Roman" w:cs="Times New Roman"/>
          <w:color w:val="1F1F1F"/>
        </w:rPr>
        <w:t xml:space="preserve"> Para garantizar que no se genere un hueco en la estructura ordinaria de recaudo, el articulado dispone de manera expresa que en ningún escenario se condonará el capital de impuestos que representan recursos de terceros, como el Impuesto al Valor Agregado (IVA) o los valores sometidos a Retención en la Fuente.</w:t>
      </w:r>
      <w:r w:rsidRPr="00C33074">
        <w:rPr>
          <w:rFonts w:ascii="Times New Roman" w:eastAsia="Google Sans" w:hAnsi="Times New Roman" w:cs="Times New Roman"/>
          <w:color w:val="444746"/>
          <w:vertAlign w:val="superscript"/>
        </w:rPr>
        <w:t>1</w:t>
      </w:r>
      <w:r w:rsidRPr="00C33074">
        <w:rPr>
          <w:rFonts w:ascii="Times New Roman" w:eastAsia="Google Sans" w:hAnsi="Times New Roman" w:cs="Times New Roman"/>
          <w:color w:val="1F1F1F"/>
        </w:rPr>
        <w:t xml:space="preserve"> Solo se alivian las penas moratorias derivadas del retardo.</w:t>
      </w:r>
    </w:p>
    <w:p w14:paraId="6183563E" w14:textId="77777777" w:rsidR="00BE3FCE" w:rsidRPr="00C33074" w:rsidRDefault="00BE3FCE" w:rsidP="00BE3FCE">
      <w:pPr>
        <w:widowControl w:val="0"/>
        <w:pBdr>
          <w:top w:val="nil"/>
          <w:left w:val="nil"/>
          <w:bottom w:val="nil"/>
          <w:right w:val="nil"/>
          <w:between w:val="nil"/>
        </w:pBdr>
        <w:spacing w:line="275" w:lineRule="auto"/>
        <w:ind w:left="570"/>
        <w:jc w:val="both"/>
        <w:rPr>
          <w:rFonts w:ascii="Times New Roman" w:hAnsi="Times New Roman" w:cs="Times New Roman"/>
        </w:rPr>
      </w:pPr>
    </w:p>
    <w:p w14:paraId="0690686F" w14:textId="77777777" w:rsidR="00BE3FCE" w:rsidRPr="00C33074" w:rsidRDefault="00BE3FCE" w:rsidP="00BE3FCE">
      <w:pPr>
        <w:widowControl w:val="0"/>
        <w:numPr>
          <w:ilvl w:val="0"/>
          <w:numId w:val="9"/>
        </w:numPr>
        <w:pBdr>
          <w:top w:val="nil"/>
          <w:left w:val="nil"/>
          <w:bottom w:val="nil"/>
          <w:right w:val="nil"/>
          <w:between w:val="nil"/>
        </w:pBdr>
        <w:spacing w:after="120" w:line="275" w:lineRule="auto"/>
        <w:jc w:val="both"/>
        <w:rPr>
          <w:rFonts w:ascii="Times New Roman" w:hAnsi="Times New Roman" w:cs="Times New Roman"/>
        </w:rPr>
      </w:pPr>
      <w:r w:rsidRPr="00C33074">
        <w:rPr>
          <w:rFonts w:ascii="Times New Roman" w:eastAsia="Google Sans" w:hAnsi="Times New Roman" w:cs="Times New Roman"/>
          <w:b/>
          <w:bCs/>
          <w:color w:val="1F1F1F"/>
        </w:rPr>
        <w:t>Focalización Restringida:</w:t>
      </w:r>
      <w:r w:rsidRPr="00C33074">
        <w:rPr>
          <w:rFonts w:ascii="Times New Roman" w:eastAsia="Google Sans" w:hAnsi="Times New Roman" w:cs="Times New Roman"/>
          <w:color w:val="1F1F1F"/>
        </w:rPr>
        <w:t xml:space="preserve"> El beneficio no está abierto al universo de contribuyentes, lo cual representaría un forado incalculable. Está limitado herméticamente a un censo cerrado: los 1.258 Sujetos de Reparación Colectiva oficialmente certificados por la UARIV.</w:t>
      </w:r>
      <w:r w:rsidRPr="00C33074">
        <w:rPr>
          <w:rFonts w:ascii="Times New Roman" w:eastAsia="Google Sans" w:hAnsi="Times New Roman" w:cs="Times New Roman"/>
          <w:color w:val="444746"/>
          <w:vertAlign w:val="superscript"/>
        </w:rPr>
        <w:t>1</w:t>
      </w:r>
      <w:r w:rsidRPr="00C33074">
        <w:rPr>
          <w:rFonts w:ascii="Times New Roman" w:eastAsia="Google Sans" w:hAnsi="Times New Roman" w:cs="Times New Roman"/>
          <w:color w:val="1F1F1F"/>
        </w:rPr>
        <w:t xml:space="preserve"> Esta extrema focalización permite acotar milimétricamente el impacto fiscal, asegurando que la medida opera dentro de márgenes manejables para la DIAN.</w:t>
      </w:r>
    </w:p>
    <w:p w14:paraId="6D0330FB" w14:textId="77777777" w:rsidR="00BE3FCE" w:rsidRPr="00C33074" w:rsidRDefault="00BE3FCE" w:rsidP="00BE3FCE">
      <w:pPr>
        <w:spacing w:line="300" w:lineRule="exact"/>
        <w:jc w:val="both"/>
        <w:rPr>
          <w:rFonts w:ascii="Times New Roman" w:hAnsi="Times New Roman" w:cs="Times New Roman"/>
          <w:b/>
          <w:bCs/>
        </w:rPr>
      </w:pPr>
    </w:p>
    <w:p w14:paraId="2E7AF20A" w14:textId="77777777" w:rsidR="00BE3FCE" w:rsidRPr="00C33074" w:rsidRDefault="00BE3FCE" w:rsidP="00BE3FCE">
      <w:pPr>
        <w:pStyle w:val="Prrafodelista"/>
        <w:numPr>
          <w:ilvl w:val="0"/>
          <w:numId w:val="6"/>
        </w:numPr>
        <w:spacing w:after="160" w:line="300" w:lineRule="exact"/>
        <w:jc w:val="both"/>
        <w:rPr>
          <w:rFonts w:ascii="Times New Roman" w:hAnsi="Times New Roman" w:cs="Times New Roman"/>
          <w:b/>
          <w:bCs/>
        </w:rPr>
      </w:pPr>
      <w:r w:rsidRPr="00C33074">
        <w:rPr>
          <w:rFonts w:ascii="Times New Roman" w:hAnsi="Times New Roman" w:cs="Times New Roman"/>
          <w:b/>
          <w:bCs/>
        </w:rPr>
        <w:t xml:space="preserve">Pliego de modificaciones </w:t>
      </w:r>
    </w:p>
    <w:p w14:paraId="3DA42FFE" w14:textId="77777777" w:rsidR="00BE3FCE" w:rsidRPr="00C33074" w:rsidRDefault="00BE3FCE" w:rsidP="00BE3FCE">
      <w:pPr>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929"/>
        <w:gridCol w:w="2942"/>
        <w:gridCol w:w="2957"/>
      </w:tblGrid>
      <w:tr w:rsidR="00BE3FCE" w:rsidRPr="00C33074" w14:paraId="52DA578B" w14:textId="77777777" w:rsidTr="00D6536D">
        <w:trPr>
          <w:cantSplit/>
          <w:trHeight w:val="1134"/>
        </w:trPr>
        <w:tc>
          <w:tcPr>
            <w:tcW w:w="2929" w:type="dxa"/>
            <w:tcBorders>
              <w:top w:val="single" w:sz="4" w:space="0" w:color="auto"/>
              <w:left w:val="single" w:sz="4" w:space="0" w:color="auto"/>
              <w:bottom w:val="single" w:sz="4" w:space="0" w:color="auto"/>
              <w:right w:val="single" w:sz="4" w:space="0" w:color="auto"/>
            </w:tcBorders>
            <w:vAlign w:val="center"/>
            <w:hideMark/>
          </w:tcPr>
          <w:p w14:paraId="5ED1EC41" w14:textId="77777777" w:rsidR="00BE3FCE" w:rsidRPr="00C33074" w:rsidRDefault="00BE3FCE" w:rsidP="00D6536D">
            <w:pPr>
              <w:spacing w:after="160" w:line="278" w:lineRule="auto"/>
              <w:jc w:val="center"/>
              <w:rPr>
                <w:rFonts w:ascii="Times New Roman" w:hAnsi="Times New Roman" w:cs="Times New Roman"/>
                <w:b/>
                <w:bCs/>
              </w:rPr>
            </w:pPr>
            <w:r w:rsidRPr="00C33074">
              <w:rPr>
                <w:rFonts w:ascii="Times New Roman" w:hAnsi="Times New Roman" w:cs="Times New Roman"/>
                <w:b/>
                <w:bCs/>
              </w:rPr>
              <w:t>Texto original</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661504E" w14:textId="77777777" w:rsidR="00BE3FCE" w:rsidRPr="00C33074" w:rsidRDefault="00BE3FCE" w:rsidP="00D6536D">
            <w:pPr>
              <w:spacing w:after="160" w:line="278" w:lineRule="auto"/>
              <w:jc w:val="center"/>
              <w:rPr>
                <w:rFonts w:ascii="Times New Roman" w:hAnsi="Times New Roman" w:cs="Times New Roman"/>
                <w:b/>
                <w:bCs/>
              </w:rPr>
            </w:pPr>
            <w:r w:rsidRPr="00C33074">
              <w:rPr>
                <w:rFonts w:ascii="Times New Roman" w:hAnsi="Times New Roman" w:cs="Times New Roman"/>
                <w:b/>
                <w:bCs/>
              </w:rPr>
              <w:t>Texto propuesto</w:t>
            </w:r>
          </w:p>
        </w:tc>
        <w:tc>
          <w:tcPr>
            <w:tcW w:w="2957" w:type="dxa"/>
            <w:tcBorders>
              <w:top w:val="single" w:sz="4" w:space="0" w:color="auto"/>
              <w:left w:val="single" w:sz="4" w:space="0" w:color="auto"/>
              <w:bottom w:val="single" w:sz="4" w:space="0" w:color="auto"/>
              <w:right w:val="single" w:sz="4" w:space="0" w:color="auto"/>
            </w:tcBorders>
            <w:vAlign w:val="center"/>
            <w:hideMark/>
          </w:tcPr>
          <w:p w14:paraId="4E52A03E" w14:textId="77777777" w:rsidR="00BE3FCE" w:rsidRPr="00C33074" w:rsidRDefault="00BE3FCE" w:rsidP="00D6536D">
            <w:pPr>
              <w:spacing w:after="160" w:line="278" w:lineRule="auto"/>
              <w:jc w:val="center"/>
              <w:rPr>
                <w:rFonts w:ascii="Times New Roman" w:hAnsi="Times New Roman" w:cs="Times New Roman"/>
                <w:b/>
                <w:bCs/>
              </w:rPr>
            </w:pPr>
            <w:r w:rsidRPr="00C33074">
              <w:rPr>
                <w:rFonts w:ascii="Times New Roman" w:hAnsi="Times New Roman" w:cs="Times New Roman"/>
                <w:b/>
                <w:bCs/>
              </w:rPr>
              <w:t>Justificación de la modificación</w:t>
            </w:r>
          </w:p>
        </w:tc>
      </w:tr>
      <w:tr w:rsidR="00BE3FCE" w:rsidRPr="00C33074" w14:paraId="561A733A"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1D5D545A"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b/>
                <w:bCs/>
                <w:lang w:val="es-419"/>
              </w:rPr>
              <w:t>Artículo 1°. Objeto.</w:t>
            </w:r>
            <w:r w:rsidRPr="00C33074">
              <w:rPr>
                <w:rFonts w:ascii="Times New Roman" w:hAnsi="Times New Roman" w:cs="Times New Roman"/>
                <w:lang w:val="es-419"/>
              </w:rPr>
              <w:t xml:space="preserve"> La presente ley tiene por objeto modificar la Ley 1448 de 2011, adicionando disposiciones para establecer medidas de alivios en materia tributaria para los Sujetos de Reparación Colectiva reconocidos por la Unidad para la Atención y Reparación Integral a las Víctimas (UARIV), con el fin de garantizar el principio de reparación integral. Busca proteger y garantizar los derechos de las víctimas </w:t>
            </w:r>
            <w:r w:rsidRPr="00C33074">
              <w:rPr>
                <w:rFonts w:ascii="Times New Roman" w:hAnsi="Times New Roman" w:cs="Times New Roman"/>
                <w:lang w:val="es-419"/>
              </w:rPr>
              <w:lastRenderedPageBreak/>
              <w:t xml:space="preserve">colectivas en materia de sostenibilidad financiera, ejecución de los Planes Integrales de Reparación Colectiva, y la efectividad del principio </w:t>
            </w:r>
            <w:proofErr w:type="spellStart"/>
            <w:r w:rsidRPr="00C33074">
              <w:rPr>
                <w:rFonts w:ascii="Times New Roman" w:hAnsi="Times New Roman" w:cs="Times New Roman"/>
                <w:lang w:val="es-419"/>
              </w:rPr>
              <w:t>pro-víctima</w:t>
            </w:r>
            <w:proofErr w:type="spellEnd"/>
            <w:r w:rsidRPr="00C33074">
              <w:rPr>
                <w:rFonts w:ascii="Times New Roman" w:hAnsi="Times New Roman" w:cs="Times New Roman"/>
                <w:lang w:val="es-419"/>
              </w:rPr>
              <w:t xml:space="preserve"> en materia tributaria.</w:t>
            </w:r>
          </w:p>
        </w:tc>
        <w:tc>
          <w:tcPr>
            <w:tcW w:w="2942" w:type="dxa"/>
            <w:tcBorders>
              <w:top w:val="single" w:sz="4" w:space="0" w:color="auto"/>
              <w:left w:val="single" w:sz="4" w:space="0" w:color="auto"/>
              <w:bottom w:val="single" w:sz="4" w:space="0" w:color="auto"/>
              <w:right w:val="single" w:sz="4" w:space="0" w:color="auto"/>
            </w:tcBorders>
            <w:vAlign w:val="center"/>
          </w:tcPr>
          <w:p w14:paraId="2079C6E8" w14:textId="77777777" w:rsidR="00BE3FCE" w:rsidRPr="00C33074" w:rsidRDefault="00BE3FCE" w:rsidP="00D6536D">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lastRenderedPageBreak/>
              <w:t>Artículo 1°. Objeto.</w:t>
            </w:r>
            <w:r w:rsidRPr="00C33074">
              <w:rPr>
                <w:rFonts w:ascii="Times New Roman" w:eastAsia="Google Sans" w:hAnsi="Times New Roman" w:cs="Times New Roman"/>
                <w:color w:val="1F1F1F"/>
              </w:rPr>
              <w:t xml:space="preserve"> La presente ley tiene por objeto modificar la Ley 1448 de 2011, adicionando disposiciones para establecer medidas transitorias y excepcionales de alivio en materia tributaria para los Sujetos de Reparación Colectiva reconocidos por la Unidad para la Atención y Reparación Integral a las Víctimas (UARIV). Busca garantizar los derechos de estas víctimas en materia de sostenibilidad financiera, </w:t>
            </w:r>
            <w:r w:rsidRPr="00C33074">
              <w:rPr>
                <w:rFonts w:ascii="Times New Roman" w:eastAsia="Google Sans" w:hAnsi="Times New Roman" w:cs="Times New Roman"/>
                <w:color w:val="1F1F1F"/>
              </w:rPr>
              <w:lastRenderedPageBreak/>
              <w:t xml:space="preserve">facilitando la ejecución de sus Planes Integrales de Reparación Colectiva (PIRC) mediante la materialización del principio </w:t>
            </w:r>
            <w:proofErr w:type="spellStart"/>
            <w:r w:rsidRPr="00C33074">
              <w:rPr>
                <w:rFonts w:ascii="Times New Roman" w:eastAsia="Google Sans" w:hAnsi="Times New Roman" w:cs="Times New Roman"/>
                <w:color w:val="1F1F1F"/>
              </w:rPr>
              <w:t>pro-víctima</w:t>
            </w:r>
            <w:proofErr w:type="spellEnd"/>
            <w:r w:rsidRPr="00C33074">
              <w:rPr>
                <w:rFonts w:ascii="Times New Roman" w:eastAsia="Google Sans" w:hAnsi="Times New Roman" w:cs="Times New Roman"/>
                <w:color w:val="1F1F1F"/>
              </w:rPr>
              <w:t xml:space="preserve"> en el cumplimiento de sus obligaciones formales y sustanciales.</w:t>
            </w:r>
          </w:p>
          <w:p w14:paraId="7AD06D52" w14:textId="77777777" w:rsidR="00BE3FCE" w:rsidRPr="00C33074" w:rsidRDefault="00BE3FCE" w:rsidP="00D6536D">
            <w:pPr>
              <w:spacing w:after="160" w:line="278" w:lineRule="auto"/>
              <w:jc w:val="both"/>
              <w:rPr>
                <w:rFonts w:ascii="Times New Roman" w:hAnsi="Times New Roman" w:cs="Times New Roman"/>
              </w:rPr>
            </w:pPr>
          </w:p>
        </w:tc>
        <w:tc>
          <w:tcPr>
            <w:tcW w:w="2957" w:type="dxa"/>
            <w:tcBorders>
              <w:top w:val="single" w:sz="4" w:space="0" w:color="auto"/>
              <w:left w:val="single" w:sz="4" w:space="0" w:color="auto"/>
              <w:bottom w:val="single" w:sz="4" w:space="0" w:color="auto"/>
              <w:right w:val="single" w:sz="4" w:space="0" w:color="auto"/>
            </w:tcBorders>
            <w:vAlign w:val="center"/>
          </w:tcPr>
          <w:p w14:paraId="28FEE817"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eastAsia="Google Sans" w:hAnsi="Times New Roman" w:cs="Times New Roman"/>
                <w:color w:val="1F1F1F"/>
              </w:rPr>
              <w:lastRenderedPageBreak/>
              <w:t>Se mejora la técnica legislativa especificando que las medidas son de carácter "transitorio y excepcional". Esto es vital para el control de constitucionalidad,</w:t>
            </w:r>
            <w:r>
              <w:rPr>
                <w:rFonts w:ascii="Times New Roman" w:eastAsia="Google Sans" w:hAnsi="Times New Roman" w:cs="Times New Roman"/>
                <w:color w:val="1F1F1F"/>
              </w:rPr>
              <w:t xml:space="preserve"> </w:t>
            </w:r>
            <w:r w:rsidRPr="00C33074">
              <w:rPr>
                <w:rFonts w:ascii="Times New Roman" w:eastAsia="Google Sans" w:hAnsi="Times New Roman" w:cs="Times New Roman"/>
                <w:color w:val="1F1F1F"/>
              </w:rPr>
              <w:t>demostrando que no alteran de manera permanente la estructura tributaria. Se precisa el uso de las siglas (PIRC) propias de la justicia transicional</w:t>
            </w:r>
          </w:p>
        </w:tc>
      </w:tr>
      <w:tr w:rsidR="00BE3FCE" w:rsidRPr="00C33074" w14:paraId="08753F2A"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4FC34CBD"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2°.</w:t>
            </w:r>
            <w:r w:rsidRPr="00C33074">
              <w:rPr>
                <w:rFonts w:ascii="Times New Roman" w:hAnsi="Times New Roman" w:cs="Times New Roman"/>
                <w:lang w:val="es-419"/>
              </w:rPr>
              <w:t xml:space="preserve"> Adiciónese el capítulo X al título IV de la Ley 1448 de 2011, que se denominará “Reparación Integral de los Sujetos de Reparación Colectiva bajo la modalidad de restitución en materia tributaria”, el cual quedará conformado por los siguientes artículos:</w:t>
            </w:r>
          </w:p>
        </w:tc>
        <w:tc>
          <w:tcPr>
            <w:tcW w:w="2942" w:type="dxa"/>
            <w:tcBorders>
              <w:top w:val="single" w:sz="4" w:space="0" w:color="auto"/>
              <w:left w:val="single" w:sz="4" w:space="0" w:color="auto"/>
              <w:bottom w:val="single" w:sz="4" w:space="0" w:color="auto"/>
              <w:right w:val="single" w:sz="4" w:space="0" w:color="auto"/>
            </w:tcBorders>
            <w:vAlign w:val="center"/>
          </w:tcPr>
          <w:p w14:paraId="1263D23E" w14:textId="77777777" w:rsidR="00BE3FCE" w:rsidRPr="00C33074" w:rsidRDefault="00BE3FCE" w:rsidP="00D6536D">
            <w:pPr>
              <w:spacing w:after="160" w:line="278" w:lineRule="auto"/>
              <w:jc w:val="both"/>
              <w:rPr>
                <w:rFonts w:ascii="Times New Roman" w:hAnsi="Times New Roman" w:cs="Times New Roman"/>
              </w:rPr>
            </w:pPr>
          </w:p>
        </w:tc>
        <w:tc>
          <w:tcPr>
            <w:tcW w:w="2957" w:type="dxa"/>
            <w:tcBorders>
              <w:top w:val="single" w:sz="4" w:space="0" w:color="auto"/>
              <w:left w:val="single" w:sz="4" w:space="0" w:color="auto"/>
              <w:bottom w:val="single" w:sz="4" w:space="0" w:color="auto"/>
              <w:right w:val="single" w:sz="4" w:space="0" w:color="auto"/>
            </w:tcBorders>
            <w:vAlign w:val="center"/>
          </w:tcPr>
          <w:p w14:paraId="1A85575D" w14:textId="77777777" w:rsidR="00BE3FCE" w:rsidRPr="00C33074" w:rsidRDefault="00BE3FCE" w:rsidP="00D6536D">
            <w:pPr>
              <w:spacing w:after="160" w:line="278" w:lineRule="auto"/>
              <w:jc w:val="both"/>
              <w:rPr>
                <w:rFonts w:ascii="Times New Roman" w:hAnsi="Times New Roman" w:cs="Times New Roman"/>
              </w:rPr>
            </w:pPr>
          </w:p>
        </w:tc>
      </w:tr>
      <w:tr w:rsidR="00BE3FCE" w:rsidRPr="00C33074" w14:paraId="43A48EA4"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1504E076"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3°.</w:t>
            </w:r>
            <w:r w:rsidRPr="00C33074">
              <w:rPr>
                <w:rFonts w:ascii="Times New Roman" w:hAnsi="Times New Roman" w:cs="Times New Roman"/>
                <w:lang w:val="es-419"/>
              </w:rPr>
              <w:t xml:space="preserve"> Adiciónese el artículo 152A al capítulo X del título IV de la Ley 1448 de 2011, el cual quedará así:</w:t>
            </w:r>
          </w:p>
          <w:p w14:paraId="7723DD2A"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lang w:val="es-419"/>
              </w:rPr>
              <w:t xml:space="preserve">Artículo 152A. Sujetos beneficiarios. Podrán acogerse a las medidas previstas en los siguientes artículos, sin distinción de su naturaleza jurídica, los Sujetos de Reparación Colectiva reconocidos por la UARIV mediante acto administrativo que lo </w:t>
            </w:r>
            <w:r w:rsidRPr="00C33074">
              <w:rPr>
                <w:rFonts w:ascii="Times New Roman" w:hAnsi="Times New Roman" w:cs="Times New Roman"/>
                <w:lang w:val="es-419"/>
              </w:rPr>
              <w:lastRenderedPageBreak/>
              <w:t>soliciten expresamente ante la Dirección de Impuestos y Aduanas Nacionales (DIAN).</w:t>
            </w:r>
          </w:p>
        </w:tc>
        <w:tc>
          <w:tcPr>
            <w:tcW w:w="2942" w:type="dxa"/>
            <w:tcBorders>
              <w:top w:val="single" w:sz="4" w:space="0" w:color="auto"/>
              <w:left w:val="single" w:sz="4" w:space="0" w:color="auto"/>
              <w:bottom w:val="single" w:sz="4" w:space="0" w:color="auto"/>
              <w:right w:val="single" w:sz="4" w:space="0" w:color="auto"/>
            </w:tcBorders>
            <w:vAlign w:val="center"/>
          </w:tcPr>
          <w:p w14:paraId="35E88D58"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eastAsia="Google Sans" w:hAnsi="Times New Roman" w:cs="Times New Roman"/>
                <w:b/>
                <w:bCs/>
                <w:color w:val="1F1F1F"/>
              </w:rPr>
              <w:lastRenderedPageBreak/>
              <w:t xml:space="preserve">Artículo 3°. </w:t>
            </w:r>
            <w:r w:rsidRPr="00C33074">
              <w:rPr>
                <w:rFonts w:ascii="Times New Roman" w:eastAsia="Google Sans" w:hAnsi="Times New Roman" w:cs="Times New Roman"/>
                <w:color w:val="1F1F1F"/>
              </w:rPr>
              <w:t>Adicione el artículo 152</w:t>
            </w:r>
            <w:r>
              <w:rPr>
                <w:rFonts w:ascii="Times New Roman" w:eastAsia="Google Sans" w:hAnsi="Times New Roman" w:cs="Times New Roman"/>
                <w:color w:val="1F1F1F"/>
              </w:rPr>
              <w:t>A</w:t>
            </w:r>
            <w:r w:rsidRPr="00C33074">
              <w:rPr>
                <w:rFonts w:ascii="Times New Roman" w:eastAsia="Google Sans" w:hAnsi="Times New Roman" w:cs="Times New Roman"/>
                <w:color w:val="1F1F1F"/>
              </w:rPr>
              <w:t xml:space="preserve"> al </w:t>
            </w:r>
            <w:r w:rsidRPr="00C33074">
              <w:rPr>
                <w:rFonts w:ascii="Times New Roman" w:hAnsi="Times New Roman" w:cs="Times New Roman"/>
                <w:lang w:val="es-419"/>
              </w:rPr>
              <w:t>capítulo X del título IV de la Ley 1448 de 2011, el cual quedará así:</w:t>
            </w:r>
          </w:p>
          <w:p w14:paraId="358330D3"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eastAsia="Google Sans" w:hAnsi="Times New Roman" w:cs="Times New Roman"/>
                <w:b/>
                <w:bCs/>
                <w:color w:val="1F1F1F"/>
              </w:rPr>
              <w:t>Artículo 152A.</w:t>
            </w:r>
            <w:r w:rsidRPr="00C33074">
              <w:rPr>
                <w:rFonts w:ascii="Times New Roman" w:eastAsia="Google Sans" w:hAnsi="Times New Roman" w:cs="Times New Roman"/>
                <w:color w:val="1F1F1F"/>
              </w:rPr>
              <w:t xml:space="preserve"> Sujetos beneficiarios. Podrán acogerse a las medidas contempladas en los artículos subsiguientes los Sujetos de Reparación Colectiva, dotados de personería jurídica </w:t>
            </w:r>
            <w:r>
              <w:rPr>
                <w:rFonts w:ascii="Times New Roman" w:eastAsia="Google Sans" w:hAnsi="Times New Roman" w:cs="Times New Roman"/>
                <w:color w:val="1F1F1F"/>
              </w:rPr>
              <w:t>e</w:t>
            </w:r>
            <w:r w:rsidRPr="00C33074">
              <w:rPr>
                <w:rFonts w:ascii="Times New Roman" w:eastAsia="Google Sans" w:hAnsi="Times New Roman" w:cs="Times New Roman"/>
                <w:color w:val="1F1F1F"/>
              </w:rPr>
              <w:t xml:space="preserve"> inscritos en el Registro Único Tributario (RUT), </w:t>
            </w:r>
            <w:r w:rsidRPr="00C33074">
              <w:rPr>
                <w:rFonts w:ascii="Times New Roman" w:eastAsia="Google Sans" w:hAnsi="Times New Roman" w:cs="Times New Roman"/>
                <w:color w:val="1F1F1F"/>
              </w:rPr>
              <w:lastRenderedPageBreak/>
              <w:t>que hayan sido reconocidos y permanezcan acreditados en el Registro Único de Víctimas (RUV) de la UARIV mediante acto administrativo en firme, previa solicitud ante la Dirección de Impuestos y Aduanas Nacionales (DIAN)</w:t>
            </w:r>
          </w:p>
        </w:tc>
        <w:tc>
          <w:tcPr>
            <w:tcW w:w="2957" w:type="dxa"/>
            <w:tcBorders>
              <w:top w:val="single" w:sz="4" w:space="0" w:color="auto"/>
              <w:left w:val="single" w:sz="4" w:space="0" w:color="auto"/>
              <w:bottom w:val="single" w:sz="4" w:space="0" w:color="auto"/>
              <w:right w:val="single" w:sz="4" w:space="0" w:color="auto"/>
            </w:tcBorders>
            <w:vAlign w:val="center"/>
          </w:tcPr>
          <w:p w14:paraId="04F4EFEA"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eastAsia="Google Sans" w:hAnsi="Times New Roman" w:cs="Times New Roman"/>
                <w:color w:val="1F1F1F"/>
              </w:rPr>
              <w:lastRenderedPageBreak/>
              <w:t xml:space="preserve">Se introducen condicionantes de seguridad jurídica insoslayables. El colectivo debe estar formalmente inscrito en el RUT para poseer obligaciones ante la DIAN. Asimismo, el acto de la UARIV debe encontrarse </w:t>
            </w:r>
            <w:r>
              <w:rPr>
                <w:rFonts w:ascii="Times New Roman" w:eastAsia="Google Sans" w:hAnsi="Times New Roman" w:cs="Times New Roman"/>
                <w:color w:val="1F1F1F"/>
              </w:rPr>
              <w:t>ejecutoriado</w:t>
            </w:r>
            <w:r w:rsidRPr="00C33074">
              <w:rPr>
                <w:rFonts w:ascii="Times New Roman" w:eastAsia="Google Sans" w:hAnsi="Times New Roman" w:cs="Times New Roman"/>
                <w:color w:val="1F1F1F"/>
              </w:rPr>
              <w:t xml:space="preserve"> para evitar concesión de beneficios sobre reconocimientos incipientes o en etapa de recursos, protegiendo el </w:t>
            </w:r>
            <w:r w:rsidRPr="00C33074">
              <w:rPr>
                <w:rFonts w:ascii="Times New Roman" w:eastAsia="Google Sans" w:hAnsi="Times New Roman" w:cs="Times New Roman"/>
                <w:color w:val="1F1F1F"/>
              </w:rPr>
              <w:lastRenderedPageBreak/>
              <w:t xml:space="preserve">recaudo y focalizando la ayuda. </w:t>
            </w:r>
          </w:p>
        </w:tc>
      </w:tr>
      <w:tr w:rsidR="00BE3FCE" w:rsidRPr="00C33074" w14:paraId="49D60121"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1B0110FB"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4°</w:t>
            </w:r>
            <w:r w:rsidRPr="00C33074">
              <w:rPr>
                <w:rFonts w:ascii="Times New Roman" w:hAnsi="Times New Roman" w:cs="Times New Roman"/>
                <w:lang w:val="es-419"/>
              </w:rPr>
              <w:t>. Adiciónese el artículo 152B al capítulo X del título IV de la Ley 1448 de 2011, el cual quedará así:</w:t>
            </w:r>
          </w:p>
          <w:p w14:paraId="12F53A23" w14:textId="77777777" w:rsidR="00BE3FCE"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lang w:val="es-419"/>
              </w:rPr>
              <w:t xml:space="preserve">Artículo 152B. Medidas de alivio en materia tributaria. Las sanciones y tasas de interés moratoria cuyo incumplimiento se hayan ocasionado o agravado como consecuencia de los daños patrimoniales causados por el desarrollo del Conflicto Armado Colombiano, y que hayan representado afectaciones en los derechos personales de los sujetos beneficiarios, serán reducidas de acuerdo con los siguientes artículos. </w:t>
            </w:r>
          </w:p>
          <w:p w14:paraId="64C41918"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lang w:val="es-419"/>
              </w:rPr>
              <w:t xml:space="preserve">Así mismo, las facilidades de pago que se celebren entre los sujetos </w:t>
            </w:r>
            <w:r w:rsidRPr="00C33074">
              <w:rPr>
                <w:rFonts w:ascii="Times New Roman" w:hAnsi="Times New Roman" w:cs="Times New Roman"/>
                <w:lang w:val="es-419"/>
              </w:rPr>
              <w:lastRenderedPageBreak/>
              <w:t>beneficiarios se regirán por los artículos subsiguientes.</w:t>
            </w:r>
          </w:p>
        </w:tc>
        <w:tc>
          <w:tcPr>
            <w:tcW w:w="2942" w:type="dxa"/>
            <w:tcBorders>
              <w:top w:val="single" w:sz="4" w:space="0" w:color="auto"/>
              <w:left w:val="single" w:sz="4" w:space="0" w:color="auto"/>
              <w:bottom w:val="single" w:sz="4" w:space="0" w:color="auto"/>
              <w:right w:val="single" w:sz="4" w:space="0" w:color="auto"/>
            </w:tcBorders>
            <w:vAlign w:val="center"/>
          </w:tcPr>
          <w:p w14:paraId="52039964" w14:textId="77777777" w:rsidR="00BE3FCE" w:rsidRPr="00C33074" w:rsidRDefault="00BE3FCE" w:rsidP="00D6536D">
            <w:pPr>
              <w:spacing w:after="160" w:line="278" w:lineRule="auto"/>
              <w:jc w:val="both"/>
              <w:rPr>
                <w:rFonts w:ascii="Times New Roman" w:hAnsi="Times New Roman" w:cs="Times New Roman"/>
              </w:rPr>
            </w:pPr>
          </w:p>
        </w:tc>
        <w:tc>
          <w:tcPr>
            <w:tcW w:w="2957" w:type="dxa"/>
            <w:tcBorders>
              <w:top w:val="single" w:sz="4" w:space="0" w:color="auto"/>
              <w:left w:val="single" w:sz="4" w:space="0" w:color="auto"/>
              <w:bottom w:val="single" w:sz="4" w:space="0" w:color="auto"/>
              <w:right w:val="single" w:sz="4" w:space="0" w:color="auto"/>
            </w:tcBorders>
            <w:vAlign w:val="center"/>
          </w:tcPr>
          <w:p w14:paraId="6F206BD7" w14:textId="77777777" w:rsidR="00BE3FCE" w:rsidRPr="00C33074" w:rsidRDefault="00BE3FCE" w:rsidP="00D6536D">
            <w:pPr>
              <w:spacing w:after="160" w:line="278" w:lineRule="auto"/>
              <w:jc w:val="both"/>
              <w:rPr>
                <w:rFonts w:ascii="Times New Roman" w:hAnsi="Times New Roman" w:cs="Times New Roman"/>
              </w:rPr>
            </w:pPr>
          </w:p>
        </w:tc>
      </w:tr>
      <w:tr w:rsidR="00BE3FCE" w:rsidRPr="00C33074" w14:paraId="792646CD"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31F629BA"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5°.</w:t>
            </w:r>
            <w:r w:rsidRPr="00C33074">
              <w:rPr>
                <w:rFonts w:ascii="Times New Roman" w:hAnsi="Times New Roman" w:cs="Times New Roman"/>
                <w:lang w:val="es-419"/>
              </w:rPr>
              <w:t xml:space="preserve"> Adiciónese el artículo 152C al capítulo X del título IV de la Ley 1448 de 2011, el cual quedará así:</w:t>
            </w:r>
          </w:p>
          <w:p w14:paraId="4BAB9D23"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b/>
                <w:bCs/>
                <w:lang w:val="es-419"/>
              </w:rPr>
              <w:t>Artículo 152C.</w:t>
            </w:r>
            <w:r w:rsidRPr="00C33074">
              <w:rPr>
                <w:rFonts w:ascii="Times New Roman" w:hAnsi="Times New Roman" w:cs="Times New Roman"/>
                <w:lang w:val="es-419"/>
              </w:rPr>
              <w:t xml:space="preserve"> Medidas sobre sanciones y tasas de interés moratoria. Las sanciones y tasas de interés moratoria, causadas en relación con el incumplimiento en el pago de los impuestos sobre la renta, impuesto al valor agregado, retenciones en la fuente y contribuciones a cargo de los sujetos beneficiarios, que se paguen desde la entrada en vigor y hasta la fecha de vigencia de la presente ley, se reducirán y liquidarán en los siguientes términos: Reducción de sanciones e intereses: Las sanciones, penalidades, actualizaciones e intereses moratorios de las obligaciones tributarias administradas por la DIAN, se reducirán al diez por ciento (10%).</w:t>
            </w:r>
          </w:p>
        </w:tc>
        <w:tc>
          <w:tcPr>
            <w:tcW w:w="2942" w:type="dxa"/>
            <w:tcBorders>
              <w:top w:val="single" w:sz="4" w:space="0" w:color="auto"/>
              <w:left w:val="single" w:sz="4" w:space="0" w:color="auto"/>
              <w:bottom w:val="single" w:sz="4" w:space="0" w:color="auto"/>
              <w:right w:val="single" w:sz="4" w:space="0" w:color="auto"/>
            </w:tcBorders>
            <w:vAlign w:val="center"/>
          </w:tcPr>
          <w:p w14:paraId="11B81605"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 xml:space="preserve">Artículo 5°. </w:t>
            </w:r>
            <w:r w:rsidRPr="00C33074">
              <w:rPr>
                <w:rFonts w:ascii="Times New Roman" w:hAnsi="Times New Roman" w:cs="Times New Roman"/>
                <w:lang w:val="es-419"/>
              </w:rPr>
              <w:t>Adiciónese el artículo 152C al capítulo X del título IV de la Ley 1448 de 2011, el cual quedará así:</w:t>
            </w:r>
          </w:p>
          <w:p w14:paraId="5E316A2C"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152C</w:t>
            </w:r>
            <w:r w:rsidRPr="00C33074">
              <w:rPr>
                <w:rFonts w:ascii="Times New Roman" w:hAnsi="Times New Roman" w:cs="Times New Roman"/>
                <w:lang w:val="es-419"/>
              </w:rPr>
              <w:t>. Medidas sobre sanciones y tasas de interés moratoria. Las sanciones y tasas de interés moratoria, causadas en relación con el incumplimiento en el pago de los impuestos sobre la renta, impuesto al valor agregado, retenciones en la fuente y contribuciones a cargo de los sujetos beneficiarios, que se paguen desde la entrada en vigor y hasta la fecha de vigencia de la presente ley, se reducirán y liquidarán en los siguientes términos:</w:t>
            </w:r>
          </w:p>
          <w:p w14:paraId="28C30835"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eastAsia="Google Sans" w:hAnsi="Times New Roman" w:cs="Times New Roman"/>
                <w:color w:val="1F1F1F"/>
              </w:rPr>
              <w:t xml:space="preserve">Reducción de sanciones e intereses: Las sanciones pecuniarias, penalidades, actualizaciones e intereses moratorios originados por el incumplimiento de las obligaciones tributarias sustanciales o formales administradas por la DIAN, causadas con anterioridad a la vigencia de esta ley, se </w:t>
            </w:r>
            <w:r w:rsidRPr="00C33074">
              <w:rPr>
                <w:rFonts w:ascii="Times New Roman" w:eastAsia="Google Sans" w:hAnsi="Times New Roman" w:cs="Times New Roman"/>
                <w:color w:val="1F1F1F"/>
              </w:rPr>
              <w:lastRenderedPageBreak/>
              <w:t>reducirán para su pago al diez por ciento (10%) del monto total liquidado a la fecha de suscripción del acuerdo o pago</w:t>
            </w:r>
          </w:p>
        </w:tc>
        <w:tc>
          <w:tcPr>
            <w:tcW w:w="2957" w:type="dxa"/>
            <w:tcBorders>
              <w:top w:val="single" w:sz="4" w:space="0" w:color="auto"/>
              <w:left w:val="single" w:sz="4" w:space="0" w:color="auto"/>
              <w:bottom w:val="single" w:sz="4" w:space="0" w:color="auto"/>
              <w:right w:val="single" w:sz="4" w:space="0" w:color="auto"/>
            </w:tcBorders>
            <w:vAlign w:val="center"/>
          </w:tcPr>
          <w:p w14:paraId="5D1E9425"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eastAsia="Google Sans" w:hAnsi="Times New Roman" w:cs="Times New Roman"/>
                <w:color w:val="1F1F1F"/>
              </w:rPr>
              <w:lastRenderedPageBreak/>
              <w:t>Es indispensable acotar temporalmente el beneficio ("causadas con anterioridad a la vigencia de esta ley"). Las amnistías o alivios no pueden cobijar deudas futuras, pues ello generaría un incentivo perverso al incumplimiento de nuevos periodos fiscales y quebrantaría irremediablemente el Marco Fiscal de Mediano Plazo y el principio de igualdad tributaria en escenarios ordinarios futuros</w:t>
            </w:r>
          </w:p>
        </w:tc>
      </w:tr>
      <w:tr w:rsidR="00BE3FCE" w:rsidRPr="00C33074" w14:paraId="5BA02B0A"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4C770DE0"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 xml:space="preserve">Artículo 6°. </w:t>
            </w:r>
            <w:r w:rsidRPr="00C33074">
              <w:rPr>
                <w:rFonts w:ascii="Times New Roman" w:hAnsi="Times New Roman" w:cs="Times New Roman"/>
                <w:lang w:val="es-419"/>
              </w:rPr>
              <w:t>Adiciónese el artículo 152D al capítulo X del título IV de la Ley 1448 de 2011, el cual quedará así:</w:t>
            </w:r>
          </w:p>
          <w:p w14:paraId="0E5C1754"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152D.</w:t>
            </w:r>
            <w:r w:rsidRPr="00C33074">
              <w:rPr>
                <w:rFonts w:ascii="Times New Roman" w:hAnsi="Times New Roman" w:cs="Times New Roman"/>
                <w:lang w:val="es-419"/>
              </w:rPr>
              <w:t xml:space="preserve"> Medidas para celebrar acuerdos de pago a largo plazo. Para las facilidades de pago que se convengan entre los sujetos beneficiarios y la DIAN desde la entrada en vigor y hasta la fecha de vigencia de la presente ley, respecto de las obligaciones que presenten mora en el pago en dicho período se reducirán y liquidarán en los siguientes términos:</w:t>
            </w:r>
          </w:p>
          <w:p w14:paraId="7DF7B9E5"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lang w:val="es-419"/>
              </w:rPr>
              <w:t xml:space="preserve">Facilidades de pago ampliadas: La DIAN podrá conceder acuerdos de pago con plazos de hasta por treinta (30) años dependiendo del monto total de la obligación. Cuando esta sea menor a 500 Salarios Mínimos Legales Mensuales Vigentes (SMLMV) se podrá fijar como plazo máximo veinte </w:t>
            </w:r>
            <w:r w:rsidRPr="00C33074">
              <w:rPr>
                <w:rFonts w:ascii="Times New Roman" w:hAnsi="Times New Roman" w:cs="Times New Roman"/>
                <w:lang w:val="es-419"/>
              </w:rPr>
              <w:lastRenderedPageBreak/>
              <w:t>(20) años para la extinción de la obligación. En casos donde la suma de la obligación supere el tope señalado previamente, se podrá fijar como plazo máximo treinta (30) años para la extinción de la misma.</w:t>
            </w:r>
          </w:p>
          <w:p w14:paraId="23A371DE"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lang w:val="es-419"/>
              </w:rPr>
              <w:t xml:space="preserve">Pago en especie: Independiente del valor de la obligación, los sujetos beneficiarios podrán solicitar el pago en especie mediante dación en pago de bienes inmuebles, los cuales serán valorados conforme al avalúo comercial realizado por peritos o </w:t>
            </w:r>
            <w:proofErr w:type="spellStart"/>
            <w:r w:rsidRPr="00C33074">
              <w:rPr>
                <w:rFonts w:ascii="Times New Roman" w:hAnsi="Times New Roman" w:cs="Times New Roman"/>
                <w:lang w:val="es-419"/>
              </w:rPr>
              <w:t>avaluadores</w:t>
            </w:r>
            <w:proofErr w:type="spellEnd"/>
            <w:r w:rsidRPr="00C33074">
              <w:rPr>
                <w:rFonts w:ascii="Times New Roman" w:hAnsi="Times New Roman" w:cs="Times New Roman"/>
                <w:lang w:val="es-419"/>
              </w:rPr>
              <w:t xml:space="preserve"> inscritos en el Registro Abierto de </w:t>
            </w:r>
            <w:proofErr w:type="spellStart"/>
            <w:r w:rsidRPr="00C33074">
              <w:rPr>
                <w:rFonts w:ascii="Times New Roman" w:hAnsi="Times New Roman" w:cs="Times New Roman"/>
                <w:lang w:val="es-419"/>
              </w:rPr>
              <w:t>Avaluadores</w:t>
            </w:r>
            <w:proofErr w:type="spellEnd"/>
            <w:r w:rsidRPr="00C33074">
              <w:rPr>
                <w:rFonts w:ascii="Times New Roman" w:hAnsi="Times New Roman" w:cs="Times New Roman"/>
                <w:lang w:val="es-419"/>
              </w:rPr>
              <w:t xml:space="preserve"> que trata la Ley 1673 de 2013.</w:t>
            </w:r>
          </w:p>
          <w:p w14:paraId="505405DF"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b/>
                <w:bCs/>
                <w:lang w:val="es-419"/>
              </w:rPr>
              <w:t>Parágrafo 1.</w:t>
            </w:r>
            <w:r w:rsidRPr="00C33074">
              <w:rPr>
                <w:rFonts w:ascii="Times New Roman" w:hAnsi="Times New Roman" w:cs="Times New Roman"/>
                <w:lang w:val="es-419"/>
              </w:rPr>
              <w:t xml:space="preserve"> Por tratarse de recursos de terceros, en ningún caso se condonará el capital correspondiente al IVA ni al valor retenido en la fuente. Los bienes entregados en dación en pago deberán ser aceptados mediante acto administrativo motivado por la DIAN y pasarán a ser de propiedad de la Nación de </w:t>
            </w:r>
            <w:r w:rsidRPr="00C33074">
              <w:rPr>
                <w:rFonts w:ascii="Times New Roman" w:hAnsi="Times New Roman" w:cs="Times New Roman"/>
                <w:lang w:val="es-419"/>
              </w:rPr>
              <w:lastRenderedPageBreak/>
              <w:t>acuerdo con la regulación vigente.</w:t>
            </w:r>
          </w:p>
        </w:tc>
        <w:tc>
          <w:tcPr>
            <w:tcW w:w="2942" w:type="dxa"/>
            <w:tcBorders>
              <w:top w:val="single" w:sz="4" w:space="0" w:color="auto"/>
              <w:left w:val="single" w:sz="4" w:space="0" w:color="auto"/>
              <w:bottom w:val="single" w:sz="4" w:space="0" w:color="auto"/>
              <w:right w:val="single" w:sz="4" w:space="0" w:color="auto"/>
            </w:tcBorders>
            <w:vAlign w:val="center"/>
          </w:tcPr>
          <w:p w14:paraId="42722D01"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6°.</w:t>
            </w:r>
            <w:r w:rsidRPr="00C33074">
              <w:rPr>
                <w:rFonts w:ascii="Times New Roman" w:hAnsi="Times New Roman" w:cs="Times New Roman"/>
                <w:lang w:val="es-419"/>
              </w:rPr>
              <w:t xml:space="preserve"> Adiciónese el artículo 152D al capítulo X del título IV de la Ley 1448 de 2011, el cual quedará así:</w:t>
            </w:r>
          </w:p>
          <w:p w14:paraId="313555E8" w14:textId="77777777" w:rsidR="00BE3FCE" w:rsidRPr="00C33074" w:rsidRDefault="00BE3FCE" w:rsidP="00D6536D">
            <w:pPr>
              <w:spacing w:after="160" w:line="278" w:lineRule="auto"/>
              <w:jc w:val="both"/>
              <w:rPr>
                <w:rFonts w:ascii="Times New Roman" w:hAnsi="Times New Roman" w:cs="Times New Roman"/>
                <w:lang w:val="es-419"/>
              </w:rPr>
            </w:pPr>
          </w:p>
          <w:p w14:paraId="662D7740"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152D.</w:t>
            </w:r>
            <w:r w:rsidRPr="00C33074">
              <w:rPr>
                <w:rFonts w:ascii="Times New Roman" w:hAnsi="Times New Roman" w:cs="Times New Roman"/>
                <w:lang w:val="es-419"/>
              </w:rPr>
              <w:t xml:space="preserve"> Medidas para celebrar acuerdos de pago a largo plazo. Para las facilidades de pago que se convengan entre los sujetos beneficiarios y la DIAN desde la entrada en vigor y hasta la fecha de vigencia de la presente ley, respecto de las obligaciones que presenten mora en el pago en dicho período se reducirán y liquidarán en los siguientes términos:</w:t>
            </w:r>
          </w:p>
          <w:p w14:paraId="7944C782"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lang w:val="es-419"/>
              </w:rPr>
              <w:t xml:space="preserve">Facilidades de pago ampliadas: La DIAN podrá conceder acuerdos de pago con plazos de hasta por treinta (30) años dependiendo del monto total de la obligación. Cuando esta sea menor a 500 Salarios Mínimos Legales Mensuales Vigentes </w:t>
            </w:r>
            <w:r w:rsidRPr="00C33074">
              <w:rPr>
                <w:rFonts w:ascii="Times New Roman" w:hAnsi="Times New Roman" w:cs="Times New Roman"/>
                <w:lang w:val="es-419"/>
              </w:rPr>
              <w:lastRenderedPageBreak/>
              <w:t>(SMLMV) se podrá fijar como plazo máximo veinte (20) años para la extinción de la obligación. En casos donde la suma de la obligación supere el tope señalado previamente, se podrá fijar como plazo máximo treinta (30) años para la extinción de la misma.</w:t>
            </w:r>
          </w:p>
          <w:p w14:paraId="5EA6D0B1" w14:textId="77777777" w:rsidR="00BE3FCE" w:rsidRDefault="00BE3FCE" w:rsidP="00D6536D">
            <w:pPr>
              <w:jc w:val="both"/>
              <w:rPr>
                <w:rFonts w:ascii="Times New Roman" w:hAnsi="Times New Roman" w:cs="Times New Roman"/>
              </w:rPr>
            </w:pPr>
            <w:r w:rsidRPr="00D20B5E">
              <w:rPr>
                <w:rFonts w:ascii="Times New Roman" w:hAnsi="Times New Roman" w:cs="Times New Roman"/>
              </w:rPr>
              <w:t>Pago en especie y Dación en Pago</w:t>
            </w:r>
            <w:r w:rsidRPr="00D20B5E">
              <w:rPr>
                <w:rFonts w:ascii="Times New Roman" w:hAnsi="Times New Roman" w:cs="Times New Roman"/>
                <w:b/>
                <w:bCs/>
              </w:rPr>
              <w:t>:</w:t>
            </w:r>
            <w:r w:rsidRPr="00D20B5E">
              <w:rPr>
                <w:rFonts w:ascii="Times New Roman" w:hAnsi="Times New Roman" w:cs="Times New Roman"/>
              </w:rPr>
              <w:t xml:space="preserve"> Independientemente de la cuantía de la obligación en mora, los sujetos beneficiarios estarán facultados para extinguir las obligaciones fiscales mediante el mecanismo de dación en pago, entregando bienes inmuebles de su propiedad. El valor de dichos bienes será fijado con base en un avalúo comercial emitido por peritos vigentes en el Registro Abierto de </w:t>
            </w:r>
            <w:proofErr w:type="spellStart"/>
            <w:r w:rsidRPr="00D20B5E">
              <w:rPr>
                <w:rFonts w:ascii="Times New Roman" w:hAnsi="Times New Roman" w:cs="Times New Roman"/>
              </w:rPr>
              <w:t>Avaluadores</w:t>
            </w:r>
            <w:proofErr w:type="spellEnd"/>
            <w:r w:rsidRPr="00D20B5E">
              <w:rPr>
                <w:rFonts w:ascii="Times New Roman" w:hAnsi="Times New Roman" w:cs="Times New Roman"/>
              </w:rPr>
              <w:t xml:space="preserve"> (RAA).</w:t>
            </w:r>
          </w:p>
          <w:p w14:paraId="40A109EA" w14:textId="77777777" w:rsidR="00BE3FCE" w:rsidRPr="00D20B5E" w:rsidRDefault="00BE3FCE" w:rsidP="00D6536D">
            <w:pPr>
              <w:jc w:val="both"/>
              <w:rPr>
                <w:rFonts w:ascii="Times New Roman" w:hAnsi="Times New Roman" w:cs="Times New Roman"/>
              </w:rPr>
            </w:pPr>
          </w:p>
          <w:p w14:paraId="7D063A42" w14:textId="77777777" w:rsidR="00BE3FCE" w:rsidRDefault="00BE3FCE" w:rsidP="00D6536D">
            <w:pPr>
              <w:jc w:val="both"/>
              <w:rPr>
                <w:rFonts w:ascii="Times New Roman" w:hAnsi="Times New Roman" w:cs="Times New Roman"/>
              </w:rPr>
            </w:pPr>
            <w:r w:rsidRPr="00D20B5E">
              <w:rPr>
                <w:rFonts w:ascii="Times New Roman" w:hAnsi="Times New Roman" w:cs="Times New Roman"/>
              </w:rPr>
              <w:t xml:space="preserve">La DIAN reglamentará los criterios de aceptabilidad de los bienes, requiriendo indefectiblemente que estos se encuentren libres de gravámenes, embargos o falsas tradiciones. En desarrollo del principio </w:t>
            </w:r>
            <w:proofErr w:type="spellStart"/>
            <w:r w:rsidRPr="00D20B5E">
              <w:rPr>
                <w:rFonts w:ascii="Times New Roman" w:hAnsi="Times New Roman" w:cs="Times New Roman"/>
              </w:rPr>
              <w:t>pro-víctima</w:t>
            </w:r>
            <w:proofErr w:type="spellEnd"/>
            <w:r w:rsidRPr="00D20B5E">
              <w:rPr>
                <w:rFonts w:ascii="Times New Roman" w:hAnsi="Times New Roman" w:cs="Times New Roman"/>
              </w:rPr>
              <w:t xml:space="preserve">, la autoridad tributaria no podrá rechazar la dación fundándose exclusivamente en la falta de </w:t>
            </w:r>
            <w:r w:rsidRPr="00D20B5E">
              <w:rPr>
                <w:rFonts w:ascii="Times New Roman" w:hAnsi="Times New Roman" w:cs="Times New Roman"/>
              </w:rPr>
              <w:lastRenderedPageBreak/>
              <w:t>vocación misional para administrar inmuebles.</w:t>
            </w:r>
          </w:p>
          <w:p w14:paraId="72F5F786" w14:textId="77777777" w:rsidR="00BE3FCE" w:rsidRDefault="00BE3FCE" w:rsidP="00D6536D">
            <w:pPr>
              <w:jc w:val="both"/>
              <w:rPr>
                <w:rFonts w:ascii="Times New Roman" w:hAnsi="Times New Roman" w:cs="Times New Roman"/>
              </w:rPr>
            </w:pPr>
          </w:p>
          <w:p w14:paraId="6125D221" w14:textId="77777777" w:rsidR="00BE3FCE" w:rsidRDefault="00BE3FCE" w:rsidP="00D6536D">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color w:val="1F1F1F"/>
              </w:rPr>
              <w:t>Para el efecto, los bienes recibidos serán transferidos a la Central de Inversiones S.A. (CISA), o la entidad que haga sus veces, para su debida comercialización y monetización, extinguiendo la obligación tributaria del beneficiario desde el momento de la entrega material y jurídica del bien al Estado.</w:t>
            </w:r>
          </w:p>
          <w:p w14:paraId="02FB1EF9" w14:textId="77777777" w:rsidR="00BE3FCE" w:rsidRPr="009741AD" w:rsidRDefault="00BE3FCE" w:rsidP="00D6536D">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Parágrafo 1.</w:t>
            </w:r>
            <w:r w:rsidRPr="00C33074">
              <w:rPr>
                <w:rFonts w:ascii="Times New Roman" w:eastAsia="Google Sans" w:hAnsi="Times New Roman" w:cs="Times New Roman"/>
                <w:color w:val="1F1F1F"/>
              </w:rPr>
              <w:t xml:space="preserve"> Por tratarse de recursos de terceros, la reducción sancionatoria operará en los términos descritos, pero en ningún caso se condonará el monto base de capital correspondiente al IVA ni al valor retenido en la fuente. Los bienes entregados en dación en pago pasarán a ser de propiedad de la Nación de acuerdo con la regulación vigente.</w:t>
            </w:r>
          </w:p>
          <w:p w14:paraId="76DFE7E8" w14:textId="77777777" w:rsidR="00BE3FCE" w:rsidRPr="00D20B5E" w:rsidRDefault="00BE3FCE" w:rsidP="00D6536D">
            <w:pPr>
              <w:jc w:val="both"/>
              <w:rPr>
                <w:rFonts w:ascii="Times New Roman" w:hAnsi="Times New Roman" w:cs="Times New Roman"/>
              </w:rPr>
            </w:pPr>
          </w:p>
        </w:tc>
        <w:tc>
          <w:tcPr>
            <w:tcW w:w="2957" w:type="dxa"/>
            <w:tcBorders>
              <w:top w:val="single" w:sz="4" w:space="0" w:color="auto"/>
              <w:left w:val="single" w:sz="4" w:space="0" w:color="auto"/>
              <w:bottom w:val="single" w:sz="4" w:space="0" w:color="auto"/>
              <w:right w:val="single" w:sz="4" w:space="0" w:color="auto"/>
            </w:tcBorders>
            <w:vAlign w:val="center"/>
          </w:tcPr>
          <w:p w14:paraId="06D0AAFE" w14:textId="77777777" w:rsidR="00BE3FCE" w:rsidRDefault="00BE3FCE" w:rsidP="00D6536D">
            <w:pPr>
              <w:spacing w:after="160" w:line="278" w:lineRule="auto"/>
              <w:jc w:val="both"/>
              <w:rPr>
                <w:rFonts w:ascii="Times New Roman" w:hAnsi="Times New Roman" w:cs="Times New Roman"/>
              </w:rPr>
            </w:pPr>
            <w:r w:rsidRPr="00D20B5E">
              <w:rPr>
                <w:rFonts w:ascii="Times New Roman" w:hAnsi="Times New Roman" w:cs="Times New Roman"/>
              </w:rPr>
              <w:lastRenderedPageBreak/>
              <w:t>Se elimina la figura de "dación necesaria" absoluta, introduciendo el saneamiento previo como requisito sine qua non. Además, se soluciona el problema de la administración de los bienes al vincular a CISA (entidad especializada del Estado en gestión de activos), blindando a la DIAN de cargas operativas ajenas a su misionalidad.</w:t>
            </w:r>
          </w:p>
          <w:p w14:paraId="0E3C987C" w14:textId="77777777" w:rsidR="00BE3FCE" w:rsidRDefault="00BE3FCE" w:rsidP="00D6536D">
            <w:pPr>
              <w:spacing w:after="160" w:line="278" w:lineRule="auto"/>
              <w:jc w:val="both"/>
              <w:rPr>
                <w:rFonts w:ascii="Times New Roman" w:eastAsia="Google Sans" w:hAnsi="Times New Roman" w:cs="Times New Roman"/>
                <w:color w:val="1F1F1F"/>
              </w:rPr>
            </w:pPr>
            <w:r w:rsidRPr="00C33074">
              <w:rPr>
                <w:rFonts w:ascii="Times New Roman" w:eastAsia="Google Sans" w:hAnsi="Times New Roman" w:cs="Times New Roman"/>
                <w:color w:val="1F1F1F"/>
              </w:rPr>
              <w:t>Se ratifica la observancia ineludible de la Ley 1673 de 2013 para el RAA, blindando la tasación de activos del Estado</w:t>
            </w:r>
            <w:r>
              <w:rPr>
                <w:rFonts w:ascii="Times New Roman" w:eastAsia="Google Sans" w:hAnsi="Times New Roman" w:cs="Times New Roman"/>
                <w:color w:val="1F1F1F"/>
              </w:rPr>
              <w:t>.</w:t>
            </w:r>
          </w:p>
          <w:p w14:paraId="45B28817" w14:textId="77777777" w:rsidR="00BE3FCE" w:rsidRPr="00D20B5E" w:rsidRDefault="00BE3FCE" w:rsidP="00D6536D">
            <w:pPr>
              <w:spacing w:after="160" w:line="278" w:lineRule="auto"/>
              <w:jc w:val="both"/>
              <w:rPr>
                <w:rFonts w:ascii="Times New Roman" w:hAnsi="Times New Roman" w:cs="Times New Roman"/>
              </w:rPr>
            </w:pPr>
          </w:p>
          <w:p w14:paraId="6D1BB94A" w14:textId="77777777" w:rsidR="00BE3FCE" w:rsidRPr="00C33074" w:rsidRDefault="00BE3FCE" w:rsidP="00D6536D">
            <w:pPr>
              <w:spacing w:after="160" w:line="278" w:lineRule="auto"/>
              <w:jc w:val="both"/>
              <w:rPr>
                <w:rFonts w:ascii="Times New Roman" w:hAnsi="Times New Roman" w:cs="Times New Roman"/>
              </w:rPr>
            </w:pPr>
          </w:p>
        </w:tc>
      </w:tr>
      <w:tr w:rsidR="00BE3FCE" w:rsidRPr="00C33074" w14:paraId="09CAAB58"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2AA012D9"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7°.</w:t>
            </w:r>
            <w:r w:rsidRPr="00C33074">
              <w:rPr>
                <w:rFonts w:ascii="Times New Roman" w:hAnsi="Times New Roman" w:cs="Times New Roman"/>
                <w:lang w:val="es-419"/>
              </w:rPr>
              <w:t xml:space="preserve"> Adiciónese el artículo 152E al capítulo X del título IV de la Ley 1448 de 2011, el cual quedará así:</w:t>
            </w:r>
          </w:p>
          <w:p w14:paraId="59FFDE1B"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b/>
                <w:bCs/>
                <w:lang w:val="es-419"/>
              </w:rPr>
              <w:t>Artículo 152E</w:t>
            </w:r>
            <w:r w:rsidRPr="00C33074">
              <w:rPr>
                <w:rFonts w:ascii="Times New Roman" w:hAnsi="Times New Roman" w:cs="Times New Roman"/>
                <w:lang w:val="es-419"/>
              </w:rPr>
              <w:t xml:space="preserve">. Garantía de los beneficios frente al </w:t>
            </w:r>
            <w:r w:rsidRPr="00C33074">
              <w:rPr>
                <w:rFonts w:ascii="Times New Roman" w:hAnsi="Times New Roman" w:cs="Times New Roman"/>
                <w:lang w:val="es-419"/>
              </w:rPr>
              <w:lastRenderedPageBreak/>
              <w:t>incumplimiento. Los acuerdos de pago celebrados bajo el amparo de esta ley conservarán integralmente los beneficios reconocidos, incluso si el beneficiario incurre en mora o incumple alguna de sus obligaciones. En todo caso, prevalecerán las reglas especiales previstas en la presente ley sobre las disposiciones generales del Estatuto Tributario.</w:t>
            </w:r>
          </w:p>
        </w:tc>
        <w:tc>
          <w:tcPr>
            <w:tcW w:w="2942" w:type="dxa"/>
            <w:tcBorders>
              <w:top w:val="single" w:sz="4" w:space="0" w:color="auto"/>
              <w:left w:val="single" w:sz="4" w:space="0" w:color="auto"/>
              <w:bottom w:val="single" w:sz="4" w:space="0" w:color="auto"/>
              <w:right w:val="single" w:sz="4" w:space="0" w:color="auto"/>
            </w:tcBorders>
            <w:vAlign w:val="center"/>
          </w:tcPr>
          <w:p w14:paraId="47F89264"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7°.</w:t>
            </w:r>
            <w:r w:rsidRPr="00C33074">
              <w:rPr>
                <w:rFonts w:ascii="Times New Roman" w:hAnsi="Times New Roman" w:cs="Times New Roman"/>
                <w:lang w:val="es-419"/>
              </w:rPr>
              <w:t xml:space="preserve"> Adiciónese el artículo 152E al capítulo X del título IV de la Ley 1448 de 2011, el cual quedará así:</w:t>
            </w:r>
          </w:p>
          <w:p w14:paraId="2614E557" w14:textId="77777777" w:rsidR="00BE3FCE" w:rsidRPr="00FA21F9" w:rsidRDefault="00BE3FCE" w:rsidP="00D6536D">
            <w:pPr>
              <w:spacing w:after="160" w:line="278" w:lineRule="auto"/>
              <w:jc w:val="both"/>
              <w:rPr>
                <w:rFonts w:ascii="Times New Roman" w:hAnsi="Times New Roman" w:cs="Times New Roman"/>
              </w:rPr>
            </w:pPr>
            <w:r w:rsidRPr="00FA21F9">
              <w:rPr>
                <w:rFonts w:ascii="Times New Roman" w:hAnsi="Times New Roman" w:cs="Times New Roman"/>
                <w:b/>
                <w:bCs/>
              </w:rPr>
              <w:t xml:space="preserve">Artículo 152E. Condicionalidad de los </w:t>
            </w:r>
            <w:r w:rsidRPr="00FA21F9">
              <w:rPr>
                <w:rFonts w:ascii="Times New Roman" w:hAnsi="Times New Roman" w:cs="Times New Roman"/>
                <w:b/>
                <w:bCs/>
              </w:rPr>
              <w:lastRenderedPageBreak/>
              <w:t>beneficios y renegociación.</w:t>
            </w:r>
            <w:r w:rsidRPr="00FA21F9">
              <w:rPr>
                <w:rFonts w:ascii="Times New Roman" w:hAnsi="Times New Roman" w:cs="Times New Roman"/>
              </w:rPr>
              <w:t xml:space="preserve"> El mantenimiento de las reducciones tarifarias y las facilidades otorgadas al amparo de esta ley estará estrictamente condicionado al cumplimiento del acuerdo de pago suscrito con la DIAN.</w:t>
            </w:r>
          </w:p>
          <w:p w14:paraId="0AAEFA5F" w14:textId="77777777" w:rsidR="00BE3FCE" w:rsidRPr="00FA21F9" w:rsidRDefault="00BE3FCE" w:rsidP="00D6536D">
            <w:pPr>
              <w:spacing w:after="160" w:line="278" w:lineRule="auto"/>
              <w:jc w:val="both"/>
              <w:rPr>
                <w:rFonts w:ascii="Times New Roman" w:hAnsi="Times New Roman" w:cs="Times New Roman"/>
              </w:rPr>
            </w:pPr>
            <w:r w:rsidRPr="00FA21F9">
              <w:rPr>
                <w:rFonts w:ascii="Times New Roman" w:hAnsi="Times New Roman" w:cs="Times New Roman"/>
              </w:rPr>
              <w:t xml:space="preserve">No obstante, frente a un eventual incumplimiento, y por una única vez, el Sujeto de Reparación Colectiva podrá solicitar la renegociación de los plazos y condiciones, demostrando sumariamente que la mora obedece a factores sobrevinientes de fuerza mayor ligados a su situación de vulnerabilidad o a retrasos en la ejecución del Plan Integral de Reparación Colectiva (PIRC). De persistir el incumplimiento de forma injustificada, la DIAN declarará el decaimiento del acuerdo, perdiendo el beneficiario los alivios concedidos, y se procederá al cobro coactivo de los saldos insolutos, restituyendo los intereses y sanciones a las tasas </w:t>
            </w:r>
            <w:r w:rsidRPr="00FA21F9">
              <w:rPr>
                <w:rFonts w:ascii="Times New Roman" w:hAnsi="Times New Roman" w:cs="Times New Roman"/>
              </w:rPr>
              <w:lastRenderedPageBreak/>
              <w:t>ordinarias del Estatuto Tributario.</w:t>
            </w:r>
          </w:p>
          <w:p w14:paraId="75C7D817" w14:textId="77777777" w:rsidR="00BE3FCE" w:rsidRPr="00FA21F9" w:rsidRDefault="00BE3FCE" w:rsidP="00D6536D">
            <w:pPr>
              <w:spacing w:after="160" w:line="278" w:lineRule="auto"/>
              <w:jc w:val="both"/>
              <w:rPr>
                <w:rFonts w:ascii="Times New Roman" w:hAnsi="Times New Roman" w:cs="Times New Roman"/>
              </w:rPr>
            </w:pPr>
          </w:p>
        </w:tc>
        <w:tc>
          <w:tcPr>
            <w:tcW w:w="2957" w:type="dxa"/>
            <w:tcBorders>
              <w:top w:val="single" w:sz="4" w:space="0" w:color="auto"/>
              <w:left w:val="single" w:sz="4" w:space="0" w:color="auto"/>
              <w:bottom w:val="single" w:sz="4" w:space="0" w:color="auto"/>
              <w:right w:val="single" w:sz="4" w:space="0" w:color="auto"/>
            </w:tcBorders>
            <w:vAlign w:val="center"/>
          </w:tcPr>
          <w:p w14:paraId="0EB9D26F" w14:textId="77777777" w:rsidR="00BE3FCE" w:rsidRPr="00C33074" w:rsidRDefault="00BE3FCE" w:rsidP="00D6536D">
            <w:pPr>
              <w:spacing w:after="160" w:line="278" w:lineRule="auto"/>
              <w:jc w:val="both"/>
              <w:rPr>
                <w:rFonts w:ascii="Times New Roman" w:hAnsi="Times New Roman" w:cs="Times New Roman"/>
              </w:rPr>
            </w:pPr>
            <w:r w:rsidRPr="00FA21F9">
              <w:rPr>
                <w:rFonts w:ascii="Times New Roman" w:hAnsi="Times New Roman" w:cs="Times New Roman"/>
              </w:rPr>
              <w:lastRenderedPageBreak/>
              <w:t xml:space="preserve">Se restablece la naturaleza sinalagmática del acuerdo de pago. Se otorga una válvula de escape transicional (permitir una renegociación por fuerza mayor), pero se </w:t>
            </w:r>
            <w:r w:rsidRPr="00FA21F9">
              <w:rPr>
                <w:rFonts w:ascii="Times New Roman" w:hAnsi="Times New Roman" w:cs="Times New Roman"/>
              </w:rPr>
              <w:lastRenderedPageBreak/>
              <w:t>mantiene la coacción legítima del Estado si hay renuencia injustificada al pago.</w:t>
            </w:r>
          </w:p>
        </w:tc>
      </w:tr>
      <w:tr w:rsidR="00BE3FCE" w:rsidRPr="00C33074" w14:paraId="78179534"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3F1BF93B"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8°.</w:t>
            </w:r>
            <w:r w:rsidRPr="00C33074">
              <w:rPr>
                <w:rFonts w:ascii="Times New Roman" w:hAnsi="Times New Roman" w:cs="Times New Roman"/>
                <w:lang w:val="es-419"/>
              </w:rPr>
              <w:t xml:space="preserve"> Adiciónese el artículo 152F al capítulo X del título IV de la Ley 1448 de 2011, el cual quedará así:</w:t>
            </w:r>
          </w:p>
          <w:p w14:paraId="2F3510FF"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152F.</w:t>
            </w:r>
            <w:r w:rsidRPr="00C33074">
              <w:rPr>
                <w:rFonts w:ascii="Times New Roman" w:hAnsi="Times New Roman" w:cs="Times New Roman"/>
                <w:lang w:val="es-419"/>
              </w:rPr>
              <w:t xml:space="preserve"> Procedimiento simplificado. Para ser beneficiario de las medidas contempladas en la presente ley, bastará con la acreditación del Sujeto de Reparación Colectiva en el Registro Único de Víctimas de la UARIV y su registro ante la DIAN. El representante legal de la persona jurídica solicitará a la entidad la aplicación de las medidas y adjuntará los documentos que certifiquen su condición de víctima y persona jurídica sujeta a registro tributario. La entidad mediante acto administrativo particular decidirá sobre la procedencia de la aplicación de las medidas de acuerdo con la reglamentación vigente. La DIAN y la UARIV reglamentarán el procedimiento simplificado para su aplicación en un </w:t>
            </w:r>
            <w:r w:rsidRPr="00C33074">
              <w:rPr>
                <w:rFonts w:ascii="Times New Roman" w:hAnsi="Times New Roman" w:cs="Times New Roman"/>
                <w:lang w:val="es-419"/>
              </w:rPr>
              <w:lastRenderedPageBreak/>
              <w:t>plazo no mayor a (120) días contados a partir de la entrada en vigor de la presente ley.</w:t>
            </w:r>
          </w:p>
          <w:p w14:paraId="21D9C1D5"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lang w:val="es-419"/>
              </w:rPr>
              <w:t xml:space="preserve">Será de obligatoria observancia la aplicación de un enfoque de flexibilidad administrativa y acompañamiento técnico a los sujetos beneficiarios, en concordancia con el principio </w:t>
            </w:r>
            <w:proofErr w:type="spellStart"/>
            <w:r w:rsidRPr="00C33074">
              <w:rPr>
                <w:rFonts w:ascii="Times New Roman" w:hAnsi="Times New Roman" w:cs="Times New Roman"/>
                <w:lang w:val="es-419"/>
              </w:rPr>
              <w:t>pro-víctima</w:t>
            </w:r>
            <w:proofErr w:type="spellEnd"/>
            <w:r w:rsidRPr="00C33074">
              <w:rPr>
                <w:rFonts w:ascii="Times New Roman" w:hAnsi="Times New Roman" w:cs="Times New Roman"/>
                <w:lang w:val="es-419"/>
              </w:rPr>
              <w:t>. Se garantizará que los trámites sean simplificados, flexibles y ajustados al carácter reparador de las medidas.</w:t>
            </w:r>
          </w:p>
        </w:tc>
        <w:tc>
          <w:tcPr>
            <w:tcW w:w="2942" w:type="dxa"/>
            <w:tcBorders>
              <w:top w:val="single" w:sz="4" w:space="0" w:color="auto"/>
              <w:left w:val="single" w:sz="4" w:space="0" w:color="auto"/>
              <w:bottom w:val="single" w:sz="4" w:space="0" w:color="auto"/>
              <w:right w:val="single" w:sz="4" w:space="0" w:color="auto"/>
            </w:tcBorders>
            <w:vAlign w:val="center"/>
          </w:tcPr>
          <w:p w14:paraId="39EDCEE3"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8°.</w:t>
            </w:r>
            <w:r w:rsidRPr="00C33074">
              <w:rPr>
                <w:rFonts w:ascii="Times New Roman" w:hAnsi="Times New Roman" w:cs="Times New Roman"/>
                <w:lang w:val="es-419"/>
              </w:rPr>
              <w:t xml:space="preserve"> Adiciónese el artículo 152F al capítulo X del título IV de la Ley 1448 de 2011, el cual quedará así:</w:t>
            </w:r>
          </w:p>
          <w:p w14:paraId="7326B161"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t>Artículo 152F.</w:t>
            </w:r>
            <w:r w:rsidRPr="00C33074">
              <w:rPr>
                <w:rFonts w:ascii="Times New Roman" w:hAnsi="Times New Roman" w:cs="Times New Roman"/>
                <w:lang w:val="es-419"/>
              </w:rPr>
              <w:t xml:space="preserve"> Procedimiento simplificado. Para ser beneficiario de las medidas contempladas en la presente ley, bastará con la acreditación del Sujeto de Reparación Colectiva en el Registro Único de Víctimas de la UARIV y su registro ante la DIAN. El representante legal de la persona jurídica solicitará a la entidad la aplicación de las medidas y adjuntará los documentos que certifiquen su condición de víctima y persona jurídica sujeta a registro tributario. La entidad mediante acto administrativo particular decidirá sobre la procedencia de la aplicación de las medidas de acuerdo con la reglamentación vigente. </w:t>
            </w:r>
            <w:r w:rsidRPr="00C33074">
              <w:rPr>
                <w:rFonts w:ascii="Times New Roman" w:eastAsia="Google Sans" w:hAnsi="Times New Roman" w:cs="Times New Roman"/>
                <w:color w:val="1F1F1F"/>
              </w:rPr>
              <w:t xml:space="preserve">La DIAN, en estricta coordinación técnica con la UARIV, expedirá la reglamentación del </w:t>
            </w:r>
            <w:r w:rsidRPr="00C33074">
              <w:rPr>
                <w:rFonts w:ascii="Times New Roman" w:eastAsia="Google Sans" w:hAnsi="Times New Roman" w:cs="Times New Roman"/>
                <w:color w:val="1F1F1F"/>
              </w:rPr>
              <w:lastRenderedPageBreak/>
              <w:t>procedimiento simplificado, la interoperabilidad de bases de datos y la suspensión de medidas cautelares de cobro coactivo, en un plazo máximo e improrrogable de ciento veinte (120) días hábiles contados a partir de la sanción y promulgación de la presente ley.</w:t>
            </w:r>
          </w:p>
          <w:p w14:paraId="2E6FCB0E" w14:textId="77777777" w:rsidR="00BE3FCE"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lang w:val="es-419"/>
              </w:rPr>
              <w:t xml:space="preserve">Será de obligatoria observancia la aplicación de un enfoque de flexibilidad administrativa y acompañamiento técnico a los sujetos beneficiarios, en concordancia con el principio </w:t>
            </w:r>
            <w:proofErr w:type="spellStart"/>
            <w:r w:rsidRPr="00C33074">
              <w:rPr>
                <w:rFonts w:ascii="Times New Roman" w:hAnsi="Times New Roman" w:cs="Times New Roman"/>
                <w:lang w:val="es-419"/>
              </w:rPr>
              <w:t>pro-víctima</w:t>
            </w:r>
            <w:proofErr w:type="spellEnd"/>
            <w:r w:rsidRPr="00C33074">
              <w:rPr>
                <w:rFonts w:ascii="Times New Roman" w:hAnsi="Times New Roman" w:cs="Times New Roman"/>
                <w:lang w:val="es-419"/>
              </w:rPr>
              <w:t>. Se garantizará que los trámites sean simplificados, flexibles y ajustados al carácter reparador de las medidas.</w:t>
            </w:r>
          </w:p>
          <w:p w14:paraId="11CD9275" w14:textId="77777777" w:rsidR="00BE3FCE" w:rsidRPr="00FA21F9" w:rsidRDefault="00BE3FCE" w:rsidP="00D6536D">
            <w:pPr>
              <w:jc w:val="both"/>
              <w:rPr>
                <w:rFonts w:ascii="Times New Roman" w:hAnsi="Times New Roman" w:cs="Times New Roman"/>
              </w:rPr>
            </w:pPr>
            <w:r w:rsidRPr="00FA21F9">
              <w:rPr>
                <w:rFonts w:ascii="Times New Roman" w:hAnsi="Times New Roman" w:cs="Times New Roman"/>
              </w:rPr>
              <w:t xml:space="preserve">Parágrafo 1. Presunción de causalidad. Para efectos de demostrar que el incumplimiento tributario fue ocasionado o agravado por los daños derivados del conflicto armado (en los términos del artículo 152B), bastará con la presentación de una declaración juramentada por parte del representante legal del Sujeto de Reparación Colectiva, la cual gozará de </w:t>
            </w:r>
            <w:r w:rsidRPr="00FA21F9">
              <w:rPr>
                <w:rFonts w:ascii="Times New Roman" w:hAnsi="Times New Roman" w:cs="Times New Roman"/>
              </w:rPr>
              <w:lastRenderedPageBreak/>
              <w:t>presunción de veracidad (presunción iuris tantum). &gt;</w:t>
            </w:r>
          </w:p>
          <w:p w14:paraId="16785917" w14:textId="77777777" w:rsidR="00BE3FCE" w:rsidRPr="00C33074" w:rsidRDefault="00BE3FCE" w:rsidP="00D6536D">
            <w:pPr>
              <w:spacing w:after="160" w:line="278" w:lineRule="auto"/>
              <w:jc w:val="both"/>
              <w:rPr>
                <w:rFonts w:ascii="Times New Roman" w:hAnsi="Times New Roman" w:cs="Times New Roman"/>
              </w:rPr>
            </w:pPr>
            <w:r w:rsidRPr="00FA21F9">
              <w:rPr>
                <w:rFonts w:ascii="Times New Roman" w:hAnsi="Times New Roman" w:cs="Times New Roman"/>
              </w:rPr>
              <w:t xml:space="preserve">La DIAN, en ejercicio de sus facultades de fiscalización, podrá desvirtuar dicha presunción únicamente si demuestra fehacientemente, mediante acto administrativo motivado, que la mora fiscal obedeció a maniobras dolosas de elusión, evasión fiscal o enriquecimiento ilícito, completamente ajenas al hecho </w:t>
            </w:r>
            <w:proofErr w:type="spellStart"/>
            <w:r w:rsidRPr="00FA21F9">
              <w:rPr>
                <w:rFonts w:ascii="Times New Roman" w:hAnsi="Times New Roman" w:cs="Times New Roman"/>
              </w:rPr>
              <w:t>victimizante</w:t>
            </w:r>
            <w:proofErr w:type="spellEnd"/>
            <w:r w:rsidRPr="00FA21F9">
              <w:rPr>
                <w:rFonts w:ascii="Times New Roman" w:hAnsi="Times New Roman" w:cs="Times New Roman"/>
              </w:rPr>
              <w:t>.</w:t>
            </w:r>
          </w:p>
        </w:tc>
        <w:tc>
          <w:tcPr>
            <w:tcW w:w="2957" w:type="dxa"/>
            <w:tcBorders>
              <w:top w:val="single" w:sz="4" w:space="0" w:color="auto"/>
              <w:left w:val="single" w:sz="4" w:space="0" w:color="auto"/>
              <w:bottom w:val="single" w:sz="4" w:space="0" w:color="auto"/>
              <w:right w:val="single" w:sz="4" w:space="0" w:color="auto"/>
            </w:tcBorders>
            <w:vAlign w:val="center"/>
          </w:tcPr>
          <w:p w14:paraId="21FE7EE1" w14:textId="77777777" w:rsidR="00BE3FCE" w:rsidRDefault="00BE3FCE" w:rsidP="00D6536D">
            <w:pPr>
              <w:spacing w:after="160" w:line="278" w:lineRule="auto"/>
              <w:jc w:val="both"/>
              <w:rPr>
                <w:rFonts w:ascii="Times New Roman" w:eastAsia="Google Sans" w:hAnsi="Times New Roman" w:cs="Times New Roman"/>
                <w:color w:val="1F1F1F"/>
              </w:rPr>
            </w:pPr>
            <w:r w:rsidRPr="00C33074">
              <w:rPr>
                <w:rFonts w:ascii="Times New Roman" w:eastAsia="Google Sans" w:hAnsi="Times New Roman" w:cs="Times New Roman"/>
                <w:color w:val="1F1F1F"/>
              </w:rPr>
              <w:lastRenderedPageBreak/>
              <w:t>Se detalla que la reglamentación del ejecutivo debe incluir obligatoriamente la "interoperabilidad de bases de datos" (eliminando exigencias documentales inoficiosas a la víctima) y la imperiosa necesidad de reglamentar la "suspensión de medidas cautelares". Si las cuentas siguen embargadas mientras se tramita la solicitud, el alivio resulta inane; la supervivencia de la organización social depende del descongelamiento de sus recursos</w:t>
            </w:r>
            <w:r>
              <w:rPr>
                <w:rFonts w:ascii="Times New Roman" w:eastAsia="Google Sans" w:hAnsi="Times New Roman" w:cs="Times New Roman"/>
                <w:color w:val="1F1F1F"/>
              </w:rPr>
              <w:t>.</w:t>
            </w:r>
          </w:p>
          <w:p w14:paraId="3B564811" w14:textId="77777777" w:rsidR="00BE3FCE" w:rsidRPr="00C33074" w:rsidRDefault="00BE3FCE" w:rsidP="00D6536D">
            <w:pPr>
              <w:spacing w:after="160" w:line="278" w:lineRule="auto"/>
              <w:jc w:val="both"/>
              <w:rPr>
                <w:rFonts w:ascii="Times New Roman" w:hAnsi="Times New Roman" w:cs="Times New Roman"/>
              </w:rPr>
            </w:pPr>
            <w:r>
              <w:rPr>
                <w:rFonts w:ascii="Times New Roman" w:hAnsi="Times New Roman" w:cs="Times New Roman"/>
              </w:rPr>
              <w:t>C</w:t>
            </w:r>
            <w:r w:rsidRPr="00FA21F9">
              <w:rPr>
                <w:rFonts w:ascii="Times New Roman" w:hAnsi="Times New Roman" w:cs="Times New Roman"/>
              </w:rPr>
              <w:t>rea un estándar probatorio claro. Libera a la víctima de la carga de probar lo imposible</w:t>
            </w:r>
            <w:r>
              <w:rPr>
                <w:rFonts w:ascii="Times New Roman" w:hAnsi="Times New Roman" w:cs="Times New Roman"/>
              </w:rPr>
              <w:t xml:space="preserve">, </w:t>
            </w:r>
            <w:r w:rsidRPr="00FA21F9">
              <w:rPr>
                <w:rFonts w:ascii="Times New Roman" w:hAnsi="Times New Roman" w:cs="Times New Roman"/>
              </w:rPr>
              <w:t xml:space="preserve">aplicando una presunción </w:t>
            </w:r>
            <w:r w:rsidRPr="00FA21F9">
              <w:rPr>
                <w:rFonts w:ascii="Times New Roman" w:hAnsi="Times New Roman" w:cs="Times New Roman"/>
                <w:i/>
                <w:iCs/>
              </w:rPr>
              <w:t>iuris tantum</w:t>
            </w:r>
            <w:r w:rsidRPr="00FA21F9">
              <w:rPr>
                <w:rFonts w:ascii="Times New Roman" w:hAnsi="Times New Roman" w:cs="Times New Roman"/>
              </w:rPr>
              <w:t>. Simultáneamente, reserva a la DIAN su poder de fiscalización para perseguir el fraude evidente.</w:t>
            </w:r>
          </w:p>
        </w:tc>
      </w:tr>
      <w:tr w:rsidR="00BE3FCE" w:rsidRPr="00C33074" w14:paraId="2CA4B0F4" w14:textId="77777777" w:rsidTr="00D6536D">
        <w:tc>
          <w:tcPr>
            <w:tcW w:w="2929" w:type="dxa"/>
            <w:tcBorders>
              <w:top w:val="single" w:sz="4" w:space="0" w:color="auto"/>
              <w:left w:val="single" w:sz="4" w:space="0" w:color="auto"/>
              <w:bottom w:val="single" w:sz="4" w:space="0" w:color="auto"/>
              <w:right w:val="single" w:sz="4" w:space="0" w:color="auto"/>
            </w:tcBorders>
            <w:vAlign w:val="center"/>
            <w:hideMark/>
          </w:tcPr>
          <w:p w14:paraId="3BC3F4B6" w14:textId="77777777" w:rsidR="00BE3FCE" w:rsidRPr="00C33074" w:rsidRDefault="00BE3FCE" w:rsidP="00D6536D">
            <w:pPr>
              <w:spacing w:after="160" w:line="278" w:lineRule="auto"/>
              <w:jc w:val="both"/>
              <w:rPr>
                <w:rFonts w:ascii="Times New Roman" w:hAnsi="Times New Roman" w:cs="Times New Roman"/>
                <w:lang w:val="es-419"/>
              </w:rPr>
            </w:pPr>
            <w:r w:rsidRPr="00C33074">
              <w:rPr>
                <w:rFonts w:ascii="Times New Roman" w:hAnsi="Times New Roman" w:cs="Times New Roman"/>
                <w:b/>
                <w:bCs/>
                <w:lang w:val="es-419"/>
              </w:rPr>
              <w:lastRenderedPageBreak/>
              <w:t>Artículo 9°.</w:t>
            </w:r>
            <w:r w:rsidRPr="00C33074">
              <w:rPr>
                <w:rFonts w:ascii="Times New Roman" w:hAnsi="Times New Roman" w:cs="Times New Roman"/>
                <w:lang w:val="es-419"/>
              </w:rPr>
              <w:t xml:space="preserve"> Adiciónese el artículo 152G al capítulo X del título IV de la Ley 1448 de 2011, el cual quedará así:</w:t>
            </w:r>
          </w:p>
          <w:p w14:paraId="678FB7AA" w14:textId="77777777" w:rsidR="00BE3FCE" w:rsidRPr="00C33074" w:rsidRDefault="00BE3FCE" w:rsidP="00D6536D">
            <w:pPr>
              <w:spacing w:after="160" w:line="278" w:lineRule="auto"/>
              <w:jc w:val="both"/>
              <w:rPr>
                <w:rFonts w:ascii="Times New Roman" w:hAnsi="Times New Roman" w:cs="Times New Roman"/>
              </w:rPr>
            </w:pPr>
            <w:r w:rsidRPr="00C33074">
              <w:rPr>
                <w:rFonts w:ascii="Times New Roman" w:hAnsi="Times New Roman" w:cs="Times New Roman"/>
                <w:lang w:val="es-419"/>
              </w:rPr>
              <w:t>Artículo 152G. Vigencia de las medidas. Las medidas establecidas en la presente Ley podrán solicitarse desde su entrada en vigor y hasta la vigencia señalada en el artículo 208 de la Ley 2078 de 2021. En todo caso, prevalecerán las reglas especiales previstas en la presente ley sobre las disposiciones del Decreto 624 de 1989.</w:t>
            </w:r>
          </w:p>
        </w:tc>
        <w:tc>
          <w:tcPr>
            <w:tcW w:w="2942" w:type="dxa"/>
            <w:tcBorders>
              <w:top w:val="single" w:sz="4" w:space="0" w:color="auto"/>
              <w:left w:val="single" w:sz="4" w:space="0" w:color="auto"/>
              <w:bottom w:val="single" w:sz="4" w:space="0" w:color="auto"/>
              <w:right w:val="single" w:sz="4" w:space="0" w:color="auto"/>
            </w:tcBorders>
            <w:vAlign w:val="center"/>
          </w:tcPr>
          <w:p w14:paraId="0F85F4E3" w14:textId="77777777" w:rsidR="00BE3FCE" w:rsidRPr="00C33074" w:rsidRDefault="00BE3FCE" w:rsidP="00D6536D">
            <w:pPr>
              <w:spacing w:after="160" w:line="278" w:lineRule="auto"/>
              <w:jc w:val="both"/>
              <w:rPr>
                <w:rFonts w:ascii="Times New Roman" w:hAnsi="Times New Roman" w:cs="Times New Roman"/>
              </w:rPr>
            </w:pPr>
          </w:p>
        </w:tc>
        <w:tc>
          <w:tcPr>
            <w:tcW w:w="2957" w:type="dxa"/>
            <w:tcBorders>
              <w:top w:val="single" w:sz="4" w:space="0" w:color="auto"/>
              <w:left w:val="single" w:sz="4" w:space="0" w:color="auto"/>
              <w:bottom w:val="single" w:sz="4" w:space="0" w:color="auto"/>
              <w:right w:val="single" w:sz="4" w:space="0" w:color="auto"/>
            </w:tcBorders>
            <w:vAlign w:val="center"/>
          </w:tcPr>
          <w:p w14:paraId="2110732C" w14:textId="77777777" w:rsidR="00BE3FCE" w:rsidRDefault="00BE3FCE" w:rsidP="00D6536D">
            <w:pPr>
              <w:spacing w:after="160" w:line="278" w:lineRule="auto"/>
              <w:jc w:val="both"/>
              <w:rPr>
                <w:rFonts w:ascii="Times New Roman" w:hAnsi="Times New Roman" w:cs="Times New Roman"/>
              </w:rPr>
            </w:pPr>
          </w:p>
          <w:p w14:paraId="0F1F1623" w14:textId="77777777" w:rsidR="00BE3FCE" w:rsidRDefault="00BE3FCE" w:rsidP="00D6536D">
            <w:pPr>
              <w:spacing w:after="160" w:line="278" w:lineRule="auto"/>
              <w:jc w:val="both"/>
              <w:rPr>
                <w:rFonts w:ascii="Times New Roman" w:hAnsi="Times New Roman" w:cs="Times New Roman"/>
              </w:rPr>
            </w:pPr>
          </w:p>
          <w:p w14:paraId="36A0E434" w14:textId="77777777" w:rsidR="00BE3FCE" w:rsidRDefault="00BE3FCE" w:rsidP="00D6536D">
            <w:pPr>
              <w:spacing w:after="160" w:line="278" w:lineRule="auto"/>
              <w:jc w:val="both"/>
              <w:rPr>
                <w:rFonts w:ascii="Times New Roman" w:hAnsi="Times New Roman" w:cs="Times New Roman"/>
              </w:rPr>
            </w:pPr>
          </w:p>
          <w:p w14:paraId="555F6E2A" w14:textId="77777777" w:rsidR="00BE3FCE" w:rsidRDefault="00BE3FCE" w:rsidP="00D6536D">
            <w:pPr>
              <w:spacing w:after="160" w:line="278" w:lineRule="auto"/>
              <w:jc w:val="both"/>
              <w:rPr>
                <w:rFonts w:ascii="Times New Roman" w:hAnsi="Times New Roman" w:cs="Times New Roman"/>
              </w:rPr>
            </w:pPr>
          </w:p>
          <w:p w14:paraId="491221D7" w14:textId="77777777" w:rsidR="00BE3FCE" w:rsidRDefault="00BE3FCE" w:rsidP="00D6536D">
            <w:pPr>
              <w:spacing w:after="160" w:line="278" w:lineRule="auto"/>
              <w:jc w:val="both"/>
              <w:rPr>
                <w:rFonts w:ascii="Times New Roman" w:hAnsi="Times New Roman" w:cs="Times New Roman"/>
              </w:rPr>
            </w:pPr>
          </w:p>
          <w:p w14:paraId="57A9141D" w14:textId="77777777" w:rsidR="00BE3FCE" w:rsidRDefault="00BE3FCE" w:rsidP="00D6536D">
            <w:pPr>
              <w:spacing w:after="160" w:line="278" w:lineRule="auto"/>
              <w:jc w:val="both"/>
              <w:rPr>
                <w:rFonts w:ascii="Times New Roman" w:hAnsi="Times New Roman" w:cs="Times New Roman"/>
              </w:rPr>
            </w:pPr>
          </w:p>
          <w:p w14:paraId="0C7582AA" w14:textId="77777777" w:rsidR="00BE3FCE" w:rsidRDefault="00BE3FCE" w:rsidP="00D6536D">
            <w:pPr>
              <w:spacing w:after="160" w:line="278" w:lineRule="auto"/>
              <w:jc w:val="both"/>
              <w:rPr>
                <w:rFonts w:ascii="Times New Roman" w:hAnsi="Times New Roman" w:cs="Times New Roman"/>
              </w:rPr>
            </w:pPr>
          </w:p>
          <w:p w14:paraId="13227D57" w14:textId="77777777" w:rsidR="00BE3FCE" w:rsidRDefault="00BE3FCE" w:rsidP="00D6536D">
            <w:pPr>
              <w:spacing w:after="160" w:line="278" w:lineRule="auto"/>
              <w:jc w:val="both"/>
              <w:rPr>
                <w:rFonts w:ascii="Times New Roman" w:hAnsi="Times New Roman" w:cs="Times New Roman"/>
              </w:rPr>
            </w:pPr>
          </w:p>
          <w:p w14:paraId="2D2F3452" w14:textId="77777777" w:rsidR="00BE3FCE" w:rsidRDefault="00BE3FCE" w:rsidP="00D6536D">
            <w:pPr>
              <w:spacing w:after="160" w:line="278" w:lineRule="auto"/>
              <w:jc w:val="both"/>
              <w:rPr>
                <w:rFonts w:ascii="Times New Roman" w:hAnsi="Times New Roman" w:cs="Times New Roman"/>
              </w:rPr>
            </w:pPr>
          </w:p>
          <w:p w14:paraId="06F6ECBC" w14:textId="77777777" w:rsidR="00BE3FCE" w:rsidRDefault="00BE3FCE" w:rsidP="00D6536D">
            <w:pPr>
              <w:spacing w:after="160" w:line="278" w:lineRule="auto"/>
              <w:jc w:val="both"/>
              <w:rPr>
                <w:rFonts w:ascii="Times New Roman" w:hAnsi="Times New Roman" w:cs="Times New Roman"/>
              </w:rPr>
            </w:pPr>
          </w:p>
          <w:p w14:paraId="49E48B96" w14:textId="77777777" w:rsidR="00BE3FCE" w:rsidRDefault="00BE3FCE" w:rsidP="00D6536D">
            <w:pPr>
              <w:spacing w:after="160" w:line="278" w:lineRule="auto"/>
              <w:jc w:val="both"/>
              <w:rPr>
                <w:rFonts w:ascii="Times New Roman" w:hAnsi="Times New Roman" w:cs="Times New Roman"/>
              </w:rPr>
            </w:pPr>
          </w:p>
          <w:p w14:paraId="5FCBE889" w14:textId="77777777" w:rsidR="00BE3FCE" w:rsidRPr="00C33074" w:rsidRDefault="00BE3FCE" w:rsidP="00D6536D">
            <w:pPr>
              <w:spacing w:after="160" w:line="278" w:lineRule="auto"/>
              <w:jc w:val="both"/>
              <w:rPr>
                <w:rFonts w:ascii="Times New Roman" w:hAnsi="Times New Roman" w:cs="Times New Roman"/>
              </w:rPr>
            </w:pPr>
          </w:p>
        </w:tc>
      </w:tr>
      <w:tr w:rsidR="00BE3FCE" w:rsidRPr="00C33074" w14:paraId="7E12FD37" w14:textId="77777777" w:rsidTr="00D6536D">
        <w:tc>
          <w:tcPr>
            <w:tcW w:w="2929" w:type="dxa"/>
            <w:tcBorders>
              <w:top w:val="single" w:sz="4" w:space="0" w:color="auto"/>
              <w:left w:val="single" w:sz="4" w:space="0" w:color="auto"/>
              <w:bottom w:val="single" w:sz="4" w:space="0" w:color="auto"/>
              <w:right w:val="single" w:sz="4" w:space="0" w:color="auto"/>
            </w:tcBorders>
            <w:vAlign w:val="center"/>
          </w:tcPr>
          <w:p w14:paraId="45254AAB" w14:textId="77777777" w:rsidR="00BE3FCE" w:rsidRPr="00C33074" w:rsidRDefault="00BE3FCE" w:rsidP="00D6536D">
            <w:pPr>
              <w:jc w:val="both"/>
              <w:rPr>
                <w:rFonts w:ascii="Times New Roman" w:hAnsi="Times New Roman" w:cs="Times New Roman"/>
                <w:b/>
                <w:bCs/>
                <w:lang w:val="es-419"/>
              </w:rPr>
            </w:pPr>
          </w:p>
        </w:tc>
        <w:tc>
          <w:tcPr>
            <w:tcW w:w="2942" w:type="dxa"/>
            <w:tcBorders>
              <w:top w:val="single" w:sz="4" w:space="0" w:color="auto"/>
              <w:left w:val="single" w:sz="4" w:space="0" w:color="auto"/>
              <w:bottom w:val="single" w:sz="4" w:space="0" w:color="auto"/>
              <w:right w:val="single" w:sz="4" w:space="0" w:color="auto"/>
            </w:tcBorders>
            <w:vAlign w:val="center"/>
          </w:tcPr>
          <w:p w14:paraId="42AE6DA5" w14:textId="77777777" w:rsidR="00BE3FCE" w:rsidRPr="00E976D0" w:rsidRDefault="00BE3FCE" w:rsidP="00D6536D">
            <w:pPr>
              <w:pBdr>
                <w:top w:val="nil"/>
                <w:left w:val="nil"/>
                <w:bottom w:val="nil"/>
                <w:right w:val="nil"/>
                <w:between w:val="nil"/>
              </w:pBdr>
              <w:spacing w:after="255"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Artículo 10°. Vigencia.</w:t>
            </w:r>
            <w:r w:rsidRPr="00C33074">
              <w:rPr>
                <w:rFonts w:ascii="Times New Roman" w:eastAsia="Google Sans" w:hAnsi="Times New Roman" w:cs="Times New Roman"/>
                <w:color w:val="1F1F1F"/>
              </w:rPr>
              <w:t xml:space="preserve"> La presente ley rige a partir de </w:t>
            </w:r>
            <w:r w:rsidRPr="00C33074">
              <w:rPr>
                <w:rFonts w:ascii="Times New Roman" w:eastAsia="Google Sans" w:hAnsi="Times New Roman" w:cs="Times New Roman"/>
                <w:color w:val="1F1F1F"/>
              </w:rPr>
              <w:lastRenderedPageBreak/>
              <w:t>su promulgación en el Diario Oficial.</w:t>
            </w:r>
          </w:p>
        </w:tc>
        <w:tc>
          <w:tcPr>
            <w:tcW w:w="2957" w:type="dxa"/>
            <w:tcBorders>
              <w:top w:val="single" w:sz="4" w:space="0" w:color="auto"/>
              <w:left w:val="single" w:sz="4" w:space="0" w:color="auto"/>
              <w:bottom w:val="single" w:sz="4" w:space="0" w:color="auto"/>
              <w:right w:val="single" w:sz="4" w:space="0" w:color="auto"/>
            </w:tcBorders>
            <w:vAlign w:val="center"/>
          </w:tcPr>
          <w:p w14:paraId="38B11F85" w14:textId="77777777" w:rsidR="00BE3FCE" w:rsidRDefault="00BE3FCE" w:rsidP="00D6536D">
            <w:pPr>
              <w:jc w:val="both"/>
              <w:rPr>
                <w:rFonts w:ascii="Times New Roman" w:hAnsi="Times New Roman" w:cs="Times New Roman"/>
              </w:rPr>
            </w:pPr>
            <w:r>
              <w:rPr>
                <w:rFonts w:ascii="Times New Roman" w:hAnsi="Times New Roman" w:cs="Times New Roman"/>
              </w:rPr>
              <w:lastRenderedPageBreak/>
              <w:t xml:space="preserve">Articulo nuevo. Se agrega para asegurar la vigencia de la Ley. El articulo </w:t>
            </w:r>
            <w:r>
              <w:rPr>
                <w:rFonts w:ascii="Times New Roman" w:hAnsi="Times New Roman" w:cs="Times New Roman"/>
              </w:rPr>
              <w:lastRenderedPageBreak/>
              <w:t>precedente refiere la vigencia de las reglas especiales que creará la futura ley.</w:t>
            </w:r>
          </w:p>
        </w:tc>
      </w:tr>
    </w:tbl>
    <w:p w14:paraId="39892742" w14:textId="77777777" w:rsidR="00BE3FCE" w:rsidRPr="00C33074" w:rsidRDefault="00BE3FCE" w:rsidP="00BE3FCE">
      <w:pPr>
        <w:jc w:val="both"/>
        <w:rPr>
          <w:rFonts w:ascii="Times New Roman" w:hAnsi="Times New Roman" w:cs="Times New Roman"/>
        </w:rPr>
      </w:pPr>
    </w:p>
    <w:p w14:paraId="5DB3E79E" w14:textId="77777777" w:rsidR="00BE3FCE" w:rsidRPr="00C33074" w:rsidRDefault="00BE3FCE" w:rsidP="00BE3FCE">
      <w:pPr>
        <w:pStyle w:val="Prrafodelista"/>
        <w:numPr>
          <w:ilvl w:val="0"/>
          <w:numId w:val="6"/>
        </w:numPr>
        <w:spacing w:after="160" w:line="278" w:lineRule="auto"/>
        <w:jc w:val="both"/>
        <w:rPr>
          <w:rFonts w:ascii="Times New Roman" w:hAnsi="Times New Roman" w:cs="Times New Roman"/>
          <w:b/>
          <w:bCs/>
        </w:rPr>
      </w:pPr>
      <w:r w:rsidRPr="00C33074">
        <w:rPr>
          <w:rFonts w:ascii="Times New Roman" w:hAnsi="Times New Roman" w:cs="Times New Roman"/>
          <w:b/>
          <w:bCs/>
        </w:rPr>
        <w:t xml:space="preserve"> Proposición Final</w:t>
      </w:r>
    </w:p>
    <w:p w14:paraId="59C96DAA"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color w:val="1F1F1F"/>
        </w:rPr>
        <w:t xml:space="preserve">Con fundamento irrestricto en las consideraciones jurídicas, los mandatos constitucionales en favor de las víctimas, y convencido del impacto profundamente restaurador y estabilizador que estas medidas propiciarán sobre el tejido asociativo de las </w:t>
      </w:r>
      <w:r>
        <w:rPr>
          <w:rFonts w:ascii="Times New Roman" w:eastAsia="Google Sans" w:hAnsi="Times New Roman" w:cs="Times New Roman"/>
          <w:color w:val="1F1F1F"/>
        </w:rPr>
        <w:t>organizaciones sociales</w:t>
      </w:r>
      <w:r w:rsidRPr="00C33074">
        <w:rPr>
          <w:rFonts w:ascii="Times New Roman" w:eastAsia="Google Sans" w:hAnsi="Times New Roman" w:cs="Times New Roman"/>
          <w:color w:val="1F1F1F"/>
        </w:rPr>
        <w:t xml:space="preserve"> más golpeadas por la violencia, rindo concepto y presento </w:t>
      </w:r>
      <w:r w:rsidRPr="00C33074">
        <w:rPr>
          <w:rFonts w:ascii="Times New Roman" w:eastAsia="Google Sans" w:hAnsi="Times New Roman" w:cs="Times New Roman"/>
          <w:b/>
          <w:bCs/>
          <w:color w:val="1F1F1F"/>
        </w:rPr>
        <w:t>PONENCIA POSITIVA</w:t>
      </w:r>
      <w:r w:rsidRPr="00C33074">
        <w:rPr>
          <w:rFonts w:ascii="Times New Roman" w:eastAsia="Google Sans" w:hAnsi="Times New Roman" w:cs="Times New Roman"/>
          <w:color w:val="1F1F1F"/>
        </w:rPr>
        <w:t>.</w:t>
      </w:r>
    </w:p>
    <w:p w14:paraId="258181F9" w14:textId="2420A884"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Solicito muy respetuosamente a los Honorables Representantes que integran la Comisión Primera Constitucional de la Cámara, dar PRIMER DEBATE al Proyecto de Ley No. 413 de 2025 Cámara,</w:t>
      </w:r>
      <w:r w:rsidRPr="00C33074">
        <w:rPr>
          <w:rFonts w:ascii="Times New Roman" w:eastAsia="Google Sans" w:hAnsi="Times New Roman" w:cs="Times New Roman"/>
          <w:color w:val="1F1F1F"/>
        </w:rPr>
        <w:t xml:space="preserve"> </w:t>
      </w:r>
      <w:r w:rsidRPr="00C33074">
        <w:rPr>
          <w:rFonts w:ascii="Times New Roman" w:eastAsia="Google Sans" w:hAnsi="Times New Roman" w:cs="Times New Roman"/>
          <w:i/>
          <w:iCs/>
          <w:color w:val="1F1F1F"/>
        </w:rPr>
        <w:t>“Por medio del cual se modifica la Ley 1448 de 2011 y se dictan disposiciones para la reparación integral de los Sujetos de Reparación Colectiva bajo la modalidad de restitución en materia tributaria”</w:t>
      </w:r>
      <w:r w:rsidRPr="00C33074">
        <w:rPr>
          <w:rFonts w:ascii="Times New Roman" w:eastAsia="Google Sans" w:hAnsi="Times New Roman" w:cs="Times New Roman"/>
          <w:color w:val="1F1F1F"/>
        </w:rPr>
        <w:t xml:space="preserve">, acogiendo íntegramente las modificaciones formuladas, decantadas </w:t>
      </w:r>
      <w:r w:rsidR="00A479FF">
        <w:rPr>
          <w:rFonts w:ascii="Times New Roman" w:eastAsia="Google Sans" w:hAnsi="Times New Roman" w:cs="Times New Roman"/>
          <w:color w:val="1F1F1F"/>
        </w:rPr>
        <w:t>y conforme el texto propuesto.</w:t>
      </w:r>
    </w:p>
    <w:p w14:paraId="7827B074" w14:textId="77777777" w:rsidR="00A479FF" w:rsidRDefault="00A479FF" w:rsidP="00A479FF">
      <w:pPr>
        <w:jc w:val="both"/>
        <w:rPr>
          <w:rFonts w:ascii="Times New Roman" w:hAnsi="Times New Roman" w:cs="Times New Roman"/>
        </w:rPr>
      </w:pPr>
    </w:p>
    <w:p w14:paraId="11482B9F" w14:textId="55F61A04" w:rsidR="00A479FF" w:rsidRDefault="00A479FF" w:rsidP="00A479FF">
      <w:pPr>
        <w:jc w:val="both"/>
        <w:rPr>
          <w:rFonts w:ascii="Times New Roman" w:hAnsi="Times New Roman" w:cs="Times New Roman"/>
        </w:rPr>
      </w:pPr>
      <w:r>
        <w:rPr>
          <w:rFonts w:ascii="Times New Roman" w:hAnsi="Times New Roman" w:cs="Times New Roman"/>
        </w:rPr>
        <w:t>Cordialmente,</w:t>
      </w:r>
    </w:p>
    <w:p w14:paraId="18BE23FE" w14:textId="77777777" w:rsidR="00A479FF" w:rsidRDefault="00A479FF" w:rsidP="00A479FF">
      <w:pPr>
        <w:jc w:val="both"/>
        <w:rPr>
          <w:rFonts w:ascii="Times New Roman" w:hAnsi="Times New Roman" w:cs="Times New Roman"/>
        </w:rPr>
      </w:pPr>
    </w:p>
    <w:p w14:paraId="517787B6" w14:textId="77777777" w:rsidR="00A479FF" w:rsidRDefault="00A479FF" w:rsidP="00A479FF">
      <w:pPr>
        <w:jc w:val="both"/>
        <w:rPr>
          <w:rFonts w:ascii="Times New Roman" w:hAnsi="Times New Roman" w:cs="Times New Roman"/>
        </w:rPr>
      </w:pPr>
    </w:p>
    <w:p w14:paraId="719E330C" w14:textId="77777777" w:rsidR="00A479FF" w:rsidRDefault="00A479FF" w:rsidP="00A479FF">
      <w:pPr>
        <w:jc w:val="both"/>
        <w:rPr>
          <w:rFonts w:ascii="Times New Roman" w:hAnsi="Times New Roman" w:cs="Times New Roman"/>
        </w:rPr>
      </w:pPr>
    </w:p>
    <w:p w14:paraId="5D193CB5" w14:textId="77777777" w:rsidR="00A479FF" w:rsidRDefault="00A479FF" w:rsidP="00A479FF">
      <w:pPr>
        <w:jc w:val="both"/>
        <w:rPr>
          <w:rFonts w:ascii="Times New Roman" w:hAnsi="Times New Roman" w:cs="Times New Roman"/>
        </w:rPr>
      </w:pPr>
    </w:p>
    <w:p w14:paraId="2C3AD495" w14:textId="77777777" w:rsidR="00A479FF" w:rsidRDefault="00A479FF" w:rsidP="00A479FF">
      <w:pPr>
        <w:jc w:val="both"/>
        <w:rPr>
          <w:rFonts w:ascii="Times New Roman" w:hAnsi="Times New Roman" w:cs="Times New Roman"/>
        </w:rPr>
      </w:pPr>
      <w:r>
        <w:rPr>
          <w:rFonts w:ascii="Times New Roman" w:hAnsi="Times New Roman" w:cs="Times New Roman"/>
        </w:rPr>
        <w:t xml:space="preserve">Gabriel Becerra </w:t>
      </w:r>
      <w:proofErr w:type="spellStart"/>
      <w:r>
        <w:rPr>
          <w:rFonts w:ascii="Times New Roman" w:hAnsi="Times New Roman" w:cs="Times New Roman"/>
        </w:rPr>
        <w:t>Yañez</w:t>
      </w:r>
      <w:proofErr w:type="spellEnd"/>
    </w:p>
    <w:p w14:paraId="67FA1006" w14:textId="77777777" w:rsidR="00A479FF" w:rsidRPr="00C33074" w:rsidRDefault="00A479FF" w:rsidP="00A479FF">
      <w:pPr>
        <w:jc w:val="both"/>
        <w:rPr>
          <w:rFonts w:ascii="Times New Roman" w:hAnsi="Times New Roman" w:cs="Times New Roman"/>
        </w:rPr>
      </w:pPr>
      <w:r>
        <w:rPr>
          <w:rFonts w:ascii="Times New Roman" w:hAnsi="Times New Roman" w:cs="Times New Roman"/>
        </w:rPr>
        <w:t xml:space="preserve">Representante a la Cámara </w:t>
      </w:r>
    </w:p>
    <w:p w14:paraId="7F45A359" w14:textId="77777777" w:rsidR="00A479FF" w:rsidRPr="00C33074" w:rsidRDefault="00A479FF" w:rsidP="00A479FF">
      <w:pPr>
        <w:jc w:val="both"/>
        <w:rPr>
          <w:rFonts w:ascii="Times New Roman" w:hAnsi="Times New Roman" w:cs="Times New Roman"/>
        </w:rPr>
      </w:pPr>
    </w:p>
    <w:p w14:paraId="34120C70" w14:textId="77777777" w:rsidR="00BE3FCE" w:rsidRDefault="00BE3FCE" w:rsidP="00BE3FCE">
      <w:pPr>
        <w:jc w:val="both"/>
        <w:rPr>
          <w:rFonts w:ascii="Times New Roman" w:hAnsi="Times New Roman" w:cs="Times New Roman"/>
          <w:b/>
          <w:bCs/>
        </w:rPr>
      </w:pPr>
    </w:p>
    <w:p w14:paraId="3CF7FF7B" w14:textId="77777777" w:rsidR="00A479FF" w:rsidRDefault="00A479FF" w:rsidP="00BE3FCE">
      <w:pPr>
        <w:jc w:val="both"/>
        <w:rPr>
          <w:rFonts w:ascii="Times New Roman" w:hAnsi="Times New Roman" w:cs="Times New Roman"/>
          <w:b/>
          <w:bCs/>
        </w:rPr>
      </w:pPr>
    </w:p>
    <w:p w14:paraId="50D4E91A" w14:textId="77777777" w:rsidR="00A479FF" w:rsidRDefault="00A479FF" w:rsidP="00BE3FCE">
      <w:pPr>
        <w:jc w:val="both"/>
        <w:rPr>
          <w:rFonts w:ascii="Times New Roman" w:hAnsi="Times New Roman" w:cs="Times New Roman"/>
          <w:b/>
          <w:bCs/>
        </w:rPr>
      </w:pPr>
    </w:p>
    <w:p w14:paraId="6B4F6F56" w14:textId="77777777" w:rsidR="00A479FF" w:rsidRDefault="00A479FF" w:rsidP="00BE3FCE">
      <w:pPr>
        <w:jc w:val="both"/>
        <w:rPr>
          <w:rFonts w:ascii="Times New Roman" w:hAnsi="Times New Roman" w:cs="Times New Roman"/>
          <w:b/>
          <w:bCs/>
        </w:rPr>
      </w:pPr>
    </w:p>
    <w:p w14:paraId="7E7AD3EB" w14:textId="77777777" w:rsidR="00A479FF" w:rsidRDefault="00A479FF" w:rsidP="00BE3FCE">
      <w:pPr>
        <w:jc w:val="both"/>
        <w:rPr>
          <w:rFonts w:ascii="Times New Roman" w:hAnsi="Times New Roman" w:cs="Times New Roman"/>
          <w:b/>
          <w:bCs/>
        </w:rPr>
      </w:pPr>
    </w:p>
    <w:p w14:paraId="0DC81690" w14:textId="77777777" w:rsidR="00A479FF" w:rsidRDefault="00A479FF" w:rsidP="00BE3FCE">
      <w:pPr>
        <w:jc w:val="both"/>
        <w:rPr>
          <w:rFonts w:ascii="Times New Roman" w:hAnsi="Times New Roman" w:cs="Times New Roman"/>
          <w:b/>
          <w:bCs/>
        </w:rPr>
      </w:pPr>
    </w:p>
    <w:p w14:paraId="02633DD8" w14:textId="77777777" w:rsidR="00A479FF" w:rsidRDefault="00A479FF" w:rsidP="00BE3FCE">
      <w:pPr>
        <w:jc w:val="both"/>
        <w:rPr>
          <w:rFonts w:ascii="Times New Roman" w:hAnsi="Times New Roman" w:cs="Times New Roman"/>
          <w:b/>
          <w:bCs/>
        </w:rPr>
      </w:pPr>
    </w:p>
    <w:p w14:paraId="4F2D2891" w14:textId="77777777" w:rsidR="00A479FF" w:rsidRDefault="00A479FF" w:rsidP="00BE3FCE">
      <w:pPr>
        <w:jc w:val="both"/>
        <w:rPr>
          <w:rFonts w:ascii="Times New Roman" w:hAnsi="Times New Roman" w:cs="Times New Roman"/>
          <w:b/>
          <w:bCs/>
        </w:rPr>
      </w:pPr>
    </w:p>
    <w:p w14:paraId="718806EA" w14:textId="77777777" w:rsidR="00A479FF" w:rsidRDefault="00A479FF" w:rsidP="00BE3FCE">
      <w:pPr>
        <w:jc w:val="both"/>
        <w:rPr>
          <w:rFonts w:ascii="Times New Roman" w:hAnsi="Times New Roman" w:cs="Times New Roman"/>
          <w:b/>
          <w:bCs/>
        </w:rPr>
      </w:pPr>
    </w:p>
    <w:p w14:paraId="28A7C83A" w14:textId="77777777" w:rsidR="00A479FF" w:rsidRDefault="00A479FF" w:rsidP="00BE3FCE">
      <w:pPr>
        <w:jc w:val="both"/>
        <w:rPr>
          <w:rFonts w:ascii="Times New Roman" w:hAnsi="Times New Roman" w:cs="Times New Roman"/>
          <w:b/>
          <w:bCs/>
        </w:rPr>
      </w:pPr>
    </w:p>
    <w:p w14:paraId="25591809" w14:textId="77777777" w:rsidR="00A479FF" w:rsidRDefault="00A479FF" w:rsidP="00BE3FCE">
      <w:pPr>
        <w:jc w:val="both"/>
        <w:rPr>
          <w:rFonts w:ascii="Times New Roman" w:hAnsi="Times New Roman" w:cs="Times New Roman"/>
          <w:b/>
          <w:bCs/>
        </w:rPr>
      </w:pPr>
    </w:p>
    <w:p w14:paraId="0AC55660" w14:textId="77777777" w:rsidR="00A479FF" w:rsidRDefault="00A479FF" w:rsidP="00BE3FCE">
      <w:pPr>
        <w:jc w:val="both"/>
        <w:rPr>
          <w:rFonts w:ascii="Times New Roman" w:hAnsi="Times New Roman" w:cs="Times New Roman"/>
          <w:b/>
          <w:bCs/>
        </w:rPr>
      </w:pPr>
    </w:p>
    <w:p w14:paraId="49D76487" w14:textId="77777777" w:rsidR="00A479FF" w:rsidRDefault="00A479FF" w:rsidP="00BE3FCE">
      <w:pPr>
        <w:jc w:val="both"/>
        <w:rPr>
          <w:rFonts w:ascii="Times New Roman" w:hAnsi="Times New Roman" w:cs="Times New Roman"/>
          <w:b/>
          <w:bCs/>
        </w:rPr>
      </w:pPr>
    </w:p>
    <w:p w14:paraId="7CF3B70D" w14:textId="77777777" w:rsidR="00A479FF" w:rsidRDefault="00A479FF" w:rsidP="00BE3FCE">
      <w:pPr>
        <w:jc w:val="both"/>
        <w:rPr>
          <w:rFonts w:ascii="Times New Roman" w:hAnsi="Times New Roman" w:cs="Times New Roman"/>
          <w:b/>
          <w:bCs/>
        </w:rPr>
      </w:pPr>
    </w:p>
    <w:p w14:paraId="2E49F2FB" w14:textId="77777777" w:rsidR="00A479FF" w:rsidRPr="00C33074" w:rsidRDefault="00A479FF" w:rsidP="00BE3FCE">
      <w:pPr>
        <w:jc w:val="both"/>
        <w:rPr>
          <w:rFonts w:ascii="Times New Roman" w:hAnsi="Times New Roman" w:cs="Times New Roman"/>
          <w:b/>
          <w:bCs/>
        </w:rPr>
      </w:pPr>
    </w:p>
    <w:p w14:paraId="3374026D" w14:textId="5D273EAE" w:rsidR="00BE3FCE" w:rsidRPr="00C33074" w:rsidRDefault="00A479FF" w:rsidP="00A479FF">
      <w:pPr>
        <w:pStyle w:val="Prrafodelista"/>
        <w:spacing w:after="160" w:line="278" w:lineRule="auto"/>
        <w:ind w:left="1080"/>
        <w:jc w:val="center"/>
        <w:rPr>
          <w:rFonts w:ascii="Times New Roman" w:hAnsi="Times New Roman" w:cs="Times New Roman"/>
          <w:b/>
          <w:bCs/>
        </w:rPr>
      </w:pPr>
      <w:r>
        <w:rPr>
          <w:rFonts w:ascii="Times New Roman" w:hAnsi="Times New Roman" w:cs="Times New Roman"/>
          <w:b/>
          <w:bCs/>
        </w:rPr>
        <w:lastRenderedPageBreak/>
        <w:t>TEXTO PROPUESTO PARA PRIMER DEBATE EN LA COMISIÓN PRIMERA DE LA CÁMARA DE REPRESENTANTES</w:t>
      </w:r>
    </w:p>
    <w:p w14:paraId="3887CDAD" w14:textId="77777777" w:rsidR="00BE3FCE"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p>
    <w:p w14:paraId="048DCBFE" w14:textId="7463ECFE"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PROYECTO DE LEY No. 413 DE 2025 CÁMARA</w:t>
      </w:r>
    </w:p>
    <w:p w14:paraId="4ED7922F" w14:textId="77777777"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i/>
          <w:iCs/>
          <w:color w:val="1F1F1F"/>
        </w:rPr>
      </w:pPr>
      <w:r w:rsidRPr="00C33074">
        <w:rPr>
          <w:rFonts w:ascii="Times New Roman" w:eastAsia="Google Sans" w:hAnsi="Times New Roman" w:cs="Times New Roman"/>
          <w:i/>
          <w:iCs/>
          <w:color w:val="1F1F1F"/>
        </w:rPr>
        <w:t>“Por medio del cual se modifica la Ley 1448 de 2011 y se dictan disposiciones para la reparación integral de los Sujetos de Reparación Colectiva bajo la modalidad de restitución en materia tributaria”</w:t>
      </w:r>
    </w:p>
    <w:p w14:paraId="3F0FF6C8" w14:textId="77777777"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El Congreso de Colombia</w:t>
      </w:r>
    </w:p>
    <w:p w14:paraId="627B2B19" w14:textId="77777777"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DECRETA:</w:t>
      </w:r>
    </w:p>
    <w:p w14:paraId="2A31531F" w14:textId="77777777"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TÍTULO I</w:t>
      </w:r>
    </w:p>
    <w:p w14:paraId="414E9B76" w14:textId="77777777"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CAPÍTULO I. DISPOSICIONES GENERALES</w:t>
      </w:r>
    </w:p>
    <w:p w14:paraId="7FAED77A"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Artículo 1°. Objeto. </w:t>
      </w:r>
      <w:r w:rsidRPr="005943CC">
        <w:rPr>
          <w:rFonts w:ascii="Times New Roman" w:eastAsia="Google Sans" w:hAnsi="Times New Roman" w:cs="Times New Roman"/>
          <w:color w:val="1F1F1F"/>
        </w:rPr>
        <w:t xml:space="preserve">La presente ley tiene por objeto modificar la Ley 1448 de 2011, adicionando disposiciones para establecer medidas transitorias y excepcionales de alivio en materia tributaria para los Sujetos de Reparación Colectiva reconocidos por la Unidad para la Atención y Reparación Integral a las Víctimas (UARIV). Busca garantizar los derechos de estas víctimas en materia de sostenibilidad financiera, facilitando la ejecución de sus Planes Integrales de Reparación Colectiva (PIRC) mediante la materialización del principio </w:t>
      </w:r>
      <w:proofErr w:type="spellStart"/>
      <w:r w:rsidRPr="005943CC">
        <w:rPr>
          <w:rFonts w:ascii="Times New Roman" w:eastAsia="Google Sans" w:hAnsi="Times New Roman" w:cs="Times New Roman"/>
          <w:color w:val="1F1F1F"/>
        </w:rPr>
        <w:t>pro-víctima</w:t>
      </w:r>
      <w:proofErr w:type="spellEnd"/>
      <w:r w:rsidRPr="005943CC">
        <w:rPr>
          <w:rFonts w:ascii="Times New Roman" w:eastAsia="Google Sans" w:hAnsi="Times New Roman" w:cs="Times New Roman"/>
          <w:color w:val="1F1F1F"/>
        </w:rPr>
        <w:t xml:space="preserve"> en el cumplimiento de sus obligaciones formales y sustanciales.</w:t>
      </w:r>
    </w:p>
    <w:p w14:paraId="718D6CD0"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Artículo 2°.</w:t>
      </w:r>
      <w:r w:rsidRPr="00C33074">
        <w:rPr>
          <w:rFonts w:ascii="Times New Roman" w:eastAsia="Google Sans" w:hAnsi="Times New Roman" w:cs="Times New Roman"/>
          <w:color w:val="1F1F1F"/>
        </w:rPr>
        <w:t xml:space="preserve"> Adiciónese el capítulo X al título IV de la Ley 1448 de 2011, que se denominará “Reparación Integral de los Sujetos de Reparación Colectiva bajo la modalidad de restitución en materia tributaria”, el cual quedará conformado por los siguientes artículos:</w:t>
      </w:r>
    </w:p>
    <w:p w14:paraId="59944D64"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Artículo 3°. </w:t>
      </w:r>
      <w:r w:rsidRPr="005943CC">
        <w:rPr>
          <w:rFonts w:ascii="Times New Roman" w:eastAsia="Google Sans" w:hAnsi="Times New Roman" w:cs="Times New Roman"/>
          <w:color w:val="1F1F1F"/>
        </w:rPr>
        <w:t xml:space="preserve">Adicione el artículo 152A al capítulo X del título IV de la Ley 1448 de 2011, el cual quedará así: </w:t>
      </w:r>
    </w:p>
    <w:p w14:paraId="2969C979" w14:textId="4CEA33FF"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Artículo 152A. Sujetos beneficiarios</w:t>
      </w:r>
      <w:r w:rsidRPr="005943CC">
        <w:rPr>
          <w:rFonts w:ascii="Times New Roman" w:eastAsia="Google Sans" w:hAnsi="Times New Roman" w:cs="Times New Roman"/>
          <w:color w:val="1F1F1F"/>
        </w:rPr>
        <w:t>. Podrán acogerse a las medidas contempladas en los artículos subsiguientes los Sujetos de Reparación Colectiva, dotados de personería jurídica e inscritos en el Registro Único Tributario (RUT), que hayan sido reconocidos y permanezcan acreditados en el Registro Único de Víctimas (RUV) de la UARIV mediante acto administrativo en firme, previa solicitud ante la Dirección de Impuestos y Aduanas Nacionales (DIAN)</w:t>
      </w:r>
    </w:p>
    <w:p w14:paraId="4FD9A8C9"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b/>
          <w:bCs/>
          <w:color w:val="1F1F1F"/>
        </w:rPr>
      </w:pPr>
    </w:p>
    <w:p w14:paraId="5A63001F" w14:textId="77777777"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CAPÍTULO II. MEDIDAS DE ALIVIO</w:t>
      </w:r>
    </w:p>
    <w:p w14:paraId="230884F2"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Artículo 4°.</w:t>
      </w:r>
      <w:r w:rsidRPr="00C33074">
        <w:rPr>
          <w:rFonts w:ascii="Times New Roman" w:eastAsia="Google Sans" w:hAnsi="Times New Roman" w:cs="Times New Roman"/>
          <w:color w:val="1F1F1F"/>
        </w:rPr>
        <w:t xml:space="preserve"> Adiciónese el artículo 152B al capítulo X del título IV de la Ley 1448 de 2011, el cual quedará así:</w:t>
      </w:r>
    </w:p>
    <w:p w14:paraId="18E11008"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lastRenderedPageBreak/>
        <w:t>Artículo 152B. Medidas de alivio en materia tributaria.</w:t>
      </w:r>
      <w:r w:rsidRPr="00C33074">
        <w:rPr>
          <w:rFonts w:ascii="Times New Roman" w:eastAsia="Google Sans" w:hAnsi="Times New Roman" w:cs="Times New Roman"/>
          <w:color w:val="1F1F1F"/>
        </w:rPr>
        <w:t xml:space="preserve"> Las sanciones y tasas de interés moratoria cuyo incumplimiento se haya ocasionado o agravado como consecuencia de los daños patrimoniales causados por el desarrollo del Conflicto Armado Colombiano, y que represen</w:t>
      </w:r>
      <w:r>
        <w:rPr>
          <w:rFonts w:ascii="Times New Roman" w:eastAsia="Google Sans" w:hAnsi="Times New Roman" w:cs="Times New Roman"/>
          <w:color w:val="1F1F1F"/>
        </w:rPr>
        <w:t>ten</w:t>
      </w:r>
      <w:r w:rsidRPr="00C33074">
        <w:rPr>
          <w:rFonts w:ascii="Times New Roman" w:eastAsia="Google Sans" w:hAnsi="Times New Roman" w:cs="Times New Roman"/>
          <w:color w:val="1F1F1F"/>
        </w:rPr>
        <w:t xml:space="preserve"> una excesiva onerosidad y afectación en los derechos de los sujetos beneficiarios, serán objeto de reducción de acuerdo con los siguientes artículos. </w:t>
      </w:r>
    </w:p>
    <w:p w14:paraId="0D30CDC3"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Artículo 5°. </w:t>
      </w:r>
      <w:r w:rsidRPr="005943CC">
        <w:rPr>
          <w:rFonts w:ascii="Times New Roman" w:eastAsia="Google Sans" w:hAnsi="Times New Roman" w:cs="Times New Roman"/>
          <w:color w:val="1F1F1F"/>
        </w:rPr>
        <w:t xml:space="preserve">Adiciónese el artículo 152C al capítulo X del título IV de la Ley 1448 de 2011, el cual quedará así: </w:t>
      </w:r>
    </w:p>
    <w:p w14:paraId="245276ED"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Artículo 152C. Medidas sobre sanciones y tasas de interés moratoria. </w:t>
      </w:r>
      <w:r w:rsidRPr="005943CC">
        <w:rPr>
          <w:rFonts w:ascii="Times New Roman" w:eastAsia="Google Sans" w:hAnsi="Times New Roman" w:cs="Times New Roman"/>
          <w:color w:val="1F1F1F"/>
        </w:rPr>
        <w:t>Las sanciones y tasas de interés moratoria, causadas en relación con el incumplimiento en el pago de los impuestos sobre la renta, impuesto al valor agregado, retenciones en la fuente y contribuciones a cargo de los sujetos beneficiarios, que se paguen desde la entrada en vigor y hasta la fecha de vigencia de la presente ley, se reducirán y liquidarán en los siguientes términos:</w:t>
      </w:r>
    </w:p>
    <w:p w14:paraId="0AA927B6"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Reducción de sanciones e intereses: </w:t>
      </w:r>
      <w:r w:rsidRPr="005943CC">
        <w:rPr>
          <w:rFonts w:ascii="Times New Roman" w:eastAsia="Google Sans" w:hAnsi="Times New Roman" w:cs="Times New Roman"/>
          <w:color w:val="1F1F1F"/>
        </w:rPr>
        <w:t xml:space="preserve">Las sanciones pecuniarias, penalidades, actualizaciones e intereses moratorios originados por el incumplimiento de las obligaciones tributarias sustanciales o formales administradas por la DIAN, causadas con anterioridad a la vigencia de esta ley, se reducirán para su pago al diez por ciento (10%) del monto total liquidado a la fecha de suscripción del acuerdo </w:t>
      </w:r>
      <w:r>
        <w:rPr>
          <w:rFonts w:ascii="Times New Roman" w:eastAsia="Google Sans" w:hAnsi="Times New Roman" w:cs="Times New Roman"/>
          <w:color w:val="1F1F1F"/>
        </w:rPr>
        <w:t xml:space="preserve">de </w:t>
      </w:r>
      <w:r w:rsidRPr="005943CC">
        <w:rPr>
          <w:rFonts w:ascii="Times New Roman" w:eastAsia="Google Sans" w:hAnsi="Times New Roman" w:cs="Times New Roman"/>
          <w:color w:val="1F1F1F"/>
        </w:rPr>
        <w:t>pago</w:t>
      </w:r>
      <w:r>
        <w:rPr>
          <w:rFonts w:ascii="Times New Roman" w:eastAsia="Google Sans" w:hAnsi="Times New Roman" w:cs="Times New Roman"/>
          <w:color w:val="1F1F1F"/>
        </w:rPr>
        <w:t>.</w:t>
      </w:r>
      <w:r w:rsidRPr="005943CC">
        <w:rPr>
          <w:rFonts w:ascii="Times New Roman" w:eastAsia="Google Sans" w:hAnsi="Times New Roman" w:cs="Times New Roman"/>
          <w:color w:val="1F1F1F"/>
        </w:rPr>
        <w:t xml:space="preserve"> </w:t>
      </w:r>
    </w:p>
    <w:p w14:paraId="16651AC8"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Artículo 6°. </w:t>
      </w:r>
      <w:r w:rsidRPr="005943CC">
        <w:rPr>
          <w:rFonts w:ascii="Times New Roman" w:eastAsia="Google Sans" w:hAnsi="Times New Roman" w:cs="Times New Roman"/>
          <w:color w:val="1F1F1F"/>
        </w:rPr>
        <w:t xml:space="preserve">Adiciónese el artículo 152D al capítulo X del título IV de la Ley 1448 de 2011, el cual quedará así: </w:t>
      </w:r>
    </w:p>
    <w:p w14:paraId="3FC11DD5"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Artículo 152D. Medidas para celebrar acuerdos de pago a largo plazo. </w:t>
      </w:r>
      <w:r w:rsidRPr="005943CC">
        <w:rPr>
          <w:rFonts w:ascii="Times New Roman" w:eastAsia="Google Sans" w:hAnsi="Times New Roman" w:cs="Times New Roman"/>
          <w:color w:val="1F1F1F"/>
        </w:rPr>
        <w:t>Para las facilidades de pago que se convengan entre los sujetos beneficiarios y la DIAN desde la entrada en vigor y hasta la fecha de vigencia de la presente ley, respecto de las obligaciones que presenten mora en el pago</w:t>
      </w:r>
      <w:r>
        <w:rPr>
          <w:rFonts w:ascii="Times New Roman" w:eastAsia="Google Sans" w:hAnsi="Times New Roman" w:cs="Times New Roman"/>
          <w:color w:val="1F1F1F"/>
        </w:rPr>
        <w:t>,</w:t>
      </w:r>
      <w:r w:rsidRPr="005943CC">
        <w:rPr>
          <w:rFonts w:ascii="Times New Roman" w:eastAsia="Google Sans" w:hAnsi="Times New Roman" w:cs="Times New Roman"/>
          <w:color w:val="1F1F1F"/>
        </w:rPr>
        <w:t xml:space="preserve"> en dicho período se reducirán y liquidarán en los siguientes términos: </w:t>
      </w:r>
    </w:p>
    <w:p w14:paraId="6EA2508A"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b/>
          <w:bCs/>
          <w:color w:val="1F1F1F"/>
        </w:rPr>
      </w:pPr>
      <w:r w:rsidRPr="005943CC">
        <w:rPr>
          <w:rFonts w:ascii="Times New Roman" w:eastAsia="Google Sans" w:hAnsi="Times New Roman" w:cs="Times New Roman"/>
          <w:b/>
          <w:bCs/>
          <w:color w:val="1F1F1F"/>
        </w:rPr>
        <w:t xml:space="preserve">Facilidades de pago ampliadas: </w:t>
      </w:r>
      <w:r w:rsidRPr="005943CC">
        <w:rPr>
          <w:rFonts w:ascii="Times New Roman" w:eastAsia="Google Sans" w:hAnsi="Times New Roman" w:cs="Times New Roman"/>
          <w:color w:val="1F1F1F"/>
        </w:rPr>
        <w:t>La DIAN podrá conceder acuerdos de pago con plazos de hasta por treinta (30) años dependiendo del monto total de la obligación. Cuando esta sea menor a 500 Salarios Mínimos Legales Mensuales Vigentes (SMLMV) se podrá fijar como plazo máximo veinte (20) años para la extinción de la obligación. En casos donde la suma de la obligación supere el tope señalado previamente, se podrá fijar como plazo máximo treinta (30) años para la extinción de la misma.</w:t>
      </w:r>
      <w:r w:rsidRPr="005943CC">
        <w:rPr>
          <w:rFonts w:ascii="Times New Roman" w:eastAsia="Google Sans" w:hAnsi="Times New Roman" w:cs="Times New Roman"/>
          <w:b/>
          <w:bCs/>
          <w:color w:val="1F1F1F"/>
        </w:rPr>
        <w:t xml:space="preserve"> </w:t>
      </w:r>
    </w:p>
    <w:p w14:paraId="63F8A801"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 xml:space="preserve">Pago en especie y Dación en Pago: </w:t>
      </w:r>
      <w:r w:rsidRPr="005943CC">
        <w:rPr>
          <w:rFonts w:ascii="Times New Roman" w:eastAsia="Google Sans" w:hAnsi="Times New Roman" w:cs="Times New Roman"/>
          <w:color w:val="1F1F1F"/>
        </w:rPr>
        <w:t xml:space="preserve">Independientemente de la cuantía de la obligación en mora, los sujetos beneficiarios estarán facultados para extinguir las obligaciones fiscales mediante el mecanismo de dación en pago, entregando bienes inmuebles de su propiedad. El valor de dichos bienes será fijado con base en un avalúo comercial emitido por peritos </w:t>
      </w:r>
      <w:r>
        <w:rPr>
          <w:rFonts w:ascii="Times New Roman" w:eastAsia="Google Sans" w:hAnsi="Times New Roman" w:cs="Times New Roman"/>
          <w:color w:val="1F1F1F"/>
        </w:rPr>
        <w:t>inscritos</w:t>
      </w:r>
      <w:r w:rsidRPr="005943CC">
        <w:rPr>
          <w:rFonts w:ascii="Times New Roman" w:eastAsia="Google Sans" w:hAnsi="Times New Roman" w:cs="Times New Roman"/>
          <w:color w:val="1F1F1F"/>
        </w:rPr>
        <w:t xml:space="preserve"> en el Registro Abierto de </w:t>
      </w:r>
      <w:proofErr w:type="spellStart"/>
      <w:r w:rsidRPr="005943CC">
        <w:rPr>
          <w:rFonts w:ascii="Times New Roman" w:eastAsia="Google Sans" w:hAnsi="Times New Roman" w:cs="Times New Roman"/>
          <w:color w:val="1F1F1F"/>
        </w:rPr>
        <w:t>Avaluadores</w:t>
      </w:r>
      <w:proofErr w:type="spellEnd"/>
      <w:r w:rsidRPr="005943CC">
        <w:rPr>
          <w:rFonts w:ascii="Times New Roman" w:eastAsia="Google Sans" w:hAnsi="Times New Roman" w:cs="Times New Roman"/>
          <w:color w:val="1F1F1F"/>
        </w:rPr>
        <w:t xml:space="preserve"> (RAA). La DIAN reglamentará los criterios de aceptabilidad de los bienes, requiriendo indefectiblemente que estos se encuentren libres de gravámenes, embargos o falsas tradiciones. En desarrollo del principio </w:t>
      </w:r>
      <w:proofErr w:type="spellStart"/>
      <w:r w:rsidRPr="005943CC">
        <w:rPr>
          <w:rFonts w:ascii="Times New Roman" w:eastAsia="Google Sans" w:hAnsi="Times New Roman" w:cs="Times New Roman"/>
          <w:color w:val="1F1F1F"/>
        </w:rPr>
        <w:t>pro-víctima</w:t>
      </w:r>
      <w:proofErr w:type="spellEnd"/>
      <w:r w:rsidRPr="005943CC">
        <w:rPr>
          <w:rFonts w:ascii="Times New Roman" w:eastAsia="Google Sans" w:hAnsi="Times New Roman" w:cs="Times New Roman"/>
          <w:color w:val="1F1F1F"/>
        </w:rPr>
        <w:t xml:space="preserve">, la autoridad tributaria no </w:t>
      </w:r>
      <w:r w:rsidRPr="005943CC">
        <w:rPr>
          <w:rFonts w:ascii="Times New Roman" w:eastAsia="Google Sans" w:hAnsi="Times New Roman" w:cs="Times New Roman"/>
          <w:color w:val="1F1F1F"/>
        </w:rPr>
        <w:lastRenderedPageBreak/>
        <w:t xml:space="preserve">podrá rechazar la dación fundándose exclusivamente en la falta de vocación misional para administrar inmuebles. </w:t>
      </w:r>
    </w:p>
    <w:p w14:paraId="55522187"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color w:val="1F1F1F"/>
        </w:rPr>
        <w:t>Para el efecto, los bienes recibidos serán transferidos a la Central de Inversiones S.A. (CISA), o la entidad que haga sus veces, para su debida comercialización y monetización, extinguiendo la obligación tributaria del beneficiario desde el momento de la entrega material y jurídica del bien al Estado.</w:t>
      </w:r>
    </w:p>
    <w:p w14:paraId="4ADD18DA"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Parágrafo 1.</w:t>
      </w:r>
      <w:r w:rsidRPr="00C33074">
        <w:rPr>
          <w:rFonts w:ascii="Times New Roman" w:eastAsia="Google Sans" w:hAnsi="Times New Roman" w:cs="Times New Roman"/>
          <w:color w:val="1F1F1F"/>
        </w:rPr>
        <w:t xml:space="preserve"> Por tratarse de recursos de terceros, la reducción sancionatoria operará en los términos descritos, pero en ningún caso se condonará el monto base de capital correspondiente al IVA ni al valor retenido en la fuente. Los bienes entregados en dación en pago pasarán a ser de propiedad de la Nación de acuerdo con la regulación vigente.</w:t>
      </w:r>
    </w:p>
    <w:p w14:paraId="1F0F30C0"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Pr>
          <w:rFonts w:ascii="Times New Roman" w:eastAsia="Google Sans" w:hAnsi="Times New Roman" w:cs="Times New Roman"/>
          <w:b/>
          <w:bCs/>
          <w:color w:val="1F1F1F"/>
        </w:rPr>
        <w:t>A</w:t>
      </w:r>
      <w:r w:rsidRPr="005943CC">
        <w:rPr>
          <w:rFonts w:ascii="Times New Roman" w:eastAsia="Google Sans" w:hAnsi="Times New Roman" w:cs="Times New Roman"/>
          <w:b/>
          <w:bCs/>
          <w:color w:val="1F1F1F"/>
        </w:rPr>
        <w:t>rtículo 7°.</w:t>
      </w:r>
      <w:r w:rsidRPr="005943CC">
        <w:rPr>
          <w:rFonts w:ascii="Times New Roman" w:eastAsia="Google Sans" w:hAnsi="Times New Roman" w:cs="Times New Roman"/>
          <w:color w:val="1F1F1F"/>
        </w:rPr>
        <w:t xml:space="preserve"> Adiciónese el artículo 152E al capítulo X del título IV de la Ley 1448 de 2011, el cual quedará así: </w:t>
      </w:r>
    </w:p>
    <w:p w14:paraId="24CDE927"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Artículo 152E. Condicionalidad de los beneficios y renegociación.</w:t>
      </w:r>
      <w:r w:rsidRPr="005943CC">
        <w:rPr>
          <w:rFonts w:ascii="Times New Roman" w:eastAsia="Google Sans" w:hAnsi="Times New Roman" w:cs="Times New Roman"/>
          <w:color w:val="1F1F1F"/>
        </w:rPr>
        <w:t xml:space="preserve"> El mantenimiento de las reducciones tarifarias y las facilidades otorgadas al amparo de esta ley estará estrictamente condicionado al cumplimiento del acuerdo de pago suscrito con la DIAN. No obstante, frente a un eventual incumplimiento, y por una única vez, el Sujeto de Reparación Colectiva podrá solicitar la renegociación de los plazos y condiciones, demostrando sumariamente que la mora obedece a factores sobrevinientes de fuerza mayor ligados a su situación de vulnerabilidad o a retrasos en la ejecución del Plan Integral de Reparación Colectiva (PIRC). De persistir el incumplimiento de forma injustificada, la DIAN declarará el decaimiento del acuerdo, perdiendo el beneficiario los alivios concedidos, y se procederá al cobro coactivo de los saldos insolutos, restituyendo los intereses y sanciones a las tasas ordinarias del Estatuto Tributario.</w:t>
      </w:r>
    </w:p>
    <w:p w14:paraId="4F5DE313" w14:textId="77777777" w:rsidR="00BE3FCE"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p>
    <w:p w14:paraId="0A7647E0" w14:textId="0FC33892" w:rsidR="00BE3FCE" w:rsidRPr="00C33074" w:rsidRDefault="00BE3FCE" w:rsidP="00BE3FCE">
      <w:pPr>
        <w:pBdr>
          <w:top w:val="nil"/>
          <w:left w:val="nil"/>
          <w:bottom w:val="nil"/>
          <w:right w:val="nil"/>
          <w:between w:val="nil"/>
        </w:pBdr>
        <w:spacing w:after="150" w:line="275" w:lineRule="auto"/>
        <w:jc w:val="center"/>
        <w:rPr>
          <w:rFonts w:ascii="Times New Roman" w:eastAsia="Google Sans" w:hAnsi="Times New Roman" w:cs="Times New Roman"/>
          <w:b/>
          <w:bCs/>
          <w:color w:val="1F1F1F"/>
        </w:rPr>
      </w:pPr>
      <w:r w:rsidRPr="00C33074">
        <w:rPr>
          <w:rFonts w:ascii="Times New Roman" w:eastAsia="Google Sans" w:hAnsi="Times New Roman" w:cs="Times New Roman"/>
          <w:b/>
          <w:bCs/>
          <w:color w:val="1F1F1F"/>
        </w:rPr>
        <w:t>CAPÍTULO III. PROCEDIMIENTO Y VIGENCIA</w:t>
      </w:r>
    </w:p>
    <w:p w14:paraId="4204964B"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b/>
          <w:bCs/>
          <w:color w:val="1F1F1F"/>
        </w:rPr>
      </w:pPr>
    </w:p>
    <w:p w14:paraId="76B01385" w14:textId="5FDD25EB"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Artículo 8°.</w:t>
      </w:r>
      <w:r w:rsidRPr="005943CC">
        <w:rPr>
          <w:rFonts w:ascii="Times New Roman" w:eastAsia="Google Sans" w:hAnsi="Times New Roman" w:cs="Times New Roman"/>
          <w:color w:val="1F1F1F"/>
        </w:rPr>
        <w:t xml:space="preserve"> Adiciónese el artículo 152F al capítulo X del título IV de la Ley 1448 de 2011, el cual quedará así: </w:t>
      </w:r>
    </w:p>
    <w:p w14:paraId="5BE9C987"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Artículo 152F. Procedimiento simplificado.</w:t>
      </w:r>
      <w:r w:rsidRPr="005943CC">
        <w:rPr>
          <w:rFonts w:ascii="Times New Roman" w:eastAsia="Google Sans" w:hAnsi="Times New Roman" w:cs="Times New Roman"/>
          <w:color w:val="1F1F1F"/>
        </w:rPr>
        <w:t xml:space="preserve"> Para ser beneficiario de las medidas contempladas en la presente ley, bastará con la acreditación del Sujeto de Reparación Colectiva en el Registro Único de Víctimas de la UARIV y su registro ante la DIAN. El representante legal de la persona jurídica solicitará a la entidad la aplicación de las medidas y adjuntará los documentos que certifiquen su condición de víctima y persona jurídica sujeta a registro tributario. </w:t>
      </w:r>
    </w:p>
    <w:p w14:paraId="32E535C2"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color w:val="1F1F1F"/>
        </w:rPr>
        <w:t xml:space="preserve">La entidad mediante acto administrativo particular decidirá sobre la procedencia de la aplicación de las medidas de acuerdo con la reglamentación </w:t>
      </w:r>
      <w:r>
        <w:rPr>
          <w:rFonts w:ascii="Times New Roman" w:eastAsia="Google Sans" w:hAnsi="Times New Roman" w:cs="Times New Roman"/>
          <w:color w:val="1F1F1F"/>
        </w:rPr>
        <w:t>que se expida</w:t>
      </w:r>
      <w:r w:rsidRPr="005943CC">
        <w:rPr>
          <w:rFonts w:ascii="Times New Roman" w:eastAsia="Google Sans" w:hAnsi="Times New Roman" w:cs="Times New Roman"/>
          <w:color w:val="1F1F1F"/>
        </w:rPr>
        <w:t xml:space="preserve">. La DIAN, en estricta coordinación técnica con la </w:t>
      </w:r>
      <w:r w:rsidRPr="005943CC">
        <w:rPr>
          <w:rFonts w:ascii="Times New Roman" w:eastAsia="Google Sans" w:hAnsi="Times New Roman" w:cs="Times New Roman"/>
          <w:color w:val="1F1F1F"/>
        </w:rPr>
        <w:lastRenderedPageBreak/>
        <w:t xml:space="preserve">UARIV, expedirá la reglamentación del procedimiento simplificado, la interoperabilidad de bases de datos y la suspensión de medidas cautelares de cobro coactivo, en un plazo máximo e improrrogable de ciento veinte (120) días hábiles contados a partir de la sanción y promulgación de la presente ley. </w:t>
      </w:r>
    </w:p>
    <w:p w14:paraId="1E4C14AB" w14:textId="77777777" w:rsidR="00BE3FCE"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color w:val="1F1F1F"/>
        </w:rPr>
        <w:t xml:space="preserve">Será de obligatoria observancia la aplicación de un enfoque de flexibilidad administrativa y acompañamiento técnico a los sujetos beneficiarios, en concordancia con el principio </w:t>
      </w:r>
      <w:proofErr w:type="spellStart"/>
      <w:r w:rsidRPr="005943CC">
        <w:rPr>
          <w:rFonts w:ascii="Times New Roman" w:eastAsia="Google Sans" w:hAnsi="Times New Roman" w:cs="Times New Roman"/>
          <w:color w:val="1F1F1F"/>
        </w:rPr>
        <w:t>pro-víctima</w:t>
      </w:r>
      <w:proofErr w:type="spellEnd"/>
      <w:r w:rsidRPr="005943CC">
        <w:rPr>
          <w:rFonts w:ascii="Times New Roman" w:eastAsia="Google Sans" w:hAnsi="Times New Roman" w:cs="Times New Roman"/>
          <w:color w:val="1F1F1F"/>
        </w:rPr>
        <w:t xml:space="preserve">. Se garantizará que los trámites sean simplificados, flexibles y ajustados al carácter reparador de las medidas. </w:t>
      </w:r>
    </w:p>
    <w:p w14:paraId="67C198A5" w14:textId="77777777" w:rsidR="00BE3FCE" w:rsidRPr="005943CC"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5943CC">
        <w:rPr>
          <w:rFonts w:ascii="Times New Roman" w:eastAsia="Google Sans" w:hAnsi="Times New Roman" w:cs="Times New Roman"/>
          <w:b/>
          <w:bCs/>
          <w:color w:val="1F1F1F"/>
        </w:rPr>
        <w:t>Parágrafo 1. Presunción de causalidad.</w:t>
      </w:r>
      <w:r w:rsidRPr="005943CC">
        <w:rPr>
          <w:rFonts w:ascii="Times New Roman" w:eastAsia="Google Sans" w:hAnsi="Times New Roman" w:cs="Times New Roman"/>
          <w:color w:val="1F1F1F"/>
        </w:rPr>
        <w:t xml:space="preserve"> Para efectos de demostrar que el incumplimiento tributario fue ocasionado o agravado por los daños derivados del conflicto armado en los términos del artículo 152B, bastará con la presentación de una declaración juramentada por parte del representante legal del Sujeto de Reparación Colectiva, la cual gozará de presunción de veracidad</w:t>
      </w:r>
      <w:r>
        <w:rPr>
          <w:rFonts w:ascii="Times New Roman" w:eastAsia="Google Sans" w:hAnsi="Times New Roman" w:cs="Times New Roman"/>
          <w:color w:val="1F1F1F"/>
        </w:rPr>
        <w:t xml:space="preserve">. </w:t>
      </w:r>
      <w:r w:rsidRPr="005943CC">
        <w:rPr>
          <w:rFonts w:ascii="Times New Roman" w:eastAsia="Google Sans" w:hAnsi="Times New Roman" w:cs="Times New Roman"/>
          <w:color w:val="1F1F1F"/>
        </w:rPr>
        <w:t xml:space="preserve">La DIAN, en ejercicio de sus facultades de fiscalización, podrá desvirtuar dicha presunción únicamente si demuestra fehacientemente, mediante acto administrativo motivado, que la mora fiscal obedeció a maniobras dolosas de elusión, evasión fiscal o enriquecimiento ilícito, completamente ajenas al hecho </w:t>
      </w:r>
      <w:proofErr w:type="spellStart"/>
      <w:r w:rsidRPr="005943CC">
        <w:rPr>
          <w:rFonts w:ascii="Times New Roman" w:eastAsia="Google Sans" w:hAnsi="Times New Roman" w:cs="Times New Roman"/>
          <w:color w:val="1F1F1F"/>
        </w:rPr>
        <w:t>victimizante</w:t>
      </w:r>
      <w:proofErr w:type="spellEnd"/>
      <w:r w:rsidRPr="005943CC">
        <w:rPr>
          <w:rFonts w:ascii="Times New Roman" w:eastAsia="Google Sans" w:hAnsi="Times New Roman" w:cs="Times New Roman"/>
          <w:color w:val="1F1F1F"/>
        </w:rPr>
        <w:t>.</w:t>
      </w:r>
    </w:p>
    <w:p w14:paraId="0909D872"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Artículo 9°.</w:t>
      </w:r>
      <w:r w:rsidRPr="00C33074">
        <w:rPr>
          <w:rFonts w:ascii="Times New Roman" w:eastAsia="Google Sans" w:hAnsi="Times New Roman" w:cs="Times New Roman"/>
          <w:color w:val="1F1F1F"/>
        </w:rPr>
        <w:t xml:space="preserve"> Adiciónese el artículo 152G al capítulo X del título IV de la Ley 1448 de 2011, el cual quedará así:</w:t>
      </w:r>
    </w:p>
    <w:p w14:paraId="59C15379" w14:textId="77777777" w:rsidR="00BE3FCE" w:rsidRPr="00C33074" w:rsidRDefault="00BE3FCE" w:rsidP="00BE3FCE">
      <w:pPr>
        <w:pBdr>
          <w:top w:val="nil"/>
          <w:left w:val="nil"/>
          <w:bottom w:val="nil"/>
          <w:right w:val="nil"/>
          <w:between w:val="nil"/>
        </w:pBdr>
        <w:spacing w:after="150"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Artículo 152G. Vigencia temporal de las solicitudes.</w:t>
      </w:r>
      <w:r w:rsidRPr="00C33074">
        <w:rPr>
          <w:rFonts w:ascii="Times New Roman" w:eastAsia="Google Sans" w:hAnsi="Times New Roman" w:cs="Times New Roman"/>
          <w:color w:val="1F1F1F"/>
        </w:rPr>
        <w:t xml:space="preserve"> Las medidas transitorias y los alivios establecidos en la presente Ley podrán ser invocadas y solicitadas desde su entrada en vigor y hasta el término de vigencia estipulado en el artículo 208 de la Ley 2078 de 2021 que prorroga la Ley de Víctimas. En todo caso, respecto del trámite aquí previsto, prevalecerán las reglas especiales de esta ley sobre el Decreto 624 de 1989.</w:t>
      </w:r>
    </w:p>
    <w:p w14:paraId="68AC1C6D" w14:textId="77777777" w:rsidR="00BE3FCE" w:rsidRPr="00C33074" w:rsidRDefault="00BE3FCE" w:rsidP="00BE3FCE">
      <w:pPr>
        <w:pBdr>
          <w:top w:val="nil"/>
          <w:left w:val="nil"/>
          <w:bottom w:val="nil"/>
          <w:right w:val="nil"/>
          <w:between w:val="nil"/>
        </w:pBdr>
        <w:spacing w:after="255" w:line="275" w:lineRule="auto"/>
        <w:jc w:val="both"/>
        <w:rPr>
          <w:rFonts w:ascii="Times New Roman" w:eastAsia="Google Sans" w:hAnsi="Times New Roman" w:cs="Times New Roman"/>
          <w:color w:val="1F1F1F"/>
        </w:rPr>
      </w:pPr>
      <w:r w:rsidRPr="00C33074">
        <w:rPr>
          <w:rFonts w:ascii="Times New Roman" w:eastAsia="Google Sans" w:hAnsi="Times New Roman" w:cs="Times New Roman"/>
          <w:b/>
          <w:bCs/>
          <w:color w:val="1F1F1F"/>
        </w:rPr>
        <w:t>Artículo 10°. Vigencia.</w:t>
      </w:r>
      <w:r w:rsidRPr="00C33074">
        <w:rPr>
          <w:rFonts w:ascii="Times New Roman" w:eastAsia="Google Sans" w:hAnsi="Times New Roman" w:cs="Times New Roman"/>
          <w:color w:val="1F1F1F"/>
        </w:rPr>
        <w:t xml:space="preserve"> La presente ley rige a partir de su promulgación en el Diario Oficial.</w:t>
      </w:r>
    </w:p>
    <w:p w14:paraId="712BA49F" w14:textId="77777777" w:rsidR="00BE3FCE" w:rsidRDefault="00BE3FCE" w:rsidP="00BE3FCE">
      <w:pPr>
        <w:jc w:val="both"/>
        <w:rPr>
          <w:rFonts w:ascii="Times New Roman" w:hAnsi="Times New Roman" w:cs="Times New Roman"/>
        </w:rPr>
      </w:pPr>
    </w:p>
    <w:p w14:paraId="5C003A23" w14:textId="77777777" w:rsidR="00BE3FCE" w:rsidRDefault="00BE3FCE" w:rsidP="00BE3FCE">
      <w:pPr>
        <w:jc w:val="both"/>
        <w:rPr>
          <w:rFonts w:ascii="Times New Roman" w:hAnsi="Times New Roman" w:cs="Times New Roman"/>
        </w:rPr>
      </w:pPr>
    </w:p>
    <w:p w14:paraId="2DCB68C6" w14:textId="5D50E9DC" w:rsidR="00BE3FCE" w:rsidRDefault="00BE3FCE" w:rsidP="00BE3FCE">
      <w:pPr>
        <w:jc w:val="both"/>
        <w:rPr>
          <w:rFonts w:ascii="Times New Roman" w:hAnsi="Times New Roman" w:cs="Times New Roman"/>
        </w:rPr>
      </w:pPr>
      <w:r>
        <w:rPr>
          <w:rFonts w:ascii="Times New Roman" w:hAnsi="Times New Roman" w:cs="Times New Roman"/>
        </w:rPr>
        <w:t>Cordialmente,</w:t>
      </w:r>
    </w:p>
    <w:p w14:paraId="6F7F5256" w14:textId="77777777" w:rsidR="00BE3FCE" w:rsidRDefault="00BE3FCE" w:rsidP="00BE3FCE">
      <w:pPr>
        <w:jc w:val="both"/>
        <w:rPr>
          <w:rFonts w:ascii="Times New Roman" w:hAnsi="Times New Roman" w:cs="Times New Roman"/>
        </w:rPr>
      </w:pPr>
    </w:p>
    <w:p w14:paraId="0286A85A" w14:textId="77777777" w:rsidR="00BE3FCE" w:rsidRDefault="00BE3FCE" w:rsidP="00BE3FCE">
      <w:pPr>
        <w:jc w:val="both"/>
        <w:rPr>
          <w:rFonts w:ascii="Times New Roman" w:hAnsi="Times New Roman" w:cs="Times New Roman"/>
        </w:rPr>
      </w:pPr>
    </w:p>
    <w:p w14:paraId="1B275825" w14:textId="77777777" w:rsidR="00BE3FCE" w:rsidRDefault="00BE3FCE" w:rsidP="00BE3FCE">
      <w:pPr>
        <w:jc w:val="both"/>
        <w:rPr>
          <w:rFonts w:ascii="Times New Roman" w:hAnsi="Times New Roman" w:cs="Times New Roman"/>
        </w:rPr>
      </w:pPr>
    </w:p>
    <w:p w14:paraId="2E72E96E" w14:textId="77777777" w:rsidR="00BE3FCE" w:rsidRDefault="00BE3FCE" w:rsidP="00BE3FCE">
      <w:pPr>
        <w:jc w:val="both"/>
        <w:rPr>
          <w:rFonts w:ascii="Times New Roman" w:hAnsi="Times New Roman" w:cs="Times New Roman"/>
        </w:rPr>
      </w:pPr>
    </w:p>
    <w:p w14:paraId="02F548F6" w14:textId="4F6D4813" w:rsidR="00BE3FCE" w:rsidRDefault="00BE3FCE" w:rsidP="00BE3FCE">
      <w:pPr>
        <w:jc w:val="both"/>
        <w:rPr>
          <w:rFonts w:ascii="Times New Roman" w:hAnsi="Times New Roman" w:cs="Times New Roman"/>
        </w:rPr>
      </w:pPr>
      <w:r>
        <w:rPr>
          <w:rFonts w:ascii="Times New Roman" w:hAnsi="Times New Roman" w:cs="Times New Roman"/>
        </w:rPr>
        <w:t xml:space="preserve">Gabriel Becerra </w:t>
      </w:r>
      <w:proofErr w:type="spellStart"/>
      <w:r>
        <w:rPr>
          <w:rFonts w:ascii="Times New Roman" w:hAnsi="Times New Roman" w:cs="Times New Roman"/>
        </w:rPr>
        <w:t>Yañez</w:t>
      </w:r>
      <w:proofErr w:type="spellEnd"/>
    </w:p>
    <w:p w14:paraId="5B738155" w14:textId="79980242" w:rsidR="007C4DA4" w:rsidRDefault="00BE3FCE" w:rsidP="007A19CF">
      <w:pPr>
        <w:jc w:val="both"/>
        <w:rPr>
          <w:rFonts w:ascii="Arial" w:hAnsi="Arial" w:cs="Arial"/>
        </w:rPr>
      </w:pPr>
      <w:r>
        <w:rPr>
          <w:rFonts w:ascii="Times New Roman" w:hAnsi="Times New Roman" w:cs="Times New Roman"/>
        </w:rPr>
        <w:t xml:space="preserve">Representante a la Cámara </w:t>
      </w:r>
    </w:p>
    <w:p w14:paraId="15684BB4" w14:textId="77777777" w:rsidR="007C4DA4" w:rsidRDefault="007C4DA4" w:rsidP="007C4DA4">
      <w:pPr>
        <w:pStyle w:val="Textoindependiente"/>
        <w:rPr>
          <w:rFonts w:ascii="Arial" w:hAnsi="Arial" w:cs="Arial"/>
        </w:rPr>
      </w:pPr>
    </w:p>
    <w:p w14:paraId="229D5014" w14:textId="77777777" w:rsidR="007C4DA4" w:rsidRDefault="007C4DA4" w:rsidP="007C4DA4">
      <w:pPr>
        <w:pStyle w:val="Textoindependiente"/>
        <w:rPr>
          <w:rFonts w:ascii="Arial" w:hAnsi="Arial" w:cs="Arial"/>
        </w:rPr>
      </w:pPr>
    </w:p>
    <w:p w14:paraId="46278155" w14:textId="77777777" w:rsidR="007C4DA4" w:rsidRDefault="007C4DA4" w:rsidP="007C4DA4">
      <w:pPr>
        <w:pStyle w:val="Textoindependiente"/>
        <w:rPr>
          <w:rFonts w:ascii="Arial" w:hAnsi="Arial" w:cs="Arial"/>
        </w:rPr>
      </w:pPr>
    </w:p>
    <w:p w14:paraId="3F189E95" w14:textId="77777777" w:rsidR="007C4DA4" w:rsidRDefault="007C4DA4" w:rsidP="007C4DA4">
      <w:pPr>
        <w:pStyle w:val="Textoindependiente"/>
        <w:rPr>
          <w:rFonts w:ascii="Arial" w:hAnsi="Arial" w:cs="Arial"/>
        </w:rPr>
      </w:pPr>
    </w:p>
    <w:p w14:paraId="4A115236" w14:textId="77777777" w:rsidR="007C4DA4" w:rsidRDefault="007C4DA4" w:rsidP="007C4DA4">
      <w:pPr>
        <w:pStyle w:val="Textoindependiente"/>
        <w:rPr>
          <w:rFonts w:ascii="Arial" w:hAnsi="Arial" w:cs="Arial"/>
        </w:rPr>
      </w:pPr>
    </w:p>
    <w:p w14:paraId="2E01F966" w14:textId="77777777" w:rsidR="007C4DA4" w:rsidRDefault="007C4DA4" w:rsidP="007C4DA4">
      <w:pPr>
        <w:pStyle w:val="Textoindependiente"/>
        <w:rPr>
          <w:rFonts w:ascii="Arial" w:hAnsi="Arial" w:cs="Arial"/>
        </w:rPr>
      </w:pPr>
    </w:p>
    <w:p w14:paraId="7C28859F" w14:textId="77777777" w:rsidR="007C4DA4" w:rsidRDefault="007C4DA4" w:rsidP="007C4DA4">
      <w:pPr>
        <w:pStyle w:val="Textoindependiente"/>
        <w:rPr>
          <w:rFonts w:ascii="Arial" w:hAnsi="Arial" w:cs="Arial"/>
        </w:rPr>
      </w:pPr>
    </w:p>
    <w:p w14:paraId="0CA44EFC" w14:textId="77777777" w:rsidR="007C4DA4" w:rsidRDefault="007C4DA4" w:rsidP="007C4DA4">
      <w:pPr>
        <w:pStyle w:val="Textoindependiente"/>
        <w:rPr>
          <w:rFonts w:ascii="Arial" w:hAnsi="Arial" w:cs="Arial"/>
        </w:rPr>
      </w:pPr>
    </w:p>
    <w:sectPr w:rsidR="007C4DA4" w:rsidSect="003C2869">
      <w:headerReference w:type="default" r:id="rId11"/>
      <w:pgSz w:w="12240" w:h="15840"/>
      <w:pgMar w:top="2448" w:right="1019" w:bottom="1638" w:left="73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DC00" w14:textId="77777777" w:rsidR="00BC33D1" w:rsidRDefault="00BC33D1">
      <w:r>
        <w:separator/>
      </w:r>
    </w:p>
  </w:endnote>
  <w:endnote w:type="continuationSeparator" w:id="0">
    <w:p w14:paraId="3049B3AA" w14:textId="77777777" w:rsidR="00BC33D1" w:rsidRDefault="00BC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ogle Sans">
    <w:altName w:val="Calibri"/>
    <w:charset w:val="00"/>
    <w:family w:val="auto"/>
    <w:pitch w:val="default"/>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F6CC" w14:textId="77777777" w:rsidR="00BC33D1" w:rsidRDefault="00BC33D1">
      <w:r>
        <w:separator/>
      </w:r>
    </w:p>
  </w:footnote>
  <w:footnote w:type="continuationSeparator" w:id="0">
    <w:p w14:paraId="2241F11E" w14:textId="77777777" w:rsidR="00BC33D1" w:rsidRDefault="00BC33D1">
      <w:r>
        <w:continuationSeparator/>
      </w:r>
    </w:p>
  </w:footnote>
  <w:footnote w:id="1">
    <w:p w14:paraId="70912B2A" w14:textId="77777777" w:rsidR="00BE3FCE" w:rsidRPr="00E040EC" w:rsidRDefault="00BE3FCE" w:rsidP="00BE3FCE">
      <w:pPr>
        <w:pStyle w:val="Textonotapie"/>
        <w:ind w:left="708" w:hanging="708"/>
      </w:pPr>
      <w:r>
        <w:rPr>
          <w:rStyle w:val="Refdenotaalpie"/>
        </w:rPr>
        <w:footnoteRef/>
      </w:r>
      <w:r w:rsidRPr="008F08AC">
        <w:rPr>
          <w:lang w:val="en-US"/>
        </w:rPr>
        <w:t xml:space="preserve"> </w:t>
      </w:r>
      <w:r>
        <w:rPr>
          <w:lang w:val="en-US"/>
        </w:rPr>
        <w:t xml:space="preserve">C. Const., </w:t>
      </w:r>
      <w:r w:rsidRPr="008F08AC">
        <w:rPr>
          <w:lang w:val="en-US"/>
        </w:rPr>
        <w:t>S</w:t>
      </w:r>
      <w:r>
        <w:rPr>
          <w:lang w:val="en-US"/>
        </w:rPr>
        <w:t xml:space="preserve">ent. </w:t>
      </w:r>
      <w:r w:rsidRPr="00FF06BE">
        <w:rPr>
          <w:lang w:val="en-US"/>
        </w:rPr>
        <w:t xml:space="preserve">U-254, abr. 24/13. </w:t>
      </w:r>
      <w:r w:rsidRPr="00E040EC">
        <w:t>M.P. Luis</w:t>
      </w:r>
      <w:r>
        <w:t xml:space="preserve"> Ernesto Vargas Silva</w:t>
      </w:r>
    </w:p>
  </w:footnote>
  <w:footnote w:id="2">
    <w:p w14:paraId="0C31DC3A" w14:textId="77777777" w:rsidR="00BE3FCE" w:rsidRPr="00C02081" w:rsidRDefault="00BE3FCE" w:rsidP="00BE3FCE">
      <w:pPr>
        <w:pStyle w:val="Textonotapie"/>
      </w:pPr>
      <w:r>
        <w:rPr>
          <w:rStyle w:val="Refdenotaalpie"/>
        </w:rPr>
        <w:footnoteRef/>
      </w:r>
      <w:r w:rsidRPr="00C02081">
        <w:rPr>
          <w:lang w:val="en-US"/>
        </w:rPr>
        <w:t xml:space="preserve"> C. Const., Sent.</w:t>
      </w:r>
      <w:r>
        <w:rPr>
          <w:lang w:val="en-US"/>
        </w:rPr>
        <w:t xml:space="preserve"> </w:t>
      </w:r>
      <w:r w:rsidRPr="00FF06BE">
        <w:rPr>
          <w:lang w:val="en-US"/>
        </w:rPr>
        <w:t xml:space="preserve">C-333, ago. 1/96. </w:t>
      </w:r>
      <w:r w:rsidRPr="00C02081">
        <w:t>M.P. Alejandro Martí</w:t>
      </w:r>
      <w:r>
        <w:t>nez Caballero</w:t>
      </w:r>
    </w:p>
  </w:footnote>
  <w:footnote w:id="3">
    <w:p w14:paraId="6FDA5B2F" w14:textId="77777777" w:rsidR="00BE3FCE" w:rsidRPr="006D169F" w:rsidRDefault="00BE3FCE" w:rsidP="00BE3FCE">
      <w:pPr>
        <w:pStyle w:val="Textonotapie"/>
      </w:pPr>
      <w:r>
        <w:rPr>
          <w:rStyle w:val="Refdenotaalpie"/>
        </w:rPr>
        <w:footnoteRef/>
      </w:r>
      <w:r w:rsidRPr="006D169F">
        <w:t xml:space="preserve"> CIDH, Resolución No. 2/26. Políticas f</w:t>
      </w:r>
      <w:r>
        <w:t xml:space="preserve">iscales y derechos humanos en las américas. </w:t>
      </w:r>
      <w:r w:rsidRPr="006D169F">
        <w:t>Relator Especial sobre Derechos Económicos, Sociales, Culturales y Ambientales</w:t>
      </w:r>
    </w:p>
  </w:footnote>
  <w:footnote w:id="4">
    <w:p w14:paraId="26E90A2B" w14:textId="77777777" w:rsidR="00BE3FCE" w:rsidRDefault="00BE3FCE" w:rsidP="00BE3FCE">
      <w:pPr>
        <w:pStyle w:val="Textonotapie"/>
        <w:rPr>
          <w:rFonts w:ascii="Arial" w:hAnsi="Arial" w:cs="Arial"/>
        </w:rPr>
      </w:pPr>
      <w:r>
        <w:rPr>
          <w:rStyle w:val="Refdenotaalpie"/>
          <w:lang w:val="es-ES"/>
        </w:rPr>
        <w:footnoteRef/>
      </w:r>
      <w:r w:rsidRPr="00FF06BE">
        <w:t xml:space="preserve"> C. Const., Sent. C-916. Oct. 29/2002. </w:t>
      </w:r>
      <w:r>
        <w:t>M.P: Manuel José Cepeda Espinosa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682C" w14:textId="77777777" w:rsidR="003C2869" w:rsidRDefault="003C2869">
    <w:pPr>
      <w:tabs>
        <w:tab w:val="center" w:pos="4680"/>
        <w:tab w:val="right" w:pos="9360"/>
      </w:tabs>
      <w:jc w:val="both"/>
      <w:rPr>
        <w:rFonts w:ascii="Work Sans" w:eastAsia="Work Sans" w:hAnsi="Work Sans" w:cs="Work Sans"/>
        <w:b/>
      </w:rPr>
    </w:pPr>
    <w:bookmarkStart w:id="0" w:name="_heading=h.gjdgxs" w:colFirst="0" w:colLast="0"/>
    <w:bookmarkEnd w:id="0"/>
    <w:r>
      <w:rPr>
        <w:noProof/>
      </w:rPr>
      <w:drawing>
        <wp:anchor distT="0" distB="0" distL="0" distR="0" simplePos="0" relativeHeight="251658240" behindDoc="1" locked="0" layoutInCell="1" hidden="0" allowOverlap="1" wp14:anchorId="181DA2E6" wp14:editId="12C257B1">
          <wp:simplePos x="0" y="0"/>
          <wp:positionH relativeFrom="page">
            <wp:align>right</wp:align>
          </wp:positionH>
          <wp:positionV relativeFrom="paragraph">
            <wp:posOffset>-388620</wp:posOffset>
          </wp:positionV>
          <wp:extent cx="7765435" cy="10049435"/>
          <wp:effectExtent l="0" t="0" r="6985" b="9525"/>
          <wp:wrapNone/>
          <wp:docPr id="65"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
                  <a:srcRect/>
                  <a:stretch>
                    <a:fillRect/>
                  </a:stretch>
                </pic:blipFill>
                <pic:spPr>
                  <a:xfrm>
                    <a:off x="0" y="0"/>
                    <a:ext cx="7765435" cy="10049435"/>
                  </a:xfrm>
                  <a:prstGeom prst="rect">
                    <a:avLst/>
                  </a:prstGeom>
                  <a:ln/>
                </pic:spPr>
              </pic:pic>
            </a:graphicData>
          </a:graphic>
        </wp:anchor>
      </w:drawing>
    </w:r>
  </w:p>
  <w:p w14:paraId="7AD612DC" w14:textId="77777777" w:rsidR="003C2869" w:rsidRDefault="003C2869">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4F7"/>
    <w:multiLevelType w:val="hybridMultilevel"/>
    <w:tmpl w:val="192AC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923725"/>
    <w:multiLevelType w:val="multilevel"/>
    <w:tmpl w:val="647C4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C42CB5"/>
    <w:multiLevelType w:val="multilevel"/>
    <w:tmpl w:val="8A30FA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FD461E"/>
    <w:multiLevelType w:val="hybridMultilevel"/>
    <w:tmpl w:val="AC76B760"/>
    <w:lvl w:ilvl="0" w:tplc="240A0015">
      <w:start w:val="1"/>
      <w:numFmt w:val="upp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202D6E"/>
    <w:multiLevelType w:val="hybridMultilevel"/>
    <w:tmpl w:val="1E18D2A4"/>
    <w:lvl w:ilvl="0" w:tplc="695A02D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4429A9"/>
    <w:multiLevelType w:val="hybridMultilevel"/>
    <w:tmpl w:val="745A3C28"/>
    <w:lvl w:ilvl="0" w:tplc="4BF6987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4D5DFB"/>
    <w:multiLevelType w:val="multilevel"/>
    <w:tmpl w:val="72B277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AC36AC"/>
    <w:multiLevelType w:val="multilevel"/>
    <w:tmpl w:val="3974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0310C8"/>
    <w:multiLevelType w:val="multilevel"/>
    <w:tmpl w:val="9A96EF6A"/>
    <w:lvl w:ilvl="0">
      <w:start w:val="1"/>
      <w:numFmt w:val="decimal"/>
      <w:lvlText w:val="%1."/>
      <w:lvlJc w:val="left"/>
      <w:pPr>
        <w:ind w:left="570" w:hanging="360"/>
      </w:pPr>
      <w:rPr>
        <w:rFonts w:ascii="Times New Roman" w:eastAsia="Arial" w:hAnsi="Times New Roman" w:cs="Times New Roman" w:hint="default"/>
        <w:b/>
        <w:bCs/>
        <w:i w:val="0"/>
        <w:iCs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7D300063"/>
    <w:multiLevelType w:val="hybridMultilevel"/>
    <w:tmpl w:val="0E0E77F8"/>
    <w:lvl w:ilvl="0" w:tplc="079415C2">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6"/>
  </w:num>
  <w:num w:numId="2">
    <w:abstractNumId w:val="1"/>
  </w:num>
  <w:num w:numId="3">
    <w:abstractNumId w:val="7"/>
  </w:num>
  <w:num w:numId="4">
    <w:abstractNumId w:val="2"/>
  </w:num>
  <w:num w:numId="5">
    <w:abstractNumId w:val="0"/>
  </w:num>
  <w:num w:numId="6">
    <w:abstractNumId w:val="5"/>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88"/>
    <w:rsid w:val="00005DE5"/>
    <w:rsid w:val="0006720F"/>
    <w:rsid w:val="00082730"/>
    <w:rsid w:val="000B3E91"/>
    <w:rsid w:val="000C6FA8"/>
    <w:rsid w:val="00102C89"/>
    <w:rsid w:val="00176B5D"/>
    <w:rsid w:val="0019089F"/>
    <w:rsid w:val="0019672A"/>
    <w:rsid w:val="00220AEA"/>
    <w:rsid w:val="0022161C"/>
    <w:rsid w:val="0023688E"/>
    <w:rsid w:val="0024587A"/>
    <w:rsid w:val="002F33F0"/>
    <w:rsid w:val="002F3687"/>
    <w:rsid w:val="00302323"/>
    <w:rsid w:val="00343E84"/>
    <w:rsid w:val="0036754B"/>
    <w:rsid w:val="00373188"/>
    <w:rsid w:val="003C2869"/>
    <w:rsid w:val="00432EB8"/>
    <w:rsid w:val="00436FA2"/>
    <w:rsid w:val="00457E75"/>
    <w:rsid w:val="004E2393"/>
    <w:rsid w:val="00521EE9"/>
    <w:rsid w:val="005365FE"/>
    <w:rsid w:val="00553818"/>
    <w:rsid w:val="0056486A"/>
    <w:rsid w:val="00567803"/>
    <w:rsid w:val="00567C6B"/>
    <w:rsid w:val="005F1973"/>
    <w:rsid w:val="00626241"/>
    <w:rsid w:val="006B01D8"/>
    <w:rsid w:val="00750143"/>
    <w:rsid w:val="007A19CF"/>
    <w:rsid w:val="007B4DF3"/>
    <w:rsid w:val="007C4DA4"/>
    <w:rsid w:val="00845C2A"/>
    <w:rsid w:val="0085519B"/>
    <w:rsid w:val="008A46A8"/>
    <w:rsid w:val="00954F2E"/>
    <w:rsid w:val="00963AE6"/>
    <w:rsid w:val="00A17417"/>
    <w:rsid w:val="00A369E0"/>
    <w:rsid w:val="00A479FF"/>
    <w:rsid w:val="00A7589B"/>
    <w:rsid w:val="00B3033F"/>
    <w:rsid w:val="00BC2ACD"/>
    <w:rsid w:val="00BC33D1"/>
    <w:rsid w:val="00BD04C7"/>
    <w:rsid w:val="00BD0955"/>
    <w:rsid w:val="00BE3FCE"/>
    <w:rsid w:val="00C2623C"/>
    <w:rsid w:val="00C930AC"/>
    <w:rsid w:val="00CB3752"/>
    <w:rsid w:val="00CC15F9"/>
    <w:rsid w:val="00CF4092"/>
    <w:rsid w:val="00D55023"/>
    <w:rsid w:val="00DD6F11"/>
    <w:rsid w:val="00DD7786"/>
    <w:rsid w:val="00DE55D3"/>
    <w:rsid w:val="00E0183B"/>
    <w:rsid w:val="00E15AB2"/>
    <w:rsid w:val="00E22C1A"/>
    <w:rsid w:val="00E642EB"/>
    <w:rsid w:val="00E92D75"/>
    <w:rsid w:val="00EA2AFC"/>
    <w:rsid w:val="00F943BD"/>
    <w:rsid w:val="00FA5D3F"/>
    <w:rsid w:val="00FA6E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7987B"/>
  <w15:docId w15:val="{5543286F-8257-491C-818F-312621AA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2DA"/>
    <w:pPr>
      <w:tabs>
        <w:tab w:val="center" w:pos="4680"/>
        <w:tab w:val="right" w:pos="9360"/>
      </w:tabs>
    </w:pPr>
  </w:style>
  <w:style w:type="character" w:customStyle="1" w:styleId="EncabezadoCar">
    <w:name w:val="Encabezado Car"/>
    <w:basedOn w:val="Fuentedeprrafopredeter"/>
    <w:link w:val="Encabezado"/>
    <w:uiPriority w:val="99"/>
    <w:rsid w:val="007D22DA"/>
  </w:style>
  <w:style w:type="paragraph" w:styleId="Piedepgina">
    <w:name w:val="footer"/>
    <w:basedOn w:val="Normal"/>
    <w:link w:val="PiedepginaCar"/>
    <w:uiPriority w:val="99"/>
    <w:unhideWhenUsed/>
    <w:rsid w:val="007D22DA"/>
    <w:pPr>
      <w:tabs>
        <w:tab w:val="center" w:pos="4680"/>
        <w:tab w:val="right" w:pos="9360"/>
      </w:tabs>
    </w:pPr>
  </w:style>
  <w:style w:type="character" w:customStyle="1" w:styleId="PiedepginaCar">
    <w:name w:val="Pie de página Car"/>
    <w:basedOn w:val="Fuentedeprrafopredeter"/>
    <w:link w:val="Piedepgina"/>
    <w:uiPriority w:val="99"/>
    <w:rsid w:val="007D22DA"/>
  </w:style>
  <w:style w:type="character" w:styleId="Hipervnculo">
    <w:name w:val="Hyperlink"/>
    <w:basedOn w:val="Fuentedeprrafopredeter"/>
    <w:uiPriority w:val="99"/>
    <w:unhideWhenUsed/>
    <w:rsid w:val="008860DA"/>
    <w:rPr>
      <w:color w:val="0563C1" w:themeColor="hyperlink"/>
      <w:u w:val="single"/>
    </w:rPr>
  </w:style>
  <w:style w:type="character" w:customStyle="1" w:styleId="Mencinsinresolver1">
    <w:name w:val="Mención sin resolver1"/>
    <w:basedOn w:val="Fuentedeprrafopredeter"/>
    <w:uiPriority w:val="99"/>
    <w:semiHidden/>
    <w:unhideWhenUsed/>
    <w:rsid w:val="008860DA"/>
    <w:rPr>
      <w:color w:val="605E5C"/>
      <w:shd w:val="clear" w:color="auto" w:fill="E1DFDD"/>
    </w:rPr>
  </w:style>
  <w:style w:type="paragraph" w:styleId="NormalWeb">
    <w:name w:val="Normal (Web)"/>
    <w:basedOn w:val="Normal"/>
    <w:uiPriority w:val="99"/>
    <w:semiHidden/>
    <w:unhideWhenUsed/>
    <w:rsid w:val="008860DA"/>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C2D7A"/>
    <w:pPr>
      <w:ind w:left="720"/>
      <w:contextualSpacing/>
    </w:pPr>
  </w:style>
  <w:style w:type="paragraph" w:styleId="Textonotapie">
    <w:name w:val="footnote text"/>
    <w:basedOn w:val="Normal"/>
    <w:link w:val="TextonotapieCar"/>
    <w:uiPriority w:val="99"/>
    <w:semiHidden/>
    <w:unhideWhenUsed/>
    <w:rsid w:val="00F65E50"/>
    <w:rPr>
      <w:sz w:val="20"/>
      <w:szCs w:val="20"/>
    </w:rPr>
  </w:style>
  <w:style w:type="character" w:customStyle="1" w:styleId="TextonotapieCar">
    <w:name w:val="Texto nota pie Car"/>
    <w:basedOn w:val="Fuentedeprrafopredeter"/>
    <w:link w:val="Textonotapie"/>
    <w:uiPriority w:val="99"/>
    <w:semiHidden/>
    <w:rsid w:val="00F65E50"/>
    <w:rPr>
      <w:sz w:val="20"/>
      <w:szCs w:val="20"/>
    </w:rPr>
  </w:style>
  <w:style w:type="character" w:styleId="Refdenotaalpie">
    <w:name w:val="footnote reference"/>
    <w:basedOn w:val="Fuentedeprrafopredeter"/>
    <w:uiPriority w:val="99"/>
    <w:semiHidden/>
    <w:unhideWhenUsed/>
    <w:rsid w:val="00F65E50"/>
    <w:rPr>
      <w:vertAlign w:val="superscript"/>
    </w:rPr>
  </w:style>
  <w:style w:type="table" w:styleId="Tablaconcuadrcula">
    <w:name w:val="Table Grid"/>
    <w:basedOn w:val="Tablanormal"/>
    <w:uiPriority w:val="39"/>
    <w:rsid w:val="00412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2D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D3A"/>
    <w:rPr>
      <w:rFonts w:ascii="Segoe UI" w:hAnsi="Segoe UI" w:cs="Segoe UI"/>
      <w:sz w:val="18"/>
      <w:szCs w:val="1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567C6B"/>
    <w:pPr>
      <w:widowControl w:val="0"/>
      <w:autoSpaceDE w:val="0"/>
      <w:autoSpaceDN w:val="0"/>
    </w:pPr>
    <w:rPr>
      <w:rFonts w:ascii="Trebuchet MS" w:eastAsia="Trebuchet MS" w:hAnsi="Trebuchet MS" w:cs="Trebuchet MS"/>
      <w:sz w:val="20"/>
      <w:szCs w:val="20"/>
      <w:lang w:val="es-ES" w:eastAsia="en-US"/>
    </w:rPr>
  </w:style>
  <w:style w:type="character" w:customStyle="1" w:styleId="TextoindependienteCar">
    <w:name w:val="Texto independiente Car"/>
    <w:basedOn w:val="Fuentedeprrafopredeter"/>
    <w:link w:val="Textoindependiente"/>
    <w:uiPriority w:val="1"/>
    <w:rsid w:val="00567C6B"/>
    <w:rPr>
      <w:rFonts w:ascii="Trebuchet MS" w:eastAsia="Trebuchet MS" w:hAnsi="Trebuchet MS" w:cs="Trebuchet MS"/>
      <w:sz w:val="20"/>
      <w:szCs w:val="20"/>
      <w:lang w:val="es-ES" w:eastAsia="en-US"/>
    </w:rPr>
  </w:style>
  <w:style w:type="character" w:styleId="Textoennegrita">
    <w:name w:val="Strong"/>
    <w:basedOn w:val="Fuentedeprrafopredeter"/>
    <w:uiPriority w:val="22"/>
    <w:qFormat/>
    <w:rsid w:val="00CB3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92592">
      <w:bodyDiv w:val="1"/>
      <w:marLeft w:val="0"/>
      <w:marRight w:val="0"/>
      <w:marTop w:val="0"/>
      <w:marBottom w:val="0"/>
      <w:divBdr>
        <w:top w:val="none" w:sz="0" w:space="0" w:color="auto"/>
        <w:left w:val="none" w:sz="0" w:space="0" w:color="auto"/>
        <w:bottom w:val="none" w:sz="0" w:space="0" w:color="auto"/>
        <w:right w:val="none" w:sz="0" w:space="0" w:color="auto"/>
      </w:divBdr>
    </w:div>
    <w:div w:id="167047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estatuto_tributario_pr02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senado/basedoc/estatuto_tributario.html" TargetMode="External"/><Relationship Id="rId4" Type="http://schemas.openxmlformats.org/officeDocument/2006/relationships/settings" Target="settings.xml"/><Relationship Id="rId9" Type="http://schemas.openxmlformats.org/officeDocument/2006/relationships/hyperlink" Target="http://www.secretariasenado.gov.co/senado/basedoc/estatuto_tributario_pr02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4pMPEkpKik3mA8j4A0yJXCmeDw==">CgMxLjAyCGguZ2pkZ3hzMghoLmdqZGd4czgAciExbU53c3Ffa0kwcHZ3SElfM3lpU2NoVm05cVljbWYyT00=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9849</Words>
  <Characters>54175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 Paula Parada Chaparro</cp:lastModifiedBy>
  <cp:revision>3</cp:revision>
  <cp:lastPrinted>2026-05-20T21:33:00Z</cp:lastPrinted>
  <dcterms:created xsi:type="dcterms:W3CDTF">2026-05-20T21:36:00Z</dcterms:created>
  <dcterms:modified xsi:type="dcterms:W3CDTF">2026-05-20T22:02:00Z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0x0101000B16E336650B5B468EAC91A61E5E645D</vt:lpwstr>
  </property>
</Properties>
</file>