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E6A0D" w14:textId="77777777" w:rsidR="00C513F2" w:rsidRDefault="00C513F2">
      <w:pPr>
        <w:shd w:val="clear" w:color="auto" w:fill="FFFFFF"/>
        <w:spacing w:line="276" w:lineRule="auto"/>
        <w:ind w:right="-703"/>
        <w:rPr>
          <w:rFonts w:ascii="Georgia" w:eastAsia="Georgia" w:hAnsi="Georgia" w:cs="Georgia"/>
          <w:sz w:val="22"/>
          <w:szCs w:val="22"/>
        </w:rPr>
      </w:pPr>
    </w:p>
    <w:p w14:paraId="4C6770F4" w14:textId="77777777" w:rsidR="00C513F2" w:rsidRDefault="00C513F2">
      <w:pPr>
        <w:shd w:val="clear" w:color="auto" w:fill="FFFFFF"/>
        <w:spacing w:line="276" w:lineRule="auto"/>
        <w:ind w:right="-703"/>
        <w:rPr>
          <w:rFonts w:ascii="Georgia" w:eastAsia="Georgia" w:hAnsi="Georgia" w:cs="Georgia"/>
          <w:sz w:val="22"/>
          <w:szCs w:val="22"/>
        </w:rPr>
      </w:pPr>
    </w:p>
    <w:p w14:paraId="376520A0" w14:textId="77777777" w:rsidR="00C513F2" w:rsidRDefault="00112522">
      <w:pPr>
        <w:shd w:val="clear" w:color="auto" w:fill="FFFFFF"/>
        <w:spacing w:line="276" w:lineRule="auto"/>
        <w:ind w:right="-703"/>
        <w:rPr>
          <w:rFonts w:ascii="Times New Roman" w:eastAsia="Times New Roman" w:hAnsi="Times New Roman" w:cs="Times New Roman"/>
        </w:rPr>
      </w:pPr>
      <w:r>
        <w:rPr>
          <w:rFonts w:ascii="Times New Roman" w:eastAsia="Times New Roman" w:hAnsi="Times New Roman" w:cs="Times New Roman"/>
        </w:rPr>
        <w:t>Bogotá D.C., 12 de mayo de 2026</w:t>
      </w:r>
    </w:p>
    <w:p w14:paraId="3DA167C0" w14:textId="77777777" w:rsidR="00C513F2" w:rsidRDefault="00C513F2">
      <w:pPr>
        <w:shd w:val="clear" w:color="auto" w:fill="FFFFFF"/>
        <w:spacing w:before="280" w:line="276" w:lineRule="auto"/>
        <w:ind w:right="-703"/>
        <w:rPr>
          <w:rFonts w:ascii="Times New Roman" w:eastAsia="Times New Roman" w:hAnsi="Times New Roman" w:cs="Times New Roman"/>
        </w:rPr>
      </w:pPr>
    </w:p>
    <w:p w14:paraId="7416117B" w14:textId="77777777" w:rsidR="00C513F2" w:rsidRDefault="00112522">
      <w:pPr>
        <w:shd w:val="clear" w:color="auto" w:fill="FFFFFF"/>
        <w:spacing w:before="280" w:line="276" w:lineRule="auto"/>
        <w:ind w:right="-703"/>
        <w:rPr>
          <w:rFonts w:ascii="Times New Roman" w:eastAsia="Times New Roman" w:hAnsi="Times New Roman" w:cs="Times New Roman"/>
          <w:b/>
          <w:bCs/>
        </w:rPr>
      </w:pPr>
      <w:r>
        <w:rPr>
          <w:rFonts w:ascii="Times New Roman" w:eastAsia="Times New Roman" w:hAnsi="Times New Roman" w:cs="Times New Roman"/>
        </w:rPr>
        <w:t>Doctor</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Doctora</w:t>
      </w:r>
    </w:p>
    <w:p w14:paraId="0DA988A2" w14:textId="77777777" w:rsidR="00C513F2" w:rsidRDefault="00112522">
      <w:pPr>
        <w:shd w:val="clear" w:color="auto" w:fill="FFFFFF"/>
        <w:spacing w:line="276" w:lineRule="auto"/>
        <w:ind w:right="-703"/>
        <w:rPr>
          <w:rFonts w:ascii="Times New Roman" w:eastAsia="Times New Roman" w:hAnsi="Times New Roman" w:cs="Times New Roman"/>
          <w:b/>
          <w:bCs/>
        </w:rPr>
      </w:pPr>
      <w:r>
        <w:rPr>
          <w:rFonts w:ascii="Times New Roman" w:eastAsia="Times New Roman" w:hAnsi="Times New Roman" w:cs="Times New Roman"/>
          <w:b/>
          <w:bCs/>
        </w:rPr>
        <w:t>Gabriel Becerra Yañez</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Amparo </w:t>
      </w:r>
      <w:r>
        <w:rPr>
          <w:rFonts w:ascii="Times New Roman" w:eastAsia="Times New Roman" w:hAnsi="Times New Roman" w:cs="Times New Roman"/>
          <w:b/>
          <w:bCs/>
          <w:highlight w:val="white"/>
        </w:rPr>
        <w:t xml:space="preserve">Yaneth Calderón </w:t>
      </w:r>
    </w:p>
    <w:p w14:paraId="3BEB6686" w14:textId="77777777" w:rsidR="00C513F2" w:rsidRDefault="00112522">
      <w:pPr>
        <w:shd w:val="clear" w:color="auto" w:fill="FFFFFF"/>
        <w:spacing w:line="276" w:lineRule="auto"/>
        <w:ind w:right="-703"/>
        <w:rPr>
          <w:rFonts w:ascii="Times New Roman" w:eastAsia="Times New Roman" w:hAnsi="Times New Roman" w:cs="Times New Roman"/>
          <w:b/>
          <w:bCs/>
        </w:rPr>
      </w:pPr>
      <w:r>
        <w:rPr>
          <w:rFonts w:ascii="Times New Roman" w:eastAsia="Times New Roman" w:hAnsi="Times New Roman" w:cs="Times New Roman"/>
          <w:b/>
          <w:bCs/>
        </w:rPr>
        <w:t>Presidente Comisión Primera</w:t>
      </w:r>
      <w:r>
        <w:rPr>
          <w:rFonts w:ascii="Times New Roman" w:eastAsia="Times New Roman" w:hAnsi="Times New Roman" w:cs="Times New Roman"/>
          <w:b/>
          <w:bCs/>
        </w:rPr>
        <w:tab/>
      </w:r>
      <w:r>
        <w:rPr>
          <w:rFonts w:ascii="Times New Roman" w:eastAsia="Times New Roman" w:hAnsi="Times New Roman" w:cs="Times New Roman"/>
          <w:b/>
          <w:bCs/>
        </w:rPr>
        <w:tab/>
        <w:t>Secretaria Comisión Primera</w:t>
      </w:r>
    </w:p>
    <w:p w14:paraId="50C8FAF2" w14:textId="77777777" w:rsidR="00C513F2" w:rsidRDefault="00112522">
      <w:pPr>
        <w:shd w:val="clear" w:color="auto" w:fill="FFFFFF"/>
        <w:spacing w:line="276" w:lineRule="auto"/>
        <w:ind w:right="-703"/>
        <w:rPr>
          <w:rFonts w:ascii="Times New Roman" w:eastAsia="Times New Roman" w:hAnsi="Times New Roman" w:cs="Times New Roman"/>
          <w:b/>
          <w:bCs/>
        </w:rPr>
      </w:pPr>
      <w:r>
        <w:rPr>
          <w:rFonts w:ascii="Times New Roman" w:eastAsia="Times New Roman" w:hAnsi="Times New Roman" w:cs="Times New Roman"/>
          <w:b/>
          <w:bCs/>
        </w:rPr>
        <w:t xml:space="preserve">Cámara de Representantes </w:t>
      </w:r>
    </w:p>
    <w:p w14:paraId="494FEEB4" w14:textId="77777777" w:rsidR="00C513F2" w:rsidRDefault="00112522">
      <w:pPr>
        <w:shd w:val="clear" w:color="auto" w:fill="FFFFFF"/>
        <w:spacing w:line="276" w:lineRule="auto"/>
        <w:ind w:right="-703"/>
        <w:rPr>
          <w:rFonts w:ascii="Times New Roman" w:eastAsia="Times New Roman" w:hAnsi="Times New Roman" w:cs="Times New Roman"/>
        </w:rPr>
      </w:pPr>
      <w:r>
        <w:rPr>
          <w:rFonts w:ascii="Times New Roman" w:eastAsia="Times New Roman" w:hAnsi="Times New Roman" w:cs="Times New Roman"/>
        </w:rPr>
        <w:t xml:space="preserve">Ciudad </w:t>
      </w:r>
    </w:p>
    <w:p w14:paraId="1A855299"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07BE7DF2"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31F24F88" w14:textId="3B058477" w:rsidR="00C513F2" w:rsidRPr="00405D2F" w:rsidRDefault="00112522">
      <w:pPr>
        <w:shd w:val="clear" w:color="auto" w:fill="FFFFFF"/>
        <w:spacing w:line="276" w:lineRule="auto"/>
        <w:ind w:left="2551" w:right="-703"/>
        <w:jc w:val="both"/>
        <w:rPr>
          <w:rFonts w:ascii="Times New Roman" w:eastAsia="Times New Roman" w:hAnsi="Times New Roman" w:cs="Times New Roman"/>
        </w:rPr>
      </w:pPr>
      <w:bookmarkStart w:id="0" w:name="_heading=h.3znysh7" w:colFirst="0" w:colLast="0"/>
      <w:bookmarkEnd w:id="0"/>
      <w:r>
        <w:rPr>
          <w:rFonts w:ascii="Times New Roman" w:eastAsia="Times New Roman" w:hAnsi="Times New Roman" w:cs="Times New Roman"/>
          <w:b/>
          <w:bCs/>
        </w:rPr>
        <w:t>Referencia:</w:t>
      </w:r>
      <w:r>
        <w:rPr>
          <w:rFonts w:ascii="Times New Roman" w:eastAsia="Times New Roman" w:hAnsi="Times New Roman" w:cs="Times New Roman"/>
        </w:rPr>
        <w:t xml:space="preserve"> Informe de Ponencia Negativa para primer debate al Proyecto de Ley No. 277 de 2025 Cámara “</w:t>
      </w:r>
      <w:r>
        <w:rPr>
          <w:rFonts w:ascii="Times New Roman" w:eastAsia="Times New Roman" w:hAnsi="Times New Roman" w:cs="Times New Roman"/>
          <w:i/>
          <w:iCs/>
        </w:rPr>
        <w:t>Por medio de la cual se deroga la Ley 2272 de 2022</w:t>
      </w:r>
      <w:r w:rsidR="00405D2F">
        <w:rPr>
          <w:rFonts w:ascii="Times New Roman" w:eastAsia="Times New Roman" w:hAnsi="Times New Roman" w:cs="Times New Roman"/>
          <w:i/>
          <w:iCs/>
        </w:rPr>
        <w:t xml:space="preserve"> </w:t>
      </w:r>
      <w:r w:rsidR="00405D2F">
        <w:rPr>
          <w:rFonts w:ascii="Times New Roman" w:eastAsia="Times New Roman" w:hAnsi="Times New Roman" w:cs="Times New Roman"/>
        </w:rPr>
        <w:t>(Ley de Paz Total)”</w:t>
      </w:r>
    </w:p>
    <w:p w14:paraId="37E1EB19" w14:textId="77777777" w:rsidR="00C513F2" w:rsidRDefault="00C513F2">
      <w:pPr>
        <w:shd w:val="clear" w:color="auto" w:fill="FFFFFF"/>
        <w:spacing w:line="276" w:lineRule="auto"/>
        <w:ind w:right="-703"/>
        <w:rPr>
          <w:rFonts w:ascii="Times New Roman" w:eastAsia="Times New Roman" w:hAnsi="Times New Roman" w:cs="Times New Roman"/>
        </w:rPr>
      </w:pPr>
    </w:p>
    <w:p w14:paraId="7104FDFD" w14:textId="77777777" w:rsidR="00C513F2" w:rsidRDefault="00C513F2">
      <w:pPr>
        <w:shd w:val="clear" w:color="auto" w:fill="FFFFFF"/>
        <w:spacing w:line="276" w:lineRule="auto"/>
        <w:ind w:right="-703"/>
        <w:rPr>
          <w:rFonts w:ascii="Times New Roman" w:eastAsia="Times New Roman" w:hAnsi="Times New Roman" w:cs="Times New Roman"/>
        </w:rPr>
      </w:pPr>
    </w:p>
    <w:p w14:paraId="6790BFEE" w14:textId="77777777" w:rsidR="00C513F2" w:rsidRDefault="00C513F2">
      <w:pPr>
        <w:shd w:val="clear" w:color="auto" w:fill="FFFFFF"/>
        <w:spacing w:line="276" w:lineRule="auto"/>
        <w:ind w:right="-703"/>
        <w:rPr>
          <w:rFonts w:ascii="Times New Roman" w:eastAsia="Times New Roman" w:hAnsi="Times New Roman" w:cs="Times New Roman"/>
        </w:rPr>
      </w:pPr>
    </w:p>
    <w:p w14:paraId="371FF264" w14:textId="77777777" w:rsidR="00C513F2" w:rsidRDefault="00112522">
      <w:pPr>
        <w:shd w:val="clear" w:color="auto" w:fill="FFFFFF"/>
        <w:spacing w:line="276" w:lineRule="auto"/>
        <w:ind w:right="-703"/>
        <w:rPr>
          <w:rFonts w:ascii="Times New Roman" w:eastAsia="Times New Roman" w:hAnsi="Times New Roman" w:cs="Times New Roman"/>
        </w:rPr>
      </w:pPr>
      <w:r>
        <w:rPr>
          <w:rFonts w:ascii="Times New Roman" w:eastAsia="Times New Roman" w:hAnsi="Times New Roman" w:cs="Times New Roman"/>
        </w:rPr>
        <w:t xml:space="preserve">Cordial saludo, </w:t>
      </w:r>
    </w:p>
    <w:p w14:paraId="5FA2B381" w14:textId="77777777" w:rsidR="00C513F2" w:rsidRDefault="00C513F2">
      <w:pPr>
        <w:shd w:val="clear" w:color="auto" w:fill="FFFFFF"/>
        <w:spacing w:line="276" w:lineRule="auto"/>
        <w:ind w:right="-703"/>
        <w:rPr>
          <w:rFonts w:ascii="Times New Roman" w:eastAsia="Times New Roman" w:hAnsi="Times New Roman" w:cs="Times New Roman"/>
        </w:rPr>
      </w:pPr>
    </w:p>
    <w:p w14:paraId="7FCD3925" w14:textId="77777777" w:rsidR="00C513F2" w:rsidRDefault="00112522">
      <w:pPr>
        <w:shd w:val="clear" w:color="auto" w:fill="FFFFFF"/>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Atendiendo a la designación realizada por la Mesa Directiva y en cumplimiento del mandato constitucional y de lo dispuesto por la Ley 5 de 1992, por medio del presente escrito y dentro del término establecido, nos permitimos rendir informe de PONENCIA NEGATIVA para primer debate en la Comisión Primera de la Cámara de Representantes al Proyecto de Ley de la referencia.</w:t>
      </w:r>
    </w:p>
    <w:p w14:paraId="7F16461C" w14:textId="77777777" w:rsidR="00C513F2" w:rsidRDefault="00C513F2">
      <w:pPr>
        <w:shd w:val="clear" w:color="auto" w:fill="FFFFFF"/>
        <w:spacing w:line="276" w:lineRule="auto"/>
        <w:ind w:right="-703"/>
        <w:jc w:val="both"/>
        <w:rPr>
          <w:rFonts w:ascii="Times New Roman" w:eastAsia="Times New Roman" w:hAnsi="Times New Roman" w:cs="Times New Roman"/>
        </w:rPr>
      </w:pPr>
    </w:p>
    <w:p w14:paraId="148CA22D" w14:textId="77777777" w:rsidR="00C513F2" w:rsidRDefault="00C513F2">
      <w:pPr>
        <w:shd w:val="clear" w:color="auto" w:fill="FFFFFF"/>
        <w:spacing w:line="276" w:lineRule="auto"/>
        <w:ind w:right="-703"/>
        <w:jc w:val="both"/>
        <w:rPr>
          <w:rFonts w:ascii="Times New Roman" w:eastAsia="Times New Roman" w:hAnsi="Times New Roman" w:cs="Times New Roman"/>
        </w:rPr>
      </w:pPr>
    </w:p>
    <w:p w14:paraId="72365184" w14:textId="77777777" w:rsidR="00C513F2" w:rsidRDefault="00112522">
      <w:pPr>
        <w:shd w:val="clear" w:color="auto" w:fill="FFFFFF"/>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Atentamente,</w:t>
      </w:r>
    </w:p>
    <w:p w14:paraId="28E2257F" w14:textId="77777777" w:rsidR="00C513F2" w:rsidRDefault="00C513F2">
      <w:pPr>
        <w:shd w:val="clear" w:color="auto" w:fill="FFFFFF"/>
        <w:spacing w:line="276" w:lineRule="auto"/>
        <w:ind w:right="-703"/>
        <w:jc w:val="both"/>
        <w:rPr>
          <w:rFonts w:ascii="Times New Roman" w:eastAsia="Times New Roman" w:hAnsi="Times New Roman" w:cs="Times New Roman"/>
        </w:rPr>
      </w:pPr>
    </w:p>
    <w:p w14:paraId="06C54C63" w14:textId="77777777" w:rsidR="00C513F2" w:rsidRDefault="00C513F2">
      <w:pPr>
        <w:shd w:val="clear" w:color="auto" w:fill="FFFFFF"/>
        <w:spacing w:line="276" w:lineRule="auto"/>
        <w:ind w:right="-703"/>
        <w:jc w:val="both"/>
        <w:rPr>
          <w:rFonts w:ascii="Times New Roman" w:eastAsia="Times New Roman" w:hAnsi="Times New Roman" w:cs="Times New Roman"/>
        </w:rPr>
      </w:pPr>
    </w:p>
    <w:p w14:paraId="5A101DDF" w14:textId="77777777" w:rsidR="00C513F2" w:rsidRDefault="00C513F2">
      <w:pPr>
        <w:shd w:val="clear" w:color="auto" w:fill="FFFFFF"/>
        <w:spacing w:line="276" w:lineRule="auto"/>
        <w:ind w:right="-703"/>
        <w:jc w:val="both"/>
        <w:rPr>
          <w:rFonts w:ascii="Times New Roman" w:eastAsia="Times New Roman" w:hAnsi="Times New Roman" w:cs="Times New Roman"/>
        </w:rPr>
      </w:pPr>
    </w:p>
    <w:p w14:paraId="1AAD98A4"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Alirio Uribe Muñoz</w:t>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b/>
          <w:bCs/>
        </w:rPr>
        <w:tab/>
        <w:t xml:space="preserve">     </w:t>
      </w:r>
      <w:r>
        <w:rPr>
          <w:rFonts w:ascii="Times New Roman" w:eastAsia="Times New Roman" w:hAnsi="Times New Roman" w:cs="Times New Roman"/>
          <w:b/>
          <w:bCs/>
        </w:rPr>
        <w:tab/>
        <w:t xml:space="preserve">  Karyme Adrana Cotes Martínez</w:t>
      </w:r>
    </w:p>
    <w:p w14:paraId="10C59A55"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Representante a la Cámara</w:t>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b/>
          <w:bCs/>
        </w:rPr>
        <w:tab/>
        <w:t xml:space="preserve">  Representante a la Cámara</w:t>
      </w:r>
    </w:p>
    <w:p w14:paraId="07BE5EB0"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Ponente Coordinador</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Ponente</w:t>
      </w:r>
    </w:p>
    <w:p w14:paraId="2D433512"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0657B0AF"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6D21E571"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486BFEE9"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 xml:space="preserve">James Hermenegildo Mosquera Torres </w:t>
      </w:r>
      <w:r>
        <w:rPr>
          <w:rFonts w:ascii="Times New Roman" w:eastAsia="Times New Roman" w:hAnsi="Times New Roman" w:cs="Times New Roman"/>
          <w:b/>
          <w:bCs/>
        </w:rPr>
        <w:tab/>
        <w:t>Jorge Eliecer Tamayo Marulanda</w:t>
      </w:r>
    </w:p>
    <w:p w14:paraId="721F08FB"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Representante a la Cámara</w:t>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b/>
          <w:bCs/>
        </w:rPr>
        <w:tab/>
        <w:t>Representante a la Cámara</w:t>
      </w:r>
    </w:p>
    <w:p w14:paraId="2BA88B4F"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Ponente</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Ponente</w:t>
      </w:r>
    </w:p>
    <w:p w14:paraId="7BF50E91"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033CCBB6"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4E5FC27C"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4AB4DFD2"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17FB64CA"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225669A2"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Luis Alberto Albán Urbano</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Miguel Abraham Polo Polo</w:t>
      </w:r>
      <w:r>
        <w:rPr>
          <w:rFonts w:ascii="Times New Roman" w:eastAsia="Times New Roman" w:hAnsi="Times New Roman" w:cs="Times New Roman"/>
          <w:b/>
          <w:bCs/>
        </w:rPr>
        <w:tab/>
      </w:r>
    </w:p>
    <w:p w14:paraId="681F33EE"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Representante a la Cámara</w:t>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b/>
          <w:bCs/>
        </w:rPr>
        <w:tab/>
        <w:t>Representante a la Cámara</w:t>
      </w:r>
    </w:p>
    <w:p w14:paraId="101827A0"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Ponente</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Ponente</w:t>
      </w:r>
    </w:p>
    <w:p w14:paraId="09B4E9C3"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7C78A000"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3A9F08C0"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021F8532"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0E4581AB"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Delcy Esperanza Isaza Buenaventura</w:t>
      </w:r>
      <w:r>
        <w:rPr>
          <w:rFonts w:ascii="Times New Roman" w:eastAsia="Times New Roman" w:hAnsi="Times New Roman" w:cs="Times New Roman"/>
          <w:b/>
          <w:bCs/>
        </w:rPr>
        <w:tab/>
        <w:t xml:space="preserve">Luz Ayda Pastrana Loaiza     </w:t>
      </w:r>
    </w:p>
    <w:p w14:paraId="1B8C40F0"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Representante a la Cámara</w:t>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b/>
          <w:bCs/>
        </w:rPr>
        <w:tab/>
        <w:t>Representante a la Cámara</w:t>
      </w:r>
    </w:p>
    <w:p w14:paraId="6EA3EA10"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Ponente</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Ponente Coordinador</w:t>
      </w:r>
    </w:p>
    <w:p w14:paraId="21574E77"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2D69FF60"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5676DF0A"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29576251"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1863958B"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Marelen Castillo Torres</w:t>
      </w:r>
    </w:p>
    <w:p w14:paraId="3F6CC05A"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Representante a la Cámara</w:t>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b/>
          <w:bCs/>
        </w:rPr>
        <w:tab/>
      </w:r>
    </w:p>
    <w:p w14:paraId="4A1C01C7"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Ponente</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p>
    <w:p w14:paraId="2F7D1B44"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6D8BCFB9"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27ACEC1D"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2FEACA69"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5D63E89F"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5CE00ABB"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1A088226"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5375B9F4"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666BB0C9"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4C6A057B"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1A612032"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1B1CCFD8"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3B5E555B"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2CFD4D44"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0C89EEF1"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22A040BC" w14:textId="30A704DA" w:rsidR="00C513F2" w:rsidRDefault="00C513F2">
      <w:pPr>
        <w:shd w:val="clear" w:color="auto" w:fill="FFFFFF"/>
        <w:spacing w:line="276" w:lineRule="auto"/>
        <w:ind w:right="-703"/>
        <w:jc w:val="both"/>
        <w:rPr>
          <w:rFonts w:ascii="Times New Roman" w:eastAsia="Times New Roman" w:hAnsi="Times New Roman" w:cs="Times New Roman"/>
          <w:b/>
          <w:bCs/>
        </w:rPr>
      </w:pPr>
    </w:p>
    <w:p w14:paraId="1271FD4F" w14:textId="77777777" w:rsidR="00C701DB" w:rsidRDefault="00C701DB">
      <w:pPr>
        <w:shd w:val="clear" w:color="auto" w:fill="FFFFFF"/>
        <w:spacing w:line="276" w:lineRule="auto"/>
        <w:ind w:right="-703"/>
        <w:jc w:val="both"/>
        <w:rPr>
          <w:rFonts w:ascii="Times New Roman" w:eastAsia="Times New Roman" w:hAnsi="Times New Roman" w:cs="Times New Roman"/>
          <w:b/>
          <w:bCs/>
        </w:rPr>
      </w:pPr>
    </w:p>
    <w:p w14:paraId="78E03413"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4C3ABD8E"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0486C5C9"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415E514A"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5A61503C"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624FEB28" w14:textId="77777777" w:rsidR="00C513F2" w:rsidRDefault="00112522">
      <w:pPr>
        <w:shd w:val="clear" w:color="auto" w:fill="FFFFFF"/>
        <w:spacing w:line="276" w:lineRule="auto"/>
        <w:ind w:right="-703"/>
        <w:jc w:val="center"/>
        <w:rPr>
          <w:rFonts w:ascii="Times New Roman" w:eastAsia="Times New Roman" w:hAnsi="Times New Roman" w:cs="Times New Roman"/>
          <w:b/>
          <w:bCs/>
        </w:rPr>
      </w:pPr>
      <w:r>
        <w:rPr>
          <w:rFonts w:ascii="Times New Roman" w:eastAsia="Times New Roman" w:hAnsi="Times New Roman" w:cs="Times New Roman"/>
          <w:b/>
          <w:bCs/>
        </w:rPr>
        <w:lastRenderedPageBreak/>
        <w:t xml:space="preserve">INFORME DE PONENCIA NEGATIVA PARA PRIMER DEBATE </w:t>
      </w:r>
    </w:p>
    <w:p w14:paraId="2EFD43CF" w14:textId="77777777" w:rsidR="00C513F2" w:rsidRDefault="00112522">
      <w:pPr>
        <w:shd w:val="clear" w:color="auto" w:fill="FFFFFF"/>
        <w:spacing w:line="276" w:lineRule="auto"/>
        <w:ind w:right="-703"/>
        <w:jc w:val="center"/>
        <w:rPr>
          <w:rFonts w:ascii="Times New Roman" w:eastAsia="Times New Roman" w:hAnsi="Times New Roman" w:cs="Times New Roman"/>
          <w:b/>
          <w:bCs/>
        </w:rPr>
      </w:pPr>
      <w:r>
        <w:rPr>
          <w:rFonts w:ascii="Times New Roman" w:eastAsia="Times New Roman" w:hAnsi="Times New Roman" w:cs="Times New Roman"/>
          <w:b/>
          <w:bCs/>
        </w:rPr>
        <w:t>Proyecto de Ley No. 277 de 2025 Cámara</w:t>
      </w:r>
    </w:p>
    <w:p w14:paraId="451F33B7" w14:textId="63EB2A8E" w:rsidR="00C513F2" w:rsidRDefault="00112522">
      <w:pPr>
        <w:shd w:val="clear" w:color="auto" w:fill="FFFFFF"/>
        <w:spacing w:line="276" w:lineRule="auto"/>
        <w:ind w:right="-703"/>
        <w:jc w:val="center"/>
        <w:rPr>
          <w:rFonts w:ascii="Times New Roman" w:eastAsia="Times New Roman" w:hAnsi="Times New Roman" w:cs="Times New Roman"/>
          <w:b/>
          <w:bCs/>
          <w:sz w:val="28"/>
          <w:szCs w:val="28"/>
        </w:rPr>
      </w:pPr>
      <w:r>
        <w:rPr>
          <w:rFonts w:ascii="Times New Roman" w:eastAsia="Times New Roman" w:hAnsi="Times New Roman" w:cs="Times New Roman"/>
          <w:b/>
          <w:bCs/>
        </w:rPr>
        <w:t xml:space="preserve"> “</w:t>
      </w:r>
      <w:r>
        <w:rPr>
          <w:rFonts w:ascii="Times New Roman" w:eastAsia="Times New Roman" w:hAnsi="Times New Roman" w:cs="Times New Roman"/>
          <w:b/>
          <w:bCs/>
          <w:i/>
          <w:iCs/>
        </w:rPr>
        <w:t xml:space="preserve">Por medio de la cual se deroga la Ley 2272 de </w:t>
      </w:r>
      <w:r w:rsidRPr="00405D2F">
        <w:rPr>
          <w:rFonts w:ascii="Times New Roman" w:eastAsia="Times New Roman" w:hAnsi="Times New Roman" w:cs="Times New Roman"/>
          <w:b/>
          <w:bCs/>
          <w:i/>
          <w:iCs/>
        </w:rPr>
        <w:t>2022</w:t>
      </w:r>
      <w:r w:rsidR="00405D2F" w:rsidRPr="00405D2F">
        <w:rPr>
          <w:rFonts w:ascii="Times New Roman" w:eastAsia="Times New Roman" w:hAnsi="Times New Roman" w:cs="Times New Roman"/>
          <w:b/>
          <w:bCs/>
          <w:i/>
          <w:iCs/>
        </w:rPr>
        <w:t xml:space="preserve"> </w:t>
      </w:r>
      <w:r w:rsidR="00405D2F" w:rsidRPr="00405D2F">
        <w:rPr>
          <w:rFonts w:ascii="Times New Roman" w:eastAsia="Times New Roman" w:hAnsi="Times New Roman" w:cs="Times New Roman"/>
          <w:b/>
          <w:bCs/>
          <w:i/>
          <w:iCs/>
        </w:rPr>
        <w:t>(Ley de Paz Total)”</w:t>
      </w:r>
    </w:p>
    <w:p w14:paraId="590FD350" w14:textId="77777777" w:rsidR="00C513F2" w:rsidRDefault="00C513F2">
      <w:pPr>
        <w:spacing w:line="276" w:lineRule="auto"/>
        <w:ind w:right="-703"/>
        <w:jc w:val="both"/>
        <w:rPr>
          <w:rFonts w:ascii="Georgia" w:eastAsia="Georgia" w:hAnsi="Georgia" w:cs="Georgia"/>
          <w:b/>
          <w:bCs/>
          <w:sz w:val="22"/>
          <w:szCs w:val="22"/>
        </w:rPr>
      </w:pPr>
    </w:p>
    <w:p w14:paraId="4F2A8A1D" w14:textId="77777777" w:rsidR="00C513F2" w:rsidRDefault="00C513F2">
      <w:pPr>
        <w:spacing w:line="276" w:lineRule="auto"/>
        <w:ind w:right="-703"/>
        <w:jc w:val="both"/>
        <w:rPr>
          <w:rFonts w:ascii="Georgia" w:eastAsia="Georgia" w:hAnsi="Georgia" w:cs="Georgia"/>
          <w:b/>
          <w:bCs/>
          <w:sz w:val="22"/>
          <w:szCs w:val="22"/>
        </w:rPr>
      </w:pPr>
    </w:p>
    <w:p w14:paraId="2E016383" w14:textId="77777777" w:rsidR="00C513F2" w:rsidRDefault="00112522">
      <w:pPr>
        <w:numPr>
          <w:ilvl w:val="0"/>
          <w:numId w:val="6"/>
        </w:numPr>
        <w:spacing w:line="276" w:lineRule="auto"/>
        <w:ind w:right="-703"/>
        <w:jc w:val="both"/>
        <w:rPr>
          <w:rFonts w:ascii="Georgia" w:eastAsia="Georgia" w:hAnsi="Georgia" w:cs="Georgia"/>
          <w:b/>
          <w:bCs/>
          <w:sz w:val="22"/>
          <w:szCs w:val="22"/>
        </w:rPr>
      </w:pPr>
      <w:r>
        <w:rPr>
          <w:rFonts w:ascii="Georgia" w:eastAsia="Georgia" w:hAnsi="Georgia" w:cs="Georgia"/>
          <w:b/>
          <w:bCs/>
          <w:sz w:val="22"/>
          <w:szCs w:val="22"/>
        </w:rPr>
        <w:t>ANTECEDENTES DEL PROYECTO DE LEY</w:t>
      </w:r>
    </w:p>
    <w:p w14:paraId="06535E6D" w14:textId="77777777" w:rsidR="00C513F2" w:rsidRDefault="00C513F2">
      <w:pPr>
        <w:spacing w:line="276" w:lineRule="auto"/>
        <w:ind w:right="-703"/>
        <w:jc w:val="both"/>
        <w:rPr>
          <w:rFonts w:ascii="Georgia" w:eastAsia="Georgia" w:hAnsi="Georgia" w:cs="Georgia"/>
          <w:b/>
          <w:bCs/>
          <w:sz w:val="22"/>
          <w:szCs w:val="22"/>
        </w:rPr>
      </w:pPr>
    </w:p>
    <w:p w14:paraId="475A3A2A" w14:textId="77777777" w:rsidR="00C513F2" w:rsidRDefault="00112522">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El Proyecto de Ley 277 de 2025 fue radicado el día 26 de agosto de 2025 en la Cámara de Representantes por los Honorables Representantes Betsy Judith Pérez Arango, Carlos Edward Osorio Aguiar, Christian Munir Garcés Aljure, Elkin Rodolfo Ospina Ospina, Hernán Darío Cadavid Márquez, Hernando González, John Edgar Pérez Rojas, Jorge Méndez Hernández, José Jaime Uscátegui Pastrana, Juan Fernando Espinal Ramírez, Julia Miranda Londoño, Luis Carlos Ochoa Tobón, Luis Miguel López Aristizábal, Luvi Katherine Miranda Peña, Luz Ayda Pastrana Loaiza, Marelen Castillo Torres, Mauricio Parodi Díaz, Miguel Abraham Polo Polo, Olmes de Jesús Echeverría de la Rosa, Yenica Sugein Acosta Infante, Yulieth Andrea Sánchez Carreño y el Honorable Senadores Oscar Mauricio Giraldo Hernández.</w:t>
      </w:r>
    </w:p>
    <w:p w14:paraId="6B762A6E" w14:textId="77777777" w:rsidR="00C513F2" w:rsidRDefault="00C513F2">
      <w:pPr>
        <w:spacing w:line="276" w:lineRule="auto"/>
        <w:ind w:right="-703"/>
        <w:jc w:val="both"/>
        <w:rPr>
          <w:rFonts w:ascii="Times New Roman" w:eastAsia="Times New Roman" w:hAnsi="Times New Roman" w:cs="Times New Roman"/>
        </w:rPr>
      </w:pPr>
    </w:p>
    <w:p w14:paraId="2F46C19C" w14:textId="77777777" w:rsidR="00C513F2" w:rsidRDefault="00112522">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El 21 de abril de 2026 la Mesa Directiva de la Comisión Primera de la Cámara de Representantes mediante oficio C.P.C.P 3.1-0938-2026 designó como ponentes a los Honorables Representantes: Alirio Uribe Muñoz (coordinador ponente), Miguel Abraham Polo Polo (coordinador ponente), Karyme Adrana Cotes Martínez, Duvalier Sánchez Arango, Luz Ayda Pastrana Loaiza, Delcy Esperanza Isaza Buenaventura, James Hermenegildo Mosquera Torres, Jorge Eliecer Tamayo Marulanda, Marelen Castillo Torres y Luis Alberto Albán Urbano.</w:t>
      </w:r>
    </w:p>
    <w:p w14:paraId="487E5D0E" w14:textId="77777777" w:rsidR="00C513F2" w:rsidRDefault="00C513F2">
      <w:pPr>
        <w:spacing w:line="276" w:lineRule="auto"/>
        <w:ind w:right="-703"/>
        <w:jc w:val="both"/>
        <w:rPr>
          <w:rFonts w:ascii="Georgia" w:eastAsia="Georgia" w:hAnsi="Georgia" w:cs="Georgia"/>
          <w:b/>
          <w:bCs/>
          <w:sz w:val="22"/>
          <w:szCs w:val="22"/>
        </w:rPr>
      </w:pPr>
    </w:p>
    <w:p w14:paraId="32C4C4B1" w14:textId="77777777" w:rsidR="00C513F2" w:rsidRDefault="00112522">
      <w:pPr>
        <w:numPr>
          <w:ilvl w:val="0"/>
          <w:numId w:val="6"/>
        </w:numPr>
        <w:spacing w:line="276" w:lineRule="auto"/>
        <w:ind w:right="-703"/>
        <w:jc w:val="both"/>
        <w:rPr>
          <w:rFonts w:ascii="Georgia" w:eastAsia="Georgia" w:hAnsi="Georgia" w:cs="Georgia"/>
          <w:b/>
          <w:bCs/>
          <w:sz w:val="22"/>
          <w:szCs w:val="22"/>
        </w:rPr>
      </w:pPr>
      <w:r>
        <w:rPr>
          <w:rFonts w:ascii="Georgia" w:eastAsia="Georgia" w:hAnsi="Georgia" w:cs="Georgia"/>
          <w:b/>
          <w:bCs/>
          <w:sz w:val="22"/>
          <w:szCs w:val="22"/>
        </w:rPr>
        <w:t>OBJETO Y CONTENIDO DEL PROYECTO DE LEY</w:t>
      </w:r>
    </w:p>
    <w:p w14:paraId="41BA95A3" w14:textId="77777777" w:rsidR="00C513F2" w:rsidRDefault="00C513F2">
      <w:pPr>
        <w:spacing w:line="276" w:lineRule="auto"/>
        <w:ind w:left="720" w:right="-703"/>
        <w:jc w:val="both"/>
        <w:rPr>
          <w:rFonts w:ascii="Times New Roman" w:eastAsia="Times New Roman" w:hAnsi="Times New Roman" w:cs="Times New Roman"/>
        </w:rPr>
      </w:pPr>
    </w:p>
    <w:p w14:paraId="2E0B782A" w14:textId="77777777" w:rsidR="00C513F2" w:rsidRDefault="00112522">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color w:val="000000"/>
        </w:rPr>
        <w:t xml:space="preserve">El presente proyecto de ley tiene como objeto </w:t>
      </w:r>
      <w:r>
        <w:rPr>
          <w:rFonts w:ascii="Times New Roman" w:eastAsia="Times New Roman" w:hAnsi="Times New Roman" w:cs="Times New Roman"/>
        </w:rPr>
        <w:t>derogar la denominada Ley de Paz Total, en razón al balance negativo de sus resultados en materia de seguridad ciudadana, orden público y protección de los derechos humanos. A pesar de los objetivos declarados, a juicio de los autores, la implementación de dicha ley ha coincidido con un aumento de homicidios, desplazamientos forzados, reclutamiento de menores y una mayor presencia territorial de grupos armados ilegales, lo cual evidencia para ellos que no cumplió con la finalidad de garantizar condiciones efectivas de paz.</w:t>
      </w:r>
    </w:p>
    <w:p w14:paraId="090DB6F5" w14:textId="77777777" w:rsidR="00C513F2" w:rsidRDefault="00C513F2">
      <w:pPr>
        <w:spacing w:line="276" w:lineRule="auto"/>
        <w:ind w:left="360" w:right="-703" w:hanging="360"/>
        <w:jc w:val="both"/>
        <w:rPr>
          <w:rFonts w:ascii="Times New Roman" w:eastAsia="Times New Roman" w:hAnsi="Times New Roman" w:cs="Times New Roman"/>
        </w:rPr>
      </w:pPr>
    </w:p>
    <w:p w14:paraId="6E30845B" w14:textId="77777777" w:rsidR="00C513F2" w:rsidRDefault="00112522">
      <w:pPr>
        <w:numPr>
          <w:ilvl w:val="0"/>
          <w:numId w:val="6"/>
        </w:numPr>
        <w:pBdr>
          <w:top w:val="nil"/>
          <w:left w:val="nil"/>
          <w:bottom w:val="nil"/>
          <w:right w:val="nil"/>
          <w:between w:val="nil"/>
        </w:pBdr>
        <w:spacing w:line="276" w:lineRule="auto"/>
        <w:ind w:right="-703"/>
        <w:rPr>
          <w:rFonts w:ascii="Times New Roman" w:eastAsia="Times New Roman" w:hAnsi="Times New Roman" w:cs="Times New Roman"/>
          <w:b/>
          <w:bCs/>
          <w:color w:val="000000"/>
        </w:rPr>
      </w:pPr>
      <w:r>
        <w:rPr>
          <w:rFonts w:ascii="Times New Roman" w:eastAsia="Times New Roman" w:hAnsi="Times New Roman" w:cs="Times New Roman"/>
          <w:b/>
          <w:bCs/>
        </w:rPr>
        <w:t>CONSIDERACIONES PARA ARCHIVAR ESTA INICIATIVA</w:t>
      </w:r>
    </w:p>
    <w:p w14:paraId="56528F78" w14:textId="77777777" w:rsidR="00C513F2" w:rsidRDefault="00C513F2">
      <w:pPr>
        <w:pBdr>
          <w:top w:val="nil"/>
          <w:left w:val="nil"/>
          <w:bottom w:val="nil"/>
          <w:right w:val="nil"/>
          <w:between w:val="nil"/>
        </w:pBdr>
        <w:spacing w:line="276" w:lineRule="auto"/>
        <w:ind w:right="-703"/>
        <w:rPr>
          <w:rFonts w:ascii="Times New Roman" w:eastAsia="Times New Roman" w:hAnsi="Times New Roman" w:cs="Times New Roman"/>
          <w:b/>
          <w:bCs/>
        </w:rPr>
      </w:pPr>
    </w:p>
    <w:p w14:paraId="3856C48A" w14:textId="77777777" w:rsidR="00C513F2" w:rsidRDefault="00112522">
      <w:pPr>
        <w:numPr>
          <w:ilvl w:val="0"/>
          <w:numId w:val="8"/>
        </w:numPr>
        <w:pBdr>
          <w:top w:val="nil"/>
          <w:left w:val="nil"/>
          <w:bottom w:val="nil"/>
          <w:right w:val="nil"/>
          <w:between w:val="nil"/>
        </w:pBdr>
        <w:spacing w:line="276" w:lineRule="auto"/>
        <w:ind w:right="-703"/>
        <w:rPr>
          <w:rFonts w:ascii="Times New Roman" w:eastAsia="Times New Roman" w:hAnsi="Times New Roman" w:cs="Times New Roman"/>
          <w:b/>
          <w:bCs/>
        </w:rPr>
      </w:pPr>
      <w:r>
        <w:rPr>
          <w:rFonts w:ascii="Times New Roman" w:eastAsia="Times New Roman" w:hAnsi="Times New Roman" w:cs="Times New Roman"/>
          <w:b/>
          <w:bCs/>
        </w:rPr>
        <w:t>NATURALEZA DE LA LEY 2272 DE 2022</w:t>
      </w:r>
    </w:p>
    <w:p w14:paraId="73BEA2B8" w14:textId="77777777" w:rsidR="00C513F2" w:rsidRDefault="00C513F2">
      <w:pPr>
        <w:pBdr>
          <w:top w:val="nil"/>
          <w:left w:val="nil"/>
          <w:bottom w:val="nil"/>
          <w:right w:val="nil"/>
          <w:between w:val="nil"/>
        </w:pBdr>
        <w:spacing w:line="276" w:lineRule="auto"/>
        <w:ind w:right="-703"/>
        <w:rPr>
          <w:rFonts w:ascii="Times New Roman" w:eastAsia="Times New Roman" w:hAnsi="Times New Roman" w:cs="Times New Roman"/>
          <w:b/>
          <w:bCs/>
        </w:rPr>
      </w:pPr>
    </w:p>
    <w:p w14:paraId="73755CB5" w14:textId="77777777" w:rsidR="00C513F2" w:rsidRDefault="00112522">
      <w:p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La ley 2272 de 2022 </w:t>
      </w:r>
      <w:r>
        <w:rPr>
          <w:rFonts w:ascii="Times New Roman" w:eastAsia="Times New Roman" w:hAnsi="Times New Roman" w:cs="Times New Roman"/>
          <w:i/>
          <w:iCs/>
        </w:rPr>
        <w:t xml:space="preserve">“Por medio de la cual se modifica adiciona y prorroga la ley 418 de 1997, prorrogada, modificada y adicionada por las Leyes 548 de 1999, 782 de 2002, 1106 de 2006, 1421 de 2010, 1738 de 2014 y 1941 de 2018, se define la política de paz </w:t>
      </w:r>
      <w:r>
        <w:rPr>
          <w:rFonts w:ascii="Times New Roman" w:eastAsia="Times New Roman" w:hAnsi="Times New Roman" w:cs="Times New Roman"/>
          <w:i/>
          <w:iCs/>
        </w:rPr>
        <w:lastRenderedPageBreak/>
        <w:t xml:space="preserve">de Estado, se crea el servicio social para la paz, y se dictan otras disposiciones” </w:t>
      </w:r>
      <w:r>
        <w:rPr>
          <w:rFonts w:ascii="Times New Roman" w:eastAsia="Times New Roman" w:hAnsi="Times New Roman" w:cs="Times New Roman"/>
        </w:rPr>
        <w:t xml:space="preserve">fue sancionada el 4 de noviembre de 2022. Cuenta con 20 artículos y tiene como objeto definir la política de paz como una política de Estado.  </w:t>
      </w:r>
    </w:p>
    <w:p w14:paraId="7872934C" w14:textId="77777777" w:rsidR="00C513F2" w:rsidRDefault="00C513F2">
      <w:pPr>
        <w:pBdr>
          <w:top w:val="nil"/>
          <w:left w:val="nil"/>
          <w:bottom w:val="nil"/>
          <w:right w:val="nil"/>
          <w:between w:val="nil"/>
        </w:pBdr>
        <w:spacing w:line="276" w:lineRule="auto"/>
        <w:ind w:right="-703"/>
        <w:jc w:val="both"/>
        <w:rPr>
          <w:rFonts w:ascii="Times New Roman" w:eastAsia="Times New Roman" w:hAnsi="Times New Roman" w:cs="Times New Roman"/>
        </w:rPr>
      </w:pPr>
    </w:p>
    <w:p w14:paraId="5E89BB13" w14:textId="77777777" w:rsidR="00C513F2" w:rsidRDefault="00112522">
      <w:p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La Ley de Paz Total no solamente desarrolla mecanismos para establecer un marco jurídico que permita avanzar en la desmovilización de grupos armados y el desmantelamiento y sometimiento a la justicia de estructuras de crimen organizado (artículo 2 y 5), establece una concepción holística de la paz en la cual su objetivo no solamente es que no haya conflicto sino que también se tomen todas las medidas tendientes a evitar la aparición de nuevos conflictos y ayudar a las personas a vivir en condiciones de dignidad e igualdad, atendiendo el adecuado desarrollo de los territorios (artículo 3). </w:t>
      </w:r>
    </w:p>
    <w:p w14:paraId="64DABA77" w14:textId="77777777" w:rsidR="00C513F2" w:rsidRDefault="00C513F2">
      <w:pPr>
        <w:pBdr>
          <w:top w:val="nil"/>
          <w:left w:val="nil"/>
          <w:bottom w:val="nil"/>
          <w:right w:val="nil"/>
          <w:between w:val="nil"/>
        </w:pBdr>
        <w:spacing w:line="276" w:lineRule="auto"/>
        <w:ind w:right="-703"/>
        <w:jc w:val="both"/>
        <w:rPr>
          <w:rFonts w:ascii="Times New Roman" w:eastAsia="Times New Roman" w:hAnsi="Times New Roman" w:cs="Times New Roman"/>
        </w:rPr>
      </w:pPr>
    </w:p>
    <w:p w14:paraId="36305D05" w14:textId="77777777" w:rsidR="00C513F2" w:rsidRDefault="00112522">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De igual manera, esta Ley reconoce la importancia de la paz en los territorios. Por tal motivo no solamente obliga a incluir en el Plan Nacional de Desarrollo sino también en todos los Planes de Desarrollo Locales políticas, programas y proyectos dirigidos al cumplimiento de diferentes acuerdos de paz, el desarrollo social y económico equitativo, la protección de la naturaleza y la integración de las regiones especialmente en los municipios más afectados por la violencia. Este artículo toma en cuenta las zonas PDET para priorizar lo dispuesto en el Plan Marco de Implementación, los PDET, los PATR, los PISDA, los PNS y los Planes Integrales de Reparación Colectiva y los Planes de Retorno y Reubicación. </w:t>
      </w:r>
    </w:p>
    <w:p w14:paraId="786D50F8" w14:textId="77777777" w:rsidR="00C513F2" w:rsidRDefault="00C513F2">
      <w:pPr>
        <w:spacing w:line="276" w:lineRule="auto"/>
        <w:ind w:right="-703"/>
        <w:jc w:val="both"/>
        <w:rPr>
          <w:rFonts w:ascii="Times New Roman" w:eastAsia="Times New Roman" w:hAnsi="Times New Roman" w:cs="Times New Roman"/>
        </w:rPr>
      </w:pPr>
    </w:p>
    <w:p w14:paraId="14C8373A" w14:textId="77777777" w:rsidR="00C513F2" w:rsidRDefault="00112522">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En este sentido, el artículo 4° es clave toda vez que, en una perspectiva holística de la paz no solo se limita al mantenimiento del orden público y la generación de condiciones para superar desigualdades, sino que también incluye a todos los territorios con medidas específicas para los territorios. </w:t>
      </w:r>
    </w:p>
    <w:p w14:paraId="5FFB6CBB" w14:textId="77777777" w:rsidR="00C513F2" w:rsidRDefault="00C513F2">
      <w:pPr>
        <w:spacing w:line="276" w:lineRule="auto"/>
        <w:ind w:right="-703"/>
        <w:jc w:val="both"/>
        <w:rPr>
          <w:rFonts w:ascii="Times New Roman" w:eastAsia="Times New Roman" w:hAnsi="Times New Roman" w:cs="Times New Roman"/>
        </w:rPr>
      </w:pPr>
    </w:p>
    <w:p w14:paraId="4B8738C5" w14:textId="77777777" w:rsidR="00C513F2" w:rsidRDefault="00112522">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La Ley 2272 también genera modificaciones en el ejecutivo nacional con el objetivo de: (i) definir los componentes de la política pública de paz y (ii) convocar el gabinete ministerial como </w:t>
      </w:r>
      <w:r>
        <w:rPr>
          <w:rFonts w:ascii="Times New Roman" w:eastAsia="Times New Roman" w:hAnsi="Times New Roman" w:cs="Times New Roman"/>
          <w:i/>
          <w:iCs/>
        </w:rPr>
        <w:t>Gabinete de Paz</w:t>
      </w:r>
      <w:r>
        <w:rPr>
          <w:rFonts w:ascii="Times New Roman" w:eastAsia="Times New Roman" w:hAnsi="Times New Roman" w:cs="Times New Roman"/>
        </w:rPr>
        <w:t xml:space="preserve"> para que los ministerios presenten informes sobre los asuntos relacionados a la paz (artículo 6).</w:t>
      </w:r>
    </w:p>
    <w:p w14:paraId="1D99BA8E" w14:textId="77777777" w:rsidR="00C513F2" w:rsidRDefault="00C513F2">
      <w:pPr>
        <w:spacing w:line="276" w:lineRule="auto"/>
        <w:ind w:right="-703"/>
        <w:jc w:val="both"/>
        <w:rPr>
          <w:rFonts w:ascii="Times New Roman" w:eastAsia="Times New Roman" w:hAnsi="Times New Roman" w:cs="Times New Roman"/>
        </w:rPr>
      </w:pPr>
    </w:p>
    <w:p w14:paraId="2D969D06" w14:textId="77777777" w:rsidR="00C513F2" w:rsidRDefault="00112522">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La constitución de las regiones de paz establecidas en el artículo 7°, busca la promoción de los diálogos de paz, especialmente en regiones afectadas por la violencia y en las que exista una ausencia o débil presencia estatal. Entre las particularidades de la constitución de estas regiones de paz se busca (i) la participación de las comunidades en los diálogos y en la consolidación de los acuerdos alcanzados, (ii) la participación de la sociedad civil en los Consejos de Paz y los Comités de Justicia Transicional; (iii) la aclaración de que en dichas regiones no estarán ubicadas zonas de ubicación temporal ni de despeje. Siguiendo la labor de articulación con los poderes públicos, el parágrafo 4° del </w:t>
      </w:r>
      <w:r>
        <w:rPr>
          <w:rFonts w:ascii="Times New Roman" w:eastAsia="Times New Roman" w:hAnsi="Times New Roman" w:cs="Times New Roman"/>
        </w:rPr>
        <w:lastRenderedPageBreak/>
        <w:t xml:space="preserve">mencionado artículo desarrolló la obligación de acompañamiento que tiene la Defensoría del Pueblo. </w:t>
      </w:r>
    </w:p>
    <w:p w14:paraId="0612B4F1" w14:textId="77777777" w:rsidR="00C513F2" w:rsidRDefault="00C513F2">
      <w:pPr>
        <w:pBdr>
          <w:top w:val="nil"/>
          <w:left w:val="nil"/>
          <w:bottom w:val="nil"/>
          <w:right w:val="nil"/>
          <w:between w:val="nil"/>
        </w:pBdr>
        <w:spacing w:line="276" w:lineRule="auto"/>
        <w:ind w:right="-703"/>
        <w:jc w:val="both"/>
        <w:rPr>
          <w:rFonts w:ascii="Times New Roman" w:eastAsia="Times New Roman" w:hAnsi="Times New Roman" w:cs="Times New Roman"/>
        </w:rPr>
      </w:pPr>
    </w:p>
    <w:p w14:paraId="16B43927" w14:textId="77777777" w:rsidR="00C513F2" w:rsidRDefault="00112522">
      <w:p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Por otra parte, el artículo 8° garantiza que en los procesos de paz se cuente con la participación efectiva de las mujeres, la sociedad civil, la reparación y garantía de los derechos de las víctimas, bajo la consagración de diferentes enfoques diferenciales y transversales. El artículo 9° describe la labor de las organizaciones humanitarias con las poblaciones afectadas por el conflicto armado, así como la posibilidad de que tengan contacto con grupos armados o estructuras armadas con fines humanitarios. </w:t>
      </w:r>
    </w:p>
    <w:p w14:paraId="1B01381B" w14:textId="77777777" w:rsidR="00C513F2" w:rsidRDefault="00C513F2">
      <w:pPr>
        <w:pBdr>
          <w:top w:val="nil"/>
          <w:left w:val="nil"/>
          <w:bottom w:val="nil"/>
          <w:right w:val="nil"/>
          <w:between w:val="nil"/>
        </w:pBdr>
        <w:spacing w:line="276" w:lineRule="auto"/>
        <w:ind w:right="-703"/>
        <w:jc w:val="both"/>
        <w:rPr>
          <w:rFonts w:ascii="Times New Roman" w:eastAsia="Times New Roman" w:hAnsi="Times New Roman" w:cs="Times New Roman"/>
        </w:rPr>
      </w:pPr>
    </w:p>
    <w:p w14:paraId="18D21A5C" w14:textId="77777777" w:rsidR="00C513F2" w:rsidRDefault="00112522">
      <w:p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Los artículos 10° y 11° consagran el Servicio Social para la Paz, punto central de esta Ley, con fundamento en el artículo 22 de la Constitución Política, como una alternativa al servicio militar obligatorio para que las y los jóvenes colombianos pueden contribuir a la construcción de una paz estable y duradera en el país, a través de once modalidades vinculadas estrechamente a la política de paz del Estado y la Seguridad Humana, abordando áreas temáticas esenciales para el fortalecimiento del bienestar colectivo, la democratización de la gestión pública y la cohesión social:</w:t>
      </w:r>
    </w:p>
    <w:p w14:paraId="4F49F7E3" w14:textId="77777777" w:rsidR="00C513F2" w:rsidRDefault="00C513F2">
      <w:pPr>
        <w:pBdr>
          <w:top w:val="nil"/>
          <w:left w:val="nil"/>
          <w:bottom w:val="nil"/>
          <w:right w:val="nil"/>
          <w:between w:val="nil"/>
        </w:pBdr>
        <w:spacing w:line="276" w:lineRule="auto"/>
        <w:ind w:left="720" w:right="-703"/>
        <w:jc w:val="both"/>
        <w:rPr>
          <w:rFonts w:ascii="Times New Roman" w:eastAsia="Times New Roman" w:hAnsi="Times New Roman" w:cs="Times New Roman"/>
        </w:rPr>
      </w:pPr>
    </w:p>
    <w:p w14:paraId="63B7AFB5" w14:textId="77777777" w:rsidR="00C513F2" w:rsidRDefault="00112522">
      <w:pPr>
        <w:numPr>
          <w:ilvl w:val="0"/>
          <w:numId w:val="12"/>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Servicio social para promover la alfabetización digital en zonas rurales o urbanas. </w:t>
      </w:r>
    </w:p>
    <w:p w14:paraId="18DC9058" w14:textId="77777777" w:rsidR="00C513F2" w:rsidRDefault="00C513F2">
      <w:pPr>
        <w:spacing w:line="276" w:lineRule="auto"/>
        <w:ind w:left="720" w:right="-703"/>
        <w:jc w:val="both"/>
        <w:rPr>
          <w:rFonts w:ascii="Times New Roman" w:eastAsia="Times New Roman" w:hAnsi="Times New Roman" w:cs="Times New Roman"/>
        </w:rPr>
      </w:pPr>
    </w:p>
    <w:p w14:paraId="609A2E6C" w14:textId="77777777" w:rsidR="00C513F2" w:rsidRDefault="00112522">
      <w:pPr>
        <w:numPr>
          <w:ilvl w:val="0"/>
          <w:numId w:val="12"/>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Servicio social para el trabajo con víctimas del conflicto arma­do y la promoción de sus derechos, la defensa de los derechos humanos y el derecho internacional humanitaria. </w:t>
      </w:r>
    </w:p>
    <w:p w14:paraId="15F3D6C1" w14:textId="77777777" w:rsidR="00C513F2" w:rsidRDefault="00C513F2">
      <w:pPr>
        <w:spacing w:line="276" w:lineRule="auto"/>
        <w:ind w:left="720" w:right="-703"/>
        <w:jc w:val="both"/>
        <w:rPr>
          <w:rFonts w:ascii="Times New Roman" w:eastAsia="Times New Roman" w:hAnsi="Times New Roman" w:cs="Times New Roman"/>
        </w:rPr>
      </w:pPr>
    </w:p>
    <w:p w14:paraId="468264B5" w14:textId="77777777" w:rsidR="00C513F2" w:rsidRDefault="00112522">
      <w:pPr>
        <w:numPr>
          <w:ilvl w:val="0"/>
          <w:numId w:val="12"/>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Servicio social para la refrendación y el cumplimiento de acuer­dos de paz. </w:t>
      </w:r>
    </w:p>
    <w:p w14:paraId="135E4F3F" w14:textId="77777777" w:rsidR="00C513F2" w:rsidRDefault="00C513F2">
      <w:pPr>
        <w:spacing w:line="276" w:lineRule="auto"/>
        <w:ind w:left="720" w:right="-703"/>
        <w:jc w:val="both"/>
        <w:rPr>
          <w:rFonts w:ascii="Times New Roman" w:eastAsia="Times New Roman" w:hAnsi="Times New Roman" w:cs="Times New Roman"/>
        </w:rPr>
      </w:pPr>
    </w:p>
    <w:p w14:paraId="2412CF0C" w14:textId="77777777" w:rsidR="00C513F2" w:rsidRDefault="00112522">
      <w:pPr>
        <w:numPr>
          <w:ilvl w:val="0"/>
          <w:numId w:val="12"/>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Servicio social para promover la política pública de paz, la re­conciliación, la convivencia y la no estigmatización. </w:t>
      </w:r>
    </w:p>
    <w:p w14:paraId="009DCAD1" w14:textId="77777777" w:rsidR="00C513F2" w:rsidRDefault="00C513F2">
      <w:pPr>
        <w:spacing w:line="276" w:lineRule="auto"/>
        <w:ind w:left="720" w:right="-703"/>
        <w:jc w:val="both"/>
        <w:rPr>
          <w:rFonts w:ascii="Times New Roman" w:eastAsia="Times New Roman" w:hAnsi="Times New Roman" w:cs="Times New Roman"/>
        </w:rPr>
      </w:pPr>
    </w:p>
    <w:p w14:paraId="407A6408" w14:textId="77777777" w:rsidR="00C513F2" w:rsidRDefault="00112522">
      <w:pPr>
        <w:numPr>
          <w:ilvl w:val="0"/>
          <w:numId w:val="12"/>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Servicio social para la protección de la naturaleza la biodiversi­dad, las fuentes hídricas, hábitats marinos y costeros, ecosiste­mas estratégicos, la riqueza ambiental y forestal del país. </w:t>
      </w:r>
    </w:p>
    <w:p w14:paraId="325C51E9" w14:textId="77777777" w:rsidR="00C513F2" w:rsidRDefault="00C513F2">
      <w:pPr>
        <w:spacing w:line="276" w:lineRule="auto"/>
        <w:ind w:left="720" w:right="-703"/>
        <w:jc w:val="both"/>
        <w:rPr>
          <w:rFonts w:ascii="Times New Roman" w:eastAsia="Times New Roman" w:hAnsi="Times New Roman" w:cs="Times New Roman"/>
        </w:rPr>
      </w:pPr>
    </w:p>
    <w:p w14:paraId="1ABF3622" w14:textId="77777777" w:rsidR="00C513F2" w:rsidRDefault="00112522">
      <w:pPr>
        <w:numPr>
          <w:ilvl w:val="0"/>
          <w:numId w:val="12"/>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Servicio social para promover la paz étnico, cultural y territo­rial, respetando el derecho de autodeterminación, la autonomía, usos y costumbres de las comunidades étnicas, y la cultura cam­pesina. </w:t>
      </w:r>
    </w:p>
    <w:p w14:paraId="348C6BB4" w14:textId="77777777" w:rsidR="00C513F2" w:rsidRDefault="00C513F2">
      <w:pPr>
        <w:spacing w:line="276" w:lineRule="auto"/>
        <w:ind w:left="720" w:right="-703"/>
        <w:jc w:val="both"/>
        <w:rPr>
          <w:rFonts w:ascii="Times New Roman" w:eastAsia="Times New Roman" w:hAnsi="Times New Roman" w:cs="Times New Roman"/>
        </w:rPr>
      </w:pPr>
    </w:p>
    <w:p w14:paraId="0A0C9875" w14:textId="77777777" w:rsidR="00C513F2" w:rsidRDefault="00112522">
      <w:pPr>
        <w:numPr>
          <w:ilvl w:val="0"/>
          <w:numId w:val="12"/>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Servicio social para la protección y cuidado de las personas en condición de discapacidad y personas mayores en condición de vulnerabilidad. </w:t>
      </w:r>
    </w:p>
    <w:p w14:paraId="20417F99" w14:textId="77777777" w:rsidR="00C513F2" w:rsidRDefault="00C513F2">
      <w:pPr>
        <w:spacing w:line="276" w:lineRule="auto"/>
        <w:ind w:left="720" w:right="-703"/>
        <w:jc w:val="both"/>
        <w:rPr>
          <w:rFonts w:ascii="Times New Roman" w:eastAsia="Times New Roman" w:hAnsi="Times New Roman" w:cs="Times New Roman"/>
        </w:rPr>
      </w:pPr>
    </w:p>
    <w:p w14:paraId="0BC8C1D0" w14:textId="77777777" w:rsidR="00C513F2" w:rsidRDefault="00112522">
      <w:pPr>
        <w:numPr>
          <w:ilvl w:val="0"/>
          <w:numId w:val="12"/>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Servicio social para el trabajo en la reforma rural integral. </w:t>
      </w:r>
    </w:p>
    <w:p w14:paraId="2FC00901" w14:textId="77777777" w:rsidR="00C513F2" w:rsidRDefault="00C513F2">
      <w:pPr>
        <w:spacing w:line="276" w:lineRule="auto"/>
        <w:ind w:left="720" w:right="-703"/>
        <w:jc w:val="both"/>
        <w:rPr>
          <w:rFonts w:ascii="Times New Roman" w:eastAsia="Times New Roman" w:hAnsi="Times New Roman" w:cs="Times New Roman"/>
        </w:rPr>
      </w:pPr>
    </w:p>
    <w:p w14:paraId="752626EE" w14:textId="77777777" w:rsidR="00C513F2" w:rsidRDefault="00112522">
      <w:pPr>
        <w:numPr>
          <w:ilvl w:val="0"/>
          <w:numId w:val="12"/>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lastRenderedPageBreak/>
        <w:t xml:space="preserve">Servicio social para ser vigía del patrimonio cultural material e inmaterial de la Nación. </w:t>
      </w:r>
    </w:p>
    <w:p w14:paraId="53B061CF" w14:textId="77777777" w:rsidR="00C513F2" w:rsidRDefault="00C513F2">
      <w:pPr>
        <w:spacing w:line="276" w:lineRule="auto"/>
        <w:ind w:left="720" w:right="-703"/>
        <w:jc w:val="both"/>
        <w:rPr>
          <w:rFonts w:ascii="Times New Roman" w:eastAsia="Times New Roman" w:hAnsi="Times New Roman" w:cs="Times New Roman"/>
        </w:rPr>
      </w:pPr>
    </w:p>
    <w:p w14:paraId="30A52B06" w14:textId="77777777" w:rsidR="00C513F2" w:rsidRDefault="00112522">
      <w:pPr>
        <w:numPr>
          <w:ilvl w:val="0"/>
          <w:numId w:val="12"/>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Servicio social para el trabajo con personas damnificadas o afectadas por fenómenos o amenazas naturales. </w:t>
      </w:r>
    </w:p>
    <w:p w14:paraId="4B706370" w14:textId="77777777" w:rsidR="00C513F2" w:rsidRDefault="00C513F2">
      <w:pPr>
        <w:spacing w:line="276" w:lineRule="auto"/>
        <w:ind w:left="720" w:right="-703"/>
        <w:jc w:val="both"/>
        <w:rPr>
          <w:rFonts w:ascii="Times New Roman" w:eastAsia="Times New Roman" w:hAnsi="Times New Roman" w:cs="Times New Roman"/>
        </w:rPr>
      </w:pPr>
    </w:p>
    <w:p w14:paraId="31A3ACDC" w14:textId="77777777" w:rsidR="00C513F2" w:rsidRDefault="00112522">
      <w:pPr>
        <w:numPr>
          <w:ilvl w:val="0"/>
          <w:numId w:val="12"/>
        </w:num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Servicio social para promover la educación y las actividades re­lacionadas en materia de gestión del riesgo y cambio climático.</w:t>
      </w:r>
    </w:p>
    <w:p w14:paraId="6F2B4059" w14:textId="77777777" w:rsidR="00C513F2" w:rsidRDefault="00C513F2">
      <w:pPr>
        <w:pBdr>
          <w:top w:val="nil"/>
          <w:left w:val="nil"/>
          <w:bottom w:val="nil"/>
          <w:right w:val="nil"/>
          <w:between w:val="nil"/>
        </w:pBdr>
        <w:spacing w:line="276" w:lineRule="auto"/>
        <w:ind w:right="-703"/>
        <w:jc w:val="both"/>
        <w:rPr>
          <w:rFonts w:ascii="Times New Roman" w:eastAsia="Times New Roman" w:hAnsi="Times New Roman" w:cs="Times New Roman"/>
        </w:rPr>
      </w:pPr>
    </w:p>
    <w:p w14:paraId="69507AA9" w14:textId="77777777" w:rsidR="00C513F2" w:rsidRDefault="00112522">
      <w:p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Con esta iniciativa, las y los jóvenes que cumplan con los requisitos del servicio militar obligatorio, contarán con una certificación equivalente a la libreta militar, y se reconocerá como experiencia para primer empleo.  </w:t>
      </w:r>
    </w:p>
    <w:p w14:paraId="4F7E87A0" w14:textId="77777777" w:rsidR="00C513F2" w:rsidRDefault="00C513F2">
      <w:pPr>
        <w:pBdr>
          <w:top w:val="nil"/>
          <w:left w:val="nil"/>
          <w:bottom w:val="nil"/>
          <w:right w:val="nil"/>
          <w:between w:val="nil"/>
        </w:pBdr>
        <w:spacing w:line="276" w:lineRule="auto"/>
        <w:ind w:right="-703"/>
        <w:jc w:val="both"/>
        <w:rPr>
          <w:rFonts w:ascii="Times New Roman" w:eastAsia="Times New Roman" w:hAnsi="Times New Roman" w:cs="Times New Roman"/>
        </w:rPr>
      </w:pPr>
    </w:p>
    <w:p w14:paraId="4425E3FC" w14:textId="77777777" w:rsidR="00C513F2" w:rsidRDefault="00112522">
      <w:p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La Ley 2272, también materializa la Sentencia C-101 de 2022 proferida por la Corte Constitucional en el artículo 12°, determinando que los entes territoriales que a la fecha de entrada en vigencia de la Ley, estén recaudando el tributo creado con fundamento en el artículo 8° de la Ley 1421 de 2010, y cuyo hecho generador sea en el caso de los departamentos la suscripción a un servicio público domiciliario, o de los municipios, los bienes raíces, sujetos al impuesto predial, podrán continuar cobrándolo con base en las condiciones definidas en sus ordenanzas o acuerdos. </w:t>
      </w:r>
    </w:p>
    <w:p w14:paraId="7CA812BC" w14:textId="77777777" w:rsidR="00C513F2" w:rsidRDefault="00C513F2">
      <w:pPr>
        <w:pBdr>
          <w:top w:val="nil"/>
          <w:left w:val="nil"/>
          <w:bottom w:val="nil"/>
          <w:right w:val="nil"/>
          <w:between w:val="nil"/>
        </w:pBdr>
        <w:spacing w:line="276" w:lineRule="auto"/>
        <w:ind w:right="-703"/>
        <w:rPr>
          <w:rFonts w:ascii="Times New Roman" w:eastAsia="Times New Roman" w:hAnsi="Times New Roman" w:cs="Times New Roman"/>
          <w:b/>
          <w:bCs/>
        </w:rPr>
      </w:pPr>
    </w:p>
    <w:p w14:paraId="56E3AE7B" w14:textId="77777777" w:rsidR="00C513F2" w:rsidRDefault="00112522">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En consecuencia, esta Ley constituye el soporte jurídico que habilita a las entidades territoriales para mantener el recaudo del tributo previsto en el artículo 8° de la Ley 1421 de 2010.</w:t>
      </w:r>
    </w:p>
    <w:p w14:paraId="77A98C02" w14:textId="77777777" w:rsidR="00C513F2" w:rsidRDefault="00C513F2">
      <w:pPr>
        <w:spacing w:line="276" w:lineRule="auto"/>
        <w:ind w:right="-705"/>
        <w:jc w:val="both"/>
        <w:rPr>
          <w:rFonts w:ascii="Times New Roman" w:eastAsia="Times New Roman" w:hAnsi="Times New Roman" w:cs="Times New Roman"/>
        </w:rPr>
      </w:pPr>
    </w:p>
    <w:p w14:paraId="3E6D1513" w14:textId="77777777" w:rsidR="00C513F2" w:rsidRDefault="00112522">
      <w:pPr>
        <w:spacing w:after="240" w:line="276" w:lineRule="auto"/>
        <w:ind w:right="-705"/>
        <w:jc w:val="both"/>
        <w:rPr>
          <w:rFonts w:ascii="Times New Roman" w:eastAsia="Times New Roman" w:hAnsi="Times New Roman" w:cs="Times New Roman"/>
        </w:rPr>
      </w:pPr>
      <w:r>
        <w:rPr>
          <w:rFonts w:ascii="Times New Roman" w:eastAsia="Times New Roman" w:hAnsi="Times New Roman" w:cs="Times New Roman"/>
        </w:rPr>
        <w:t>Por su parte, los artículos 13° y 14° desarrollan la creación y funcionamiento del Programa Nacional de Entrega Voluntaria de Armas. El artículo 16° establece la priorización de los planes territoriales con enfoque de desminado humanitario por parte del Gobierno Nacional. A continuación, el artículo 17° dispone la obligación de elaborar y conservar los documentos correspondientes a las fases precontractual, contractual y poscontractual de la contratación que se adelante en el marco de la negociación o implementación de los Acuerdos de Paz. Finalmente, el artículo 18° introduce medidas orientadas a la construcción de paz con la naturaleza, integrándola como componente esencial de la política de Paz Total.</w:t>
      </w:r>
    </w:p>
    <w:p w14:paraId="79CE468D" w14:textId="77777777" w:rsidR="00C513F2" w:rsidRDefault="00112522">
      <w:pPr>
        <w:spacing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En ese sentido, la Ley de Paz Total trasciende las negociaciones con actores armados y se proyecta como una política integral de construcción de paz. Reconoce que la paz requiere tanto seguridad como dignidad para las personas, y articula medidas de carácter institucional, jurídico, social, tributario y territorial, entre otras. Dentro de este marco, el Servicio Social para la Paz se configura como una alternativa al servicio militar obligatorio, que permite a los jóvenes contribuir directamente a la consolidación de la paz mediante labores sociales, comunitarias y territoriales. Estas disposiciones, lejos de ser accesorias, constituyen el andamiaje que habilita a las comunidades y al Estado para </w:t>
      </w:r>
      <w:r>
        <w:rPr>
          <w:rFonts w:ascii="Times New Roman" w:eastAsia="Times New Roman" w:hAnsi="Times New Roman" w:cs="Times New Roman"/>
        </w:rPr>
        <w:lastRenderedPageBreak/>
        <w:t>avanzar juntos hacia un proceso participativo y colectivo, en el que la ciudadanía y las nuevas generaciones se reconocen como protagonistas de la Paz Total.</w:t>
      </w:r>
    </w:p>
    <w:p w14:paraId="79758874" w14:textId="77777777" w:rsidR="00C513F2" w:rsidRDefault="00112522">
      <w:pPr>
        <w:numPr>
          <w:ilvl w:val="0"/>
          <w:numId w:val="8"/>
        </w:numPr>
        <w:pBdr>
          <w:top w:val="nil"/>
          <w:left w:val="nil"/>
          <w:bottom w:val="nil"/>
          <w:right w:val="nil"/>
          <w:between w:val="nil"/>
        </w:pBdr>
        <w:spacing w:line="276" w:lineRule="auto"/>
        <w:ind w:right="-703"/>
        <w:rPr>
          <w:rFonts w:ascii="Times New Roman" w:eastAsia="Times New Roman" w:hAnsi="Times New Roman" w:cs="Times New Roman"/>
          <w:b/>
          <w:bCs/>
        </w:rPr>
      </w:pPr>
      <w:r>
        <w:rPr>
          <w:rFonts w:ascii="Times New Roman" w:eastAsia="Times New Roman" w:hAnsi="Times New Roman" w:cs="Times New Roman"/>
          <w:b/>
          <w:bCs/>
        </w:rPr>
        <w:t xml:space="preserve">CONSIDERACIONES DE LA CORTE CONSTITUCIONAL </w:t>
      </w:r>
    </w:p>
    <w:p w14:paraId="2D00C673" w14:textId="77777777" w:rsidR="00C513F2" w:rsidRDefault="00C513F2">
      <w:pPr>
        <w:pBdr>
          <w:top w:val="nil"/>
          <w:left w:val="nil"/>
          <w:bottom w:val="nil"/>
          <w:right w:val="nil"/>
          <w:between w:val="nil"/>
        </w:pBdr>
        <w:spacing w:line="276" w:lineRule="auto"/>
        <w:ind w:right="-703"/>
        <w:rPr>
          <w:rFonts w:ascii="Times New Roman" w:eastAsia="Times New Roman" w:hAnsi="Times New Roman" w:cs="Times New Roman"/>
          <w:b/>
          <w:bCs/>
        </w:rPr>
      </w:pPr>
    </w:p>
    <w:p w14:paraId="11C9EA72" w14:textId="77777777" w:rsidR="00C513F2" w:rsidRDefault="00112522">
      <w:p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La Corte Constitucional ha analizado la Ley 2272 de 2022 por medio de las siguientes sentencias:</w:t>
      </w:r>
    </w:p>
    <w:p w14:paraId="0A33C187" w14:textId="77777777" w:rsidR="00C513F2" w:rsidRDefault="00C513F2">
      <w:pPr>
        <w:pBdr>
          <w:top w:val="nil"/>
          <w:left w:val="nil"/>
          <w:bottom w:val="nil"/>
          <w:right w:val="nil"/>
          <w:between w:val="nil"/>
        </w:pBdr>
        <w:spacing w:line="276" w:lineRule="auto"/>
        <w:ind w:right="-703"/>
        <w:rPr>
          <w:rFonts w:ascii="Times New Roman" w:eastAsia="Times New Roman" w:hAnsi="Times New Roman" w:cs="Times New Roman"/>
        </w:rPr>
      </w:pPr>
    </w:p>
    <w:p w14:paraId="7E940EAA" w14:textId="77777777" w:rsidR="00C513F2" w:rsidRDefault="00112522">
      <w:pPr>
        <w:numPr>
          <w:ilvl w:val="0"/>
          <w:numId w:val="13"/>
        </w:num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Sentencia C-363 de 2023. Demanda presentada en contra del artículo 12 de la Ley 2272 de 2022 por el desconocimiento de la sentencia C-101 de 2022. </w:t>
      </w:r>
    </w:p>
    <w:p w14:paraId="1103798F" w14:textId="77777777" w:rsidR="00C513F2" w:rsidRDefault="00112522">
      <w:pPr>
        <w:numPr>
          <w:ilvl w:val="0"/>
          <w:numId w:val="13"/>
        </w:num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Sentencia C-525 de 2023. Demanda presentada en contra de la totalidad de la Ley 2272 de 2022 por vicios de procedimiento; y del artículo 5 por vulneración del principio de separación de poderes y el derecho de las víctimas a un recurso judicial efectivo. </w:t>
      </w:r>
    </w:p>
    <w:p w14:paraId="4D5B28B5" w14:textId="77777777" w:rsidR="00C513F2" w:rsidRDefault="00112522">
      <w:pPr>
        <w:numPr>
          <w:ilvl w:val="0"/>
          <w:numId w:val="13"/>
        </w:num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Sentencia C-542 de 2023. Demanda presentada contra la totalidad de la Ley y sus artículos 2, 10, 11 y 12 por vicios de forma y contra los artículos 2 y 5 por vicios de fondo. </w:t>
      </w:r>
    </w:p>
    <w:p w14:paraId="3D3585B7" w14:textId="77777777" w:rsidR="00C513F2" w:rsidRDefault="00112522">
      <w:pPr>
        <w:numPr>
          <w:ilvl w:val="0"/>
          <w:numId w:val="13"/>
        </w:num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Sentencia C-416 de 2024. Demanda presentada contra el parágrafo 1 del artículo 6 por considerar que desconocía los derechos de petición y acceso a documentos públicos. </w:t>
      </w:r>
    </w:p>
    <w:p w14:paraId="49578EC7" w14:textId="77777777" w:rsidR="00C513F2" w:rsidRDefault="00112522">
      <w:pPr>
        <w:numPr>
          <w:ilvl w:val="0"/>
          <w:numId w:val="13"/>
        </w:num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Sentencia C-036 de 2025. Demanda presentada contra el parágrafo 6 del artículo 5 por considerar que desconoce lo dispuesto en los artículos 4 y 93 de la Constitución Política. </w:t>
      </w:r>
    </w:p>
    <w:p w14:paraId="3F0D4534" w14:textId="77777777" w:rsidR="00C513F2" w:rsidRDefault="00C513F2">
      <w:pPr>
        <w:pBdr>
          <w:top w:val="nil"/>
          <w:left w:val="nil"/>
          <w:bottom w:val="nil"/>
          <w:right w:val="nil"/>
          <w:between w:val="nil"/>
        </w:pBdr>
        <w:spacing w:line="276" w:lineRule="auto"/>
        <w:ind w:left="720" w:right="-703"/>
        <w:jc w:val="both"/>
        <w:rPr>
          <w:rFonts w:ascii="Times New Roman" w:eastAsia="Times New Roman" w:hAnsi="Times New Roman" w:cs="Times New Roman"/>
        </w:rPr>
      </w:pPr>
    </w:p>
    <w:p w14:paraId="7B24BEB8" w14:textId="77777777" w:rsidR="00C513F2" w:rsidRDefault="00112522">
      <w:p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En la sentencia C-525 del año 2023, una vez superada la discusión sobre los vicios de forma propuestos por el demandante, la Corte pasó a referirse a los cargos contra el artículo 5 de la ley 2272. En ese sentido, el punto de origen para la Corte Constitucional es la Constitución Política de 1991 como una respuesta ante la violencia armada y un instrumento para la convivencia y la paz</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Dice la Corte que la Constitución fue concebida “</w:t>
      </w:r>
      <w:r>
        <w:rPr>
          <w:rFonts w:ascii="Times New Roman" w:eastAsia="Times New Roman" w:hAnsi="Times New Roman" w:cs="Times New Roman"/>
          <w:i/>
          <w:iCs/>
        </w:rPr>
        <w:t>como un pacto de paz para la superación del conflicto que, para el momento de su concepción y expedición ponía en riesgo la estabilidad mínima del Estado”</w:t>
      </w:r>
      <w:r>
        <w:rPr>
          <w:rFonts w:ascii="Times New Roman" w:eastAsia="Times New Roman" w:hAnsi="Times New Roman" w:cs="Times New Roman"/>
          <w:i/>
          <w:iCs/>
          <w:vertAlign w:val="superscript"/>
        </w:rPr>
        <w:footnoteReference w:id="2"/>
      </w:r>
      <w:r>
        <w:rPr>
          <w:rFonts w:ascii="Times New Roman" w:eastAsia="Times New Roman" w:hAnsi="Times New Roman" w:cs="Times New Roman"/>
          <w:i/>
          <w:iCs/>
        </w:rPr>
        <w:t>. En ese sentido, la Constitución es “surgida de un proceso democrática, incluyente y participativo, serviría de base para la construcción de una institucionalidad estable, basada en el Derecho como mecanismo pacífico y reglado de solución de controversias</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 xml:space="preserve">. </w:t>
      </w:r>
    </w:p>
    <w:p w14:paraId="4BB58916" w14:textId="77777777" w:rsidR="00C513F2" w:rsidRDefault="00C513F2">
      <w:pPr>
        <w:pBdr>
          <w:top w:val="nil"/>
          <w:left w:val="nil"/>
          <w:bottom w:val="nil"/>
          <w:right w:val="nil"/>
          <w:between w:val="nil"/>
        </w:pBdr>
        <w:spacing w:line="276" w:lineRule="auto"/>
        <w:ind w:right="-703"/>
        <w:jc w:val="both"/>
        <w:rPr>
          <w:rFonts w:ascii="Times New Roman" w:eastAsia="Times New Roman" w:hAnsi="Times New Roman" w:cs="Times New Roman"/>
        </w:rPr>
      </w:pPr>
    </w:p>
    <w:p w14:paraId="0E58EEBB" w14:textId="77777777" w:rsidR="00C513F2" w:rsidRDefault="00112522">
      <w:pPr>
        <w:spacing w:after="240" w:line="276" w:lineRule="auto"/>
        <w:ind w:right="-705"/>
        <w:jc w:val="both"/>
        <w:rPr>
          <w:rFonts w:ascii="Times New Roman" w:eastAsia="Times New Roman" w:hAnsi="Times New Roman" w:cs="Times New Roman"/>
        </w:rPr>
      </w:pPr>
      <w:r>
        <w:rPr>
          <w:rFonts w:ascii="Times New Roman" w:eastAsia="Times New Roman" w:hAnsi="Times New Roman" w:cs="Times New Roman"/>
        </w:rPr>
        <w:t xml:space="preserve">La Corte Constitucional explica que la paz se encuentra consagrada en distintos apartados del texto constitucional. En el preámbulo, se señala que la Constitución tiene como propósito esencial garantizar la convivencia y que la paz constituye un derecho y un deber </w:t>
      </w:r>
      <w:r>
        <w:rPr>
          <w:rFonts w:ascii="Times New Roman" w:eastAsia="Times New Roman" w:hAnsi="Times New Roman" w:cs="Times New Roman"/>
        </w:rPr>
        <w:lastRenderedPageBreak/>
        <w:t>ciudadano. En el artículo 22, se reconoce expresamente la paz como un derecho y un deber de obligatorio cumplimiento, y en el artículo 95, se establece que uno de los deberes de las y los colombianos es propender por su logro y mantenimiento.</w:t>
      </w:r>
    </w:p>
    <w:p w14:paraId="04CB3854" w14:textId="77777777" w:rsidR="00C513F2" w:rsidRDefault="00112522">
      <w:pPr>
        <w:spacing w:line="276" w:lineRule="auto"/>
        <w:ind w:right="-705"/>
        <w:jc w:val="both"/>
        <w:rPr>
          <w:rFonts w:ascii="Times New Roman" w:eastAsia="Times New Roman" w:hAnsi="Times New Roman" w:cs="Times New Roman"/>
        </w:rPr>
      </w:pPr>
      <w:r>
        <w:rPr>
          <w:rFonts w:ascii="Times New Roman" w:eastAsia="Times New Roman" w:hAnsi="Times New Roman" w:cs="Times New Roman"/>
        </w:rPr>
        <w:t>Asimismo, la Corte precisa que la búsqueda de la paz presenta dos dimensiones: una negativa, referida a la ausencia de violencia, y otra positiva, vinculada a la garantía integral de los derechos y al fortalecimiento del Estado Social de Derecho</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xml:space="preserve">. </w:t>
      </w:r>
    </w:p>
    <w:p w14:paraId="033CB16E" w14:textId="77777777" w:rsidR="00C513F2" w:rsidRDefault="00C513F2">
      <w:pPr>
        <w:spacing w:line="276" w:lineRule="auto"/>
        <w:ind w:right="-705"/>
        <w:jc w:val="both"/>
        <w:rPr>
          <w:rFonts w:ascii="Times New Roman" w:eastAsia="Times New Roman" w:hAnsi="Times New Roman" w:cs="Times New Roman"/>
        </w:rPr>
      </w:pPr>
    </w:p>
    <w:p w14:paraId="4A6F844E" w14:textId="77777777" w:rsidR="00C513F2" w:rsidRDefault="00112522">
      <w:pPr>
        <w:spacing w:line="276" w:lineRule="auto"/>
        <w:ind w:right="-705"/>
        <w:jc w:val="both"/>
        <w:rPr>
          <w:rFonts w:ascii="Times New Roman" w:eastAsia="Times New Roman" w:hAnsi="Times New Roman" w:cs="Times New Roman"/>
        </w:rPr>
      </w:pPr>
      <w:r>
        <w:rPr>
          <w:rFonts w:ascii="Times New Roman" w:eastAsia="Times New Roman" w:hAnsi="Times New Roman" w:cs="Times New Roman"/>
        </w:rPr>
        <w:t>Desarrollando la faceta negativa de la paz de dar fin a los conflictos armados y a la violencia, las ramas del poder público han buscado el fin de los conflictos armados y las graves vulneraciones de derechos. En ese sentido, se ha reconocido el rol de la Ley 418 de 1997 y sus prórrogas como herramienta para lograr la solución pacífica y humanitaria del conflicto armado interno</w:t>
      </w:r>
      <w:r>
        <w:rPr>
          <w:rFonts w:ascii="Times New Roman" w:eastAsia="Times New Roman" w:hAnsi="Times New Roman" w:cs="Times New Roman"/>
          <w:vertAlign w:val="superscript"/>
        </w:rPr>
        <w:footnoteReference w:id="5"/>
      </w:r>
      <w:r>
        <w:rPr>
          <w:rFonts w:ascii="Times New Roman" w:eastAsia="Times New Roman" w:hAnsi="Times New Roman" w:cs="Times New Roman"/>
        </w:rPr>
        <w:t>.</w:t>
      </w:r>
    </w:p>
    <w:p w14:paraId="333378C9" w14:textId="77777777" w:rsidR="00C513F2" w:rsidRDefault="00C513F2">
      <w:pPr>
        <w:pBdr>
          <w:top w:val="nil"/>
          <w:left w:val="nil"/>
          <w:bottom w:val="nil"/>
          <w:right w:val="nil"/>
          <w:between w:val="nil"/>
        </w:pBdr>
        <w:spacing w:line="276" w:lineRule="auto"/>
        <w:ind w:right="-703"/>
        <w:jc w:val="both"/>
        <w:rPr>
          <w:rFonts w:ascii="Times New Roman" w:eastAsia="Times New Roman" w:hAnsi="Times New Roman" w:cs="Times New Roman"/>
        </w:rPr>
      </w:pPr>
    </w:p>
    <w:p w14:paraId="58AD7655" w14:textId="77777777" w:rsidR="00C513F2" w:rsidRDefault="00112522">
      <w:p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En ese sentido, e interpretando la disposición constitucional consagrada en el artículo 189.4 que le da al Presidente la obligación de conservar el orden público y restablecerlo donde fuere turbado, la Ley 418 de 1997 contempló disposiciones para facilitar el diálogo y la suscripción de acuerdos con grupos armados al margen de la ley para su desmovilización. Al respecto, la sentencia C-048 de 2001 desarrolló que el Presidente debe encontrar soluciones pacíficas debido a que se acomodan a la filosofía humanista y las normas en torno a la paz que la Constitución propugna</w:t>
      </w:r>
      <w:r>
        <w:rPr>
          <w:rFonts w:ascii="Times New Roman" w:eastAsia="Times New Roman" w:hAnsi="Times New Roman" w:cs="Times New Roman"/>
          <w:vertAlign w:val="superscript"/>
        </w:rPr>
        <w:footnoteReference w:id="6"/>
      </w:r>
      <w:r>
        <w:rPr>
          <w:rFonts w:ascii="Times New Roman" w:eastAsia="Times New Roman" w:hAnsi="Times New Roman" w:cs="Times New Roman"/>
        </w:rPr>
        <w:t xml:space="preserve">. </w:t>
      </w:r>
    </w:p>
    <w:p w14:paraId="11A18761" w14:textId="77777777" w:rsidR="00C513F2" w:rsidRDefault="00C513F2">
      <w:pPr>
        <w:pBdr>
          <w:top w:val="nil"/>
          <w:left w:val="nil"/>
          <w:bottom w:val="nil"/>
          <w:right w:val="nil"/>
          <w:between w:val="nil"/>
        </w:pBdr>
        <w:spacing w:line="276" w:lineRule="auto"/>
        <w:ind w:right="-703"/>
        <w:jc w:val="both"/>
        <w:rPr>
          <w:rFonts w:ascii="Times New Roman" w:eastAsia="Times New Roman" w:hAnsi="Times New Roman" w:cs="Times New Roman"/>
        </w:rPr>
      </w:pPr>
    </w:p>
    <w:p w14:paraId="7CD3484F" w14:textId="77777777" w:rsidR="00C513F2" w:rsidRDefault="00112522">
      <w:p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Por su parte, la sentencia C-069 de 2020 desarrolla que la Corte debe preferir la solución pacífica del conflicto armado. Razón por la cual se reiteró que, dentro de los instrumentos a facilitar las negociaciones y diálogos entre el Gobierno y los grupos armados se encuentran los siguientes:</w:t>
      </w:r>
    </w:p>
    <w:p w14:paraId="508A081E" w14:textId="77777777" w:rsidR="00C513F2" w:rsidRDefault="00C513F2">
      <w:pPr>
        <w:pBdr>
          <w:top w:val="nil"/>
          <w:left w:val="nil"/>
          <w:bottom w:val="nil"/>
          <w:right w:val="nil"/>
          <w:between w:val="nil"/>
        </w:pBdr>
        <w:spacing w:line="276" w:lineRule="auto"/>
        <w:ind w:right="-703"/>
        <w:jc w:val="both"/>
        <w:rPr>
          <w:rFonts w:ascii="Times New Roman" w:eastAsia="Times New Roman" w:hAnsi="Times New Roman" w:cs="Times New Roman"/>
        </w:rPr>
      </w:pPr>
    </w:p>
    <w:p w14:paraId="5A6645D5" w14:textId="77777777" w:rsidR="00C513F2" w:rsidRDefault="00112522">
      <w:pPr>
        <w:numPr>
          <w:ilvl w:val="0"/>
          <w:numId w:val="4"/>
        </w:num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La posibilidad de entablar negociaciones, diálogos y negociaciones para llegar a acuerdos para la terminación del conflicto, para producir el cese de hostilidades o la reducción de los enfrentamientos, para verificar el cumplimiento de los acuerdos, lograr la desmovilización, el desarme y la reintegración. </w:t>
      </w:r>
    </w:p>
    <w:p w14:paraId="2091DB8A" w14:textId="77777777" w:rsidR="00C513F2" w:rsidRDefault="00112522">
      <w:pPr>
        <w:numPr>
          <w:ilvl w:val="0"/>
          <w:numId w:val="4"/>
        </w:num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La suspensión de procesos judiciales y/o de las órdenes de captura contra los miembros del grupo armado y sus representantes. </w:t>
      </w:r>
    </w:p>
    <w:p w14:paraId="16A00AD6" w14:textId="77777777" w:rsidR="00C513F2" w:rsidRDefault="00112522">
      <w:pPr>
        <w:numPr>
          <w:ilvl w:val="0"/>
          <w:numId w:val="4"/>
        </w:num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La potestad del Presidente de la República para autorizar la ubicación de representantes, voceros y/o miembros de tales grupos en zonas del territorio nacional, ordenando los desplazamientos necesarios de la fuerza pública para garantizar la vida, la integridad personal y los derechos a sus integrantes. </w:t>
      </w:r>
    </w:p>
    <w:p w14:paraId="14CC7515" w14:textId="77777777" w:rsidR="00C513F2" w:rsidRDefault="00C513F2">
      <w:pPr>
        <w:pBdr>
          <w:top w:val="nil"/>
          <w:left w:val="nil"/>
          <w:bottom w:val="nil"/>
          <w:right w:val="nil"/>
          <w:between w:val="nil"/>
        </w:pBdr>
        <w:spacing w:line="276" w:lineRule="auto"/>
        <w:ind w:right="-703"/>
        <w:jc w:val="both"/>
        <w:rPr>
          <w:rFonts w:ascii="Times New Roman" w:eastAsia="Times New Roman" w:hAnsi="Times New Roman" w:cs="Times New Roman"/>
        </w:rPr>
      </w:pPr>
    </w:p>
    <w:p w14:paraId="02B46918" w14:textId="77777777" w:rsidR="00C513F2" w:rsidRDefault="00112522">
      <w:p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lastRenderedPageBreak/>
        <w:t>Con estos objetivos, la Corte Constitucional concluye que el artículo 5° de la Ley de Paz Total hace parte de una norma que amplió el alcance que había tenido la Ley 418 y previó mecanismos de solución pacífica para terminar la violencia de las Estructuras Armadas Organizadas de Crimen de Alto Impacto. En ese sentido, dice la Corte que esta normativa hace parte de una legislación relacionada con los principios constitucionales de paz y que buscan terminar la violencia extrema y directa contra la población</w:t>
      </w:r>
      <w:r>
        <w:rPr>
          <w:rFonts w:ascii="Times New Roman" w:eastAsia="Times New Roman" w:hAnsi="Times New Roman" w:cs="Times New Roman"/>
          <w:vertAlign w:val="superscript"/>
        </w:rPr>
        <w:footnoteReference w:id="7"/>
      </w:r>
      <w:r>
        <w:rPr>
          <w:rFonts w:ascii="Times New Roman" w:eastAsia="Times New Roman" w:hAnsi="Times New Roman" w:cs="Times New Roman"/>
        </w:rPr>
        <w:t xml:space="preserve">. </w:t>
      </w:r>
    </w:p>
    <w:p w14:paraId="5E30759D" w14:textId="77777777" w:rsidR="00C513F2" w:rsidRDefault="00C513F2">
      <w:pPr>
        <w:pBdr>
          <w:top w:val="nil"/>
          <w:left w:val="nil"/>
          <w:bottom w:val="nil"/>
          <w:right w:val="nil"/>
          <w:between w:val="nil"/>
        </w:pBdr>
        <w:spacing w:line="276" w:lineRule="auto"/>
        <w:ind w:right="-703"/>
        <w:jc w:val="both"/>
        <w:rPr>
          <w:rFonts w:ascii="Times New Roman" w:eastAsia="Times New Roman" w:hAnsi="Times New Roman" w:cs="Times New Roman"/>
        </w:rPr>
      </w:pPr>
    </w:p>
    <w:p w14:paraId="041CF536" w14:textId="77777777" w:rsidR="00C513F2" w:rsidRDefault="00112522">
      <w:p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Por su parte, en relación a la faceta positiva de la paz, la Corte ha sostenido que es tan importante como la negativa debido a que encara los factores estructurales de la violencia y busca robustecer la capacidad del Estado para impedirla. Al respecto, dice la Corte:</w:t>
      </w:r>
    </w:p>
    <w:p w14:paraId="65F7D5AF" w14:textId="77777777" w:rsidR="00C513F2" w:rsidRDefault="00C513F2">
      <w:pPr>
        <w:pBdr>
          <w:top w:val="nil"/>
          <w:left w:val="nil"/>
          <w:bottom w:val="nil"/>
          <w:right w:val="nil"/>
          <w:between w:val="nil"/>
        </w:pBdr>
        <w:spacing w:line="276" w:lineRule="auto"/>
        <w:ind w:right="-703"/>
        <w:jc w:val="both"/>
        <w:rPr>
          <w:rFonts w:ascii="Times New Roman" w:eastAsia="Times New Roman" w:hAnsi="Times New Roman" w:cs="Times New Roman"/>
        </w:rPr>
      </w:pPr>
    </w:p>
    <w:p w14:paraId="6FCD75D6" w14:textId="77777777" w:rsidR="00C513F2" w:rsidRDefault="00112522">
      <w:pPr>
        <w:pBdr>
          <w:top w:val="nil"/>
          <w:left w:val="nil"/>
          <w:bottom w:val="nil"/>
          <w:right w:val="nil"/>
          <w:between w:val="nil"/>
        </w:pBdr>
        <w:spacing w:line="276" w:lineRule="auto"/>
        <w:ind w:left="720" w:right="-703"/>
        <w:jc w:val="both"/>
        <w:rPr>
          <w:rFonts w:ascii="Times New Roman" w:eastAsia="Times New Roman" w:hAnsi="Times New Roman" w:cs="Times New Roman"/>
        </w:rPr>
      </w:pPr>
      <w:r>
        <w:rPr>
          <w:rFonts w:ascii="Times New Roman" w:eastAsia="Times New Roman" w:hAnsi="Times New Roman" w:cs="Times New Roman"/>
        </w:rPr>
        <w:t>La paz está intrínsecamente asociada al principio de dignidad humana pues la violencia la desconoce. Por consiguiente, la paz no es un límite al ejercicio de los derechos fundamentales, sino que el ejercicio de los derechos fundamentales es la realización de la paz. En tal sentido, no puede haber paz sin el respeto de los derechos de las víctimas. La paz promueve la justicia respecto de los crímenes de derechos humanos y las violaciones al DIH. La justicia frente a los crímenes reafirma su gravedad, reprocha su comisión y restablece la norma que los prohíbe. Solo hay paz sin estos crímenes y violaciones, para lo cual es indispensable su prohibición absoluta y su reproche efectivo a través de la justicia, la reparación de las víctimas y la verdad</w:t>
      </w:r>
      <w:r>
        <w:rPr>
          <w:rFonts w:ascii="Times New Roman" w:eastAsia="Times New Roman" w:hAnsi="Times New Roman" w:cs="Times New Roman"/>
          <w:vertAlign w:val="superscript"/>
        </w:rPr>
        <w:footnoteReference w:id="8"/>
      </w:r>
      <w:r>
        <w:rPr>
          <w:rFonts w:ascii="Times New Roman" w:eastAsia="Times New Roman" w:hAnsi="Times New Roman" w:cs="Times New Roman"/>
        </w:rPr>
        <w:t>.</w:t>
      </w:r>
    </w:p>
    <w:p w14:paraId="382E75B9" w14:textId="77777777" w:rsidR="00C513F2" w:rsidRDefault="00C513F2">
      <w:pPr>
        <w:pBdr>
          <w:top w:val="nil"/>
          <w:left w:val="nil"/>
          <w:bottom w:val="nil"/>
          <w:right w:val="nil"/>
          <w:between w:val="nil"/>
        </w:pBdr>
        <w:spacing w:line="276" w:lineRule="auto"/>
        <w:ind w:left="720" w:right="-703"/>
        <w:jc w:val="both"/>
        <w:rPr>
          <w:rFonts w:ascii="Times New Roman" w:eastAsia="Times New Roman" w:hAnsi="Times New Roman" w:cs="Times New Roman"/>
        </w:rPr>
      </w:pPr>
    </w:p>
    <w:p w14:paraId="69671219" w14:textId="77777777" w:rsidR="00C513F2" w:rsidRDefault="00112522">
      <w:p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En ese sentido, concluye la Corte que alcanzar la paz supone enfrentar todos los tipos de violencia y sus causas, avanzar en el fortalecimiento del Estado de Derecho, la democracia y la protección de los derechos humanos. La paz en ese sentido es el fin de la violencia y la construcción de bases sólidas para evitarla</w:t>
      </w:r>
      <w:r>
        <w:rPr>
          <w:rFonts w:ascii="Times New Roman" w:eastAsia="Times New Roman" w:hAnsi="Times New Roman" w:cs="Times New Roman"/>
          <w:vertAlign w:val="superscript"/>
        </w:rPr>
        <w:footnoteReference w:id="9"/>
      </w:r>
      <w:r>
        <w:rPr>
          <w:rFonts w:ascii="Times New Roman" w:eastAsia="Times New Roman" w:hAnsi="Times New Roman" w:cs="Times New Roman"/>
        </w:rPr>
        <w:t>, por lo que no solo comprende la terminación de los conflictos armados sino la erradicación de la violencia que, solo es posible a través de la realización de la justicia y el Estado Social de Derecho</w:t>
      </w:r>
      <w:r>
        <w:rPr>
          <w:rFonts w:ascii="Times New Roman" w:eastAsia="Times New Roman" w:hAnsi="Times New Roman" w:cs="Times New Roman"/>
          <w:vertAlign w:val="superscript"/>
        </w:rPr>
        <w:footnoteReference w:id="10"/>
      </w:r>
      <w:r>
        <w:rPr>
          <w:rFonts w:ascii="Times New Roman" w:eastAsia="Times New Roman" w:hAnsi="Times New Roman" w:cs="Times New Roman"/>
        </w:rPr>
        <w:t xml:space="preserve">. </w:t>
      </w:r>
    </w:p>
    <w:p w14:paraId="322E2565" w14:textId="77777777" w:rsidR="00C513F2" w:rsidRDefault="00C513F2">
      <w:pPr>
        <w:pBdr>
          <w:top w:val="nil"/>
          <w:left w:val="nil"/>
          <w:bottom w:val="nil"/>
          <w:right w:val="nil"/>
          <w:between w:val="nil"/>
        </w:pBdr>
        <w:spacing w:line="276" w:lineRule="auto"/>
        <w:ind w:right="-703"/>
        <w:jc w:val="both"/>
        <w:rPr>
          <w:rFonts w:ascii="Times New Roman" w:eastAsia="Times New Roman" w:hAnsi="Times New Roman" w:cs="Times New Roman"/>
        </w:rPr>
      </w:pPr>
    </w:p>
    <w:p w14:paraId="2F5D6524" w14:textId="77777777" w:rsidR="00C513F2" w:rsidRDefault="00112522">
      <w:p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Teniendo en cuenta estas dos facetas de la paz, la Corte Constitucional ha desarrollado jurisprudencia para desarrollar como el presidente de la República tiene una amplia libertad para escoger los mecanismos para el mantenimiento del orden público, desde los mecanismos coercitivos hasta la inclusión de medidas que busquen la resolución pacífica de los conflictos</w:t>
      </w:r>
      <w:r>
        <w:rPr>
          <w:rFonts w:ascii="Times New Roman" w:eastAsia="Times New Roman" w:hAnsi="Times New Roman" w:cs="Times New Roman"/>
          <w:vertAlign w:val="superscript"/>
        </w:rPr>
        <w:footnoteReference w:id="11"/>
      </w:r>
      <w:r>
        <w:rPr>
          <w:rFonts w:ascii="Times New Roman" w:eastAsia="Times New Roman" w:hAnsi="Times New Roman" w:cs="Times New Roman"/>
        </w:rPr>
        <w:t>. Dice la Corte:</w:t>
      </w:r>
    </w:p>
    <w:p w14:paraId="2CFDDA90" w14:textId="77777777" w:rsidR="00C513F2" w:rsidRDefault="00C513F2">
      <w:pPr>
        <w:pBdr>
          <w:top w:val="nil"/>
          <w:left w:val="nil"/>
          <w:bottom w:val="nil"/>
          <w:right w:val="nil"/>
          <w:between w:val="nil"/>
        </w:pBdr>
        <w:spacing w:line="276" w:lineRule="auto"/>
        <w:ind w:right="-703"/>
        <w:jc w:val="both"/>
        <w:rPr>
          <w:rFonts w:ascii="Times New Roman" w:eastAsia="Times New Roman" w:hAnsi="Times New Roman" w:cs="Times New Roman"/>
        </w:rPr>
      </w:pPr>
    </w:p>
    <w:p w14:paraId="21B6A0E7" w14:textId="77777777" w:rsidR="00C513F2" w:rsidRDefault="00112522">
      <w:pPr>
        <w:pBdr>
          <w:top w:val="nil"/>
          <w:left w:val="nil"/>
          <w:bottom w:val="nil"/>
          <w:right w:val="nil"/>
          <w:between w:val="nil"/>
        </w:pBdr>
        <w:spacing w:line="276" w:lineRule="auto"/>
        <w:ind w:left="720" w:right="-703"/>
        <w:jc w:val="both"/>
        <w:rPr>
          <w:rFonts w:ascii="Times New Roman" w:eastAsia="Times New Roman" w:hAnsi="Times New Roman" w:cs="Times New Roman"/>
        </w:rPr>
      </w:pPr>
      <w:r>
        <w:rPr>
          <w:rFonts w:ascii="Times New Roman" w:eastAsia="Times New Roman" w:hAnsi="Times New Roman" w:cs="Times New Roman"/>
        </w:rPr>
        <w:t xml:space="preserve">El presidente de la República, como máxima autoridad en el control del orden público, debe entonces conducir los procesos de conversaciones, acercamientos, </w:t>
      </w:r>
      <w:r>
        <w:rPr>
          <w:rFonts w:ascii="Times New Roman" w:eastAsia="Times New Roman" w:hAnsi="Times New Roman" w:cs="Times New Roman"/>
        </w:rPr>
        <w:lastRenderedPageBreak/>
        <w:t>negociaciones y de solución pacífica de la violencia asegurando la protección de los derechos de la población en un marco que propenda por: el fortalecimiento del Estado de Derecho, la presencia integral del Estado, su control territorial y la realización de la Constitución en todo el país. Para ese fin, dentro del amplio margen de apreciación política con el que cuenta, el presidente está en la obligación de usar tales herramientas de manera ponderada, y evitar a toda costa que el ejercicio de sus atribuciones de control de orden público, tanto las de solución pacífica como las coercitivas, vayan en desmedro de los derechos fundamentales de las personas y comunidades.</w:t>
      </w:r>
    </w:p>
    <w:p w14:paraId="7647888B" w14:textId="77777777" w:rsidR="00C513F2" w:rsidRDefault="00C513F2">
      <w:pPr>
        <w:pBdr>
          <w:top w:val="nil"/>
          <w:left w:val="nil"/>
          <w:bottom w:val="nil"/>
          <w:right w:val="nil"/>
          <w:between w:val="nil"/>
        </w:pBdr>
        <w:spacing w:line="276" w:lineRule="auto"/>
        <w:ind w:left="720" w:right="-703"/>
        <w:jc w:val="both"/>
        <w:rPr>
          <w:rFonts w:ascii="Times New Roman" w:eastAsia="Times New Roman" w:hAnsi="Times New Roman" w:cs="Times New Roman"/>
        </w:rPr>
      </w:pPr>
    </w:p>
    <w:p w14:paraId="314E3967" w14:textId="77777777" w:rsidR="00C513F2" w:rsidRDefault="00112522">
      <w:pPr>
        <w:pBdr>
          <w:top w:val="nil"/>
          <w:left w:val="nil"/>
          <w:bottom w:val="nil"/>
          <w:right w:val="nil"/>
          <w:between w:val="nil"/>
        </w:pBdr>
        <w:spacing w:line="276" w:lineRule="auto"/>
        <w:ind w:left="720" w:right="-703"/>
        <w:jc w:val="both"/>
        <w:rPr>
          <w:rFonts w:ascii="Times New Roman" w:eastAsia="Times New Roman" w:hAnsi="Times New Roman" w:cs="Times New Roman"/>
        </w:rPr>
      </w:pPr>
      <w:r>
        <w:rPr>
          <w:rFonts w:ascii="Times New Roman" w:eastAsia="Times New Roman" w:hAnsi="Times New Roman" w:cs="Times New Roman"/>
        </w:rPr>
        <w:t>Para tal fin, el presidente de la República debe valorar los medios que tiene a su alcance, ya sea los de conversación o negociación, suscribir acuerdos humanitarios para disminuir el impacto de la violencia en la población bajo el DIH, o acudir al uso de la coerción del Estado cuando sea necesario. Un uso ponderado de los diferentes medios con los que cuenta asegura que el objetivo final de sus facultades no se desvirtúe: garantizar los derechos fundamentales a través de las herramientas del Estado de Derecho</w:t>
      </w:r>
      <w:r>
        <w:rPr>
          <w:rFonts w:ascii="Times New Roman" w:eastAsia="Times New Roman" w:hAnsi="Times New Roman" w:cs="Times New Roman"/>
          <w:vertAlign w:val="superscript"/>
        </w:rPr>
        <w:footnoteReference w:id="12"/>
      </w:r>
      <w:r>
        <w:rPr>
          <w:rFonts w:ascii="Times New Roman" w:eastAsia="Times New Roman" w:hAnsi="Times New Roman" w:cs="Times New Roman"/>
        </w:rPr>
        <w:t>.</w:t>
      </w:r>
    </w:p>
    <w:p w14:paraId="20FCF677" w14:textId="77777777" w:rsidR="00C513F2" w:rsidRDefault="00C513F2">
      <w:pPr>
        <w:pBdr>
          <w:top w:val="nil"/>
          <w:left w:val="nil"/>
          <w:bottom w:val="nil"/>
          <w:right w:val="nil"/>
          <w:between w:val="nil"/>
        </w:pBdr>
        <w:spacing w:line="276" w:lineRule="auto"/>
        <w:ind w:left="720" w:right="-703"/>
        <w:jc w:val="both"/>
        <w:rPr>
          <w:rFonts w:ascii="Times New Roman" w:eastAsia="Times New Roman" w:hAnsi="Times New Roman" w:cs="Times New Roman"/>
        </w:rPr>
      </w:pPr>
    </w:p>
    <w:p w14:paraId="2388091A" w14:textId="7E914DB4" w:rsidR="00C513F2" w:rsidRDefault="00112522">
      <w:p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Con base en estas consideraciones, la Corte Constitucional ha analizado distintos artículos de la Ley 2272 de </w:t>
      </w:r>
      <w:r w:rsidR="00C701DB">
        <w:rPr>
          <w:rFonts w:ascii="Times New Roman" w:eastAsia="Times New Roman" w:hAnsi="Times New Roman" w:cs="Times New Roman"/>
        </w:rPr>
        <w:t>2022 estableciendo</w:t>
      </w:r>
      <w:r>
        <w:rPr>
          <w:rFonts w:ascii="Times New Roman" w:eastAsia="Times New Roman" w:hAnsi="Times New Roman" w:cs="Times New Roman"/>
        </w:rPr>
        <w:t xml:space="preserve"> condicionamientos, declarando algunas normas inconstitucionales, pero sobre todo, reconociendo la constitucionalidad de la mayoría de sus disposiciones. Así, en relación al artículo 5° que modificó el artículo 8° de la Ley 418 de 1997 para conceder facultades al Gobierno Nacional con el fin de adelantar procesos para poner fin a la violencia organizada, la Corte desarrolló lo siguiente:</w:t>
      </w:r>
    </w:p>
    <w:p w14:paraId="34D1E411" w14:textId="77777777" w:rsidR="00C513F2" w:rsidRDefault="00C513F2">
      <w:pPr>
        <w:pBdr>
          <w:top w:val="nil"/>
          <w:left w:val="nil"/>
          <w:bottom w:val="nil"/>
          <w:right w:val="nil"/>
          <w:between w:val="nil"/>
        </w:pBdr>
        <w:spacing w:line="276" w:lineRule="auto"/>
        <w:ind w:right="-703"/>
        <w:jc w:val="both"/>
        <w:rPr>
          <w:rFonts w:ascii="Times New Roman" w:eastAsia="Times New Roman" w:hAnsi="Times New Roman" w:cs="Times New Roman"/>
        </w:rPr>
      </w:pPr>
    </w:p>
    <w:p w14:paraId="73272DCC" w14:textId="77777777" w:rsidR="00C513F2" w:rsidRDefault="00112522">
      <w:pPr>
        <w:numPr>
          <w:ilvl w:val="0"/>
          <w:numId w:val="7"/>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La norma, en su integralidad, no vulnera el principio de separación de poderes por al menos dos razones. En primer lugar, la constitucionalidad de entablar acercamientos y conversaciones con las Estructuras Armadas Organizadas de Crimen de Alto Impacto (EAOCAI) resulta plenamente compatible con el ordenamiento jurídico. En segundo lugar, se reconoce que el legislador actuó con respeto al extender las facultades que la Ley 418 y sus reformas han conferido al Gobierno para la solución pacífica de la violencia, facultades que fueron otorgadas en ejercicio legítimo de sus competencias.</w:t>
      </w:r>
    </w:p>
    <w:p w14:paraId="4114F235" w14:textId="77777777" w:rsidR="00C513F2" w:rsidRDefault="00C513F2">
      <w:pPr>
        <w:spacing w:line="276" w:lineRule="auto"/>
        <w:ind w:left="720" w:right="-703"/>
        <w:jc w:val="both"/>
        <w:rPr>
          <w:rFonts w:ascii="Times New Roman" w:eastAsia="Times New Roman" w:hAnsi="Times New Roman" w:cs="Times New Roman"/>
        </w:rPr>
      </w:pPr>
    </w:p>
    <w:p w14:paraId="5B9CA1E9" w14:textId="77777777" w:rsidR="00C513F2" w:rsidRDefault="00112522">
      <w:pPr>
        <w:pBdr>
          <w:top w:val="nil"/>
          <w:left w:val="nil"/>
          <w:bottom w:val="nil"/>
          <w:right w:val="nil"/>
          <w:between w:val="nil"/>
        </w:pBdr>
        <w:spacing w:line="276" w:lineRule="auto"/>
        <w:ind w:left="720" w:right="-703"/>
        <w:jc w:val="both"/>
        <w:rPr>
          <w:rFonts w:ascii="Times New Roman" w:eastAsia="Times New Roman" w:hAnsi="Times New Roman" w:cs="Times New Roman"/>
        </w:rPr>
      </w:pPr>
      <w:r>
        <w:rPr>
          <w:rFonts w:ascii="Times New Roman" w:eastAsia="Times New Roman" w:hAnsi="Times New Roman" w:cs="Times New Roman"/>
        </w:rPr>
        <w:t xml:space="preserve">A pesar de lo anterior, la Corte concluyó la necesidad de una Ley de sometimiento con el objetivo de determinar la definición de tratamientos penales especiales hacia personas pertenecientes a las EAOCAI. Lo anterior, tras constatar que esta materia tiene reserva legal, por lo que debe pasar necesariamente por el Congreso de la República siguiendo los límites de la Constitución Política. En ese sentido, </w:t>
      </w:r>
      <w:r>
        <w:rPr>
          <w:rFonts w:ascii="Times New Roman" w:eastAsia="Times New Roman" w:hAnsi="Times New Roman" w:cs="Times New Roman"/>
        </w:rPr>
        <w:lastRenderedPageBreak/>
        <w:t xml:space="preserve">la Corte declaró inexequible la expresión “a juicio del Gobierno nacional” presente en el artículo 5°; mientras que declaró exequible la expresión “Los términos de sometimiento a la justicia a los que se lleguen con estas estructuras serán los que sean necesarios para pacificar los territorios y lograr su sometimiento a la justicia” en el entendido en que los términos del sometimiento a la justicia deben ser definidos por el legislador y garantizar los derechos de las víctimas. </w:t>
      </w:r>
    </w:p>
    <w:p w14:paraId="22FC4C80" w14:textId="77777777" w:rsidR="00C513F2" w:rsidRDefault="00C513F2">
      <w:pPr>
        <w:pBdr>
          <w:top w:val="nil"/>
          <w:left w:val="nil"/>
          <w:bottom w:val="nil"/>
          <w:right w:val="nil"/>
          <w:between w:val="nil"/>
        </w:pBdr>
        <w:spacing w:line="276" w:lineRule="auto"/>
        <w:ind w:right="-703"/>
        <w:jc w:val="both"/>
        <w:rPr>
          <w:rFonts w:ascii="Times New Roman" w:eastAsia="Times New Roman" w:hAnsi="Times New Roman" w:cs="Times New Roman"/>
        </w:rPr>
      </w:pPr>
    </w:p>
    <w:p w14:paraId="440F90B5" w14:textId="77777777" w:rsidR="00C513F2" w:rsidRDefault="00112522">
      <w:pPr>
        <w:numPr>
          <w:ilvl w:val="0"/>
          <w:numId w:val="3"/>
        </w:num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En relación a las disposiciones del artículo 5° que permite la suspensión de órdenes de captura en contra de voceros y miembros de las EAOCAI, la Corte parte del contexto de que este instrumento ha sido consagrado desde la Ley 418 de 1997 y demás normas que la han prorrogado y modificado, por lo que ha sido útil para otros procesos de negociaciones. A pesar de lo anterior, la Corte sostuvo que, en la vigencia del principio de separación de poderes, la posibilidad de suspender órdenes de captura de miembros de EAOCAI debía dar funciones para los poderes públicos: (i) Para el Gobierno Nacional la motivación de la solicitud de suspensión de las órdenes de captura; (ii) para la autoridad competente de la Rama Judicial la valoración de estos supuestos en donde se evalúen la calidad del beneficiario, si la medida es necesaria para el cumplimiento de los fines, la delimitación temporal y territorial y si se encuentra dentro de los supuestos cubiertos. Bajo ese condicionamiento, la Corte declaró exequible la disposición</w:t>
      </w:r>
      <w:r>
        <w:rPr>
          <w:rFonts w:ascii="Times New Roman" w:eastAsia="Times New Roman" w:hAnsi="Times New Roman" w:cs="Times New Roman"/>
          <w:vertAlign w:val="superscript"/>
        </w:rPr>
        <w:footnoteReference w:id="13"/>
      </w:r>
      <w:r>
        <w:rPr>
          <w:rFonts w:ascii="Times New Roman" w:eastAsia="Times New Roman" w:hAnsi="Times New Roman" w:cs="Times New Roman"/>
        </w:rPr>
        <w:t xml:space="preserve">. </w:t>
      </w:r>
    </w:p>
    <w:p w14:paraId="242F512A" w14:textId="77777777" w:rsidR="00C513F2" w:rsidRDefault="00C513F2">
      <w:pPr>
        <w:pBdr>
          <w:top w:val="nil"/>
          <w:left w:val="nil"/>
          <w:bottom w:val="nil"/>
          <w:right w:val="nil"/>
          <w:between w:val="nil"/>
        </w:pBdr>
        <w:spacing w:line="276" w:lineRule="auto"/>
        <w:ind w:left="720" w:right="-703"/>
        <w:jc w:val="both"/>
        <w:rPr>
          <w:rFonts w:ascii="Times New Roman" w:eastAsia="Times New Roman" w:hAnsi="Times New Roman" w:cs="Times New Roman"/>
        </w:rPr>
      </w:pPr>
    </w:p>
    <w:p w14:paraId="464970D4" w14:textId="77777777" w:rsidR="00C513F2" w:rsidRDefault="00112522">
      <w:pPr>
        <w:pBdr>
          <w:top w:val="nil"/>
          <w:left w:val="nil"/>
          <w:bottom w:val="nil"/>
          <w:right w:val="nil"/>
          <w:between w:val="nil"/>
        </w:pBdr>
        <w:spacing w:line="276" w:lineRule="auto"/>
        <w:ind w:left="720" w:right="-703"/>
        <w:jc w:val="both"/>
        <w:rPr>
          <w:rFonts w:ascii="Times New Roman" w:eastAsia="Times New Roman" w:hAnsi="Times New Roman" w:cs="Times New Roman"/>
        </w:rPr>
      </w:pPr>
      <w:r>
        <w:rPr>
          <w:rFonts w:ascii="Times New Roman" w:eastAsia="Times New Roman" w:hAnsi="Times New Roman" w:cs="Times New Roman"/>
        </w:rPr>
        <w:t>De la misma manera, también declaró constitucional la posibilidad de dar garantías de seguridad a miembros de las EAOCAI, así como la potestad de acordar con las EAOCAI su ubicación temporal en zonas del territorio nacional bajo el entendido de que solo se puede dar en una etapa avanzada del proceso y de conformidad con la ley de sometimiento. A pesar de lo anterior, la Corte declaró que no estaba ajustado a la Constitución Política la posibilidad de excarcelar a personas de estas organizaciones como voceros de paz en aras de lograr su excarcelación temporal. Lo anterior por dos motivos: (i) porque la disposición era etérea y vulneraba la separación de poderes, y (ii) porque resultaba vulneratorio con los derechos de las víctimas. Por tal motivo la expresión “y se encuentren en privación de libertad” fue declarada inexequible</w:t>
      </w:r>
      <w:r>
        <w:rPr>
          <w:rFonts w:ascii="Times New Roman" w:eastAsia="Times New Roman" w:hAnsi="Times New Roman" w:cs="Times New Roman"/>
          <w:vertAlign w:val="superscript"/>
        </w:rPr>
        <w:footnoteReference w:id="14"/>
      </w:r>
      <w:r>
        <w:rPr>
          <w:rFonts w:ascii="Times New Roman" w:eastAsia="Times New Roman" w:hAnsi="Times New Roman" w:cs="Times New Roman"/>
        </w:rPr>
        <w:t xml:space="preserve">. </w:t>
      </w:r>
    </w:p>
    <w:p w14:paraId="0A7A542E" w14:textId="77777777" w:rsidR="00C513F2" w:rsidRDefault="00C513F2">
      <w:pPr>
        <w:pBdr>
          <w:top w:val="nil"/>
          <w:left w:val="nil"/>
          <w:bottom w:val="nil"/>
          <w:right w:val="nil"/>
          <w:between w:val="nil"/>
        </w:pBdr>
        <w:spacing w:line="276" w:lineRule="auto"/>
        <w:ind w:right="-703"/>
        <w:jc w:val="both"/>
        <w:rPr>
          <w:rFonts w:ascii="Times New Roman" w:eastAsia="Times New Roman" w:hAnsi="Times New Roman" w:cs="Times New Roman"/>
        </w:rPr>
      </w:pPr>
    </w:p>
    <w:p w14:paraId="11FC100D" w14:textId="77777777" w:rsidR="00C513F2" w:rsidRDefault="00112522">
      <w:pPr>
        <w:numPr>
          <w:ilvl w:val="0"/>
          <w:numId w:val="5"/>
        </w:num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En relación a las disposiciones del parágrafo 6 del artículo 5°, la Corte por medio de la sentencia C-036 de 2025 las declaró inexequibles por considerar que vulneraba los artículos 93 y 94 constitucionales. De la misma manera, consideró que era exequible el resto del inciso en el entendido de que, cuando los contenidos de carácter humanitario que hagan parte de los acuerdos o protocolos requieran </w:t>
      </w:r>
      <w:r>
        <w:rPr>
          <w:rFonts w:ascii="Times New Roman" w:eastAsia="Times New Roman" w:hAnsi="Times New Roman" w:cs="Times New Roman"/>
        </w:rPr>
        <w:lastRenderedPageBreak/>
        <w:t xml:space="preserve">de implementación normativa, deben realizarse a través de los instrumentos previstos en la Constitución y en la Ley. </w:t>
      </w:r>
    </w:p>
    <w:p w14:paraId="0E008410" w14:textId="77777777" w:rsidR="00C513F2" w:rsidRDefault="00C513F2">
      <w:pPr>
        <w:pBdr>
          <w:top w:val="nil"/>
          <w:left w:val="nil"/>
          <w:bottom w:val="nil"/>
          <w:right w:val="nil"/>
          <w:between w:val="nil"/>
        </w:pBdr>
        <w:spacing w:line="276" w:lineRule="auto"/>
        <w:ind w:right="-703"/>
        <w:jc w:val="both"/>
        <w:rPr>
          <w:rFonts w:ascii="Times New Roman" w:eastAsia="Times New Roman" w:hAnsi="Times New Roman" w:cs="Times New Roman"/>
        </w:rPr>
      </w:pPr>
    </w:p>
    <w:p w14:paraId="44D71C46" w14:textId="77777777" w:rsidR="00C513F2" w:rsidRDefault="00112522">
      <w:p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En ese sentido, después de la lectura de las sentencias referidas, se puede llegar a las siguientes conclusiones preliminares: </w:t>
      </w:r>
    </w:p>
    <w:p w14:paraId="0B6487B1" w14:textId="77777777" w:rsidR="00C513F2" w:rsidRDefault="00C513F2">
      <w:pPr>
        <w:pBdr>
          <w:top w:val="nil"/>
          <w:left w:val="nil"/>
          <w:bottom w:val="nil"/>
          <w:right w:val="nil"/>
          <w:between w:val="nil"/>
        </w:pBdr>
        <w:spacing w:line="276" w:lineRule="auto"/>
        <w:ind w:right="-703"/>
        <w:jc w:val="both"/>
        <w:rPr>
          <w:rFonts w:ascii="Times New Roman" w:eastAsia="Times New Roman" w:hAnsi="Times New Roman" w:cs="Times New Roman"/>
        </w:rPr>
      </w:pPr>
    </w:p>
    <w:p w14:paraId="2AB6581C" w14:textId="77777777" w:rsidR="00C513F2" w:rsidRDefault="00112522">
      <w:p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En primer lugar, que la totalidad de la Ley es constitucional. Más allá de algunos cargos que prosperaron y que algunos apartes de la ley salieron del ordenamiento jurídico, la totalidad de la ley es constitucional ya que ningún cargo sobre vicios de forma o fondo que atacaron el texto íntegro de la Ley prosperó. En segundo lugar, la Corte reconoce que esta Ley, al igual que otras leyes que prorrogaron la Ley 418 de 1997, se tramitaron y dieron funciones con respecto de la separación de poderes atendiendo las disposiciones constitucionales que tiene el Presidente de la República para ser el director del orden público. </w:t>
      </w:r>
    </w:p>
    <w:p w14:paraId="305EF69A" w14:textId="77777777" w:rsidR="00C513F2" w:rsidRDefault="00C513F2">
      <w:pPr>
        <w:pBdr>
          <w:top w:val="nil"/>
          <w:left w:val="nil"/>
          <w:bottom w:val="nil"/>
          <w:right w:val="nil"/>
          <w:between w:val="nil"/>
        </w:pBdr>
        <w:spacing w:line="276" w:lineRule="auto"/>
        <w:ind w:right="-703"/>
        <w:jc w:val="both"/>
        <w:rPr>
          <w:rFonts w:ascii="Times New Roman" w:eastAsia="Times New Roman" w:hAnsi="Times New Roman" w:cs="Times New Roman"/>
        </w:rPr>
      </w:pPr>
    </w:p>
    <w:p w14:paraId="46272FE9" w14:textId="77777777" w:rsidR="00C513F2" w:rsidRDefault="00112522">
      <w:pPr>
        <w:spacing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En tercer lugar, la Corte Constitucional, mediante sus condicionamientos, ha armonizado el texto de la norma con el mandato constitucional de la paz, tanto en su dimensión negativa —ausencia de violencia— como en su dimensión positiva, vinculada a la garantía de derechos y al fortalecimiento del Estado Social de Derecho. En cuarto lugar, la Corte ha reconocido la necesidad de una ley de sometimiento, en la cual el Congreso de la República defina las condiciones aplicables al sometimiento de los Grupos Armados Organizados (GAO) y de las Estructuras Armadas Organizadas de Crimen de Alto Impacto (EAOCAI). Finalmente, debe tenerse en cuenta que los reproches de inconstitucionalidad se dirigieron principalmente contra los artículos 2° y 5° de la Ley, lo que implica que las demás disposiciones de la Ley 2272 permanecen vigentes y no han sido objeto de cuestionamiento constitucional.</w:t>
      </w:r>
    </w:p>
    <w:p w14:paraId="6865DFCC" w14:textId="77777777" w:rsidR="00C513F2" w:rsidRDefault="00112522">
      <w:pPr>
        <w:numPr>
          <w:ilvl w:val="0"/>
          <w:numId w:val="1"/>
        </w:numPr>
        <w:pBdr>
          <w:top w:val="nil"/>
          <w:left w:val="nil"/>
          <w:bottom w:val="nil"/>
          <w:right w:val="nil"/>
          <w:between w:val="nil"/>
        </w:pBdr>
        <w:spacing w:line="276" w:lineRule="auto"/>
        <w:ind w:right="-703"/>
        <w:rPr>
          <w:rFonts w:ascii="Times New Roman" w:eastAsia="Times New Roman" w:hAnsi="Times New Roman" w:cs="Times New Roman"/>
          <w:b/>
          <w:bCs/>
        </w:rPr>
      </w:pPr>
      <w:r>
        <w:rPr>
          <w:rFonts w:ascii="Times New Roman" w:eastAsia="Times New Roman" w:hAnsi="Times New Roman" w:cs="Times New Roman"/>
          <w:b/>
          <w:bCs/>
        </w:rPr>
        <w:t xml:space="preserve">LOGROS DE LA PAZ TOTAL </w:t>
      </w:r>
    </w:p>
    <w:p w14:paraId="2747935E" w14:textId="77777777" w:rsidR="00C513F2" w:rsidRDefault="00C513F2">
      <w:pPr>
        <w:pBdr>
          <w:top w:val="nil"/>
          <w:left w:val="nil"/>
          <w:bottom w:val="nil"/>
          <w:right w:val="nil"/>
          <w:between w:val="nil"/>
        </w:pBdr>
        <w:spacing w:line="276" w:lineRule="auto"/>
        <w:ind w:right="-703"/>
        <w:rPr>
          <w:rFonts w:ascii="Times New Roman" w:eastAsia="Times New Roman" w:hAnsi="Times New Roman" w:cs="Times New Roman"/>
          <w:b/>
          <w:bCs/>
        </w:rPr>
      </w:pPr>
    </w:p>
    <w:p w14:paraId="7FED3318" w14:textId="77777777" w:rsidR="00C513F2" w:rsidRDefault="00112522">
      <w:pPr>
        <w:pBdr>
          <w:top w:val="nil"/>
          <w:left w:val="nil"/>
          <w:bottom w:val="nil"/>
          <w:right w:val="nil"/>
          <w:between w:val="nil"/>
        </w:pBdr>
        <w:spacing w:line="276" w:lineRule="auto"/>
        <w:ind w:right="-703"/>
        <w:jc w:val="both"/>
        <w:rPr>
          <w:rFonts w:ascii="Times New Roman" w:eastAsia="Times New Roman" w:hAnsi="Times New Roman" w:cs="Times New Roman"/>
          <w:highlight w:val="white"/>
        </w:rPr>
      </w:pPr>
      <w:r>
        <w:rPr>
          <w:rFonts w:ascii="Times New Roman" w:eastAsia="Times New Roman" w:hAnsi="Times New Roman" w:cs="Times New Roman"/>
        </w:rPr>
        <w:t>El proceso de Paz Total es un esfuerzo por poner fin a décadas de violencia por medio de una concepción holística de la paz en donde se prioriza la seguridad y la creación de condiciones dignas para las personas en el territorio. El Gobierno Nacional mantiene ocho mesas de diálogo</w:t>
      </w:r>
      <w:r>
        <w:rPr>
          <w:rFonts w:ascii="Times New Roman" w:eastAsia="Times New Roman" w:hAnsi="Times New Roman" w:cs="Times New Roman"/>
          <w:highlight w:val="white"/>
        </w:rPr>
        <w:t>: tres con carácter político, donde se involucran grupos armados organizados al margen de la ley (GAOML), en este grupo se encuentran Comuneros del Sur, el Estado Mayor de los Bloques y Coordinadora Nacional Ejército Bolivariano. Y cinco más, con actores de naturaleza criminal, donde tiene conversaciones socio-jurídicas con estructuras armadas organizadas de crimen de alto impacto (EAOCAI) con las que busca el sometimiento a la justicia, dentro de los que se encuentran las Autodefensas Gaitanistas de Colombia, las Autodefensas Conquistadoras de la Sierras Nevada, las estructuras criminales del Valle de Ubarrá, Quibdó y Buenaventura.</w:t>
      </w:r>
    </w:p>
    <w:p w14:paraId="49CE1787" w14:textId="77777777" w:rsidR="00C513F2" w:rsidRDefault="00C513F2">
      <w:pPr>
        <w:pBdr>
          <w:top w:val="nil"/>
          <w:left w:val="nil"/>
          <w:bottom w:val="nil"/>
          <w:right w:val="nil"/>
          <w:between w:val="nil"/>
        </w:pBdr>
        <w:spacing w:line="276" w:lineRule="auto"/>
        <w:ind w:right="-703"/>
        <w:jc w:val="both"/>
        <w:rPr>
          <w:rFonts w:ascii="Times New Roman" w:eastAsia="Times New Roman" w:hAnsi="Times New Roman" w:cs="Times New Roman"/>
          <w:highlight w:val="white"/>
        </w:rPr>
      </w:pPr>
    </w:p>
    <w:p w14:paraId="026980F8" w14:textId="77777777" w:rsidR="00C513F2" w:rsidRDefault="00112522">
      <w:pPr>
        <w:spacing w:after="240" w:line="276" w:lineRule="auto"/>
        <w:ind w:right="-703"/>
        <w:jc w:val="both"/>
        <w:rPr>
          <w:rFonts w:ascii="Times New Roman" w:eastAsia="Times New Roman" w:hAnsi="Times New Roman" w:cs="Times New Roman"/>
          <w:highlight w:val="white"/>
        </w:rPr>
      </w:pPr>
      <w:r>
        <w:rPr>
          <w:rFonts w:ascii="Times New Roman" w:eastAsia="Times New Roman" w:hAnsi="Times New Roman" w:cs="Times New Roman"/>
          <w:highlight w:val="white"/>
        </w:rPr>
        <w:t>A continuación, se presentan los principales logros alcanzados en estas mesas de diálogo, conforme a la información suministrada por la Oficina del Alto Comisionado para la Paz:</w:t>
      </w:r>
    </w:p>
    <w:p w14:paraId="2485654A" w14:textId="77777777" w:rsidR="00C513F2" w:rsidRDefault="00112522">
      <w:pPr>
        <w:pBdr>
          <w:top w:val="nil"/>
          <w:left w:val="nil"/>
          <w:bottom w:val="nil"/>
          <w:right w:val="nil"/>
          <w:between w:val="nil"/>
        </w:pBdr>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lastRenderedPageBreak/>
        <w:t>Comuneros del Sur</w:t>
      </w:r>
    </w:p>
    <w:p w14:paraId="2C8B8E65" w14:textId="77777777" w:rsidR="00C513F2" w:rsidRDefault="00C513F2">
      <w:pPr>
        <w:pBdr>
          <w:top w:val="nil"/>
          <w:left w:val="nil"/>
          <w:bottom w:val="nil"/>
          <w:right w:val="nil"/>
          <w:between w:val="nil"/>
        </w:pBdr>
        <w:spacing w:line="276" w:lineRule="auto"/>
        <w:ind w:right="-703"/>
        <w:jc w:val="both"/>
        <w:rPr>
          <w:rFonts w:ascii="Times New Roman" w:eastAsia="Times New Roman" w:hAnsi="Times New Roman" w:cs="Times New Roman"/>
          <w:b/>
          <w:bCs/>
        </w:rPr>
      </w:pPr>
    </w:p>
    <w:p w14:paraId="00E28041" w14:textId="77777777" w:rsidR="00C513F2" w:rsidRDefault="00112522">
      <w:p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El proceso de co-construcción de paz en Nariño es el ejemplo más contundente de que la paz es posible. Surgido de la intención de la estructura Comuneros del Sur de construir paz territorial, comunicada públicamente el 13 de marzo de 2024, este diálogo ha generado resultados tangibles en tiempo récord. La Mesa de Diálogos, autorizada en septiembre de 2024, pactó en su primer acuerdo un cese al fuego bilateral y definitivo, el compromiso de no incorporar menores y no practicar secuestros, y el inicio de la destrucción de material de guerra.</w:t>
      </w:r>
    </w:p>
    <w:p w14:paraId="0C5EDCA3"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Este compromiso se materializó el 5 de abril de 2025, con la destrucción controlada de más de 500 artefactos explosivos en Samaniego, un gesto de paz que impacta directamente en la seguridad de las comunidades. A esto se suman acciones tempranas en favor de las víctimas, como la creación de un equipo de búsqueda de personas desaparecidas en coordinación con la UBPD y el lanzamiento de un programa de desminado humanitario.</w:t>
      </w:r>
    </w:p>
    <w:p w14:paraId="2E431456"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La transformación territorial es el corazón de este proceso. Se han firmado acuerdos para la sustitución de cinco mil hectáreas de cultivos ilícitos, se avanza en la definición de un Distrito Agro Minero sostenible en Abades y se han consolidado proyectos de infraestructura como la mejora de 50 escuelas. El avance es tan significativo que en junio de 2025 se acordó la creación de una "Zona Temporal para la Co-Construcción de Paz Territorial" en el municipio de Mallama, un espacio para la dejación definitiva de armas y el tránsito a la ciudadanía plena, que cuenta con el aval de las autoridades indígenas del Resguardo el Gran Mallama.</w:t>
      </w:r>
    </w:p>
    <w:p w14:paraId="5E6FF248"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Este dividendo humanitario ha catalizado un dividendo económico tangible. La mejora en la seguridad ha permitido la reactivación del sector turístico, con picos de ocupación hotelera del 100% en Pasto. El entorno de paz ha fomentado la actividad empresarial, registrando 6,482 nuevas matrículas mercantiles en 2023. Además, la Tasa Global de Participación laboral en Pasto alcanzó el 69.1%, una de las más altas del país, lo que indica un mayor optimismo económico. Finalmente, se han sentado las bases para la transformación económica sostenible con una inversión inicial de $8,000 millones de pesos para un proyecto de sustitución de coca por cacao en Roberto Payán.</w:t>
      </w:r>
    </w:p>
    <w:p w14:paraId="07AE9DD9"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Dentro de este proceso es importante destacar los siguientes hechos:</w:t>
      </w:r>
    </w:p>
    <w:p w14:paraId="50EA35FE"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Destrucción controlada de más de 500 artefactos explosivos. Acuerdo de Cese al Fuego Bilateral y Definitivo, con el compromiso de no incorporar menores y no practicar secuestros. Creación de una Zona de Ubicación Temporal para la dejación de armas y el tránsito a la ciudadanía plena.</w:t>
      </w:r>
    </w:p>
    <w:p w14:paraId="442638E6"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lastRenderedPageBreak/>
        <w:t>La correlación entre la paz y la oportunidad económica en Nariño es directa e innegable. La mejora en las condiciones de seguridad ha catalizado un dividendo económico tangible que demuestra cómo la paz es el motor del desarrollo sostenible:</w:t>
      </w:r>
    </w:p>
    <w:p w14:paraId="0961B16A"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u w:val="single"/>
        </w:rPr>
        <w:t>- Reactivación del sector turístico:</w:t>
      </w:r>
      <w:r>
        <w:rPr>
          <w:rFonts w:ascii="Times New Roman" w:eastAsia="Times New Roman" w:hAnsi="Times New Roman" w:cs="Times New Roman"/>
        </w:rPr>
        <w:t xml:space="preserve"> El sector ha mostrado una notable resiliencia, con picos de ocupación hotelera del 100% en Pasto durante el Carnaval de Negros y Blancos de 2025 y proyecciones de crecimiento estables, en contraste con tendencias a la baja en otras regiones.</w:t>
      </w:r>
    </w:p>
    <w:p w14:paraId="03DFEB88"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u w:val="single"/>
        </w:rPr>
        <w:t>- Dinamismo empresarial y del mercado laboral:</w:t>
      </w:r>
      <w:r>
        <w:rPr>
          <w:rFonts w:ascii="Times New Roman" w:eastAsia="Times New Roman" w:hAnsi="Times New Roman" w:cs="Times New Roman"/>
        </w:rPr>
        <w:t xml:space="preserve"> El entorno de paz ha fomentado la actividad empresarial, registrando 6,482 nuevas matrículas mercantiles en 2023, un incremento significativo liderado por los sectores de comercio y servicios. En Pasto, la Tasa Global de Participación laboral alcanzó el 69.1%, una de las más altas del país, lo que indica un mayor optimismo económico y más personas sintiéndose seguras para buscar trabajo.</w:t>
      </w:r>
    </w:p>
    <w:p w14:paraId="405B607A"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u w:val="single"/>
        </w:rPr>
        <w:t>- Bases para la transformación económica sostenible:</w:t>
      </w:r>
      <w:r>
        <w:rPr>
          <w:rFonts w:ascii="Times New Roman" w:eastAsia="Times New Roman" w:hAnsi="Times New Roman" w:cs="Times New Roman"/>
        </w:rPr>
        <w:t xml:space="preserve"> El proceso ha sentado las bases para una transformación económica estructural. Se han firmado acuerdos para la sustitución de cultivos de uso ilícito, con una inversión inicial de $8,000 millones de pesos para un proyecto de sustitución de coca por cacao en el municipio de Roberto Payán, reorientando recursos hacia el desarrollo legal.</w:t>
      </w:r>
    </w:p>
    <w:p w14:paraId="0C90F846" w14:textId="77777777" w:rsidR="00C513F2" w:rsidRDefault="00112522">
      <w:pPr>
        <w:spacing w:before="280" w:after="280"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Estado Mayor de los Bloques (EMBF)</w:t>
      </w:r>
    </w:p>
    <w:p w14:paraId="309141A3"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Tras la división del Estado Mayor Central, la facción que representa entre el 40% y 45% de la estructura original ha mantenido su compromiso con la paz. La Mesa de Diálogos, instalada el 16 de octubre de 2023 en Tibú (Norte de Santander), ha completado seis ciclos. Se prorrogó el Cese al Fuego Bilateral y Temporal con Respeto a la Población Civil hasta el 15 de abril de 2025 (Decreto 1280 de 2024), con un enfoque en la implementación de un plan de transformaciones territoriales en cuatro zonas de intervención prioritaria (Yarí-Caquetá, sur del Meta, norte de Antioquia y Tibú-Catatumbo).</w:t>
      </w:r>
    </w:p>
    <w:p w14:paraId="4F8FEA7F"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Se aprobó un acuerdo para garantizar la participación ciudadana, que ha involucrado a más de 15.000 personas de organizaciones de base, campesinos, indígenas, afrocolombianos, víctimas, mujeres y jóvenes en asambleas y diálogos sociales. El Mecanismo de Veeduría, Monitoreo y Verificación (MVMV), con acompañamiento de la Conferencia Episcopal, el Consejo Mundial de Iglesias, la ONU y la MAPP/OEA, ha reportado una reducción del contacto armado y ha fortalecido la protección de la población civil, especialmente en lo referido a retenciones con fines económicos.</w:t>
      </w:r>
    </w:p>
    <w:p w14:paraId="5F23F3A2"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En el territorio, se han realizado diálogos sociales en el Sur de Bolívar, El Yarí (Caquetá) y el Catatumbo, identificando 27 iniciativas comunitarias y logrando compromisos de la </w:t>
      </w:r>
      <w:r>
        <w:rPr>
          <w:rFonts w:ascii="Times New Roman" w:eastAsia="Times New Roman" w:hAnsi="Times New Roman" w:cs="Times New Roman"/>
        </w:rPr>
        <w:lastRenderedPageBreak/>
        <w:t>Agencia Nacional de Tierras para la adjudicación de más de 26.000 hectáreas de baldíos para una posible Zona de Reserva Campesina. El 3 de mayo de 2025, se acordó la instalación de una Zona de Ubicación Temporal (ZUT) en el municipio de Tibú para el Frente 33, la cual fue establecida por el Decreto 0448 de 2025 y la resolución presidencial del 23 de mayo de 2025 por un plazo inicial de 7 meses.</w:t>
      </w:r>
    </w:p>
    <w:p w14:paraId="01468478"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Dentro de este proceso es importante destacar la participación de más de 15.000 personas de organizaciones de base, campesinos, indígenas y víctimas han participado en diálogos sociales que han permitido identificar 27 iniciativas comunitarias en el Catatumbo y lograr compromisos de la Agencia Nacional de Tierras para la adjudicación de más de 26.000 hectáreas de baldíos en El Yarí. Este proceso culminó con el acuerdo para la instalación de una Zona de Ubicación Temporal (ZUT) en Tibú para el Frente 33, un paso crucial para su tránsito a la legalidad.</w:t>
      </w:r>
    </w:p>
    <w:p w14:paraId="09549151" w14:textId="77777777" w:rsidR="00C513F2" w:rsidRDefault="00112522">
      <w:pPr>
        <w:spacing w:before="280" w:after="280"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Coordinadora Nacional Ejército Bolivariano (CNEB)</w:t>
      </w:r>
    </w:p>
    <w:p w14:paraId="0C5779DE"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Este proceso, que avanzó tras la desvinculación de la Coordinadora Nacional Ejército Bolivariano del nombre "Segunda Marquetalia" en noviembre de 2024, se basa en el principio de "acuerdo pactado, acuerdo cumplido". La mesa se instaló formalmente el 24 de junio de 2024 en Caracas. Se han firmado compromisos sobre desescalamiento, respeto a la población civil y sustitución de economías ilícitas.</w:t>
      </w:r>
    </w:p>
    <w:p w14:paraId="12EAE36D"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En diciembre de 2024, se acordó un proyecto piloto para la sustitución de 3.000 hectáreas de coca, que en la cuarta sesión (abril de 2025) se amplió a 30.000 hectáreas (15.000 en Nariño y 15.000 en Putumayo). </w:t>
      </w:r>
    </w:p>
    <w:p w14:paraId="5823770B"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Se ha creado una subcomisión para las garantías judiciales (Acuerdo No. 5) que construirá una hoja de ruta para la solución jurídica de los combatientes, abordando temas como delito político, herramientas procesales y justicia restaurativa. A pesar de una crisis por la captura de un miembro representante el 13 de febrero de 2025, la mesa se reactivó.</w:t>
      </w:r>
    </w:p>
    <w:p w14:paraId="639ACA28"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En el quinto ciclo (mayo de 2025) se acordó la creación de Zonas para la Capacitación Integral y Ubicación Temporal en Nariño y Putumayo (Acuerdo No. 10), el avance en desminado humanitario y la entrega supervisada de material de guerra.</w:t>
      </w:r>
    </w:p>
    <w:p w14:paraId="444A4AEE"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Dentro de este proceso es importante destacar la entrega supervisada de material de guerra como un gesto inequívoco de su voluntad de paz; la CNEB se ha comprometido a avanzar en tareas conjuntas de desminado humanitario y el Acuerdo para la sustitución voluntaria de 30.000 hectáreas de coca en Nariño y Putumayo, acciones que protegen directamente a la población civil. Para garantizar el tránsito a la legalidad de sus combatientes, se acordó la creación de Zonas para la Capacitación Integral y Ubicación Temporal (ZUT) para 120 de sus integrantes y se ha instalado una subcomisión de garantías judiciales para construir una hoja de ruta que dé seguridad jurídica al proceso.</w:t>
      </w:r>
    </w:p>
    <w:p w14:paraId="7129639A" w14:textId="77777777" w:rsidR="00C513F2" w:rsidRDefault="00112522">
      <w:pPr>
        <w:spacing w:before="280" w:after="280"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lastRenderedPageBreak/>
        <w:t>Espacios de conversación con Estructuras Armadas Organizadas de Crimen de Alto Impacto (EAOCAI)</w:t>
      </w:r>
    </w:p>
    <w:p w14:paraId="5BDEEE4D" w14:textId="77777777" w:rsidR="00C513F2" w:rsidRDefault="00112522">
      <w:pPr>
        <w:spacing w:before="280" w:after="280"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 xml:space="preserve">Medellín y el Valle de Aburrá: </w:t>
      </w:r>
    </w:p>
    <w:p w14:paraId="1268D46C"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El espacio de conversación se instaló el 2 de junio de 2023. Se ha aprobado una ruta de conversación socio-jurídica con 6 puntos, enfocada en el desescalamiento de violencias, la transición a economías legales y la satisfacción de los derechos de las víctimas. El 17 de octubre de 2024 se suscribió un Protocolo para la Participación de la Sociedad Civil, garantizando un proceso activo y vinculante.</w:t>
      </w:r>
    </w:p>
    <w:p w14:paraId="5AA9DB8B"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El 19 de diciembre de 2024, las estructuras acordaron compromisos para la defensa de la vida, la no extorsión, el avance en la eliminación de la venta de drogas y la colaboración para abolir la explotación sexual infantil. Estos compromisos se materializaron en un piloto en 25 barrios, que fue ampliado el 21 de marzo de 2025 a 45 barrios de Medellín, Bello e Itagüí, declarados libres de extorsión hasta el 21 de junio de 2025, con seguimiento del Equipo de Observación y Sistematización de Acciones de Paz (EOSAP).</w:t>
      </w:r>
    </w:p>
    <w:p w14:paraId="4158590F"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Dentro de este proceso es importante destacar la ampliación del Piloto de Territorialización de Paz Urbana a 45 barrios de Medellín, Bello e Itagüí, declarados libres de extorsión. </w:t>
      </w:r>
    </w:p>
    <w:p w14:paraId="755D6E0F" w14:textId="77777777" w:rsidR="00C513F2" w:rsidRDefault="00112522">
      <w:pPr>
        <w:spacing w:before="280" w:after="280"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Quibdó</w:t>
      </w:r>
    </w:p>
    <w:p w14:paraId="1C543EF2"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El 13 de diciembre de 2024, las estructuras "Los Mexicanos", "Locos Yam", "RPS", "Los Z" y "Revolución Cabí" acordaron una tregua, prorrogada hasta el 31 de marzo de 2025, para disminuir el crimen y los índices de violencia en la ciudad.</w:t>
      </w:r>
    </w:p>
    <w:p w14:paraId="66FF8960"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El espacio de conversación, que involucra a cerca de 700 jóvenes, se autorizó en agosto de 2023. El 8 de agosto de 2024, las estructuras se comprometieron a reducir la extorsión en contra de profesores, personal de salud, obras comunitarias y taxis. El 11 de noviembre de 2024, ratificaron su permanencia en el espacio y se comprometieron con la estrategia "Cero Crimen", invitando a otras estructuras a una tregua indefinida.</w:t>
      </w:r>
    </w:p>
    <w:p w14:paraId="7446224E"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Dentro de este proceso es importante destacar la tregua pactada entre cinco estructuras armadas de la ciudad para eliminar las agresiones mutuas. Así como el compromiso de reducir la extorsión a sectores clave como profesores y personal de salud.</w:t>
      </w:r>
    </w:p>
    <w:p w14:paraId="419F02E5" w14:textId="77777777" w:rsidR="00C513F2" w:rsidRDefault="00112522">
      <w:pPr>
        <w:spacing w:before="280" w:after="280"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Buenaventura</w:t>
      </w:r>
    </w:p>
    <w:p w14:paraId="0C3EEF13"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El espacio de conversación se autorizó en julio de 2023. Los grupos se comprometieron a reducir el hurto, rechazar la extorsión y eliminar las fronteras invisibles, extendiendo la tregua hasta el 5 de febrero de 2025. Se han reactivado mercados campesinos para desescalar la cartelización de precios y la extorsión.</w:t>
      </w:r>
    </w:p>
    <w:p w14:paraId="6566643F"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lastRenderedPageBreak/>
        <w:t>El 13 de marzo de 2025 se estableció un acuerdo sobre el no reclutamiento, uso y utilización de niños y niñas. A pesar de incidentes críticos, como la captura de dos de sus voceros el 9 de mayo de 2025, el espacio de conversación se mantiene, con el objetivo de lograr un "Acuerdo Regional y Nacional por la Paz en Buenaventura".</w:t>
      </w:r>
    </w:p>
    <w:p w14:paraId="2420B582"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Dentro de este proceso es importante destacar la reducción histórica de la violencia, registrando un solo homicidio en agosto de 2024. Así como el Acuerdo pionero para detener el reclutamiento de menores y declarar las escuelas como territorios de paz.</w:t>
      </w:r>
    </w:p>
    <w:p w14:paraId="15DFEFEE" w14:textId="77777777" w:rsidR="00C513F2" w:rsidRDefault="00112522">
      <w:pPr>
        <w:spacing w:before="280" w:after="280"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Acercamientos con el autodenominado Ejército Gaitanista de Colombia (EGC):</w:t>
      </w:r>
    </w:p>
    <w:p w14:paraId="4B043DAD"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En enero de 2025, se realizó una reunión con los máximos jefes de la organización para abordar la transformación del territorio, la transición hacia el Estado Social de Derecho, la protección de la vida y la transición de economías ilegales.</w:t>
      </w:r>
    </w:p>
    <w:p w14:paraId="7CBEE2DF"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Tras acercamientos exploratorios, el Presidente de la República autorizó la instalación del espacio de conversación mediante la Resolución 257 del 8 de julio de 2024. Desde diciembre de 2023, la interlocución se encuentra en la etapa de "Construcción de Confianza". </w:t>
      </w:r>
    </w:p>
    <w:p w14:paraId="42127AB9"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El 18 de septiembre de 2025 se dio inicio formal en Doha, Qatar, al "Proceso para la Desmovilización del autodenominado Ejército Gaitanista de Colombia - (a) EGC y la construcción de paz con el pueblo en los territorios". Este hito establece una hoja de ruta clara para la transformación territorial en cinco municipios piloto de Antioquia y Chocó (Mutatá, Acandí, Belén de Bajirá, Ríosucio y Unguía).   </w:t>
      </w:r>
    </w:p>
    <w:p w14:paraId="59FAF2D5"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La declaración conjunta evidencia compromisos concretos y verificables. El EGC se comprometió a no interferir en los procesos electorales, a no obstaculizar el desminado humanitario y a respetar el Derecho Internacional Humanitario. Como un gesto fundamental hacia las víctimas más vulnerables, el grupo reiteró su compromiso con los derechos de los niños, niñas y adolescentes, y acordó realizar un censo interno para poner a disposición del ICBF los casos que se identifiquen. </w:t>
      </w:r>
    </w:p>
    <w:p w14:paraId="0B42B73D" w14:textId="275EFC56"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Por su parte, el Gobierno Nacional liderará planes para la sustitución de cultivos de uso ilícito, la protección ambiental y el fortalecimiento de la justicia en los territorios priorizados. Para garantizar la seriedad del proceso, se solicitó el acompañamiento y verificación de la Misión de Apoyo al Proceso de Paz de la OEA (MAPP/OEA), el Consejo Mundial de Iglesias, la Conferencia Episcopal de Colombia y se pedirá el acompañamiento del Consejo de Seguridad de Naciones Unidas.</w:t>
      </w:r>
    </w:p>
    <w:p w14:paraId="02033228" w14:textId="4FA7E3E0" w:rsidR="00C701DB" w:rsidRDefault="00C701DB">
      <w:pPr>
        <w:spacing w:before="280" w:after="280" w:line="276" w:lineRule="auto"/>
        <w:ind w:right="-703"/>
        <w:jc w:val="both"/>
        <w:rPr>
          <w:rFonts w:ascii="Times New Roman" w:eastAsia="Times New Roman" w:hAnsi="Times New Roman" w:cs="Times New Roman"/>
        </w:rPr>
      </w:pPr>
    </w:p>
    <w:p w14:paraId="76DDDCD2" w14:textId="77777777" w:rsidR="00C701DB" w:rsidRDefault="00C701DB">
      <w:pPr>
        <w:spacing w:before="280" w:after="280" w:line="276" w:lineRule="auto"/>
        <w:ind w:right="-703"/>
        <w:jc w:val="both"/>
        <w:rPr>
          <w:rFonts w:ascii="Times New Roman" w:eastAsia="Times New Roman" w:hAnsi="Times New Roman" w:cs="Times New Roman"/>
        </w:rPr>
      </w:pPr>
    </w:p>
    <w:p w14:paraId="197C5B2E" w14:textId="77777777" w:rsidR="00C513F2" w:rsidRDefault="00112522">
      <w:pPr>
        <w:spacing w:before="280" w:after="280"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lastRenderedPageBreak/>
        <w:t>Acercamientos con las Autodefensas Conquistadores de la Sierra Nevada (ACSN):</w:t>
      </w:r>
    </w:p>
    <w:p w14:paraId="52C2BA25"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El 22 de febrero de 2025, se inició el diálogo social para la transformación del territorio en Santa Marta, Ciénaga y Dibulla. Las ACSN se han comprometido a proteger a menores y la economía popular. Se espera la instalación formal del espacio de conversación socio-jurídico una vez se surtan los procedimientos de ley, con la concurrencia de la Fiscalía General de la Nación.</w:t>
      </w:r>
    </w:p>
    <w:p w14:paraId="136BED65"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Dentro de este proceso es importante destacar el compromiso unilateral de no atacar a la Fuerza Pública sostenido por más de un año. Así como el compromiso de proteger la economía popular y a los menores de edad.</w:t>
      </w:r>
    </w:p>
    <w:p w14:paraId="2E7EE7E7" w14:textId="77777777" w:rsidR="00C513F2" w:rsidRDefault="00112522">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Para la Fundación PARES, los procesos de acercamiento, diálogo y negociación que se han dado en el marco de la Ley 2272 de 2022 han sido significativos. En su informe </w:t>
      </w:r>
      <w:r>
        <w:rPr>
          <w:rFonts w:ascii="Times New Roman" w:eastAsia="Times New Roman" w:hAnsi="Times New Roman" w:cs="Times New Roman"/>
          <w:i/>
          <w:iCs/>
        </w:rPr>
        <w:t>La Paz ¿Cómo Vamos?</w:t>
      </w:r>
      <w:r>
        <w:rPr>
          <w:rFonts w:ascii="Times New Roman" w:eastAsia="Times New Roman" w:hAnsi="Times New Roman" w:cs="Times New Roman"/>
          <w:i/>
          <w:iCs/>
          <w:vertAlign w:val="superscript"/>
        </w:rPr>
        <w:footnoteReference w:id="15"/>
      </w:r>
      <w:r>
        <w:rPr>
          <w:rFonts w:ascii="Times New Roman" w:eastAsia="Times New Roman" w:hAnsi="Times New Roman" w:cs="Times New Roman"/>
        </w:rPr>
        <w:t xml:space="preserve"> señala:</w:t>
      </w:r>
    </w:p>
    <w:p w14:paraId="559342D6" w14:textId="77777777" w:rsidR="00C513F2" w:rsidRDefault="00C513F2">
      <w:pPr>
        <w:spacing w:line="276" w:lineRule="auto"/>
        <w:ind w:right="-703"/>
        <w:jc w:val="both"/>
        <w:rPr>
          <w:rFonts w:ascii="Times New Roman" w:eastAsia="Times New Roman" w:hAnsi="Times New Roman" w:cs="Times New Roman"/>
        </w:rPr>
      </w:pPr>
    </w:p>
    <w:p w14:paraId="0D77F53F" w14:textId="77777777" w:rsidR="00C513F2" w:rsidRDefault="00112522">
      <w:pPr>
        <w:numPr>
          <w:ilvl w:val="0"/>
          <w:numId w:val="10"/>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La mesa con el ELN, aunque suspendida, mostró voluntad de diálogo y estableció marcos para la resolución negociada de conflictos con la guerrilla activa más antigua del continente, razones por las cuales no en vano el 19 de mayo de 2025 hubo un ofrecimiento presidencial para retomar las negociaciones, contemplando el Estado de la Ciudad del Vaticano como sede de las mismas.</w:t>
      </w:r>
    </w:p>
    <w:p w14:paraId="4E081BC5" w14:textId="77777777" w:rsidR="00C513F2" w:rsidRDefault="00C513F2">
      <w:pPr>
        <w:spacing w:line="276" w:lineRule="auto"/>
        <w:ind w:left="720" w:right="-703"/>
        <w:jc w:val="both"/>
        <w:rPr>
          <w:rFonts w:ascii="Times New Roman" w:eastAsia="Times New Roman" w:hAnsi="Times New Roman" w:cs="Times New Roman"/>
        </w:rPr>
      </w:pPr>
    </w:p>
    <w:p w14:paraId="281E4303" w14:textId="77777777" w:rsidR="00C513F2" w:rsidRDefault="00112522">
      <w:pPr>
        <w:numPr>
          <w:ilvl w:val="0"/>
          <w:numId w:val="10"/>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Con Comuneros del Sur, se han logrado acuerdos históricos y una primera entrega de material bélico, aunque persisten desafíos operativos en la implementación de pactos y la participación de organizaciones sociales.</w:t>
      </w:r>
    </w:p>
    <w:p w14:paraId="2BFD99E4" w14:textId="77777777" w:rsidR="00C513F2" w:rsidRDefault="00C513F2">
      <w:pPr>
        <w:spacing w:line="276" w:lineRule="auto"/>
        <w:ind w:left="720" w:right="-703"/>
        <w:jc w:val="both"/>
        <w:rPr>
          <w:rFonts w:ascii="Times New Roman" w:eastAsia="Times New Roman" w:hAnsi="Times New Roman" w:cs="Times New Roman"/>
        </w:rPr>
      </w:pPr>
    </w:p>
    <w:p w14:paraId="3B058477" w14:textId="77777777" w:rsidR="00C513F2" w:rsidRDefault="00112522">
      <w:pPr>
        <w:numPr>
          <w:ilvl w:val="0"/>
          <w:numId w:val="10"/>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El diálogo paz con la CNEB ha impulsado un programa piloto de sustitución de cultivos de coca con potencial de replicación nacional en pro de la construcción de paz y se espera concretar nuevos acuerdos focalizados en las transformaciones territoriales. </w:t>
      </w:r>
    </w:p>
    <w:p w14:paraId="5DB78B64" w14:textId="77777777" w:rsidR="00C513F2" w:rsidRDefault="00C513F2">
      <w:pPr>
        <w:spacing w:line="276" w:lineRule="auto"/>
        <w:ind w:left="720" w:right="-703"/>
        <w:jc w:val="both"/>
        <w:rPr>
          <w:rFonts w:ascii="Times New Roman" w:eastAsia="Times New Roman" w:hAnsi="Times New Roman" w:cs="Times New Roman"/>
        </w:rPr>
      </w:pPr>
    </w:p>
    <w:p w14:paraId="656B6413" w14:textId="77777777" w:rsidR="00C513F2" w:rsidRDefault="00112522">
      <w:pPr>
        <w:numPr>
          <w:ilvl w:val="0"/>
          <w:numId w:val="10"/>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En Quibdó, el Espacio de Conversación Sociojurídico presenta oportunidades notables que evidencian confianza en los organismos multilaterales y las iniciativas de paz. Se resalta un Cese al Fuego Bilateral, Nacional y Temporal extendido a través del tiempo con las cinco estructuras y que motiva el llamado al Ejército Gaitanista de Colombia para sumarse a una tregua integral, y de esta manera proteger un tejido social que permanece expuesto a las disputas por el control del territorio.</w:t>
      </w:r>
    </w:p>
    <w:p w14:paraId="63EB2A8E" w14:textId="77777777" w:rsidR="00C513F2" w:rsidRDefault="00C513F2">
      <w:pPr>
        <w:spacing w:line="276" w:lineRule="auto"/>
        <w:ind w:left="720" w:right="-703"/>
        <w:jc w:val="both"/>
        <w:rPr>
          <w:rFonts w:ascii="Times New Roman" w:eastAsia="Times New Roman" w:hAnsi="Times New Roman" w:cs="Times New Roman"/>
        </w:rPr>
      </w:pPr>
    </w:p>
    <w:p w14:paraId="4FCC7AE0" w14:textId="77777777" w:rsidR="00C513F2" w:rsidRDefault="00112522">
      <w:pPr>
        <w:numPr>
          <w:ilvl w:val="0"/>
          <w:numId w:val="10"/>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lastRenderedPageBreak/>
        <w:t>El Espacio de Conversación Sociojurídico de Medellín y Valle de Aburrá ha logrado avances significativos, incluyendo un acuerdo de no agresión continuo que ha disminuido la hostilidad entre las organizaciones delincuenciales. Esto ha facilitado iniciativas de pedagogía para la paz, reconstrucción social y participación ciudadana.</w:t>
      </w:r>
    </w:p>
    <w:p w14:paraId="7292D5CA" w14:textId="77777777" w:rsidR="00C513F2" w:rsidRDefault="00C513F2">
      <w:pPr>
        <w:spacing w:line="276" w:lineRule="auto"/>
        <w:ind w:right="-703"/>
        <w:jc w:val="both"/>
        <w:rPr>
          <w:rFonts w:ascii="Times New Roman" w:eastAsia="Times New Roman" w:hAnsi="Times New Roman" w:cs="Times New Roman"/>
        </w:rPr>
      </w:pPr>
    </w:p>
    <w:p w14:paraId="06208E3D" w14:textId="77777777" w:rsidR="00C513F2" w:rsidRDefault="00112522">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De esa forma, para la Fundación PARES, “a pesar de que los resultados no vienen de la manera esperada, la sociedad es testigo de que desde el actual Gobierno se multiplican los esfuerzos para implementar el propósito de la Paz Total a través de medios pacíficos como: diálogos con las organizaciones criminales, propuestas integrales a favor de la justicia social y medioambiental, la redistribución de tierras fértiles para resolver la cuestión agraria, la dignificación de sujetos históricamente excluidos, el fomento de las economías populares, los planes para reemplazar cultivos ilegales y la implementación de estrategias para el desarrollo en zonas críticas como el Catatumbo o La Guajira”</w:t>
      </w:r>
      <w:r>
        <w:rPr>
          <w:rFonts w:ascii="Times New Roman" w:eastAsia="Times New Roman" w:hAnsi="Times New Roman" w:cs="Times New Roman"/>
          <w:vertAlign w:val="superscript"/>
        </w:rPr>
        <w:footnoteReference w:id="16"/>
      </w:r>
      <w:r>
        <w:rPr>
          <w:rFonts w:ascii="Times New Roman" w:eastAsia="Times New Roman" w:hAnsi="Times New Roman" w:cs="Times New Roman"/>
        </w:rPr>
        <w:t>.</w:t>
      </w:r>
    </w:p>
    <w:p w14:paraId="29FD6459" w14:textId="77777777" w:rsidR="00C513F2" w:rsidRDefault="00112522">
      <w:pPr>
        <w:numPr>
          <w:ilvl w:val="0"/>
          <w:numId w:val="11"/>
        </w:numPr>
        <w:spacing w:before="280" w:after="280"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CREACIÓN DEL SERVICIO SOCIAL PARA LA PAZ</w:t>
      </w:r>
    </w:p>
    <w:p w14:paraId="78FF67EC" w14:textId="77777777" w:rsidR="00C513F2" w:rsidRDefault="00112522">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En el marco de la Ley de Paz Total y en virtud de los artículos 10° y 11°, se expidió el Decreto 1079 de 2024 el cual tiene como objetivo reglamentar el Servicio Social para la Paz, el cual constituye una alternativa al servicio militar obligatorio mediante la cual las y los jóvenes colombianos pueden contribuir a la construcción de una paz estable y duradera en el país, a través de once modalidades vinculadas estrechamente a la política de paz del Estado y la Seguridad Humana, abordando áreas temáticas esenciales para el fortalecimiento del bienestar colectivo, la democratización de la gestión pública y la cohesión social, como la alfabetización digital, protección de la naturaleza, el cumplimiento del Acuerdo de Paz, entre otras. </w:t>
      </w:r>
    </w:p>
    <w:p w14:paraId="7942AE69" w14:textId="77777777" w:rsidR="00C513F2" w:rsidRDefault="00C513F2">
      <w:pPr>
        <w:spacing w:line="276" w:lineRule="auto"/>
        <w:ind w:right="-703"/>
        <w:jc w:val="both"/>
        <w:rPr>
          <w:rFonts w:ascii="Times New Roman" w:eastAsia="Times New Roman" w:hAnsi="Times New Roman" w:cs="Times New Roman"/>
        </w:rPr>
      </w:pPr>
    </w:p>
    <w:p w14:paraId="0E29DEB8" w14:textId="77777777" w:rsidR="00C513F2" w:rsidRDefault="00112522">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En el año 2025, 5.640 jóvenes se inscribieron al programa, demostrando un enorme éxito en la convocatoria inicial. Este volumen de participación subraya el profundo compromiso cívico de la juventud colombiana, contrariando la narrativa de desconexión con los asuntos públicos. El interés se concentró masivamente en dos modalidades principales: Vigías del Patrimonio Cultural y Gestión del Riesgo y Cambio Climático, que juntas agruparon la inmensa mayoría de las solicitudes. Esta inclinación evidencia que los jóvenes buscan canales de acción concretos en áreas relacionadas con la cultura, el medio ambiente y el bienestar comunitario</w:t>
      </w:r>
      <w:r>
        <w:rPr>
          <w:rFonts w:ascii="Times New Roman" w:eastAsia="Times New Roman" w:hAnsi="Times New Roman" w:cs="Times New Roman"/>
          <w:vertAlign w:val="superscript"/>
        </w:rPr>
        <w:footnoteReference w:id="17"/>
      </w:r>
      <w:r>
        <w:rPr>
          <w:rFonts w:ascii="Times New Roman" w:eastAsia="Times New Roman" w:hAnsi="Times New Roman" w:cs="Times New Roman"/>
        </w:rPr>
        <w:t xml:space="preserve">. </w:t>
      </w:r>
    </w:p>
    <w:p w14:paraId="7751F3F6" w14:textId="77777777" w:rsidR="00C513F2" w:rsidRDefault="00C513F2">
      <w:pPr>
        <w:spacing w:line="276" w:lineRule="auto"/>
        <w:ind w:right="-703"/>
        <w:jc w:val="both"/>
        <w:rPr>
          <w:rFonts w:ascii="Times New Roman" w:eastAsia="Times New Roman" w:hAnsi="Times New Roman" w:cs="Times New Roman"/>
        </w:rPr>
      </w:pPr>
    </w:p>
    <w:p w14:paraId="1E090A46" w14:textId="77777777" w:rsidR="00C513F2" w:rsidRDefault="00112522">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El 3 de junio de 2025, se expidió la Resolución 268 </w:t>
      </w:r>
      <w:r>
        <w:rPr>
          <w:rFonts w:ascii="Times New Roman" w:eastAsia="Times New Roman" w:hAnsi="Times New Roman" w:cs="Times New Roman"/>
          <w:i/>
          <w:iCs/>
        </w:rPr>
        <w:t xml:space="preserve">“Por la cual se formaliza el ingreso de los Promotores del Servicio Social para la Paz, en el marco de la Ley 2272 de 2022 y </w:t>
      </w:r>
      <w:r>
        <w:rPr>
          <w:rFonts w:ascii="Times New Roman" w:eastAsia="Times New Roman" w:hAnsi="Times New Roman" w:cs="Times New Roman"/>
          <w:i/>
          <w:iCs/>
        </w:rPr>
        <w:lastRenderedPageBreak/>
        <w:t>del Decreto 1079 de 2024, y se establecen condiciones para el inicio de la etapa práctica”</w:t>
      </w:r>
      <w:r>
        <w:rPr>
          <w:rFonts w:ascii="Times New Roman" w:eastAsia="Times New Roman" w:hAnsi="Times New Roman" w:cs="Times New Roman"/>
        </w:rPr>
        <w:t>, con la cual el Departamento Nacional de Planeación, como miembro del Comité Técnico, creó el plan marco que permite acciones concretas hacia la reconstrucción del tejido social.</w:t>
      </w:r>
    </w:p>
    <w:p w14:paraId="5BDBD41A" w14:textId="77777777" w:rsidR="00C513F2" w:rsidRDefault="00C513F2">
      <w:pPr>
        <w:spacing w:line="276" w:lineRule="auto"/>
        <w:ind w:right="-703"/>
        <w:jc w:val="both"/>
        <w:rPr>
          <w:rFonts w:ascii="Times New Roman" w:eastAsia="Times New Roman" w:hAnsi="Times New Roman" w:cs="Times New Roman"/>
        </w:rPr>
      </w:pPr>
    </w:p>
    <w:p w14:paraId="1B64DDE3" w14:textId="77777777" w:rsidR="00C513F2" w:rsidRDefault="00112522">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Con esta Resolución, 432 jóvenes empezaron a prestar el Servicio Social para la Paz como alternativa al servicio militar obligatorio, establecido en el Acuerdo de Paz. Este mecanismo representa un paso decisivo hacia la desmilitarización y hacia la construcción de una cultura de paz sólida, participativa y sostenible, al vincular a la juventud en labores sociales y comunitarias que fortalecen el tejido social del país</w:t>
      </w:r>
      <w:r>
        <w:rPr>
          <w:rFonts w:ascii="Times New Roman" w:eastAsia="Times New Roman" w:hAnsi="Times New Roman" w:cs="Times New Roman"/>
          <w:vertAlign w:val="superscript"/>
        </w:rPr>
        <w:footnoteReference w:id="18"/>
      </w:r>
      <w:r>
        <w:rPr>
          <w:rFonts w:ascii="Times New Roman" w:eastAsia="Times New Roman" w:hAnsi="Times New Roman" w:cs="Times New Roman"/>
        </w:rPr>
        <w:t>.</w:t>
      </w:r>
    </w:p>
    <w:p w14:paraId="07A10B49" w14:textId="77777777" w:rsidR="00C513F2" w:rsidRDefault="00112522">
      <w:pPr>
        <w:numPr>
          <w:ilvl w:val="0"/>
          <w:numId w:val="2"/>
        </w:numPr>
        <w:spacing w:before="280" w:after="280"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 xml:space="preserve">INCONVENIENCIA GENERAL DEL PROYECTO DE LEY. </w:t>
      </w:r>
    </w:p>
    <w:p w14:paraId="483A9D60"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El proyecto de ley radicado únicamente cuenta con dos artículos:</w:t>
      </w:r>
    </w:p>
    <w:p w14:paraId="0BB44C03" w14:textId="77777777" w:rsidR="00C513F2" w:rsidRDefault="00112522">
      <w:pPr>
        <w:numPr>
          <w:ilvl w:val="0"/>
          <w:numId w:val="9"/>
        </w:numPr>
        <w:spacing w:before="280" w:line="276" w:lineRule="auto"/>
        <w:ind w:right="-703"/>
        <w:jc w:val="both"/>
        <w:rPr>
          <w:rFonts w:ascii="Times New Roman" w:eastAsia="Times New Roman" w:hAnsi="Times New Roman" w:cs="Times New Roman"/>
        </w:rPr>
      </w:pPr>
      <w:r>
        <w:rPr>
          <w:rFonts w:ascii="Times New Roman" w:eastAsia="Times New Roman" w:hAnsi="Times New Roman" w:cs="Times New Roman"/>
        </w:rPr>
        <w:t>Un artículo que deroga integralmente la Ley 2272 de 2022.</w:t>
      </w:r>
    </w:p>
    <w:p w14:paraId="1ED4C44B" w14:textId="77777777" w:rsidR="00C513F2" w:rsidRDefault="00112522">
      <w:pPr>
        <w:numPr>
          <w:ilvl w:val="0"/>
          <w:numId w:val="9"/>
        </w:numPr>
        <w:spacing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Un artículo de vigencia. </w:t>
      </w:r>
    </w:p>
    <w:p w14:paraId="637B235F" w14:textId="77777777" w:rsidR="00C513F2" w:rsidRDefault="00112522">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Derogar la Ley 2272 de 2022 implica derogar también la Ley 418 de 1997 y con ella toda posibilidad que tiene el Presidente de la República de entablar diálogos con grupos y estructuras armadas. De la misma manera implica que, si bien el objeto principal de la Ley 2272 es prorrogar la Ley 418 de 1997 para desarrollar la política de paz del Estado, y el objeto de la Ley 418 es la de dotar al Estado colombiano de instrumentos eficaces para asegurar la vigencia del Estado Social de Derecho, en ambos instrumentos normativos y en todas las leyes que la prorrogaron, existen diversos programas sociales cuyo objeto es beneficiar a la población civil de los sitios en donde existe el conflicto armado.</w:t>
      </w:r>
    </w:p>
    <w:p w14:paraId="0608E136" w14:textId="77777777" w:rsidR="00C513F2" w:rsidRDefault="00C513F2">
      <w:pPr>
        <w:spacing w:line="276" w:lineRule="auto"/>
        <w:ind w:right="-703"/>
        <w:jc w:val="both"/>
        <w:rPr>
          <w:rFonts w:ascii="Times New Roman" w:eastAsia="Times New Roman" w:hAnsi="Times New Roman" w:cs="Times New Roman"/>
        </w:rPr>
      </w:pPr>
    </w:p>
    <w:p w14:paraId="1DB48519" w14:textId="77777777" w:rsidR="00C513F2" w:rsidRDefault="00112522">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Adicional a lo anterior, debe tenerse en cuenta que el Proyecto de Ley desconoce las directrices emitidas por la Corte Constitucional en relación a los acuerdos de paz. Al respecto, como ya se ha denotado en el presente escrito, la Corte Constitucional ha desarrollado que la triple condición de la paz como derecho, deber y valor, se traduce en obligaciones directas en al menos tres aspectos definidos que, tanto la Ley 2272 de 2022 como la Ley 418 de 1997 y sus prórrogas han desarrollado. Dice la Corte:</w:t>
      </w:r>
    </w:p>
    <w:p w14:paraId="3162D791" w14:textId="77777777" w:rsidR="00C513F2" w:rsidRDefault="00112522">
      <w:pPr>
        <w:spacing w:before="280" w:after="280" w:line="276" w:lineRule="auto"/>
        <w:ind w:left="720" w:right="-703"/>
        <w:jc w:val="both"/>
        <w:rPr>
          <w:rFonts w:ascii="Times New Roman" w:eastAsia="Times New Roman" w:hAnsi="Times New Roman" w:cs="Times New Roman"/>
        </w:rPr>
      </w:pPr>
      <w:r>
        <w:rPr>
          <w:rFonts w:ascii="Times New Roman" w:eastAsia="Times New Roman" w:hAnsi="Times New Roman" w:cs="Times New Roman"/>
        </w:rPr>
        <w:t xml:space="preserve">En conclusión, la jurisprudencia constitucional ha concluido en diversas decisiones y de una manera estable, que la paz es un objetivo de primer orden dentro del modelo de organización política adoptado por la Constitución.  Para ello, se reconoce la triple condición de la paz como derecho, deber y valor fundante de dicho modelo, lo cual conlleva a obligaciones directas en, al menos, </w:t>
      </w:r>
      <w:r>
        <w:rPr>
          <w:rFonts w:ascii="Times New Roman" w:eastAsia="Times New Roman" w:hAnsi="Times New Roman" w:cs="Times New Roman"/>
        </w:rPr>
        <w:lastRenderedPageBreak/>
        <w:t>tres aspectos definidos: (i) un deber estatal de diseño e implementación de acciones, normativas y de política pública, dirigidas a la superación del conflicto armado y, en general, el logro de la convivencia pacífica; (ii)</w:t>
      </w:r>
      <w:r>
        <w:rPr>
          <w:rFonts w:ascii="Times New Roman" w:eastAsia="Times New Roman" w:hAnsi="Times New Roman" w:cs="Times New Roman"/>
          <w:b/>
          <w:bCs/>
        </w:rPr>
        <w:t xml:space="preserve"> un deber social de preferir a la solución pacífica como mecanismo exclusivo y constitucionalmente admisible de resolución de las controversias</w:t>
      </w:r>
      <w:r>
        <w:rPr>
          <w:rFonts w:ascii="Times New Roman" w:eastAsia="Times New Roman" w:hAnsi="Times New Roman" w:cs="Times New Roman"/>
        </w:rPr>
        <w:t>; y (iii) el logro progresivo de la plena vigencia de los derechos fundamentales, lo cual es un presupuesto tanto para la paz como para la vigencia del orden democrático, concebido desde una perspectiva material.</w:t>
      </w:r>
      <w:r>
        <w:rPr>
          <w:rFonts w:ascii="Times New Roman" w:eastAsia="Times New Roman" w:hAnsi="Times New Roman" w:cs="Times New Roman"/>
          <w:vertAlign w:val="superscript"/>
        </w:rPr>
        <w:footnoteReference w:id="19"/>
      </w:r>
    </w:p>
    <w:p w14:paraId="37F49418" w14:textId="77777777" w:rsidR="00C513F2" w:rsidRDefault="00112522">
      <w:pPr>
        <w:spacing w:before="280" w:after="280" w:line="276" w:lineRule="auto"/>
        <w:ind w:right="-703"/>
        <w:jc w:val="both"/>
        <w:rPr>
          <w:rFonts w:ascii="Times New Roman" w:eastAsia="Times New Roman" w:hAnsi="Times New Roman" w:cs="Times New Roman"/>
        </w:rPr>
      </w:pPr>
      <w:r>
        <w:rPr>
          <w:rFonts w:ascii="Times New Roman" w:eastAsia="Times New Roman" w:hAnsi="Times New Roman" w:cs="Times New Roman"/>
        </w:rPr>
        <w:t>En otra ocasión, dice la Corte lo siguiente:</w:t>
      </w:r>
    </w:p>
    <w:p w14:paraId="3CE21BF5" w14:textId="77777777" w:rsidR="00C513F2" w:rsidRDefault="00112522">
      <w:pPr>
        <w:spacing w:before="280" w:after="280" w:line="276" w:lineRule="auto"/>
        <w:ind w:left="720" w:right="-703"/>
        <w:jc w:val="both"/>
        <w:rPr>
          <w:rFonts w:ascii="Times New Roman" w:eastAsia="Times New Roman" w:hAnsi="Times New Roman" w:cs="Times New Roman"/>
        </w:rPr>
      </w:pPr>
      <w:r>
        <w:rPr>
          <w:rFonts w:ascii="Times New Roman" w:eastAsia="Times New Roman" w:hAnsi="Times New Roman" w:cs="Times New Roman"/>
        </w:rPr>
        <w:t>[E]l presidente de la República debe buscar preferencialmente acudir a mecanismos de solución pacífica de los conflictos internos. Este deber se deriva, en primer lugar, de una lectura sistemática de la Constitución Política, y en particular, de la prevalencia de los principios fundamentales de la Constitución como elementos integradores que deben informar la interpretación de la parte orgánica de la misma. En segunda medida, se deduce así mismo del análisis de los antecedentes históricos y de la teleología de la Constitución, que ha sido llamada la “Constitución de la paz”, lo cual consta no sólo en las discusiones de la Asamblea Nacional Constituyente, sino en el preámbulo mismo de la Constitución.  Finalmente, la preferencia por los medios pacíficos de solución del conflicto armado se deriva también de la prevalencia de los tratados sobre derechos humanos ratificados por Colombia, que la Corte, interpretando el artículo 93 de la Constitución, ha incorporado al ordenamiento jurídico como parte del bloque de constitucionalidad.</w:t>
      </w:r>
      <w:r>
        <w:rPr>
          <w:rFonts w:ascii="Times New Roman" w:eastAsia="Times New Roman" w:hAnsi="Times New Roman" w:cs="Times New Roman"/>
          <w:vertAlign w:val="superscript"/>
        </w:rPr>
        <w:footnoteReference w:id="20"/>
      </w:r>
    </w:p>
    <w:p w14:paraId="49576B88" w14:textId="77777777" w:rsidR="00C513F2" w:rsidRDefault="00112522">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En ese sentido, el Proyecto de Ley desconoce esta triple condición del derecho a la paz. Al querer desmontar todos los resultados de la Ley 2272 y de la Ley 418 de 1997 y sus prórrogas, el Proyecto no solamente desconoce la potestad que tiene el Presidente de la República para preferir la solución pacífica del conflicto. También desconoce el deber estatal para diseñar e implementar normas dirigidas a la superación del conflicto armado y al logro de una convivencia pacífica. Recordemos que, como se ha sostenido en la presente ponencia, la Ley 2272 no solamente consagra medidas para negociar acuerdos de paz, también consagra medidas a favor de los territorios de carácter institucional, tributario y humanitario. Esto sin tener en consideración que, sobre los procesos de paz y sometimiento ya se están teniendo varios resultados. </w:t>
      </w:r>
    </w:p>
    <w:p w14:paraId="39C51EF7" w14:textId="77777777" w:rsidR="00C513F2" w:rsidRDefault="00C513F2">
      <w:pPr>
        <w:spacing w:line="276" w:lineRule="auto"/>
        <w:ind w:right="-703"/>
        <w:jc w:val="both"/>
        <w:rPr>
          <w:rFonts w:ascii="Times New Roman" w:eastAsia="Times New Roman" w:hAnsi="Times New Roman" w:cs="Times New Roman"/>
        </w:rPr>
      </w:pPr>
    </w:p>
    <w:p w14:paraId="5A41CC69" w14:textId="77777777" w:rsidR="00C513F2" w:rsidRDefault="00112522">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El Proyecto de Ley se sustenta en el balance negativo de la Ley de Paz Total por los resultados en materia de seguridad y protección de los derechos fundamentales de los colombianos. Sin embargo, además de ir en contravía de la jurisprudencia constitucional, </w:t>
      </w:r>
      <w:r>
        <w:rPr>
          <w:rFonts w:ascii="Times New Roman" w:eastAsia="Times New Roman" w:hAnsi="Times New Roman" w:cs="Times New Roman"/>
        </w:rPr>
        <w:lastRenderedPageBreak/>
        <w:t xml:space="preserve">es inconveniente, poco técnico, y lejos de resolver la problemática que dice querer tratar. El Proyecto sostiene que la Ley de Paz Total debe derogarse para </w:t>
      </w:r>
      <w:r>
        <w:rPr>
          <w:rFonts w:ascii="Times New Roman" w:eastAsia="Times New Roman" w:hAnsi="Times New Roman" w:cs="Times New Roman"/>
          <w:i/>
          <w:iCs/>
        </w:rPr>
        <w:t>“abrir camino a una política pública realista, integral y efectiva, que priorice la protección de la vida, el fortalecimiento institucional y la defensa de los derechos humanos”.</w:t>
      </w:r>
      <w:r>
        <w:rPr>
          <w:rFonts w:ascii="Times New Roman" w:eastAsia="Times New Roman" w:hAnsi="Times New Roman" w:cs="Times New Roman"/>
        </w:rPr>
        <w:t xml:space="preserve"> Sin embargo, el Proyecto no contiene propuestas o mecanismos alternos, no establece un término de transición, ni distingue las iniciativas con contenido social que deberían tener continuidad</w:t>
      </w:r>
      <w:r>
        <w:rPr>
          <w:rFonts w:ascii="Times New Roman" w:eastAsia="Times New Roman" w:hAnsi="Times New Roman" w:cs="Times New Roman"/>
          <w:b/>
          <w:bCs/>
        </w:rPr>
        <w:t>,</w:t>
      </w:r>
      <w:r>
        <w:rPr>
          <w:rFonts w:ascii="Times New Roman" w:eastAsia="Times New Roman" w:hAnsi="Times New Roman" w:cs="Times New Roman"/>
        </w:rPr>
        <w:t xml:space="preserve"> ni mucho menos propone soluciones diferentes a la derogación de la ley.</w:t>
      </w:r>
    </w:p>
    <w:p w14:paraId="294BBA74" w14:textId="77777777" w:rsidR="00C513F2" w:rsidRDefault="00C513F2">
      <w:pPr>
        <w:spacing w:line="276" w:lineRule="auto"/>
        <w:ind w:right="-703"/>
        <w:jc w:val="both"/>
        <w:rPr>
          <w:rFonts w:ascii="Times New Roman" w:eastAsia="Times New Roman" w:hAnsi="Times New Roman" w:cs="Times New Roman"/>
        </w:rPr>
      </w:pPr>
    </w:p>
    <w:p w14:paraId="593CB39B" w14:textId="77777777" w:rsidR="00C513F2" w:rsidRDefault="00112522">
      <w:pPr>
        <w:spacing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En otras palabras, el Proyecto de Ley no busca construir sobre los avances normativos alcanzados, sino que pretende eliminar sin fundamento jurídico lo conseguido. Ello implica desconocer la prioridad constitucional de la protección de la vida, debilitar el fortalecimiento institucional y omitir la defensa de los derechos humanos como pilares de la política de paz.</w:t>
      </w:r>
    </w:p>
    <w:p w14:paraId="08C31562" w14:textId="77777777" w:rsidR="00C513F2" w:rsidRDefault="00112522">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Frente a esta situación, la respuesta no puede ser otra que el archivo del Proyecto de Ley, no solo como decisión jurídicamente coherente y políticamente responsable, sino también como un acto de defensa colectiva de la paz. Archivar este proyecto significa reafirmar el compromiso del Estado y de la sociedad con la Paz como política de Estado, garantizando que los avances logrados no sean revertidos y que la ciudadanía continúe siendo protagonista en la construcción de un futuro más justo y seguro.</w:t>
      </w:r>
    </w:p>
    <w:p w14:paraId="3F17FC6F" w14:textId="77777777" w:rsidR="00C513F2" w:rsidRDefault="00112522">
      <w:pPr>
        <w:numPr>
          <w:ilvl w:val="0"/>
          <w:numId w:val="6"/>
        </w:numPr>
        <w:pBdr>
          <w:top w:val="nil"/>
          <w:left w:val="nil"/>
          <w:bottom w:val="nil"/>
          <w:right w:val="nil"/>
          <w:between w:val="nil"/>
        </w:pBdr>
        <w:spacing w:line="276" w:lineRule="auto"/>
        <w:ind w:right="-703"/>
        <w:rPr>
          <w:rFonts w:ascii="Times New Roman" w:eastAsia="Times New Roman" w:hAnsi="Times New Roman" w:cs="Times New Roman"/>
          <w:b/>
          <w:bCs/>
          <w:color w:val="000000"/>
        </w:rPr>
      </w:pPr>
      <w:r>
        <w:rPr>
          <w:rFonts w:ascii="Times New Roman" w:eastAsia="Times New Roman" w:hAnsi="Times New Roman" w:cs="Times New Roman"/>
          <w:b/>
          <w:bCs/>
        </w:rPr>
        <w:t xml:space="preserve"> PROPOSICIÓN</w:t>
      </w:r>
    </w:p>
    <w:p w14:paraId="163C1222" w14:textId="77777777" w:rsidR="00C513F2" w:rsidRDefault="00C513F2">
      <w:pPr>
        <w:shd w:val="clear" w:color="auto" w:fill="FFFFFF"/>
        <w:spacing w:line="276" w:lineRule="auto"/>
        <w:ind w:right="390"/>
        <w:jc w:val="both"/>
        <w:rPr>
          <w:rFonts w:ascii="Times New Roman" w:eastAsia="Times New Roman" w:hAnsi="Times New Roman" w:cs="Times New Roman"/>
          <w:b/>
          <w:bCs/>
        </w:rPr>
      </w:pPr>
    </w:p>
    <w:p w14:paraId="199053BB" w14:textId="0D4F1977" w:rsidR="00C513F2" w:rsidRDefault="00112522">
      <w:pPr>
        <w:spacing w:line="276" w:lineRule="auto"/>
        <w:ind w:right="-703"/>
        <w:jc w:val="both"/>
        <w:rPr>
          <w:rFonts w:ascii="Times New Roman" w:eastAsia="Times New Roman" w:hAnsi="Times New Roman" w:cs="Times New Roman"/>
          <w:i/>
          <w:iCs/>
        </w:rPr>
      </w:pPr>
      <w:r>
        <w:rPr>
          <w:rFonts w:ascii="Times New Roman" w:eastAsia="Times New Roman" w:hAnsi="Times New Roman" w:cs="Times New Roman"/>
        </w:rPr>
        <w:t>Por los argumentos expuestos anteriormente, presentamos ponencia negativa y solicitamos a los miembros de la Comisión Primera Constitucional Permanente de la Cámara de Representantes archivar el Proyecto de Ley No. 277 de 2025 Cámara “</w:t>
      </w:r>
      <w:r>
        <w:rPr>
          <w:rFonts w:ascii="Times New Roman" w:eastAsia="Times New Roman" w:hAnsi="Times New Roman" w:cs="Times New Roman"/>
          <w:i/>
          <w:iCs/>
        </w:rPr>
        <w:t>Por medio de la cual se deroga la Ley 2272 de 2022”</w:t>
      </w:r>
      <w:r w:rsidR="00405D2F" w:rsidRPr="00405D2F">
        <w:rPr>
          <w:rFonts w:ascii="Times New Roman" w:eastAsia="Times New Roman" w:hAnsi="Times New Roman" w:cs="Times New Roman"/>
        </w:rPr>
        <w:t xml:space="preserve"> </w:t>
      </w:r>
      <w:r w:rsidR="00DE5276" w:rsidRPr="00405D2F">
        <w:rPr>
          <w:rFonts w:ascii="Times New Roman" w:eastAsia="Times New Roman" w:hAnsi="Times New Roman" w:cs="Times New Roman"/>
          <w:i/>
          <w:iCs/>
        </w:rPr>
        <w:t>(Ley de Paz Total)”</w:t>
      </w:r>
      <w:r w:rsidR="0049407A">
        <w:rPr>
          <w:rFonts w:ascii="Times New Roman" w:eastAsia="Times New Roman" w:hAnsi="Times New Roman" w:cs="Times New Roman"/>
          <w:i/>
          <w:iCs/>
        </w:rPr>
        <w:t>.</w:t>
      </w:r>
    </w:p>
    <w:p w14:paraId="50E8FB4F" w14:textId="77777777" w:rsidR="00C513F2" w:rsidRDefault="00C513F2">
      <w:pPr>
        <w:spacing w:line="276" w:lineRule="auto"/>
        <w:ind w:right="-703"/>
        <w:jc w:val="both"/>
        <w:rPr>
          <w:rFonts w:ascii="Times New Roman" w:eastAsia="Times New Roman" w:hAnsi="Times New Roman" w:cs="Times New Roman"/>
        </w:rPr>
      </w:pPr>
    </w:p>
    <w:p w14:paraId="14FDDF64" w14:textId="77777777" w:rsidR="00C513F2" w:rsidRDefault="00C513F2">
      <w:pPr>
        <w:spacing w:line="276" w:lineRule="auto"/>
        <w:ind w:right="-703"/>
        <w:jc w:val="both"/>
        <w:rPr>
          <w:rFonts w:ascii="Times New Roman" w:eastAsia="Times New Roman" w:hAnsi="Times New Roman" w:cs="Times New Roman"/>
        </w:rPr>
      </w:pPr>
    </w:p>
    <w:p w14:paraId="6A6FC310" w14:textId="77777777" w:rsidR="00C513F2" w:rsidRDefault="00112522">
      <w:pPr>
        <w:shd w:val="clear" w:color="auto" w:fill="FFFFFF"/>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Atentamente,</w:t>
      </w:r>
    </w:p>
    <w:p w14:paraId="5C9B1E71" w14:textId="77777777" w:rsidR="00C513F2" w:rsidRDefault="00C513F2">
      <w:pPr>
        <w:shd w:val="clear" w:color="auto" w:fill="FFFFFF"/>
        <w:spacing w:line="276" w:lineRule="auto"/>
        <w:ind w:right="-703"/>
        <w:jc w:val="both"/>
        <w:rPr>
          <w:rFonts w:ascii="Times New Roman" w:eastAsia="Times New Roman" w:hAnsi="Times New Roman" w:cs="Times New Roman"/>
        </w:rPr>
      </w:pPr>
    </w:p>
    <w:p w14:paraId="45EBC8E4" w14:textId="77777777" w:rsidR="00C513F2" w:rsidRDefault="00C513F2">
      <w:pPr>
        <w:shd w:val="clear" w:color="auto" w:fill="FFFFFF"/>
        <w:spacing w:line="276" w:lineRule="auto"/>
        <w:ind w:right="-703"/>
        <w:jc w:val="both"/>
        <w:rPr>
          <w:rFonts w:ascii="Times New Roman" w:eastAsia="Times New Roman" w:hAnsi="Times New Roman" w:cs="Times New Roman"/>
        </w:rPr>
      </w:pPr>
    </w:p>
    <w:p w14:paraId="0186A5A1" w14:textId="77777777" w:rsidR="00C513F2" w:rsidRDefault="00C513F2">
      <w:pPr>
        <w:shd w:val="clear" w:color="auto" w:fill="FFFFFF"/>
        <w:spacing w:line="276" w:lineRule="auto"/>
        <w:ind w:right="-703"/>
        <w:jc w:val="both"/>
        <w:rPr>
          <w:rFonts w:ascii="Times New Roman" w:eastAsia="Times New Roman" w:hAnsi="Times New Roman" w:cs="Times New Roman"/>
        </w:rPr>
      </w:pPr>
    </w:p>
    <w:p w14:paraId="258CB9F4"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Alirio Uribe Muñoz</w:t>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b/>
          <w:bCs/>
        </w:rPr>
        <w:tab/>
        <w:t xml:space="preserve">     </w:t>
      </w:r>
      <w:r>
        <w:rPr>
          <w:rFonts w:ascii="Times New Roman" w:eastAsia="Times New Roman" w:hAnsi="Times New Roman" w:cs="Times New Roman"/>
          <w:b/>
          <w:bCs/>
        </w:rPr>
        <w:tab/>
        <w:t xml:space="preserve">  Karyme Adrana Cotes Martínez</w:t>
      </w:r>
    </w:p>
    <w:p w14:paraId="22C67C6B"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Representante a la Cámara</w:t>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b/>
          <w:bCs/>
        </w:rPr>
        <w:tab/>
        <w:t xml:space="preserve">  Representante a la Cámara</w:t>
      </w:r>
    </w:p>
    <w:p w14:paraId="339FCB62"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Ponente Coordinador</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Ponente</w:t>
      </w:r>
    </w:p>
    <w:p w14:paraId="144A3AC5"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7EBD5052"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3FBF5D8D"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2B74C0EB"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3919B0EB"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 xml:space="preserve">James Hermenegildo Mosquera Torres </w:t>
      </w:r>
      <w:r>
        <w:rPr>
          <w:rFonts w:ascii="Times New Roman" w:eastAsia="Times New Roman" w:hAnsi="Times New Roman" w:cs="Times New Roman"/>
          <w:b/>
          <w:bCs/>
        </w:rPr>
        <w:tab/>
        <w:t>Jorge Eliecer Tamayo Marulanda</w:t>
      </w:r>
    </w:p>
    <w:p w14:paraId="29A4EE08"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Representante a la Cámara</w:t>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b/>
          <w:bCs/>
        </w:rPr>
        <w:tab/>
        <w:t>Representante a la Cámara</w:t>
      </w:r>
    </w:p>
    <w:p w14:paraId="374C6766"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Ponente</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Ponente</w:t>
      </w:r>
    </w:p>
    <w:p w14:paraId="09277A44"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4A8A3DBF"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346FA752"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3A72D3F3"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6239DEFA"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Luis Alberto Albán Urbano</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Miguel Abraham Polo Polo</w:t>
      </w:r>
      <w:r>
        <w:rPr>
          <w:rFonts w:ascii="Times New Roman" w:eastAsia="Times New Roman" w:hAnsi="Times New Roman" w:cs="Times New Roman"/>
          <w:b/>
          <w:bCs/>
        </w:rPr>
        <w:tab/>
      </w:r>
    </w:p>
    <w:p w14:paraId="612C0485"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Representante a la Cámara</w:t>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b/>
          <w:bCs/>
        </w:rPr>
        <w:tab/>
        <w:t>Representante a la Cámara</w:t>
      </w:r>
    </w:p>
    <w:p w14:paraId="70B64B23"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Ponente</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Ponente</w:t>
      </w:r>
    </w:p>
    <w:p w14:paraId="1C6D8257"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302E0A90"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715810AC"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5A8498EF"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2BEBEBCE"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Delcy Esperanza Isaza Buenaventura</w:t>
      </w:r>
      <w:r>
        <w:rPr>
          <w:rFonts w:ascii="Times New Roman" w:eastAsia="Times New Roman" w:hAnsi="Times New Roman" w:cs="Times New Roman"/>
          <w:b/>
          <w:bCs/>
        </w:rPr>
        <w:tab/>
        <w:t xml:space="preserve">Luz Ayda Pastrana Loaiza     </w:t>
      </w:r>
    </w:p>
    <w:p w14:paraId="14C215A8"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Representante a la Cámara</w:t>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b/>
          <w:bCs/>
        </w:rPr>
        <w:tab/>
        <w:t>Representante a la Cámara</w:t>
      </w:r>
    </w:p>
    <w:p w14:paraId="74C57D02"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Ponente</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Ponente Coordinador</w:t>
      </w:r>
    </w:p>
    <w:p w14:paraId="5759B1A8"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270164A8"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7B7F46B6"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5CC8B179"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1A4D4474"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Marelen Castillo Torres</w:t>
      </w:r>
    </w:p>
    <w:p w14:paraId="2147D349"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Representante a la Cámara</w:t>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b/>
          <w:bCs/>
        </w:rPr>
        <w:tab/>
      </w:r>
    </w:p>
    <w:p w14:paraId="5B815363" w14:textId="77777777" w:rsidR="00C513F2" w:rsidRDefault="00112522">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Ponente</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p>
    <w:p w14:paraId="0B68DBD4"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50C605D8"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p w14:paraId="57DB014A" w14:textId="77777777" w:rsidR="00C513F2" w:rsidRDefault="00C513F2">
      <w:pPr>
        <w:shd w:val="clear" w:color="auto" w:fill="FFFFFF"/>
        <w:spacing w:line="276" w:lineRule="auto"/>
        <w:ind w:right="-703"/>
        <w:jc w:val="both"/>
        <w:rPr>
          <w:rFonts w:ascii="Times New Roman" w:eastAsia="Times New Roman" w:hAnsi="Times New Roman" w:cs="Times New Roman"/>
        </w:rPr>
      </w:pPr>
    </w:p>
    <w:p w14:paraId="07CD5B36" w14:textId="77777777" w:rsidR="00C513F2" w:rsidRDefault="00C513F2">
      <w:pPr>
        <w:shd w:val="clear" w:color="auto" w:fill="FFFFFF"/>
        <w:spacing w:line="276" w:lineRule="auto"/>
        <w:ind w:right="-703"/>
        <w:jc w:val="both"/>
        <w:rPr>
          <w:rFonts w:ascii="Times New Roman" w:eastAsia="Times New Roman" w:hAnsi="Times New Roman" w:cs="Times New Roman"/>
          <w:b/>
          <w:bCs/>
        </w:rPr>
      </w:pPr>
    </w:p>
    <w:sectPr w:rsidR="00C513F2">
      <w:headerReference w:type="default" r:id="rId8"/>
      <w:footerReference w:type="default" r:id="rId9"/>
      <w:pgSz w:w="11906" w:h="16838"/>
      <w:pgMar w:top="1843" w:right="2419"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C3A52" w14:textId="77777777" w:rsidR="0092455D" w:rsidRDefault="00112522">
      <w:r>
        <w:separator/>
      </w:r>
    </w:p>
  </w:endnote>
  <w:endnote w:type="continuationSeparator" w:id="0">
    <w:p w14:paraId="23EA1243" w14:textId="77777777" w:rsidR="0092455D" w:rsidRDefault="00112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B21BC0A-67F2-4ADC-9AA4-D161573E7EC1}"/>
    <w:embedBold r:id="rId2" w:fontKey="{F3EE0044-43C9-4BD2-A6B4-21553910BFDB}"/>
  </w:font>
  <w:font w:name="Georgia">
    <w:panose1 w:val="02040502050405020303"/>
    <w:charset w:val="00"/>
    <w:family w:val="roman"/>
    <w:pitch w:val="variable"/>
    <w:sig w:usb0="00000287" w:usb1="00000000" w:usb2="00000000" w:usb3="00000000" w:csb0="0000009F" w:csb1="00000000"/>
    <w:embedRegular r:id="rId3" w:fontKey="{D8F375EF-4984-4085-BC66-D8F5B5B682D7}"/>
    <w:embedBold r:id="rId4" w:fontKey="{3C98559B-31AE-4443-97C2-9495B95ACF95}"/>
    <w:embedItalic r:id="rId5" w:fontKey="{D9A8B67B-6293-43F0-B745-83BC566226DA}"/>
  </w:font>
  <w:font w:name="Arial Narrow">
    <w:panose1 w:val="020B0606020202030204"/>
    <w:charset w:val="00"/>
    <w:family w:val="swiss"/>
    <w:pitch w:val="variable"/>
    <w:sig w:usb0="00000287" w:usb1="00000800" w:usb2="00000000" w:usb3="00000000" w:csb0="0000009F" w:csb1="00000000"/>
    <w:embedRegular r:id="rId6" w:fontKey="{1242EB8F-3287-4392-8E08-B99B2E1D1AEA}"/>
  </w:font>
  <w:font w:name="Liberation Serif">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A24B6C38-22EF-405E-B1C0-45DAA871F0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AFBBC" w14:textId="77777777" w:rsidR="00C513F2" w:rsidRDefault="00112522">
    <w:pPr>
      <w:widowControl w:val="0"/>
      <w:tabs>
        <w:tab w:val="center" w:pos="4419"/>
        <w:tab w:val="right" w:pos="8838"/>
      </w:tabs>
      <w:jc w:val="center"/>
      <w:rPr>
        <w:color w:val="000000"/>
      </w:rPr>
    </w:pPr>
    <w:r>
      <w:rPr>
        <w:rFonts w:ascii="Liberation Serif" w:eastAsia="Liberation Serif" w:hAnsi="Liberation Serif" w:cs="Liberation Serif"/>
        <w:noProof/>
        <w:color w:val="00000A"/>
      </w:rPr>
      <w:drawing>
        <wp:inline distT="0" distB="0" distL="0" distR="0" wp14:anchorId="414A97EA" wp14:editId="6AE98265">
          <wp:extent cx="3114675" cy="266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114675" cy="2667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0EC99" w14:textId="77777777" w:rsidR="0092455D" w:rsidRDefault="00112522">
      <w:r>
        <w:separator/>
      </w:r>
    </w:p>
  </w:footnote>
  <w:footnote w:type="continuationSeparator" w:id="0">
    <w:p w14:paraId="6F0BACC9" w14:textId="77777777" w:rsidR="0092455D" w:rsidRDefault="00112522">
      <w:r>
        <w:continuationSeparator/>
      </w:r>
    </w:p>
  </w:footnote>
  <w:footnote w:id="1">
    <w:p w14:paraId="14B20AC0" w14:textId="77777777" w:rsidR="00C513F2" w:rsidRDefault="00112522">
      <w:pPr>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Corte Constitucional. Sentencia C-525 de 2023. </w:t>
      </w:r>
    </w:p>
  </w:footnote>
  <w:footnote w:id="2">
    <w:p w14:paraId="0D531C6E" w14:textId="77777777" w:rsidR="00C513F2" w:rsidRDefault="00112522">
      <w:pPr>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Corte Constitucional. Sentencia SU-150 de 2021.</w:t>
      </w:r>
    </w:p>
  </w:footnote>
  <w:footnote w:id="3">
    <w:p w14:paraId="48764FAC" w14:textId="77777777" w:rsidR="00C513F2" w:rsidRDefault="00112522">
      <w:pPr>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Corte Constitucional. Sentencia C-379 de 2016.</w:t>
      </w:r>
    </w:p>
  </w:footnote>
  <w:footnote w:id="4">
    <w:p w14:paraId="7DDB5DA9" w14:textId="77777777" w:rsidR="00C513F2" w:rsidRDefault="00112522">
      <w:pPr>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Corte Constitucional. Sentencia C-525 de 2023. </w:t>
      </w:r>
    </w:p>
  </w:footnote>
  <w:footnote w:id="5">
    <w:p w14:paraId="63A516FA" w14:textId="77777777" w:rsidR="00C513F2" w:rsidRDefault="00112522">
      <w:pPr>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Ibid. </w:t>
      </w:r>
    </w:p>
  </w:footnote>
  <w:footnote w:id="6">
    <w:p w14:paraId="4F6F54F4" w14:textId="77777777" w:rsidR="00C513F2" w:rsidRDefault="00112522">
      <w:pPr>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Corte Constitucional. Sentencia C-069 de 2020. </w:t>
      </w:r>
    </w:p>
  </w:footnote>
  <w:footnote w:id="7">
    <w:p w14:paraId="7D1AF033" w14:textId="77777777" w:rsidR="00C513F2" w:rsidRDefault="00112522">
      <w:pPr>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Corte Constitucional. Sentencia C-525 de 2023. </w:t>
      </w:r>
    </w:p>
  </w:footnote>
  <w:footnote w:id="8">
    <w:p w14:paraId="0D7DD362" w14:textId="77777777" w:rsidR="00C513F2" w:rsidRDefault="00112522">
      <w:pPr>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Ibid</w:t>
      </w:r>
    </w:p>
  </w:footnote>
  <w:footnote w:id="9">
    <w:p w14:paraId="2F231E02" w14:textId="77777777" w:rsidR="00C513F2" w:rsidRDefault="00112522">
      <w:pPr>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Ibid</w:t>
      </w:r>
    </w:p>
  </w:footnote>
  <w:footnote w:id="10">
    <w:p w14:paraId="71431089" w14:textId="77777777" w:rsidR="00C513F2" w:rsidRDefault="00112522">
      <w:pPr>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Ibid</w:t>
      </w:r>
    </w:p>
  </w:footnote>
  <w:footnote w:id="11">
    <w:p w14:paraId="34DE417F" w14:textId="77777777" w:rsidR="00C513F2" w:rsidRDefault="00112522">
      <w:pPr>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Corte Constitucional. Sentencia C-048 de 2001. </w:t>
      </w:r>
    </w:p>
  </w:footnote>
  <w:footnote w:id="12">
    <w:p w14:paraId="4D836400" w14:textId="77777777" w:rsidR="00C513F2" w:rsidRDefault="00112522">
      <w:pPr>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Corte Constitucional. Sentencia C-525 de 2023. </w:t>
      </w:r>
    </w:p>
  </w:footnote>
  <w:footnote w:id="13">
    <w:p w14:paraId="44A03D0D" w14:textId="77777777" w:rsidR="00C513F2" w:rsidRDefault="00112522">
      <w:pPr>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Ibid</w:t>
      </w:r>
    </w:p>
  </w:footnote>
  <w:footnote w:id="14">
    <w:p w14:paraId="5252E886" w14:textId="77777777" w:rsidR="00C513F2" w:rsidRDefault="00112522">
      <w:pPr>
        <w:rPr>
          <w:rFonts w:ascii="Arial Narrow" w:eastAsia="Arial Narrow" w:hAnsi="Arial Narrow" w:cs="Arial Narrow"/>
          <w:sz w:val="20"/>
          <w:szCs w:val="20"/>
        </w:rPr>
      </w:pPr>
      <w:r>
        <w:rPr>
          <w:vertAlign w:val="superscript"/>
        </w:rPr>
        <w:footnoteRef/>
      </w:r>
      <w:r>
        <w:rPr>
          <w:sz w:val="20"/>
          <w:szCs w:val="20"/>
        </w:rPr>
        <w:t xml:space="preserve"> </w:t>
      </w:r>
      <w:r>
        <w:rPr>
          <w:rFonts w:ascii="Arial Narrow" w:eastAsia="Arial Narrow" w:hAnsi="Arial Narrow" w:cs="Arial Narrow"/>
          <w:sz w:val="20"/>
          <w:szCs w:val="20"/>
        </w:rPr>
        <w:t>Ibid</w:t>
      </w:r>
    </w:p>
  </w:footnote>
  <w:footnote w:id="15">
    <w:p w14:paraId="51AF3D7C" w14:textId="77777777" w:rsidR="00C513F2" w:rsidRDefault="00112522">
      <w:pPr>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La paz ¿cómo vamos? Radiografía de los procesos de diálogo de paz en Colombia entre 2022-2025. Disponible en: </w:t>
      </w:r>
      <w:hyperlink r:id="rId1">
        <w:r>
          <w:rPr>
            <w:rFonts w:ascii="Arial Narrow" w:eastAsia="Arial Narrow" w:hAnsi="Arial Narrow" w:cs="Arial Narrow"/>
            <w:color w:val="1155CC"/>
            <w:sz w:val="20"/>
            <w:szCs w:val="20"/>
            <w:u w:val="single"/>
          </w:rPr>
          <w:t>https://www.pares.com.co/la-paz-como-vamos/</w:t>
        </w:r>
      </w:hyperlink>
      <w:r>
        <w:rPr>
          <w:rFonts w:ascii="Arial Narrow" w:eastAsia="Arial Narrow" w:hAnsi="Arial Narrow" w:cs="Arial Narrow"/>
          <w:sz w:val="20"/>
          <w:szCs w:val="20"/>
        </w:rPr>
        <w:t xml:space="preserve"> </w:t>
      </w:r>
    </w:p>
  </w:footnote>
  <w:footnote w:id="16">
    <w:p w14:paraId="4AD6B1F6" w14:textId="77777777" w:rsidR="00C513F2" w:rsidRDefault="00112522">
      <w:pPr>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Ibid.</w:t>
      </w:r>
    </w:p>
  </w:footnote>
  <w:footnote w:id="17">
    <w:p w14:paraId="29760422" w14:textId="77777777" w:rsidR="00C513F2" w:rsidRDefault="00112522">
      <w:pPr>
        <w:ind w:right="-845"/>
        <w:jc w:val="both"/>
        <w:rPr>
          <w:sz w:val="20"/>
          <w:szCs w:val="20"/>
        </w:rPr>
      </w:pPr>
      <w:r>
        <w:rPr>
          <w:vertAlign w:val="superscript"/>
        </w:rPr>
        <w:footnoteRef/>
      </w:r>
      <w:r>
        <w:rPr>
          <w:rFonts w:ascii="Arial Narrow" w:eastAsia="Arial Narrow" w:hAnsi="Arial Narrow" w:cs="Arial Narrow"/>
          <w:sz w:val="20"/>
          <w:szCs w:val="20"/>
        </w:rPr>
        <w:t xml:space="preserve"> Rivera, Daniel. Servicio Social para la Paz fue otro globo para la juventud y la seguridad. Disponible en: </w:t>
      </w:r>
      <w:hyperlink r:id="rId2">
        <w:r>
          <w:rPr>
            <w:rFonts w:ascii="Arial Narrow" w:eastAsia="Arial Narrow" w:hAnsi="Arial Narrow" w:cs="Arial Narrow"/>
            <w:color w:val="1155CC"/>
            <w:sz w:val="20"/>
            <w:szCs w:val="20"/>
            <w:u w:val="single"/>
          </w:rPr>
          <w:t>https://www.lasillavacia.com/red-de-expertos/red-social/servicio-social-para-la-paz-fue-otro-globo-para-la-juventud-y-la-seguridad/</w:t>
        </w:r>
      </w:hyperlink>
      <w:r>
        <w:rPr>
          <w:rFonts w:ascii="Arial Narrow" w:eastAsia="Arial Narrow" w:hAnsi="Arial Narrow" w:cs="Arial Narrow"/>
          <w:sz w:val="20"/>
          <w:szCs w:val="20"/>
        </w:rPr>
        <w:t xml:space="preserve"> </w:t>
      </w:r>
    </w:p>
  </w:footnote>
  <w:footnote w:id="18">
    <w:p w14:paraId="2F89570E" w14:textId="77777777" w:rsidR="00C513F2" w:rsidRDefault="00112522">
      <w:pPr>
        <w:ind w:right="-703"/>
        <w:jc w:val="both"/>
        <w:rPr>
          <w:rFonts w:ascii="Arial Narrow" w:eastAsia="Arial Narrow" w:hAnsi="Arial Narrow" w:cs="Arial Narrow"/>
          <w:sz w:val="20"/>
          <w:szCs w:val="20"/>
        </w:rPr>
      </w:pPr>
      <w:r>
        <w:rPr>
          <w:vertAlign w:val="superscript"/>
        </w:rPr>
        <w:footnoteRef/>
      </w:r>
      <w:hyperlink r:id="rId3">
        <w:r>
          <w:rPr>
            <w:rFonts w:ascii="Arial Narrow" w:eastAsia="Arial Narrow" w:hAnsi="Arial Narrow" w:cs="Arial Narrow"/>
            <w:color w:val="1155CC"/>
            <w:sz w:val="20"/>
            <w:szCs w:val="20"/>
            <w:u w:val="single"/>
          </w:rPr>
          <w:t>https://www.presidencia.gov.co/prensa/Paginas/Servicio-Social-para-la-Paz-comenzo-con-432-jovenes-trabajando-en-entidades-250606.aspx</w:t>
        </w:r>
      </w:hyperlink>
      <w:r>
        <w:rPr>
          <w:rFonts w:ascii="Arial Narrow" w:eastAsia="Arial Narrow" w:hAnsi="Arial Narrow" w:cs="Arial Narrow"/>
          <w:sz w:val="20"/>
          <w:szCs w:val="20"/>
        </w:rPr>
        <w:t xml:space="preserve"> </w:t>
      </w:r>
    </w:p>
  </w:footnote>
  <w:footnote w:id="19">
    <w:p w14:paraId="42DD9199" w14:textId="77777777" w:rsidR="00C513F2" w:rsidRDefault="00112522">
      <w:pPr>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Corte Constitucional. Sentencia C-379 de 2016. </w:t>
      </w:r>
    </w:p>
  </w:footnote>
  <w:footnote w:id="20">
    <w:p w14:paraId="4927686F" w14:textId="77777777" w:rsidR="00C513F2" w:rsidRDefault="00112522">
      <w:pPr>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Corte Constitucional. Sentencia C-069 de 2020.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37984" w14:textId="77777777" w:rsidR="00C513F2" w:rsidRDefault="00112522">
    <w:pPr>
      <w:pBdr>
        <w:top w:val="nil"/>
        <w:left w:val="nil"/>
        <w:bottom w:val="nil"/>
        <w:right w:val="nil"/>
        <w:between w:val="nil"/>
      </w:pBdr>
      <w:tabs>
        <w:tab w:val="center" w:pos="4419"/>
        <w:tab w:val="right" w:pos="8838"/>
        <w:tab w:val="left" w:pos="1510"/>
      </w:tabs>
      <w:rPr>
        <w:color w:val="000000"/>
      </w:rPr>
    </w:pPr>
    <w:r>
      <w:rPr>
        <w:color w:val="000000"/>
      </w:rPr>
      <w:tab/>
    </w:r>
    <w:r>
      <w:rPr>
        <w:noProof/>
      </w:rPr>
      <w:drawing>
        <wp:anchor distT="0" distB="0" distL="114300" distR="114300" simplePos="0" relativeHeight="251658240" behindDoc="0" locked="0" layoutInCell="1" hidden="0" allowOverlap="1" wp14:anchorId="00D234D6" wp14:editId="1B3C4A04">
          <wp:simplePos x="0" y="0"/>
          <wp:positionH relativeFrom="column">
            <wp:posOffset>1266987</wp:posOffset>
          </wp:positionH>
          <wp:positionV relativeFrom="paragraph">
            <wp:posOffset>-219074</wp:posOffset>
          </wp:positionV>
          <wp:extent cx="2412386" cy="10287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9020"/>
                  <a:stretch>
                    <a:fillRect/>
                  </a:stretch>
                </pic:blipFill>
                <pic:spPr>
                  <a:xfrm>
                    <a:off x="0" y="0"/>
                    <a:ext cx="2412386"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04D3C"/>
    <w:multiLevelType w:val="multilevel"/>
    <w:tmpl w:val="8A3A5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DE5778"/>
    <w:multiLevelType w:val="multilevel"/>
    <w:tmpl w:val="BA3AF8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E321E8A"/>
    <w:multiLevelType w:val="multilevel"/>
    <w:tmpl w:val="86363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AD43A7"/>
    <w:multiLevelType w:val="multilevel"/>
    <w:tmpl w:val="1E0C3B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3DC630A"/>
    <w:multiLevelType w:val="multilevel"/>
    <w:tmpl w:val="9BBCF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3F47D4E"/>
    <w:multiLevelType w:val="multilevel"/>
    <w:tmpl w:val="C0DAF77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B09216F"/>
    <w:multiLevelType w:val="multilevel"/>
    <w:tmpl w:val="922C3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24616B"/>
    <w:multiLevelType w:val="multilevel"/>
    <w:tmpl w:val="41AEF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AB90884"/>
    <w:multiLevelType w:val="multilevel"/>
    <w:tmpl w:val="9BBE3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13D0C06"/>
    <w:multiLevelType w:val="multilevel"/>
    <w:tmpl w:val="0DBC5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50E628B"/>
    <w:multiLevelType w:val="multilevel"/>
    <w:tmpl w:val="665C6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6462D2F"/>
    <w:multiLevelType w:val="multilevel"/>
    <w:tmpl w:val="57060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8563DD0"/>
    <w:multiLevelType w:val="multilevel"/>
    <w:tmpl w:val="2CC4B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6"/>
  </w:num>
  <w:num w:numId="3">
    <w:abstractNumId w:val="12"/>
  </w:num>
  <w:num w:numId="4">
    <w:abstractNumId w:val="3"/>
  </w:num>
  <w:num w:numId="5">
    <w:abstractNumId w:val="9"/>
  </w:num>
  <w:num w:numId="6">
    <w:abstractNumId w:val="5"/>
  </w:num>
  <w:num w:numId="7">
    <w:abstractNumId w:val="10"/>
  </w:num>
  <w:num w:numId="8">
    <w:abstractNumId w:val="0"/>
  </w:num>
  <w:num w:numId="9">
    <w:abstractNumId w:val="8"/>
  </w:num>
  <w:num w:numId="10">
    <w:abstractNumId w:val="4"/>
  </w:num>
  <w:num w:numId="11">
    <w:abstractNumId w:val="2"/>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3F2"/>
    <w:rsid w:val="00112522"/>
    <w:rsid w:val="00405D2F"/>
    <w:rsid w:val="0049407A"/>
    <w:rsid w:val="0092455D"/>
    <w:rsid w:val="00C513F2"/>
    <w:rsid w:val="00C701DB"/>
    <w:rsid w:val="00DE527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8C145"/>
  <w15:docId w15:val="{F31309C0-3434-4EEB-8894-074B29A52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Encabezado">
    <w:name w:val="header"/>
    <w:basedOn w:val="Normal"/>
    <w:link w:val="EncabezadoCar"/>
    <w:uiPriority w:val="99"/>
    <w:unhideWhenUsed/>
    <w:rsid w:val="00405D2F"/>
    <w:pPr>
      <w:tabs>
        <w:tab w:val="center" w:pos="4419"/>
        <w:tab w:val="right" w:pos="8838"/>
      </w:tabs>
    </w:pPr>
  </w:style>
  <w:style w:type="character" w:customStyle="1" w:styleId="EncabezadoCar">
    <w:name w:val="Encabezado Car"/>
    <w:basedOn w:val="Fuentedeprrafopredeter"/>
    <w:link w:val="Encabezado"/>
    <w:uiPriority w:val="99"/>
    <w:rsid w:val="00405D2F"/>
  </w:style>
  <w:style w:type="paragraph" w:styleId="Piedepgina">
    <w:name w:val="footer"/>
    <w:basedOn w:val="Normal"/>
    <w:link w:val="PiedepginaCar"/>
    <w:uiPriority w:val="99"/>
    <w:unhideWhenUsed/>
    <w:rsid w:val="00405D2F"/>
    <w:pPr>
      <w:tabs>
        <w:tab w:val="center" w:pos="4419"/>
        <w:tab w:val="right" w:pos="8838"/>
      </w:tabs>
    </w:pPr>
  </w:style>
  <w:style w:type="character" w:customStyle="1" w:styleId="PiedepginaCar">
    <w:name w:val="Pie de página Car"/>
    <w:basedOn w:val="Fuentedeprrafopredeter"/>
    <w:link w:val="Piedepgina"/>
    <w:uiPriority w:val="99"/>
    <w:rsid w:val="00405D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presidencia.gov.co/prensa/Paginas/Servicio-Social-para-la-Paz-comenzo-con-432-jovenes-trabajando-en-entidades-250606.aspx" TargetMode="External"/><Relationship Id="rId2" Type="http://schemas.openxmlformats.org/officeDocument/2006/relationships/hyperlink" Target="https://www.lasillavacia.com/red-de-expertos/red-social/servicio-social-para-la-paz-fue-otro-globo-para-la-juventud-y-la-seguridad/" TargetMode="External"/><Relationship Id="rId1" Type="http://schemas.openxmlformats.org/officeDocument/2006/relationships/hyperlink" Target="https://www.pares.com.co/la-paz-como-vam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2DFaXS2tvidur3J3woiI2cXh4g==">CgMxLjAyCWguM3pueXNoNzgAciExQThVbUlZc1RSSUJyaEhkREwyUTZOaUNZcFNTOTYxMG0=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23</Pages>
  <Words>8228</Words>
  <Characters>45254</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 Carolina Vargas Laverde UTL</cp:lastModifiedBy>
  <cp:revision>4</cp:revision>
  <cp:lastPrinted>2026-05-12T20:43:00Z</cp:lastPrinted>
  <dcterms:created xsi:type="dcterms:W3CDTF">2026-05-12T16:00:00Z</dcterms:created>
  <dcterms:modified xsi:type="dcterms:W3CDTF">2026-05-12T20:52:00Z</dcterms:modified>
</cp:coreProperties>
</file>