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E7F9" w14:textId="758F6125" w:rsidR="00373188" w:rsidRPr="00F87FAD" w:rsidRDefault="003C2869">
      <w:pPr>
        <w:jc w:val="both"/>
        <w:rPr>
          <w:rFonts w:ascii="Work Sans" w:eastAsia="Work Sans" w:hAnsi="Work Sans" w:cs="Work Sans"/>
          <w:b/>
        </w:rPr>
      </w:pPr>
      <w:r w:rsidRPr="00F87FAD">
        <w:rPr>
          <w:rFonts w:ascii="Work Sans" w:eastAsia="Work Sans" w:hAnsi="Work Sans" w:cs="Work Sans"/>
          <w:b/>
        </w:rPr>
        <w:t xml:space="preserve">Bogotá D.C. </w:t>
      </w:r>
      <w:proofErr w:type="gramStart"/>
      <w:r w:rsidR="003358AA" w:rsidRPr="00F87FAD">
        <w:rPr>
          <w:rFonts w:ascii="Work Sans" w:eastAsia="Work Sans" w:hAnsi="Work Sans" w:cs="Work Sans"/>
          <w:b/>
        </w:rPr>
        <w:t>Abril</w:t>
      </w:r>
      <w:proofErr w:type="gramEnd"/>
      <w:r w:rsidRPr="00F87FAD">
        <w:rPr>
          <w:rFonts w:ascii="Work Sans" w:eastAsia="Work Sans" w:hAnsi="Work Sans" w:cs="Work Sans"/>
          <w:b/>
        </w:rPr>
        <w:t xml:space="preserve"> de 202</w:t>
      </w:r>
      <w:r w:rsidR="003358AA" w:rsidRPr="00F87FAD">
        <w:rPr>
          <w:rFonts w:ascii="Work Sans" w:eastAsia="Work Sans" w:hAnsi="Work Sans" w:cs="Work Sans"/>
          <w:b/>
        </w:rPr>
        <w:t>6</w:t>
      </w:r>
    </w:p>
    <w:p w14:paraId="47AD1200" w14:textId="77777777" w:rsidR="00373188" w:rsidRPr="00F87FAD" w:rsidRDefault="00373188">
      <w:pPr>
        <w:jc w:val="both"/>
        <w:rPr>
          <w:rFonts w:ascii="Work Sans" w:eastAsia="Work Sans" w:hAnsi="Work Sans" w:cs="Work Sans"/>
          <w:b/>
        </w:rPr>
      </w:pPr>
    </w:p>
    <w:p w14:paraId="55985BF8" w14:textId="77777777" w:rsidR="00373188" w:rsidRPr="00F87FAD" w:rsidRDefault="00373188">
      <w:pPr>
        <w:jc w:val="both"/>
        <w:rPr>
          <w:rFonts w:ascii="Work Sans" w:eastAsia="Work Sans" w:hAnsi="Work Sans" w:cs="Work Sans"/>
          <w:b/>
        </w:rPr>
      </w:pPr>
    </w:p>
    <w:p w14:paraId="510D2E5B" w14:textId="77777777" w:rsidR="00373188" w:rsidRPr="00F87FAD" w:rsidRDefault="00373188">
      <w:pPr>
        <w:jc w:val="both"/>
        <w:rPr>
          <w:rFonts w:ascii="Work Sans" w:eastAsia="Work Sans" w:hAnsi="Work Sans" w:cs="Work Sans"/>
        </w:rPr>
      </w:pPr>
    </w:p>
    <w:p w14:paraId="546E008D" w14:textId="77777777" w:rsidR="00B37A7F" w:rsidRPr="00F87FAD" w:rsidRDefault="00934686" w:rsidP="00934686">
      <w:pPr>
        <w:jc w:val="both"/>
        <w:rPr>
          <w:rFonts w:ascii="Work Sans" w:eastAsia="Work Sans" w:hAnsi="Work Sans" w:cs="Work Sans"/>
        </w:rPr>
      </w:pPr>
      <w:r w:rsidRPr="00F87FAD">
        <w:rPr>
          <w:rFonts w:ascii="Work Sans" w:eastAsia="Work Sans" w:hAnsi="Work Sans" w:cs="Work Sans"/>
        </w:rPr>
        <w:t>Honorable Representante</w:t>
      </w:r>
    </w:p>
    <w:p w14:paraId="08BACE4E" w14:textId="329D37AF" w:rsidR="00934686" w:rsidRPr="00F87FAD" w:rsidRDefault="00934686" w:rsidP="00934686">
      <w:pPr>
        <w:jc w:val="both"/>
        <w:rPr>
          <w:rFonts w:ascii="Work Sans" w:eastAsia="Work Sans" w:hAnsi="Work Sans" w:cs="Work Sans"/>
        </w:rPr>
      </w:pPr>
      <w:r w:rsidRPr="00F87FAD">
        <w:rPr>
          <w:rFonts w:ascii="Work Sans" w:eastAsia="Work Sans" w:hAnsi="Work Sans" w:cs="Work Sans"/>
          <w:b/>
          <w:bCs/>
        </w:rPr>
        <w:t>ORLANDO CASTILLO ADVÍNCULA</w:t>
      </w:r>
    </w:p>
    <w:p w14:paraId="018945CE"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Vicepresidente</w:t>
      </w:r>
    </w:p>
    <w:p w14:paraId="0A479D8C"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Comisión Primera Constitucional Permanente </w:t>
      </w:r>
    </w:p>
    <w:p w14:paraId="7873AFB1"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Cámara de Representantes</w:t>
      </w:r>
    </w:p>
    <w:p w14:paraId="0928089C"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Bogotá D.C.</w:t>
      </w:r>
    </w:p>
    <w:p w14:paraId="13762053" w14:textId="77777777" w:rsidR="00373188" w:rsidRPr="00F87FAD" w:rsidRDefault="00373188">
      <w:pPr>
        <w:jc w:val="both"/>
        <w:rPr>
          <w:rFonts w:ascii="Work Sans" w:eastAsia="Work Sans" w:hAnsi="Work Sans" w:cs="Work Sans"/>
        </w:rPr>
      </w:pPr>
    </w:p>
    <w:p w14:paraId="35C2C68D" w14:textId="77777777" w:rsidR="00373188" w:rsidRPr="00F87FAD" w:rsidRDefault="00373188">
      <w:pPr>
        <w:jc w:val="both"/>
        <w:rPr>
          <w:rFonts w:ascii="Work Sans" w:eastAsia="Work Sans" w:hAnsi="Work Sans" w:cs="Work Sans"/>
        </w:rPr>
      </w:pPr>
    </w:p>
    <w:p w14:paraId="1C799ED7" w14:textId="6301B232" w:rsidR="003358AA" w:rsidRPr="00F87FAD" w:rsidRDefault="003C2869" w:rsidP="00F87FAD">
      <w:pPr>
        <w:ind w:left="2160"/>
        <w:jc w:val="both"/>
        <w:rPr>
          <w:rFonts w:ascii="Work Sans" w:eastAsia="Work Sans" w:hAnsi="Work Sans" w:cs="Work Sans"/>
        </w:rPr>
      </w:pPr>
      <w:r w:rsidRPr="00F87FAD">
        <w:rPr>
          <w:rFonts w:ascii="Work Sans" w:eastAsia="Work Sans" w:hAnsi="Work Sans" w:cs="Work Sans"/>
          <w:b/>
        </w:rPr>
        <w:t>Referencia:</w:t>
      </w:r>
      <w:r w:rsidR="00EC08C0" w:rsidRPr="00F87FAD">
        <w:rPr>
          <w:rFonts w:ascii="Work Sans" w:eastAsia="Work Sans" w:hAnsi="Work Sans" w:cs="Work Sans"/>
          <w:b/>
        </w:rPr>
        <w:t xml:space="preserve">   </w:t>
      </w:r>
      <w:r w:rsidR="00934686" w:rsidRPr="00F87FAD">
        <w:rPr>
          <w:rFonts w:ascii="Work Sans" w:eastAsia="Work Sans" w:hAnsi="Work Sans" w:cs="Work Sans"/>
        </w:rPr>
        <w:t xml:space="preserve">Informe de </w:t>
      </w:r>
      <w:r w:rsidR="003358AA" w:rsidRPr="00F87FAD">
        <w:rPr>
          <w:rFonts w:ascii="Work Sans" w:eastAsia="Work Sans" w:hAnsi="Work Sans" w:cs="Work Sans"/>
        </w:rPr>
        <w:t xml:space="preserve">Ponencia para primer debate </w:t>
      </w:r>
      <w:r w:rsidR="00F87FAD" w:rsidRPr="00F87FAD">
        <w:rPr>
          <w:rFonts w:ascii="Work Sans" w:eastAsia="Work Sans" w:hAnsi="Work Sans" w:cs="Work Sans"/>
        </w:rPr>
        <w:t xml:space="preserve">del Proyecto de </w:t>
      </w:r>
      <w:r w:rsidR="003358AA" w:rsidRPr="00F87FAD">
        <w:rPr>
          <w:rFonts w:ascii="Work Sans" w:eastAsia="Work Sans" w:hAnsi="Work Sans" w:cs="Work Sans"/>
        </w:rPr>
        <w:t xml:space="preserve">Ley No. </w:t>
      </w:r>
      <w:r w:rsidR="00132850" w:rsidRPr="00F87FAD">
        <w:rPr>
          <w:rFonts w:ascii="Work Sans" w:eastAsia="Work Sans" w:hAnsi="Work Sans" w:cs="Work Sans"/>
        </w:rPr>
        <w:t>521</w:t>
      </w:r>
      <w:r w:rsidR="003358AA" w:rsidRPr="00F87FAD">
        <w:rPr>
          <w:rFonts w:ascii="Work Sans" w:eastAsia="Work Sans" w:hAnsi="Work Sans" w:cs="Work Sans"/>
        </w:rPr>
        <w:t>/2026C - 114/2024S “P</w:t>
      </w:r>
      <w:r w:rsidR="003358AA" w:rsidRPr="00F87FAD">
        <w:rPr>
          <w:rFonts w:ascii="Work Sans" w:eastAsia="Work Sans" w:hAnsi="Work Sans" w:cs="Work Sans"/>
          <w:i/>
          <w:iCs/>
        </w:rPr>
        <w:t xml:space="preserve">or medio de la cual se reconoce el carácter de factor salarial a la bonificación judicial de los servidores públicos de la </w:t>
      </w:r>
      <w:proofErr w:type="gramStart"/>
      <w:r w:rsidR="003358AA" w:rsidRPr="00F87FAD">
        <w:rPr>
          <w:rFonts w:ascii="Work Sans" w:eastAsia="Work Sans" w:hAnsi="Work Sans" w:cs="Work Sans"/>
          <w:i/>
          <w:iCs/>
        </w:rPr>
        <w:t>Fiscalía General</w:t>
      </w:r>
      <w:proofErr w:type="gramEnd"/>
      <w:r w:rsidR="003358AA" w:rsidRPr="00F87FAD">
        <w:rPr>
          <w:rFonts w:ascii="Work Sans" w:eastAsia="Work Sans" w:hAnsi="Work Sans" w:cs="Work Sans"/>
          <w:i/>
          <w:iCs/>
        </w:rPr>
        <w:t xml:space="preserve"> de la Nación, la Rama Judicial y la Justicia Penal Militar, la Dirección Ejecutiva de Administración Judicial y las Direcciones Seccionales de la Rama Judicial</w:t>
      </w:r>
      <w:r w:rsidR="003358AA" w:rsidRPr="00F87FAD">
        <w:rPr>
          <w:rFonts w:ascii="Work Sans" w:eastAsia="Work Sans" w:hAnsi="Work Sans" w:cs="Work Sans"/>
        </w:rPr>
        <w:t>”.</w:t>
      </w:r>
    </w:p>
    <w:p w14:paraId="00CF6CDC" w14:textId="77777777" w:rsidR="003358AA" w:rsidRPr="00F87FAD" w:rsidRDefault="003358AA" w:rsidP="003358AA">
      <w:pPr>
        <w:ind w:left="708"/>
        <w:jc w:val="both"/>
        <w:rPr>
          <w:rFonts w:ascii="Work Sans" w:eastAsia="Work Sans" w:hAnsi="Work Sans" w:cs="Work Sans"/>
        </w:rPr>
      </w:pPr>
      <w:r w:rsidRPr="00F87FAD">
        <w:rPr>
          <w:rFonts w:ascii="Work Sans" w:eastAsia="Work Sans" w:hAnsi="Work Sans" w:cs="Work Sans"/>
        </w:rPr>
        <w:tab/>
      </w:r>
    </w:p>
    <w:p w14:paraId="402C9B88" w14:textId="77777777" w:rsidR="00373188" w:rsidRPr="00F87FAD" w:rsidRDefault="003C2869">
      <w:pPr>
        <w:jc w:val="both"/>
        <w:rPr>
          <w:rFonts w:ascii="Work Sans" w:eastAsia="Work Sans" w:hAnsi="Work Sans" w:cs="Work Sans"/>
        </w:rPr>
      </w:pPr>
      <w:r w:rsidRPr="00F87FAD">
        <w:rPr>
          <w:rFonts w:ascii="Work Sans" w:eastAsia="Work Sans" w:hAnsi="Work Sans" w:cs="Work Sans"/>
        </w:rPr>
        <w:t xml:space="preserve">Respetado </w:t>
      </w:r>
      <w:proofErr w:type="gramStart"/>
      <w:r w:rsidRPr="00F87FAD">
        <w:rPr>
          <w:rFonts w:ascii="Work Sans" w:eastAsia="Work Sans" w:hAnsi="Work Sans" w:cs="Work Sans"/>
        </w:rPr>
        <w:t>Secretario</w:t>
      </w:r>
      <w:proofErr w:type="gramEnd"/>
      <w:r w:rsidRPr="00F87FAD">
        <w:rPr>
          <w:rFonts w:ascii="Work Sans" w:eastAsia="Work Sans" w:hAnsi="Work Sans" w:cs="Work Sans"/>
        </w:rPr>
        <w:t>,</w:t>
      </w:r>
    </w:p>
    <w:p w14:paraId="0A577E69" w14:textId="77777777" w:rsidR="00373188" w:rsidRPr="00F87FAD" w:rsidRDefault="00373188">
      <w:pPr>
        <w:jc w:val="both"/>
        <w:rPr>
          <w:rFonts w:ascii="Work Sans" w:eastAsia="Work Sans" w:hAnsi="Work Sans" w:cs="Work Sans"/>
        </w:rPr>
      </w:pPr>
    </w:p>
    <w:p w14:paraId="599938FE" w14:textId="77777777" w:rsidR="00373188" w:rsidRPr="00F87FAD" w:rsidRDefault="00373188">
      <w:pPr>
        <w:jc w:val="both"/>
        <w:rPr>
          <w:rFonts w:ascii="Work Sans" w:eastAsia="Work Sans" w:hAnsi="Work Sans" w:cs="Work Sans"/>
        </w:rPr>
      </w:pPr>
    </w:p>
    <w:p w14:paraId="5842C122" w14:textId="40507FC0" w:rsidR="003358AA" w:rsidRPr="00F87FAD" w:rsidRDefault="003358AA" w:rsidP="003358AA">
      <w:pPr>
        <w:jc w:val="both"/>
        <w:rPr>
          <w:rFonts w:ascii="Work Sans" w:eastAsia="Work Sans" w:hAnsi="Work Sans" w:cs="Work Sans"/>
        </w:rPr>
      </w:pPr>
      <w:r w:rsidRPr="00F87FAD">
        <w:rPr>
          <w:rFonts w:ascii="Work Sans" w:eastAsia="Work Sans" w:hAnsi="Work Sans" w:cs="Work Sans"/>
        </w:rPr>
        <w:t xml:space="preserve">En cumplimiento del encargo hecho por la Honorable Mesa Directiva de la Comisión Primera Constitucional de la Cámara de Representantes del Congreso de la República y de conformidad con lo establecido en el artículo 156 de la Ley 5ª de 1992, por medio del presente escrito me permito rendir Informe de </w:t>
      </w:r>
      <w:r w:rsidRPr="00F87FAD">
        <w:rPr>
          <w:rFonts w:ascii="Work Sans" w:eastAsia="Work Sans" w:hAnsi="Work Sans" w:cs="Work Sans"/>
          <w:b/>
          <w:bCs/>
        </w:rPr>
        <w:t xml:space="preserve">Ponencia Positiva </w:t>
      </w:r>
      <w:r w:rsidRPr="00F87FAD">
        <w:rPr>
          <w:rFonts w:ascii="Work Sans" w:eastAsia="Work Sans" w:hAnsi="Work Sans" w:cs="Work Sans"/>
        </w:rPr>
        <w:t>para primer debate en</w:t>
      </w:r>
      <w:r w:rsidR="00583119">
        <w:rPr>
          <w:rFonts w:ascii="Work Sans" w:eastAsia="Work Sans" w:hAnsi="Work Sans" w:cs="Work Sans"/>
        </w:rPr>
        <w:t xml:space="preserve"> la Comisión Primera de la </w:t>
      </w:r>
      <w:r w:rsidRPr="00F87FAD">
        <w:rPr>
          <w:rFonts w:ascii="Work Sans" w:eastAsia="Work Sans" w:hAnsi="Work Sans" w:cs="Work Sans"/>
        </w:rPr>
        <w:t xml:space="preserve">Cámara de Representantes al Proyecto de Ley No. 521 de 2026 Cámara - 114 de 2024 Senado, </w:t>
      </w:r>
      <w:r w:rsidRPr="00F87FAD">
        <w:rPr>
          <w:rFonts w:ascii="Work Sans" w:eastAsia="Work Sans" w:hAnsi="Work Sans" w:cs="Work Sans"/>
          <w:b/>
          <w:bCs/>
        </w:rPr>
        <w:t>“P</w:t>
      </w:r>
      <w:r w:rsidRPr="00F87FAD">
        <w:rPr>
          <w:rFonts w:ascii="Work Sans" w:eastAsia="Work Sans" w:hAnsi="Work Sans" w:cs="Work Sans"/>
          <w:b/>
          <w:bCs/>
          <w:i/>
          <w:iCs/>
        </w:rPr>
        <w:t>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r w:rsidRPr="00F87FAD">
        <w:rPr>
          <w:rFonts w:ascii="Work Sans" w:eastAsia="Work Sans" w:hAnsi="Work Sans" w:cs="Work Sans"/>
          <w:b/>
          <w:bCs/>
        </w:rPr>
        <w:t>”</w:t>
      </w:r>
      <w:r w:rsidRPr="00F87FAD">
        <w:rPr>
          <w:rFonts w:ascii="Work Sans" w:eastAsia="Work Sans" w:hAnsi="Work Sans" w:cs="Work Sans"/>
        </w:rPr>
        <w:t>.</w:t>
      </w:r>
    </w:p>
    <w:p w14:paraId="4AB7A6CB" w14:textId="77777777" w:rsidR="00373188" w:rsidRPr="00F87FAD" w:rsidRDefault="00373188">
      <w:pPr>
        <w:jc w:val="both"/>
        <w:rPr>
          <w:rFonts w:ascii="Work Sans" w:eastAsia="Work Sans" w:hAnsi="Work Sans" w:cs="Work Sans"/>
        </w:rPr>
      </w:pPr>
    </w:p>
    <w:p w14:paraId="126A322F" w14:textId="77777777" w:rsidR="00DD49B2" w:rsidRPr="00F87FAD" w:rsidRDefault="00DD49B2">
      <w:pPr>
        <w:jc w:val="both"/>
        <w:rPr>
          <w:rFonts w:ascii="Work Sans" w:eastAsia="Work Sans" w:hAnsi="Work Sans" w:cs="Work Sans"/>
        </w:rPr>
      </w:pPr>
    </w:p>
    <w:p w14:paraId="0DCF6CBB" w14:textId="7061F387" w:rsidR="00DD49B2" w:rsidRPr="00F87FAD" w:rsidRDefault="00DD49B2">
      <w:pPr>
        <w:jc w:val="both"/>
        <w:rPr>
          <w:rFonts w:ascii="Work Sans" w:eastAsia="Work Sans" w:hAnsi="Work Sans" w:cs="Work Sans"/>
        </w:rPr>
      </w:pPr>
    </w:p>
    <w:p w14:paraId="40923B8B" w14:textId="77777777" w:rsidR="00DD49B2" w:rsidRPr="00F87FAD" w:rsidRDefault="00DD49B2" w:rsidP="00965E57">
      <w:pPr>
        <w:rPr>
          <w:rFonts w:ascii="Work Sans" w:eastAsia="Work Sans" w:hAnsi="Work Sans" w:cs="Work Sans"/>
          <w:b/>
        </w:rPr>
      </w:pPr>
    </w:p>
    <w:p w14:paraId="45031924" w14:textId="77777777" w:rsidR="00DD49B2" w:rsidRPr="00F87FAD" w:rsidRDefault="00DD49B2" w:rsidP="00DD49B2">
      <w:pPr>
        <w:jc w:val="center"/>
        <w:rPr>
          <w:rFonts w:ascii="Work Sans" w:eastAsia="Work Sans" w:hAnsi="Work Sans" w:cs="Work Sans"/>
          <w:b/>
        </w:rPr>
      </w:pPr>
    </w:p>
    <w:p w14:paraId="22E84529" w14:textId="03E307D5" w:rsidR="00DD49B2" w:rsidRPr="00F87FAD" w:rsidRDefault="00DD49B2" w:rsidP="00DD49B2">
      <w:pPr>
        <w:jc w:val="center"/>
        <w:rPr>
          <w:rFonts w:ascii="Work Sans" w:eastAsia="Work Sans" w:hAnsi="Work Sans" w:cs="Work Sans"/>
          <w:b/>
        </w:rPr>
      </w:pPr>
    </w:p>
    <w:p w14:paraId="43B1E985" w14:textId="115F2644" w:rsidR="00DD49B2" w:rsidRPr="00F87FAD" w:rsidRDefault="00DD49B2" w:rsidP="00DD49B2">
      <w:pPr>
        <w:jc w:val="center"/>
        <w:rPr>
          <w:rFonts w:ascii="Work Sans" w:eastAsia="Work Sans" w:hAnsi="Work Sans" w:cs="Work Sans"/>
          <w:b/>
        </w:rPr>
      </w:pPr>
      <w:r w:rsidRPr="00F87FAD">
        <w:rPr>
          <w:rFonts w:ascii="Work Sans" w:eastAsia="Work Sans" w:hAnsi="Work Sans" w:cs="Work Sans"/>
          <w:b/>
        </w:rPr>
        <w:t xml:space="preserve">GABRIEL BECERRA </w:t>
      </w:r>
      <w:r w:rsidR="00263F4A" w:rsidRPr="00F87FAD">
        <w:rPr>
          <w:rFonts w:ascii="Work Sans" w:eastAsia="Work Sans" w:hAnsi="Work Sans" w:cs="Work Sans"/>
          <w:b/>
        </w:rPr>
        <w:t>YÁÑEZ</w:t>
      </w:r>
    </w:p>
    <w:p w14:paraId="1B5872ED" w14:textId="77777777" w:rsidR="00DD49B2" w:rsidRPr="00F87FAD" w:rsidRDefault="00DD49B2" w:rsidP="00DD49B2">
      <w:pPr>
        <w:jc w:val="center"/>
        <w:rPr>
          <w:rFonts w:ascii="Work Sans" w:eastAsia="Work Sans" w:hAnsi="Work Sans" w:cs="Work Sans"/>
        </w:rPr>
      </w:pPr>
      <w:r w:rsidRPr="00F87FAD">
        <w:rPr>
          <w:rFonts w:ascii="Work Sans" w:eastAsia="Work Sans" w:hAnsi="Work Sans" w:cs="Work Sans"/>
        </w:rPr>
        <w:t>Representante a la Cámara por Bogotá</w:t>
      </w:r>
    </w:p>
    <w:p w14:paraId="7D52EBCB" w14:textId="6EFF470E" w:rsidR="003358AA" w:rsidRPr="00F87FAD" w:rsidRDefault="003358AA" w:rsidP="00DD49B2">
      <w:pPr>
        <w:jc w:val="center"/>
        <w:rPr>
          <w:rFonts w:ascii="Work Sans" w:eastAsia="Work Sans" w:hAnsi="Work Sans" w:cs="Work Sans"/>
        </w:rPr>
      </w:pPr>
      <w:r w:rsidRPr="00F87FAD">
        <w:rPr>
          <w:rFonts w:ascii="Work Sans" w:eastAsia="Work Sans" w:hAnsi="Work Sans" w:cs="Work Sans"/>
        </w:rPr>
        <w:t>Ponente Coordinador</w:t>
      </w:r>
    </w:p>
    <w:p w14:paraId="10E1C6BF" w14:textId="0381D5F3" w:rsidR="00DD49B2" w:rsidRPr="00F87FAD" w:rsidRDefault="00DD49B2" w:rsidP="003358AA">
      <w:pPr>
        <w:ind w:left="2880" w:firstLine="720"/>
        <w:jc w:val="both"/>
        <w:rPr>
          <w:rFonts w:ascii="Work Sans" w:eastAsia="Work Sans" w:hAnsi="Work Sans" w:cs="Work Sans"/>
        </w:rPr>
      </w:pPr>
      <w:r w:rsidRPr="00F87FAD">
        <w:rPr>
          <w:rFonts w:ascii="Work Sans" w:eastAsia="Work Sans" w:hAnsi="Work Sans" w:cs="Work Sans"/>
        </w:rPr>
        <w:t>Pacto Histórico- Unión Patriótica</w:t>
      </w:r>
    </w:p>
    <w:p w14:paraId="669ED688" w14:textId="77777777" w:rsidR="00F87FAD" w:rsidRDefault="00F87FAD" w:rsidP="00934686">
      <w:pPr>
        <w:jc w:val="center"/>
        <w:rPr>
          <w:rFonts w:ascii="Work Sans" w:eastAsia="Work Sans" w:hAnsi="Work Sans" w:cs="Work Sans"/>
          <w:b/>
          <w:bCs/>
        </w:rPr>
      </w:pPr>
    </w:p>
    <w:p w14:paraId="66792DBA" w14:textId="77777777" w:rsidR="00F87FAD" w:rsidRDefault="00F87FAD" w:rsidP="00934686">
      <w:pPr>
        <w:jc w:val="center"/>
        <w:rPr>
          <w:rFonts w:ascii="Work Sans" w:eastAsia="Work Sans" w:hAnsi="Work Sans" w:cs="Work Sans"/>
          <w:b/>
          <w:bCs/>
        </w:rPr>
      </w:pPr>
    </w:p>
    <w:p w14:paraId="077DE0FC" w14:textId="77777777" w:rsidR="00F87FAD" w:rsidRDefault="00F87FAD" w:rsidP="00934686">
      <w:pPr>
        <w:jc w:val="center"/>
        <w:rPr>
          <w:rFonts w:ascii="Work Sans" w:eastAsia="Work Sans" w:hAnsi="Work Sans" w:cs="Work Sans"/>
          <w:b/>
          <w:bCs/>
        </w:rPr>
      </w:pPr>
    </w:p>
    <w:p w14:paraId="6CCB759F" w14:textId="77777777" w:rsidR="00F87FAD" w:rsidRDefault="00F87FAD" w:rsidP="00934686">
      <w:pPr>
        <w:jc w:val="center"/>
        <w:rPr>
          <w:rFonts w:ascii="Work Sans" w:eastAsia="Work Sans" w:hAnsi="Work Sans" w:cs="Work Sans"/>
          <w:b/>
          <w:bCs/>
        </w:rPr>
      </w:pPr>
    </w:p>
    <w:p w14:paraId="595B038B" w14:textId="77777777" w:rsidR="00F87FAD" w:rsidRDefault="00F87FAD" w:rsidP="00934686">
      <w:pPr>
        <w:jc w:val="center"/>
        <w:rPr>
          <w:rFonts w:ascii="Work Sans" w:eastAsia="Work Sans" w:hAnsi="Work Sans" w:cs="Work Sans"/>
          <w:b/>
          <w:bCs/>
        </w:rPr>
      </w:pPr>
    </w:p>
    <w:p w14:paraId="10937ADA" w14:textId="77777777" w:rsidR="00F87FAD" w:rsidRDefault="00F87FAD" w:rsidP="00934686">
      <w:pPr>
        <w:jc w:val="center"/>
        <w:rPr>
          <w:rFonts w:ascii="Work Sans" w:eastAsia="Work Sans" w:hAnsi="Work Sans" w:cs="Work Sans"/>
          <w:b/>
          <w:bCs/>
        </w:rPr>
      </w:pPr>
    </w:p>
    <w:p w14:paraId="22B199CE" w14:textId="77777777" w:rsidR="00F87FAD" w:rsidRDefault="00F87FAD" w:rsidP="00934686">
      <w:pPr>
        <w:jc w:val="center"/>
        <w:rPr>
          <w:rFonts w:ascii="Work Sans" w:eastAsia="Work Sans" w:hAnsi="Work Sans" w:cs="Work Sans"/>
          <w:b/>
          <w:bCs/>
        </w:rPr>
      </w:pPr>
    </w:p>
    <w:p w14:paraId="745DD577" w14:textId="77777777" w:rsidR="00F87FAD" w:rsidRDefault="00F87FAD" w:rsidP="00934686">
      <w:pPr>
        <w:jc w:val="center"/>
        <w:rPr>
          <w:rFonts w:ascii="Work Sans" w:eastAsia="Work Sans" w:hAnsi="Work Sans" w:cs="Work Sans"/>
          <w:b/>
          <w:bCs/>
        </w:rPr>
      </w:pPr>
    </w:p>
    <w:p w14:paraId="14A8D702" w14:textId="77777777" w:rsidR="00F87FAD" w:rsidRDefault="00F87FAD" w:rsidP="00934686">
      <w:pPr>
        <w:jc w:val="center"/>
        <w:rPr>
          <w:rFonts w:ascii="Work Sans" w:eastAsia="Work Sans" w:hAnsi="Work Sans" w:cs="Work Sans"/>
          <w:b/>
          <w:bCs/>
        </w:rPr>
      </w:pPr>
    </w:p>
    <w:p w14:paraId="24E88DC3" w14:textId="77777777" w:rsidR="00F87FAD" w:rsidRDefault="00F87FAD" w:rsidP="00934686">
      <w:pPr>
        <w:jc w:val="center"/>
        <w:rPr>
          <w:rFonts w:ascii="Work Sans" w:eastAsia="Work Sans" w:hAnsi="Work Sans" w:cs="Work Sans"/>
          <w:b/>
          <w:bCs/>
        </w:rPr>
      </w:pPr>
    </w:p>
    <w:p w14:paraId="14BA102C" w14:textId="77777777" w:rsidR="00F87FAD" w:rsidRDefault="00F87FAD" w:rsidP="00934686">
      <w:pPr>
        <w:jc w:val="center"/>
        <w:rPr>
          <w:rFonts w:ascii="Work Sans" w:eastAsia="Work Sans" w:hAnsi="Work Sans" w:cs="Work Sans"/>
          <w:b/>
          <w:bCs/>
        </w:rPr>
      </w:pPr>
    </w:p>
    <w:p w14:paraId="6345E2BC" w14:textId="77777777" w:rsidR="00F87FAD" w:rsidRDefault="00F87FAD" w:rsidP="00934686">
      <w:pPr>
        <w:jc w:val="center"/>
        <w:rPr>
          <w:rFonts w:ascii="Work Sans" w:eastAsia="Work Sans" w:hAnsi="Work Sans" w:cs="Work Sans"/>
          <w:b/>
          <w:bCs/>
        </w:rPr>
      </w:pPr>
    </w:p>
    <w:p w14:paraId="399DF8FB" w14:textId="77777777" w:rsidR="00F87FAD" w:rsidRDefault="00F87FAD" w:rsidP="00934686">
      <w:pPr>
        <w:jc w:val="center"/>
        <w:rPr>
          <w:rFonts w:ascii="Work Sans" w:eastAsia="Work Sans" w:hAnsi="Work Sans" w:cs="Work Sans"/>
          <w:b/>
          <w:bCs/>
        </w:rPr>
      </w:pPr>
    </w:p>
    <w:p w14:paraId="5C8EE8FC" w14:textId="77777777" w:rsidR="00F87FAD" w:rsidRDefault="00F87FAD" w:rsidP="00934686">
      <w:pPr>
        <w:jc w:val="center"/>
        <w:rPr>
          <w:rFonts w:ascii="Work Sans" w:eastAsia="Work Sans" w:hAnsi="Work Sans" w:cs="Work Sans"/>
          <w:b/>
          <w:bCs/>
        </w:rPr>
      </w:pPr>
    </w:p>
    <w:p w14:paraId="45659758" w14:textId="77777777" w:rsidR="00F87FAD" w:rsidRDefault="00F87FAD" w:rsidP="00934686">
      <w:pPr>
        <w:jc w:val="center"/>
        <w:rPr>
          <w:rFonts w:ascii="Work Sans" w:eastAsia="Work Sans" w:hAnsi="Work Sans" w:cs="Work Sans"/>
          <w:b/>
          <w:bCs/>
        </w:rPr>
      </w:pPr>
    </w:p>
    <w:p w14:paraId="76B7308F" w14:textId="77777777" w:rsidR="00F87FAD" w:rsidRDefault="00F87FAD" w:rsidP="00934686">
      <w:pPr>
        <w:jc w:val="center"/>
        <w:rPr>
          <w:rFonts w:ascii="Work Sans" w:eastAsia="Work Sans" w:hAnsi="Work Sans" w:cs="Work Sans"/>
          <w:b/>
          <w:bCs/>
        </w:rPr>
      </w:pPr>
    </w:p>
    <w:p w14:paraId="5589A2CC" w14:textId="77777777" w:rsidR="00F87FAD" w:rsidRDefault="00F87FAD" w:rsidP="00934686">
      <w:pPr>
        <w:jc w:val="center"/>
        <w:rPr>
          <w:rFonts w:ascii="Work Sans" w:eastAsia="Work Sans" w:hAnsi="Work Sans" w:cs="Work Sans"/>
          <w:b/>
          <w:bCs/>
        </w:rPr>
      </w:pPr>
    </w:p>
    <w:p w14:paraId="0EAE9686" w14:textId="77777777" w:rsidR="00F87FAD" w:rsidRDefault="00F87FAD" w:rsidP="00934686">
      <w:pPr>
        <w:jc w:val="center"/>
        <w:rPr>
          <w:rFonts w:ascii="Work Sans" w:eastAsia="Work Sans" w:hAnsi="Work Sans" w:cs="Work Sans"/>
          <w:b/>
          <w:bCs/>
        </w:rPr>
      </w:pPr>
    </w:p>
    <w:p w14:paraId="29214258" w14:textId="77777777" w:rsidR="00F87FAD" w:rsidRDefault="00F87FAD" w:rsidP="00934686">
      <w:pPr>
        <w:jc w:val="center"/>
        <w:rPr>
          <w:rFonts w:ascii="Work Sans" w:eastAsia="Work Sans" w:hAnsi="Work Sans" w:cs="Work Sans"/>
          <w:b/>
          <w:bCs/>
        </w:rPr>
      </w:pPr>
    </w:p>
    <w:p w14:paraId="6480D3E4" w14:textId="77777777" w:rsidR="00F87FAD" w:rsidRDefault="00F87FAD" w:rsidP="00934686">
      <w:pPr>
        <w:jc w:val="center"/>
        <w:rPr>
          <w:rFonts w:ascii="Work Sans" w:eastAsia="Work Sans" w:hAnsi="Work Sans" w:cs="Work Sans"/>
          <w:b/>
          <w:bCs/>
        </w:rPr>
      </w:pPr>
    </w:p>
    <w:p w14:paraId="6B06EB07" w14:textId="77777777" w:rsidR="00F87FAD" w:rsidRDefault="00F87FAD" w:rsidP="00934686">
      <w:pPr>
        <w:jc w:val="center"/>
        <w:rPr>
          <w:rFonts w:ascii="Work Sans" w:eastAsia="Work Sans" w:hAnsi="Work Sans" w:cs="Work Sans"/>
          <w:b/>
          <w:bCs/>
        </w:rPr>
      </w:pPr>
    </w:p>
    <w:p w14:paraId="7BCBA938" w14:textId="77777777" w:rsidR="00F87FAD" w:rsidRDefault="00F87FAD" w:rsidP="00934686">
      <w:pPr>
        <w:jc w:val="center"/>
        <w:rPr>
          <w:rFonts w:ascii="Work Sans" w:eastAsia="Work Sans" w:hAnsi="Work Sans" w:cs="Work Sans"/>
          <w:b/>
          <w:bCs/>
        </w:rPr>
      </w:pPr>
    </w:p>
    <w:p w14:paraId="447A30E2" w14:textId="77777777" w:rsidR="00F87FAD" w:rsidRDefault="00F87FAD" w:rsidP="00934686">
      <w:pPr>
        <w:jc w:val="center"/>
        <w:rPr>
          <w:rFonts w:ascii="Work Sans" w:eastAsia="Work Sans" w:hAnsi="Work Sans" w:cs="Work Sans"/>
          <w:b/>
          <w:bCs/>
        </w:rPr>
      </w:pPr>
    </w:p>
    <w:p w14:paraId="364B1C59" w14:textId="77777777" w:rsidR="00F87FAD" w:rsidRDefault="00F87FAD" w:rsidP="00934686">
      <w:pPr>
        <w:jc w:val="center"/>
        <w:rPr>
          <w:rFonts w:ascii="Work Sans" w:eastAsia="Work Sans" w:hAnsi="Work Sans" w:cs="Work Sans"/>
          <w:b/>
          <w:bCs/>
        </w:rPr>
      </w:pPr>
    </w:p>
    <w:p w14:paraId="505BAA25" w14:textId="77777777" w:rsidR="00F87FAD" w:rsidRDefault="00F87FAD" w:rsidP="00934686">
      <w:pPr>
        <w:jc w:val="center"/>
        <w:rPr>
          <w:rFonts w:ascii="Work Sans" w:eastAsia="Work Sans" w:hAnsi="Work Sans" w:cs="Work Sans"/>
          <w:b/>
          <w:bCs/>
        </w:rPr>
      </w:pPr>
    </w:p>
    <w:p w14:paraId="48B72A60" w14:textId="77777777" w:rsidR="00F87FAD" w:rsidRDefault="00F87FAD" w:rsidP="00934686">
      <w:pPr>
        <w:jc w:val="center"/>
        <w:rPr>
          <w:rFonts w:ascii="Work Sans" w:eastAsia="Work Sans" w:hAnsi="Work Sans" w:cs="Work Sans"/>
          <w:b/>
          <w:bCs/>
        </w:rPr>
      </w:pPr>
    </w:p>
    <w:p w14:paraId="28D22C9E" w14:textId="77777777" w:rsidR="00F87FAD" w:rsidRDefault="00F87FAD" w:rsidP="00934686">
      <w:pPr>
        <w:jc w:val="center"/>
        <w:rPr>
          <w:rFonts w:ascii="Work Sans" w:eastAsia="Work Sans" w:hAnsi="Work Sans" w:cs="Work Sans"/>
          <w:b/>
          <w:bCs/>
        </w:rPr>
      </w:pPr>
    </w:p>
    <w:p w14:paraId="6BA9B213" w14:textId="77777777" w:rsidR="00F87FAD" w:rsidRDefault="00F87FAD" w:rsidP="00934686">
      <w:pPr>
        <w:jc w:val="center"/>
        <w:rPr>
          <w:rFonts w:ascii="Work Sans" w:eastAsia="Work Sans" w:hAnsi="Work Sans" w:cs="Work Sans"/>
          <w:b/>
          <w:bCs/>
        </w:rPr>
      </w:pPr>
    </w:p>
    <w:p w14:paraId="68423978" w14:textId="77777777" w:rsidR="00F87FAD" w:rsidRDefault="00F87FAD" w:rsidP="00934686">
      <w:pPr>
        <w:jc w:val="center"/>
        <w:rPr>
          <w:rFonts w:ascii="Work Sans" w:eastAsia="Work Sans" w:hAnsi="Work Sans" w:cs="Work Sans"/>
          <w:b/>
          <w:bCs/>
        </w:rPr>
      </w:pPr>
    </w:p>
    <w:p w14:paraId="51756550" w14:textId="77777777" w:rsidR="00F87FAD" w:rsidRDefault="00F87FAD" w:rsidP="00934686">
      <w:pPr>
        <w:jc w:val="center"/>
        <w:rPr>
          <w:rFonts w:ascii="Work Sans" w:eastAsia="Work Sans" w:hAnsi="Work Sans" w:cs="Work Sans"/>
          <w:b/>
          <w:bCs/>
        </w:rPr>
      </w:pPr>
    </w:p>
    <w:p w14:paraId="1F7711ED" w14:textId="77777777" w:rsidR="00F87FAD" w:rsidRDefault="00F87FAD" w:rsidP="00934686">
      <w:pPr>
        <w:jc w:val="center"/>
        <w:rPr>
          <w:rFonts w:ascii="Work Sans" w:eastAsia="Work Sans" w:hAnsi="Work Sans" w:cs="Work Sans"/>
          <w:b/>
          <w:bCs/>
        </w:rPr>
      </w:pPr>
    </w:p>
    <w:p w14:paraId="736658B2" w14:textId="77777777" w:rsidR="00F87FAD" w:rsidRDefault="00F87FAD" w:rsidP="00934686">
      <w:pPr>
        <w:jc w:val="center"/>
        <w:rPr>
          <w:rFonts w:ascii="Work Sans" w:eastAsia="Work Sans" w:hAnsi="Work Sans" w:cs="Work Sans"/>
          <w:b/>
          <w:bCs/>
        </w:rPr>
      </w:pPr>
    </w:p>
    <w:p w14:paraId="2B78ECBE" w14:textId="77777777" w:rsidR="00F87FAD" w:rsidRDefault="00F87FAD" w:rsidP="00934686">
      <w:pPr>
        <w:jc w:val="center"/>
        <w:rPr>
          <w:rFonts w:ascii="Work Sans" w:eastAsia="Work Sans" w:hAnsi="Work Sans" w:cs="Work Sans"/>
          <w:b/>
          <w:bCs/>
        </w:rPr>
      </w:pPr>
    </w:p>
    <w:p w14:paraId="167EB1FD" w14:textId="77777777" w:rsidR="00F87FAD" w:rsidRDefault="00F87FAD" w:rsidP="00934686">
      <w:pPr>
        <w:jc w:val="center"/>
        <w:rPr>
          <w:rFonts w:ascii="Work Sans" w:eastAsia="Work Sans" w:hAnsi="Work Sans" w:cs="Work Sans"/>
          <w:b/>
          <w:bCs/>
        </w:rPr>
      </w:pPr>
    </w:p>
    <w:p w14:paraId="40D30B0F" w14:textId="77777777" w:rsidR="00F87FAD" w:rsidRDefault="00F87FAD" w:rsidP="00934686">
      <w:pPr>
        <w:jc w:val="center"/>
        <w:rPr>
          <w:rFonts w:ascii="Work Sans" w:eastAsia="Work Sans" w:hAnsi="Work Sans" w:cs="Work Sans"/>
          <w:b/>
          <w:bCs/>
        </w:rPr>
      </w:pPr>
    </w:p>
    <w:p w14:paraId="1816B54E" w14:textId="77777777" w:rsidR="00F87FAD" w:rsidRDefault="00F87FAD" w:rsidP="00934686">
      <w:pPr>
        <w:jc w:val="center"/>
        <w:rPr>
          <w:rFonts w:ascii="Work Sans" w:eastAsia="Work Sans" w:hAnsi="Work Sans" w:cs="Work Sans"/>
          <w:b/>
          <w:bCs/>
        </w:rPr>
      </w:pPr>
    </w:p>
    <w:p w14:paraId="4DE3A68E" w14:textId="77777777" w:rsidR="00F87FAD" w:rsidRDefault="00F87FAD" w:rsidP="00934686">
      <w:pPr>
        <w:jc w:val="center"/>
        <w:rPr>
          <w:rFonts w:ascii="Work Sans" w:eastAsia="Work Sans" w:hAnsi="Work Sans" w:cs="Work Sans"/>
          <w:b/>
          <w:bCs/>
        </w:rPr>
      </w:pPr>
    </w:p>
    <w:p w14:paraId="1DCDD694" w14:textId="77777777" w:rsidR="00F87FAD" w:rsidRDefault="00F87FAD" w:rsidP="00934686">
      <w:pPr>
        <w:jc w:val="center"/>
        <w:rPr>
          <w:rFonts w:ascii="Work Sans" w:eastAsia="Work Sans" w:hAnsi="Work Sans" w:cs="Work Sans"/>
          <w:b/>
          <w:bCs/>
        </w:rPr>
      </w:pPr>
    </w:p>
    <w:p w14:paraId="2DB708B2" w14:textId="77777777" w:rsidR="00F87FAD" w:rsidRDefault="00F87FAD" w:rsidP="00934686">
      <w:pPr>
        <w:jc w:val="center"/>
        <w:rPr>
          <w:rFonts w:ascii="Work Sans" w:eastAsia="Work Sans" w:hAnsi="Work Sans" w:cs="Work Sans"/>
          <w:b/>
          <w:bCs/>
        </w:rPr>
      </w:pPr>
    </w:p>
    <w:p w14:paraId="4FF24B17" w14:textId="77777777" w:rsidR="00F87FAD" w:rsidRDefault="00F87FAD" w:rsidP="00934686">
      <w:pPr>
        <w:jc w:val="center"/>
        <w:rPr>
          <w:rFonts w:ascii="Work Sans" w:eastAsia="Work Sans" w:hAnsi="Work Sans" w:cs="Work Sans"/>
          <w:b/>
          <w:bCs/>
        </w:rPr>
      </w:pPr>
    </w:p>
    <w:p w14:paraId="53F5967C" w14:textId="77777777" w:rsidR="00583119" w:rsidRDefault="00583119" w:rsidP="00934686">
      <w:pPr>
        <w:jc w:val="center"/>
        <w:rPr>
          <w:rFonts w:ascii="Work Sans" w:eastAsia="Work Sans" w:hAnsi="Work Sans" w:cs="Work Sans"/>
          <w:b/>
          <w:bCs/>
        </w:rPr>
      </w:pPr>
    </w:p>
    <w:p w14:paraId="7DECD8FC" w14:textId="31F42BC4" w:rsidR="003358AA" w:rsidRPr="00583119" w:rsidRDefault="00583119" w:rsidP="00583119">
      <w:pPr>
        <w:jc w:val="center"/>
        <w:rPr>
          <w:rFonts w:ascii="Work Sans" w:eastAsia="Work Sans" w:hAnsi="Work Sans" w:cs="Work Sans"/>
          <w:b/>
          <w:bCs/>
        </w:rPr>
      </w:pPr>
      <w:r w:rsidRPr="00F87FAD">
        <w:rPr>
          <w:rFonts w:ascii="Work Sans" w:eastAsia="Work Sans" w:hAnsi="Work Sans" w:cs="Work Sans"/>
          <w:b/>
          <w:bCs/>
        </w:rPr>
        <w:lastRenderedPageBreak/>
        <w:t>PONENCIA</w:t>
      </w:r>
      <w:r>
        <w:rPr>
          <w:rFonts w:ascii="Work Sans" w:eastAsia="Work Sans" w:hAnsi="Work Sans" w:cs="Work Sans"/>
          <w:b/>
          <w:bCs/>
        </w:rPr>
        <w:t xml:space="preserve"> </w:t>
      </w:r>
      <w:r w:rsidR="00F87FAD">
        <w:rPr>
          <w:rFonts w:ascii="Work Sans" w:eastAsia="Work Sans" w:hAnsi="Work Sans" w:cs="Work Sans"/>
          <w:b/>
          <w:bCs/>
        </w:rPr>
        <w:t xml:space="preserve">PARA PRIMER DEBATE </w:t>
      </w:r>
      <w:r w:rsidR="00E55820">
        <w:rPr>
          <w:rFonts w:ascii="Work Sans" w:eastAsia="Work Sans" w:hAnsi="Work Sans" w:cs="Work Sans"/>
          <w:b/>
          <w:bCs/>
        </w:rPr>
        <w:t xml:space="preserve">EN LA COMISIÓN PRIMERA </w:t>
      </w:r>
      <w:r>
        <w:rPr>
          <w:rFonts w:ascii="Work Sans" w:eastAsia="Work Sans" w:hAnsi="Work Sans" w:cs="Work Sans"/>
          <w:b/>
          <w:bCs/>
        </w:rPr>
        <w:t xml:space="preserve">DE LA CÁMARA DE REPRESENTANTES </w:t>
      </w:r>
      <w:r w:rsidR="003358AA" w:rsidRPr="00F87FAD">
        <w:rPr>
          <w:rFonts w:ascii="Work Sans" w:eastAsia="Work Sans" w:hAnsi="Work Sans" w:cs="Work Sans"/>
          <w:b/>
          <w:bCs/>
        </w:rPr>
        <w:t xml:space="preserve">DEL PROYECTO DE LEY N° </w:t>
      </w:r>
      <w:r w:rsidR="00132850" w:rsidRPr="00F87FAD">
        <w:rPr>
          <w:rFonts w:ascii="Work Sans" w:eastAsia="Work Sans" w:hAnsi="Work Sans" w:cs="Work Sans"/>
          <w:b/>
          <w:bCs/>
        </w:rPr>
        <w:t>521</w:t>
      </w:r>
      <w:r w:rsidR="003358AA" w:rsidRPr="00F87FAD">
        <w:rPr>
          <w:rFonts w:ascii="Work Sans" w:eastAsia="Work Sans" w:hAnsi="Work Sans" w:cs="Work Sans"/>
          <w:b/>
          <w:bCs/>
        </w:rPr>
        <w:t xml:space="preserve"> DE 2026 CÁMARA - 114 DE 2024 SENADO “POR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p>
    <w:p w14:paraId="024D3011" w14:textId="77777777" w:rsidR="003358AA" w:rsidRPr="00F87FAD" w:rsidRDefault="003358AA" w:rsidP="003358AA">
      <w:pPr>
        <w:jc w:val="both"/>
        <w:rPr>
          <w:rFonts w:ascii="Work Sans" w:eastAsia="Work Sans" w:hAnsi="Work Sans" w:cs="Work Sans"/>
        </w:rPr>
      </w:pPr>
    </w:p>
    <w:p w14:paraId="66399AAB" w14:textId="77777777" w:rsidR="003358AA" w:rsidRPr="00F87FAD" w:rsidRDefault="003358AA" w:rsidP="00934686">
      <w:pPr>
        <w:jc w:val="center"/>
        <w:rPr>
          <w:rFonts w:ascii="Work Sans" w:eastAsia="Work Sans" w:hAnsi="Work Sans" w:cs="Work Sans"/>
        </w:rPr>
      </w:pPr>
      <w:r w:rsidRPr="00F87FAD">
        <w:rPr>
          <w:rFonts w:ascii="Work Sans" w:eastAsia="Work Sans" w:hAnsi="Work Sans" w:cs="Work Sans"/>
          <w:b/>
          <w:bCs/>
        </w:rPr>
        <w:t>CONTENIDO</w:t>
      </w:r>
    </w:p>
    <w:p w14:paraId="4AEF8F8E" w14:textId="77777777" w:rsidR="003358AA" w:rsidRPr="00F87FAD" w:rsidRDefault="003358AA" w:rsidP="003358AA">
      <w:pPr>
        <w:jc w:val="both"/>
        <w:rPr>
          <w:rFonts w:ascii="Work Sans" w:eastAsia="Work Sans" w:hAnsi="Work Sans" w:cs="Work Sans"/>
        </w:rPr>
      </w:pPr>
      <w:r w:rsidRPr="00F87FAD">
        <w:rPr>
          <w:rFonts w:ascii="Work Sans" w:eastAsia="Work Sans" w:hAnsi="Work Sans" w:cs="Work Sans"/>
        </w:rPr>
        <w:br/>
      </w:r>
    </w:p>
    <w:p w14:paraId="6363079C"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Trámite de la iniciativa</w:t>
      </w:r>
      <w:r w:rsidRPr="00F87FAD">
        <w:rPr>
          <w:rFonts w:ascii="Work Sans" w:eastAsia="Work Sans" w:hAnsi="Work Sans" w:cs="Work Sans"/>
        </w:rPr>
        <w:tab/>
      </w:r>
    </w:p>
    <w:p w14:paraId="6927E162"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Objeto del proyecto de ley</w:t>
      </w:r>
      <w:r w:rsidRPr="00F87FAD">
        <w:rPr>
          <w:rFonts w:ascii="Work Sans" w:eastAsia="Work Sans" w:hAnsi="Work Sans" w:cs="Work Sans"/>
        </w:rPr>
        <w:tab/>
      </w:r>
    </w:p>
    <w:p w14:paraId="39FE5427"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Contenido del proyecto de ley</w:t>
      </w:r>
      <w:r w:rsidRPr="00F87FAD">
        <w:rPr>
          <w:rFonts w:ascii="Work Sans" w:eastAsia="Work Sans" w:hAnsi="Work Sans" w:cs="Work Sans"/>
        </w:rPr>
        <w:tab/>
      </w:r>
    </w:p>
    <w:p w14:paraId="5A866984" w14:textId="562A2E9E" w:rsidR="0033294F" w:rsidRPr="00F87FAD" w:rsidRDefault="0033294F"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Introducción </w:t>
      </w:r>
    </w:p>
    <w:p w14:paraId="6CEF370E"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Justificación del proyecto de ley</w:t>
      </w:r>
      <w:r w:rsidRPr="00F87FAD">
        <w:rPr>
          <w:rFonts w:ascii="Work Sans" w:eastAsia="Work Sans" w:hAnsi="Work Sans" w:cs="Work Sans"/>
        </w:rPr>
        <w:tab/>
      </w:r>
    </w:p>
    <w:p w14:paraId="1B9EC0EA" w14:textId="7F38649E" w:rsidR="00752D9E" w:rsidRPr="00F87FAD" w:rsidRDefault="00752D9E"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Cifras relacionadas con los procesos judiciales referentes a la bonificación judicial en contra de la Rama Judicial </w:t>
      </w:r>
    </w:p>
    <w:p w14:paraId="5D3028A2" w14:textId="234BE69E"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Fundamentos Constitucionales y legales </w:t>
      </w:r>
    </w:p>
    <w:p w14:paraId="378C333A" w14:textId="3235CDA5"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Impacto fiscal</w:t>
      </w:r>
    </w:p>
    <w:p w14:paraId="58AA51D0" w14:textId="77777777" w:rsidR="00492DC0" w:rsidRPr="00F87FAD" w:rsidRDefault="00492DC0" w:rsidP="00492DC0">
      <w:pPr>
        <w:numPr>
          <w:ilvl w:val="0"/>
          <w:numId w:val="5"/>
        </w:numPr>
        <w:jc w:val="both"/>
        <w:rPr>
          <w:rFonts w:ascii="Work Sans" w:eastAsia="Work Sans" w:hAnsi="Work Sans" w:cs="Work Sans"/>
        </w:rPr>
      </w:pPr>
      <w:r w:rsidRPr="00F87FAD">
        <w:rPr>
          <w:rFonts w:ascii="Work Sans" w:eastAsia="Work Sans" w:hAnsi="Work Sans" w:cs="Work Sans"/>
        </w:rPr>
        <w:t>Conflicto de interés</w:t>
      </w:r>
      <w:r w:rsidRPr="00F87FAD">
        <w:rPr>
          <w:rFonts w:ascii="Work Sans" w:eastAsia="Work Sans" w:hAnsi="Work Sans" w:cs="Work Sans"/>
        </w:rPr>
        <w:tab/>
      </w:r>
    </w:p>
    <w:p w14:paraId="535F837E" w14:textId="13F582AC" w:rsidR="00E55820" w:rsidRDefault="00E55820" w:rsidP="003358AA">
      <w:pPr>
        <w:numPr>
          <w:ilvl w:val="0"/>
          <w:numId w:val="5"/>
        </w:numPr>
        <w:jc w:val="both"/>
        <w:rPr>
          <w:rFonts w:ascii="Work Sans" w:eastAsia="Work Sans" w:hAnsi="Work Sans" w:cs="Work Sans"/>
        </w:rPr>
      </w:pPr>
      <w:r>
        <w:rPr>
          <w:rFonts w:ascii="Work Sans" w:eastAsia="Work Sans" w:hAnsi="Work Sans" w:cs="Work Sans"/>
        </w:rPr>
        <w:t>Pliego de modificaciones</w:t>
      </w:r>
    </w:p>
    <w:p w14:paraId="4D429EE7" w14:textId="732AFE02"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Proposición</w:t>
      </w:r>
    </w:p>
    <w:p w14:paraId="77EF3AEA" w14:textId="14413C23" w:rsidR="00934686" w:rsidRPr="00F87FAD" w:rsidRDefault="00492DC0" w:rsidP="00132850">
      <w:pPr>
        <w:numPr>
          <w:ilvl w:val="0"/>
          <w:numId w:val="5"/>
        </w:numPr>
        <w:jc w:val="both"/>
        <w:rPr>
          <w:rFonts w:ascii="Work Sans" w:eastAsia="Work Sans" w:hAnsi="Work Sans" w:cs="Work Sans"/>
        </w:rPr>
      </w:pPr>
      <w:r w:rsidRPr="00F87FAD">
        <w:rPr>
          <w:rFonts w:ascii="Work Sans" w:eastAsia="Work Sans" w:hAnsi="Work Sans" w:cs="Work Sans"/>
        </w:rPr>
        <w:t>Texto propuesto para segundo debate  </w:t>
      </w:r>
    </w:p>
    <w:p w14:paraId="2E444E85" w14:textId="77777777" w:rsidR="00934686" w:rsidRPr="00F87FAD" w:rsidRDefault="00934686" w:rsidP="00934686">
      <w:pPr>
        <w:ind w:left="720"/>
        <w:jc w:val="both"/>
        <w:rPr>
          <w:rFonts w:ascii="Work Sans" w:eastAsia="Work Sans" w:hAnsi="Work Sans" w:cs="Work Sans"/>
        </w:rPr>
      </w:pPr>
    </w:p>
    <w:p w14:paraId="431FC187" w14:textId="77777777" w:rsidR="00934686" w:rsidRPr="00F87FAD" w:rsidRDefault="00934686" w:rsidP="00934686">
      <w:pPr>
        <w:ind w:left="720"/>
        <w:jc w:val="both"/>
        <w:rPr>
          <w:rFonts w:ascii="Work Sans" w:eastAsia="Work Sans" w:hAnsi="Work Sans" w:cs="Work Sans"/>
        </w:rPr>
      </w:pPr>
    </w:p>
    <w:p w14:paraId="03711E75" w14:textId="77777777" w:rsidR="00934686" w:rsidRPr="00F87FAD" w:rsidRDefault="00934686" w:rsidP="00934686">
      <w:pPr>
        <w:ind w:left="720"/>
        <w:jc w:val="both"/>
        <w:rPr>
          <w:rFonts w:ascii="Work Sans" w:eastAsia="Work Sans" w:hAnsi="Work Sans" w:cs="Work Sans"/>
        </w:rPr>
      </w:pPr>
    </w:p>
    <w:p w14:paraId="0D1CB262" w14:textId="77777777" w:rsidR="00934686" w:rsidRPr="00F87FAD" w:rsidRDefault="00934686" w:rsidP="00934686">
      <w:pPr>
        <w:ind w:left="720"/>
        <w:jc w:val="both"/>
        <w:rPr>
          <w:rFonts w:ascii="Work Sans" w:eastAsia="Work Sans" w:hAnsi="Work Sans" w:cs="Work Sans"/>
        </w:rPr>
      </w:pPr>
    </w:p>
    <w:p w14:paraId="4CA6B572" w14:textId="77777777" w:rsidR="00934686" w:rsidRPr="00F87FAD" w:rsidRDefault="00934686" w:rsidP="00934686">
      <w:pPr>
        <w:ind w:left="720"/>
        <w:jc w:val="both"/>
        <w:rPr>
          <w:rFonts w:ascii="Work Sans" w:eastAsia="Work Sans" w:hAnsi="Work Sans" w:cs="Work Sans"/>
        </w:rPr>
      </w:pPr>
    </w:p>
    <w:p w14:paraId="371D3AF2" w14:textId="77777777" w:rsidR="00934686" w:rsidRPr="00F87FAD" w:rsidRDefault="00934686" w:rsidP="00934686">
      <w:pPr>
        <w:ind w:left="720"/>
        <w:jc w:val="both"/>
        <w:rPr>
          <w:rFonts w:ascii="Work Sans" w:eastAsia="Work Sans" w:hAnsi="Work Sans" w:cs="Work Sans"/>
        </w:rPr>
      </w:pPr>
    </w:p>
    <w:p w14:paraId="64F17DD8" w14:textId="77777777" w:rsidR="00934686" w:rsidRPr="00F87FAD" w:rsidRDefault="00934686" w:rsidP="00934686">
      <w:pPr>
        <w:ind w:left="720"/>
        <w:jc w:val="both"/>
        <w:rPr>
          <w:rFonts w:ascii="Work Sans" w:eastAsia="Work Sans" w:hAnsi="Work Sans" w:cs="Work Sans"/>
        </w:rPr>
      </w:pPr>
    </w:p>
    <w:p w14:paraId="038E2DC4" w14:textId="77777777" w:rsidR="00934686" w:rsidRPr="00F87FAD" w:rsidRDefault="00934686" w:rsidP="00934686">
      <w:pPr>
        <w:ind w:left="720"/>
        <w:jc w:val="both"/>
        <w:rPr>
          <w:rFonts w:ascii="Work Sans" w:eastAsia="Work Sans" w:hAnsi="Work Sans" w:cs="Work Sans"/>
        </w:rPr>
      </w:pPr>
    </w:p>
    <w:p w14:paraId="0BCAD156" w14:textId="77777777" w:rsidR="00934686" w:rsidRPr="00F87FAD" w:rsidRDefault="00934686" w:rsidP="00934686">
      <w:pPr>
        <w:ind w:left="720"/>
        <w:jc w:val="both"/>
        <w:rPr>
          <w:rFonts w:ascii="Work Sans" w:eastAsia="Work Sans" w:hAnsi="Work Sans" w:cs="Work Sans"/>
        </w:rPr>
      </w:pPr>
    </w:p>
    <w:p w14:paraId="2E2EBC6A" w14:textId="77777777" w:rsidR="00934686" w:rsidRPr="00F87FAD" w:rsidRDefault="00934686" w:rsidP="00934686">
      <w:pPr>
        <w:ind w:left="720"/>
        <w:jc w:val="both"/>
        <w:rPr>
          <w:rFonts w:ascii="Work Sans" w:eastAsia="Work Sans" w:hAnsi="Work Sans" w:cs="Work Sans"/>
        </w:rPr>
      </w:pPr>
    </w:p>
    <w:p w14:paraId="3D6C2CF9" w14:textId="77777777" w:rsidR="00934686" w:rsidRPr="00F87FAD" w:rsidRDefault="00934686" w:rsidP="00934686">
      <w:pPr>
        <w:ind w:left="720"/>
        <w:jc w:val="both"/>
        <w:rPr>
          <w:rFonts w:ascii="Work Sans" w:eastAsia="Work Sans" w:hAnsi="Work Sans" w:cs="Work Sans"/>
        </w:rPr>
      </w:pPr>
    </w:p>
    <w:p w14:paraId="5942BFEB" w14:textId="77777777" w:rsidR="00934686" w:rsidRPr="00F87FAD" w:rsidRDefault="00934686" w:rsidP="00934686">
      <w:pPr>
        <w:ind w:left="720"/>
        <w:jc w:val="both"/>
        <w:rPr>
          <w:rFonts w:ascii="Work Sans" w:eastAsia="Work Sans" w:hAnsi="Work Sans" w:cs="Work Sans"/>
        </w:rPr>
      </w:pPr>
    </w:p>
    <w:p w14:paraId="7C9B805A" w14:textId="77777777" w:rsidR="00934686" w:rsidRPr="00F87FAD" w:rsidRDefault="00934686" w:rsidP="00934686">
      <w:pPr>
        <w:ind w:left="720"/>
        <w:jc w:val="both"/>
        <w:rPr>
          <w:rFonts w:ascii="Work Sans" w:eastAsia="Work Sans" w:hAnsi="Work Sans" w:cs="Work Sans"/>
        </w:rPr>
      </w:pPr>
    </w:p>
    <w:p w14:paraId="703FA181" w14:textId="77777777" w:rsidR="00132850" w:rsidRPr="00F87FAD" w:rsidRDefault="00132850" w:rsidP="00934686">
      <w:pPr>
        <w:ind w:left="720"/>
        <w:jc w:val="both"/>
        <w:rPr>
          <w:rFonts w:ascii="Work Sans" w:eastAsia="Work Sans" w:hAnsi="Work Sans" w:cs="Work Sans"/>
        </w:rPr>
      </w:pPr>
    </w:p>
    <w:p w14:paraId="79B81087" w14:textId="77777777" w:rsidR="00132850" w:rsidRPr="00F87FAD" w:rsidRDefault="00132850" w:rsidP="00934686">
      <w:pPr>
        <w:ind w:left="720"/>
        <w:jc w:val="both"/>
        <w:rPr>
          <w:rFonts w:ascii="Work Sans" w:eastAsia="Work Sans" w:hAnsi="Work Sans" w:cs="Work Sans"/>
        </w:rPr>
      </w:pPr>
    </w:p>
    <w:p w14:paraId="49ACA827" w14:textId="77777777" w:rsidR="00132850" w:rsidRPr="00F87FAD" w:rsidRDefault="00132850" w:rsidP="00934686">
      <w:pPr>
        <w:ind w:left="720"/>
        <w:jc w:val="both"/>
        <w:rPr>
          <w:rFonts w:ascii="Work Sans" w:eastAsia="Work Sans" w:hAnsi="Work Sans" w:cs="Work Sans"/>
        </w:rPr>
      </w:pPr>
    </w:p>
    <w:p w14:paraId="628AB17D" w14:textId="77777777" w:rsidR="00132850" w:rsidRPr="00F87FAD" w:rsidRDefault="00132850" w:rsidP="00934686">
      <w:pPr>
        <w:ind w:left="720"/>
        <w:jc w:val="both"/>
        <w:rPr>
          <w:rFonts w:ascii="Work Sans" w:eastAsia="Work Sans" w:hAnsi="Work Sans" w:cs="Work Sans"/>
        </w:rPr>
      </w:pPr>
    </w:p>
    <w:p w14:paraId="0B2A2E72" w14:textId="47341A76" w:rsidR="00934686" w:rsidRPr="008C530E" w:rsidRDefault="00934686" w:rsidP="008C530E">
      <w:pPr>
        <w:pStyle w:val="Prrafodelista"/>
        <w:numPr>
          <w:ilvl w:val="0"/>
          <w:numId w:val="11"/>
        </w:numPr>
        <w:jc w:val="both"/>
        <w:rPr>
          <w:rFonts w:ascii="Work Sans" w:eastAsia="Work Sans" w:hAnsi="Work Sans" w:cs="Work Sans"/>
          <w:b/>
          <w:bCs/>
        </w:rPr>
      </w:pPr>
      <w:r w:rsidRPr="008C530E">
        <w:rPr>
          <w:rFonts w:ascii="Work Sans" w:eastAsia="Work Sans" w:hAnsi="Work Sans" w:cs="Work Sans"/>
          <w:b/>
          <w:bCs/>
          <w:u w:val="single"/>
        </w:rPr>
        <w:lastRenderedPageBreak/>
        <w:t>TRÁMITE DE LA INICIATIVA</w:t>
      </w:r>
    </w:p>
    <w:p w14:paraId="1C7EB196" w14:textId="77777777" w:rsidR="00934686" w:rsidRPr="00F87FAD" w:rsidRDefault="00934686" w:rsidP="00934686">
      <w:pPr>
        <w:ind w:left="720"/>
        <w:jc w:val="both"/>
        <w:rPr>
          <w:rFonts w:ascii="Work Sans" w:eastAsia="Work Sans" w:hAnsi="Work Sans" w:cs="Work Sans"/>
          <w:b/>
          <w:bCs/>
        </w:rPr>
      </w:pPr>
    </w:p>
    <w:p w14:paraId="6C44816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Proyecto de Ley fue radicado en la Secretaría General del Senado el día 13 de agosto de 2024, siendo autores los siguientes doce (12) Senadores de la Comisión Primera y una Representante a la Cámara: H.S. Alejandro Carlos Chacón Camargo, Germán Blanco Álvarez, Alejandro Vega Pérez, Jorge Benedetti Martelo, Clara López Obregón, Jonathan Pulido Hernández, David Luna Sánchez, Fabio Raúl Amín Saleme, Juan Carlos García Gómez, Aida Quilcue Vivas, Carlos Fernando Motoa Solarte, Ariel Ávila Martíez y la H.R Olga Lucía Velásquez Nieto.</w:t>
      </w:r>
    </w:p>
    <w:p w14:paraId="133C79B2" w14:textId="77777777" w:rsidR="00934686" w:rsidRPr="00F87FAD" w:rsidRDefault="00934686" w:rsidP="00934686">
      <w:pPr>
        <w:ind w:left="720"/>
        <w:jc w:val="both"/>
        <w:rPr>
          <w:rFonts w:ascii="Work Sans" w:eastAsia="Work Sans" w:hAnsi="Work Sans" w:cs="Work Sans"/>
        </w:rPr>
      </w:pPr>
    </w:p>
    <w:p w14:paraId="1B267E1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día 26 de noviembre de 2024, tal como consta en el Acta 27 de la Comisión Primera de Senado, se aprobó en primer debate el Proyecto de Ley por unanimidad de los senadores asistentes.</w:t>
      </w:r>
    </w:p>
    <w:p w14:paraId="5A2A9853" w14:textId="77777777" w:rsidR="00934686" w:rsidRPr="00F87FAD" w:rsidRDefault="00934686" w:rsidP="00934686">
      <w:pPr>
        <w:ind w:left="720"/>
        <w:jc w:val="both"/>
        <w:rPr>
          <w:rFonts w:ascii="Work Sans" w:eastAsia="Work Sans" w:hAnsi="Work Sans" w:cs="Work Sans"/>
        </w:rPr>
      </w:pPr>
    </w:p>
    <w:p w14:paraId="4BC34638" w14:textId="77777777" w:rsidR="008C530E" w:rsidRDefault="00934686" w:rsidP="008C530E">
      <w:pPr>
        <w:ind w:left="720"/>
        <w:jc w:val="both"/>
        <w:rPr>
          <w:rFonts w:ascii="Work Sans" w:eastAsia="Work Sans" w:hAnsi="Work Sans" w:cs="Work Sans"/>
        </w:rPr>
      </w:pPr>
      <w:r w:rsidRPr="00F87FAD">
        <w:rPr>
          <w:rFonts w:ascii="Work Sans" w:eastAsia="Work Sans" w:hAnsi="Work Sans" w:cs="Work Sans"/>
        </w:rPr>
        <w:t xml:space="preserve">Posteriormente, el proyecto fue aprobado sin modificaciones en Sesión Plenaria del Senado de la República el día 15 de diciembre de 2025. Una vez remitido a la Cámara de Representantes, le fue asignado el número 521 de 2026 Cámara, siendo designado como ponente coordinador el H.R. Gabriel Becerra </w:t>
      </w:r>
      <w:r w:rsidR="00263F4A" w:rsidRPr="00F87FAD">
        <w:rPr>
          <w:rFonts w:ascii="Work Sans" w:eastAsia="Work Sans" w:hAnsi="Work Sans" w:cs="Work Sans"/>
        </w:rPr>
        <w:t>Yáñez</w:t>
      </w:r>
      <w:r w:rsidRPr="00F87FAD">
        <w:rPr>
          <w:rFonts w:ascii="Work Sans" w:eastAsia="Work Sans" w:hAnsi="Work Sans" w:cs="Work Sans"/>
        </w:rPr>
        <w:t xml:space="preserve"> para rendir el informe de ponencia para primer debate en esta corporación.</w:t>
      </w:r>
    </w:p>
    <w:p w14:paraId="4093F2A8" w14:textId="77777777" w:rsidR="008C530E" w:rsidRDefault="008C530E" w:rsidP="008C530E">
      <w:pPr>
        <w:ind w:left="720"/>
        <w:jc w:val="both"/>
        <w:rPr>
          <w:rFonts w:ascii="Work Sans" w:eastAsia="Work Sans" w:hAnsi="Work Sans" w:cs="Work Sans"/>
        </w:rPr>
      </w:pPr>
    </w:p>
    <w:p w14:paraId="232A3D63" w14:textId="472820B6" w:rsidR="00934686" w:rsidRPr="008C530E" w:rsidRDefault="00934686" w:rsidP="008C530E">
      <w:pPr>
        <w:pStyle w:val="Prrafodelista"/>
        <w:numPr>
          <w:ilvl w:val="0"/>
          <w:numId w:val="11"/>
        </w:numPr>
        <w:jc w:val="both"/>
        <w:rPr>
          <w:rFonts w:ascii="Work Sans" w:eastAsia="Work Sans" w:hAnsi="Work Sans" w:cs="Work Sans"/>
        </w:rPr>
      </w:pPr>
      <w:r w:rsidRPr="008C530E">
        <w:rPr>
          <w:rFonts w:ascii="Work Sans" w:eastAsia="Work Sans" w:hAnsi="Work Sans" w:cs="Work Sans"/>
          <w:b/>
          <w:bCs/>
          <w:u w:val="single"/>
        </w:rPr>
        <w:t>OBJETO DEL PROYECTO DE LEY</w:t>
      </w:r>
    </w:p>
    <w:p w14:paraId="2681C0E7" w14:textId="77777777" w:rsidR="00934686" w:rsidRPr="00F87FAD" w:rsidRDefault="00934686" w:rsidP="00934686">
      <w:pPr>
        <w:ind w:left="720"/>
        <w:jc w:val="both"/>
        <w:rPr>
          <w:rFonts w:ascii="Work Sans" w:eastAsia="Work Sans" w:hAnsi="Work Sans" w:cs="Work Sans"/>
        </w:rPr>
      </w:pPr>
    </w:p>
    <w:p w14:paraId="5AD231C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presente proyecto de ley tiene como objetivo reconocer plenamente el carácter de factor salarial de la Bonificación Judicial otorgada 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la Rama Judicial y la Justicia Penal Militar, la Dirección Ejecutiva de Administración Judicial y las Direcciones Seccionales de la Rama Judicial. Lo anterior, toda vez que los decretos 382, 383, 384 de 2013, 022 de 2014 y 1269 de 2015 ordenaron que la referida bonificación constituiría únicamente factor salarial para la base de cotización al Sistema General de Pensiones y al Sistema General de Seguridad social en Salud.</w:t>
      </w:r>
    </w:p>
    <w:p w14:paraId="73D040F3" w14:textId="77777777" w:rsidR="00934686" w:rsidRPr="00F87FAD" w:rsidRDefault="00934686" w:rsidP="00934686">
      <w:pPr>
        <w:ind w:left="720"/>
        <w:jc w:val="both"/>
        <w:rPr>
          <w:rFonts w:ascii="Work Sans" w:eastAsia="Work Sans" w:hAnsi="Work Sans" w:cs="Work Sans"/>
        </w:rPr>
      </w:pPr>
    </w:p>
    <w:p w14:paraId="4CCBE97E"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Tal como lo reconoce el Consejo Superior de la Judicatura, esta bonificación beneficia en la actualidad a 36.819 servidores judiciales. Como mostraremos las cifras en el desarrollo de esta ponencia, una enorme cantidad de trabajadores se han visto obligados a iniciar desgastantes litigios judiciales solicitando el reconocimiento de la bonificación judicial como factor salarial para todas las prestaciones sociales.</w:t>
      </w:r>
    </w:p>
    <w:p w14:paraId="3CF6206F" w14:textId="77777777" w:rsidR="00934686" w:rsidRPr="00F87FAD" w:rsidRDefault="00934686" w:rsidP="00934686">
      <w:pPr>
        <w:ind w:left="720"/>
        <w:jc w:val="both"/>
        <w:rPr>
          <w:rFonts w:ascii="Work Sans" w:eastAsia="Work Sans" w:hAnsi="Work Sans" w:cs="Work Sans"/>
        </w:rPr>
      </w:pPr>
    </w:p>
    <w:p w14:paraId="45C976F1"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Esta iniciativa legislativa busca subsanar las lagunas legales existentes al respecto, así como eliminar cualquier ambigüedad respecto al tratamiento de esta bonificación como factor salarial que da lugar a esos litigios. Con ello, se asegura </w:t>
      </w:r>
      <w:r w:rsidRPr="00F87FAD">
        <w:rPr>
          <w:rFonts w:ascii="Work Sans" w:eastAsia="Work Sans" w:hAnsi="Work Sans" w:cs="Work Sans"/>
        </w:rPr>
        <w:lastRenderedPageBreak/>
        <w:t>que la misma sea reconocida mensualmente como un componente salarial válido y consistente para todos los efectos legales pertinentes. En esencia, el proyecto pretende consolidar y unificar criterios normativos, garantizando así que los derechos laborales de los servidores públicos merecedores de la mencionada bonificación sean plenamente respetados y adecuadamente protegidos por ordenamiento jurídico colombiano.</w:t>
      </w:r>
    </w:p>
    <w:p w14:paraId="52F35D35" w14:textId="77777777" w:rsidR="008C530E" w:rsidRDefault="008C530E" w:rsidP="008C530E">
      <w:pPr>
        <w:jc w:val="both"/>
        <w:rPr>
          <w:rFonts w:ascii="Work Sans" w:eastAsia="Work Sans" w:hAnsi="Work Sans" w:cs="Work Sans"/>
        </w:rPr>
      </w:pPr>
    </w:p>
    <w:p w14:paraId="515F948F" w14:textId="2EBCA4EB" w:rsidR="00934686" w:rsidRPr="008C530E" w:rsidRDefault="00934686" w:rsidP="008C530E">
      <w:pPr>
        <w:pStyle w:val="Prrafodelista"/>
        <w:numPr>
          <w:ilvl w:val="0"/>
          <w:numId w:val="11"/>
        </w:numPr>
        <w:jc w:val="both"/>
        <w:rPr>
          <w:rFonts w:ascii="Work Sans" w:eastAsia="Work Sans" w:hAnsi="Work Sans" w:cs="Work Sans"/>
          <w:b/>
          <w:bCs/>
        </w:rPr>
      </w:pPr>
      <w:r w:rsidRPr="008C530E">
        <w:rPr>
          <w:rFonts w:ascii="Work Sans" w:eastAsia="Work Sans" w:hAnsi="Work Sans" w:cs="Work Sans"/>
          <w:b/>
          <w:bCs/>
          <w:u w:val="single"/>
        </w:rPr>
        <w:t>CONTENIDO DEL PROYECTO DE LEY</w:t>
      </w:r>
    </w:p>
    <w:p w14:paraId="5AD32317" w14:textId="77777777" w:rsidR="00934686" w:rsidRPr="00F87FAD" w:rsidRDefault="00934686" w:rsidP="00934686">
      <w:pPr>
        <w:ind w:left="720"/>
        <w:jc w:val="both"/>
        <w:rPr>
          <w:rFonts w:ascii="Work Sans" w:eastAsia="Work Sans" w:hAnsi="Work Sans" w:cs="Work Sans"/>
        </w:rPr>
      </w:pPr>
    </w:p>
    <w:p w14:paraId="70F60DD5"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presente proyecto de ley consta de 3 artículos. El primer artículo ordena el objeto de la iniciativa. El segundo artículo reconoce que la Bonificación Judicial de que tratan los Decretos 382, 383, 384 de 2013, 022 de 2014 y 1269 de 2015 constituirá factor salarial para todos los efectos legales sin excepción. El tercer artículo trata de la vigencia del proyecto.</w:t>
      </w:r>
    </w:p>
    <w:p w14:paraId="11683FFB" w14:textId="77777777" w:rsidR="008C530E" w:rsidRDefault="008C530E" w:rsidP="008C530E">
      <w:pPr>
        <w:jc w:val="both"/>
        <w:rPr>
          <w:rFonts w:ascii="Work Sans" w:eastAsia="Work Sans" w:hAnsi="Work Sans" w:cs="Work Sans"/>
        </w:rPr>
      </w:pPr>
    </w:p>
    <w:p w14:paraId="2EB5B59B" w14:textId="6907EA61"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INTRODUCCIÓN</w:t>
      </w:r>
    </w:p>
    <w:p w14:paraId="517EBD67" w14:textId="77777777" w:rsidR="00934686" w:rsidRPr="00F87FAD" w:rsidRDefault="00934686" w:rsidP="00934686">
      <w:pPr>
        <w:jc w:val="both"/>
        <w:rPr>
          <w:rFonts w:ascii="Work Sans" w:eastAsia="Work Sans" w:hAnsi="Work Sans" w:cs="Work Sans"/>
          <w:b/>
          <w:bCs/>
        </w:rPr>
      </w:pPr>
    </w:p>
    <w:p w14:paraId="0C04D85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La Bonificación Judicial de que trata este Proyecto de Ley ha sido fundamental para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la Rama Judicial y la Justicia Penal Militar, así como para la Dirección Ejecutiva de Administración Judicial y las Direcciones Seccionales de la Rama Judicial. Sin embargo, su consideración como factor salarial ha sido motivo de amplio debate y análisis a lo largo de los años.</w:t>
      </w:r>
    </w:p>
    <w:p w14:paraId="3B8E997F" w14:textId="77777777" w:rsidR="00934686" w:rsidRPr="00F87FAD" w:rsidRDefault="00934686" w:rsidP="00934686">
      <w:pPr>
        <w:ind w:left="720"/>
        <w:jc w:val="both"/>
        <w:rPr>
          <w:rFonts w:ascii="Work Sans" w:eastAsia="Work Sans" w:hAnsi="Work Sans" w:cs="Work Sans"/>
        </w:rPr>
      </w:pPr>
    </w:p>
    <w:p w14:paraId="30ED7EEB" w14:textId="63CFF2B4"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reconocimiento de la bonificación como factor salarial sin condicionamientos, no solo cumple con un acto de justicia hacia los servidores públicos mencionados, sino que también promueve la estabilidad laboral y económica, proporcionando un respaldo legal, claro y explícito sobre su consideración salarial. De esta forma, la sustancial relevancia que esta iniciativa legislativa supone se nutre en el hacer avanzar nuestra legislación hacia un estadio mucho más garantista en términos laborales, asegurando una mayor equidad y transparencia en el tratamiento de los derechos de estos servidores.</w:t>
      </w:r>
    </w:p>
    <w:p w14:paraId="56FBCD81" w14:textId="77777777" w:rsidR="00934686" w:rsidRPr="00F87FAD" w:rsidRDefault="00934686" w:rsidP="00934686">
      <w:pPr>
        <w:ind w:left="720"/>
        <w:jc w:val="both"/>
        <w:rPr>
          <w:rFonts w:ascii="Work Sans" w:eastAsia="Work Sans" w:hAnsi="Work Sans" w:cs="Work Sans"/>
        </w:rPr>
      </w:pPr>
    </w:p>
    <w:p w14:paraId="222ABF0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Es importante destacar que este Proyecto de Ley fue elaborado en estrecha colaboración con los sindicatos de la Rama Judicial y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Se construyó principalmente con los sindicatos ASONAL JUDICIAL, ASONAL JUDICIAL S.I., UNISERCTI y SINTRAFISCALÍA. A su vez, otros sindicatos en colaboración como UNITRAJ, ASJUDFGN, SERFIGEN, SINTRAFISGENERAL, UNTRAFIS, ONTRAFIS, OSINAL, ASOTRABCOL. Esta participación conjunta garantiza que la iniciativa refleje fielmente las necesidades y aspiraciones de los trabajadores, al tiempo que contribuye a fortalecer el diálogo social y el consenso </w:t>
      </w:r>
      <w:r w:rsidRPr="00F87FAD">
        <w:rPr>
          <w:rFonts w:ascii="Work Sans" w:eastAsia="Work Sans" w:hAnsi="Work Sans" w:cs="Work Sans"/>
        </w:rPr>
        <w:lastRenderedPageBreak/>
        <w:t>en torno a una medida que busca, ante todo, garantizar justicia y equidad en el reconocimiento de la bonificación judicial como factor salarial para todos los efectos legales. En este contexto, el presente informe de ponencia se enfoca en detallar la importancia de esta bonificación, su impacto en los derechos laborales y sociales de los servidores públicos beneficiarios de la misma, la necesidad imperante de su reconocimiento como factor salarial para brindar estabilidad y justicia en el ámbito laboral, y revisar las cifras relacionadas con los procesos judiciales referentes a la bonificación judicial en contra de la Rama Judicial.</w:t>
      </w:r>
    </w:p>
    <w:p w14:paraId="3303C4D9" w14:textId="77777777" w:rsidR="008C530E" w:rsidRDefault="008C530E" w:rsidP="008C530E">
      <w:pPr>
        <w:ind w:left="720"/>
        <w:jc w:val="both"/>
        <w:rPr>
          <w:rFonts w:ascii="Work Sans" w:eastAsia="Work Sans" w:hAnsi="Work Sans" w:cs="Work Sans"/>
        </w:rPr>
      </w:pPr>
    </w:p>
    <w:p w14:paraId="46CCC997" w14:textId="6523F743" w:rsidR="00934686" w:rsidRPr="008C530E" w:rsidRDefault="00934686" w:rsidP="008C530E">
      <w:pPr>
        <w:pStyle w:val="Prrafodelista"/>
        <w:numPr>
          <w:ilvl w:val="0"/>
          <w:numId w:val="11"/>
        </w:numPr>
        <w:jc w:val="both"/>
        <w:rPr>
          <w:rFonts w:ascii="Work Sans" w:eastAsia="Work Sans" w:hAnsi="Work Sans" w:cs="Work Sans"/>
        </w:rPr>
      </w:pPr>
      <w:r w:rsidRPr="008C530E">
        <w:rPr>
          <w:rFonts w:ascii="Work Sans" w:eastAsia="Work Sans" w:hAnsi="Work Sans" w:cs="Work Sans"/>
          <w:b/>
          <w:bCs/>
        </w:rPr>
        <w:t>JUSTIFICACIÓN DEL PROYECTO DE LEY.</w:t>
      </w:r>
    </w:p>
    <w:p w14:paraId="61988DA0" w14:textId="77777777" w:rsidR="00F87FAD" w:rsidRPr="00F87FAD" w:rsidRDefault="00F87FAD" w:rsidP="00934686">
      <w:pPr>
        <w:ind w:left="720"/>
        <w:jc w:val="both"/>
        <w:rPr>
          <w:rFonts w:ascii="Work Sans" w:eastAsia="Work Sans" w:hAnsi="Work Sans" w:cs="Work Sans"/>
          <w:b/>
          <w:bCs/>
        </w:rPr>
      </w:pPr>
    </w:p>
    <w:p w14:paraId="395E6E29"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A. Creación y regulación de la ¨Bonificación Judicial¨ por parte del Ejecutivo.</w:t>
      </w:r>
    </w:p>
    <w:p w14:paraId="121BE135" w14:textId="77777777" w:rsidR="0033294F" w:rsidRPr="00F87FAD" w:rsidRDefault="0033294F" w:rsidP="00934686">
      <w:pPr>
        <w:ind w:left="720"/>
        <w:jc w:val="both"/>
        <w:rPr>
          <w:rFonts w:ascii="Work Sans" w:eastAsia="Work Sans" w:hAnsi="Work Sans" w:cs="Work Sans"/>
        </w:rPr>
      </w:pPr>
    </w:p>
    <w:p w14:paraId="76B4FF98" w14:textId="243908DE"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Antes de adentrarnos, tanto en la sustancia normativa como en los acontecimientos históricos que se constituyen como el fundamento argumentativo de la formulación de este proyecto de ley resulta importante denotar que la creación y regulación de la denominada ¨Bonificación Judicial¨ debe su paternidad al Poder Ejecutivo. En el año 2013 se expidió por parte del entonces </w:t>
      </w:r>
      <w:proofErr w:type="gramStart"/>
      <w:r w:rsidRPr="00F87FAD">
        <w:rPr>
          <w:rFonts w:ascii="Work Sans" w:eastAsia="Work Sans" w:hAnsi="Work Sans" w:cs="Work Sans"/>
        </w:rPr>
        <w:t>Ministro</w:t>
      </w:r>
      <w:proofErr w:type="gramEnd"/>
      <w:r w:rsidRPr="00F87FAD">
        <w:rPr>
          <w:rFonts w:ascii="Work Sans" w:eastAsia="Work Sans" w:hAnsi="Work Sans" w:cs="Work Sans"/>
        </w:rPr>
        <w:t xml:space="preserve"> de Hacienda, el Dr. Mauricio Cárdenas Santamaria, y la </w:t>
      </w:r>
      <w:proofErr w:type="gramStart"/>
      <w:r w:rsidRPr="00F87FAD">
        <w:rPr>
          <w:rFonts w:ascii="Work Sans" w:eastAsia="Work Sans" w:hAnsi="Work Sans" w:cs="Work Sans"/>
        </w:rPr>
        <w:t>Ministra</w:t>
      </w:r>
      <w:proofErr w:type="gramEnd"/>
      <w:r w:rsidRPr="00F87FAD">
        <w:rPr>
          <w:rFonts w:ascii="Work Sans" w:eastAsia="Work Sans" w:hAnsi="Work Sans" w:cs="Work Sans"/>
        </w:rPr>
        <w:t xml:space="preserve"> de Justicia y del Derecho, la Dra. Ruth Stella Correa Palacio, un paquete de decretos (382, 383 y 384 de 2013) que crearon y regularon la referida bonificación. Como se observará, el poder ejecutivo en la regulación de esta bonificación excluyó de manera expresa su carácter de factor salarial, más allá que para la base de cotización al Sistema General de Pensiones y al Sistema General de Seguridad Social en Salud, en perjuicio y desmedro de los derechos laborales de los servidores públicos beneficiarios de esta bonificación.</w:t>
      </w:r>
    </w:p>
    <w:p w14:paraId="5BAADEB8" w14:textId="77777777" w:rsidR="00934686" w:rsidRPr="00F87FAD" w:rsidRDefault="00934686" w:rsidP="00934686">
      <w:pPr>
        <w:ind w:left="720"/>
        <w:jc w:val="both"/>
        <w:rPr>
          <w:rFonts w:ascii="Work Sans" w:eastAsia="Work Sans" w:hAnsi="Work Sans" w:cs="Work Sans"/>
        </w:rPr>
      </w:pPr>
    </w:p>
    <w:p w14:paraId="18BE6F38" w14:textId="65BE51F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artículo 1 del Decreto 382 de 2013 creó y reguló la Bonificación Judicial para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en los siguientes términos:</w:t>
      </w:r>
    </w:p>
    <w:p w14:paraId="5CBD7AB4" w14:textId="73DF7491"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 xml:space="preserve">¨ARTÍCULO 1. </w:t>
      </w:r>
      <w:r w:rsidR="00263F4A" w:rsidRPr="00F87FAD">
        <w:rPr>
          <w:rFonts w:ascii="Work Sans" w:hAnsi="Work Sans"/>
          <w:i w:val="0"/>
          <w:iCs w:val="0"/>
          <w:color w:val="auto"/>
        </w:rPr>
        <w:t>Crease</w:t>
      </w:r>
      <w:r w:rsidRPr="00F87FAD">
        <w:rPr>
          <w:rFonts w:ascii="Work Sans" w:hAnsi="Work Sans"/>
          <w:i w:val="0"/>
          <w:iCs w:val="0"/>
          <w:color w:val="auto"/>
        </w:rPr>
        <w:t xml:space="preserve"> (sic) para los servidores de la </w:t>
      </w:r>
      <w:proofErr w:type="gramStart"/>
      <w:r w:rsidRPr="00F87FAD">
        <w:rPr>
          <w:rFonts w:ascii="Work Sans" w:hAnsi="Work Sans"/>
          <w:i w:val="0"/>
          <w:iCs w:val="0"/>
          <w:color w:val="auto"/>
        </w:rPr>
        <w:t>Fiscalía General</w:t>
      </w:r>
      <w:proofErr w:type="gramEnd"/>
      <w:r w:rsidRPr="00F87FAD">
        <w:rPr>
          <w:rFonts w:ascii="Work Sans" w:hAnsi="Work Sans"/>
          <w:i w:val="0"/>
          <w:iCs w:val="0"/>
          <w:color w:val="auto"/>
        </w:rPr>
        <w:t xml:space="preserve"> de la Nación a quienes se aplica el régimen salarial y prestacional establecido en el Decreto 53 de 1993, y que vienen rigiéndose por el decreto 875 de 2012 y por las disposiciones que lo modifiquen o sustituyan, una bonificación judicial, la cual se reconocerá mensualmente y constituirá únicamente factor salarial para la base de cotización al Sistema General de Pensiones y al Sistema General de Seguridad Social en Salud. (…)¨.</w:t>
      </w:r>
    </w:p>
    <w:p w14:paraId="5271CFB8" w14:textId="77777777" w:rsidR="00934686" w:rsidRPr="00F87FAD" w:rsidRDefault="00934686" w:rsidP="00934686">
      <w:pPr>
        <w:ind w:left="720"/>
        <w:jc w:val="both"/>
        <w:rPr>
          <w:rFonts w:ascii="Work Sans" w:eastAsia="Work Sans" w:hAnsi="Work Sans" w:cs="Work Sans"/>
        </w:rPr>
      </w:pPr>
    </w:p>
    <w:p w14:paraId="6C19308B" w14:textId="290ED172"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A su vez, el artículo 1 del Decreto 383 de 2013 creó y reguló la Bonificación Judicial para los servidores públicos de la Rama Judicial y de la Justicia Penal Militar en los siguientes términos:</w:t>
      </w:r>
    </w:p>
    <w:p w14:paraId="1D682694" w14:textId="77777777"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ARTÍCULO 1. Créase para los servidores de la Rama Judicial y de la Justicia Penal Militar a quienes se les aplica el régimen salarial y prestacional establecido en los Decretos 57 y 110 de 1993, 106 de 1994, 43 de 1995 y que vienen rigiéndose por el decreto 874 de 2012 y las disposiciones que lo modifiquen o sustituyan, una bonificación judicial, la cual se reconocerá mensualmente y constituirá únicamente factor salarial para la base de cotización al Sistema General de Pensiones y al Sistema General de Seguridad Social en Salud. (…)¨.</w:t>
      </w:r>
    </w:p>
    <w:p w14:paraId="3F9CCCC3" w14:textId="0E625186"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Igualmente, el artículo 1 del Decreto 384 de 2013 creó y reguló la Bonificación Judicial para los servidores públicos de la Dirección Ejecutiva de Administración Judicial y las Direcciones Seccionales de la Rama Judicial en los siguientes términos:</w:t>
      </w:r>
    </w:p>
    <w:p w14:paraId="7D683C3D" w14:textId="77777777"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¨ARTÍCULO 1. Créase para los servidores públicos de la Dirección Ejecutiva de Administración Judicial y las Direcciones Seccionales de la Rama Judicial, una bonificación judicial, la cual se reconocerá mensualmente y constituirá únicamente factor salarial para la base de cotización al Sistema General de Pensiones y al Sistema General de Seguridad Social en Salud. (…)¨.</w:t>
      </w:r>
    </w:p>
    <w:p w14:paraId="22DBE37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Luego, el artículo 1 del Decreto 022 de 2014, que modificó el Decreto 382 de 2013, recalcó que la Bonificación Judicial constituirá únicamente factor salarial para la base de cotización al Sistema General de Pensiones y al Sistema General de Seguridad Social en Salud:</w:t>
      </w:r>
    </w:p>
    <w:p w14:paraId="68B287C6" w14:textId="23068C02" w:rsidR="00934686" w:rsidRPr="00F87FAD" w:rsidRDefault="00934686" w:rsidP="00746698">
      <w:pPr>
        <w:pStyle w:val="Cita"/>
        <w:ind w:left="1440"/>
        <w:jc w:val="both"/>
        <w:rPr>
          <w:rFonts w:ascii="Work Sans" w:hAnsi="Work Sans"/>
        </w:rPr>
      </w:pPr>
      <w:r w:rsidRPr="00F87FAD">
        <w:rPr>
          <w:rFonts w:ascii="Work Sans" w:hAnsi="Work Sans"/>
          <w:color w:val="auto"/>
        </w:rPr>
        <w:t>¨</w:t>
      </w:r>
      <w:r w:rsidRPr="00F87FAD">
        <w:rPr>
          <w:rFonts w:ascii="Work Sans" w:hAnsi="Work Sans"/>
          <w:i w:val="0"/>
          <w:iCs w:val="0"/>
          <w:color w:val="auto"/>
        </w:rPr>
        <w:t>ARTÍCULO 1. Modificar el Decreto 0382 de 2013, mediante</w:t>
      </w:r>
      <w:r w:rsidR="00746698" w:rsidRPr="00F87FAD">
        <w:rPr>
          <w:rFonts w:ascii="Work Sans" w:hAnsi="Work Sans"/>
          <w:i w:val="0"/>
          <w:iCs w:val="0"/>
          <w:color w:val="auto"/>
        </w:rPr>
        <w:t xml:space="preserve"> </w:t>
      </w:r>
      <w:r w:rsidRPr="00F87FAD">
        <w:rPr>
          <w:rFonts w:ascii="Work Sans" w:hAnsi="Work Sans"/>
          <w:i w:val="0"/>
          <w:iCs w:val="0"/>
          <w:color w:val="auto"/>
        </w:rPr>
        <w:t>el cual se creó para los servidores de la Fiscalía General de la Nación, a quienes se aplica el régimen salarial y prestacional establecido en el Decreto 53 de 1993, y que vienen rigiéndose por el decreto 875 de 2012 y por las disposiciones que lo modifiquen o sustituyan, una bonificación judicial, la cual se reconocerá mensualmente y constituirá únicamente factor salarial para la base de cotización al Sistema General de Pensiones y al Sistema General de Seguridad Social en Salud. (…)¨.</w:t>
      </w:r>
    </w:p>
    <w:p w14:paraId="05BFB3B2" w14:textId="4D35F108" w:rsidR="00746698" w:rsidRPr="00F87FAD" w:rsidRDefault="00934686" w:rsidP="00746698">
      <w:pPr>
        <w:ind w:left="720"/>
        <w:jc w:val="both"/>
        <w:rPr>
          <w:rFonts w:ascii="Work Sans" w:eastAsia="Work Sans" w:hAnsi="Work Sans" w:cs="Work Sans"/>
        </w:rPr>
      </w:pPr>
      <w:r w:rsidRPr="00F87FAD">
        <w:rPr>
          <w:rFonts w:ascii="Work Sans" w:eastAsia="Work Sans" w:hAnsi="Work Sans" w:cs="Work Sans"/>
        </w:rPr>
        <w:t xml:space="preserve">Posteriormente, el artículo 1 del Decreto 1269 de 2015, que modificó el Decreto 383 de 2013, también ordenó que la bonificación no constituirá factor salarial más que </w:t>
      </w:r>
      <w:r w:rsidRPr="00F87FAD">
        <w:rPr>
          <w:rFonts w:ascii="Work Sans" w:eastAsia="Work Sans" w:hAnsi="Work Sans" w:cs="Work Sans"/>
        </w:rPr>
        <w:lastRenderedPageBreak/>
        <w:t>para la base de cotización al Sistema General de Pensiones y al Sistema General de Seguridad Social en Salud:</w:t>
      </w:r>
    </w:p>
    <w:p w14:paraId="07E91C6F" w14:textId="77777777"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¨ARTÍCULO 1. Ajustase la bonificación judicial creada en el Decreto 383 de 2013 para los servidores de la Rama Judicial y de la Justicia Penal Militar a quienes se les aplica el régimen salarial y prestacional establecido en los Decretos 57 y 110 de 1993, 106 de 1994, 43 de 1995 y que vienen rigiéndose por el decreto 874 de 2012 y las disposiciones que lo modifiquen o sustituyan, que se reconoce mensualmente y constituye únicamente factor salarial para la base de cotización al Sistema General de Pensiones y al Sistema General de Seguridad Social en Salud. (…)¨.</w:t>
      </w:r>
    </w:p>
    <w:p w14:paraId="14F4925D" w14:textId="64904795"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Respecto de los anteriores decretos, vale la pena aclarar que los mismos se expidieron toda vez que el Congreso de la República, mediante el parágrafo del artículo 14 de la ley 4 de 1992, habilitó y facultó al Gobierno Nacional para revisar ¨el sistema de remuneración de funcionarios y empleados de la Rama Judicial sobre la base de la nivelación o reclasificación atendiendo criterios de equidad¨. Nótese que la nivelación salarial prevista en ese parágrafo no estaba sujeta a ningún referente porcentual para el </w:t>
      </w:r>
      <w:r w:rsidR="00746698" w:rsidRPr="00F87FAD">
        <w:rPr>
          <w:rFonts w:ascii="Work Sans" w:eastAsia="Work Sans" w:hAnsi="Work Sans" w:cs="Work Sans"/>
        </w:rPr>
        <w:t>ajuste</w:t>
      </w:r>
      <w:r w:rsidRPr="00F87FAD">
        <w:rPr>
          <w:rFonts w:ascii="Work Sans" w:eastAsia="Work Sans" w:hAnsi="Work Sans" w:cs="Work Sans"/>
        </w:rPr>
        <w:t xml:space="preserve"> de las asignaciones salariales de los funcionarios y empleados de la Rama Judicial.</w:t>
      </w:r>
    </w:p>
    <w:p w14:paraId="27A94E41" w14:textId="77777777" w:rsidR="00746698" w:rsidRPr="00F87FAD" w:rsidRDefault="00746698" w:rsidP="00934686">
      <w:pPr>
        <w:ind w:left="720"/>
        <w:jc w:val="both"/>
        <w:rPr>
          <w:rFonts w:ascii="Work Sans" w:eastAsia="Work Sans" w:hAnsi="Work Sans" w:cs="Work Sans"/>
        </w:rPr>
      </w:pPr>
    </w:p>
    <w:p w14:paraId="059FAA91" w14:textId="47F3D34E"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artículo 14 de la Ley 4 de 1992, en su </w:t>
      </w:r>
      <w:r w:rsidR="00746698" w:rsidRPr="00F87FAD">
        <w:rPr>
          <w:rFonts w:ascii="Work Sans" w:eastAsia="Work Sans" w:hAnsi="Work Sans" w:cs="Work Sans"/>
        </w:rPr>
        <w:t>parágrafo</w:t>
      </w:r>
      <w:r w:rsidRPr="00F87FAD">
        <w:rPr>
          <w:rFonts w:ascii="Work Sans" w:eastAsia="Work Sans" w:hAnsi="Work Sans" w:cs="Work Sans"/>
        </w:rPr>
        <w:t>, ordenó:</w:t>
      </w:r>
    </w:p>
    <w:p w14:paraId="4B9E76C0"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¨ARTÍCULO 14. 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0B3F84B2"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Igualmente tendrán derecho a la prima de que trata el presente artículo, los delegados departamentales del Registrador Nacional del Estado Civil, los Registradores del Distrito Capital y los niveles Directivo y Asesor de la Registraduría Nacional del Estado Civil.</w:t>
      </w:r>
    </w:p>
    <w:p w14:paraId="595F39AB" w14:textId="06ECCF81"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PARÁGRAFO. Dentro del mismo término revisará el sistema de remuneración de funcionarios y empleados de la Rama Judicial sobre la base de la nivelación o reclasificación atendiendo criterios de equidad¨.</w:t>
      </w:r>
    </w:p>
    <w:p w14:paraId="3534296B" w14:textId="4D7BCD33"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 xml:space="preserve">Una vez leído el </w:t>
      </w:r>
      <w:r w:rsidR="00746698" w:rsidRPr="00F87FAD">
        <w:rPr>
          <w:rFonts w:ascii="Work Sans" w:eastAsia="Work Sans" w:hAnsi="Work Sans" w:cs="Work Sans"/>
        </w:rPr>
        <w:t>parágrafo</w:t>
      </w:r>
      <w:r w:rsidRPr="00F87FAD">
        <w:rPr>
          <w:rFonts w:ascii="Work Sans" w:eastAsia="Work Sans" w:hAnsi="Work Sans" w:cs="Work Sans"/>
        </w:rPr>
        <w:t xml:space="preserve"> del artículo 14 de la ley 4 de 1992, no se entiende porque el ejecutivo al momento de reglamentar la materia, de manera expresa, privó a los servidores públicos de que la Bonificación Judicial </w:t>
      </w:r>
      <w:r w:rsidR="00746698" w:rsidRPr="00F87FAD">
        <w:rPr>
          <w:rFonts w:ascii="Work Sans" w:eastAsia="Work Sans" w:hAnsi="Work Sans" w:cs="Work Sans"/>
        </w:rPr>
        <w:t>constituyera</w:t>
      </w:r>
      <w:r w:rsidRPr="00F87FAD">
        <w:rPr>
          <w:rFonts w:ascii="Work Sans" w:eastAsia="Work Sans" w:hAnsi="Work Sans" w:cs="Work Sans"/>
        </w:rPr>
        <w:t xml:space="preserve"> en forma plena factor salarial para todos los efectos legales. Es decir, al constituirse la bonificación únicamente factor salarial para la base de cotización al Sistema General de Seguridad Social en Pensiones y Salud, la excluyó como factor para liquidar otros efectos legales.</w:t>
      </w:r>
    </w:p>
    <w:p w14:paraId="2B66277A" w14:textId="77777777" w:rsidR="00746698" w:rsidRPr="00F87FAD" w:rsidRDefault="00746698" w:rsidP="00934686">
      <w:pPr>
        <w:ind w:left="720"/>
        <w:jc w:val="both"/>
        <w:rPr>
          <w:rFonts w:ascii="Work Sans" w:eastAsia="Work Sans" w:hAnsi="Work Sans" w:cs="Work Sans"/>
        </w:rPr>
      </w:pPr>
    </w:p>
    <w:p w14:paraId="2D25AE9C"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puede observarse que la prima creada en el primer inciso del artículo 14 no tiene carácter salarial por expresa disposición del legislador de aquél entonces. Posteriormente, ese aparte de ¨sin carácter salarial¨ fue declarado exequible por parte de la Corte Constitucional mediante la sentencia C-279 de 1996 de 24 de junio de 1996, de magistrado ponente el Dr. Hugo Palacios Mejía. A su vez, mediante Sentencia C-052 de 3 de febrero de 1999, de magistrado ponente el Dr. Fabio Morón Díaz, la Corte Constitucional declaró estarse a lo resuelto en la Sentencia C-279 de 1996.</w:t>
      </w:r>
    </w:p>
    <w:p w14:paraId="2A993923" w14:textId="77777777" w:rsidR="00746698" w:rsidRPr="00F87FAD" w:rsidRDefault="00746698" w:rsidP="00934686">
      <w:pPr>
        <w:ind w:left="720"/>
        <w:jc w:val="both"/>
        <w:rPr>
          <w:rFonts w:ascii="Work Sans" w:eastAsia="Work Sans" w:hAnsi="Work Sans" w:cs="Work Sans"/>
        </w:rPr>
      </w:pPr>
    </w:p>
    <w:p w14:paraId="19A86E1E" w14:textId="384B9666"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Dicha decisión de nuestro órgano de cierre </w:t>
      </w:r>
      <w:r w:rsidR="00746698" w:rsidRPr="00F87FAD">
        <w:rPr>
          <w:rFonts w:ascii="Work Sans" w:eastAsia="Work Sans" w:hAnsi="Work Sans" w:cs="Work Sans"/>
        </w:rPr>
        <w:t>constitucional</w:t>
      </w:r>
      <w:r w:rsidRPr="00F87FAD">
        <w:rPr>
          <w:rFonts w:ascii="Work Sans" w:eastAsia="Work Sans" w:hAnsi="Work Sans" w:cs="Work Sans"/>
        </w:rPr>
        <w:t xml:space="preserve"> se fundamentó en el contenido de la sentencia C 279 de 1996 en los siguientes términos:</w:t>
      </w:r>
    </w:p>
    <w:p w14:paraId="093E2BC2"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¨En varias ocasiones, la Jurisprudencia constitucional del país, expresada por la Corte Suprema de Justicia antes de 1991, y luego por la Corte Constitucional, ha manifestado que no existe derecho adquirido a la estabilidad de un régimen legal. Las normas legales acusadas bien podrían entonces disponer que no se consideran parte del salario, para efecto de liquidar prestaciones sociales, ciertas remuneraciones que, a la luz de criterios tradicionales, deberían haberse tenido como parte de aquél.</w:t>
      </w:r>
    </w:p>
    <w:p w14:paraId="73995066"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w:t>
      </w:r>
    </w:p>
    <w:p w14:paraId="118FA104" w14:textId="49895766"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La Corte Suprema de Justicia, en uno de sus recientes fallos sobre las modificaciones que en materia salarial en el sector privado introdujo la ley 50 de 1990, y en relación con la naturaleza jurídica de las primas, afirmó que:</w:t>
      </w:r>
    </w:p>
    <w:p w14:paraId="3C68F06D" w14:textId="34EAB248"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 xml:space="preserve">"En efecto, ni siquiera al legislador le está permitido contrariar la naturaleza de las cosas, y por lo mismo no podría disponer que un pago que retribuye la actividad del trabajador ya no sea salario. Lo que verdaderamente quiere decir la última parte del artículo 15 de la ley 50 de 1990, aunque debe reconocerse que su redacción no es la más afortunada, es que a partir de su vigencia pagos que son "salario" </w:t>
      </w:r>
      <w:r w:rsidRPr="00F87FAD">
        <w:rPr>
          <w:rFonts w:ascii="Work Sans" w:hAnsi="Work Sans"/>
          <w:i w:val="0"/>
          <w:iCs w:val="0"/>
          <w:color w:val="auto"/>
        </w:rPr>
        <w:lastRenderedPageBreak/>
        <w:t>pueden no obstante excluirse de la base de cómputo para la liquidación de otros beneficios laborales (prestaciones sociales, indemnizaciones, etc.).</w:t>
      </w:r>
    </w:p>
    <w:p w14:paraId="65F8F34F" w14:textId="77777777" w:rsidR="00EC08C0"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 xml:space="preserve">Este entendimiento de la norma es el único que racionalmente cabe hacer, ya que </w:t>
      </w:r>
      <w:r w:rsidR="00746698" w:rsidRPr="00F87FAD">
        <w:rPr>
          <w:rFonts w:ascii="Work Sans" w:hAnsi="Work Sans"/>
          <w:i w:val="0"/>
          <w:iCs w:val="0"/>
          <w:color w:val="auto"/>
        </w:rPr>
        <w:t>aun</w:t>
      </w:r>
      <w:r w:rsidRPr="00F87FAD">
        <w:rPr>
          <w:rFonts w:ascii="Work Sans" w:hAnsi="Work Sans"/>
          <w:i w:val="0"/>
          <w:iCs w:val="0"/>
          <w:color w:val="auto"/>
        </w:rPr>
        <w:t xml:space="preserve"> cuando habitualmente se ha tomado el salario como la medida para calcular las prestaciones sociales y las indemnizaciones que legalmente se establecen en favor del trabajador, no existe ningún motivo fundado en los preceptos constitucionales que rigen la materia o en la recta razón, que impida al legislador disponer que determinada prestación social o indemnización se liquide sin consideración al monto total del salario del trabajador, esto es, que se excluyan determinados factores no obstante su naturaleza salarial, y sin que pierdan por ello tal carácter.</w:t>
      </w:r>
    </w:p>
    <w:p w14:paraId="6D952766" w14:textId="059583A5"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Igualmente, la Corte Constitucional, ha sostenido que "el legislador conserva una cierta libertad para establecer, que componentes constituyen, o no salario, así como la de definir y desarrollar el concepto de salario, pues es de su competencia desarrollar la Constitución¨.</w:t>
      </w:r>
    </w:p>
    <w:p w14:paraId="0E155E3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conclusión, el anterior desarrollo jurisprudencial de la Corte Constitucional permite dilucidar con total precisión que es el legislador quien tiene la facultad, en ejercicio de su discrecionalidad legislativa, de fijar y/o modificar el ¨régimen salarial¨, y, entonces, admitir o excluir ciertos componentes del salario de la base de cálculo de las prestaciones sociales, siempre y cuando estos cambios sean racionales y respeten los principios constitucionales: ¨la realidad prima sobre las formas¨. En el presente caso, son estos legisladores, quienes pretenden con esta iniciativa legislativa dotar de certeza absoluta que la Bonificación Judicial obtenga el carácter de factor salarial para todos los efectos legales sin excepción alguna.</w:t>
      </w:r>
    </w:p>
    <w:p w14:paraId="03A849A6" w14:textId="77777777" w:rsidR="00746698" w:rsidRPr="00F87FAD" w:rsidRDefault="00746698" w:rsidP="00934686">
      <w:pPr>
        <w:ind w:left="720"/>
        <w:jc w:val="both"/>
        <w:rPr>
          <w:rFonts w:ascii="Work Sans" w:eastAsia="Work Sans" w:hAnsi="Work Sans" w:cs="Work Sans"/>
        </w:rPr>
      </w:pPr>
    </w:p>
    <w:p w14:paraId="64CCBFBE"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B. La noción de salario y los criterios que permiten su identificación.</w:t>
      </w:r>
    </w:p>
    <w:p w14:paraId="1EDD6B83" w14:textId="77777777" w:rsidR="00746698" w:rsidRPr="00F87FAD" w:rsidRDefault="00746698" w:rsidP="00934686">
      <w:pPr>
        <w:ind w:left="720"/>
        <w:jc w:val="both"/>
        <w:rPr>
          <w:rFonts w:ascii="Work Sans" w:eastAsia="Work Sans" w:hAnsi="Work Sans" w:cs="Work Sans"/>
        </w:rPr>
      </w:pPr>
    </w:p>
    <w:p w14:paraId="1DE4D2B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primer lugar, resulta importante señalar que, aunque no todas las leyes laborales de carácter general se aplican a las relaciones de trabajo de los empleados públicos, estas leyes contienen principios y conceptos del derecho laboral que son aplicables en cualquier tipo de relación laboral, ya sea pública o privada.</w:t>
      </w:r>
    </w:p>
    <w:p w14:paraId="4ECDB91C" w14:textId="77777777" w:rsidR="00746698" w:rsidRPr="00F87FAD" w:rsidRDefault="00746698" w:rsidP="00934686">
      <w:pPr>
        <w:ind w:left="720"/>
        <w:jc w:val="both"/>
        <w:rPr>
          <w:rFonts w:ascii="Work Sans" w:eastAsia="Work Sans" w:hAnsi="Work Sans" w:cs="Work Sans"/>
        </w:rPr>
      </w:pPr>
    </w:p>
    <w:p w14:paraId="6E745F2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Código Sustantivo del Trabajo en su título V ordena las disposiciones normativas relativas a ¨salarios¨. Puntualmente, en los artículos 127 y 126, se regulan los elementos integrantes del salario y los pagos que no constituyen salario:</w:t>
      </w:r>
    </w:p>
    <w:p w14:paraId="0173C04E"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lastRenderedPageBreak/>
        <w:t>¨ARTICULO 127. ELEMENTOS INTEGRANTES. Constituye salario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w:t>
      </w:r>
    </w:p>
    <w:p w14:paraId="50A50F21"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¨ARTICULO 128. PAGOS QUE NO CONSTITUYEN SALARIOS. No constituyen salario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Tampoco las prestaciones sociales de que tratan los títulos VIII y IX, ni los beneficios o auxilios habituales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w:t>
      </w:r>
    </w:p>
    <w:p w14:paraId="1A297895" w14:textId="77777777" w:rsidR="00746698" w:rsidRPr="00F87FAD" w:rsidRDefault="00746698" w:rsidP="00934686">
      <w:pPr>
        <w:ind w:left="720"/>
        <w:jc w:val="both"/>
        <w:rPr>
          <w:rFonts w:ascii="Work Sans" w:eastAsia="Work Sans" w:hAnsi="Work Sans" w:cs="Work Sans"/>
        </w:rPr>
      </w:pPr>
    </w:p>
    <w:p w14:paraId="674257ED" w14:textId="249F1FBF"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Al tenor de la legislación citada anteriormente, es evidente que según la legislación laboral colombiana el salario engloba todo aquello que el trabajador recibe en dinero o en especie como contraprestación directa del servicio prestado, siempre que sea reconocido de manera habitual y no por mera liberalidad del empleador. Nótese </w:t>
      </w:r>
      <w:r w:rsidR="00B37A7F" w:rsidRPr="00F87FAD">
        <w:rPr>
          <w:rFonts w:ascii="Work Sans" w:eastAsia="Work Sans" w:hAnsi="Work Sans" w:cs="Work Sans"/>
        </w:rPr>
        <w:t>que,</w:t>
      </w:r>
      <w:r w:rsidRPr="00F87FAD">
        <w:rPr>
          <w:rFonts w:ascii="Work Sans" w:eastAsia="Work Sans" w:hAnsi="Work Sans" w:cs="Work Sans"/>
        </w:rPr>
        <w:t xml:space="preserve"> en el presente caso, respecto de la disposición normativa que ocupa a este Proyecto de Ley, el artículo 1 de los decretos 382, 383 y 384 de 2013 dictamina que la Bonificación Judicial ¨se reconocerá mensualmente¨. De lo cual se deduce, con total certeza que no se trata entonces de una suma ocasional o que se reconozca por mera liberalidad del empleador.</w:t>
      </w:r>
    </w:p>
    <w:p w14:paraId="4865524D" w14:textId="77777777" w:rsidR="00B37A7F" w:rsidRPr="00F87FAD" w:rsidRDefault="00B37A7F" w:rsidP="00934686">
      <w:pPr>
        <w:ind w:left="720"/>
        <w:jc w:val="both"/>
        <w:rPr>
          <w:rFonts w:ascii="Work Sans" w:eastAsia="Work Sans" w:hAnsi="Work Sans" w:cs="Work Sans"/>
        </w:rPr>
      </w:pPr>
    </w:p>
    <w:p w14:paraId="77341CD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Ahora bien, aunque, de acuerdo con la normativa mencionada, los participantes en una relación laboral tienen la capacidad, en el ejercicio de su autonomía de voluntad y derecho de asociación, de pactar el reconocimiento y pago de emolumentos que no se considerarán como factor salarial para la liquidación de prestaciones sociales, dichos acuerdos no pueden contravenir los derechos mínimos fundamentales de los trabajadores establecidos en el artículo 53 de la Constitución Política, tales como la primacía de la realidad sobre las formalidades, </w:t>
      </w:r>
      <w:r w:rsidRPr="00F87FAD">
        <w:rPr>
          <w:rFonts w:ascii="Work Sans" w:eastAsia="Work Sans" w:hAnsi="Work Sans" w:cs="Work Sans"/>
        </w:rPr>
        <w:lastRenderedPageBreak/>
        <w:t>la irrenunciabilidad del salario y la garantía de una remuneración mínima, vital y móvil proporcional a la cantidad y calidad de trabajo.</w:t>
      </w:r>
    </w:p>
    <w:p w14:paraId="79EF5145" w14:textId="77777777" w:rsidR="00B37A7F" w:rsidRPr="00F87FAD" w:rsidRDefault="00B37A7F" w:rsidP="00934686">
      <w:pPr>
        <w:ind w:left="720"/>
        <w:jc w:val="both"/>
        <w:rPr>
          <w:rFonts w:ascii="Work Sans" w:eastAsia="Work Sans" w:hAnsi="Work Sans" w:cs="Work Sans"/>
        </w:rPr>
      </w:pPr>
    </w:p>
    <w:p w14:paraId="2542C2E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Tal fue el criterio adoptado por la Corte Constitucional en sentencia T-1029 de 2012, al precisar que:</w:t>
      </w:r>
    </w:p>
    <w:p w14:paraId="424992BF" w14:textId="77777777" w:rsidR="00B37A7F" w:rsidRPr="00F87FAD" w:rsidRDefault="00B37A7F" w:rsidP="00934686">
      <w:pPr>
        <w:ind w:left="720"/>
        <w:jc w:val="both"/>
        <w:rPr>
          <w:rFonts w:ascii="Work Sans" w:eastAsia="Work Sans" w:hAnsi="Work Sans" w:cs="Work Sans"/>
        </w:rPr>
      </w:pPr>
    </w:p>
    <w:p w14:paraId="04CACF1A"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“La Corte recuerda que los extremos de las relaciones laborales se encuentran vinculados a los principios constitucionales y a los derechos fundamentales del trabajador, porque aquellos no son enteramente libres al momento de acordar las cláusulas de exclusión salarial previstas en el artículo 128 del C.S.T. La sentencia C-521 de 1995 advirtió que los pactos de desregularización salarial son constitucionales, siempre que no vulneren derechos irrenunciables del trabajador. El artículo 53 de la Carta Política establece que la irrenunciabilidad del salario es un mínimo que el trabajador no puede ceder.</w:t>
      </w:r>
    </w:p>
    <w:p w14:paraId="73F884EE" w14:textId="77777777" w:rsidR="00EC08C0"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 (…).</w:t>
      </w:r>
    </w:p>
    <w:p w14:paraId="48D40A84" w14:textId="35C0F2D1"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En síntesis, la Sala precisa que la interpretación del artículo 128 contiene las siguientes premisas:</w:t>
      </w:r>
    </w:p>
    <w:p w14:paraId="1BDFC5AF"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Es una norma que establece por vía de ejemplo los pagos que no son constitutivos de salario, que corresponden a:“(i) los montos que la doctrina ha denominado como ´pagos no constitutivos de salario´, descritos por el artículo 128 CST, y relativos a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(ii) el descanso remunerado generado por las vacaciones o los días no laborables; (iii) los beneficios o auxilios habituales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 según lo expresa el artículo 128 CST; y (iv) las indemnizaciones”[122].</w:t>
      </w:r>
    </w:p>
    <w:p w14:paraId="3C8C1358"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lastRenderedPageBreak/>
        <w:t>Las partes tienen la autonomía para estipular pagos extralegales que se cancelan de forma ocasional o habitual y señalar que esos no revisten la naturaleza de salarios. Estos acuerdos serán válidos además de eficaces siempre y cuando ese rubro no tenga connotación salarial.</w:t>
      </w:r>
    </w:p>
    <w:p w14:paraId="4E98E363"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El juez laboral debe evaluar si el pacto que excluye el carácter salarial de un pago es una remuneración al trabajador por el servicio prestado o si cuenta con los elementos establecidos en el artículo 127 de Código Sustantivo del Trabajo, estudiando las circunstancias de cada caso concreto, las pruebas que obran en el expediente y atendiendo a la finalidad del ingreso.</w:t>
      </w:r>
    </w:p>
    <w:p w14:paraId="5B4EB355"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La simple consagración del pacto de desregularización salarial no le quita la naturaleza de salario a un pago que tiene ese carácter.</w:t>
      </w:r>
    </w:p>
    <w:p w14:paraId="0D3C5304" w14:textId="70ED5124" w:rsidR="00934686"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En virtud del principio de la primacía de la realidad sobre las formas, el ordenamiento jurídico estableció la sanción de ineficacia a los desembolsos que siendo salarios pretenden esconder dicha característica a través de un convenio entre las partes del contrato de trabajo o una decisión unilateral.”</w:t>
      </w:r>
    </w:p>
    <w:p w14:paraId="5E498948"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De igual forma, la Sala de Consulta y Servicio Civil del Consejo de Estado, mediante Concepto Nro. 1393 del 18 de junio de 2022, señaló que:</w:t>
      </w:r>
    </w:p>
    <w:p w14:paraId="46247E46"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"El salario "... aparece (...) como la remuneración social más inmediata o directa que el trabajador recibe por la transmisión que hace de su fuerza de trabajo para ponerla a disposición del empleador". En efecto, según el artículo 127 del Código Sustantivo de Trabajo (subrogado por el artículo 14 de la ley 50 de 1990) "constituye salario no solo la remunerativo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En similar sentido el artículo 42 del decreto 1042 de 1978 establece que además de la asignación básica fijada por la ley para los diferentes cargos, del valor del trabajo suplementario y del realizado en jornada nocturna o en días de descanso obligatorio, constituyen salario todas las sumas que habitual y periódicamente recibe el empleado como retribución por sus servicios.".</w:t>
      </w:r>
    </w:p>
    <w:p w14:paraId="010D2B9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A su vez, la Alta Corporación de lo Contencioso Administrativo en sentencia del 7 de diciembre de 2006, integrando los conceptos de salario presentes en nuestro ordenamiento, indicó de forma general que:</w:t>
      </w:r>
    </w:p>
    <w:p w14:paraId="714DB909"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"por salario debe entenderse no solo la remuneración básica mensual sino todo lo que el empleado percibe por concepto de salario, en otras palabras, todo lo que devengue periódicamente como retribución de sus servicios”.</w:t>
      </w:r>
    </w:p>
    <w:p w14:paraId="4DC07A2B" w14:textId="1ABDEF3F"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Posteriormente, en sentencia del 1 de agosto de 2013, con ponencia del </w:t>
      </w:r>
      <w:proofErr w:type="gramStart"/>
      <w:r w:rsidRPr="00F87FAD">
        <w:rPr>
          <w:rFonts w:ascii="Work Sans" w:eastAsia="Work Sans" w:hAnsi="Work Sans" w:cs="Work Sans"/>
        </w:rPr>
        <w:t>Consejero</w:t>
      </w:r>
      <w:proofErr w:type="gramEnd"/>
      <w:r w:rsidRPr="00F87FAD">
        <w:rPr>
          <w:rFonts w:ascii="Work Sans" w:eastAsia="Work Sans" w:hAnsi="Work Sans" w:cs="Work Sans"/>
        </w:rPr>
        <w:t xml:space="preserve"> Gerardo Arenas Monsalve, el Consejo de Estado, al resolver un caso sobre el carácter salarial de la prima de riesgo que percibían los servidores del extinto Departamento Administrativo de Seguridad </w:t>
      </w:r>
      <w:r w:rsidR="00263F4A" w:rsidRPr="00F87FAD">
        <w:rPr>
          <w:rFonts w:ascii="Work Sans" w:eastAsia="Work Sans" w:hAnsi="Work Sans" w:cs="Work Sans"/>
        </w:rPr>
        <w:t>DAS</w:t>
      </w:r>
      <w:r w:rsidRPr="00F87FAD">
        <w:rPr>
          <w:rFonts w:ascii="Work Sans" w:eastAsia="Work Sans" w:hAnsi="Work Sans" w:cs="Work Sans"/>
        </w:rPr>
        <w:t>, dijo lo siguiente:</w:t>
      </w:r>
    </w:p>
    <w:p w14:paraId="66ADD1A8"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la jurisprudencia de esta Corporación ha entendido por salario la remuneración que percibe el trabajador por la prestación de un servicio a favor del empleador, de forma personal directa y subordinada, el cual, no sólo está integrado por una remuneración básica u ordinaria sino también, por todo lo que bajo cualquier otra denominación o concepto, en dinero o en especies, ingrese al patrimonio del trabajador en razón a la prestación de sus servicios.</w:t>
      </w:r>
    </w:p>
    <w:p w14:paraId="6C1B9836" w14:textId="012F3215"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Bajo estos supuestos, ha de decirse que todas las sumas que de manera habitual v periódica perciba el trabajador, son factores que integran el salario que éste percibe lo que incide de manera directa en la forma cómo se establecen los ingresos base de cotización v liquidación de una prestación pensional."</w:t>
      </w:r>
    </w:p>
    <w:p w14:paraId="79AB529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similar sentido, el Consejo de Estado al analizar la situación particular de los funcionarios de la DIAN, en sentencia del 6 de julio de 2015 hizo referencia a la importancia de no desconocer el carácter salarial de los pagos que constituyen salario, so pena de desmejorar las condiciones laborales de los servidores que devengan algún tipo de beneficio o incentivo como parte de su salario, así:</w:t>
      </w:r>
    </w:p>
    <w:p w14:paraId="5DDE73D7" w14:textId="48EB7019"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"Y es que ha sido reiterativa la postura que esta Corporación ha tenido respecto del artículo 127 del CST. en el sentido de que "Constituye salario no solo la remuneración fija u ordinaria, sino todo lo que recibe el trabajador en dinero o en especie y que implique retribución de servicios, sea cualquiera la denominación que se adopte...". Bajo ese entendido, el mentado "incentivo" que acá se analiza no tiene causa distinta a la del servicio que presta el funcionario e indudablemente es factor salarial lo que hace forzoso concluir que restarle esa categorización a dicho emolumento y despojar ese porcentaje del </w:t>
      </w:r>
      <w:r w:rsidRPr="00F87FAD">
        <w:rPr>
          <w:rFonts w:ascii="Work Sans" w:hAnsi="Work Sans"/>
          <w:i w:val="0"/>
          <w:iCs w:val="0"/>
          <w:color w:val="auto"/>
        </w:rPr>
        <w:lastRenderedPageBreak/>
        <w:t>salario, sería tanto como desmejorar en sus condiciones laborales a los servidores que devengan tal suma de dinero sin que la misma haga parte del salario.</w:t>
      </w:r>
    </w:p>
    <w:p w14:paraId="3C8C582D" w14:textId="6B3D38B0"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Por ello, el “incentivo" en mención, es ni más ni menos que una parte de salario que se da por retribución del servicio y no una prestación social a título de complemento para satisfacer las necesidades del empleado o su familia, por lo que necesariamente ha de formar parte de la asignación mensual que devengan los empleados de planta de la DIAN, so pena de estar desmejorándolos en sus condiciones laborales."</w:t>
      </w:r>
    </w:p>
    <w:p w14:paraId="6F1F90C9" w14:textId="36656DE4"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En concreto, la Corte Constitucional mediante la sentencia C 892 de 2009, puntualizó sobre la </w:t>
      </w:r>
      <w:r w:rsidR="00B37A7F" w:rsidRPr="00F87FAD">
        <w:rPr>
          <w:rFonts w:ascii="Work Sans" w:eastAsia="Work Sans" w:hAnsi="Work Sans" w:cs="Work Sans"/>
        </w:rPr>
        <w:t>definición</w:t>
      </w:r>
      <w:r w:rsidRPr="00F87FAD">
        <w:rPr>
          <w:rFonts w:ascii="Work Sans" w:eastAsia="Work Sans" w:hAnsi="Work Sans" w:cs="Work Sans"/>
        </w:rPr>
        <w:t xml:space="preserve"> de ¨</w:t>
      </w:r>
      <w:r w:rsidR="00B37A7F" w:rsidRPr="00F87FAD">
        <w:rPr>
          <w:rFonts w:ascii="Work Sans" w:eastAsia="Work Sans" w:hAnsi="Work Sans" w:cs="Work Sans"/>
        </w:rPr>
        <w:t>salario que</w:t>
      </w:r>
      <w:r w:rsidRPr="00F87FAD">
        <w:rPr>
          <w:rFonts w:ascii="Work Sans" w:eastAsia="Work Sans" w:hAnsi="Work Sans" w:cs="Work Sans"/>
        </w:rPr>
        <w:t>:</w:t>
      </w:r>
    </w:p>
    <w:p w14:paraId="62816AD0"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”Según lo dispone el artículo 127 CST., subrogado por el artículo 14 de la Ley 50/90, el salario está conformado no sólo por la remuneración ordinaria, fija o variable, sino todo lo que recibe el trabajador en dinero o en especie como contra 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En ese sentido. se trata de un criterio amplio, que cobija a las distintas modalidades de ingreso del trabajador, generadas por la retribución del servicio personal que presta al empleador.</w:t>
      </w:r>
    </w:p>
    <w:p w14:paraId="29025214" w14:textId="7D823765"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Esta definición excluye, por ende, otro tipo de ingresos laborales que no están dirigidos a retribuir dicho servicio, sino a asumir riesgos o gastos de otra naturaleza. Así, dentro de la categoría de pagos no constitutivos de salario quedan incorporados (i) las indemnizaciones que asume el patrono por daños o demás detrimentos que sufra el trabajador en el marco de la relación laboral; (ii) la remuneración del trabajador durante el descanso obligatorio (vacaciones y días no laborables de naturaleza legal y/o estipulados en el contrato respectivo); iii) las sumas o bienes que recibe el trabajador con el fin de ejercer cabalmente sus funciones, como sucede con el auxilio de transporte de que trata la Ley 15/59, al igual que los demás conceptos que enlista el artículo 128 CST.; y (iv) aquellos montos que recibe el trabajador por simple liberalidad del empleador y no como contraprestación por el servicio personal que presta, según lo dispone el citado precepto del Código Sustantivo del Trabajo."</w:t>
      </w:r>
    </w:p>
    <w:p w14:paraId="591381D6" w14:textId="310A2E48"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 xml:space="preserve">Como hemos </w:t>
      </w:r>
      <w:r w:rsidR="00B37A7F" w:rsidRPr="00F87FAD">
        <w:rPr>
          <w:rFonts w:ascii="Work Sans" w:eastAsia="Work Sans" w:hAnsi="Work Sans" w:cs="Work Sans"/>
        </w:rPr>
        <w:t>demostrado</w:t>
      </w:r>
      <w:r w:rsidRPr="00F87FAD">
        <w:rPr>
          <w:rFonts w:ascii="Work Sans" w:eastAsia="Work Sans" w:hAnsi="Work Sans" w:cs="Work Sans"/>
        </w:rPr>
        <w:t xml:space="preserve"> con jurisprudencia de los órganos de cierre tanto en materia constitucional como contencioso </w:t>
      </w:r>
      <w:r w:rsidR="00B37A7F" w:rsidRPr="00F87FAD">
        <w:rPr>
          <w:rFonts w:ascii="Work Sans" w:eastAsia="Work Sans" w:hAnsi="Work Sans" w:cs="Work Sans"/>
        </w:rPr>
        <w:t>administrativa</w:t>
      </w:r>
      <w:r w:rsidRPr="00F87FAD">
        <w:rPr>
          <w:rFonts w:ascii="Work Sans" w:eastAsia="Work Sans" w:hAnsi="Work Sans" w:cs="Work Sans"/>
        </w:rPr>
        <w:t>, cuando se hace referencia al concepto de salario, sin perjuicio de la denominación que se le atribuya, todo pago habitual que reciba el trabajador en contraprestación de su servicio personal constituye salario, incluidas las Bonificaciones Judiciales Habituales, como es el caso de los decretos 382, 383 y 384 de 2013.</w:t>
      </w:r>
    </w:p>
    <w:p w14:paraId="4BFADCCA" w14:textId="77777777" w:rsidR="00B37A7F" w:rsidRPr="00F87FAD" w:rsidRDefault="00B37A7F" w:rsidP="00934686">
      <w:pPr>
        <w:ind w:left="720"/>
        <w:jc w:val="both"/>
        <w:rPr>
          <w:rFonts w:ascii="Work Sans" w:eastAsia="Work Sans" w:hAnsi="Work Sans" w:cs="Work Sans"/>
        </w:rPr>
      </w:pPr>
    </w:p>
    <w:p w14:paraId="5C68CDE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Adicionado a lo anterior, por mandato constitucional del artículo 150, numeral 19, inciso ¨e¨, corresponde al Congreso de la República fijar el régimen salarial y prestacional de los empleados públicos, lo cual implica que el legislador tiene la facultad de determinar lo que constituye o no salario. Razón por la cual, la presente iniciativa apunta de manera directa a otorgar el carácter de factor salarial de manera general a la Bonificación Judicial de que tratan los decretos mencionados de manera precedente.</w:t>
      </w:r>
    </w:p>
    <w:p w14:paraId="63F83622" w14:textId="77777777" w:rsidR="00B37A7F" w:rsidRPr="00F87FAD" w:rsidRDefault="00B37A7F" w:rsidP="00934686">
      <w:pPr>
        <w:ind w:left="720"/>
        <w:jc w:val="both"/>
        <w:rPr>
          <w:rFonts w:ascii="Work Sans" w:eastAsia="Work Sans" w:hAnsi="Work Sans" w:cs="Work Sans"/>
        </w:rPr>
      </w:pPr>
    </w:p>
    <w:p w14:paraId="3BAFE49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Con el ánimo de imprimir solidez argumentativa al anterior argumento, nótese el desarrollo jurisprudencial que realizó la Corte Constitucional en la sentencia C 521 de 1995:</w:t>
      </w:r>
    </w:p>
    <w:p w14:paraId="65E26919" w14:textId="77777777" w:rsidR="00934686" w:rsidRPr="00F87FAD" w:rsidRDefault="00934686" w:rsidP="00B37A7F">
      <w:pPr>
        <w:pStyle w:val="Cita"/>
        <w:ind w:left="1440"/>
        <w:jc w:val="both"/>
        <w:rPr>
          <w:rFonts w:ascii="Work Sans" w:hAnsi="Work Sans"/>
          <w:color w:val="auto"/>
        </w:rPr>
      </w:pPr>
      <w:r w:rsidRPr="00F87FAD">
        <w:rPr>
          <w:rFonts w:ascii="Work Sans" w:hAnsi="Work Sans"/>
          <w:color w:val="auto"/>
        </w:rPr>
        <w:t>"</w:t>
      </w:r>
      <w:r w:rsidRPr="00F87FAD">
        <w:rPr>
          <w:rFonts w:ascii="Work Sans" w:hAnsi="Work Sans"/>
          <w:i w:val="0"/>
          <w:iCs w:val="0"/>
          <w:color w:val="auto"/>
        </w:rPr>
        <w:t>Estima la Sala que es de la competencia del legislador, dentro de la libertad que tiene como conformador de la norma jurídica, determinar los elementos de la retribución directa del servicio dentro de la relación laboral subordinada, esto es, lo que constituye salario, con arreglo a los criterios y principios ya mencionados, lo cual le impide desconocer la primacía de la realidad sobre la forma v mudar arbitrariamente la naturaleza de las cosas, como sería quitarle la naturaleza de salario a lo que realmente tiene este carácter. (...)"</w:t>
      </w:r>
    </w:p>
    <w:p w14:paraId="64D71A3C" w14:textId="77777777" w:rsidR="00B37A7F" w:rsidRPr="00F87FAD" w:rsidRDefault="00B37A7F" w:rsidP="00934686">
      <w:pPr>
        <w:ind w:left="720"/>
        <w:jc w:val="both"/>
        <w:rPr>
          <w:rFonts w:ascii="Work Sans" w:eastAsia="Work Sans" w:hAnsi="Work Sans" w:cs="Work Sans"/>
        </w:rPr>
      </w:pPr>
    </w:p>
    <w:p w14:paraId="39E6CCE8"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 xml:space="preserve">C. Cese de actividades de los funcionarios de la Rama Judicial y de la </w:t>
      </w:r>
      <w:proofErr w:type="gramStart"/>
      <w:r w:rsidRPr="00F87FAD">
        <w:rPr>
          <w:rFonts w:ascii="Work Sans" w:eastAsia="Work Sans" w:hAnsi="Work Sans" w:cs="Work Sans"/>
          <w:b/>
          <w:bCs/>
        </w:rPr>
        <w:t>Fiscalía General</w:t>
      </w:r>
      <w:proofErr w:type="gramEnd"/>
      <w:r w:rsidRPr="00F87FAD">
        <w:rPr>
          <w:rFonts w:ascii="Work Sans" w:eastAsia="Work Sans" w:hAnsi="Work Sans" w:cs="Work Sans"/>
          <w:b/>
          <w:bCs/>
        </w:rPr>
        <w:t xml:space="preserve"> de la Nación.</w:t>
      </w:r>
    </w:p>
    <w:p w14:paraId="3EAAFBFC" w14:textId="77777777" w:rsidR="00B37A7F" w:rsidRPr="00F87FAD" w:rsidRDefault="00B37A7F" w:rsidP="00934686">
      <w:pPr>
        <w:ind w:left="720"/>
        <w:jc w:val="both"/>
        <w:rPr>
          <w:rFonts w:ascii="Work Sans" w:eastAsia="Work Sans" w:hAnsi="Work Sans" w:cs="Work Sans"/>
        </w:rPr>
      </w:pPr>
    </w:p>
    <w:p w14:paraId="664FBE8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La expedición de los decretos 382, 383 y 384 de 2013, 022 de 2014 y 1269 de 2015 tuvo cómo génesis el cese de actividades de los funcionarios de la Rama Judicial y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Dicha huelga se solucionó en parte, con la firma del Acta de Acuerdo conformándose una Mesa técnica Paritaria, con el fin de revisar la remuneración de tales servidores, con una adición presupuestal por importe de un billón doscientos veinte mil millones ($1.220.000.000.000) de pesos m/cte, cifra a dividir durante las vigencias fiscales de 2013 a 2018.</w:t>
      </w:r>
    </w:p>
    <w:p w14:paraId="1C1BBA4E" w14:textId="77777777" w:rsidR="00EC08C0" w:rsidRPr="00F87FAD" w:rsidRDefault="00EC08C0" w:rsidP="00934686">
      <w:pPr>
        <w:ind w:left="720"/>
        <w:jc w:val="both"/>
        <w:rPr>
          <w:rFonts w:ascii="Work Sans" w:eastAsia="Work Sans" w:hAnsi="Work Sans" w:cs="Work Sans"/>
        </w:rPr>
      </w:pPr>
    </w:p>
    <w:p w14:paraId="1C4DA14E"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Sea lo primero señalar, que la desventaja no se generó por el incumplimiento de la orden de nivelación salarial, establecida en el parágrafo del artículo 14 de la Ley 4 </w:t>
      </w:r>
      <w:r w:rsidRPr="00F87FAD">
        <w:rPr>
          <w:rFonts w:ascii="Work Sans" w:eastAsia="Work Sans" w:hAnsi="Work Sans" w:cs="Work Sans"/>
        </w:rPr>
        <w:lastRenderedPageBreak/>
        <w:t>de 1992, pues como se expuso en el párrafo más arriba, aquella ya había sido modulada por el Gobierno Nacional, a través de los Decretos 53 y 57 de 1993. Por el contrario, el menoscabo salarial alegado por dicho sector estuvo fundado en la expedición del Decreto 610 de 1998, el cual reguló la bonificación por compensación por los Magistrados del Tribunal. Esta normativa derivó que los demás empleados y funcionarios de la Rama Judicial solicitaran una nueva intervención del Gobierno Nacional para reajustar su escala salarial.</w:t>
      </w:r>
    </w:p>
    <w:p w14:paraId="646BE03B" w14:textId="77777777" w:rsidR="00EC08C0" w:rsidRPr="00F87FAD" w:rsidRDefault="00EC08C0" w:rsidP="00934686">
      <w:pPr>
        <w:ind w:left="720"/>
        <w:jc w:val="both"/>
        <w:rPr>
          <w:rFonts w:ascii="Work Sans" w:eastAsia="Work Sans" w:hAnsi="Work Sans" w:cs="Work Sans"/>
        </w:rPr>
      </w:pPr>
    </w:p>
    <w:p w14:paraId="6931F9C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Como consecuencia de lo anterior se adelantó una mesa paritaria, tal como consta en el Acta de Acuerdo del 6 de noviembre de 2012, la cual tuvo como continuación el Acta del 8 de enero de 2013, dando lugar a la expedición de los siguientes Decretos:</w:t>
      </w:r>
    </w:p>
    <w:p w14:paraId="47B8F772" w14:textId="77777777" w:rsidR="00EC08C0" w:rsidRPr="00F87FAD" w:rsidRDefault="00EC08C0" w:rsidP="00934686">
      <w:pPr>
        <w:ind w:left="720"/>
        <w:jc w:val="both"/>
        <w:rPr>
          <w:rFonts w:ascii="Work Sans" w:eastAsia="Work Sans" w:hAnsi="Work Sans" w:cs="Work Sans"/>
        </w:rPr>
      </w:pPr>
    </w:p>
    <w:p w14:paraId="42284D22" w14:textId="77777777" w:rsidR="00EC08C0" w:rsidRPr="00F87FAD" w:rsidRDefault="00EC08C0" w:rsidP="00EC08C0">
      <w:pPr>
        <w:pStyle w:val="Prrafodelista"/>
        <w:ind w:left="1440" w:right="709"/>
        <w:jc w:val="both"/>
        <w:rPr>
          <w:rFonts w:ascii="Work Sans" w:eastAsia="Work Sans" w:hAnsi="Work Sans" w:cs="Work Sans"/>
        </w:rPr>
      </w:pPr>
      <w:r w:rsidRPr="00F87FAD">
        <w:rPr>
          <w:rFonts w:ascii="Work Sans" w:eastAsia="Work Sans" w:hAnsi="Work Sans" w:cs="Work Sans"/>
        </w:rPr>
        <w:t xml:space="preserve">1. </w:t>
      </w:r>
      <w:r w:rsidR="00934686" w:rsidRPr="00F87FAD">
        <w:rPr>
          <w:rFonts w:ascii="Work Sans" w:eastAsia="Work Sans" w:hAnsi="Work Sans" w:cs="Work Sans"/>
        </w:rPr>
        <w:t xml:space="preserve">Decreto 382 de 2013 mediante el cual se crea la bonificación Judicial para los servidores públicos de la </w:t>
      </w:r>
      <w:proofErr w:type="gramStart"/>
      <w:r w:rsidR="00934686" w:rsidRPr="00F87FAD">
        <w:rPr>
          <w:rFonts w:ascii="Work Sans" w:eastAsia="Work Sans" w:hAnsi="Work Sans" w:cs="Work Sans"/>
        </w:rPr>
        <w:t>Fiscalía General</w:t>
      </w:r>
      <w:proofErr w:type="gramEnd"/>
      <w:r w:rsidR="00934686" w:rsidRPr="00F87FAD">
        <w:rPr>
          <w:rFonts w:ascii="Work Sans" w:eastAsia="Work Sans" w:hAnsi="Work Sans" w:cs="Work Sans"/>
        </w:rPr>
        <w:t xml:space="preserve"> de la Nación.</w:t>
      </w:r>
    </w:p>
    <w:p w14:paraId="00CA68D7" w14:textId="77777777" w:rsidR="0033294F" w:rsidRPr="00F87FAD" w:rsidRDefault="0033294F" w:rsidP="00EC08C0">
      <w:pPr>
        <w:pStyle w:val="Prrafodelista"/>
        <w:ind w:left="1440" w:right="709"/>
        <w:jc w:val="both"/>
        <w:rPr>
          <w:rFonts w:ascii="Work Sans" w:eastAsia="Work Sans" w:hAnsi="Work Sans" w:cs="Work Sans"/>
        </w:rPr>
      </w:pPr>
    </w:p>
    <w:p w14:paraId="07CFEA59"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2. Decreto 382 de 2013 mediante el cual se crea la bonificación Judicial para los servidores públicos de la Rama Judicial y de la Justicia Penal Militar</w:t>
      </w:r>
    </w:p>
    <w:p w14:paraId="530FF2BB" w14:textId="77777777" w:rsidR="0033294F" w:rsidRPr="00F87FAD" w:rsidRDefault="0033294F" w:rsidP="00EC08C0">
      <w:pPr>
        <w:pStyle w:val="Prrafodelista"/>
        <w:ind w:left="1440" w:right="709"/>
        <w:jc w:val="both"/>
        <w:rPr>
          <w:rFonts w:ascii="Work Sans" w:eastAsia="Work Sans" w:hAnsi="Work Sans" w:cs="Work Sans"/>
        </w:rPr>
      </w:pPr>
    </w:p>
    <w:p w14:paraId="25139C0C"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3. Decreto 383 de 2013 mediante el cual se crea la bonificación Judicial para los servidores públicos de la Dirección Ejecutiva de Administración Judicial y las Direcciones Seccionales de la Rama Judicial.</w:t>
      </w:r>
    </w:p>
    <w:p w14:paraId="61896DA9" w14:textId="77777777" w:rsidR="0033294F" w:rsidRPr="00F87FAD" w:rsidRDefault="0033294F" w:rsidP="00EC08C0">
      <w:pPr>
        <w:pStyle w:val="Prrafodelista"/>
        <w:ind w:left="1440" w:right="709"/>
        <w:jc w:val="both"/>
        <w:rPr>
          <w:rFonts w:ascii="Work Sans" w:eastAsia="Work Sans" w:hAnsi="Work Sans" w:cs="Work Sans"/>
        </w:rPr>
      </w:pPr>
    </w:p>
    <w:p w14:paraId="5FAFD81B"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4. Decreto 022 de 2014 mediante el cual se modifica el decreto 382 de 2013.</w:t>
      </w:r>
    </w:p>
    <w:p w14:paraId="0447A165" w14:textId="77777777" w:rsidR="0033294F" w:rsidRPr="00F87FAD" w:rsidRDefault="0033294F" w:rsidP="00EC08C0">
      <w:pPr>
        <w:pStyle w:val="Prrafodelista"/>
        <w:ind w:left="1440" w:right="709"/>
        <w:jc w:val="both"/>
        <w:rPr>
          <w:rFonts w:ascii="Work Sans" w:eastAsia="Work Sans" w:hAnsi="Work Sans" w:cs="Work Sans"/>
        </w:rPr>
      </w:pPr>
    </w:p>
    <w:p w14:paraId="3D47922B" w14:textId="09E635EF" w:rsidR="00934686"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5. Decreto 1269 de 2015 mediante el cual se modifica el decreto 383 de 2013.</w:t>
      </w:r>
    </w:p>
    <w:p w14:paraId="3D3C5DEA" w14:textId="77777777" w:rsidR="008C530E" w:rsidRPr="00F87FAD" w:rsidRDefault="008C530E" w:rsidP="00EC08C0">
      <w:pPr>
        <w:pStyle w:val="Prrafodelista"/>
        <w:ind w:left="1440" w:right="709"/>
        <w:jc w:val="both"/>
        <w:rPr>
          <w:rFonts w:ascii="Work Sans" w:eastAsia="Work Sans" w:hAnsi="Work Sans" w:cs="Work Sans"/>
        </w:rPr>
      </w:pPr>
    </w:p>
    <w:p w14:paraId="317D732F" w14:textId="27AE062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CIFRAS RELACIONADAS CON LOS PROCESOS JUDICIALES REFERENTES A LA BONIFICACIÓN JUDICIAL EN CONTRA DE LA RAMA JUDICIAL.</w:t>
      </w:r>
    </w:p>
    <w:p w14:paraId="1A24298D" w14:textId="77777777" w:rsidR="00EC08C0" w:rsidRPr="00F87FAD" w:rsidRDefault="00EC08C0" w:rsidP="00934686">
      <w:pPr>
        <w:ind w:left="720"/>
        <w:jc w:val="both"/>
        <w:rPr>
          <w:rFonts w:ascii="Work Sans" w:eastAsia="Work Sans" w:hAnsi="Work Sans" w:cs="Work Sans"/>
        </w:rPr>
      </w:pPr>
    </w:p>
    <w:p w14:paraId="34B8AE7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b/>
          <w:bCs/>
        </w:rPr>
        <w:t>A. Cifras aportadas por el Consejo Superior de la Judicatura.</w:t>
      </w:r>
    </w:p>
    <w:p w14:paraId="4FEE2785" w14:textId="77777777" w:rsidR="00EC08C0" w:rsidRPr="00F87FAD" w:rsidRDefault="00EC08C0" w:rsidP="00934686">
      <w:pPr>
        <w:ind w:left="720"/>
        <w:jc w:val="both"/>
        <w:rPr>
          <w:rFonts w:ascii="Work Sans" w:eastAsia="Work Sans" w:hAnsi="Work Sans" w:cs="Work Sans"/>
        </w:rPr>
      </w:pPr>
    </w:p>
    <w:p w14:paraId="2C09BD49" w14:textId="785AD6C4" w:rsidR="00934686" w:rsidRDefault="00934686" w:rsidP="00934686">
      <w:pPr>
        <w:ind w:left="720"/>
        <w:jc w:val="both"/>
        <w:rPr>
          <w:rFonts w:ascii="Work Sans" w:eastAsia="Work Sans" w:hAnsi="Work Sans" w:cs="Work Sans"/>
        </w:rPr>
      </w:pPr>
      <w:r w:rsidRPr="00F87FAD">
        <w:rPr>
          <w:rFonts w:ascii="Work Sans" w:eastAsia="Work Sans" w:hAnsi="Work Sans" w:cs="Work Sans"/>
        </w:rPr>
        <w:t>El Consejo Superior de la Judicatura, mediante respuesta a-2024-2310, el día 5 de septiembre de 2024, relaciona valiosa información que contribuye a consolidar la importancia de esta iniciativa legislativa.</w:t>
      </w:r>
    </w:p>
    <w:p w14:paraId="7741B244" w14:textId="77777777" w:rsidR="008C530E" w:rsidRPr="00F87FAD" w:rsidRDefault="008C530E" w:rsidP="00934686">
      <w:pPr>
        <w:ind w:left="720"/>
        <w:jc w:val="both"/>
        <w:rPr>
          <w:rFonts w:ascii="Work Sans" w:eastAsia="Work Sans" w:hAnsi="Work Sans" w:cs="Work Sans"/>
        </w:rPr>
      </w:pPr>
    </w:p>
    <w:p w14:paraId="0CAF59E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Indica la </w:t>
      </w:r>
      <w:proofErr w:type="gramStart"/>
      <w:r w:rsidRPr="00F87FAD">
        <w:rPr>
          <w:rFonts w:ascii="Work Sans" w:eastAsia="Work Sans" w:hAnsi="Work Sans" w:cs="Work Sans"/>
        </w:rPr>
        <w:t>Directora Ejecutiva</w:t>
      </w:r>
      <w:proofErr w:type="gramEnd"/>
      <w:r w:rsidRPr="00F87FAD">
        <w:rPr>
          <w:rFonts w:ascii="Work Sans" w:eastAsia="Work Sans" w:hAnsi="Work Sans" w:cs="Work Sans"/>
        </w:rPr>
        <w:t xml:space="preserve"> de Administración Judicial, Dra. Naslly Raquel Ramos, que al cuantificar los PROCESOS JUDICIALES ACTIVOS Y TERMINADOS que </w:t>
      </w:r>
      <w:r w:rsidRPr="00F87FAD">
        <w:rPr>
          <w:rFonts w:ascii="Work Sans" w:eastAsia="Work Sans" w:hAnsi="Work Sans" w:cs="Work Sans"/>
        </w:rPr>
        <w:lastRenderedPageBreak/>
        <w:t>pretenden el reconocimiento de la bonificación judicial como factor salarial, promovidos por servidores judiciales en contra de la Nación – Rama Judicial, durante los últimos diez (10) años a corte de 30 de junio de 2024, se obtiene una cifra que asciende a 14.682 distribuidos de la siguiente forma:</w:t>
      </w:r>
    </w:p>
    <w:p w14:paraId="3E180E11" w14:textId="77777777" w:rsidR="00934686" w:rsidRPr="00F87FAD" w:rsidRDefault="00934686" w:rsidP="00934686">
      <w:pPr>
        <w:ind w:left="720"/>
        <w:jc w:val="both"/>
        <w:rPr>
          <w:rFonts w:ascii="Work Sans" w:eastAsia="Work Sans" w:hAnsi="Work Sans" w:cs="Work Sans"/>
        </w:rPr>
      </w:pPr>
    </w:p>
    <w:tbl>
      <w:tblPr>
        <w:tblStyle w:val="Tablaconcuadrcula"/>
        <w:tblW w:w="0" w:type="auto"/>
        <w:jc w:val="center"/>
        <w:tblLook w:val="04A0" w:firstRow="1" w:lastRow="0" w:firstColumn="1" w:lastColumn="0" w:noHBand="0" w:noVBand="1"/>
      </w:tblPr>
      <w:tblGrid>
        <w:gridCol w:w="1106"/>
        <w:gridCol w:w="3979"/>
        <w:gridCol w:w="2199"/>
      </w:tblGrid>
      <w:tr w:rsidR="00934686" w:rsidRPr="00F87FAD" w14:paraId="113874FD" w14:textId="77777777" w:rsidTr="00EC08C0">
        <w:trPr>
          <w:trHeight w:val="20"/>
          <w:jc w:val="center"/>
        </w:trPr>
        <w:tc>
          <w:tcPr>
            <w:tcW w:w="0" w:type="auto"/>
            <w:hideMark/>
          </w:tcPr>
          <w:p w14:paraId="3BE06949" w14:textId="77777777" w:rsidR="00934686" w:rsidRPr="00F87FAD" w:rsidRDefault="00934686" w:rsidP="00EC08C0">
            <w:pPr>
              <w:jc w:val="center"/>
              <w:rPr>
                <w:rFonts w:ascii="Work Sans" w:eastAsia="Work Sans" w:hAnsi="Work Sans" w:cs="Work Sans"/>
                <w:b/>
                <w:bCs/>
              </w:rPr>
            </w:pPr>
            <w:r w:rsidRPr="00F87FAD">
              <w:rPr>
                <w:rFonts w:ascii="Work Sans" w:eastAsia="Work Sans" w:hAnsi="Work Sans" w:cs="Work Sans"/>
                <w:b/>
                <w:bCs/>
              </w:rPr>
              <w:t>Año</w:t>
            </w:r>
          </w:p>
        </w:tc>
        <w:tc>
          <w:tcPr>
            <w:tcW w:w="0" w:type="auto"/>
            <w:hideMark/>
          </w:tcPr>
          <w:p w14:paraId="2B33D775"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Cantidad de procesos judiciales</w:t>
            </w:r>
          </w:p>
        </w:tc>
        <w:tc>
          <w:tcPr>
            <w:tcW w:w="0" w:type="auto"/>
            <w:hideMark/>
          </w:tcPr>
          <w:p w14:paraId="7EDD7758"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Valor Pretensión</w:t>
            </w:r>
          </w:p>
        </w:tc>
      </w:tr>
      <w:tr w:rsidR="00934686" w:rsidRPr="00F87FAD" w14:paraId="68E9575D" w14:textId="77777777" w:rsidTr="00EC08C0">
        <w:trPr>
          <w:trHeight w:val="20"/>
          <w:jc w:val="center"/>
        </w:trPr>
        <w:tc>
          <w:tcPr>
            <w:tcW w:w="0" w:type="auto"/>
            <w:hideMark/>
          </w:tcPr>
          <w:p w14:paraId="3DECD7DD"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2015</w:t>
            </w:r>
          </w:p>
        </w:tc>
        <w:tc>
          <w:tcPr>
            <w:tcW w:w="0" w:type="auto"/>
            <w:hideMark/>
          </w:tcPr>
          <w:p w14:paraId="42221DD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14</w:t>
            </w:r>
          </w:p>
        </w:tc>
        <w:tc>
          <w:tcPr>
            <w:tcW w:w="0" w:type="auto"/>
            <w:hideMark/>
          </w:tcPr>
          <w:p w14:paraId="31DF91C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476.064.707</w:t>
            </w:r>
          </w:p>
        </w:tc>
      </w:tr>
      <w:tr w:rsidR="00934686" w:rsidRPr="00F87FAD" w14:paraId="00E83C89" w14:textId="77777777" w:rsidTr="00EC08C0">
        <w:trPr>
          <w:trHeight w:val="20"/>
          <w:jc w:val="center"/>
        </w:trPr>
        <w:tc>
          <w:tcPr>
            <w:tcW w:w="0" w:type="auto"/>
            <w:hideMark/>
          </w:tcPr>
          <w:p w14:paraId="5AC9683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2016</w:t>
            </w:r>
          </w:p>
        </w:tc>
        <w:tc>
          <w:tcPr>
            <w:tcW w:w="0" w:type="auto"/>
            <w:hideMark/>
          </w:tcPr>
          <w:p w14:paraId="7BB01996"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66</w:t>
            </w:r>
          </w:p>
        </w:tc>
        <w:tc>
          <w:tcPr>
            <w:tcW w:w="0" w:type="auto"/>
            <w:hideMark/>
          </w:tcPr>
          <w:p w14:paraId="2DD28941"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3.403.121.291</w:t>
            </w:r>
          </w:p>
        </w:tc>
      </w:tr>
      <w:tr w:rsidR="00934686" w:rsidRPr="00F87FAD" w14:paraId="7DCBDE6B" w14:textId="77777777" w:rsidTr="00EC08C0">
        <w:trPr>
          <w:trHeight w:val="20"/>
          <w:jc w:val="center"/>
        </w:trPr>
        <w:tc>
          <w:tcPr>
            <w:tcW w:w="0" w:type="auto"/>
            <w:hideMark/>
          </w:tcPr>
          <w:p w14:paraId="686716E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2017</w:t>
            </w:r>
          </w:p>
        </w:tc>
        <w:tc>
          <w:tcPr>
            <w:tcW w:w="0" w:type="auto"/>
            <w:hideMark/>
          </w:tcPr>
          <w:p w14:paraId="55E6928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435</w:t>
            </w:r>
          </w:p>
        </w:tc>
        <w:tc>
          <w:tcPr>
            <w:tcW w:w="0" w:type="auto"/>
            <w:hideMark/>
          </w:tcPr>
          <w:p w14:paraId="09903EF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13.389.224.094</w:t>
            </w:r>
          </w:p>
        </w:tc>
      </w:tr>
      <w:tr w:rsidR="00934686" w:rsidRPr="00F87FAD" w14:paraId="6750CA14" w14:textId="77777777" w:rsidTr="00EC08C0">
        <w:trPr>
          <w:trHeight w:val="20"/>
          <w:jc w:val="center"/>
        </w:trPr>
        <w:tc>
          <w:tcPr>
            <w:tcW w:w="0" w:type="auto"/>
            <w:hideMark/>
          </w:tcPr>
          <w:p w14:paraId="1120AF8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2018</w:t>
            </w:r>
          </w:p>
        </w:tc>
        <w:tc>
          <w:tcPr>
            <w:tcW w:w="0" w:type="auto"/>
            <w:hideMark/>
          </w:tcPr>
          <w:p w14:paraId="2DFA7CE0"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1.015</w:t>
            </w:r>
          </w:p>
        </w:tc>
        <w:tc>
          <w:tcPr>
            <w:tcW w:w="0" w:type="auto"/>
            <w:hideMark/>
          </w:tcPr>
          <w:p w14:paraId="7D956501"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38.181.026.375</w:t>
            </w:r>
          </w:p>
        </w:tc>
      </w:tr>
      <w:tr w:rsidR="00934686" w:rsidRPr="00F87FAD" w14:paraId="2CE484DD" w14:textId="77777777" w:rsidTr="00EC08C0">
        <w:trPr>
          <w:trHeight w:val="20"/>
          <w:jc w:val="center"/>
        </w:trPr>
        <w:tc>
          <w:tcPr>
            <w:tcW w:w="0" w:type="auto"/>
            <w:hideMark/>
          </w:tcPr>
          <w:p w14:paraId="21653EB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2019</w:t>
            </w:r>
          </w:p>
        </w:tc>
        <w:tc>
          <w:tcPr>
            <w:tcW w:w="0" w:type="auto"/>
            <w:hideMark/>
          </w:tcPr>
          <w:p w14:paraId="44234646"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2.977</w:t>
            </w:r>
          </w:p>
        </w:tc>
        <w:tc>
          <w:tcPr>
            <w:tcW w:w="0" w:type="auto"/>
            <w:hideMark/>
          </w:tcPr>
          <w:p w14:paraId="184BBED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97.609.738.307</w:t>
            </w:r>
          </w:p>
        </w:tc>
      </w:tr>
      <w:tr w:rsidR="00934686" w:rsidRPr="00F87FAD" w14:paraId="47EBC7EE" w14:textId="77777777" w:rsidTr="00EC08C0">
        <w:trPr>
          <w:trHeight w:val="20"/>
          <w:jc w:val="center"/>
        </w:trPr>
        <w:tc>
          <w:tcPr>
            <w:tcW w:w="0" w:type="auto"/>
            <w:hideMark/>
          </w:tcPr>
          <w:p w14:paraId="55C9CE7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2020</w:t>
            </w:r>
          </w:p>
        </w:tc>
        <w:tc>
          <w:tcPr>
            <w:tcW w:w="0" w:type="auto"/>
            <w:hideMark/>
          </w:tcPr>
          <w:p w14:paraId="3A020C83"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977</w:t>
            </w:r>
          </w:p>
        </w:tc>
        <w:tc>
          <w:tcPr>
            <w:tcW w:w="0" w:type="auto"/>
            <w:hideMark/>
          </w:tcPr>
          <w:p w14:paraId="7BA6C54B"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33.422.815.451</w:t>
            </w:r>
          </w:p>
        </w:tc>
      </w:tr>
      <w:tr w:rsidR="00934686" w:rsidRPr="00F87FAD" w14:paraId="471EEE7B" w14:textId="77777777" w:rsidTr="00EC08C0">
        <w:trPr>
          <w:trHeight w:val="20"/>
          <w:jc w:val="center"/>
        </w:trPr>
        <w:tc>
          <w:tcPr>
            <w:tcW w:w="0" w:type="auto"/>
            <w:hideMark/>
          </w:tcPr>
          <w:p w14:paraId="3B61CEB3"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2021</w:t>
            </w:r>
          </w:p>
        </w:tc>
        <w:tc>
          <w:tcPr>
            <w:tcW w:w="0" w:type="auto"/>
            <w:hideMark/>
          </w:tcPr>
          <w:p w14:paraId="32438FA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2.415</w:t>
            </w:r>
          </w:p>
        </w:tc>
        <w:tc>
          <w:tcPr>
            <w:tcW w:w="0" w:type="auto"/>
            <w:hideMark/>
          </w:tcPr>
          <w:p w14:paraId="64EBDA3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78.729.161.668</w:t>
            </w:r>
          </w:p>
        </w:tc>
      </w:tr>
      <w:tr w:rsidR="00934686" w:rsidRPr="00F87FAD" w14:paraId="0AF18A57" w14:textId="77777777" w:rsidTr="00EC08C0">
        <w:trPr>
          <w:trHeight w:val="20"/>
          <w:jc w:val="center"/>
        </w:trPr>
        <w:tc>
          <w:tcPr>
            <w:tcW w:w="0" w:type="auto"/>
            <w:hideMark/>
          </w:tcPr>
          <w:p w14:paraId="08AFCC9D"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2022</w:t>
            </w:r>
          </w:p>
        </w:tc>
        <w:tc>
          <w:tcPr>
            <w:tcW w:w="0" w:type="auto"/>
            <w:hideMark/>
          </w:tcPr>
          <w:p w14:paraId="5B495409"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2.833</w:t>
            </w:r>
          </w:p>
        </w:tc>
        <w:tc>
          <w:tcPr>
            <w:tcW w:w="0" w:type="auto"/>
            <w:hideMark/>
          </w:tcPr>
          <w:p w14:paraId="2729D58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107.776.828.757</w:t>
            </w:r>
          </w:p>
        </w:tc>
      </w:tr>
      <w:tr w:rsidR="00934686" w:rsidRPr="00F87FAD" w14:paraId="24AEE5AF" w14:textId="77777777" w:rsidTr="00EC08C0">
        <w:trPr>
          <w:trHeight w:val="20"/>
          <w:jc w:val="center"/>
        </w:trPr>
        <w:tc>
          <w:tcPr>
            <w:tcW w:w="0" w:type="auto"/>
            <w:hideMark/>
          </w:tcPr>
          <w:p w14:paraId="6F54ED7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2023</w:t>
            </w:r>
          </w:p>
        </w:tc>
        <w:tc>
          <w:tcPr>
            <w:tcW w:w="0" w:type="auto"/>
            <w:hideMark/>
          </w:tcPr>
          <w:p w14:paraId="2826E179"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2.941</w:t>
            </w:r>
          </w:p>
        </w:tc>
        <w:tc>
          <w:tcPr>
            <w:tcW w:w="0" w:type="auto"/>
            <w:hideMark/>
          </w:tcPr>
          <w:p w14:paraId="76A4A08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137.132.492.881</w:t>
            </w:r>
          </w:p>
        </w:tc>
      </w:tr>
      <w:tr w:rsidR="00934686" w:rsidRPr="00F87FAD" w14:paraId="7764CC94" w14:textId="77777777" w:rsidTr="00EC08C0">
        <w:trPr>
          <w:trHeight w:val="20"/>
          <w:jc w:val="center"/>
        </w:trPr>
        <w:tc>
          <w:tcPr>
            <w:tcW w:w="0" w:type="auto"/>
            <w:hideMark/>
          </w:tcPr>
          <w:p w14:paraId="64AE3C9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2024</w:t>
            </w:r>
          </w:p>
        </w:tc>
        <w:tc>
          <w:tcPr>
            <w:tcW w:w="0" w:type="auto"/>
            <w:hideMark/>
          </w:tcPr>
          <w:p w14:paraId="0B5875A2"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1.009</w:t>
            </w:r>
          </w:p>
        </w:tc>
        <w:tc>
          <w:tcPr>
            <w:tcW w:w="0" w:type="auto"/>
            <w:hideMark/>
          </w:tcPr>
          <w:p w14:paraId="5BA5817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49.688.863.773</w:t>
            </w:r>
          </w:p>
        </w:tc>
      </w:tr>
      <w:tr w:rsidR="00934686" w:rsidRPr="00F87FAD" w14:paraId="024389DD" w14:textId="77777777" w:rsidTr="00EC08C0">
        <w:trPr>
          <w:trHeight w:val="20"/>
          <w:jc w:val="center"/>
        </w:trPr>
        <w:tc>
          <w:tcPr>
            <w:tcW w:w="0" w:type="auto"/>
            <w:hideMark/>
          </w:tcPr>
          <w:p w14:paraId="710950DC"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Totales</w:t>
            </w:r>
          </w:p>
        </w:tc>
        <w:tc>
          <w:tcPr>
            <w:tcW w:w="0" w:type="auto"/>
            <w:hideMark/>
          </w:tcPr>
          <w:p w14:paraId="0D6FF4F2"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14.682</w:t>
            </w:r>
          </w:p>
        </w:tc>
        <w:tc>
          <w:tcPr>
            <w:tcW w:w="0" w:type="auto"/>
            <w:hideMark/>
          </w:tcPr>
          <w:p w14:paraId="1B14A67B"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559.809.337.305</w:t>
            </w:r>
          </w:p>
        </w:tc>
      </w:tr>
    </w:tbl>
    <w:p w14:paraId="740C9A34" w14:textId="1CDEC461" w:rsidR="00934686" w:rsidRPr="00F87FAD" w:rsidRDefault="00EC08C0" w:rsidP="00EC08C0">
      <w:pPr>
        <w:ind w:left="1440"/>
        <w:jc w:val="both"/>
        <w:rPr>
          <w:rFonts w:ascii="Work Sans" w:eastAsia="Work Sans" w:hAnsi="Work Sans" w:cs="Work Sans"/>
        </w:rPr>
      </w:pPr>
      <w:r w:rsidRPr="00F87FAD">
        <w:rPr>
          <w:rFonts w:ascii="Work Sans" w:eastAsia="Work Sans" w:hAnsi="Work Sans" w:cs="Work Sans"/>
        </w:rPr>
        <w:t xml:space="preserve">      </w:t>
      </w:r>
      <w:r w:rsidR="00934686" w:rsidRPr="00F87FAD">
        <w:rPr>
          <w:rFonts w:ascii="Work Sans" w:eastAsia="Work Sans" w:hAnsi="Work Sans" w:cs="Work Sans"/>
        </w:rPr>
        <w:t>Fuente: Informes Pasivo contingente Litigioso a Nivel Nacional </w:t>
      </w:r>
    </w:p>
    <w:p w14:paraId="49DA296C" w14:textId="77777777" w:rsidR="00EC08C0" w:rsidRPr="00F87FAD" w:rsidRDefault="00EC08C0" w:rsidP="00934686">
      <w:pPr>
        <w:ind w:left="720"/>
        <w:jc w:val="both"/>
        <w:rPr>
          <w:rFonts w:ascii="Work Sans" w:eastAsia="Work Sans" w:hAnsi="Work Sans" w:cs="Work Sans"/>
        </w:rPr>
      </w:pPr>
    </w:p>
    <w:p w14:paraId="2284C291"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valor de las pretensiones de todos estos procesos judiciales activos y terminados sumados desde 2015 hasta 30 de junio de 2024 asciende a $559.809.337.305.</w:t>
      </w:r>
    </w:p>
    <w:p w14:paraId="62538EB0" w14:textId="77777777" w:rsidR="00EC08C0" w:rsidRPr="00F87FAD" w:rsidRDefault="00EC08C0" w:rsidP="00934686">
      <w:pPr>
        <w:ind w:left="720"/>
        <w:jc w:val="both"/>
        <w:rPr>
          <w:rFonts w:ascii="Work Sans" w:eastAsia="Work Sans" w:hAnsi="Work Sans" w:cs="Work Sans"/>
        </w:rPr>
      </w:pPr>
    </w:p>
    <w:p w14:paraId="5A29010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Nótese cómo en general, de 2015 a 2023, el número de procesos judiciales refleja un aumento no sólo en su cantidad sino en el valor de las pretensiones de </w:t>
      </w:r>
      <w:proofErr w:type="gramStart"/>
      <w:r w:rsidRPr="00F87FAD">
        <w:rPr>
          <w:rFonts w:ascii="Work Sans" w:eastAsia="Work Sans" w:hAnsi="Work Sans" w:cs="Work Sans"/>
        </w:rPr>
        <w:t>los mismos</w:t>
      </w:r>
      <w:proofErr w:type="gramEnd"/>
      <w:r w:rsidRPr="00F87FAD">
        <w:rPr>
          <w:rFonts w:ascii="Work Sans" w:eastAsia="Work Sans" w:hAnsi="Work Sans" w:cs="Work Sans"/>
        </w:rPr>
        <w:t>. Se excluye del presente análisis el año 2024, toda vez que se aportan las cifras con corte a 30 de junio.</w:t>
      </w:r>
    </w:p>
    <w:p w14:paraId="23C06F65" w14:textId="77777777" w:rsidR="00EC08C0" w:rsidRPr="00F87FAD" w:rsidRDefault="00EC08C0" w:rsidP="00934686">
      <w:pPr>
        <w:ind w:left="720"/>
        <w:jc w:val="both"/>
        <w:rPr>
          <w:rFonts w:ascii="Work Sans" w:eastAsia="Work Sans" w:hAnsi="Work Sans" w:cs="Work Sans"/>
        </w:rPr>
      </w:pPr>
    </w:p>
    <w:p w14:paraId="721946E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reconoce el Consejo Superior de la Judicatura que LA RAMA JUDICIAL HA SIDO CONDENADA en 4.553 litigios por concepto de reconocimiento de la bonificación judicial como factor salarial, con corte a 30 de junio de 2024, ordenados de la siguiente forma:</w:t>
      </w:r>
    </w:p>
    <w:p w14:paraId="4EC1F232" w14:textId="77777777" w:rsidR="00934686" w:rsidRPr="00F87FAD" w:rsidRDefault="00934686" w:rsidP="00934686">
      <w:pPr>
        <w:ind w:left="720"/>
        <w:jc w:val="both"/>
        <w:rPr>
          <w:rFonts w:ascii="Work Sans" w:eastAsia="Work Sans" w:hAnsi="Work Sans" w:cs="Work Sans"/>
        </w:rPr>
      </w:pPr>
    </w:p>
    <w:tbl>
      <w:tblPr>
        <w:tblStyle w:val="Tablaconcuadrcula"/>
        <w:tblW w:w="0" w:type="auto"/>
        <w:jc w:val="center"/>
        <w:tblLayout w:type="fixed"/>
        <w:tblLook w:val="04A0" w:firstRow="1" w:lastRow="0" w:firstColumn="1" w:lastColumn="0" w:noHBand="0" w:noVBand="1"/>
      </w:tblPr>
      <w:tblGrid>
        <w:gridCol w:w="1129"/>
        <w:gridCol w:w="3544"/>
        <w:gridCol w:w="2407"/>
      </w:tblGrid>
      <w:tr w:rsidR="0033294F" w:rsidRPr="00F87FAD" w14:paraId="08E9F30B" w14:textId="77777777" w:rsidTr="008C530E">
        <w:trPr>
          <w:trHeight w:val="108"/>
          <w:tblHeader/>
          <w:jc w:val="center"/>
        </w:trPr>
        <w:tc>
          <w:tcPr>
            <w:tcW w:w="1129" w:type="dxa"/>
            <w:hideMark/>
          </w:tcPr>
          <w:p w14:paraId="01753FC2"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Año</w:t>
            </w:r>
          </w:p>
        </w:tc>
        <w:tc>
          <w:tcPr>
            <w:tcW w:w="3544" w:type="dxa"/>
            <w:hideMark/>
          </w:tcPr>
          <w:p w14:paraId="0A1BB5EB"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Cantidad de procesos judiciales</w:t>
            </w:r>
          </w:p>
        </w:tc>
        <w:tc>
          <w:tcPr>
            <w:tcW w:w="2407" w:type="dxa"/>
            <w:hideMark/>
          </w:tcPr>
          <w:p w14:paraId="641EB3F0"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Valor</w:t>
            </w:r>
          </w:p>
        </w:tc>
      </w:tr>
      <w:tr w:rsidR="0033294F" w:rsidRPr="00F87FAD" w14:paraId="3D619DD6" w14:textId="77777777" w:rsidTr="00E55820">
        <w:trPr>
          <w:trHeight w:val="20"/>
          <w:jc w:val="center"/>
        </w:trPr>
        <w:tc>
          <w:tcPr>
            <w:tcW w:w="1129" w:type="dxa"/>
            <w:hideMark/>
          </w:tcPr>
          <w:p w14:paraId="121D978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2018</w:t>
            </w:r>
          </w:p>
        </w:tc>
        <w:tc>
          <w:tcPr>
            <w:tcW w:w="3544" w:type="dxa"/>
            <w:hideMark/>
          </w:tcPr>
          <w:p w14:paraId="144C0306"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w:t>
            </w:r>
          </w:p>
        </w:tc>
        <w:tc>
          <w:tcPr>
            <w:tcW w:w="2407" w:type="dxa"/>
            <w:hideMark/>
          </w:tcPr>
          <w:p w14:paraId="431CA7E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80.456.414</w:t>
            </w:r>
          </w:p>
        </w:tc>
      </w:tr>
      <w:tr w:rsidR="0033294F" w:rsidRPr="00F87FAD" w14:paraId="341A4C7C" w14:textId="77777777" w:rsidTr="00E55820">
        <w:trPr>
          <w:trHeight w:val="20"/>
          <w:jc w:val="center"/>
        </w:trPr>
        <w:tc>
          <w:tcPr>
            <w:tcW w:w="1129" w:type="dxa"/>
            <w:hideMark/>
          </w:tcPr>
          <w:p w14:paraId="64F0E39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2019</w:t>
            </w:r>
          </w:p>
        </w:tc>
        <w:tc>
          <w:tcPr>
            <w:tcW w:w="3544" w:type="dxa"/>
            <w:hideMark/>
          </w:tcPr>
          <w:p w14:paraId="08574729"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13</w:t>
            </w:r>
          </w:p>
        </w:tc>
        <w:tc>
          <w:tcPr>
            <w:tcW w:w="2407" w:type="dxa"/>
            <w:hideMark/>
          </w:tcPr>
          <w:p w14:paraId="1751B1A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5.280.849.704</w:t>
            </w:r>
          </w:p>
        </w:tc>
      </w:tr>
      <w:tr w:rsidR="0033294F" w:rsidRPr="00F87FAD" w14:paraId="15CAC2F5" w14:textId="77777777" w:rsidTr="00E55820">
        <w:trPr>
          <w:trHeight w:val="20"/>
          <w:jc w:val="center"/>
        </w:trPr>
        <w:tc>
          <w:tcPr>
            <w:tcW w:w="1129" w:type="dxa"/>
            <w:hideMark/>
          </w:tcPr>
          <w:p w14:paraId="6FF4F69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2020</w:t>
            </w:r>
          </w:p>
        </w:tc>
        <w:tc>
          <w:tcPr>
            <w:tcW w:w="3544" w:type="dxa"/>
            <w:hideMark/>
          </w:tcPr>
          <w:p w14:paraId="23A47B30"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167</w:t>
            </w:r>
          </w:p>
        </w:tc>
        <w:tc>
          <w:tcPr>
            <w:tcW w:w="2407" w:type="dxa"/>
            <w:hideMark/>
          </w:tcPr>
          <w:p w14:paraId="781697CE"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15.355.007.677</w:t>
            </w:r>
          </w:p>
        </w:tc>
      </w:tr>
      <w:tr w:rsidR="0033294F" w:rsidRPr="00F87FAD" w14:paraId="4D4CF42D" w14:textId="77777777" w:rsidTr="00E55820">
        <w:trPr>
          <w:trHeight w:val="20"/>
          <w:jc w:val="center"/>
        </w:trPr>
        <w:tc>
          <w:tcPr>
            <w:tcW w:w="1129" w:type="dxa"/>
            <w:hideMark/>
          </w:tcPr>
          <w:p w14:paraId="1EA5F411"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2021</w:t>
            </w:r>
          </w:p>
        </w:tc>
        <w:tc>
          <w:tcPr>
            <w:tcW w:w="3544" w:type="dxa"/>
            <w:hideMark/>
          </w:tcPr>
          <w:p w14:paraId="5F90F97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656</w:t>
            </w:r>
          </w:p>
        </w:tc>
        <w:tc>
          <w:tcPr>
            <w:tcW w:w="2407" w:type="dxa"/>
            <w:hideMark/>
          </w:tcPr>
          <w:p w14:paraId="57BEC9B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23.654.029.231</w:t>
            </w:r>
          </w:p>
        </w:tc>
      </w:tr>
      <w:tr w:rsidR="0033294F" w:rsidRPr="00F87FAD" w14:paraId="7C4A607F" w14:textId="77777777" w:rsidTr="00E55820">
        <w:trPr>
          <w:trHeight w:val="20"/>
          <w:jc w:val="center"/>
        </w:trPr>
        <w:tc>
          <w:tcPr>
            <w:tcW w:w="1129" w:type="dxa"/>
            <w:hideMark/>
          </w:tcPr>
          <w:p w14:paraId="1C4050D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2022</w:t>
            </w:r>
          </w:p>
        </w:tc>
        <w:tc>
          <w:tcPr>
            <w:tcW w:w="3544" w:type="dxa"/>
            <w:hideMark/>
          </w:tcPr>
          <w:p w14:paraId="6A6B2B6A"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686</w:t>
            </w:r>
          </w:p>
        </w:tc>
        <w:tc>
          <w:tcPr>
            <w:tcW w:w="2407" w:type="dxa"/>
            <w:hideMark/>
          </w:tcPr>
          <w:p w14:paraId="2C6D6863"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42.441.282.961</w:t>
            </w:r>
          </w:p>
        </w:tc>
      </w:tr>
      <w:tr w:rsidR="0033294F" w:rsidRPr="00F87FAD" w14:paraId="20F4C603" w14:textId="77777777" w:rsidTr="00E55820">
        <w:trPr>
          <w:trHeight w:val="20"/>
          <w:jc w:val="center"/>
        </w:trPr>
        <w:tc>
          <w:tcPr>
            <w:tcW w:w="1129" w:type="dxa"/>
            <w:hideMark/>
          </w:tcPr>
          <w:p w14:paraId="4C64F3BA"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2023</w:t>
            </w:r>
          </w:p>
        </w:tc>
        <w:tc>
          <w:tcPr>
            <w:tcW w:w="3544" w:type="dxa"/>
            <w:hideMark/>
          </w:tcPr>
          <w:p w14:paraId="57E70FB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1.913</w:t>
            </w:r>
          </w:p>
        </w:tc>
        <w:tc>
          <w:tcPr>
            <w:tcW w:w="2407" w:type="dxa"/>
            <w:hideMark/>
          </w:tcPr>
          <w:p w14:paraId="5651F36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139.726.605.402</w:t>
            </w:r>
          </w:p>
        </w:tc>
      </w:tr>
      <w:tr w:rsidR="0033294F" w:rsidRPr="00F87FAD" w14:paraId="68CD8202" w14:textId="77777777" w:rsidTr="00E55820">
        <w:trPr>
          <w:trHeight w:val="20"/>
          <w:jc w:val="center"/>
        </w:trPr>
        <w:tc>
          <w:tcPr>
            <w:tcW w:w="1129" w:type="dxa"/>
            <w:hideMark/>
          </w:tcPr>
          <w:p w14:paraId="695D2F03"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lastRenderedPageBreak/>
              <w:t>2024</w:t>
            </w:r>
          </w:p>
        </w:tc>
        <w:tc>
          <w:tcPr>
            <w:tcW w:w="3544" w:type="dxa"/>
            <w:hideMark/>
          </w:tcPr>
          <w:p w14:paraId="36E182B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1.116</w:t>
            </w:r>
          </w:p>
        </w:tc>
        <w:tc>
          <w:tcPr>
            <w:tcW w:w="2407" w:type="dxa"/>
            <w:hideMark/>
          </w:tcPr>
          <w:p w14:paraId="045FC321"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42.305.619.101</w:t>
            </w:r>
          </w:p>
        </w:tc>
      </w:tr>
      <w:tr w:rsidR="0033294F" w:rsidRPr="00F87FAD" w14:paraId="3A090E28" w14:textId="77777777" w:rsidTr="00E55820">
        <w:trPr>
          <w:trHeight w:val="20"/>
          <w:jc w:val="center"/>
        </w:trPr>
        <w:tc>
          <w:tcPr>
            <w:tcW w:w="1129" w:type="dxa"/>
            <w:hideMark/>
          </w:tcPr>
          <w:p w14:paraId="2F016955"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Totales</w:t>
            </w:r>
          </w:p>
        </w:tc>
        <w:tc>
          <w:tcPr>
            <w:tcW w:w="3544" w:type="dxa"/>
            <w:hideMark/>
          </w:tcPr>
          <w:p w14:paraId="6432BD37"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4.553</w:t>
            </w:r>
          </w:p>
        </w:tc>
        <w:tc>
          <w:tcPr>
            <w:tcW w:w="2407" w:type="dxa"/>
            <w:hideMark/>
          </w:tcPr>
          <w:p w14:paraId="0991D0E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268.843.850.490</w:t>
            </w:r>
          </w:p>
        </w:tc>
      </w:tr>
    </w:tbl>
    <w:p w14:paraId="0870EA41" w14:textId="712618C1" w:rsidR="00934686" w:rsidRPr="00F87FAD" w:rsidRDefault="0033294F" w:rsidP="0033294F">
      <w:pPr>
        <w:ind w:left="1440"/>
        <w:jc w:val="both"/>
        <w:rPr>
          <w:rFonts w:ascii="Work Sans" w:eastAsia="Work Sans" w:hAnsi="Work Sans" w:cs="Work Sans"/>
        </w:rPr>
      </w:pPr>
      <w:r w:rsidRPr="00F87FAD">
        <w:rPr>
          <w:rFonts w:ascii="Work Sans" w:eastAsia="Work Sans" w:hAnsi="Work Sans" w:cs="Work Sans"/>
        </w:rPr>
        <w:t xml:space="preserve">   </w:t>
      </w:r>
      <w:r w:rsidR="00934686" w:rsidRPr="00F87FAD">
        <w:rPr>
          <w:rFonts w:ascii="Work Sans" w:eastAsia="Work Sans" w:hAnsi="Work Sans" w:cs="Work Sans"/>
        </w:rPr>
        <w:t>Fuente: Pasivo real del Grupo de Sentencias </w:t>
      </w:r>
    </w:p>
    <w:p w14:paraId="5DE33BA9" w14:textId="77777777" w:rsidR="00E55820" w:rsidRDefault="00E55820" w:rsidP="00934686">
      <w:pPr>
        <w:ind w:left="720"/>
        <w:jc w:val="both"/>
        <w:rPr>
          <w:rFonts w:ascii="Work Sans" w:eastAsia="Work Sans" w:hAnsi="Work Sans" w:cs="Work Sans"/>
        </w:rPr>
      </w:pPr>
    </w:p>
    <w:p w14:paraId="295EC56F" w14:textId="120B7DBB" w:rsidR="0033294F" w:rsidRPr="00F87FAD" w:rsidRDefault="00934686" w:rsidP="00934686">
      <w:pPr>
        <w:ind w:left="720"/>
        <w:jc w:val="both"/>
        <w:rPr>
          <w:rFonts w:ascii="Work Sans" w:eastAsia="Work Sans" w:hAnsi="Work Sans" w:cs="Work Sans"/>
        </w:rPr>
      </w:pPr>
      <w:r w:rsidRPr="00F87FAD">
        <w:rPr>
          <w:rFonts w:ascii="Work Sans" w:eastAsia="Work Sans" w:hAnsi="Work Sans" w:cs="Work Sans"/>
        </w:rPr>
        <w:t>Obsérvese que, de igual forma, se registra un comportamiento creciente hasta el 2023.</w:t>
      </w:r>
      <w:r w:rsidRPr="00F87FAD">
        <w:rPr>
          <w:rFonts w:ascii="Work Sans" w:eastAsia="Work Sans" w:hAnsi="Work Sans" w:cs="Work Sans"/>
        </w:rPr>
        <w:br/>
      </w:r>
    </w:p>
    <w:p w14:paraId="6ED76B4B" w14:textId="1577A0C1" w:rsidR="00934686" w:rsidRDefault="00934686" w:rsidP="00934686">
      <w:pPr>
        <w:ind w:left="720"/>
        <w:jc w:val="both"/>
        <w:rPr>
          <w:rFonts w:ascii="Work Sans" w:eastAsia="Work Sans" w:hAnsi="Work Sans" w:cs="Work Sans"/>
        </w:rPr>
      </w:pPr>
      <w:r w:rsidRPr="00F87FAD">
        <w:rPr>
          <w:rFonts w:ascii="Work Sans" w:eastAsia="Work Sans" w:hAnsi="Work Sans" w:cs="Work Sans"/>
        </w:rPr>
        <w:t>Ahora bien, como información general se informó que:</w:t>
      </w:r>
    </w:p>
    <w:p w14:paraId="37F3BC70" w14:textId="77777777" w:rsidR="008C530E" w:rsidRPr="00F87FAD" w:rsidRDefault="008C530E" w:rsidP="00934686">
      <w:pPr>
        <w:ind w:left="720"/>
        <w:jc w:val="both"/>
        <w:rPr>
          <w:rFonts w:ascii="Work Sans" w:eastAsia="Work Sans" w:hAnsi="Work Sans" w:cs="Work Sans"/>
        </w:rPr>
      </w:pPr>
    </w:p>
    <w:p w14:paraId="126056E9" w14:textId="77777777" w:rsidR="0033294F"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En lo que respecta a la cantidad de procesos activos judiciales que pretenden el reconocimiento de la bonificación judicial como factor salarial, se tienen 10.385 procesos activos.</w:t>
      </w:r>
    </w:p>
    <w:p w14:paraId="1B0669FD" w14:textId="77777777" w:rsidR="0033294F"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Los servidores beneficiados ascienden actualmente a 36.810 y el costo de reconocer la bonificación judicial como factor salarial es de $735.344 millones anuales.</w:t>
      </w:r>
    </w:p>
    <w:p w14:paraId="593C187A" w14:textId="4617D2FF" w:rsidR="00934686"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Se han proferido 4.553 fallos judiciales que han beneficiado a 7.876 demandantes reconociendo la bonificación judicial como factor salarial.</w:t>
      </w:r>
    </w:p>
    <w:p w14:paraId="702E6396" w14:textId="3EAF60E9" w:rsidR="0033294F"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¨Por consiguiente, al extender el carácter salarial de la bonificación judicial para todos los 36.810 servidores judiciales, el Estado podría obtener los siguientes beneficios:</w:t>
      </w:r>
    </w:p>
    <w:p w14:paraId="535AFB50" w14:textId="72EC5965" w:rsidR="0033294F"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(i) Límite a la prescripción trienal. En la medida que se adoptaría una fecha cierta a partir de la cual se reconocería la bonificación judicial como factor salarial, además, supone el límite desde cual se iniciará a computaría el término de prescripción de este asunto, para aproximadamente 18.549 servidores judiciales no han iniciado proceso judicial, por lo que en un plazo máximo de tres (3) años caducaría la posibilidad para éstos de demandar, y en consecuencia, se generaría un ahorro inicial de $378.549 millones anuales por concepto de extinción de estas potenciales súplicas.</w:t>
      </w:r>
    </w:p>
    <w:p w14:paraId="5A2C4ECA" w14:textId="77777777" w:rsidR="00D2584C"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(ii) Descongestión de los despachos judiciales. Dado que, el reconocimiento automático de la prestación podría constituirse en un incentivo para los empleados judiciales que no han iniciado proceso judicial desistan de iniciarlo, por lo que, serían 18.549 procesos menos que tramitar por la administración de justicia.</w:t>
      </w:r>
    </w:p>
    <w:p w14:paraId="7183E073" w14:textId="4811490D" w:rsidR="00934686"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(iii) Ahorros en los costos procesales¨.</w:t>
      </w:r>
    </w:p>
    <w:p w14:paraId="6B469DB3"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lastRenderedPageBreak/>
        <w:t>B. Cifras aportadas por la Defensa Jurídica del Estado.</w:t>
      </w:r>
    </w:p>
    <w:p w14:paraId="64B973FE" w14:textId="77777777" w:rsidR="0033294F" w:rsidRPr="00F87FAD" w:rsidRDefault="0033294F" w:rsidP="00934686">
      <w:pPr>
        <w:ind w:left="720"/>
        <w:jc w:val="both"/>
        <w:rPr>
          <w:rFonts w:ascii="Work Sans" w:eastAsia="Work Sans" w:hAnsi="Work Sans" w:cs="Work Sans"/>
        </w:rPr>
      </w:pPr>
    </w:p>
    <w:p w14:paraId="0F1CDB09"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 su vez, la Defensa Jurídica del Estado, mediante respuesta a petición No. 20248003948012 relacionó información respecto al reconocimiento de la bonificación judicial como factor salarial. Relaciona la entidad que con corte a 31 de julio de 2024, se encontraron 15.612 procesos de nulidad y restablecimiento del derecho en contra de la Nación por la causa procesal de ilegalidad del acto administrativo que no reconoce la bonificación judicial, cuyas pretensiones, a la fecha de corte, ascienden a $750 mil millones de pesos.</w:t>
      </w:r>
    </w:p>
    <w:p w14:paraId="2B4CEEFE" w14:textId="77777777" w:rsidR="00752D9E" w:rsidRPr="00F87FAD" w:rsidRDefault="00752D9E" w:rsidP="00934686">
      <w:pPr>
        <w:ind w:left="720"/>
        <w:jc w:val="both"/>
        <w:rPr>
          <w:rFonts w:ascii="Work Sans" w:eastAsia="Work Sans" w:hAnsi="Work Sans" w:cs="Work Sans"/>
        </w:rPr>
      </w:pPr>
    </w:p>
    <w:p w14:paraId="610B973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Nótese, al interrogar a la entidad acerca de la cantidad de procesos judiciales en los cuales el Estado ha sido condenado bajo la pretensión del reconocimiento de la ¨Bonificación Judicial¨, se encuentra que durante los últimos diez (10) años se encontraron 2.496 procesos terminados por ejecutoria de la sentencia con fallo desfavorable para la Nación.</w:t>
      </w:r>
    </w:p>
    <w:p w14:paraId="5A1E9C91" w14:textId="77777777" w:rsidR="0033294F" w:rsidRPr="00F87FAD" w:rsidRDefault="0033294F" w:rsidP="00934686">
      <w:pPr>
        <w:ind w:left="720"/>
        <w:jc w:val="both"/>
        <w:rPr>
          <w:rFonts w:ascii="Work Sans" w:eastAsia="Work Sans" w:hAnsi="Work Sans" w:cs="Work Sans"/>
        </w:rPr>
      </w:pPr>
    </w:p>
    <w:p w14:paraId="14B647D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al interrogar a la entidad acerca de la cantidad de procesos judiciales actualmente en curso en los cuales se reclama el reconocimiento de la Bonificación Judicial como factor salarial, se encuentran activos 13.075 procesos de nulidad y restablecimiento del derecho contra la Nación por la causa procesal de ilegalidad del acto administrativo que no reconoce la bonificación judicial prevista en los Decretos 382, 383 y 284 de 2013.</w:t>
      </w:r>
    </w:p>
    <w:p w14:paraId="2FEE0766" w14:textId="77777777" w:rsidR="00934686" w:rsidRPr="00F87FAD" w:rsidRDefault="00934686" w:rsidP="00934686">
      <w:pPr>
        <w:ind w:left="720"/>
        <w:jc w:val="both"/>
        <w:rPr>
          <w:rFonts w:ascii="Work Sans" w:eastAsia="Work Sans" w:hAnsi="Work Sans" w:cs="Work Sans"/>
        </w:rPr>
      </w:pPr>
    </w:p>
    <w:p w14:paraId="599EB22A" w14:textId="43A76428"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FUNDAMENTOS CONSTITUCIONALES Y LEGALES.</w:t>
      </w:r>
    </w:p>
    <w:p w14:paraId="6CB71C82" w14:textId="77777777" w:rsidR="0033294F" w:rsidRPr="00F87FAD" w:rsidRDefault="0033294F" w:rsidP="00934686">
      <w:pPr>
        <w:ind w:left="720"/>
        <w:jc w:val="both"/>
        <w:rPr>
          <w:rFonts w:ascii="Work Sans" w:eastAsia="Work Sans" w:hAnsi="Work Sans" w:cs="Work Sans"/>
        </w:rPr>
      </w:pPr>
    </w:p>
    <w:p w14:paraId="3825D47E"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a. Fundamentos Constitucionales.</w:t>
      </w:r>
    </w:p>
    <w:p w14:paraId="570DE2EF" w14:textId="77777777" w:rsidR="0033294F" w:rsidRPr="00F87FAD" w:rsidRDefault="0033294F" w:rsidP="00934686">
      <w:pPr>
        <w:ind w:left="720"/>
        <w:jc w:val="both"/>
        <w:rPr>
          <w:rFonts w:ascii="Work Sans" w:eastAsia="Work Sans" w:hAnsi="Work Sans" w:cs="Work Sans"/>
        </w:rPr>
      </w:pPr>
    </w:p>
    <w:p w14:paraId="1E55BA7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La Constitución Política de 1991 en su Título IV relativo a ¨De la Rama legislativa¨, ordena dentro del Capítulo 3, el artículo 150 que versa sobre las funciones que tiene el Congreso al momento de hacer las leyes:</w:t>
      </w:r>
    </w:p>
    <w:p w14:paraId="463B57B3" w14:textId="77777777" w:rsidR="0033294F" w:rsidRPr="00F87FAD" w:rsidRDefault="0033294F" w:rsidP="00934686">
      <w:pPr>
        <w:ind w:left="720"/>
        <w:jc w:val="both"/>
        <w:rPr>
          <w:rFonts w:ascii="Work Sans" w:eastAsia="Work Sans" w:hAnsi="Work Sans" w:cs="Work Sans"/>
        </w:rPr>
      </w:pPr>
    </w:p>
    <w:p w14:paraId="5D75EE98" w14:textId="77777777" w:rsidR="0033294F" w:rsidRPr="00F87FAD" w:rsidRDefault="00934686" w:rsidP="0033294F">
      <w:pPr>
        <w:pStyle w:val="Cita"/>
        <w:spacing w:before="0" w:after="0"/>
        <w:ind w:left="1440"/>
        <w:jc w:val="both"/>
        <w:rPr>
          <w:rFonts w:ascii="Work Sans" w:hAnsi="Work Sans"/>
          <w:i w:val="0"/>
          <w:iCs w:val="0"/>
          <w:color w:val="auto"/>
        </w:rPr>
      </w:pPr>
      <w:r w:rsidRPr="00F87FAD">
        <w:rPr>
          <w:rFonts w:ascii="Work Sans" w:hAnsi="Work Sans"/>
          <w:i w:val="0"/>
          <w:iCs w:val="0"/>
          <w:color w:val="auto"/>
        </w:rPr>
        <w:t>¨ARTICULO 150. Corresponde al Congreso hacer las leyes. Por medio de ellas ejerce las siguientes funciones:</w:t>
      </w:r>
    </w:p>
    <w:p w14:paraId="59DE64A1" w14:textId="2285E703" w:rsidR="00934686" w:rsidRPr="00F87FAD" w:rsidRDefault="00934686" w:rsidP="0033294F">
      <w:pPr>
        <w:pStyle w:val="Cita"/>
        <w:spacing w:before="0" w:after="0"/>
        <w:ind w:left="1440"/>
        <w:jc w:val="both"/>
        <w:rPr>
          <w:rFonts w:ascii="Work Sans" w:hAnsi="Work Sans"/>
          <w:i w:val="0"/>
          <w:iCs w:val="0"/>
          <w:color w:val="auto"/>
        </w:rPr>
      </w:pPr>
      <w:r w:rsidRPr="00F87FAD">
        <w:rPr>
          <w:rFonts w:ascii="Work Sans" w:hAnsi="Work Sans"/>
          <w:i w:val="0"/>
          <w:iCs w:val="0"/>
          <w:color w:val="auto"/>
        </w:rPr>
        <w:t>(…)</w:t>
      </w:r>
      <w:r w:rsidRPr="00F87FAD">
        <w:rPr>
          <w:rFonts w:ascii="Work Sans" w:hAnsi="Work Sans"/>
          <w:i w:val="0"/>
          <w:iCs w:val="0"/>
          <w:color w:val="auto"/>
        </w:rPr>
        <w:br/>
        <w:t>19. Dictar las normas generales, y señalar en ellas los objetivos y criterios a los cuales debe sujetarse el Gobierno para los siguientes efectos:</w:t>
      </w:r>
      <w:r w:rsidRPr="00F87FAD">
        <w:rPr>
          <w:rFonts w:ascii="Work Sans" w:hAnsi="Work Sans"/>
          <w:i w:val="0"/>
          <w:iCs w:val="0"/>
          <w:color w:val="auto"/>
        </w:rPr>
        <w:br/>
        <w:t>(…)</w:t>
      </w:r>
      <w:r w:rsidRPr="00F87FAD">
        <w:rPr>
          <w:rFonts w:ascii="Work Sans" w:hAnsi="Work Sans"/>
          <w:i w:val="0"/>
          <w:iCs w:val="0"/>
          <w:color w:val="auto"/>
        </w:rPr>
        <w:br/>
        <w:t xml:space="preserve">e) Fijar el régimen salarial y prestacional de los empleados públicos, de los miembros del Congreso Nacional y la Fuerza </w:t>
      </w:r>
      <w:proofErr w:type="gramStart"/>
      <w:r w:rsidR="00263F4A" w:rsidRPr="00F87FAD">
        <w:rPr>
          <w:rFonts w:ascii="Work Sans" w:hAnsi="Work Sans"/>
          <w:i w:val="0"/>
          <w:iCs w:val="0"/>
          <w:color w:val="auto"/>
        </w:rPr>
        <w:t>Pública;¨</w:t>
      </w:r>
      <w:proofErr w:type="gramEnd"/>
    </w:p>
    <w:p w14:paraId="06758CF9" w14:textId="77777777" w:rsidR="0033294F" w:rsidRPr="00F87FAD" w:rsidRDefault="0033294F" w:rsidP="00934686">
      <w:pPr>
        <w:ind w:left="720"/>
        <w:jc w:val="both"/>
        <w:rPr>
          <w:rFonts w:ascii="Work Sans" w:eastAsia="Work Sans" w:hAnsi="Work Sans" w:cs="Work Sans"/>
        </w:rPr>
      </w:pPr>
    </w:p>
    <w:p w14:paraId="43C75DB0" w14:textId="1CAF26F0"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 xml:space="preserve">A su vez, la Constitución ordena en su artículo 253, que será el Congreso de la República quien determinará lo relativo a la estructura y funcionamiento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haciendo referencia puntualmente a la facultad de determinar las prestaciones sociales de sus funcionarios y empleados, en los siguientes términos:</w:t>
      </w:r>
    </w:p>
    <w:p w14:paraId="526203AD" w14:textId="77777777" w:rsidR="00934686" w:rsidRPr="00F87FAD" w:rsidRDefault="00934686" w:rsidP="0033294F">
      <w:pPr>
        <w:pStyle w:val="Cita"/>
        <w:ind w:left="1440"/>
        <w:jc w:val="both"/>
        <w:rPr>
          <w:rFonts w:ascii="Work Sans" w:hAnsi="Work Sans"/>
          <w:i w:val="0"/>
          <w:iCs w:val="0"/>
          <w:color w:val="auto"/>
        </w:rPr>
      </w:pPr>
      <w:r w:rsidRPr="00F87FAD">
        <w:rPr>
          <w:rFonts w:ascii="Work Sans" w:hAnsi="Work Sans"/>
          <w:i w:val="0"/>
          <w:iCs w:val="0"/>
          <w:color w:val="auto"/>
        </w:rPr>
        <w:t xml:space="preserve">¨ARTICULO 253. La ley determinará lo relativo a la estructura y funcionamiento de la </w:t>
      </w:r>
      <w:proofErr w:type="gramStart"/>
      <w:r w:rsidRPr="00F87FAD">
        <w:rPr>
          <w:rFonts w:ascii="Work Sans" w:hAnsi="Work Sans"/>
          <w:i w:val="0"/>
          <w:iCs w:val="0"/>
          <w:color w:val="auto"/>
        </w:rPr>
        <w:t>Fiscalía General</w:t>
      </w:r>
      <w:proofErr w:type="gramEnd"/>
      <w:r w:rsidRPr="00F87FAD">
        <w:rPr>
          <w:rFonts w:ascii="Work Sans" w:hAnsi="Work Sans"/>
          <w:i w:val="0"/>
          <w:iCs w:val="0"/>
          <w:color w:val="auto"/>
        </w:rPr>
        <w:t xml:space="preserve"> de la Nación, al ingreso por carrera y al retiro del servicio, a las inhabilidades e incompatibilidades, denominación, calidades, remuneración, prestaciones sociales y régimen disciplinario de los funcionarios y empleados de su dependencia¨.</w:t>
      </w:r>
    </w:p>
    <w:p w14:paraId="1533DC6A"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b. Normatividad.</w:t>
      </w:r>
    </w:p>
    <w:p w14:paraId="078562EB" w14:textId="77777777" w:rsidR="00492DC0" w:rsidRPr="00F87FAD" w:rsidRDefault="00492DC0" w:rsidP="00934686">
      <w:pPr>
        <w:ind w:left="720"/>
        <w:jc w:val="both"/>
        <w:rPr>
          <w:rFonts w:ascii="Work Sans" w:eastAsia="Work Sans" w:hAnsi="Work Sans" w:cs="Work Sans"/>
        </w:rPr>
      </w:pPr>
    </w:p>
    <w:p w14:paraId="019B9CD0"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desarrollo de la cláusula general de competencia legislativa, el Congreso de la República expidió la Ley 4 de 1992, ¨Mediante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 En su artículo 14 se dispuso:</w:t>
      </w:r>
    </w:p>
    <w:p w14:paraId="4BD17732"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¨ARTÍCULO 14. 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298354E8"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Igualmente tendrán derecho a la prima de que trata el presente artículo, los delegados departamentales del Registrador Nacional del Estado Civil, los Registradores del Distrito Capital y los niveles Directivo y Asesor de la Registraduría Nacional del Estado Civil.</w:t>
      </w:r>
    </w:p>
    <w:p w14:paraId="60EE1465" w14:textId="36BF78BA" w:rsidR="0033294F" w:rsidRPr="00E55820" w:rsidRDefault="00934686" w:rsidP="00E55820">
      <w:pPr>
        <w:pStyle w:val="Cita"/>
        <w:ind w:left="1440"/>
        <w:jc w:val="both"/>
        <w:rPr>
          <w:rFonts w:ascii="Work Sans" w:hAnsi="Work Sans"/>
          <w:i w:val="0"/>
          <w:iCs w:val="0"/>
          <w:color w:val="auto"/>
        </w:rPr>
      </w:pPr>
      <w:r w:rsidRPr="00F87FAD">
        <w:rPr>
          <w:rFonts w:ascii="Work Sans" w:hAnsi="Work Sans"/>
          <w:i w:val="0"/>
          <w:iCs w:val="0"/>
          <w:color w:val="auto"/>
        </w:rPr>
        <w:t>PARÁGRAFO. Dentro del mismo término revisará el sistema de remuneración de funcionarios y empleados de la Rama Judicial sobre la base de la nivelación o reclasificación atendiendo criterios de equidad¨.</w:t>
      </w:r>
    </w:p>
    <w:p w14:paraId="0560BC98" w14:textId="21B6F59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lastRenderedPageBreak/>
        <w:t>IMPACTO FISCAL.</w:t>
      </w:r>
    </w:p>
    <w:p w14:paraId="6A08F4AF" w14:textId="77777777" w:rsidR="0033294F" w:rsidRPr="00F87FAD" w:rsidRDefault="0033294F" w:rsidP="00934686">
      <w:pPr>
        <w:ind w:left="720"/>
        <w:jc w:val="both"/>
        <w:rPr>
          <w:rFonts w:ascii="Work Sans" w:eastAsia="Work Sans" w:hAnsi="Work Sans" w:cs="Work Sans"/>
        </w:rPr>
      </w:pPr>
    </w:p>
    <w:p w14:paraId="6B2FD99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artículo 7 de la Ley 819 de 2003 ordena:</w:t>
      </w:r>
    </w:p>
    <w:p w14:paraId="0779ED27"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752C3131" w14:textId="213A623D"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Para estos propósitos, deberá incluirse expresamente en la exposición de motivos y en las ponencias de trámite respectivas los costos fiscales de la iniciativa y la fuente de ingreso adicional generada para el financiamiento de dicho costo.</w:t>
      </w:r>
    </w:p>
    <w:p w14:paraId="00A7A4A0"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563097BF" w14:textId="0B18B292"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 xml:space="preserve">Los proyectos de ley de iniciativa gubernamental, que planteen un gasto adicional o una reducción de ingresos, </w:t>
      </w:r>
      <w:r w:rsidR="00263F4A" w:rsidRPr="00F87FAD">
        <w:rPr>
          <w:rFonts w:ascii="Work Sans" w:hAnsi="Work Sans"/>
          <w:i w:val="0"/>
          <w:iCs w:val="0"/>
          <w:color w:val="auto"/>
        </w:rPr>
        <w:t>deberán</w:t>
      </w:r>
      <w:r w:rsidRPr="00F87FAD">
        <w:rPr>
          <w:rFonts w:ascii="Work Sans" w:hAnsi="Work Sans"/>
          <w:i w:val="0"/>
          <w:iCs w:val="0"/>
          <w:color w:val="auto"/>
        </w:rPr>
        <w:t xml:space="preserve"> contener la correspondiente fuente sustitutiva por disminución de gasto o aumentos de ingresos, lo cual deberá ser analizado y aprobado por el Ministerio de Hacienda y Crédito Público.</w:t>
      </w:r>
    </w:p>
    <w:p w14:paraId="25BACBBF" w14:textId="3D8C9B5A" w:rsidR="00934686" w:rsidRPr="00F87FAD" w:rsidRDefault="00934686" w:rsidP="00492DC0">
      <w:pPr>
        <w:pStyle w:val="Cita"/>
        <w:ind w:left="1440"/>
        <w:jc w:val="both"/>
        <w:rPr>
          <w:rFonts w:ascii="Work Sans" w:hAnsi="Work Sans"/>
          <w:i w:val="0"/>
          <w:iCs w:val="0"/>
        </w:rPr>
      </w:pPr>
      <w:r w:rsidRPr="00F87FAD">
        <w:rPr>
          <w:rFonts w:ascii="Work Sans" w:hAnsi="Work Sans"/>
          <w:i w:val="0"/>
          <w:iCs w:val="0"/>
          <w:color w:val="auto"/>
        </w:rPr>
        <w:t>En las entidades territoriales, el trámite previsto en el inciso anterior será surtido ante la respectiva Secretaría de Hacienda o quien haga sus veces¨.</w:t>
      </w:r>
    </w:p>
    <w:p w14:paraId="0A27353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Si bien es cierto que en la ponencia deben estar explícitos: i) La compatibilidad con el Marco Fiscal de Mediano Plazo; ii) Los costos fiscales de la iniciativa; y iii) La fuente de Ingreso adicional, conforme lo indica la sentencia C - 075 de 2022 de la Corte Constitucional, esta información debe ser aportada en el trámite legislativo y certificada por el Ministerio de Hacienda y Crédito Público, con lo cual la misma no debe erigirse como una responsabilidad exclusiva en cabeza de los autores o ponentes. Nótese que la sentencia C 502 de 2007 es minuciosa en aclarar que el artículo 7 de la Ley 819 de 2003 no puede configurar una barrera insalvable para el ejercicio de la función legislativa, ni tampoco debe recaer la carga en los ponentes sino, por el contrario, está reposa con protagonismo en el Ministerio de Hacienda, </w:t>
      </w:r>
      <w:r w:rsidRPr="00F87FAD">
        <w:rPr>
          <w:rFonts w:ascii="Work Sans" w:eastAsia="Work Sans" w:hAnsi="Work Sans" w:cs="Work Sans"/>
        </w:rPr>
        <w:lastRenderedPageBreak/>
        <w:t>quien realmente posee los datos, equipos de funcionarios y experiencia en materia económica para el asunto.</w:t>
      </w:r>
    </w:p>
    <w:p w14:paraId="0384D9F9" w14:textId="77777777" w:rsidR="00492DC0" w:rsidRPr="00F87FAD" w:rsidRDefault="00492DC0" w:rsidP="00934686">
      <w:pPr>
        <w:ind w:left="720"/>
        <w:jc w:val="both"/>
        <w:rPr>
          <w:rFonts w:ascii="Work Sans" w:eastAsia="Work Sans" w:hAnsi="Work Sans" w:cs="Work Sans"/>
        </w:rPr>
      </w:pPr>
    </w:p>
    <w:p w14:paraId="1D31DFE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Nótese que, como lo mencionamos anteriormente, esta bonificación judicial beneficia en la actualidad a 36.819 servidores judiciales. Además, según lo informó la Defensa Jurídica del Estado, se encontraron para los últimos diez (10) años (2014 - 2024) 15.612 procesos de nulidad y restablecimiento del derecho en contra de la Nación por la causa procesal de ilegalidad del acto administrativo que no reconoce la bonificación judicial, cuyas pretensiones a 31 de julio de 2024 ascienden a $750 mil millones de pesos. De esa cantidad de procesos enunciada, se encontraron 13.075 procesos activos en contra de la nación. Por su parte, se encontraron desde 2014 hasta 31 de julio de 2024, 2.496 procesos terminados por ejecutoria de la sentencia con fallo desfavorable para la Nación.</w:t>
      </w:r>
    </w:p>
    <w:p w14:paraId="2493BA0E" w14:textId="77777777" w:rsidR="00492DC0" w:rsidRPr="00F87FAD" w:rsidRDefault="00492DC0" w:rsidP="00934686">
      <w:pPr>
        <w:ind w:left="720"/>
        <w:jc w:val="both"/>
        <w:rPr>
          <w:rFonts w:ascii="Work Sans" w:eastAsia="Work Sans" w:hAnsi="Work Sans" w:cs="Work Sans"/>
        </w:rPr>
      </w:pPr>
    </w:p>
    <w:p w14:paraId="1D67F8CA" w14:textId="4558B3F5" w:rsidR="00934686" w:rsidRPr="00F87FAD" w:rsidRDefault="00492DC0" w:rsidP="00934686">
      <w:pPr>
        <w:ind w:left="720"/>
        <w:jc w:val="both"/>
        <w:rPr>
          <w:rFonts w:ascii="Work Sans" w:eastAsia="Work Sans" w:hAnsi="Work Sans" w:cs="Work Sans"/>
        </w:rPr>
      </w:pPr>
      <w:r w:rsidRPr="00F87FAD">
        <w:rPr>
          <w:rFonts w:ascii="Work Sans" w:eastAsia="Work Sans" w:hAnsi="Work Sans" w:cs="Work Sans"/>
        </w:rPr>
        <w:t>Contrario</w:t>
      </w:r>
      <w:r w:rsidR="00934686" w:rsidRPr="00F87FAD">
        <w:rPr>
          <w:rFonts w:ascii="Work Sans" w:eastAsia="Work Sans" w:hAnsi="Work Sans" w:cs="Work Sans"/>
        </w:rPr>
        <w:t xml:space="preserve"> de lo anterior, la presente iniciativa legislativa pretende reducir los costos y gastos en que debe incurrir el Estado Colombiano, como consecuencia de encontrarse recurrentemente vencido en los litigios que versan sobre el reconocimiento de la Bonificación Judicial como factor salarial para todas las prestaciones sociales.</w:t>
      </w:r>
    </w:p>
    <w:p w14:paraId="313EBECB" w14:textId="77777777" w:rsidR="00492DC0" w:rsidRPr="00F87FAD" w:rsidRDefault="00492DC0" w:rsidP="00934686">
      <w:pPr>
        <w:ind w:left="720"/>
        <w:jc w:val="both"/>
        <w:rPr>
          <w:rFonts w:ascii="Work Sans" w:eastAsia="Work Sans" w:hAnsi="Work Sans" w:cs="Work Sans"/>
        </w:rPr>
      </w:pPr>
    </w:p>
    <w:p w14:paraId="38C01CA0" w14:textId="7674E8C5"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Reconoció el Consejo Superior de la Judicatura como beneficios de esta </w:t>
      </w:r>
      <w:r w:rsidR="00492DC0" w:rsidRPr="00F87FAD">
        <w:rPr>
          <w:rFonts w:ascii="Work Sans" w:eastAsia="Work Sans" w:hAnsi="Work Sans" w:cs="Work Sans"/>
        </w:rPr>
        <w:t>iniciativa</w:t>
      </w:r>
      <w:r w:rsidRPr="00F87FAD">
        <w:rPr>
          <w:rFonts w:ascii="Work Sans" w:eastAsia="Work Sans" w:hAnsi="Work Sans" w:cs="Work Sans"/>
        </w:rPr>
        <w:t xml:space="preserve"> legislativa, no solo los ahorros en costos procesales, sino, además, un ahorro inicial de $378.549 millones anuales por concepto de la extinción de las potenciales súplicas de </w:t>
      </w:r>
      <w:r w:rsidR="00492DC0" w:rsidRPr="00F87FAD">
        <w:rPr>
          <w:rFonts w:ascii="Work Sans" w:eastAsia="Work Sans" w:hAnsi="Work Sans" w:cs="Work Sans"/>
        </w:rPr>
        <w:t>reconocimiento</w:t>
      </w:r>
      <w:r w:rsidRPr="00F87FAD">
        <w:rPr>
          <w:rFonts w:ascii="Work Sans" w:eastAsia="Work Sans" w:hAnsi="Work Sans" w:cs="Work Sans"/>
        </w:rPr>
        <w:t xml:space="preserve"> de la bonificación judicial como factor salarial.</w:t>
      </w:r>
    </w:p>
    <w:p w14:paraId="335E4573" w14:textId="77777777" w:rsidR="00492DC0" w:rsidRPr="00F87FAD" w:rsidRDefault="00492DC0" w:rsidP="00934686">
      <w:pPr>
        <w:ind w:left="720"/>
        <w:jc w:val="both"/>
        <w:rPr>
          <w:rFonts w:ascii="Work Sans" w:eastAsia="Work Sans" w:hAnsi="Work Sans" w:cs="Work Sans"/>
        </w:rPr>
      </w:pPr>
    </w:p>
    <w:p w14:paraId="3D16E54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Además, la Corte Constitucional y el Consejo de Estado, en sus fallos jurisprudenciales ha venido reconociendo progresivamente que por ¨salario¨ debe entenderse no solo la remuneración básica mensual sino todo lo que el empleado percibe por concepto de salario, en otras palabras, todo lo que devengue periódicamente como retribución de sus servicios.</w:t>
      </w:r>
    </w:p>
    <w:p w14:paraId="539336A1" w14:textId="77777777" w:rsidR="00D2584C" w:rsidRPr="00F87FAD" w:rsidRDefault="00D2584C" w:rsidP="00E55820">
      <w:pPr>
        <w:jc w:val="both"/>
        <w:rPr>
          <w:rFonts w:ascii="Work Sans" w:eastAsia="Work Sans" w:hAnsi="Work Sans" w:cs="Work Sans"/>
        </w:rPr>
      </w:pPr>
    </w:p>
    <w:p w14:paraId="32672672" w14:textId="006E1B30"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POSIBLES CONFLICTOS DE INTERÉS.</w:t>
      </w:r>
    </w:p>
    <w:p w14:paraId="47DCBA48" w14:textId="77777777" w:rsidR="00492DC0" w:rsidRPr="00F87FAD" w:rsidRDefault="00492DC0" w:rsidP="00934686">
      <w:pPr>
        <w:ind w:left="720"/>
        <w:jc w:val="both"/>
        <w:rPr>
          <w:rFonts w:ascii="Work Sans" w:eastAsia="Work Sans" w:hAnsi="Work Sans" w:cs="Work Sans"/>
        </w:rPr>
      </w:pPr>
    </w:p>
    <w:p w14:paraId="3A3A9FB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Se advierte que el presente Proyecto de Ley es de carácter general, sin embargo, en cumplimiento de la Ley 2003 de 2019, se hace la salvedad de que corresponde a la esfera privada de cada uno de los congresistas el examen del contenido de la presente iniciativa legislativa, y de otros elementos que puedan derivarse o entenderse como generadores de conflicto de interés contemplados en el artículo 286 de la Ley 5 de 1992.</w:t>
      </w:r>
    </w:p>
    <w:p w14:paraId="19D9CA26" w14:textId="77777777" w:rsidR="00492DC0" w:rsidRPr="00F87FAD" w:rsidRDefault="00492DC0" w:rsidP="00934686">
      <w:pPr>
        <w:ind w:left="720"/>
        <w:jc w:val="both"/>
        <w:rPr>
          <w:rFonts w:ascii="Work Sans" w:eastAsia="Work Sans" w:hAnsi="Work Sans" w:cs="Work Sans"/>
        </w:rPr>
      </w:pPr>
    </w:p>
    <w:p w14:paraId="760EAB3D"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 este.</w:t>
      </w:r>
    </w:p>
    <w:p w14:paraId="1CE84332" w14:textId="77777777" w:rsidR="00492DC0" w:rsidRPr="00F87FAD" w:rsidRDefault="00492DC0" w:rsidP="00934686">
      <w:pPr>
        <w:ind w:left="720"/>
        <w:jc w:val="both"/>
        <w:rPr>
          <w:rFonts w:ascii="Work Sans" w:eastAsia="Work Sans" w:hAnsi="Work Sans" w:cs="Work Sans"/>
        </w:rPr>
      </w:pPr>
    </w:p>
    <w:p w14:paraId="63C6C0C3" w14:textId="6A0B2F5D" w:rsidR="00E55820" w:rsidRPr="008C530E" w:rsidRDefault="00E55820"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PLIEGO DE MODIFICACIONES.</w:t>
      </w:r>
    </w:p>
    <w:p w14:paraId="08BFAC56" w14:textId="77777777" w:rsidR="008C530E" w:rsidRDefault="008C530E" w:rsidP="00934686">
      <w:pPr>
        <w:ind w:left="720"/>
        <w:jc w:val="both"/>
        <w:rPr>
          <w:rFonts w:ascii="Work Sans" w:eastAsia="Work Sans" w:hAnsi="Work Sans" w:cs="Work Sans"/>
          <w:b/>
          <w:bCs/>
        </w:rPr>
      </w:pPr>
    </w:p>
    <w:p w14:paraId="49D06DD9" w14:textId="6DCC0FF8" w:rsidR="00583119" w:rsidRDefault="008C530E" w:rsidP="00583119">
      <w:pPr>
        <w:ind w:left="720"/>
        <w:jc w:val="both"/>
        <w:rPr>
          <w:rFonts w:ascii="Work Sans" w:eastAsia="Work Sans" w:hAnsi="Work Sans" w:cs="Work Sans"/>
        </w:rPr>
      </w:pPr>
      <w:r>
        <w:rPr>
          <w:rFonts w:ascii="Work Sans" w:eastAsia="Work Sans" w:hAnsi="Work Sans" w:cs="Work Sans"/>
        </w:rPr>
        <w:t xml:space="preserve">El presente proyecto </w:t>
      </w:r>
      <w:r w:rsidR="00583119">
        <w:rPr>
          <w:rFonts w:ascii="Work Sans" w:eastAsia="Work Sans" w:hAnsi="Work Sans" w:cs="Work Sans"/>
        </w:rPr>
        <w:t xml:space="preserve">de ley se tramitará sin modificaciones. </w:t>
      </w:r>
    </w:p>
    <w:p w14:paraId="769BF2B5" w14:textId="422D120A" w:rsidR="008C530E" w:rsidRPr="008C530E" w:rsidRDefault="008C530E" w:rsidP="00934686">
      <w:pPr>
        <w:ind w:left="720"/>
        <w:jc w:val="both"/>
        <w:rPr>
          <w:rFonts w:ascii="Work Sans" w:eastAsia="Work Sans" w:hAnsi="Work Sans" w:cs="Work Sans"/>
        </w:rPr>
      </w:pPr>
      <w:r>
        <w:rPr>
          <w:rFonts w:ascii="Work Sans" w:eastAsia="Work Sans" w:hAnsi="Work Sans" w:cs="Work Sans"/>
        </w:rPr>
        <w:t>lica.</w:t>
      </w:r>
    </w:p>
    <w:p w14:paraId="10407154" w14:textId="77777777" w:rsidR="00E55820" w:rsidRDefault="00E55820" w:rsidP="00934686">
      <w:pPr>
        <w:ind w:left="720"/>
        <w:jc w:val="both"/>
        <w:rPr>
          <w:rFonts w:ascii="Work Sans" w:eastAsia="Work Sans" w:hAnsi="Work Sans" w:cs="Work Sans"/>
          <w:b/>
          <w:bCs/>
        </w:rPr>
      </w:pPr>
    </w:p>
    <w:p w14:paraId="2BCC28FD" w14:textId="573EC4B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PROPOSICIÓN.</w:t>
      </w:r>
    </w:p>
    <w:p w14:paraId="46AF2AAA" w14:textId="77777777" w:rsidR="00492DC0" w:rsidRPr="00F87FAD" w:rsidRDefault="00492DC0" w:rsidP="00934686">
      <w:pPr>
        <w:ind w:left="720"/>
        <w:jc w:val="both"/>
        <w:rPr>
          <w:rFonts w:ascii="Work Sans" w:eastAsia="Work Sans" w:hAnsi="Work Sans" w:cs="Work Sans"/>
        </w:rPr>
      </w:pPr>
    </w:p>
    <w:p w14:paraId="524D460E" w14:textId="4D986825"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En relación con los puntos anteriormente expuestos y dada la importancia que esta iniciativa legislativa reviste, presento ponencia positiva y solicito a los honorables miembros de la Comisión Primera Constitucional Permanente de la Cámara de Representantes aprobar en PRIMER debate el Proyecto de Ley No. </w:t>
      </w:r>
      <w:r w:rsidR="00492DC0" w:rsidRPr="00F87FAD">
        <w:rPr>
          <w:rFonts w:ascii="Work Sans" w:eastAsia="Work Sans" w:hAnsi="Work Sans" w:cs="Work Sans"/>
        </w:rPr>
        <w:t>521</w:t>
      </w:r>
      <w:r w:rsidRPr="00F87FAD">
        <w:rPr>
          <w:rFonts w:ascii="Work Sans" w:eastAsia="Work Sans" w:hAnsi="Work Sans" w:cs="Work Sans"/>
        </w:rPr>
        <w:t xml:space="preserve"> de 2026 Cámara - 114 de 2024 Senado “</w:t>
      </w:r>
      <w:r w:rsidRPr="00F87FAD">
        <w:rPr>
          <w:rFonts w:ascii="Work Sans" w:eastAsia="Work Sans" w:hAnsi="Work Sans" w:cs="Work Sans"/>
          <w:b/>
          <w:bCs/>
          <w:i/>
          <w:iCs/>
        </w:rPr>
        <w:t>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r w:rsidRPr="00F87FAD">
        <w:rPr>
          <w:rFonts w:ascii="Work Sans" w:eastAsia="Work Sans" w:hAnsi="Work Sans" w:cs="Work Sans"/>
        </w:rPr>
        <w:t>”, conforme con el texto propuesto.</w:t>
      </w:r>
    </w:p>
    <w:p w14:paraId="7985603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CCA56F0"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Cordialmente,</w:t>
      </w:r>
    </w:p>
    <w:p w14:paraId="4975E704"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4B2C564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F4471BB" w14:textId="5A814816" w:rsidR="00492DC0"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 xml:space="preserve">GABRIEL BECERRA </w:t>
      </w:r>
      <w:r w:rsidR="00263F4A" w:rsidRPr="00F87FAD">
        <w:rPr>
          <w:rFonts w:ascii="Work Sans" w:eastAsia="Work Sans" w:hAnsi="Work Sans" w:cs="Work Sans"/>
          <w:b/>
          <w:bCs/>
        </w:rPr>
        <w:t>YÁÑEZ</w:t>
      </w:r>
    </w:p>
    <w:p w14:paraId="173A4C2C" w14:textId="77777777" w:rsidR="00492DC0" w:rsidRPr="00F87FAD" w:rsidRDefault="00934686" w:rsidP="00934686">
      <w:pPr>
        <w:ind w:left="720"/>
        <w:jc w:val="both"/>
        <w:rPr>
          <w:rFonts w:ascii="Work Sans" w:eastAsia="Work Sans" w:hAnsi="Work Sans" w:cs="Work Sans"/>
        </w:rPr>
      </w:pPr>
      <w:r w:rsidRPr="00F87FAD">
        <w:rPr>
          <w:rFonts w:ascii="Work Sans" w:eastAsia="Work Sans" w:hAnsi="Work Sans" w:cs="Work Sans"/>
        </w:rPr>
        <w:t>Representante a la Cámara</w:t>
      </w:r>
    </w:p>
    <w:p w14:paraId="7EF6A2C1" w14:textId="1B3339BA"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Ponente Coordinador</w:t>
      </w:r>
    </w:p>
    <w:p w14:paraId="56CEB275" w14:textId="77777777" w:rsidR="00934686" w:rsidRPr="00F87FAD" w:rsidRDefault="00934686" w:rsidP="00934686">
      <w:pPr>
        <w:ind w:left="720"/>
        <w:jc w:val="both"/>
        <w:rPr>
          <w:rFonts w:ascii="Work Sans" w:eastAsia="Work Sans" w:hAnsi="Work Sans" w:cs="Work Sans"/>
        </w:rPr>
      </w:pPr>
    </w:p>
    <w:p w14:paraId="52A12585"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DE2E0FD" w14:textId="77777777" w:rsidR="00492DC0" w:rsidRPr="00F87FAD" w:rsidRDefault="00492DC0" w:rsidP="00934686">
      <w:pPr>
        <w:ind w:left="720"/>
        <w:jc w:val="both"/>
        <w:rPr>
          <w:rFonts w:ascii="Work Sans" w:eastAsia="Work Sans" w:hAnsi="Work Sans" w:cs="Work Sans"/>
        </w:rPr>
      </w:pPr>
    </w:p>
    <w:p w14:paraId="05C1B6FA" w14:textId="77777777" w:rsidR="00492DC0" w:rsidRPr="00F87FAD" w:rsidRDefault="00492DC0" w:rsidP="00934686">
      <w:pPr>
        <w:ind w:left="720"/>
        <w:jc w:val="both"/>
        <w:rPr>
          <w:rFonts w:ascii="Work Sans" w:eastAsia="Work Sans" w:hAnsi="Work Sans" w:cs="Work Sans"/>
        </w:rPr>
      </w:pPr>
    </w:p>
    <w:p w14:paraId="28B72039" w14:textId="77777777" w:rsidR="00D2584C" w:rsidRPr="00F87FAD" w:rsidRDefault="00D2584C" w:rsidP="00934686">
      <w:pPr>
        <w:ind w:left="720"/>
        <w:jc w:val="both"/>
        <w:rPr>
          <w:rFonts w:ascii="Work Sans" w:eastAsia="Work Sans" w:hAnsi="Work Sans" w:cs="Work Sans"/>
        </w:rPr>
      </w:pPr>
    </w:p>
    <w:p w14:paraId="287DA82A" w14:textId="77777777" w:rsidR="00D2584C" w:rsidRPr="00F87FAD" w:rsidRDefault="00D2584C" w:rsidP="00934686">
      <w:pPr>
        <w:ind w:left="720"/>
        <w:jc w:val="both"/>
        <w:rPr>
          <w:rFonts w:ascii="Work Sans" w:eastAsia="Work Sans" w:hAnsi="Work Sans" w:cs="Work Sans"/>
        </w:rPr>
      </w:pPr>
    </w:p>
    <w:p w14:paraId="2C54365F" w14:textId="77777777" w:rsidR="00D2584C" w:rsidRPr="00F87FAD" w:rsidRDefault="00D2584C" w:rsidP="00934686">
      <w:pPr>
        <w:ind w:left="720"/>
        <w:jc w:val="both"/>
        <w:rPr>
          <w:rFonts w:ascii="Work Sans" w:eastAsia="Work Sans" w:hAnsi="Work Sans" w:cs="Work Sans"/>
        </w:rPr>
      </w:pPr>
    </w:p>
    <w:p w14:paraId="42762C99" w14:textId="77777777" w:rsidR="00492DC0" w:rsidRPr="00F87FAD" w:rsidRDefault="00492DC0" w:rsidP="00934686">
      <w:pPr>
        <w:ind w:left="720"/>
        <w:jc w:val="both"/>
        <w:rPr>
          <w:rFonts w:ascii="Work Sans" w:eastAsia="Work Sans" w:hAnsi="Work Sans" w:cs="Work Sans"/>
        </w:rPr>
      </w:pPr>
    </w:p>
    <w:p w14:paraId="08AE4F1E" w14:textId="77777777" w:rsidR="00492DC0" w:rsidRDefault="00492DC0" w:rsidP="00934686">
      <w:pPr>
        <w:ind w:left="720"/>
        <w:jc w:val="both"/>
        <w:rPr>
          <w:rFonts w:ascii="Work Sans" w:eastAsia="Work Sans" w:hAnsi="Work Sans" w:cs="Work Sans"/>
        </w:rPr>
      </w:pPr>
    </w:p>
    <w:p w14:paraId="37A11F92" w14:textId="77777777" w:rsidR="0068630F" w:rsidRDefault="0068630F" w:rsidP="00934686">
      <w:pPr>
        <w:ind w:left="720"/>
        <w:jc w:val="both"/>
        <w:rPr>
          <w:rFonts w:ascii="Work Sans" w:eastAsia="Work Sans" w:hAnsi="Work Sans" w:cs="Work Sans"/>
        </w:rPr>
      </w:pPr>
    </w:p>
    <w:p w14:paraId="5D6299B9" w14:textId="77777777" w:rsidR="0068630F" w:rsidRDefault="0068630F" w:rsidP="00934686">
      <w:pPr>
        <w:ind w:left="720"/>
        <w:jc w:val="both"/>
        <w:rPr>
          <w:rFonts w:ascii="Work Sans" w:eastAsia="Work Sans" w:hAnsi="Work Sans" w:cs="Work Sans"/>
        </w:rPr>
      </w:pPr>
    </w:p>
    <w:p w14:paraId="46B1BB5B" w14:textId="77777777" w:rsidR="0068630F" w:rsidRPr="00F87FAD" w:rsidRDefault="0068630F" w:rsidP="00934686">
      <w:pPr>
        <w:ind w:left="720"/>
        <w:jc w:val="both"/>
        <w:rPr>
          <w:rFonts w:ascii="Work Sans" w:eastAsia="Work Sans" w:hAnsi="Work Sans" w:cs="Work Sans"/>
        </w:rPr>
      </w:pPr>
    </w:p>
    <w:p w14:paraId="6E23BA7F" w14:textId="77777777" w:rsidR="00492DC0" w:rsidRPr="00F87FAD" w:rsidRDefault="00492DC0" w:rsidP="00934686">
      <w:pPr>
        <w:ind w:left="720"/>
        <w:jc w:val="both"/>
        <w:rPr>
          <w:rFonts w:ascii="Work Sans" w:eastAsia="Work Sans" w:hAnsi="Work Sans" w:cs="Work Sans"/>
        </w:rPr>
      </w:pPr>
    </w:p>
    <w:p w14:paraId="0B293231" w14:textId="26EEED9C" w:rsidR="00934686" w:rsidRPr="0068630F" w:rsidRDefault="00934686" w:rsidP="0068630F">
      <w:pPr>
        <w:pStyle w:val="Prrafodelista"/>
        <w:numPr>
          <w:ilvl w:val="0"/>
          <w:numId w:val="11"/>
        </w:numPr>
        <w:jc w:val="both"/>
        <w:rPr>
          <w:rFonts w:ascii="Work Sans" w:eastAsia="Work Sans" w:hAnsi="Work Sans" w:cs="Work Sans"/>
          <w:b/>
          <w:bCs/>
          <w:u w:val="single"/>
        </w:rPr>
      </w:pPr>
      <w:r w:rsidRPr="0068630F">
        <w:rPr>
          <w:rFonts w:ascii="Work Sans" w:eastAsia="Work Sans" w:hAnsi="Work Sans" w:cs="Work Sans"/>
          <w:b/>
          <w:bCs/>
          <w:u w:val="single"/>
        </w:rPr>
        <w:lastRenderedPageBreak/>
        <w:t xml:space="preserve">TEXTO PROPUESTO </w:t>
      </w:r>
      <w:r w:rsidR="00583119">
        <w:rPr>
          <w:rFonts w:ascii="Work Sans" w:eastAsia="Work Sans" w:hAnsi="Work Sans" w:cs="Work Sans"/>
          <w:b/>
          <w:bCs/>
          <w:u w:val="single"/>
        </w:rPr>
        <w:t>PARA</w:t>
      </w:r>
      <w:r w:rsidRPr="0068630F">
        <w:rPr>
          <w:rFonts w:ascii="Work Sans" w:eastAsia="Work Sans" w:hAnsi="Work Sans" w:cs="Work Sans"/>
          <w:b/>
          <w:bCs/>
          <w:u w:val="single"/>
        </w:rPr>
        <w:t xml:space="preserve"> PRIMER DEBATE</w:t>
      </w:r>
      <w:r w:rsidR="00583119">
        <w:rPr>
          <w:rFonts w:ascii="Work Sans" w:eastAsia="Work Sans" w:hAnsi="Work Sans" w:cs="Work Sans"/>
          <w:b/>
          <w:bCs/>
          <w:u w:val="single"/>
        </w:rPr>
        <w:t xml:space="preserve"> EN LA COMISIÓN PRIMERA DE LA CÁMARA DE REPRESENTANTES:</w:t>
      </w:r>
    </w:p>
    <w:p w14:paraId="79363341" w14:textId="77777777" w:rsidR="00492DC0" w:rsidRPr="00F87FAD" w:rsidRDefault="00492DC0" w:rsidP="00934686">
      <w:pPr>
        <w:ind w:left="720"/>
        <w:jc w:val="both"/>
        <w:rPr>
          <w:rFonts w:ascii="Work Sans" w:eastAsia="Work Sans" w:hAnsi="Work Sans" w:cs="Work Sans"/>
        </w:rPr>
      </w:pPr>
    </w:p>
    <w:p w14:paraId="4677313B" w14:textId="76A47EB4" w:rsidR="00934686" w:rsidRPr="00F87FAD" w:rsidRDefault="00934686" w:rsidP="00492DC0">
      <w:pPr>
        <w:ind w:left="720"/>
        <w:jc w:val="center"/>
        <w:rPr>
          <w:rFonts w:ascii="Work Sans" w:eastAsia="Work Sans" w:hAnsi="Work Sans" w:cs="Work Sans"/>
        </w:rPr>
      </w:pPr>
      <w:r w:rsidRPr="00F87FAD">
        <w:rPr>
          <w:rFonts w:ascii="Work Sans" w:eastAsia="Work Sans" w:hAnsi="Work Sans" w:cs="Work Sans"/>
          <w:b/>
          <w:bCs/>
        </w:rPr>
        <w:t xml:space="preserve">PROYECTO DE LEY NO. </w:t>
      </w:r>
      <w:r w:rsidR="00492DC0" w:rsidRPr="00F87FAD">
        <w:rPr>
          <w:rFonts w:ascii="Work Sans" w:eastAsia="Work Sans" w:hAnsi="Work Sans" w:cs="Work Sans"/>
          <w:b/>
          <w:bCs/>
        </w:rPr>
        <w:t>521</w:t>
      </w:r>
      <w:r w:rsidRPr="00F87FAD">
        <w:rPr>
          <w:rFonts w:ascii="Work Sans" w:eastAsia="Work Sans" w:hAnsi="Work Sans" w:cs="Work Sans"/>
          <w:b/>
          <w:bCs/>
        </w:rPr>
        <w:t xml:space="preserve"> DE 2026 CÁMARA - 114 DE 2024 SENADO</w:t>
      </w:r>
    </w:p>
    <w:p w14:paraId="65A87D7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BE17687" w14:textId="77777777" w:rsidR="00934686" w:rsidRPr="00F87FAD" w:rsidRDefault="00934686" w:rsidP="008C530E">
      <w:pPr>
        <w:ind w:left="720"/>
        <w:jc w:val="center"/>
        <w:rPr>
          <w:rFonts w:ascii="Work Sans" w:eastAsia="Work Sans" w:hAnsi="Work Sans" w:cs="Work Sans"/>
        </w:rPr>
      </w:pPr>
      <w:r w:rsidRPr="00F87FAD">
        <w:rPr>
          <w:rFonts w:ascii="Work Sans" w:eastAsia="Work Sans" w:hAnsi="Work Sans" w:cs="Work Sans"/>
          <w:b/>
          <w:bCs/>
        </w:rPr>
        <w:t>¨POR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p>
    <w:p w14:paraId="638CD309"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2C88F0BD" w14:textId="166A8B11" w:rsidR="00934686" w:rsidRDefault="00934686" w:rsidP="008C530E">
      <w:pPr>
        <w:ind w:left="720"/>
        <w:jc w:val="center"/>
        <w:rPr>
          <w:rFonts w:ascii="Work Sans" w:eastAsia="Work Sans" w:hAnsi="Work Sans" w:cs="Work Sans"/>
          <w:b/>
          <w:bCs/>
        </w:rPr>
      </w:pPr>
      <w:r w:rsidRPr="00F87FAD">
        <w:rPr>
          <w:rFonts w:ascii="Work Sans" w:eastAsia="Work Sans" w:hAnsi="Work Sans" w:cs="Work Sans"/>
          <w:b/>
          <w:bCs/>
        </w:rPr>
        <w:t xml:space="preserve">EL CONGRESO DE </w:t>
      </w:r>
      <w:r w:rsidR="008C530E">
        <w:rPr>
          <w:rFonts w:ascii="Work Sans" w:eastAsia="Work Sans" w:hAnsi="Work Sans" w:cs="Work Sans"/>
          <w:b/>
          <w:bCs/>
        </w:rPr>
        <w:t>COLOMBIA</w:t>
      </w:r>
    </w:p>
    <w:p w14:paraId="2CBCC268" w14:textId="77777777" w:rsidR="00583119" w:rsidRDefault="00583119" w:rsidP="008C530E">
      <w:pPr>
        <w:ind w:left="720"/>
        <w:jc w:val="center"/>
        <w:rPr>
          <w:rFonts w:ascii="Work Sans" w:eastAsia="Work Sans" w:hAnsi="Work Sans" w:cs="Work Sans"/>
          <w:b/>
          <w:bCs/>
        </w:rPr>
      </w:pPr>
    </w:p>
    <w:p w14:paraId="33758901" w14:textId="607AE160" w:rsidR="00583119" w:rsidRPr="00F87FAD" w:rsidRDefault="00583119" w:rsidP="008C530E">
      <w:pPr>
        <w:ind w:left="720"/>
        <w:jc w:val="center"/>
        <w:rPr>
          <w:rFonts w:ascii="Work Sans" w:eastAsia="Work Sans" w:hAnsi="Work Sans" w:cs="Work Sans"/>
        </w:rPr>
      </w:pPr>
      <w:r>
        <w:rPr>
          <w:rFonts w:ascii="Work Sans" w:eastAsia="Work Sans" w:hAnsi="Work Sans" w:cs="Work Sans"/>
          <w:b/>
          <w:bCs/>
        </w:rPr>
        <w:t>DECRETA</w:t>
      </w:r>
    </w:p>
    <w:p w14:paraId="1C884EC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344363D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b/>
          <w:bCs/>
        </w:rPr>
        <w:t xml:space="preserve">Artículo 1. Objeto. </w:t>
      </w:r>
      <w:r w:rsidRPr="00F87FAD">
        <w:rPr>
          <w:rFonts w:ascii="Work Sans" w:eastAsia="Work Sans" w:hAnsi="Work Sans" w:cs="Work Sans"/>
        </w:rPr>
        <w:t>La presente ley tiene por objeto reconocer el carácter de factor salarial a la Bonificación Judicial de que tratan los Decretos 382, 383, 384 de 2013, 022 de 2014 y 1269 de 2015, los cuales crearon y regularon una Bonificación Judicial para los servidores públicos la Fiscalía General de la Nación, la Rama Judicial y la Justicia Penal Militar, la Dirección Ejecutiva de Administración Judicial y las Direcciones Seccionales de la Rama Judicial, que se reconocería mensualmente y constituiría únicamente factor salarial para la base de cotización al Sistema General de Pensiones y al Sistema General de la Seguridad Social en Salud.</w:t>
      </w:r>
    </w:p>
    <w:p w14:paraId="1FCD4019" w14:textId="77777777" w:rsidR="00492DC0" w:rsidRPr="00F87FAD" w:rsidRDefault="00492DC0" w:rsidP="00934686">
      <w:pPr>
        <w:ind w:left="720"/>
        <w:jc w:val="both"/>
        <w:rPr>
          <w:rFonts w:ascii="Work Sans" w:eastAsia="Work Sans" w:hAnsi="Work Sans" w:cs="Work Sans"/>
        </w:rPr>
      </w:pPr>
    </w:p>
    <w:p w14:paraId="1859FB6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b/>
          <w:bCs/>
        </w:rPr>
        <w:t xml:space="preserve">Artículo 2. Bonificación Judicial como factor salarial </w:t>
      </w:r>
      <w:r w:rsidRPr="00F87FAD">
        <w:rPr>
          <w:rFonts w:ascii="Work Sans" w:eastAsia="Work Sans" w:hAnsi="Work Sans" w:cs="Work Sans"/>
        </w:rPr>
        <w:t>La Bonificación Judicial de que tratan los Decretos 382, 383, 384 de 2013, 022 de 2014 y 1269 de 2015 constituirá factor salarial para todos los efectos legales sin excepción.</w:t>
      </w:r>
    </w:p>
    <w:p w14:paraId="24CD42D3" w14:textId="77777777" w:rsidR="00492DC0" w:rsidRPr="00F87FAD" w:rsidRDefault="00492DC0" w:rsidP="00934686">
      <w:pPr>
        <w:ind w:left="720"/>
        <w:jc w:val="both"/>
        <w:rPr>
          <w:rFonts w:ascii="Work Sans" w:eastAsia="Work Sans" w:hAnsi="Work Sans" w:cs="Work Sans"/>
        </w:rPr>
      </w:pPr>
    </w:p>
    <w:p w14:paraId="4F0DB4FE" w14:textId="3F9B6D39"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b/>
          <w:bCs/>
        </w:rPr>
        <w:t xml:space="preserve">Artículo </w:t>
      </w:r>
      <w:r w:rsidR="00492DC0" w:rsidRPr="00F87FAD">
        <w:rPr>
          <w:rFonts w:ascii="Work Sans" w:eastAsia="Work Sans" w:hAnsi="Work Sans" w:cs="Work Sans"/>
          <w:b/>
          <w:bCs/>
        </w:rPr>
        <w:t>3.</w:t>
      </w:r>
      <w:r w:rsidRPr="00F87FAD">
        <w:rPr>
          <w:rFonts w:ascii="Work Sans" w:eastAsia="Work Sans" w:hAnsi="Work Sans" w:cs="Work Sans"/>
          <w:b/>
          <w:bCs/>
        </w:rPr>
        <w:t xml:space="preserve"> Vigencia. </w:t>
      </w:r>
      <w:r w:rsidRPr="00F87FAD">
        <w:rPr>
          <w:rFonts w:ascii="Work Sans" w:eastAsia="Work Sans" w:hAnsi="Work Sans" w:cs="Work Sans"/>
        </w:rPr>
        <w:t>La presente ley rige a partir de su promulgación y deroga todas las disposiciones que le sean contrarias.</w:t>
      </w:r>
    </w:p>
    <w:p w14:paraId="5BE55EAC"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96DC3A1"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Cordialmente,</w:t>
      </w:r>
    </w:p>
    <w:p w14:paraId="52F6B47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5D76A6F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419E9255" w14:textId="11B59916" w:rsidR="00492DC0"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 xml:space="preserve">GABRIEL BECERRA </w:t>
      </w:r>
      <w:r w:rsidR="00263F4A" w:rsidRPr="00F87FAD">
        <w:rPr>
          <w:rFonts w:ascii="Work Sans" w:eastAsia="Work Sans" w:hAnsi="Work Sans" w:cs="Work Sans"/>
          <w:b/>
          <w:bCs/>
        </w:rPr>
        <w:t>YÁÑEZ</w:t>
      </w:r>
    </w:p>
    <w:p w14:paraId="38979911" w14:textId="3C130B20" w:rsidR="00492DC0" w:rsidRPr="00F87FAD" w:rsidRDefault="00934686" w:rsidP="00934686">
      <w:pPr>
        <w:ind w:left="720"/>
        <w:jc w:val="both"/>
        <w:rPr>
          <w:rFonts w:ascii="Work Sans" w:eastAsia="Work Sans" w:hAnsi="Work Sans" w:cs="Work Sans"/>
        </w:rPr>
      </w:pPr>
      <w:r w:rsidRPr="00F87FAD">
        <w:rPr>
          <w:rFonts w:ascii="Work Sans" w:eastAsia="Work Sans" w:hAnsi="Work Sans" w:cs="Work Sans"/>
        </w:rPr>
        <w:t>Representante a la Cámara</w:t>
      </w:r>
    </w:p>
    <w:p w14:paraId="2BF0ABEC" w14:textId="697222B3"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Ponente Coordinador</w:t>
      </w:r>
    </w:p>
    <w:p w14:paraId="5CF03EBC" w14:textId="77777777" w:rsidR="00934686" w:rsidRPr="00F87FAD" w:rsidRDefault="00934686" w:rsidP="00934686">
      <w:pPr>
        <w:ind w:left="720"/>
        <w:jc w:val="both"/>
        <w:rPr>
          <w:rFonts w:ascii="Work Sans" w:eastAsia="Work Sans" w:hAnsi="Work Sans" w:cs="Work Sans"/>
        </w:rPr>
      </w:pPr>
    </w:p>
    <w:p w14:paraId="79C88D7F" w14:textId="03FAD182" w:rsidR="00373188" w:rsidRPr="00F87FAD" w:rsidRDefault="003C2869" w:rsidP="00492DC0">
      <w:pPr>
        <w:shd w:val="clear" w:color="auto" w:fill="FFFFFF"/>
        <w:rPr>
          <w:rFonts w:ascii="Work Sans" w:eastAsia="Work Sans" w:hAnsi="Work Sans" w:cs="Work Sans"/>
        </w:rPr>
      </w:pPr>
      <w:r w:rsidRPr="00F87FAD">
        <w:rPr>
          <w:rFonts w:ascii="Work Sans" w:eastAsia="Work Sans" w:hAnsi="Work Sans" w:cs="Work Sans"/>
          <w:b/>
          <w:color w:val="000000"/>
        </w:rPr>
        <w:t xml:space="preserve"> </w:t>
      </w:r>
    </w:p>
    <w:sectPr w:rsidR="00373188" w:rsidRPr="00F87FAD" w:rsidSect="00F87FAD">
      <w:headerReference w:type="default" r:id="rId8"/>
      <w:footerReference w:type="default" r:id="rId9"/>
      <w:pgSz w:w="12240" w:h="15840"/>
      <w:pgMar w:top="2448" w:right="1019" w:bottom="1638" w:left="731" w:header="708" w:footer="10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399F" w14:textId="77777777" w:rsidR="00D61A08" w:rsidRDefault="00D61A08">
      <w:r>
        <w:separator/>
      </w:r>
    </w:p>
  </w:endnote>
  <w:endnote w:type="continuationSeparator" w:id="0">
    <w:p w14:paraId="4479AB12" w14:textId="77777777" w:rsidR="00D61A08" w:rsidRDefault="00D6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61645"/>
      <w:docPartObj>
        <w:docPartGallery w:val="Page Numbers (Bottom of Page)"/>
        <w:docPartUnique/>
      </w:docPartObj>
    </w:sdtPr>
    <w:sdtContent>
      <w:p w14:paraId="1A67623F" w14:textId="4F855541" w:rsidR="00F87FAD" w:rsidRDefault="00F87FAD">
        <w:pPr>
          <w:pStyle w:val="Piedepgina"/>
        </w:pPr>
        <w:r>
          <w:fldChar w:fldCharType="begin"/>
        </w:r>
        <w:r>
          <w:instrText>PAGE   \* MERGEFORMAT</w:instrText>
        </w:r>
        <w:r>
          <w:fldChar w:fldCharType="separate"/>
        </w:r>
        <w:r>
          <w:rPr>
            <w:lang w:val="es-ES"/>
          </w:rPr>
          <w:t>2</w:t>
        </w:r>
        <w:r>
          <w:fldChar w:fldCharType="end"/>
        </w:r>
      </w:p>
    </w:sdtContent>
  </w:sdt>
  <w:p w14:paraId="5D172203" w14:textId="77777777" w:rsidR="00F87FAD" w:rsidRDefault="00F87F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28B9" w14:textId="77777777" w:rsidR="00D61A08" w:rsidRDefault="00D61A08">
      <w:r>
        <w:separator/>
      </w:r>
    </w:p>
  </w:footnote>
  <w:footnote w:type="continuationSeparator" w:id="0">
    <w:p w14:paraId="6770B5AD" w14:textId="77777777" w:rsidR="00D61A08" w:rsidRDefault="00D6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eading=h.gjdgxs" w:colFirst="0" w:colLast="0"/>
  <w:bookmarkEnd w:id="0"/>
  <w:p w14:paraId="1411682C" w14:textId="5D931FA1" w:rsidR="003C2869" w:rsidRDefault="00000000">
    <w:pPr>
      <w:tabs>
        <w:tab w:val="center" w:pos="4680"/>
        <w:tab w:val="right" w:pos="9360"/>
      </w:tabs>
      <w:jc w:val="both"/>
      <w:rPr>
        <w:rFonts w:ascii="Work Sans" w:eastAsia="Work Sans" w:hAnsi="Work Sans" w:cs="Work Sans"/>
        <w:b/>
      </w:rPr>
    </w:pPr>
    <w:sdt>
      <w:sdtPr>
        <w:rPr>
          <w:rFonts w:ascii="Work Sans" w:eastAsia="Work Sans" w:hAnsi="Work Sans" w:cs="Work Sans"/>
          <w:b/>
        </w:rPr>
        <w:id w:val="-578059005"/>
        <w:docPartObj>
          <w:docPartGallery w:val="Page Numbers (Margins)"/>
          <w:docPartUnique/>
        </w:docPartObj>
      </w:sdtPr>
      <w:sdtContent/>
    </w:sdt>
    <w:r w:rsidR="003C2869">
      <w:rPr>
        <w:noProof/>
      </w:rPr>
      <w:drawing>
        <wp:anchor distT="0" distB="0" distL="0" distR="0" simplePos="0" relativeHeight="251656192" behindDoc="1" locked="0" layoutInCell="1" hidden="0" allowOverlap="1" wp14:anchorId="181DA2E6" wp14:editId="62D3C251">
          <wp:simplePos x="0" y="0"/>
          <wp:positionH relativeFrom="column">
            <wp:posOffset>-397125</wp:posOffset>
          </wp:positionH>
          <wp:positionV relativeFrom="paragraph">
            <wp:posOffset>-398293</wp:posOffset>
          </wp:positionV>
          <wp:extent cx="7765435" cy="10049435"/>
          <wp:effectExtent l="0" t="0" r="0" b="0"/>
          <wp:wrapNone/>
          <wp:docPr id="1320460073"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
                  <a:srcRect/>
                  <a:stretch>
                    <a:fillRect/>
                  </a:stretch>
                </pic:blipFill>
                <pic:spPr>
                  <a:xfrm>
                    <a:off x="0" y="0"/>
                    <a:ext cx="7765435" cy="10049435"/>
                  </a:xfrm>
                  <a:prstGeom prst="rect">
                    <a:avLst/>
                  </a:prstGeom>
                  <a:ln/>
                </pic:spPr>
              </pic:pic>
            </a:graphicData>
          </a:graphic>
        </wp:anchor>
      </w:drawing>
    </w:r>
  </w:p>
  <w:p w14:paraId="7AD612DC" w14:textId="45375820" w:rsidR="003C2869" w:rsidRDefault="003C2869">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3C2"/>
    <w:multiLevelType w:val="multilevel"/>
    <w:tmpl w:val="FAFAF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23725"/>
    <w:multiLevelType w:val="multilevel"/>
    <w:tmpl w:val="647C4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C42CB5"/>
    <w:multiLevelType w:val="multilevel"/>
    <w:tmpl w:val="8A30FA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949C3"/>
    <w:multiLevelType w:val="hybridMultilevel"/>
    <w:tmpl w:val="229295A0"/>
    <w:lvl w:ilvl="0" w:tplc="8AEA9C46">
      <w:start w:val="1"/>
      <w:numFmt w:val="decimal"/>
      <w:lvlText w:val="%1."/>
      <w:lvlJc w:val="left"/>
      <w:pPr>
        <w:ind w:left="720" w:hanging="360"/>
      </w:pPr>
      <w:rPr>
        <w:rFonts w:hint="default"/>
        <w:b/>
        <w:bCs/>
        <w:u w:val="singl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4013BE"/>
    <w:multiLevelType w:val="multilevel"/>
    <w:tmpl w:val="4E4E6AE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A53E1"/>
    <w:multiLevelType w:val="multilevel"/>
    <w:tmpl w:val="6F20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B3375"/>
    <w:multiLevelType w:val="multilevel"/>
    <w:tmpl w:val="BC886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D023E"/>
    <w:multiLevelType w:val="hybridMultilevel"/>
    <w:tmpl w:val="7ADE01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574D5DFB"/>
    <w:multiLevelType w:val="multilevel"/>
    <w:tmpl w:val="72B277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C36AC"/>
    <w:multiLevelType w:val="multilevel"/>
    <w:tmpl w:val="3974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D71E1F"/>
    <w:multiLevelType w:val="multilevel"/>
    <w:tmpl w:val="97DA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106098">
    <w:abstractNumId w:val="8"/>
  </w:num>
  <w:num w:numId="2" w16cid:durableId="174030101">
    <w:abstractNumId w:val="1"/>
  </w:num>
  <w:num w:numId="3" w16cid:durableId="1322462504">
    <w:abstractNumId w:val="9"/>
  </w:num>
  <w:num w:numId="4" w16cid:durableId="2003002719">
    <w:abstractNumId w:val="2"/>
  </w:num>
  <w:num w:numId="5" w16cid:durableId="1021469112">
    <w:abstractNumId w:val="5"/>
  </w:num>
  <w:num w:numId="6" w16cid:durableId="475758147">
    <w:abstractNumId w:val="10"/>
  </w:num>
  <w:num w:numId="7" w16cid:durableId="2133136288">
    <w:abstractNumId w:val="0"/>
    <w:lvlOverride w:ilvl="0">
      <w:lvl w:ilvl="0">
        <w:numFmt w:val="decimal"/>
        <w:lvlText w:val="%1."/>
        <w:lvlJc w:val="left"/>
      </w:lvl>
    </w:lvlOverride>
  </w:num>
  <w:num w:numId="8" w16cid:durableId="203563543">
    <w:abstractNumId w:val="4"/>
    <w:lvlOverride w:ilvl="0">
      <w:lvl w:ilvl="0">
        <w:numFmt w:val="decimal"/>
        <w:lvlText w:val="%1."/>
        <w:lvlJc w:val="left"/>
      </w:lvl>
    </w:lvlOverride>
  </w:num>
  <w:num w:numId="9" w16cid:durableId="320274456">
    <w:abstractNumId w:val="6"/>
    <w:lvlOverride w:ilvl="0">
      <w:lvl w:ilvl="0">
        <w:numFmt w:val="decimal"/>
        <w:lvlText w:val="%1."/>
        <w:lvlJc w:val="left"/>
      </w:lvl>
    </w:lvlOverride>
  </w:num>
  <w:num w:numId="10" w16cid:durableId="586234171">
    <w:abstractNumId w:val="7"/>
  </w:num>
  <w:num w:numId="11" w16cid:durableId="782188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88"/>
    <w:rsid w:val="00061596"/>
    <w:rsid w:val="00132850"/>
    <w:rsid w:val="00162E09"/>
    <w:rsid w:val="00220AEA"/>
    <w:rsid w:val="00263F4A"/>
    <w:rsid w:val="002713B8"/>
    <w:rsid w:val="002F3687"/>
    <w:rsid w:val="0033294F"/>
    <w:rsid w:val="003358AA"/>
    <w:rsid w:val="00373188"/>
    <w:rsid w:val="003C2869"/>
    <w:rsid w:val="0045603E"/>
    <w:rsid w:val="00492DC0"/>
    <w:rsid w:val="005124E8"/>
    <w:rsid w:val="00521EE9"/>
    <w:rsid w:val="005570AA"/>
    <w:rsid w:val="00583119"/>
    <w:rsid w:val="005F1973"/>
    <w:rsid w:val="0068630F"/>
    <w:rsid w:val="00714A5B"/>
    <w:rsid w:val="00746698"/>
    <w:rsid w:val="00752D9E"/>
    <w:rsid w:val="008B2FA2"/>
    <w:rsid w:val="008C530E"/>
    <w:rsid w:val="008F7EAA"/>
    <w:rsid w:val="00934686"/>
    <w:rsid w:val="00954CF7"/>
    <w:rsid w:val="00965E57"/>
    <w:rsid w:val="00A803D4"/>
    <w:rsid w:val="00A86F08"/>
    <w:rsid w:val="00B37A7F"/>
    <w:rsid w:val="00D2584C"/>
    <w:rsid w:val="00D61A08"/>
    <w:rsid w:val="00DD49B2"/>
    <w:rsid w:val="00DD6F11"/>
    <w:rsid w:val="00E55820"/>
    <w:rsid w:val="00E92D75"/>
    <w:rsid w:val="00EC08C0"/>
    <w:rsid w:val="00F87FAD"/>
    <w:rsid w:val="00FB0DF4"/>
    <w:rsid w:val="00FF2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987B"/>
  <w15:docId w15:val="{5543286F-8257-491C-818F-312621A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2DA"/>
    <w:pPr>
      <w:tabs>
        <w:tab w:val="center" w:pos="4680"/>
        <w:tab w:val="right" w:pos="9360"/>
      </w:tabs>
    </w:pPr>
  </w:style>
  <w:style w:type="character" w:customStyle="1" w:styleId="EncabezadoCar">
    <w:name w:val="Encabezado Car"/>
    <w:basedOn w:val="Fuentedeprrafopredeter"/>
    <w:link w:val="Encabezado"/>
    <w:uiPriority w:val="99"/>
    <w:rsid w:val="007D22DA"/>
  </w:style>
  <w:style w:type="paragraph" w:styleId="Piedepgina">
    <w:name w:val="footer"/>
    <w:basedOn w:val="Normal"/>
    <w:link w:val="PiedepginaCar"/>
    <w:uiPriority w:val="99"/>
    <w:unhideWhenUsed/>
    <w:rsid w:val="007D22DA"/>
    <w:pPr>
      <w:tabs>
        <w:tab w:val="center" w:pos="4680"/>
        <w:tab w:val="right" w:pos="9360"/>
      </w:tabs>
    </w:pPr>
  </w:style>
  <w:style w:type="character" w:customStyle="1" w:styleId="PiedepginaCar">
    <w:name w:val="Pie de página Car"/>
    <w:basedOn w:val="Fuentedeprrafopredeter"/>
    <w:link w:val="Piedepgina"/>
    <w:uiPriority w:val="99"/>
    <w:rsid w:val="007D22DA"/>
  </w:style>
  <w:style w:type="character" w:styleId="Hipervnculo">
    <w:name w:val="Hyperlink"/>
    <w:basedOn w:val="Fuentedeprrafopredeter"/>
    <w:uiPriority w:val="99"/>
    <w:unhideWhenUsed/>
    <w:rsid w:val="008860DA"/>
    <w:rPr>
      <w:color w:val="0563C1" w:themeColor="hyperlink"/>
      <w:u w:val="single"/>
    </w:rPr>
  </w:style>
  <w:style w:type="character" w:customStyle="1" w:styleId="Mencinsinresolver1">
    <w:name w:val="Mención sin resolver1"/>
    <w:basedOn w:val="Fuentedeprrafopredeter"/>
    <w:uiPriority w:val="99"/>
    <w:semiHidden/>
    <w:unhideWhenUsed/>
    <w:rsid w:val="008860DA"/>
    <w:rPr>
      <w:color w:val="605E5C"/>
      <w:shd w:val="clear" w:color="auto" w:fill="E1DFDD"/>
    </w:rPr>
  </w:style>
  <w:style w:type="paragraph" w:styleId="NormalWeb">
    <w:name w:val="Normal (Web)"/>
    <w:basedOn w:val="Normal"/>
    <w:uiPriority w:val="99"/>
    <w:semiHidden/>
    <w:unhideWhenUsed/>
    <w:rsid w:val="008860DA"/>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C2D7A"/>
    <w:pPr>
      <w:ind w:left="720"/>
      <w:contextualSpacing/>
    </w:pPr>
  </w:style>
  <w:style w:type="paragraph" w:styleId="Textonotapie">
    <w:name w:val="footnote text"/>
    <w:basedOn w:val="Normal"/>
    <w:link w:val="TextonotapieCar"/>
    <w:uiPriority w:val="99"/>
    <w:semiHidden/>
    <w:unhideWhenUsed/>
    <w:rsid w:val="00F65E50"/>
    <w:rPr>
      <w:sz w:val="20"/>
      <w:szCs w:val="20"/>
    </w:rPr>
  </w:style>
  <w:style w:type="character" w:customStyle="1" w:styleId="TextonotapieCar">
    <w:name w:val="Texto nota pie Car"/>
    <w:basedOn w:val="Fuentedeprrafopredeter"/>
    <w:link w:val="Textonotapie"/>
    <w:uiPriority w:val="99"/>
    <w:semiHidden/>
    <w:rsid w:val="00F65E50"/>
    <w:rPr>
      <w:sz w:val="20"/>
      <w:szCs w:val="20"/>
    </w:rPr>
  </w:style>
  <w:style w:type="character" w:styleId="Refdenotaalpie">
    <w:name w:val="footnote reference"/>
    <w:basedOn w:val="Fuentedeprrafopredeter"/>
    <w:uiPriority w:val="99"/>
    <w:semiHidden/>
    <w:unhideWhenUsed/>
    <w:rsid w:val="00F65E50"/>
    <w:rPr>
      <w:vertAlign w:val="superscript"/>
    </w:rPr>
  </w:style>
  <w:style w:type="table" w:styleId="Tablaconcuadrcula">
    <w:name w:val="Table Grid"/>
    <w:basedOn w:val="Tablanormal"/>
    <w:uiPriority w:val="39"/>
    <w:rsid w:val="00412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2D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D3A"/>
    <w:rPr>
      <w:rFonts w:ascii="Segoe UI" w:hAnsi="Segoe UI" w:cs="Segoe UI"/>
      <w:sz w:val="18"/>
      <w:szCs w:val="1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8" w:type="dxa"/>
        <w:right w:w="108" w:type="dxa"/>
      </w:tblCellMar>
    </w:tblPr>
  </w:style>
  <w:style w:type="paragraph" w:styleId="Cita">
    <w:name w:val="Quote"/>
    <w:basedOn w:val="Normal"/>
    <w:next w:val="Normal"/>
    <w:link w:val="CitaCar"/>
    <w:uiPriority w:val="29"/>
    <w:qFormat/>
    <w:rsid w:val="0093468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34686"/>
    <w:rPr>
      <w:i/>
      <w:iCs/>
      <w:color w:val="404040" w:themeColor="text1" w:themeTint="BF"/>
    </w:rPr>
  </w:style>
  <w:style w:type="character" w:styleId="Refdecomentario">
    <w:name w:val="annotation reference"/>
    <w:basedOn w:val="Fuentedeprrafopredeter"/>
    <w:uiPriority w:val="99"/>
    <w:semiHidden/>
    <w:unhideWhenUsed/>
    <w:rsid w:val="00752D9E"/>
    <w:rPr>
      <w:sz w:val="16"/>
      <w:szCs w:val="16"/>
    </w:rPr>
  </w:style>
  <w:style w:type="paragraph" w:styleId="Textocomentario">
    <w:name w:val="annotation text"/>
    <w:basedOn w:val="Normal"/>
    <w:link w:val="TextocomentarioCar"/>
    <w:uiPriority w:val="99"/>
    <w:unhideWhenUsed/>
    <w:rsid w:val="00752D9E"/>
    <w:rPr>
      <w:sz w:val="20"/>
      <w:szCs w:val="20"/>
    </w:rPr>
  </w:style>
  <w:style w:type="character" w:customStyle="1" w:styleId="TextocomentarioCar">
    <w:name w:val="Texto comentario Car"/>
    <w:basedOn w:val="Fuentedeprrafopredeter"/>
    <w:link w:val="Textocomentario"/>
    <w:uiPriority w:val="99"/>
    <w:rsid w:val="00752D9E"/>
    <w:rPr>
      <w:sz w:val="20"/>
      <w:szCs w:val="20"/>
    </w:rPr>
  </w:style>
  <w:style w:type="paragraph" w:styleId="Asuntodelcomentario">
    <w:name w:val="annotation subject"/>
    <w:basedOn w:val="Textocomentario"/>
    <w:next w:val="Textocomentario"/>
    <w:link w:val="AsuntodelcomentarioCar"/>
    <w:uiPriority w:val="99"/>
    <w:semiHidden/>
    <w:unhideWhenUsed/>
    <w:rsid w:val="00752D9E"/>
    <w:rPr>
      <w:b/>
      <w:bCs/>
    </w:rPr>
  </w:style>
  <w:style w:type="character" w:customStyle="1" w:styleId="AsuntodelcomentarioCar">
    <w:name w:val="Asunto del comentario Car"/>
    <w:basedOn w:val="TextocomentarioCar"/>
    <w:link w:val="Asuntodelcomentario"/>
    <w:uiPriority w:val="99"/>
    <w:semiHidden/>
    <w:rsid w:val="00752D9E"/>
    <w:rPr>
      <w:b/>
      <w:bCs/>
      <w:sz w:val="20"/>
      <w:szCs w:val="20"/>
    </w:rPr>
  </w:style>
  <w:style w:type="character" w:styleId="Nmerodepgina">
    <w:name w:val="page number"/>
    <w:basedOn w:val="Fuentedeprrafopredeter"/>
    <w:uiPriority w:val="99"/>
    <w:unhideWhenUsed/>
    <w:rsid w:val="00F8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4pMPEkpKik3mA8j4A0yJXCmeDw==">CgMxLjAyCGguZ2pkZ3hzMghoLmdqZGd4czgAciExbU53c3Ffa0kwcHZ3SElfM3lpU2NoVm05cVljbWYyT00=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25</Pages>
  <Words>7898</Words>
  <Characters>43444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Ninived Ruiz Casas</cp:lastModifiedBy>
  <cp:revision>14</cp:revision>
  <cp:lastPrinted>2024-08-06T15:07:00Z</cp:lastPrinted>
  <dcterms:created xsi:type="dcterms:W3CDTF">2025-07-22T16:28:00Z</dcterms:created>
  <dcterms:modified xsi:type="dcterms:W3CDTF">2026-04-14T21:15:00Z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0x0101000B16E336650B5B468EAC91A61E5E645D</vt:lpwstr>
  </property>
</Properties>
</file>