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C9BE3" w14:textId="77777777" w:rsidR="0081075F" w:rsidRDefault="0081075F">
      <w:pPr>
        <w:jc w:val="both"/>
        <w:rPr>
          <w:rFonts w:ascii="Cambria" w:eastAsia="Cambria" w:hAnsi="Cambria" w:cs="Cambria"/>
          <w:sz w:val="23"/>
          <w:szCs w:val="23"/>
        </w:rPr>
      </w:pPr>
    </w:p>
    <w:p w14:paraId="5CF50657" w14:textId="77777777" w:rsidR="0081075F" w:rsidRDefault="00000000">
      <w:pPr>
        <w:jc w:val="both"/>
        <w:rPr>
          <w:rFonts w:ascii="Cambria" w:eastAsia="Cambria" w:hAnsi="Cambria" w:cs="Cambria"/>
          <w:sz w:val="23"/>
          <w:szCs w:val="23"/>
        </w:rPr>
      </w:pPr>
      <w:r>
        <w:rPr>
          <w:rFonts w:ascii="Cambria" w:eastAsia="Cambria" w:hAnsi="Cambria" w:cs="Cambria"/>
          <w:sz w:val="23"/>
          <w:szCs w:val="23"/>
        </w:rPr>
        <w:t>Bogotá, 07 de abril de 2026</w:t>
      </w:r>
    </w:p>
    <w:p w14:paraId="3F011E42" w14:textId="77777777" w:rsidR="0081075F" w:rsidRDefault="0081075F">
      <w:pPr>
        <w:pBdr>
          <w:top w:val="nil"/>
          <w:left w:val="nil"/>
          <w:bottom w:val="nil"/>
          <w:right w:val="nil"/>
          <w:between w:val="nil"/>
        </w:pBdr>
        <w:spacing w:line="240" w:lineRule="auto"/>
        <w:rPr>
          <w:rFonts w:ascii="Cambria" w:eastAsia="Cambria" w:hAnsi="Cambria" w:cs="Cambria"/>
          <w:color w:val="000000"/>
          <w:sz w:val="23"/>
          <w:szCs w:val="23"/>
        </w:rPr>
      </w:pPr>
    </w:p>
    <w:p w14:paraId="28F29DF9" w14:textId="77777777" w:rsidR="0081075F" w:rsidRDefault="00000000">
      <w:pPr>
        <w:pBdr>
          <w:top w:val="nil"/>
          <w:left w:val="nil"/>
          <w:bottom w:val="nil"/>
          <w:right w:val="nil"/>
          <w:between w:val="nil"/>
        </w:pBdr>
        <w:spacing w:line="240" w:lineRule="auto"/>
        <w:rPr>
          <w:rFonts w:ascii="Cambria" w:eastAsia="Cambria" w:hAnsi="Cambria" w:cs="Cambria"/>
          <w:color w:val="000000"/>
          <w:sz w:val="23"/>
          <w:szCs w:val="23"/>
        </w:rPr>
      </w:pPr>
      <w:r>
        <w:rPr>
          <w:rFonts w:ascii="Cambria" w:eastAsia="Cambria" w:hAnsi="Cambria" w:cs="Cambria"/>
          <w:color w:val="000000"/>
          <w:sz w:val="23"/>
          <w:szCs w:val="23"/>
        </w:rPr>
        <w:t>Doctor</w:t>
      </w:r>
    </w:p>
    <w:p w14:paraId="7EA324AE" w14:textId="77777777" w:rsidR="0081075F" w:rsidRDefault="00000000">
      <w:pPr>
        <w:pBdr>
          <w:top w:val="nil"/>
          <w:left w:val="nil"/>
          <w:bottom w:val="nil"/>
          <w:right w:val="nil"/>
          <w:between w:val="nil"/>
        </w:pBdr>
        <w:spacing w:line="240" w:lineRule="auto"/>
        <w:rPr>
          <w:rFonts w:ascii="Cambria" w:eastAsia="Cambria" w:hAnsi="Cambria" w:cs="Cambria"/>
          <w:color w:val="000000"/>
          <w:sz w:val="23"/>
          <w:szCs w:val="23"/>
        </w:rPr>
      </w:pPr>
      <w:r>
        <w:rPr>
          <w:rFonts w:ascii="Cambria" w:eastAsia="Cambria" w:hAnsi="Cambria" w:cs="Cambria"/>
          <w:b/>
          <w:bCs/>
          <w:color w:val="000000"/>
          <w:sz w:val="23"/>
          <w:szCs w:val="23"/>
        </w:rPr>
        <w:t>GABRIEL BECERRA YAÑEZ</w:t>
      </w:r>
    </w:p>
    <w:p w14:paraId="53C33580" w14:textId="77777777" w:rsidR="0081075F" w:rsidRDefault="00000000">
      <w:pPr>
        <w:pBdr>
          <w:top w:val="nil"/>
          <w:left w:val="nil"/>
          <w:bottom w:val="nil"/>
          <w:right w:val="nil"/>
          <w:between w:val="nil"/>
        </w:pBdr>
        <w:spacing w:line="240" w:lineRule="auto"/>
        <w:rPr>
          <w:rFonts w:ascii="Cambria" w:eastAsia="Cambria" w:hAnsi="Cambria" w:cs="Cambria"/>
          <w:color w:val="000000"/>
          <w:sz w:val="23"/>
          <w:szCs w:val="23"/>
        </w:rPr>
      </w:pPr>
      <w:r>
        <w:rPr>
          <w:rFonts w:ascii="Cambria" w:eastAsia="Cambria" w:hAnsi="Cambria" w:cs="Cambria"/>
          <w:color w:val="000000"/>
          <w:sz w:val="23"/>
          <w:szCs w:val="23"/>
        </w:rPr>
        <w:t>Presidente</w:t>
      </w:r>
    </w:p>
    <w:p w14:paraId="02E846F2" w14:textId="77777777" w:rsidR="0081075F" w:rsidRDefault="00000000">
      <w:pPr>
        <w:pBdr>
          <w:top w:val="nil"/>
          <w:left w:val="nil"/>
          <w:bottom w:val="nil"/>
          <w:right w:val="nil"/>
          <w:between w:val="nil"/>
        </w:pBdr>
        <w:spacing w:line="240" w:lineRule="auto"/>
        <w:rPr>
          <w:rFonts w:ascii="Cambria" w:eastAsia="Cambria" w:hAnsi="Cambria" w:cs="Cambria"/>
          <w:color w:val="000000"/>
          <w:sz w:val="23"/>
          <w:szCs w:val="23"/>
        </w:rPr>
      </w:pPr>
      <w:r>
        <w:rPr>
          <w:rFonts w:ascii="Cambria" w:eastAsia="Cambria" w:hAnsi="Cambria" w:cs="Cambria"/>
          <w:color w:val="000000"/>
          <w:sz w:val="23"/>
          <w:szCs w:val="23"/>
        </w:rPr>
        <w:t>Comisión Primera Constitucional</w:t>
      </w:r>
    </w:p>
    <w:p w14:paraId="23F6646B" w14:textId="77777777" w:rsidR="0081075F" w:rsidRDefault="00000000">
      <w:pPr>
        <w:pBdr>
          <w:top w:val="nil"/>
          <w:left w:val="nil"/>
          <w:bottom w:val="nil"/>
          <w:right w:val="nil"/>
          <w:between w:val="nil"/>
        </w:pBdr>
        <w:spacing w:line="240" w:lineRule="auto"/>
        <w:rPr>
          <w:rFonts w:ascii="Cambria" w:eastAsia="Cambria" w:hAnsi="Cambria" w:cs="Cambria"/>
          <w:color w:val="000000"/>
          <w:sz w:val="23"/>
          <w:szCs w:val="23"/>
        </w:rPr>
      </w:pPr>
      <w:r>
        <w:rPr>
          <w:rFonts w:ascii="Cambria" w:eastAsia="Cambria" w:hAnsi="Cambria" w:cs="Cambria"/>
          <w:color w:val="000000"/>
          <w:sz w:val="23"/>
          <w:szCs w:val="23"/>
        </w:rPr>
        <w:t>Cámara de Representantes</w:t>
      </w:r>
    </w:p>
    <w:p w14:paraId="3E7720AF" w14:textId="77777777" w:rsidR="0081075F" w:rsidRDefault="00000000">
      <w:pPr>
        <w:jc w:val="both"/>
        <w:rPr>
          <w:rFonts w:ascii="Cambria" w:eastAsia="Cambria" w:hAnsi="Cambria" w:cs="Cambria"/>
          <w:sz w:val="23"/>
          <w:szCs w:val="23"/>
        </w:rPr>
      </w:pPr>
      <w:r>
        <w:rPr>
          <w:rFonts w:ascii="Cambria" w:eastAsia="Cambria" w:hAnsi="Cambria" w:cs="Cambria"/>
          <w:sz w:val="23"/>
          <w:szCs w:val="23"/>
        </w:rPr>
        <w:t>                             </w:t>
      </w:r>
    </w:p>
    <w:p w14:paraId="7B2DB2CF" w14:textId="77777777" w:rsidR="0081075F" w:rsidRDefault="00000000">
      <w:pPr>
        <w:jc w:val="both"/>
        <w:rPr>
          <w:rFonts w:ascii="Cambria" w:eastAsia="Cambria" w:hAnsi="Cambria" w:cs="Cambria"/>
          <w:sz w:val="23"/>
          <w:szCs w:val="23"/>
        </w:rPr>
      </w:pPr>
      <w:r>
        <w:rPr>
          <w:rFonts w:ascii="Cambria" w:eastAsia="Cambria" w:hAnsi="Cambria" w:cs="Cambria"/>
          <w:b/>
          <w:bCs/>
          <w:sz w:val="23"/>
          <w:szCs w:val="23"/>
        </w:rPr>
        <w:t>Asunto</w:t>
      </w:r>
      <w:r>
        <w:rPr>
          <w:rFonts w:ascii="Cambria" w:eastAsia="Cambria" w:hAnsi="Cambria" w:cs="Cambria"/>
          <w:sz w:val="23"/>
          <w:szCs w:val="23"/>
        </w:rPr>
        <w:t xml:space="preserve">: Informe de ponencia de ARCHIVO para primer debate del Proyecto de Ley No. 346 de 2025 Cámara “por medio del cual se modifica la ley 599 de 2000, en sus artículos 220 y 221”. </w:t>
      </w:r>
    </w:p>
    <w:p w14:paraId="2331BC37" w14:textId="77777777" w:rsidR="0081075F" w:rsidRDefault="0081075F">
      <w:pPr>
        <w:jc w:val="both"/>
        <w:rPr>
          <w:rFonts w:ascii="Cambria" w:eastAsia="Cambria" w:hAnsi="Cambria" w:cs="Cambria"/>
          <w:sz w:val="23"/>
          <w:szCs w:val="23"/>
        </w:rPr>
      </w:pPr>
    </w:p>
    <w:p w14:paraId="460E5E20" w14:textId="77777777" w:rsidR="0081075F" w:rsidRDefault="00000000">
      <w:pPr>
        <w:jc w:val="both"/>
        <w:rPr>
          <w:rFonts w:ascii="Cambria" w:eastAsia="Cambria" w:hAnsi="Cambria" w:cs="Cambria"/>
          <w:sz w:val="23"/>
          <w:szCs w:val="23"/>
        </w:rPr>
      </w:pPr>
      <w:r>
        <w:rPr>
          <w:rFonts w:ascii="Cambria" w:eastAsia="Cambria" w:hAnsi="Cambria" w:cs="Cambria"/>
          <w:b/>
          <w:bCs/>
          <w:sz w:val="23"/>
          <w:szCs w:val="23"/>
        </w:rPr>
        <w:t>Honorable Representante:</w:t>
      </w:r>
    </w:p>
    <w:p w14:paraId="303DCACA" w14:textId="77777777" w:rsidR="0081075F" w:rsidRDefault="0081075F">
      <w:pPr>
        <w:jc w:val="both"/>
        <w:rPr>
          <w:rFonts w:ascii="Cambria" w:eastAsia="Cambria" w:hAnsi="Cambria" w:cs="Cambria"/>
          <w:sz w:val="23"/>
          <w:szCs w:val="23"/>
        </w:rPr>
      </w:pPr>
    </w:p>
    <w:p w14:paraId="4D998711" w14:textId="77777777" w:rsidR="0081075F" w:rsidRDefault="00000000">
      <w:pPr>
        <w:jc w:val="both"/>
        <w:rPr>
          <w:rFonts w:ascii="Cambria" w:eastAsia="Cambria" w:hAnsi="Cambria" w:cs="Cambria"/>
          <w:sz w:val="23"/>
          <w:szCs w:val="23"/>
        </w:rPr>
      </w:pPr>
      <w:r>
        <w:rPr>
          <w:rFonts w:ascii="Cambria" w:eastAsia="Cambria" w:hAnsi="Cambria" w:cs="Cambria"/>
          <w:sz w:val="23"/>
          <w:szCs w:val="23"/>
        </w:rPr>
        <w:t>De conformidad con el encargo conferido por la Honorable Mesa Directiva de la Comisión Primera Constitucional de la Cámara de Representantes del Congreso de la República y en consonancia con lo prescrito en el artículo 156 de la Ley 5 de 1992, respetuosamente presentamos informe de Ponencia de ARCHIVO para primer debate del Proyecto de Ley No. 346 de 2025 Cámara “por medio del cual se modifica la ley 599 de 2000, en sus artículos 220 y 221”. con base en las siguientes consideraciones: </w:t>
      </w:r>
    </w:p>
    <w:p w14:paraId="15DF6F4B" w14:textId="77777777" w:rsidR="0081075F" w:rsidRDefault="0081075F">
      <w:pPr>
        <w:jc w:val="both"/>
        <w:rPr>
          <w:rFonts w:ascii="Cambria" w:eastAsia="Cambria" w:hAnsi="Cambria" w:cs="Cambria"/>
          <w:sz w:val="23"/>
          <w:szCs w:val="23"/>
        </w:rPr>
      </w:pPr>
    </w:p>
    <w:tbl>
      <w:tblPr>
        <w:tblStyle w:val="a"/>
        <w:tblW w:w="9026" w:type="dxa"/>
        <w:tblInd w:w="0" w:type="dxa"/>
        <w:tblLayout w:type="fixed"/>
        <w:tblLook w:val="0400" w:firstRow="0" w:lastRow="0" w:firstColumn="0" w:lastColumn="0" w:noHBand="0" w:noVBand="1"/>
      </w:tblPr>
      <w:tblGrid>
        <w:gridCol w:w="1472"/>
        <w:gridCol w:w="7554"/>
      </w:tblGrid>
      <w:tr w:rsidR="0081075F" w14:paraId="5E465C03" w14:textId="77777777">
        <w:tc>
          <w:tcPr>
            <w:tcW w:w="14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BD5B1A" w14:textId="77777777" w:rsidR="0081075F" w:rsidRDefault="00000000">
            <w:pPr>
              <w:jc w:val="both"/>
              <w:rPr>
                <w:rFonts w:ascii="Cambria" w:eastAsia="Cambria" w:hAnsi="Cambria" w:cs="Cambria"/>
                <w:sz w:val="23"/>
                <w:szCs w:val="23"/>
              </w:rPr>
            </w:pPr>
            <w:r>
              <w:rPr>
                <w:rFonts w:ascii="Cambria" w:eastAsia="Cambria" w:hAnsi="Cambria" w:cs="Cambria"/>
                <w:b/>
                <w:bCs/>
                <w:sz w:val="23"/>
                <w:szCs w:val="23"/>
              </w:rPr>
              <w:t>Número de Proyecto</w:t>
            </w:r>
          </w:p>
        </w:tc>
        <w:tc>
          <w:tcPr>
            <w:tcW w:w="75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5CB987" w14:textId="77777777" w:rsidR="0081075F" w:rsidRDefault="00000000">
            <w:pPr>
              <w:jc w:val="both"/>
              <w:rPr>
                <w:rFonts w:ascii="Cambria" w:eastAsia="Cambria" w:hAnsi="Cambria" w:cs="Cambria"/>
                <w:b/>
                <w:bCs/>
                <w:sz w:val="23"/>
                <w:szCs w:val="23"/>
              </w:rPr>
            </w:pPr>
            <w:r>
              <w:rPr>
                <w:rFonts w:ascii="Cambria" w:eastAsia="Cambria" w:hAnsi="Cambria" w:cs="Cambria"/>
                <w:b/>
                <w:bCs/>
                <w:sz w:val="23"/>
                <w:szCs w:val="23"/>
              </w:rPr>
              <w:t>No. 346 de 2025 Cámara</w:t>
            </w:r>
          </w:p>
        </w:tc>
      </w:tr>
      <w:tr w:rsidR="0081075F" w14:paraId="040875B6" w14:textId="77777777">
        <w:tc>
          <w:tcPr>
            <w:tcW w:w="14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44D58D" w14:textId="77777777" w:rsidR="0081075F" w:rsidRDefault="00000000">
            <w:pPr>
              <w:jc w:val="both"/>
              <w:rPr>
                <w:rFonts w:ascii="Cambria" w:eastAsia="Cambria" w:hAnsi="Cambria" w:cs="Cambria"/>
                <w:sz w:val="23"/>
                <w:szCs w:val="23"/>
              </w:rPr>
            </w:pPr>
            <w:r>
              <w:rPr>
                <w:rFonts w:ascii="Cambria" w:eastAsia="Cambria" w:hAnsi="Cambria" w:cs="Cambria"/>
                <w:sz w:val="23"/>
                <w:szCs w:val="23"/>
              </w:rPr>
              <w:t>Título</w:t>
            </w:r>
          </w:p>
        </w:tc>
        <w:tc>
          <w:tcPr>
            <w:tcW w:w="75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C162BC" w14:textId="77777777" w:rsidR="0081075F" w:rsidRDefault="00000000">
            <w:pPr>
              <w:jc w:val="both"/>
              <w:rPr>
                <w:rFonts w:ascii="Cambria" w:eastAsia="Cambria" w:hAnsi="Cambria" w:cs="Cambria"/>
                <w:i/>
                <w:iCs/>
                <w:sz w:val="23"/>
                <w:szCs w:val="23"/>
              </w:rPr>
            </w:pPr>
            <w:r>
              <w:rPr>
                <w:rFonts w:ascii="Cambria" w:eastAsia="Cambria" w:hAnsi="Cambria" w:cs="Cambria"/>
                <w:i/>
                <w:iCs/>
                <w:sz w:val="23"/>
                <w:szCs w:val="23"/>
              </w:rPr>
              <w:t xml:space="preserve">por medio del cual se modifica la ley 599 de 2000, en sus artículos 220 y 221. </w:t>
            </w:r>
          </w:p>
          <w:p w14:paraId="20F577FA" w14:textId="77777777" w:rsidR="0081075F" w:rsidRDefault="0081075F">
            <w:pPr>
              <w:jc w:val="both"/>
              <w:rPr>
                <w:rFonts w:ascii="Cambria" w:eastAsia="Cambria" w:hAnsi="Cambria" w:cs="Cambria"/>
                <w:i/>
                <w:iCs/>
                <w:sz w:val="23"/>
                <w:szCs w:val="23"/>
              </w:rPr>
            </w:pPr>
          </w:p>
        </w:tc>
      </w:tr>
      <w:tr w:rsidR="0081075F" w14:paraId="5967327D" w14:textId="77777777">
        <w:tc>
          <w:tcPr>
            <w:tcW w:w="14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869F5" w14:textId="77777777" w:rsidR="0081075F" w:rsidRDefault="00000000">
            <w:pPr>
              <w:jc w:val="both"/>
              <w:rPr>
                <w:rFonts w:ascii="Cambria" w:eastAsia="Cambria" w:hAnsi="Cambria" w:cs="Cambria"/>
                <w:sz w:val="23"/>
                <w:szCs w:val="23"/>
              </w:rPr>
            </w:pPr>
            <w:r>
              <w:rPr>
                <w:rFonts w:ascii="Cambria" w:eastAsia="Cambria" w:hAnsi="Cambria" w:cs="Cambria"/>
                <w:sz w:val="23"/>
                <w:szCs w:val="23"/>
              </w:rPr>
              <w:t>Autores</w:t>
            </w:r>
          </w:p>
        </w:tc>
        <w:tc>
          <w:tcPr>
            <w:tcW w:w="75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25C79B" w14:textId="77777777" w:rsidR="0081075F" w:rsidRDefault="0081075F">
            <w:pPr>
              <w:jc w:val="both"/>
              <w:rPr>
                <w:rFonts w:ascii="Cambria" w:eastAsia="Cambria" w:hAnsi="Cambria" w:cs="Cambria"/>
                <w:sz w:val="23"/>
                <w:szCs w:val="23"/>
              </w:rPr>
            </w:pPr>
            <w:hyperlink r:id="rId8">
              <w:r>
                <w:rPr>
                  <w:rFonts w:ascii="Cambria" w:eastAsia="Cambria" w:hAnsi="Cambria" w:cs="Cambria"/>
                  <w:color w:val="000000"/>
                  <w:sz w:val="23"/>
                  <w:szCs w:val="23"/>
                  <w:u w:val="single"/>
                </w:rPr>
                <w:t>Carlos Arturo Vallejo Beltrán</w:t>
              </w:r>
            </w:hyperlink>
            <w:r w:rsidR="00000000">
              <w:rPr>
                <w:rFonts w:ascii="Cambria" w:eastAsia="Cambria" w:hAnsi="Cambria" w:cs="Cambria"/>
                <w:sz w:val="23"/>
                <w:szCs w:val="23"/>
              </w:rPr>
              <w:t>, </w:t>
            </w:r>
            <w:proofErr w:type="spellStart"/>
            <w:r>
              <w:fldChar w:fldCharType="begin"/>
            </w:r>
            <w:r>
              <w:instrText>HYPERLINK "https://www.camara.gov.co/representantes/haiver-rincon-gutierrez" \h</w:instrText>
            </w:r>
            <w:r>
              <w:fldChar w:fldCharType="separate"/>
            </w:r>
            <w:r>
              <w:rPr>
                <w:rFonts w:ascii="Cambria" w:eastAsia="Cambria" w:hAnsi="Cambria" w:cs="Cambria"/>
                <w:color w:val="000000"/>
                <w:sz w:val="23"/>
                <w:szCs w:val="23"/>
                <w:u w:val="single"/>
              </w:rPr>
              <w:t>Haiver</w:t>
            </w:r>
            <w:proofErr w:type="spellEnd"/>
            <w:r>
              <w:rPr>
                <w:rFonts w:ascii="Cambria" w:eastAsia="Cambria" w:hAnsi="Cambria" w:cs="Cambria"/>
                <w:color w:val="000000"/>
                <w:sz w:val="23"/>
                <w:szCs w:val="23"/>
                <w:u w:val="single"/>
              </w:rPr>
              <w:t xml:space="preserve"> Rincón Gutiérrez</w:t>
            </w:r>
            <w:r>
              <w:fldChar w:fldCharType="end"/>
            </w:r>
            <w:r w:rsidR="00000000">
              <w:rPr>
                <w:rFonts w:ascii="Cambria" w:eastAsia="Cambria" w:hAnsi="Cambria" w:cs="Cambria"/>
                <w:sz w:val="23"/>
                <w:szCs w:val="23"/>
              </w:rPr>
              <w:t>, </w:t>
            </w:r>
            <w:proofErr w:type="spellStart"/>
            <w:r>
              <w:fldChar w:fldCharType="begin"/>
            </w:r>
            <w:r>
              <w:instrText>HYPERLINK "https://www.camara.gov.co/representantes/jhon-fredy-nunez-ramos" \h</w:instrText>
            </w:r>
            <w:r>
              <w:fldChar w:fldCharType="separate"/>
            </w:r>
            <w:r>
              <w:rPr>
                <w:rFonts w:ascii="Cambria" w:eastAsia="Cambria" w:hAnsi="Cambria" w:cs="Cambria"/>
                <w:color w:val="000000"/>
                <w:sz w:val="23"/>
                <w:szCs w:val="23"/>
                <w:u w:val="single"/>
              </w:rPr>
              <w:t>Jhon</w:t>
            </w:r>
            <w:proofErr w:type="spellEnd"/>
            <w:r>
              <w:rPr>
                <w:rFonts w:ascii="Cambria" w:eastAsia="Cambria" w:hAnsi="Cambria" w:cs="Cambria"/>
                <w:color w:val="000000"/>
                <w:sz w:val="23"/>
                <w:szCs w:val="23"/>
                <w:u w:val="single"/>
              </w:rPr>
              <w:t xml:space="preserve"> Fredy Núñez Ramos</w:t>
            </w:r>
            <w:r>
              <w:fldChar w:fldCharType="end"/>
            </w:r>
            <w:r w:rsidR="00000000">
              <w:rPr>
                <w:rFonts w:ascii="Cambria" w:eastAsia="Cambria" w:hAnsi="Cambria" w:cs="Cambria"/>
                <w:sz w:val="23"/>
                <w:szCs w:val="23"/>
              </w:rPr>
              <w:t>, </w:t>
            </w:r>
            <w:hyperlink r:id="rId9">
              <w:r>
                <w:rPr>
                  <w:rFonts w:ascii="Cambria" w:eastAsia="Cambria" w:hAnsi="Cambria" w:cs="Cambria"/>
                  <w:color w:val="000000"/>
                  <w:sz w:val="23"/>
                  <w:szCs w:val="23"/>
                  <w:u w:val="single"/>
                </w:rPr>
                <w:t>John Jairo González Agudelo</w:t>
              </w:r>
            </w:hyperlink>
            <w:r w:rsidR="00000000">
              <w:rPr>
                <w:rFonts w:ascii="Cambria" w:eastAsia="Cambria" w:hAnsi="Cambria" w:cs="Cambria"/>
                <w:sz w:val="23"/>
                <w:szCs w:val="23"/>
              </w:rPr>
              <w:t>, </w:t>
            </w:r>
            <w:hyperlink r:id="rId10">
              <w:r>
                <w:rPr>
                  <w:rFonts w:ascii="Cambria" w:eastAsia="Cambria" w:hAnsi="Cambria" w:cs="Cambria"/>
                  <w:color w:val="000000"/>
                  <w:sz w:val="23"/>
                  <w:szCs w:val="23"/>
                  <w:u w:val="single"/>
                </w:rPr>
                <w:t>Juan Carlos Vargas Soler</w:t>
              </w:r>
            </w:hyperlink>
            <w:r w:rsidR="00000000">
              <w:rPr>
                <w:rFonts w:ascii="Cambria" w:eastAsia="Cambria" w:hAnsi="Cambria" w:cs="Cambria"/>
                <w:sz w:val="23"/>
                <w:szCs w:val="23"/>
              </w:rPr>
              <w:t>, </w:t>
            </w:r>
            <w:hyperlink r:id="rId11">
              <w:r>
                <w:rPr>
                  <w:rFonts w:ascii="Cambria" w:eastAsia="Cambria" w:hAnsi="Cambria" w:cs="Cambria"/>
                  <w:color w:val="000000"/>
                  <w:sz w:val="23"/>
                  <w:szCs w:val="23"/>
                  <w:u w:val="single"/>
                </w:rPr>
                <w:t>Olga Beatriz González Correa</w:t>
              </w:r>
            </w:hyperlink>
            <w:r w:rsidR="00000000">
              <w:rPr>
                <w:rFonts w:ascii="Cambria" w:eastAsia="Cambria" w:hAnsi="Cambria" w:cs="Cambria"/>
                <w:sz w:val="23"/>
                <w:szCs w:val="23"/>
              </w:rPr>
              <w:t>, </w:t>
            </w:r>
            <w:hyperlink r:id="rId12">
              <w:r>
                <w:rPr>
                  <w:rFonts w:ascii="Cambria" w:eastAsia="Cambria" w:hAnsi="Cambria" w:cs="Cambria"/>
                  <w:color w:val="000000"/>
                  <w:sz w:val="23"/>
                  <w:szCs w:val="23"/>
                  <w:u w:val="single"/>
                </w:rPr>
                <w:t>William Ferney Aljure Martínez</w:t>
              </w:r>
            </w:hyperlink>
            <w:r w:rsidR="00000000">
              <w:rPr>
                <w:rFonts w:ascii="Cambria" w:eastAsia="Cambria" w:hAnsi="Cambria" w:cs="Cambria"/>
                <w:sz w:val="23"/>
                <w:szCs w:val="23"/>
              </w:rPr>
              <w:t>, </w:t>
            </w:r>
            <w:hyperlink r:id="rId13">
              <w:r>
                <w:rPr>
                  <w:rFonts w:ascii="Cambria" w:eastAsia="Cambria" w:hAnsi="Cambria" w:cs="Cambria"/>
                  <w:color w:val="000000"/>
                  <w:sz w:val="23"/>
                  <w:szCs w:val="23"/>
                  <w:u w:val="single"/>
                </w:rPr>
                <w:t xml:space="preserve">Wilmer Yair Castellanos </w:t>
              </w:r>
              <w:proofErr w:type="spellStart"/>
              <w:r>
                <w:rPr>
                  <w:rFonts w:ascii="Cambria" w:eastAsia="Cambria" w:hAnsi="Cambria" w:cs="Cambria"/>
                  <w:color w:val="000000"/>
                  <w:sz w:val="23"/>
                  <w:szCs w:val="23"/>
                  <w:u w:val="single"/>
                </w:rPr>
                <w:t>Hernandez</w:t>
              </w:r>
              <w:proofErr w:type="spellEnd"/>
            </w:hyperlink>
          </w:p>
        </w:tc>
      </w:tr>
      <w:tr w:rsidR="0081075F" w14:paraId="4E4BDECD" w14:textId="77777777">
        <w:tc>
          <w:tcPr>
            <w:tcW w:w="14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8D38D" w14:textId="77777777" w:rsidR="0081075F" w:rsidRDefault="00000000">
            <w:pPr>
              <w:jc w:val="both"/>
              <w:rPr>
                <w:rFonts w:ascii="Cambria" w:eastAsia="Cambria" w:hAnsi="Cambria" w:cs="Cambria"/>
                <w:sz w:val="23"/>
                <w:szCs w:val="23"/>
              </w:rPr>
            </w:pPr>
            <w:r>
              <w:rPr>
                <w:rFonts w:ascii="Cambria" w:eastAsia="Cambria" w:hAnsi="Cambria" w:cs="Cambria"/>
                <w:sz w:val="23"/>
                <w:szCs w:val="23"/>
              </w:rPr>
              <w:t>Ponentes</w:t>
            </w:r>
          </w:p>
        </w:tc>
        <w:tc>
          <w:tcPr>
            <w:tcW w:w="75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A8C8E0" w14:textId="77777777" w:rsidR="0081075F" w:rsidRDefault="00000000">
            <w:pPr>
              <w:jc w:val="both"/>
              <w:rPr>
                <w:rFonts w:ascii="Cambria" w:eastAsia="Cambria" w:hAnsi="Cambria" w:cs="Cambria"/>
                <w:sz w:val="23"/>
                <w:szCs w:val="23"/>
              </w:rPr>
            </w:pPr>
            <w:r>
              <w:rPr>
                <w:rFonts w:ascii="Cambria" w:eastAsia="Cambria" w:hAnsi="Cambria" w:cs="Cambria"/>
                <w:sz w:val="23"/>
                <w:szCs w:val="23"/>
              </w:rPr>
              <w:t>Coordinador Ponente:</w:t>
            </w:r>
          </w:p>
          <w:p w14:paraId="5E2F0E7E" w14:textId="77777777" w:rsidR="0081075F" w:rsidRDefault="00000000">
            <w:pPr>
              <w:jc w:val="both"/>
              <w:rPr>
                <w:sz w:val="23"/>
                <w:szCs w:val="23"/>
              </w:rPr>
            </w:pPr>
            <w:r>
              <w:rPr>
                <w:rFonts w:ascii="Cambria" w:eastAsia="Cambria" w:hAnsi="Cambria" w:cs="Cambria"/>
                <w:sz w:val="23"/>
                <w:szCs w:val="23"/>
              </w:rPr>
              <w:t>H.R. </w:t>
            </w:r>
            <w:hyperlink r:id="rId14">
              <w:r w:rsidR="0081075F">
                <w:rPr>
                  <w:rFonts w:ascii="Cambria" w:eastAsia="Cambria" w:hAnsi="Cambria" w:cs="Cambria"/>
                  <w:color w:val="000000"/>
                  <w:sz w:val="23"/>
                  <w:szCs w:val="23"/>
                </w:rPr>
                <w:t>Pedro José Suárez Vacca</w:t>
              </w:r>
            </w:hyperlink>
          </w:p>
        </w:tc>
      </w:tr>
      <w:tr w:rsidR="0081075F" w14:paraId="7E491F5A" w14:textId="77777777">
        <w:tc>
          <w:tcPr>
            <w:tcW w:w="14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F2EF2" w14:textId="77777777" w:rsidR="0081075F" w:rsidRDefault="00000000">
            <w:pPr>
              <w:jc w:val="both"/>
              <w:rPr>
                <w:rFonts w:ascii="Cambria" w:eastAsia="Cambria" w:hAnsi="Cambria" w:cs="Cambria"/>
                <w:sz w:val="23"/>
                <w:szCs w:val="23"/>
              </w:rPr>
            </w:pPr>
            <w:r>
              <w:rPr>
                <w:rFonts w:ascii="Cambria" w:eastAsia="Cambria" w:hAnsi="Cambria" w:cs="Cambria"/>
                <w:sz w:val="23"/>
                <w:szCs w:val="23"/>
              </w:rPr>
              <w:t>Ponencia </w:t>
            </w:r>
          </w:p>
        </w:tc>
        <w:tc>
          <w:tcPr>
            <w:tcW w:w="75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8D6E7" w14:textId="77777777" w:rsidR="0081075F" w:rsidRDefault="00000000">
            <w:pPr>
              <w:jc w:val="both"/>
              <w:rPr>
                <w:rFonts w:ascii="Cambria" w:eastAsia="Cambria" w:hAnsi="Cambria" w:cs="Cambria"/>
                <w:sz w:val="23"/>
                <w:szCs w:val="23"/>
              </w:rPr>
            </w:pPr>
            <w:r>
              <w:rPr>
                <w:rFonts w:ascii="Cambria" w:eastAsia="Cambria" w:hAnsi="Cambria" w:cs="Cambria"/>
                <w:sz w:val="23"/>
                <w:szCs w:val="23"/>
              </w:rPr>
              <w:t>ARCHIVO</w:t>
            </w:r>
          </w:p>
        </w:tc>
      </w:tr>
    </w:tbl>
    <w:p w14:paraId="5644ABD1" w14:textId="77777777" w:rsidR="0081075F" w:rsidRDefault="00000000">
      <w:pPr>
        <w:jc w:val="both"/>
        <w:rPr>
          <w:rFonts w:ascii="Cambria" w:eastAsia="Cambria" w:hAnsi="Cambria" w:cs="Cambria"/>
          <w:sz w:val="23"/>
          <w:szCs w:val="23"/>
        </w:rPr>
      </w:pPr>
      <w:r>
        <w:rPr>
          <w:rFonts w:ascii="Cambria" w:eastAsia="Cambria" w:hAnsi="Cambria" w:cs="Cambria"/>
          <w:b/>
          <w:bCs/>
          <w:sz w:val="23"/>
          <w:szCs w:val="23"/>
        </w:rPr>
        <w:t> </w:t>
      </w:r>
    </w:p>
    <w:p w14:paraId="23804EF6" w14:textId="77777777" w:rsidR="0081075F" w:rsidRDefault="00000000">
      <w:pPr>
        <w:jc w:val="both"/>
        <w:rPr>
          <w:rFonts w:ascii="Cambria" w:eastAsia="Cambria" w:hAnsi="Cambria" w:cs="Cambria"/>
          <w:sz w:val="23"/>
          <w:szCs w:val="23"/>
        </w:rPr>
      </w:pPr>
      <w:r>
        <w:rPr>
          <w:rFonts w:ascii="Cambria" w:eastAsia="Cambria" w:hAnsi="Cambria" w:cs="Cambria"/>
          <w:b/>
          <w:bCs/>
          <w:sz w:val="23"/>
          <w:szCs w:val="23"/>
        </w:rPr>
        <w:t>                                  </w:t>
      </w:r>
    </w:p>
    <w:p w14:paraId="0C620BA3" w14:textId="77777777" w:rsidR="0081075F" w:rsidRDefault="00000000">
      <w:pPr>
        <w:jc w:val="both"/>
        <w:rPr>
          <w:rFonts w:ascii="Cambria" w:eastAsia="Cambria" w:hAnsi="Cambria" w:cs="Cambria"/>
          <w:sz w:val="23"/>
          <w:szCs w:val="23"/>
        </w:rPr>
      </w:pPr>
      <w:r>
        <w:rPr>
          <w:rFonts w:ascii="Cambria" w:eastAsia="Cambria" w:hAnsi="Cambria" w:cs="Cambria"/>
          <w:b/>
          <w:bCs/>
          <w:sz w:val="23"/>
          <w:szCs w:val="23"/>
        </w:rPr>
        <w:t>___________________________________________               </w:t>
      </w:r>
    </w:p>
    <w:p w14:paraId="28651EA5" w14:textId="77777777" w:rsidR="0081075F" w:rsidRDefault="00000000">
      <w:pPr>
        <w:jc w:val="both"/>
        <w:rPr>
          <w:rFonts w:ascii="Cambria" w:eastAsia="Cambria" w:hAnsi="Cambria" w:cs="Cambria"/>
          <w:sz w:val="23"/>
          <w:szCs w:val="23"/>
        </w:rPr>
      </w:pPr>
      <w:r>
        <w:rPr>
          <w:rFonts w:ascii="Cambria" w:eastAsia="Cambria" w:hAnsi="Cambria" w:cs="Cambria"/>
          <w:b/>
          <w:bCs/>
          <w:sz w:val="23"/>
          <w:szCs w:val="23"/>
        </w:rPr>
        <w:t xml:space="preserve">PEDRO JOSÉ SUÁREZ VACCA                                       </w:t>
      </w:r>
    </w:p>
    <w:p w14:paraId="4A555CC8" w14:textId="77777777" w:rsidR="0081075F" w:rsidRDefault="00000000">
      <w:pPr>
        <w:jc w:val="both"/>
        <w:rPr>
          <w:rFonts w:ascii="Cambria" w:eastAsia="Cambria" w:hAnsi="Cambria" w:cs="Cambria"/>
          <w:sz w:val="23"/>
          <w:szCs w:val="23"/>
        </w:rPr>
      </w:pPr>
      <w:r>
        <w:rPr>
          <w:rFonts w:ascii="Cambria" w:eastAsia="Cambria" w:hAnsi="Cambria" w:cs="Cambria"/>
          <w:sz w:val="23"/>
          <w:szCs w:val="23"/>
        </w:rPr>
        <w:t xml:space="preserve">Representante a la Cámara por Boyacá                            </w:t>
      </w:r>
    </w:p>
    <w:p w14:paraId="47D55161" w14:textId="77777777" w:rsidR="0081075F" w:rsidRDefault="00000000">
      <w:pPr>
        <w:jc w:val="both"/>
        <w:rPr>
          <w:rFonts w:ascii="Cambria" w:eastAsia="Cambria" w:hAnsi="Cambria" w:cs="Cambria"/>
          <w:sz w:val="23"/>
          <w:szCs w:val="23"/>
        </w:rPr>
      </w:pPr>
      <w:r>
        <w:rPr>
          <w:rFonts w:ascii="Cambria" w:eastAsia="Cambria" w:hAnsi="Cambria" w:cs="Cambria"/>
          <w:sz w:val="23"/>
          <w:szCs w:val="23"/>
        </w:rPr>
        <w:t xml:space="preserve">Pacto Histórico.                                                                  </w:t>
      </w:r>
    </w:p>
    <w:p w14:paraId="5D9FBF38" w14:textId="77777777" w:rsidR="0081075F" w:rsidRDefault="0081075F">
      <w:pPr>
        <w:jc w:val="both"/>
        <w:rPr>
          <w:rFonts w:ascii="Cambria" w:eastAsia="Cambria" w:hAnsi="Cambria" w:cs="Cambria"/>
          <w:sz w:val="23"/>
          <w:szCs w:val="23"/>
        </w:rPr>
      </w:pPr>
    </w:p>
    <w:p w14:paraId="54779E09" w14:textId="77777777" w:rsidR="0081075F" w:rsidRDefault="0081075F">
      <w:pPr>
        <w:jc w:val="both"/>
        <w:rPr>
          <w:rFonts w:ascii="Cambria" w:eastAsia="Cambria" w:hAnsi="Cambria" w:cs="Cambria"/>
          <w:b/>
          <w:bCs/>
          <w:sz w:val="23"/>
          <w:szCs w:val="23"/>
        </w:rPr>
      </w:pPr>
    </w:p>
    <w:p w14:paraId="0BF69F2E" w14:textId="77777777" w:rsidR="0081075F" w:rsidRDefault="0081075F">
      <w:pPr>
        <w:spacing w:after="160" w:line="259" w:lineRule="auto"/>
        <w:rPr>
          <w:rFonts w:ascii="Cambria" w:eastAsia="Cambria" w:hAnsi="Cambria" w:cs="Cambria"/>
          <w:b/>
          <w:bCs/>
          <w:sz w:val="23"/>
          <w:szCs w:val="23"/>
        </w:rPr>
      </w:pPr>
    </w:p>
    <w:p w14:paraId="0F456E5F" w14:textId="77777777" w:rsidR="0081075F" w:rsidRDefault="00000000">
      <w:pPr>
        <w:spacing w:after="160" w:line="259" w:lineRule="auto"/>
        <w:jc w:val="center"/>
        <w:rPr>
          <w:rFonts w:ascii="Cambria" w:eastAsia="Cambria" w:hAnsi="Cambria" w:cs="Cambria"/>
          <w:b/>
          <w:bCs/>
          <w:sz w:val="23"/>
          <w:szCs w:val="23"/>
        </w:rPr>
      </w:pPr>
      <w:r>
        <w:rPr>
          <w:rFonts w:ascii="Cambria" w:eastAsia="Cambria" w:hAnsi="Cambria" w:cs="Cambria"/>
          <w:b/>
          <w:bCs/>
          <w:sz w:val="23"/>
          <w:szCs w:val="23"/>
        </w:rPr>
        <w:t>INFORME DE PONENCIA DE ARCHIVO PARA PRIMER DEBATE EN COMISIÓN PRIMERA DE LA CÁMARA DE REPRESENTANTES DEL PROYECTO DE LEY NO. 346 DE 2025 CÁMARA POR MEDIO DEL CUAL SE MODIFICA LA LEY 599 DE 2000, EN SUS ARTÍCULOS 220 Y 221</w:t>
      </w:r>
    </w:p>
    <w:p w14:paraId="73440BA1" w14:textId="77777777" w:rsidR="00FC541B" w:rsidRPr="001D6DB6" w:rsidRDefault="00FC541B" w:rsidP="00FC541B">
      <w:pPr>
        <w:spacing w:after="160" w:line="259" w:lineRule="auto"/>
        <w:rPr>
          <w:rFonts w:ascii="Cambria" w:eastAsia="Cambria" w:hAnsi="Cambria" w:cs="Cambria"/>
          <w:b/>
          <w:bCs/>
          <w:sz w:val="23"/>
          <w:szCs w:val="23"/>
        </w:rPr>
      </w:pPr>
    </w:p>
    <w:p w14:paraId="6C12197E" w14:textId="4D955F1A" w:rsidR="00FC541B" w:rsidRPr="00F20D4A" w:rsidRDefault="00FC541B" w:rsidP="00F20D4A">
      <w:pPr>
        <w:pStyle w:val="Prrafodelista"/>
        <w:numPr>
          <w:ilvl w:val="0"/>
          <w:numId w:val="4"/>
        </w:numPr>
        <w:spacing w:after="160" w:line="259" w:lineRule="auto"/>
        <w:rPr>
          <w:rFonts w:ascii="Cambria" w:eastAsia="Cambria" w:hAnsi="Cambria" w:cs="Cambria"/>
          <w:b/>
          <w:bCs/>
          <w:sz w:val="23"/>
          <w:szCs w:val="23"/>
        </w:rPr>
      </w:pPr>
      <w:r w:rsidRPr="00F20D4A">
        <w:rPr>
          <w:rFonts w:ascii="Cambria" w:eastAsia="Cambria" w:hAnsi="Cambria" w:cs="Cambria"/>
          <w:b/>
          <w:bCs/>
          <w:sz w:val="23"/>
          <w:szCs w:val="23"/>
        </w:rPr>
        <w:t>SINTESIS DEL PROYECTO</w:t>
      </w:r>
    </w:p>
    <w:p w14:paraId="7DDAE8BC" w14:textId="1BDC8D0E" w:rsidR="00FC541B" w:rsidRPr="00F20D4A" w:rsidRDefault="00FC541B" w:rsidP="00F20D4A">
      <w:pPr>
        <w:pStyle w:val="Prrafodelista"/>
        <w:numPr>
          <w:ilvl w:val="0"/>
          <w:numId w:val="4"/>
        </w:numPr>
        <w:spacing w:after="160" w:line="259" w:lineRule="auto"/>
        <w:rPr>
          <w:rFonts w:ascii="Cambria" w:eastAsia="Cambria" w:hAnsi="Cambria" w:cs="Cambria"/>
          <w:b/>
          <w:bCs/>
          <w:sz w:val="23"/>
          <w:szCs w:val="23"/>
        </w:rPr>
      </w:pPr>
      <w:r w:rsidRPr="00F20D4A">
        <w:rPr>
          <w:rFonts w:ascii="Cambria" w:eastAsia="Cambria" w:hAnsi="Cambria" w:cs="Cambria"/>
          <w:b/>
          <w:bCs/>
          <w:sz w:val="23"/>
          <w:szCs w:val="23"/>
        </w:rPr>
        <w:t>OBJETIVO DE LA INICIATIVA</w:t>
      </w:r>
    </w:p>
    <w:p w14:paraId="0C7DCF6A" w14:textId="1FB6A939" w:rsidR="00FC541B" w:rsidRPr="00F20D4A" w:rsidRDefault="00FC541B" w:rsidP="00F20D4A">
      <w:pPr>
        <w:pStyle w:val="Prrafodelista"/>
        <w:numPr>
          <w:ilvl w:val="0"/>
          <w:numId w:val="4"/>
        </w:numPr>
        <w:spacing w:after="160" w:line="259" w:lineRule="auto"/>
        <w:rPr>
          <w:rFonts w:ascii="Cambria" w:eastAsia="Cambria" w:hAnsi="Cambria" w:cs="Cambria"/>
          <w:b/>
          <w:bCs/>
          <w:sz w:val="23"/>
          <w:szCs w:val="23"/>
        </w:rPr>
      </w:pPr>
      <w:r w:rsidRPr="00F20D4A">
        <w:rPr>
          <w:rFonts w:ascii="Cambria" w:eastAsia="Cambria" w:hAnsi="Cambria" w:cs="Cambria"/>
          <w:b/>
          <w:bCs/>
          <w:sz w:val="23"/>
          <w:szCs w:val="23"/>
        </w:rPr>
        <w:t>JUSTIFICACION DE LA PONENCIA (ARCHIVO)</w:t>
      </w:r>
    </w:p>
    <w:p w14:paraId="70D8D7A0" w14:textId="01B15787" w:rsidR="00FC541B" w:rsidRPr="00F20D4A" w:rsidRDefault="00FC541B" w:rsidP="00F20D4A">
      <w:pPr>
        <w:pStyle w:val="Prrafodelista"/>
        <w:numPr>
          <w:ilvl w:val="1"/>
          <w:numId w:val="4"/>
        </w:numPr>
        <w:spacing w:after="160" w:line="259" w:lineRule="auto"/>
        <w:rPr>
          <w:rFonts w:ascii="Cambria" w:eastAsia="Cambria" w:hAnsi="Cambria" w:cs="Cambria"/>
          <w:b/>
          <w:bCs/>
          <w:sz w:val="23"/>
          <w:szCs w:val="23"/>
        </w:rPr>
      </w:pPr>
      <w:r w:rsidRPr="00F20D4A">
        <w:rPr>
          <w:rFonts w:ascii="Cambria" w:eastAsia="Cambria" w:hAnsi="Cambria" w:cs="Cambria"/>
          <w:b/>
          <w:bCs/>
          <w:sz w:val="23"/>
          <w:szCs w:val="23"/>
        </w:rPr>
        <w:t>Desproporcionalidad punitiva y vulneración del principio de proporcionalidad</w:t>
      </w:r>
    </w:p>
    <w:p w14:paraId="04454099" w14:textId="50EFE3F4" w:rsidR="00FC541B" w:rsidRPr="00F20D4A" w:rsidRDefault="00FC541B" w:rsidP="00F20D4A">
      <w:pPr>
        <w:pStyle w:val="Prrafodelista"/>
        <w:numPr>
          <w:ilvl w:val="1"/>
          <w:numId w:val="4"/>
        </w:numPr>
        <w:spacing w:after="160" w:line="259" w:lineRule="auto"/>
        <w:rPr>
          <w:rFonts w:ascii="Cambria" w:eastAsia="Cambria" w:hAnsi="Cambria" w:cs="Cambria"/>
          <w:b/>
          <w:bCs/>
          <w:sz w:val="23"/>
          <w:szCs w:val="23"/>
        </w:rPr>
      </w:pPr>
      <w:r w:rsidRPr="00F20D4A">
        <w:rPr>
          <w:rFonts w:ascii="Cambria" w:eastAsia="Cambria" w:hAnsi="Cambria" w:cs="Cambria"/>
          <w:b/>
          <w:bCs/>
          <w:sz w:val="23"/>
          <w:szCs w:val="23"/>
        </w:rPr>
        <w:t>Desconocimiento de los fines constitucionales de la pena</w:t>
      </w:r>
    </w:p>
    <w:p w14:paraId="53623C4F" w14:textId="7AB0793D" w:rsidR="00FC541B" w:rsidRPr="00F20D4A" w:rsidRDefault="00FC541B" w:rsidP="00F20D4A">
      <w:pPr>
        <w:pStyle w:val="Prrafodelista"/>
        <w:numPr>
          <w:ilvl w:val="1"/>
          <w:numId w:val="4"/>
        </w:numPr>
        <w:spacing w:after="160" w:line="259" w:lineRule="auto"/>
        <w:rPr>
          <w:rFonts w:ascii="Cambria" w:eastAsia="Cambria" w:hAnsi="Cambria" w:cs="Cambria"/>
          <w:b/>
          <w:bCs/>
          <w:sz w:val="23"/>
          <w:szCs w:val="23"/>
        </w:rPr>
      </w:pPr>
      <w:r w:rsidRPr="00F20D4A">
        <w:rPr>
          <w:rFonts w:ascii="Cambria" w:eastAsia="Cambria" w:hAnsi="Cambria" w:cs="Cambria"/>
          <w:b/>
          <w:bCs/>
          <w:sz w:val="23"/>
          <w:szCs w:val="23"/>
        </w:rPr>
        <w:t>Principio de mínima intervención y naturaleza subsidiaria del derecho penal</w:t>
      </w:r>
    </w:p>
    <w:p w14:paraId="20EBD054" w14:textId="30F45CA6" w:rsidR="00FC541B" w:rsidRPr="00F20D4A" w:rsidRDefault="00FC541B" w:rsidP="00F20D4A">
      <w:pPr>
        <w:pStyle w:val="Prrafodelista"/>
        <w:numPr>
          <w:ilvl w:val="1"/>
          <w:numId w:val="4"/>
        </w:numPr>
        <w:spacing w:after="160" w:line="259" w:lineRule="auto"/>
        <w:rPr>
          <w:rFonts w:ascii="Cambria" w:eastAsia="Cambria" w:hAnsi="Cambria" w:cs="Cambria"/>
          <w:b/>
          <w:bCs/>
          <w:sz w:val="23"/>
          <w:szCs w:val="23"/>
        </w:rPr>
      </w:pPr>
      <w:r w:rsidRPr="00F20D4A">
        <w:rPr>
          <w:rFonts w:ascii="Cambria" w:eastAsia="Cambria" w:hAnsi="Cambria" w:cs="Cambria"/>
          <w:b/>
          <w:bCs/>
          <w:sz w:val="23"/>
          <w:szCs w:val="23"/>
        </w:rPr>
        <w:t>Impacto en el sistema penitenciario y deber de racionalización de la política criminal</w:t>
      </w:r>
    </w:p>
    <w:p w14:paraId="33FB3D23" w14:textId="1C96F4F2" w:rsidR="00F20D4A" w:rsidRPr="00F20D4A" w:rsidRDefault="00FC541B" w:rsidP="00F20D4A">
      <w:pPr>
        <w:pStyle w:val="Prrafodelista"/>
        <w:numPr>
          <w:ilvl w:val="1"/>
          <w:numId w:val="4"/>
        </w:numPr>
        <w:spacing w:after="160" w:line="259" w:lineRule="auto"/>
      </w:pPr>
      <w:r w:rsidRPr="00F20D4A">
        <w:rPr>
          <w:rFonts w:ascii="Cambria" w:eastAsia="Cambria" w:hAnsi="Cambria" w:cs="Cambria"/>
          <w:b/>
          <w:bCs/>
          <w:sz w:val="23"/>
          <w:szCs w:val="23"/>
        </w:rPr>
        <w:t>Riesgo de afectación a la libertad de expresión</w:t>
      </w:r>
      <w:bookmarkStart w:id="0" w:name="_heading=h.olvfnnczzszv" w:colFirst="0" w:colLast="0"/>
      <w:bookmarkEnd w:id="0"/>
    </w:p>
    <w:p w14:paraId="2ABAA580" w14:textId="77777777" w:rsidR="00F20D4A" w:rsidRDefault="00F20D4A" w:rsidP="00F20D4A">
      <w:pPr>
        <w:pStyle w:val="Prrafodelista"/>
        <w:numPr>
          <w:ilvl w:val="0"/>
          <w:numId w:val="4"/>
        </w:numPr>
        <w:spacing w:after="160" w:line="259" w:lineRule="auto"/>
        <w:rPr>
          <w:rFonts w:ascii="Cambria" w:eastAsia="Cambria" w:hAnsi="Cambria" w:cs="Cambria"/>
          <w:b/>
          <w:bCs/>
          <w:sz w:val="23"/>
          <w:szCs w:val="23"/>
        </w:rPr>
      </w:pPr>
      <w:r w:rsidRPr="00F20D4A">
        <w:rPr>
          <w:rFonts w:ascii="Cambria" w:eastAsia="Cambria" w:hAnsi="Cambria" w:cs="Cambria"/>
          <w:b/>
          <w:bCs/>
          <w:sz w:val="23"/>
          <w:szCs w:val="23"/>
        </w:rPr>
        <w:t>CONSIDERACIONES DEL PONENTE</w:t>
      </w:r>
    </w:p>
    <w:p w14:paraId="08D26790" w14:textId="6E842239" w:rsidR="00F20D4A" w:rsidRDefault="00F20D4A" w:rsidP="00F20D4A">
      <w:pPr>
        <w:pStyle w:val="Prrafodelista"/>
        <w:numPr>
          <w:ilvl w:val="1"/>
          <w:numId w:val="4"/>
        </w:numPr>
        <w:spacing w:after="160" w:line="259" w:lineRule="auto"/>
        <w:rPr>
          <w:rFonts w:ascii="Cambria" w:eastAsia="Cambria" w:hAnsi="Cambria" w:cs="Cambria"/>
          <w:b/>
          <w:bCs/>
          <w:sz w:val="23"/>
          <w:szCs w:val="23"/>
        </w:rPr>
      </w:pPr>
      <w:r>
        <w:rPr>
          <w:rFonts w:ascii="Cambria" w:eastAsia="Cambria" w:hAnsi="Cambria" w:cs="Cambria"/>
          <w:b/>
          <w:bCs/>
          <w:sz w:val="23"/>
          <w:szCs w:val="23"/>
        </w:rPr>
        <w:t>Ausencia de una justificación suficiente desde la política criminal</w:t>
      </w:r>
    </w:p>
    <w:p w14:paraId="50093773" w14:textId="2C32360C" w:rsidR="00F20D4A" w:rsidRDefault="00F20D4A" w:rsidP="00F20D4A">
      <w:pPr>
        <w:pStyle w:val="Prrafodelista"/>
        <w:numPr>
          <w:ilvl w:val="1"/>
          <w:numId w:val="4"/>
        </w:numPr>
        <w:spacing w:after="160" w:line="259" w:lineRule="auto"/>
        <w:rPr>
          <w:rFonts w:ascii="Cambria" w:eastAsia="Cambria" w:hAnsi="Cambria" w:cs="Cambria"/>
          <w:b/>
          <w:bCs/>
          <w:sz w:val="23"/>
          <w:szCs w:val="23"/>
        </w:rPr>
      </w:pPr>
      <w:r>
        <w:rPr>
          <w:rFonts w:ascii="Cambria" w:eastAsia="Cambria" w:hAnsi="Cambria" w:cs="Cambria"/>
          <w:b/>
          <w:bCs/>
          <w:sz w:val="23"/>
          <w:szCs w:val="23"/>
        </w:rPr>
        <w:t>Desconocimiento del carácter subsidiario y de ultima ratio del derecho penal</w:t>
      </w:r>
    </w:p>
    <w:p w14:paraId="29865F06" w14:textId="10C6DB55" w:rsidR="00F20D4A" w:rsidRDefault="00F20D4A" w:rsidP="00F20D4A">
      <w:pPr>
        <w:pStyle w:val="Prrafodelista"/>
        <w:numPr>
          <w:ilvl w:val="1"/>
          <w:numId w:val="4"/>
        </w:numPr>
        <w:spacing w:after="160" w:line="259" w:lineRule="auto"/>
        <w:rPr>
          <w:rFonts w:ascii="Cambria" w:eastAsia="Cambria" w:hAnsi="Cambria" w:cs="Cambria"/>
          <w:b/>
          <w:bCs/>
          <w:sz w:val="23"/>
          <w:szCs w:val="23"/>
        </w:rPr>
      </w:pPr>
      <w:r>
        <w:rPr>
          <w:rFonts w:ascii="Cambria" w:eastAsia="Cambria" w:hAnsi="Cambria" w:cs="Cambria"/>
          <w:b/>
          <w:bCs/>
          <w:sz w:val="23"/>
          <w:szCs w:val="23"/>
        </w:rPr>
        <w:t xml:space="preserve">Eliminación del principio de oportunidad: Una medida contraria a la racionalidad del sistema penal </w:t>
      </w:r>
    </w:p>
    <w:p w14:paraId="6ED09DBE" w14:textId="5EEAE5BF" w:rsidR="00F20D4A" w:rsidRDefault="00F20D4A" w:rsidP="00F20D4A">
      <w:pPr>
        <w:pStyle w:val="Prrafodelista"/>
        <w:numPr>
          <w:ilvl w:val="1"/>
          <w:numId w:val="4"/>
        </w:numPr>
        <w:spacing w:after="160" w:line="259" w:lineRule="auto"/>
        <w:rPr>
          <w:rFonts w:ascii="Cambria" w:eastAsia="Cambria" w:hAnsi="Cambria" w:cs="Cambria"/>
          <w:b/>
          <w:bCs/>
          <w:sz w:val="23"/>
          <w:szCs w:val="23"/>
        </w:rPr>
      </w:pPr>
      <w:r>
        <w:rPr>
          <w:rFonts w:ascii="Cambria" w:eastAsia="Cambria" w:hAnsi="Cambria" w:cs="Cambria"/>
          <w:b/>
          <w:bCs/>
          <w:sz w:val="23"/>
          <w:szCs w:val="23"/>
        </w:rPr>
        <w:t>Incompatibilidad con mecanismos restaurativos y con la naturaleza de los delitos contra el honor</w:t>
      </w:r>
    </w:p>
    <w:p w14:paraId="71FF3DA3" w14:textId="0E23C4DE" w:rsidR="00F20D4A" w:rsidRDefault="00F20D4A" w:rsidP="00F20D4A">
      <w:pPr>
        <w:pStyle w:val="Prrafodelista"/>
        <w:numPr>
          <w:ilvl w:val="1"/>
          <w:numId w:val="4"/>
        </w:numPr>
        <w:spacing w:after="160" w:line="259" w:lineRule="auto"/>
        <w:rPr>
          <w:rFonts w:ascii="Cambria" w:eastAsia="Cambria" w:hAnsi="Cambria" w:cs="Cambria"/>
          <w:b/>
          <w:bCs/>
          <w:sz w:val="23"/>
          <w:szCs w:val="23"/>
        </w:rPr>
      </w:pPr>
      <w:r>
        <w:rPr>
          <w:rFonts w:ascii="Cambria" w:eastAsia="Cambria" w:hAnsi="Cambria" w:cs="Cambria"/>
          <w:b/>
          <w:bCs/>
          <w:sz w:val="23"/>
          <w:szCs w:val="23"/>
        </w:rPr>
        <w:t>Desproporcionalidad en el aumento de las penas</w:t>
      </w:r>
    </w:p>
    <w:p w14:paraId="0E9F33CC" w14:textId="7120007D" w:rsidR="00F20D4A" w:rsidRDefault="00F20D4A" w:rsidP="00F20D4A">
      <w:pPr>
        <w:pStyle w:val="Prrafodelista"/>
        <w:numPr>
          <w:ilvl w:val="1"/>
          <w:numId w:val="4"/>
        </w:numPr>
        <w:spacing w:after="160" w:line="259" w:lineRule="auto"/>
        <w:rPr>
          <w:rFonts w:ascii="Cambria" w:eastAsia="Cambria" w:hAnsi="Cambria" w:cs="Cambria"/>
          <w:b/>
          <w:bCs/>
          <w:sz w:val="23"/>
          <w:szCs w:val="23"/>
        </w:rPr>
      </w:pPr>
      <w:r>
        <w:rPr>
          <w:rFonts w:ascii="Cambria" w:eastAsia="Cambria" w:hAnsi="Cambria" w:cs="Cambria"/>
          <w:b/>
          <w:bCs/>
          <w:sz w:val="23"/>
          <w:szCs w:val="23"/>
        </w:rPr>
        <w:t xml:space="preserve">Riesgo de afectación a la libertad de expresión </w:t>
      </w:r>
    </w:p>
    <w:p w14:paraId="1B3482E3" w14:textId="625BB77D" w:rsidR="00F20D4A" w:rsidRDefault="00F20D4A" w:rsidP="00F20D4A">
      <w:pPr>
        <w:pStyle w:val="Prrafodelista"/>
        <w:numPr>
          <w:ilvl w:val="1"/>
          <w:numId w:val="4"/>
        </w:numPr>
        <w:spacing w:after="160" w:line="259" w:lineRule="auto"/>
        <w:rPr>
          <w:rFonts w:ascii="Cambria" w:eastAsia="Cambria" w:hAnsi="Cambria" w:cs="Cambria"/>
          <w:b/>
          <w:bCs/>
          <w:sz w:val="23"/>
          <w:szCs w:val="23"/>
        </w:rPr>
      </w:pPr>
      <w:r>
        <w:rPr>
          <w:rFonts w:ascii="Cambria" w:eastAsia="Cambria" w:hAnsi="Cambria" w:cs="Cambria"/>
          <w:b/>
          <w:bCs/>
          <w:sz w:val="23"/>
          <w:szCs w:val="23"/>
        </w:rPr>
        <w:t xml:space="preserve">Falta de análisis sobre el impacto institucional de la reforma </w:t>
      </w:r>
    </w:p>
    <w:p w14:paraId="1FCB0D6A" w14:textId="2EB831A3" w:rsidR="00F20D4A" w:rsidRDefault="00F20D4A" w:rsidP="00F20D4A">
      <w:pPr>
        <w:pStyle w:val="Prrafodelista"/>
        <w:numPr>
          <w:ilvl w:val="0"/>
          <w:numId w:val="4"/>
        </w:numPr>
        <w:spacing w:after="160" w:line="259" w:lineRule="auto"/>
        <w:rPr>
          <w:rFonts w:ascii="Cambria" w:eastAsia="Cambria" w:hAnsi="Cambria" w:cs="Cambria"/>
          <w:b/>
          <w:bCs/>
          <w:sz w:val="23"/>
          <w:szCs w:val="23"/>
        </w:rPr>
      </w:pPr>
      <w:r>
        <w:rPr>
          <w:rFonts w:ascii="Cambria" w:eastAsia="Cambria" w:hAnsi="Cambria" w:cs="Cambria"/>
          <w:b/>
          <w:bCs/>
          <w:sz w:val="23"/>
          <w:szCs w:val="23"/>
        </w:rPr>
        <w:t xml:space="preserve">IMPACTO FISCAL </w:t>
      </w:r>
    </w:p>
    <w:p w14:paraId="38CCDBD2" w14:textId="3EB783F8" w:rsidR="00F20D4A" w:rsidRDefault="00F20D4A" w:rsidP="00F20D4A">
      <w:pPr>
        <w:pStyle w:val="Prrafodelista"/>
        <w:numPr>
          <w:ilvl w:val="0"/>
          <w:numId w:val="4"/>
        </w:numPr>
        <w:spacing w:after="160" w:line="259" w:lineRule="auto"/>
        <w:rPr>
          <w:rFonts w:ascii="Cambria" w:eastAsia="Cambria" w:hAnsi="Cambria" w:cs="Cambria"/>
          <w:b/>
          <w:bCs/>
          <w:sz w:val="23"/>
          <w:szCs w:val="23"/>
        </w:rPr>
      </w:pPr>
      <w:r>
        <w:rPr>
          <w:rFonts w:ascii="Cambria" w:eastAsia="Cambria" w:hAnsi="Cambria" w:cs="Cambria"/>
          <w:b/>
          <w:bCs/>
          <w:sz w:val="23"/>
          <w:szCs w:val="23"/>
        </w:rPr>
        <w:t>CONFLICTO DE INTERESES</w:t>
      </w:r>
    </w:p>
    <w:p w14:paraId="5215844F" w14:textId="2D34F46E" w:rsidR="00B624FD" w:rsidRPr="00F20D4A" w:rsidRDefault="00F20D4A" w:rsidP="00F20D4A">
      <w:pPr>
        <w:pStyle w:val="Prrafodelista"/>
        <w:numPr>
          <w:ilvl w:val="0"/>
          <w:numId w:val="4"/>
        </w:numPr>
        <w:spacing w:after="160" w:line="259" w:lineRule="auto"/>
        <w:rPr>
          <w:rFonts w:ascii="Cambria" w:eastAsia="Cambria" w:hAnsi="Cambria" w:cs="Cambria"/>
          <w:b/>
          <w:bCs/>
          <w:sz w:val="23"/>
          <w:szCs w:val="23"/>
        </w:rPr>
      </w:pPr>
      <w:r>
        <w:rPr>
          <w:rFonts w:ascii="Cambria" w:eastAsia="Cambria" w:hAnsi="Cambria" w:cs="Cambria"/>
          <w:b/>
          <w:bCs/>
          <w:sz w:val="23"/>
          <w:szCs w:val="23"/>
        </w:rPr>
        <w:t xml:space="preserve">PROPOSICIÓN </w:t>
      </w:r>
    </w:p>
    <w:p w14:paraId="7BB2E391" w14:textId="3E4E04A8" w:rsidR="00B624FD" w:rsidRPr="00B624FD" w:rsidRDefault="00B624FD" w:rsidP="00F20D4A">
      <w:pPr>
        <w:pBdr>
          <w:top w:val="nil"/>
          <w:left w:val="nil"/>
          <w:bottom w:val="nil"/>
          <w:right w:val="nil"/>
          <w:between w:val="nil"/>
        </w:pBdr>
        <w:tabs>
          <w:tab w:val="left" w:pos="1200"/>
          <w:tab w:val="right" w:pos="9350"/>
        </w:tabs>
        <w:spacing w:after="100"/>
        <w:ind w:left="440"/>
        <w:rPr>
          <w:rFonts w:ascii="Cambria" w:eastAsia="Cambria" w:hAnsi="Cambria" w:cs="Cambria"/>
          <w:b/>
          <w:bCs/>
          <w:sz w:val="23"/>
          <w:szCs w:val="23"/>
        </w:rPr>
      </w:pPr>
      <w:r>
        <w:rPr>
          <w:rFonts w:ascii="Cambria" w:eastAsia="Cambria" w:hAnsi="Cambria" w:cs="Cambria"/>
          <w:b/>
          <w:bCs/>
          <w:sz w:val="23"/>
          <w:szCs w:val="23"/>
        </w:rPr>
        <w:t xml:space="preserve"> </w:t>
      </w:r>
    </w:p>
    <w:p w14:paraId="6359736C" w14:textId="77777777" w:rsidR="00FC541B" w:rsidRDefault="00FC541B">
      <w:pPr>
        <w:rPr>
          <w:rFonts w:ascii="Calibri" w:eastAsia="Calibri" w:hAnsi="Calibri" w:cs="Calibri"/>
          <w:color w:val="2F5496"/>
          <w:sz w:val="23"/>
          <w:szCs w:val="23"/>
        </w:rPr>
      </w:pPr>
    </w:p>
    <w:p w14:paraId="1D8FA981" w14:textId="77777777" w:rsidR="00FC541B" w:rsidRDefault="00FC541B">
      <w:pPr>
        <w:rPr>
          <w:rFonts w:ascii="Calibri" w:eastAsia="Calibri" w:hAnsi="Calibri" w:cs="Calibri"/>
          <w:color w:val="2F5496"/>
          <w:sz w:val="23"/>
          <w:szCs w:val="23"/>
        </w:rPr>
      </w:pPr>
    </w:p>
    <w:p w14:paraId="46D57992" w14:textId="77777777" w:rsidR="0081075F" w:rsidRDefault="0081075F">
      <w:pPr>
        <w:pBdr>
          <w:top w:val="nil"/>
          <w:left w:val="nil"/>
          <w:bottom w:val="nil"/>
          <w:right w:val="nil"/>
          <w:between w:val="nil"/>
        </w:pBdr>
        <w:spacing w:line="259" w:lineRule="auto"/>
        <w:rPr>
          <w:rFonts w:ascii="Cambria" w:eastAsia="Cambria" w:hAnsi="Cambria" w:cs="Cambria"/>
          <w:color w:val="000000"/>
          <w:sz w:val="23"/>
          <w:szCs w:val="23"/>
        </w:rPr>
      </w:pPr>
    </w:p>
    <w:p w14:paraId="1933C9F8" w14:textId="77777777" w:rsidR="00F20D4A" w:rsidRDefault="00F20D4A">
      <w:pPr>
        <w:pBdr>
          <w:top w:val="nil"/>
          <w:left w:val="nil"/>
          <w:bottom w:val="nil"/>
          <w:right w:val="nil"/>
          <w:between w:val="nil"/>
        </w:pBdr>
        <w:spacing w:line="259" w:lineRule="auto"/>
        <w:rPr>
          <w:rFonts w:ascii="Cambria" w:eastAsia="Cambria" w:hAnsi="Cambria" w:cs="Cambria"/>
          <w:color w:val="000000"/>
          <w:sz w:val="23"/>
          <w:szCs w:val="23"/>
        </w:rPr>
      </w:pPr>
    </w:p>
    <w:p w14:paraId="5FE223C9" w14:textId="77777777" w:rsidR="00F20D4A" w:rsidRDefault="00F20D4A">
      <w:pPr>
        <w:pBdr>
          <w:top w:val="nil"/>
          <w:left w:val="nil"/>
          <w:bottom w:val="nil"/>
          <w:right w:val="nil"/>
          <w:between w:val="nil"/>
        </w:pBdr>
        <w:spacing w:line="259" w:lineRule="auto"/>
        <w:rPr>
          <w:rFonts w:ascii="Cambria" w:eastAsia="Cambria" w:hAnsi="Cambria" w:cs="Cambria"/>
          <w:color w:val="000000"/>
          <w:sz w:val="23"/>
          <w:szCs w:val="23"/>
        </w:rPr>
      </w:pPr>
    </w:p>
    <w:p w14:paraId="37513650" w14:textId="77777777" w:rsidR="00F20D4A" w:rsidRDefault="00F20D4A">
      <w:pPr>
        <w:pBdr>
          <w:top w:val="nil"/>
          <w:left w:val="nil"/>
          <w:bottom w:val="nil"/>
          <w:right w:val="nil"/>
          <w:between w:val="nil"/>
        </w:pBdr>
        <w:spacing w:line="259" w:lineRule="auto"/>
        <w:rPr>
          <w:rFonts w:ascii="Cambria" w:eastAsia="Cambria" w:hAnsi="Cambria" w:cs="Cambria"/>
          <w:color w:val="000000"/>
          <w:sz w:val="23"/>
          <w:szCs w:val="23"/>
        </w:rPr>
      </w:pPr>
    </w:p>
    <w:p w14:paraId="51B45261" w14:textId="77777777" w:rsidR="00F20D4A" w:rsidRDefault="00F20D4A">
      <w:pPr>
        <w:pBdr>
          <w:top w:val="nil"/>
          <w:left w:val="nil"/>
          <w:bottom w:val="nil"/>
          <w:right w:val="nil"/>
          <w:between w:val="nil"/>
        </w:pBdr>
        <w:spacing w:line="259" w:lineRule="auto"/>
        <w:rPr>
          <w:rFonts w:ascii="Cambria" w:eastAsia="Cambria" w:hAnsi="Cambria" w:cs="Cambria"/>
          <w:color w:val="000000"/>
          <w:sz w:val="23"/>
          <w:szCs w:val="23"/>
        </w:rPr>
      </w:pPr>
    </w:p>
    <w:p w14:paraId="59195429" w14:textId="15772CEA" w:rsidR="0081075F" w:rsidRDefault="0081075F">
      <w:pPr>
        <w:rPr>
          <w:sz w:val="23"/>
          <w:szCs w:val="23"/>
        </w:rPr>
      </w:pPr>
    </w:p>
    <w:p w14:paraId="3BBE825C" w14:textId="77777777" w:rsidR="0081075F" w:rsidRDefault="0081075F">
      <w:pPr>
        <w:pStyle w:val="Ttulo2"/>
        <w:rPr>
          <w:sz w:val="23"/>
          <w:szCs w:val="23"/>
        </w:rPr>
      </w:pPr>
    </w:p>
    <w:p w14:paraId="169BD89E" w14:textId="77777777" w:rsidR="0081075F" w:rsidRDefault="0081075F">
      <w:pPr>
        <w:rPr>
          <w:sz w:val="23"/>
          <w:szCs w:val="23"/>
        </w:rPr>
      </w:pPr>
    </w:p>
    <w:p w14:paraId="41D2796A" w14:textId="77777777" w:rsidR="0081075F" w:rsidRDefault="0081075F">
      <w:pPr>
        <w:rPr>
          <w:sz w:val="23"/>
          <w:szCs w:val="23"/>
        </w:rPr>
      </w:pPr>
    </w:p>
    <w:p w14:paraId="42889E64" w14:textId="77777777" w:rsidR="0081075F" w:rsidRDefault="00000000">
      <w:pPr>
        <w:pStyle w:val="Ttulo2"/>
        <w:numPr>
          <w:ilvl w:val="0"/>
          <w:numId w:val="1"/>
        </w:numPr>
        <w:rPr>
          <w:rFonts w:ascii="Cambria" w:eastAsia="Cambria" w:hAnsi="Cambria" w:cs="Cambria"/>
          <w:b/>
          <w:bCs/>
          <w:sz w:val="23"/>
          <w:szCs w:val="23"/>
        </w:rPr>
      </w:pPr>
      <w:bookmarkStart w:id="1" w:name="_heading=h.q1yea6bxccnx" w:colFirst="0" w:colLast="0"/>
      <w:bookmarkEnd w:id="1"/>
      <w:r>
        <w:rPr>
          <w:rFonts w:ascii="Cambria" w:eastAsia="Cambria" w:hAnsi="Cambria" w:cs="Cambria"/>
          <w:b/>
          <w:bCs/>
          <w:color w:val="000000"/>
          <w:sz w:val="23"/>
          <w:szCs w:val="23"/>
        </w:rPr>
        <w:t>SÍNTESIS DEL PROYECTO</w:t>
      </w:r>
    </w:p>
    <w:p w14:paraId="0E3135BA" w14:textId="77777777" w:rsidR="0081075F" w:rsidRDefault="0081075F">
      <w:pPr>
        <w:rPr>
          <w:sz w:val="23"/>
          <w:szCs w:val="23"/>
        </w:rPr>
      </w:pPr>
    </w:p>
    <w:p w14:paraId="10E6DA6B"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El Proyecto de Ley sometido a consideración propone modificar los artículos 220 y 221 del Código Penal, contenidos en la Ley 599 de 2000, con el propósito de incrementar sustancialmente las penas privativas de la libertad para los delitos de injuria y calumnia, convertirlos en delitos de acción pública iniciados de oficio por la Fiscalía General de la Nación, eliminar su carácter querellable y suprimir mecanismos como la conciliación, la retractación, el desistimiento y el principio de oportunidad. Adicionalmente, establece una inhabilidad para el ejercicio de derechos y funciones públicas por cinco años posteriores al cumplimiento de la pena.</w:t>
      </w:r>
    </w:p>
    <w:p w14:paraId="0355F70B"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La iniciativa plantea un giro estructural en el tratamiento penal de los delitos contra la integridad moral, pasando de un modelo de justicia predominantemente restaurativa y de iniciativa privada a uno de persecución pública obligatoria con incremento punitivo significativo.</w:t>
      </w:r>
    </w:p>
    <w:p w14:paraId="13F30F01" w14:textId="77777777" w:rsidR="0081075F" w:rsidRDefault="00000000">
      <w:pPr>
        <w:pStyle w:val="Ttulo2"/>
        <w:numPr>
          <w:ilvl w:val="0"/>
          <w:numId w:val="1"/>
        </w:numPr>
        <w:rPr>
          <w:rFonts w:ascii="Cambria" w:eastAsia="Cambria" w:hAnsi="Cambria" w:cs="Cambria"/>
          <w:b/>
          <w:bCs/>
          <w:color w:val="000000"/>
          <w:sz w:val="23"/>
          <w:szCs w:val="23"/>
        </w:rPr>
      </w:pPr>
      <w:bookmarkStart w:id="2" w:name="_heading=h.5qx3zgf3hu0p" w:colFirst="0" w:colLast="0"/>
      <w:bookmarkEnd w:id="2"/>
      <w:r>
        <w:rPr>
          <w:rFonts w:ascii="Cambria" w:eastAsia="Cambria" w:hAnsi="Cambria" w:cs="Cambria"/>
          <w:b/>
          <w:bCs/>
          <w:color w:val="000000"/>
          <w:sz w:val="23"/>
          <w:szCs w:val="23"/>
        </w:rPr>
        <w:t>OBJETIVO DE LA INICIATIVA</w:t>
      </w:r>
    </w:p>
    <w:p w14:paraId="6E936111" w14:textId="77777777" w:rsidR="0081075F" w:rsidRDefault="0081075F">
      <w:pPr>
        <w:rPr>
          <w:sz w:val="23"/>
          <w:szCs w:val="23"/>
        </w:rPr>
      </w:pPr>
    </w:p>
    <w:p w14:paraId="26FFC2DC"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El proyecto señala como finalidad fortalecer la protección constitucional del buen nombre y la honra, consagrados en los artículos 15 y 21 de la Constitución Política de Colombia, particularmente frente al impacto amplificado de las redes sociales y los entornos digitales. Asimismo, busca reforzar la función preventiva del derecho penal, bajo el entendido de que el aumento de penas y la eliminación de la querella permitirían una mayor eficacia sancionatoria</w:t>
      </w:r>
    </w:p>
    <w:p w14:paraId="3CE34B29"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Sin embargo, desde una perspectiva de política criminal constitucional, el fortalecimiento de la protección de un bien jurídico no puede traducirse automáticamente en el incremento de la respuesta carcelaria. La intervención penal debe evaluarse conforme a los principios de necesidad, proporcionalidad, razonabilidad y coherencia sistemática, en armonía con los fines de la pena establecidos en el artículo 4 del Código Penal.</w:t>
      </w:r>
    </w:p>
    <w:p w14:paraId="76C74A8B" w14:textId="77777777" w:rsidR="0081075F" w:rsidRDefault="00000000">
      <w:pPr>
        <w:pStyle w:val="Ttulo2"/>
        <w:numPr>
          <w:ilvl w:val="0"/>
          <w:numId w:val="1"/>
        </w:numPr>
        <w:rPr>
          <w:rFonts w:ascii="Cambria" w:eastAsia="Cambria" w:hAnsi="Cambria" w:cs="Cambria"/>
          <w:b/>
          <w:bCs/>
          <w:color w:val="000000"/>
          <w:sz w:val="23"/>
          <w:szCs w:val="23"/>
        </w:rPr>
      </w:pPr>
      <w:bookmarkStart w:id="3" w:name="_heading=h.vj4fbf7lvp7y" w:colFirst="0" w:colLast="0"/>
      <w:bookmarkEnd w:id="3"/>
      <w:r>
        <w:rPr>
          <w:rFonts w:ascii="Cambria" w:eastAsia="Cambria" w:hAnsi="Cambria" w:cs="Cambria"/>
          <w:b/>
          <w:bCs/>
          <w:color w:val="000000"/>
          <w:sz w:val="23"/>
          <w:szCs w:val="23"/>
        </w:rPr>
        <w:t>JUSTIFICACIÓN DE LA PONENCIA (ARCHIVO)</w:t>
      </w:r>
    </w:p>
    <w:p w14:paraId="5683B0DA" w14:textId="77777777" w:rsidR="0081075F" w:rsidRDefault="0081075F">
      <w:pPr>
        <w:rPr>
          <w:sz w:val="23"/>
          <w:szCs w:val="23"/>
        </w:rPr>
      </w:pPr>
    </w:p>
    <w:p w14:paraId="15248CDD" w14:textId="77777777" w:rsidR="0081075F" w:rsidRDefault="00000000">
      <w:pPr>
        <w:pStyle w:val="Ttulo2"/>
        <w:rPr>
          <w:rFonts w:ascii="Cambria" w:eastAsia="Cambria" w:hAnsi="Cambria" w:cs="Cambria"/>
          <w:b/>
          <w:bCs/>
          <w:color w:val="000000"/>
          <w:sz w:val="23"/>
          <w:szCs w:val="23"/>
        </w:rPr>
      </w:pPr>
      <w:bookmarkStart w:id="4" w:name="_heading=h.fj5h47iu39j" w:colFirst="0" w:colLast="0"/>
      <w:bookmarkEnd w:id="4"/>
      <w:r>
        <w:rPr>
          <w:rFonts w:ascii="Cambria" w:eastAsia="Cambria" w:hAnsi="Cambria" w:cs="Cambria"/>
          <w:b/>
          <w:bCs/>
          <w:color w:val="000000"/>
          <w:sz w:val="23"/>
          <w:szCs w:val="23"/>
        </w:rPr>
        <w:t>3.1.  Desproporcionalidad punitiva y vulneración del principio de proporcionalidad</w:t>
      </w:r>
    </w:p>
    <w:p w14:paraId="363CC2D1"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El aumento de penas propuesto hasta 108 meses para la injuria y hasta 120 meses para la calumnia supone una modificación drástica del equilibrio interno del Código Penal. La proporcionalidad en materia penal no es una cláusula retórica sino un límite material a la potestad de configuración legislativa.</w:t>
      </w:r>
    </w:p>
    <w:p w14:paraId="540A9F2C"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 xml:space="preserve">La Corte Constitucional de Colombia ha sostenido reiteradamente que el legislador, aunque goza de libertad de configuración normativa en política criminal, debe respetar los principios de proporcionalidad y razonabilidad (Sentencia C-442 de 2011). La pena debe guardar </w:t>
      </w:r>
      <w:r>
        <w:rPr>
          <w:rFonts w:ascii="Cambria" w:eastAsia="Cambria" w:hAnsi="Cambria" w:cs="Cambria"/>
          <w:sz w:val="23"/>
          <w:szCs w:val="23"/>
        </w:rPr>
        <w:lastRenderedPageBreak/>
        <w:t>correspondencia con la gravedad del injusto y con la entidad del daño causado al bien jurídico protegido.</w:t>
      </w:r>
    </w:p>
    <w:p w14:paraId="36892D42"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En el caso de la injuria y la calumnia, el bien jurídico es la integridad moral, manifestada en la honra y el buen nombre. Se trata de bienes jurídicos fundamentales, pero de naturaleza inmaterial, cuya afectación no comporta violencia física ni privación material de derechos. Elevar la sanción hasta niveles comparables con delitos que comprometen la libertad personal o la integridad corporal rompe la lógica de graduación punitiva que estructura el Código Penal y desdibuja la escala axiológica de protección penal.</w:t>
      </w:r>
    </w:p>
    <w:p w14:paraId="479A0163"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 xml:space="preserve">Además, la propuesta no supera </w:t>
      </w:r>
      <w:proofErr w:type="gramStart"/>
      <w:r>
        <w:rPr>
          <w:rFonts w:ascii="Cambria" w:eastAsia="Cambria" w:hAnsi="Cambria" w:cs="Cambria"/>
          <w:sz w:val="23"/>
          <w:szCs w:val="23"/>
        </w:rPr>
        <w:t>el test</w:t>
      </w:r>
      <w:proofErr w:type="gramEnd"/>
      <w:r>
        <w:rPr>
          <w:rFonts w:ascii="Cambria" w:eastAsia="Cambria" w:hAnsi="Cambria" w:cs="Cambria"/>
          <w:sz w:val="23"/>
          <w:szCs w:val="23"/>
        </w:rPr>
        <w:t xml:space="preserve"> de proporcionalidad en sentido estricto, pues el sacrificio que impone (encarcelamiento de hasta diez años) resulta excesivo frente al beneficio esperado en términos de prevención general. No se aportan estudios empíricos ni análisis de impacto que demuestran que el incremento punitivo tenga correlación con la disminución de la comisión de estos delitos. La política criminal no puede fundamentarse en intuiciones punitivas, sino en evidencia y racionalidad normativa.</w:t>
      </w:r>
    </w:p>
    <w:p w14:paraId="7A340695" w14:textId="77777777" w:rsidR="0081075F" w:rsidRDefault="00000000">
      <w:pPr>
        <w:pStyle w:val="Ttulo2"/>
        <w:rPr>
          <w:rFonts w:ascii="Cambria" w:eastAsia="Cambria" w:hAnsi="Cambria" w:cs="Cambria"/>
          <w:b/>
          <w:bCs/>
          <w:color w:val="000000"/>
          <w:sz w:val="23"/>
          <w:szCs w:val="23"/>
        </w:rPr>
      </w:pPr>
      <w:bookmarkStart w:id="5" w:name="_heading=h.cq0iz1nsomw3" w:colFirst="0" w:colLast="0"/>
      <w:bookmarkEnd w:id="5"/>
      <w:r>
        <w:rPr>
          <w:rFonts w:ascii="Cambria" w:eastAsia="Cambria" w:hAnsi="Cambria" w:cs="Cambria"/>
          <w:b/>
          <w:bCs/>
          <w:color w:val="000000"/>
          <w:sz w:val="23"/>
          <w:szCs w:val="23"/>
        </w:rPr>
        <w:t>3.2. Desconocimiento de los fines constitucionales de la pena</w:t>
      </w:r>
    </w:p>
    <w:p w14:paraId="38ED773E"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El artículo 4 de la Ley 599 de 2000 dispone que la pena cumple funciones de prevención general, prevención especial, retribución justa y reinserción social. El proyecto de ley privilegia exclusivamente una concepción retributiva y simbólica del castigo, dejando de lado el componente resocializador y la racionalidad preventiva.</w:t>
      </w:r>
    </w:p>
    <w:p w14:paraId="09045BC5"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La prevención general no se fortalece necesariamente con penas más altas. La criminología contemporánea ha demostrado que la certeza de la sanción tiene mayor efecto disuasivo que su severidad. Un sistema que incrementa las penas sin fortalecer la capacidad investigativa y judicial no genera mayor prevención, sino mayor congestión institucional.</w:t>
      </w:r>
    </w:p>
    <w:p w14:paraId="07414AAB"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Desde la perspectiva de la retribución justa, la pena debe ser proporcional al injusto. La equiparación práctica de la injuria y la calumnia con delitos de significativa afectación material desborda el principio de justicia retributiva.</w:t>
      </w:r>
    </w:p>
    <w:p w14:paraId="6EDA3B24"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Finalmente, la función resocializadora de rango constitucional implícito en la dignidad humana se ve comprometida cuando se opta por el encarcelamiento como primera respuesta frente a conductas que pueden ser abordadas mediante mecanismos restaurativos. La prisión, especialmente en contextos de delitos no violentos, produce efectos criminógenos que contrarían el ideal de reinserción social.</w:t>
      </w:r>
    </w:p>
    <w:p w14:paraId="451BB6AF" w14:textId="77777777" w:rsidR="0081075F" w:rsidRDefault="00000000">
      <w:pPr>
        <w:pStyle w:val="Ttulo2"/>
        <w:rPr>
          <w:rFonts w:ascii="Cambria" w:eastAsia="Cambria" w:hAnsi="Cambria" w:cs="Cambria"/>
          <w:b/>
          <w:bCs/>
          <w:color w:val="000000"/>
          <w:sz w:val="23"/>
          <w:szCs w:val="23"/>
        </w:rPr>
      </w:pPr>
      <w:bookmarkStart w:id="6" w:name="_heading=h.sol3ygrsq49q" w:colFirst="0" w:colLast="0"/>
      <w:bookmarkEnd w:id="6"/>
      <w:r>
        <w:rPr>
          <w:rFonts w:ascii="Cambria" w:eastAsia="Cambria" w:hAnsi="Cambria" w:cs="Cambria"/>
          <w:b/>
          <w:bCs/>
          <w:color w:val="000000"/>
          <w:sz w:val="23"/>
          <w:szCs w:val="23"/>
        </w:rPr>
        <w:t>3.3. Principio de mínima intervención y naturaleza subsidiaria del derecho penal</w:t>
      </w:r>
    </w:p>
    <w:p w14:paraId="533C32E9"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El derecho penal es la última ratio del ordenamiento jurídico. La intervención penal sólo se justifica cuando otros mecanismos jurídicos resultan insuficientes para proteger eficazmente el bien jurídico.</w:t>
      </w:r>
    </w:p>
    <w:p w14:paraId="60CFE2FA" w14:textId="77777777" w:rsidR="00536422" w:rsidRDefault="00536422">
      <w:pPr>
        <w:spacing w:after="160" w:line="278" w:lineRule="auto"/>
        <w:jc w:val="both"/>
        <w:rPr>
          <w:rFonts w:ascii="Cambria" w:eastAsia="Cambria" w:hAnsi="Cambria" w:cs="Cambria"/>
          <w:sz w:val="23"/>
          <w:szCs w:val="23"/>
        </w:rPr>
      </w:pPr>
    </w:p>
    <w:p w14:paraId="4779FE98"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lastRenderedPageBreak/>
        <w:t xml:space="preserve">En materia de delitos contra el honor, el ordenamiento </w:t>
      </w:r>
      <w:proofErr w:type="gramStart"/>
      <w:r>
        <w:rPr>
          <w:rFonts w:ascii="Cambria" w:eastAsia="Cambria" w:hAnsi="Cambria" w:cs="Cambria"/>
          <w:sz w:val="23"/>
          <w:szCs w:val="23"/>
        </w:rPr>
        <w:t>Colombiano</w:t>
      </w:r>
      <w:proofErr w:type="gramEnd"/>
      <w:r>
        <w:rPr>
          <w:rFonts w:ascii="Cambria" w:eastAsia="Cambria" w:hAnsi="Cambria" w:cs="Cambria"/>
          <w:sz w:val="23"/>
          <w:szCs w:val="23"/>
        </w:rPr>
        <w:t xml:space="preserve"> ya contempla mecanismos como la rectificación en condiciones de equidad, la acción de tutela, la responsabilidad civil extracontractual y la conciliación penal. La naturaleza querellable de estos delitos responde precisamente a su carácter personalísimo y a la posibilidad de solución directa entre las partes.</w:t>
      </w:r>
    </w:p>
    <w:p w14:paraId="2E28E0EA"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 xml:space="preserve">Convertirlos en delitos de persecución oficiosa </w:t>
      </w:r>
      <w:r>
        <w:rPr>
          <w:rFonts w:ascii="Cambria" w:eastAsia="Cambria" w:hAnsi="Cambria" w:cs="Cambria"/>
          <w:b/>
          <w:bCs/>
          <w:sz w:val="23"/>
          <w:szCs w:val="23"/>
        </w:rPr>
        <w:t>desconoce</w:t>
      </w:r>
      <w:r>
        <w:rPr>
          <w:rFonts w:ascii="Cambria" w:eastAsia="Cambria" w:hAnsi="Cambria" w:cs="Cambria"/>
          <w:sz w:val="23"/>
          <w:szCs w:val="23"/>
        </w:rPr>
        <w:t xml:space="preserve"> su naturaleza jurídica y transforma conflictos esencialmente interpersonales en litigios penales obligatorios. Ello no sólo desborda el principio de subsidiariedad penal, sino que implica una expansión innecesaria del poder punitivo del Estado.</w:t>
      </w:r>
    </w:p>
    <w:p w14:paraId="714946B9" w14:textId="77777777" w:rsidR="0081075F" w:rsidRDefault="00000000">
      <w:pPr>
        <w:pStyle w:val="Ttulo3"/>
        <w:rPr>
          <w:rFonts w:ascii="Cambria" w:eastAsia="Cambria" w:hAnsi="Cambria" w:cs="Cambria"/>
          <w:b/>
          <w:bCs/>
          <w:color w:val="000000"/>
          <w:sz w:val="23"/>
          <w:szCs w:val="23"/>
        </w:rPr>
      </w:pPr>
      <w:bookmarkStart w:id="7" w:name="_heading=h.up0wxs1ftcxb" w:colFirst="0" w:colLast="0"/>
      <w:bookmarkEnd w:id="7"/>
      <w:r>
        <w:rPr>
          <w:rFonts w:ascii="Cambria" w:eastAsia="Cambria" w:hAnsi="Cambria" w:cs="Cambria"/>
          <w:b/>
          <w:bCs/>
          <w:color w:val="000000"/>
          <w:sz w:val="23"/>
          <w:szCs w:val="23"/>
        </w:rPr>
        <w:t>3.4. Impacto en el sistema penitenciario y deber de racionalización de la política criminal</w:t>
      </w:r>
    </w:p>
    <w:p w14:paraId="232B1F9E"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 xml:space="preserve">La Corte Constitucional de Colombia ha declarado de manera reiterada el estado de cosas inconstitucional en el sistema penitenciario </w:t>
      </w:r>
      <w:proofErr w:type="gramStart"/>
      <w:r>
        <w:rPr>
          <w:rFonts w:ascii="Cambria" w:eastAsia="Cambria" w:hAnsi="Cambria" w:cs="Cambria"/>
          <w:sz w:val="23"/>
          <w:szCs w:val="23"/>
        </w:rPr>
        <w:t>Colombiano</w:t>
      </w:r>
      <w:proofErr w:type="gramEnd"/>
      <w:r>
        <w:rPr>
          <w:rFonts w:ascii="Cambria" w:eastAsia="Cambria" w:hAnsi="Cambria" w:cs="Cambria"/>
          <w:sz w:val="23"/>
          <w:szCs w:val="23"/>
        </w:rPr>
        <w:t>, recientemente reiterado en la Sentencia T-089 de 2024, donde se evidenció la persistencia del hacinamiento y la vulneración masiva de derechos fundamentales de la población privada de la libertad.</w:t>
      </w:r>
    </w:p>
    <w:p w14:paraId="4868C657"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En ese contexto, el legislador tiene el deber constitucional de racionalizar la política criminal y evitar medidas que incrementen innecesariamente la población carcelaria. Elevar las penas y eliminar mecanismos alternativos como la conciliación y el principio de oportunidad incrementará inevitablemente el número de personas privadas de la libertad por conductas no violentas, contrariando los mandatos estructurales de la Corte.</w:t>
      </w:r>
    </w:p>
    <w:p w14:paraId="768DDE8E"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La política criminal debe priorizar la prisión para delitos de mayor gravedad material, en especial aquellos que comprometen la vida, la libertad personal y la integridad física.</w:t>
      </w:r>
    </w:p>
    <w:p w14:paraId="3B9FDD74" w14:textId="77777777" w:rsidR="0081075F" w:rsidRDefault="00000000">
      <w:pPr>
        <w:pStyle w:val="Ttulo3"/>
        <w:rPr>
          <w:rFonts w:ascii="Cambria" w:eastAsia="Cambria" w:hAnsi="Cambria" w:cs="Cambria"/>
          <w:b/>
          <w:bCs/>
          <w:color w:val="000000"/>
          <w:sz w:val="23"/>
          <w:szCs w:val="23"/>
        </w:rPr>
      </w:pPr>
      <w:bookmarkStart w:id="8" w:name="_heading=h.rngar6ansph1" w:colFirst="0" w:colLast="0"/>
      <w:bookmarkEnd w:id="8"/>
      <w:r>
        <w:rPr>
          <w:rFonts w:ascii="Cambria" w:eastAsia="Cambria" w:hAnsi="Cambria" w:cs="Cambria"/>
          <w:b/>
          <w:bCs/>
          <w:color w:val="000000"/>
          <w:sz w:val="23"/>
          <w:szCs w:val="23"/>
        </w:rPr>
        <w:t xml:space="preserve">3.5. Riesgo de afectación a la libertad de expresión </w:t>
      </w:r>
    </w:p>
    <w:p w14:paraId="7EFF8C52"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La libertad de expresión, consagrada en el artículo 20 de la Constitución Política de Colombia, constituye un pilar estructural del Estado democrático. La jurisprudencia constitucional ha reconocido que en asuntos de interés público el margen de tolerancia frente a expresiones críticas es más amplio.</w:t>
      </w:r>
    </w:p>
    <w:p w14:paraId="2CB7162F"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El endurecimiento punitivo excesivo puede generar un efecto inhibidor, especialmente en periodistas, líderes sociales y ciudadanos que ejercen control democrático sobre asuntos públicos. El derecho penal no puede convertirse en instrumento indirecto de restricción del debate democrático.</w:t>
      </w:r>
    </w:p>
    <w:p w14:paraId="06DACE3D"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El equilibrio entre honra y libertad de expresión exige ponderación, no maximalismo punitivo.</w:t>
      </w:r>
    </w:p>
    <w:p w14:paraId="1326A060" w14:textId="77777777" w:rsidR="0081075F" w:rsidRDefault="00000000">
      <w:pPr>
        <w:pStyle w:val="Ttulo2"/>
        <w:numPr>
          <w:ilvl w:val="0"/>
          <w:numId w:val="1"/>
        </w:numPr>
        <w:rPr>
          <w:rFonts w:ascii="Cambria" w:eastAsia="Cambria" w:hAnsi="Cambria" w:cs="Cambria"/>
          <w:b/>
          <w:bCs/>
          <w:color w:val="000000"/>
          <w:sz w:val="23"/>
          <w:szCs w:val="23"/>
        </w:rPr>
      </w:pPr>
      <w:bookmarkStart w:id="9" w:name="_heading=h.y9m63vlzvua" w:colFirst="0" w:colLast="0"/>
      <w:bookmarkEnd w:id="9"/>
      <w:r>
        <w:rPr>
          <w:rFonts w:ascii="Cambria" w:eastAsia="Cambria" w:hAnsi="Cambria" w:cs="Cambria"/>
          <w:b/>
          <w:bCs/>
          <w:color w:val="000000"/>
          <w:sz w:val="23"/>
          <w:szCs w:val="23"/>
        </w:rPr>
        <w:t>CONSIDERACIONES DEL PONENTE</w:t>
      </w:r>
    </w:p>
    <w:p w14:paraId="420D77AC" w14:textId="77777777" w:rsidR="00B624FD"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 xml:space="preserve">Desde una perspectiva integral, el proyecto presenta deficiencias estructurales en términos de proporcionalidad, necesidad y coherencia con los fines constitucionales de la pena. No se advierte un estudio técnico que sustente el impacto fiscal, penitenciario ni criminológico de la reforma. </w:t>
      </w:r>
    </w:p>
    <w:p w14:paraId="4CC45480" w14:textId="77777777" w:rsidR="00B624FD" w:rsidRDefault="00B624FD">
      <w:pPr>
        <w:spacing w:after="160" w:line="278" w:lineRule="auto"/>
        <w:jc w:val="both"/>
        <w:rPr>
          <w:rFonts w:ascii="Cambria" w:eastAsia="Cambria" w:hAnsi="Cambria" w:cs="Cambria"/>
          <w:sz w:val="23"/>
          <w:szCs w:val="23"/>
        </w:rPr>
      </w:pPr>
    </w:p>
    <w:p w14:paraId="4BE34EC7" w14:textId="19B4EBBC"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lastRenderedPageBreak/>
        <w:t>Tampoco se justifica adecuadamente la eliminación de mecanismos restaurativos que han demostrado eficacia en la resolución de conflictos interpersonales.</w:t>
      </w:r>
    </w:p>
    <w:p w14:paraId="672B83E4"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La política criminal no puede orientarse por reacciones coyunturales ni por fenómenos mediáticos, sino por criterios de racionalidad constitucional.</w:t>
      </w:r>
    </w:p>
    <w:p w14:paraId="0B6FBD77" w14:textId="77777777" w:rsidR="0081075F" w:rsidRDefault="00000000">
      <w:pPr>
        <w:pStyle w:val="Ttulo3"/>
        <w:numPr>
          <w:ilvl w:val="1"/>
          <w:numId w:val="1"/>
        </w:numPr>
        <w:rPr>
          <w:rFonts w:ascii="Cambria" w:eastAsia="Cambria" w:hAnsi="Cambria" w:cs="Cambria"/>
          <w:b/>
          <w:bCs/>
          <w:sz w:val="23"/>
          <w:szCs w:val="23"/>
        </w:rPr>
      </w:pPr>
      <w:bookmarkStart w:id="10" w:name="_heading=h.3d1l6qaj36pw" w:colFirst="0" w:colLast="0"/>
      <w:bookmarkEnd w:id="10"/>
      <w:r>
        <w:rPr>
          <w:rFonts w:ascii="Cambria" w:eastAsia="Cambria" w:hAnsi="Cambria" w:cs="Cambria"/>
          <w:b/>
          <w:bCs/>
          <w:color w:val="000000"/>
          <w:sz w:val="23"/>
          <w:szCs w:val="23"/>
        </w:rPr>
        <w:t>Ausencia de una justificación suficiente desde la política criminal</w:t>
      </w:r>
    </w:p>
    <w:p w14:paraId="58C42677" w14:textId="77777777" w:rsidR="0081075F" w:rsidRDefault="0081075F">
      <w:pPr>
        <w:rPr>
          <w:sz w:val="23"/>
          <w:szCs w:val="23"/>
        </w:rPr>
      </w:pPr>
    </w:p>
    <w:p w14:paraId="780491D2"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 xml:space="preserve">El proyecto de ley bajo análisis carece de una fundamentación sólida desde la perspectiva de la política criminal que permita justificar la modificación del régimen penal vigente para los delitos de injuria y calumnia. Si bien la exposición de motivos insiste en la importancia constitucional de la honra y el buen nombre, derechos reconocidos en los artículos 15 y 21 de la Constitución Política de Colombia, lo cierto es que la iniciativa no presenta evidencia empírica, análisis criminológico ni estudios técnicos que demuestren que el marco normativo actual resulte insuficiente para proteger dichos bienes jurídicos. </w:t>
      </w:r>
    </w:p>
    <w:p w14:paraId="625B2963"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En materia penal, el legislador debe actuar bajo criterios de</w:t>
      </w:r>
      <w:r>
        <w:rPr>
          <w:rFonts w:ascii="Cambria" w:eastAsia="Cambria" w:hAnsi="Cambria" w:cs="Cambria"/>
          <w:b/>
          <w:bCs/>
          <w:i/>
          <w:iCs/>
          <w:sz w:val="23"/>
          <w:szCs w:val="23"/>
          <w:u w:val="single"/>
        </w:rPr>
        <w:t xml:space="preserve"> racionalidad y necesidad</w:t>
      </w:r>
      <w:r>
        <w:rPr>
          <w:rFonts w:ascii="Cambria" w:eastAsia="Cambria" w:hAnsi="Cambria" w:cs="Cambria"/>
          <w:sz w:val="23"/>
          <w:szCs w:val="23"/>
        </w:rPr>
        <w:t>, lo cual implica que cualquier reforma al sistema penal debe sustentarse en diagnósticos claros sobre el fenómeno que se pretende intervenir, análisis de impacto normativo y conceptos de autoridades especializadas en política criminal, como el Consejo Superior de Política Criminal. En el presente caso, la iniciativa se limita a plantear consideraciones generales sobre la importancia del derecho al buen nombre, sin demostrar la existencia de una problemática estructural que justifique la ampliación de la intervención penal ni el endurecimiento de las sanciones propuestas.</w:t>
      </w:r>
    </w:p>
    <w:p w14:paraId="5E4F9DCB" w14:textId="77777777" w:rsidR="0081075F" w:rsidRDefault="00000000">
      <w:pPr>
        <w:pStyle w:val="Ttulo3"/>
        <w:numPr>
          <w:ilvl w:val="1"/>
          <w:numId w:val="1"/>
        </w:numPr>
        <w:rPr>
          <w:rFonts w:ascii="Cambria" w:eastAsia="Cambria" w:hAnsi="Cambria" w:cs="Cambria"/>
          <w:b/>
          <w:bCs/>
          <w:color w:val="000000"/>
          <w:sz w:val="23"/>
          <w:szCs w:val="23"/>
        </w:rPr>
      </w:pPr>
      <w:bookmarkStart w:id="11" w:name="_heading=h.8d6v0m0r61a" w:colFirst="0" w:colLast="0"/>
      <w:bookmarkEnd w:id="11"/>
      <w:r>
        <w:rPr>
          <w:rFonts w:ascii="Cambria" w:eastAsia="Cambria" w:hAnsi="Cambria" w:cs="Cambria"/>
          <w:b/>
          <w:bCs/>
          <w:color w:val="000000"/>
          <w:sz w:val="23"/>
          <w:szCs w:val="23"/>
        </w:rPr>
        <w:t>Desconocimiento del carácter subsidiario y de última ratio del derecho penal</w:t>
      </w:r>
    </w:p>
    <w:p w14:paraId="2F6564FD" w14:textId="77777777" w:rsidR="0081075F" w:rsidRDefault="00000000">
      <w:pPr>
        <w:spacing w:after="160" w:line="278" w:lineRule="auto"/>
        <w:jc w:val="both"/>
        <w:rPr>
          <w:rFonts w:ascii="Cambria" w:eastAsia="Cambria" w:hAnsi="Cambria" w:cs="Cambria"/>
          <w:b/>
          <w:bCs/>
          <w:i/>
          <w:iCs/>
          <w:sz w:val="23"/>
          <w:szCs w:val="23"/>
          <w:u w:val="single"/>
        </w:rPr>
      </w:pPr>
      <w:r>
        <w:rPr>
          <w:rFonts w:ascii="Cambria" w:eastAsia="Cambria" w:hAnsi="Cambria" w:cs="Cambria"/>
          <w:sz w:val="23"/>
          <w:szCs w:val="23"/>
        </w:rPr>
        <w:t xml:space="preserve">El proyecto también desconoce uno de los principios fundamentales del derecho penal contemporáneo: </w:t>
      </w:r>
      <w:r>
        <w:rPr>
          <w:rFonts w:ascii="Cambria" w:eastAsia="Cambria" w:hAnsi="Cambria" w:cs="Cambria"/>
          <w:b/>
          <w:bCs/>
          <w:i/>
          <w:iCs/>
          <w:sz w:val="23"/>
          <w:szCs w:val="23"/>
          <w:u w:val="single"/>
        </w:rPr>
        <w:t>su carácter de última ratio</w:t>
      </w:r>
      <w:r>
        <w:rPr>
          <w:rFonts w:ascii="Cambria" w:eastAsia="Cambria" w:hAnsi="Cambria" w:cs="Cambria"/>
          <w:sz w:val="23"/>
          <w:szCs w:val="23"/>
        </w:rPr>
        <w:t xml:space="preserve">. El derecho penal debe utilizarse únicamente cuando otros mecanismos jurídicos resulten insuficientes para proteger los bienes jurídicos involucrados. En el ordenamiento jurídico colombiano ya existen múltiples mecanismos para la protección de la honra y el buen nombre, </w:t>
      </w:r>
      <w:r>
        <w:rPr>
          <w:rFonts w:ascii="Cambria" w:eastAsia="Cambria" w:hAnsi="Cambria" w:cs="Cambria"/>
          <w:b/>
          <w:bCs/>
          <w:i/>
          <w:iCs/>
          <w:sz w:val="23"/>
          <w:szCs w:val="23"/>
          <w:u w:val="single"/>
        </w:rPr>
        <w:t xml:space="preserve">entre ellos las acciones civiles de responsabilidad, la acción de tutela, el derecho de rectificación y los procedimientos penales actualmente previstos para los delitos de injuria y calumnia. </w:t>
      </w:r>
      <w:r>
        <w:rPr>
          <w:rFonts w:ascii="Cambria" w:eastAsia="Cambria" w:hAnsi="Cambria" w:cs="Cambria"/>
          <w:sz w:val="23"/>
          <w:szCs w:val="23"/>
        </w:rPr>
        <w:t>El hecho de que estos delitos sean querellables responde precisamente a la</w:t>
      </w:r>
      <w:r>
        <w:rPr>
          <w:rFonts w:ascii="Cambria" w:eastAsia="Cambria" w:hAnsi="Cambria" w:cs="Cambria"/>
          <w:b/>
          <w:bCs/>
          <w:i/>
          <w:iCs/>
          <w:sz w:val="23"/>
          <w:szCs w:val="23"/>
          <w:u w:val="single"/>
        </w:rPr>
        <w:t xml:space="preserve"> naturaleza personalísima del bien jurídico protegido, </w:t>
      </w:r>
      <w:r>
        <w:rPr>
          <w:rFonts w:ascii="Cambria" w:eastAsia="Cambria" w:hAnsi="Cambria" w:cs="Cambria"/>
          <w:sz w:val="23"/>
          <w:szCs w:val="23"/>
        </w:rPr>
        <w:t xml:space="preserve">permitiendo que la víctima tenga control sobre la activación del aparato penal del Estado. Convertir estos delitos en perseguibles de oficio implicaría trasladar al sistema penal conflictos que, </w:t>
      </w:r>
      <w:r>
        <w:rPr>
          <w:rFonts w:ascii="Cambria" w:eastAsia="Cambria" w:hAnsi="Cambria" w:cs="Cambria"/>
          <w:b/>
          <w:bCs/>
          <w:i/>
          <w:iCs/>
          <w:sz w:val="23"/>
          <w:szCs w:val="23"/>
          <w:u w:val="single"/>
        </w:rPr>
        <w:t>en la mayoría de los casos, pertenecen al ámbito de las relaciones interpersonales y que pueden resolverse mediante mecanismos menos gravosos para el sistema judicial.</w:t>
      </w:r>
    </w:p>
    <w:p w14:paraId="1DBFF8A1" w14:textId="77777777" w:rsidR="00B624FD" w:rsidRDefault="00B624FD">
      <w:pPr>
        <w:spacing w:after="160" w:line="278" w:lineRule="auto"/>
        <w:jc w:val="both"/>
        <w:rPr>
          <w:rFonts w:ascii="Cambria" w:eastAsia="Cambria" w:hAnsi="Cambria" w:cs="Cambria"/>
          <w:sz w:val="23"/>
          <w:szCs w:val="23"/>
        </w:rPr>
      </w:pPr>
    </w:p>
    <w:p w14:paraId="5FE01B7E" w14:textId="77777777" w:rsidR="0081075F" w:rsidRDefault="00000000">
      <w:pPr>
        <w:pStyle w:val="Ttulo3"/>
        <w:numPr>
          <w:ilvl w:val="1"/>
          <w:numId w:val="1"/>
        </w:numPr>
        <w:rPr>
          <w:rFonts w:ascii="Cambria" w:eastAsia="Cambria" w:hAnsi="Cambria" w:cs="Cambria"/>
          <w:b/>
          <w:bCs/>
          <w:color w:val="000000"/>
          <w:sz w:val="23"/>
          <w:szCs w:val="23"/>
        </w:rPr>
      </w:pPr>
      <w:bookmarkStart w:id="12" w:name="_heading=h.73gnqvccqwo1" w:colFirst="0" w:colLast="0"/>
      <w:bookmarkEnd w:id="12"/>
      <w:r>
        <w:rPr>
          <w:rFonts w:ascii="Cambria" w:eastAsia="Cambria" w:hAnsi="Cambria" w:cs="Cambria"/>
          <w:b/>
          <w:bCs/>
          <w:color w:val="000000"/>
          <w:sz w:val="23"/>
          <w:szCs w:val="23"/>
        </w:rPr>
        <w:lastRenderedPageBreak/>
        <w:t>Eliminación del principio de oportunidad: una medida contraria a la racionalidad del sistema penal</w:t>
      </w:r>
    </w:p>
    <w:p w14:paraId="338BABF5" w14:textId="77777777" w:rsidR="0081075F" w:rsidRDefault="00000000">
      <w:pPr>
        <w:spacing w:after="160" w:line="278" w:lineRule="auto"/>
        <w:jc w:val="both"/>
        <w:rPr>
          <w:rFonts w:ascii="Cambria" w:eastAsia="Cambria" w:hAnsi="Cambria" w:cs="Cambria"/>
          <w:b/>
          <w:bCs/>
          <w:i/>
          <w:iCs/>
          <w:sz w:val="23"/>
          <w:szCs w:val="23"/>
          <w:u w:val="single"/>
        </w:rPr>
      </w:pPr>
      <w:r>
        <w:rPr>
          <w:rFonts w:ascii="Cambria" w:eastAsia="Cambria" w:hAnsi="Cambria" w:cs="Cambria"/>
          <w:sz w:val="23"/>
          <w:szCs w:val="23"/>
        </w:rPr>
        <w:t xml:space="preserve">Uno de los aspectos más problemáticos de la iniciativa es la disposición contenida en el artículo 4, mediante la cual se pretende excluir la aplicación del principio de oportunidad para los delitos de injuria y calumnia. </w:t>
      </w:r>
      <w:r>
        <w:rPr>
          <w:rFonts w:ascii="Cambria" w:eastAsia="Cambria" w:hAnsi="Cambria" w:cs="Cambria"/>
          <w:b/>
          <w:bCs/>
          <w:i/>
          <w:iCs/>
          <w:sz w:val="23"/>
          <w:szCs w:val="23"/>
          <w:u w:val="single"/>
        </w:rPr>
        <w:t xml:space="preserve">Esta medida resulta particularmente inconveniente, </w:t>
      </w:r>
      <w:r>
        <w:rPr>
          <w:rFonts w:ascii="Cambria" w:eastAsia="Cambria" w:hAnsi="Cambria" w:cs="Cambria"/>
          <w:sz w:val="23"/>
          <w:szCs w:val="23"/>
        </w:rPr>
        <w:t xml:space="preserve">pues el principio de oportunidad constituye una herramienta fundamental para la racionalización del sistema penal colombiano. Este principio, previsto en el artículo 250 de la Constitución Política y desarrollado en el Código de Procedimiento Penal, permite a la </w:t>
      </w:r>
      <w:proofErr w:type="gramStart"/>
      <w:r>
        <w:rPr>
          <w:rFonts w:ascii="Cambria" w:eastAsia="Cambria" w:hAnsi="Cambria" w:cs="Cambria"/>
          <w:sz w:val="23"/>
          <w:szCs w:val="23"/>
        </w:rPr>
        <w:t>Fiscalía General</w:t>
      </w:r>
      <w:proofErr w:type="gramEnd"/>
      <w:r>
        <w:rPr>
          <w:rFonts w:ascii="Cambria" w:eastAsia="Cambria" w:hAnsi="Cambria" w:cs="Cambria"/>
          <w:sz w:val="23"/>
          <w:szCs w:val="23"/>
        </w:rPr>
        <w:t xml:space="preserve"> de la Nación priorizar la persecución de conductas que revisten mayor gravedad y relevancia social, evitando la congestión del sistema judicial y optimizando el uso de los recursos institucionales. Su eliminación en este tipo de delitos implicaría obligar a la Fiscalía a adelantar investigaciones penales completas en todos los casos de injuria o calumnia, </w:t>
      </w:r>
      <w:r>
        <w:rPr>
          <w:rFonts w:ascii="Cambria" w:eastAsia="Cambria" w:hAnsi="Cambria" w:cs="Cambria"/>
          <w:b/>
          <w:bCs/>
          <w:i/>
          <w:iCs/>
          <w:sz w:val="23"/>
          <w:szCs w:val="23"/>
          <w:u w:val="single"/>
        </w:rPr>
        <w:t>incluso en aquellos donde la controversia pueda resolverse mediante mecanismos restaurativos o conciliatorios, lo cual iría en contravía de los principios de eficiencia, economía procesal y racionalidad del sistema penal.</w:t>
      </w:r>
    </w:p>
    <w:p w14:paraId="1050A129"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 xml:space="preserve">Adicionalmente, debe advertirse que la propuesta de excluir la aplicación del principio de oportunidad para los delitos de injuria y calumnia </w:t>
      </w:r>
      <w:r>
        <w:rPr>
          <w:rFonts w:ascii="Cambria" w:eastAsia="Cambria" w:hAnsi="Cambria" w:cs="Cambria"/>
          <w:b/>
          <w:bCs/>
          <w:i/>
          <w:iCs/>
          <w:sz w:val="23"/>
          <w:szCs w:val="23"/>
          <w:u w:val="single"/>
        </w:rPr>
        <w:t>no se encuentra debidamente sustentada dentro del proyecto de ley</w:t>
      </w:r>
      <w:r>
        <w:rPr>
          <w:rFonts w:ascii="Cambria" w:eastAsia="Cambria" w:hAnsi="Cambria" w:cs="Cambria"/>
          <w:sz w:val="23"/>
          <w:szCs w:val="23"/>
        </w:rPr>
        <w:t>, se debe tener en cuenta que este principio fue implementado a través del acto legislativo 03 de 2002, el cual se ha interpretado jurisprudencialmente como</w:t>
      </w:r>
      <w:r>
        <w:rPr>
          <w:rFonts w:ascii="Cambria" w:eastAsia="Cambria" w:hAnsi="Cambria" w:cs="Cambria"/>
          <w:sz w:val="23"/>
          <w:szCs w:val="23"/>
        </w:rPr>
        <w:tab/>
        <w:t>un (i) un principio que se aplica mediante figuras procesales tales como las preclusiones que profiere la fiscalía cuando hay conciliación, por indemnización integral, desistimiento, transacción o bien aplicándolo en la sentencia anticipada o audiencia especial; (</w:t>
      </w:r>
      <w:proofErr w:type="spellStart"/>
      <w:r>
        <w:rPr>
          <w:rFonts w:ascii="Cambria" w:eastAsia="Cambria" w:hAnsi="Cambria" w:cs="Cambria"/>
          <w:sz w:val="23"/>
          <w:szCs w:val="23"/>
        </w:rPr>
        <w:t>ii</w:t>
      </w:r>
      <w:proofErr w:type="spellEnd"/>
      <w:r>
        <w:rPr>
          <w:rFonts w:ascii="Cambria" w:eastAsia="Cambria" w:hAnsi="Cambria" w:cs="Cambria"/>
          <w:sz w:val="23"/>
          <w:szCs w:val="23"/>
        </w:rPr>
        <w:t>) constituye “un mecanismo apto para canalizar la selectividad espontánea de todo sistema penal”; (</w:t>
      </w:r>
      <w:proofErr w:type="spellStart"/>
      <w:r>
        <w:rPr>
          <w:rFonts w:ascii="Cambria" w:eastAsia="Cambria" w:hAnsi="Cambria" w:cs="Cambria"/>
          <w:sz w:val="23"/>
          <w:szCs w:val="23"/>
        </w:rPr>
        <w:t>iii</w:t>
      </w:r>
      <w:proofErr w:type="spellEnd"/>
      <w:r>
        <w:rPr>
          <w:rFonts w:ascii="Cambria" w:eastAsia="Cambria" w:hAnsi="Cambria" w:cs="Cambria"/>
          <w:sz w:val="23"/>
          <w:szCs w:val="23"/>
        </w:rPr>
        <w:t xml:space="preserve">) </w:t>
      </w:r>
      <w:r>
        <w:rPr>
          <w:rFonts w:ascii="Cambria" w:eastAsia="Cambria" w:hAnsi="Cambria" w:cs="Cambria"/>
          <w:b/>
          <w:bCs/>
          <w:i/>
          <w:iCs/>
          <w:sz w:val="23"/>
          <w:szCs w:val="23"/>
          <w:u w:val="single"/>
        </w:rPr>
        <w:t>permite simplificar, acelerar y hacer más eficiente la administración de justicia penal, descongestionándola de la pequeña y mediana criminalidades</w:t>
      </w:r>
      <w:r>
        <w:rPr>
          <w:rFonts w:ascii="Cambria" w:eastAsia="Cambria" w:hAnsi="Cambria" w:cs="Cambria"/>
          <w:sz w:val="23"/>
          <w:szCs w:val="23"/>
        </w:rPr>
        <w:t>; y (</w:t>
      </w:r>
      <w:proofErr w:type="spellStart"/>
      <w:r>
        <w:rPr>
          <w:rFonts w:ascii="Cambria" w:eastAsia="Cambria" w:hAnsi="Cambria" w:cs="Cambria"/>
          <w:sz w:val="23"/>
          <w:szCs w:val="23"/>
        </w:rPr>
        <w:t>iv</w:t>
      </w:r>
      <w:proofErr w:type="spellEnd"/>
      <w:r>
        <w:rPr>
          <w:rFonts w:ascii="Cambria" w:eastAsia="Cambria" w:hAnsi="Cambria" w:cs="Cambria"/>
          <w:sz w:val="23"/>
          <w:szCs w:val="23"/>
        </w:rPr>
        <w:t xml:space="preserve">) bajo la estricta regulación legal, se le permitiría a la Fiscalía, en determinadas circunstancias, prescindir total o parcialmente del ejercicio de la acción penal o limitarla a alguna de las personas que intervinieron en la conducta punible (Sentencia T-142 de 2019). </w:t>
      </w:r>
    </w:p>
    <w:p w14:paraId="00435C7E"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De la misma forma, los objetivos y la razón de ser del principio de oportunidad tienen sus raíces en los matices fundacionales propios de un Estado social de derecho puesto que la Corte Constitucional ha determinado que el principio de oportunidad es:</w:t>
      </w:r>
    </w:p>
    <w:p w14:paraId="334002E6" w14:textId="77777777" w:rsidR="0081075F" w:rsidRDefault="00000000">
      <w:pPr>
        <w:spacing w:after="160" w:line="278" w:lineRule="auto"/>
        <w:ind w:left="720"/>
        <w:jc w:val="both"/>
        <w:rPr>
          <w:rFonts w:ascii="Cambria" w:eastAsia="Cambria" w:hAnsi="Cambria" w:cs="Cambria"/>
          <w:i/>
          <w:iCs/>
          <w:sz w:val="23"/>
          <w:szCs w:val="23"/>
        </w:rPr>
      </w:pPr>
      <w:r>
        <w:rPr>
          <w:rFonts w:ascii="Cambria" w:eastAsia="Cambria" w:hAnsi="Cambria" w:cs="Cambria"/>
          <w:i/>
          <w:iCs/>
          <w:sz w:val="23"/>
          <w:szCs w:val="23"/>
        </w:rPr>
        <w:t xml:space="preserve">“La racionalización de la función jurisdiccional penal. </w:t>
      </w:r>
      <w:r>
        <w:rPr>
          <w:rFonts w:ascii="Cambria" w:eastAsia="Cambria" w:hAnsi="Cambria" w:cs="Cambria"/>
          <w:b/>
          <w:bCs/>
          <w:i/>
          <w:iCs/>
          <w:sz w:val="23"/>
          <w:szCs w:val="23"/>
          <w:u w:val="single"/>
        </w:rPr>
        <w:t>La institución busca disminuir las consecuencias negativas de penas cortas de privación de la libertad, persigue la reparación de las víctimas y pretende facilitar la reinserción social de los autores de ciertas conductas punibles,</w:t>
      </w:r>
      <w:r>
        <w:rPr>
          <w:rFonts w:ascii="Cambria" w:eastAsia="Cambria" w:hAnsi="Cambria" w:cs="Cambria"/>
          <w:i/>
          <w:iCs/>
          <w:sz w:val="23"/>
          <w:szCs w:val="23"/>
        </w:rPr>
        <w:t xml:space="preserve"> permitiendo dar tratamiento diferenciado a delitos que por sus características intrínsecas no representan lesión significativa del orden social” (C-738 de 2008).</w:t>
      </w:r>
    </w:p>
    <w:p w14:paraId="0FC1315C" w14:textId="77777777" w:rsidR="00B624FD" w:rsidRDefault="00B624FD">
      <w:pPr>
        <w:spacing w:after="160" w:line="278" w:lineRule="auto"/>
        <w:ind w:left="720"/>
        <w:jc w:val="both"/>
        <w:rPr>
          <w:rFonts w:ascii="Cambria" w:eastAsia="Cambria" w:hAnsi="Cambria" w:cs="Cambria"/>
          <w:i/>
          <w:iCs/>
          <w:sz w:val="23"/>
          <w:szCs w:val="23"/>
        </w:rPr>
      </w:pPr>
    </w:p>
    <w:p w14:paraId="39BC0314"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lastRenderedPageBreak/>
        <w:t xml:space="preserve">En relación con las consecuencias procesales que se derivan de aquellas conductas que afectan de manera mínima o poco significativa un bien jurídico protegido por el derecho penal, la jurisprudencia constitucional colombiana ha desarrollado una línea interpretativa consistente. En diversas decisiones, entre ellas las sentencias C-591 de 2005, C-673 de 2005, C-098 de 2006 y C-095 de 2007, la Corte Constitucional ha explicado que el modelo procesal penal de corte acusatorio introducido mediante el Acto Legislativo 03 de 2002 incorporó el principio de oportunidad como una herramienta fundamental dentro del sistema penal colombiano. Este principio no fue concebido exclusivamente para enfrentar fenómenos complejos como el crimen organizado, sino también para permitir que el aparato de justicia penal pueda prescindir de la persecución de aquellas conductas cuya afectación al bien jurídico resulte de escasa relevancia o entidad, es decir, aquellos eventos que la doctrina penal suele </w:t>
      </w:r>
      <w:proofErr w:type="gramStart"/>
      <w:r>
        <w:rPr>
          <w:rFonts w:ascii="Cambria" w:eastAsia="Cambria" w:hAnsi="Cambria" w:cs="Cambria"/>
          <w:sz w:val="23"/>
          <w:szCs w:val="23"/>
        </w:rPr>
        <w:t>denominar como</w:t>
      </w:r>
      <w:proofErr w:type="gramEnd"/>
      <w:r>
        <w:rPr>
          <w:rFonts w:ascii="Cambria" w:eastAsia="Cambria" w:hAnsi="Cambria" w:cs="Cambria"/>
          <w:sz w:val="23"/>
          <w:szCs w:val="23"/>
        </w:rPr>
        <w:t xml:space="preserve"> delitos de bagatela o de mínima lesividad.</w:t>
      </w:r>
    </w:p>
    <w:p w14:paraId="7CCEF01A"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 xml:space="preserve">La Corte Suprema de Justicia ha reiterado esta interpretación en diferentes providencias, entre ellas la sentencia del 18 de noviembre de 2008 (radicación 29183), en la cual se analizó el sentido y alcance del principio de oportunidad dentro del nuevo sistema penal acusatorio. Al examinar los antecedentes legislativos y las discusiones que dieron lugar a la reforma constitucional de 2002, se evidenció que uno de los objetivos centrales del constituyente fue dotar a la </w:t>
      </w:r>
      <w:proofErr w:type="gramStart"/>
      <w:r>
        <w:rPr>
          <w:rFonts w:ascii="Cambria" w:eastAsia="Cambria" w:hAnsi="Cambria" w:cs="Cambria"/>
          <w:sz w:val="23"/>
          <w:szCs w:val="23"/>
        </w:rPr>
        <w:t>Fiscalía General</w:t>
      </w:r>
      <w:proofErr w:type="gramEnd"/>
      <w:r>
        <w:rPr>
          <w:rFonts w:ascii="Cambria" w:eastAsia="Cambria" w:hAnsi="Cambria" w:cs="Cambria"/>
          <w:sz w:val="23"/>
          <w:szCs w:val="23"/>
        </w:rPr>
        <w:t xml:space="preserve"> de la Nación de instrumentos que le permitiera racionalizar su actividad investigativa y concentrar sus esfuerzos en aquellas conductas que realmente representan un riesgo significativo para la convivencia social y el orden jurídico.</w:t>
      </w:r>
    </w:p>
    <w:p w14:paraId="29DE0D7B"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En efecto, de acuerdo con las actas y debates que acompañaron el proceso de reforma constitucional, el constituyente advirtió que el sistema de justicia penal enfrentaba una creciente congestión derivada, en buena medida, de la gran cantidad de asuntos de menor entidad que debían ser tramitados por la Fiscalía y los jueces. En ese contexto, se consideró necesario introducir mecanismos que permitieran filtrar o excluir del proceso penal aquellos casos que, aunque formalmente encuadran en un tipo penal, no representan una afectación material relevante para los bienes jurídicos protegidos por el legislador. Entre esos mecanismos se encuentra precisamente el principio de oportunidad.</w:t>
      </w:r>
    </w:p>
    <w:p w14:paraId="46B80139"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 xml:space="preserve">Así, la finalidad de esta institución es permitir que el sistema penal no se vea obligado a desplegar toda su capacidad investigativa y judicial frente a conductas de escasa trascendencia, </w:t>
      </w:r>
      <w:proofErr w:type="gramStart"/>
      <w:r>
        <w:rPr>
          <w:rFonts w:ascii="Cambria" w:eastAsia="Cambria" w:hAnsi="Cambria" w:cs="Cambria"/>
          <w:sz w:val="23"/>
          <w:szCs w:val="23"/>
        </w:rPr>
        <w:t>que</w:t>
      </w:r>
      <w:proofErr w:type="gramEnd"/>
      <w:r>
        <w:rPr>
          <w:rFonts w:ascii="Cambria" w:eastAsia="Cambria" w:hAnsi="Cambria" w:cs="Cambria"/>
          <w:sz w:val="23"/>
          <w:szCs w:val="23"/>
        </w:rPr>
        <w:t xml:space="preserve"> si bien pueden tener relevancia formal desde el punto de vista normativo, no generan una afectación </w:t>
      </w:r>
    </w:p>
    <w:p w14:paraId="1C13C3DF"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sustancial al orden social ni a los intereses jurídicos protegidos. En ese sentido, el principio de oportunidad opera como una herramienta que permite a la Fiscalía priorizar su intervención en los casos de mayor gravedad o impacto social, evitando que la persecución penal se diluya en un gran número de procesos menores que terminan consumiendo recursos institucionales y generando congestión en los despachos judiciales.</w:t>
      </w:r>
    </w:p>
    <w:p w14:paraId="705DB65F" w14:textId="77777777" w:rsidR="00B624FD" w:rsidRDefault="00B624FD">
      <w:pPr>
        <w:spacing w:after="160" w:line="278" w:lineRule="auto"/>
        <w:jc w:val="both"/>
        <w:rPr>
          <w:rFonts w:ascii="Cambria" w:eastAsia="Cambria" w:hAnsi="Cambria" w:cs="Cambria"/>
          <w:sz w:val="23"/>
          <w:szCs w:val="23"/>
        </w:rPr>
      </w:pPr>
    </w:p>
    <w:p w14:paraId="7536B267" w14:textId="562A5159"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lastRenderedPageBreak/>
        <w:t>Desde esta perspectiva, el principio de oportunidad responde a una lógica de racionalización del sistema penal, en la medida en que busca simplificar los procedimientos, agilizar la administración de justicia y hacer más eficiente el uso de los recursos del Estado. Su aplicación permite descongestionar la jurisdicción penal al excluir del ámbito de persecución penal aquellas conductas de baja lesividad o criminalidad menor, permitiendo que el sistema concentre su capacidad en la investigación y sanción de las conductas que verdaderamente ponen en riesgo la seguridad, la convivencia y la estabilidad del orden social.</w:t>
      </w:r>
    </w:p>
    <w:p w14:paraId="4E67199F"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En síntesis, la filosofía que inspira el principio de oportunidad radica en reconocer que el derecho penal debe actuar como un mecanismo de intervención selectiva y racional, orientado a enfrentar las conductas más graves y socialmente lesivas, evitando que el aparato judicial se vea saturado por conflictos de escasa entidad que podrían resolverse mediante otros mecanismos menos gravosos para el sistema de justicia (Sentencia del 18 de noviembre de 2008 - radicado 29183; Sala de Casación Penal, Corte Suprema de Justicia)</w:t>
      </w:r>
    </w:p>
    <w:p w14:paraId="644EBA82" w14:textId="77777777" w:rsidR="0081075F" w:rsidRDefault="00000000">
      <w:pPr>
        <w:pStyle w:val="Ttulo3"/>
        <w:numPr>
          <w:ilvl w:val="1"/>
          <w:numId w:val="1"/>
        </w:numPr>
        <w:rPr>
          <w:rFonts w:ascii="Cambria" w:eastAsia="Cambria" w:hAnsi="Cambria" w:cs="Cambria"/>
          <w:b/>
          <w:bCs/>
          <w:color w:val="000000"/>
          <w:sz w:val="23"/>
          <w:szCs w:val="23"/>
        </w:rPr>
      </w:pPr>
      <w:bookmarkStart w:id="13" w:name="_heading=h.xwpghx6zmr7z" w:colFirst="0" w:colLast="0"/>
      <w:bookmarkEnd w:id="13"/>
      <w:r>
        <w:rPr>
          <w:rFonts w:ascii="Cambria" w:eastAsia="Cambria" w:hAnsi="Cambria" w:cs="Cambria"/>
          <w:b/>
          <w:bCs/>
          <w:color w:val="000000"/>
          <w:sz w:val="23"/>
          <w:szCs w:val="23"/>
        </w:rPr>
        <w:t>Incompatibilidad con mecanismos restaurativos y con la naturaleza de los delitos contra el honor</w:t>
      </w:r>
    </w:p>
    <w:p w14:paraId="3B55ED96" w14:textId="77777777" w:rsidR="0081075F" w:rsidRDefault="00000000">
      <w:pPr>
        <w:spacing w:before="240" w:after="240" w:line="278" w:lineRule="auto"/>
        <w:jc w:val="both"/>
        <w:rPr>
          <w:rFonts w:ascii="Cambria" w:eastAsia="Cambria" w:hAnsi="Cambria" w:cs="Cambria"/>
          <w:sz w:val="23"/>
          <w:szCs w:val="23"/>
        </w:rPr>
      </w:pPr>
      <w:r>
        <w:rPr>
          <w:rFonts w:ascii="Cambria" w:eastAsia="Cambria" w:hAnsi="Cambria" w:cs="Cambria"/>
          <w:sz w:val="23"/>
          <w:szCs w:val="23"/>
        </w:rPr>
        <w:t>La iniciativa también propone eliminar la posibilidad de conciliación, desistimiento, retractación o indemnización posterior como mecanismos de terminación del proceso. Esta propuesta desconoce que los delitos contra el honor tienen una naturaleza particular, en la medida en que se trata de conflictos que, en muchos casos, pueden resolverse mediante la restauración del derecho lesionado, por ejemplo, a través de retractaciones públicas o acuerdos entre las partes. Eliminar estos mecanismos no solo incrementa la judicialización de conflictos de carácter interpersonal, sino que además impediría soluciones más eficaces para la víctima, pues en muchos casos la reparación simbólica o la rectificación pública pueden resultar más adecuadas que la imposición de una sanción penal privativa de la libertad.</w:t>
      </w:r>
    </w:p>
    <w:p w14:paraId="6A885D98" w14:textId="77777777" w:rsidR="0081075F" w:rsidRDefault="00000000">
      <w:pPr>
        <w:pStyle w:val="Ttulo3"/>
        <w:numPr>
          <w:ilvl w:val="1"/>
          <w:numId w:val="1"/>
        </w:numPr>
        <w:rPr>
          <w:rFonts w:ascii="Cambria" w:eastAsia="Cambria" w:hAnsi="Cambria" w:cs="Cambria"/>
          <w:b/>
          <w:bCs/>
          <w:color w:val="000000"/>
          <w:sz w:val="23"/>
          <w:szCs w:val="23"/>
        </w:rPr>
      </w:pPr>
      <w:bookmarkStart w:id="14" w:name="_heading=h.3ap5sntw5rlt" w:colFirst="0" w:colLast="0"/>
      <w:bookmarkEnd w:id="14"/>
      <w:r>
        <w:rPr>
          <w:rFonts w:ascii="Cambria" w:eastAsia="Cambria" w:hAnsi="Cambria" w:cs="Cambria"/>
          <w:b/>
          <w:bCs/>
          <w:color w:val="000000"/>
          <w:sz w:val="23"/>
          <w:szCs w:val="23"/>
        </w:rPr>
        <w:t>Desproporcionalidad en el aumento de las penas</w:t>
      </w:r>
    </w:p>
    <w:p w14:paraId="0C7B82B6" w14:textId="77777777" w:rsidR="0081075F" w:rsidRDefault="00000000">
      <w:pPr>
        <w:spacing w:before="240" w:after="240" w:line="278" w:lineRule="auto"/>
        <w:jc w:val="both"/>
        <w:rPr>
          <w:rFonts w:ascii="Cambria" w:eastAsia="Cambria" w:hAnsi="Cambria" w:cs="Cambria"/>
          <w:sz w:val="23"/>
          <w:szCs w:val="23"/>
        </w:rPr>
      </w:pPr>
      <w:r>
        <w:rPr>
          <w:rFonts w:ascii="Cambria" w:eastAsia="Cambria" w:hAnsi="Cambria" w:cs="Cambria"/>
          <w:sz w:val="23"/>
          <w:szCs w:val="23"/>
        </w:rPr>
        <w:t xml:space="preserve">El proyecto plantea un incremento significativo de las penas para los delitos de injuria y calumnia, estableciendo sanciones que podrían llegar hasta los ciento veinte meses de prisión, así como multas considerablemente elevadas. </w:t>
      </w:r>
      <w:r>
        <w:rPr>
          <w:rFonts w:ascii="Cambria" w:eastAsia="Cambria" w:hAnsi="Cambria" w:cs="Cambria"/>
          <w:b/>
          <w:bCs/>
          <w:i/>
          <w:iCs/>
          <w:sz w:val="23"/>
          <w:szCs w:val="23"/>
          <w:u w:val="single"/>
        </w:rPr>
        <w:t>Esta medida genera serias dudas desde el punto de vista del principio de proporcionalidad que debe regir el derecho penal.</w:t>
      </w:r>
      <w:r>
        <w:rPr>
          <w:rFonts w:ascii="Cambria" w:eastAsia="Cambria" w:hAnsi="Cambria" w:cs="Cambria"/>
          <w:sz w:val="23"/>
          <w:szCs w:val="23"/>
        </w:rPr>
        <w:t xml:space="preserve"> Resulta cuestionable que conductas relacionadas con conflictos de reputación personal puedan alcanzar niveles de sanción comparables con los previstos para delitos que afectan bienes jurídicos de mayor entidad, como la integridad personal, la libertad o el patrimonio económico. La política criminal debe mantener </w:t>
      </w:r>
      <w:r>
        <w:rPr>
          <w:rFonts w:ascii="Cambria" w:eastAsia="Cambria" w:hAnsi="Cambria" w:cs="Cambria"/>
          <w:b/>
          <w:bCs/>
          <w:i/>
          <w:iCs/>
          <w:sz w:val="23"/>
          <w:szCs w:val="23"/>
          <w:u w:val="single"/>
        </w:rPr>
        <w:t>coherencia y proporcionalidad</w:t>
      </w:r>
      <w:r>
        <w:rPr>
          <w:rFonts w:ascii="Cambria" w:eastAsia="Cambria" w:hAnsi="Cambria" w:cs="Cambria"/>
          <w:sz w:val="23"/>
          <w:szCs w:val="23"/>
        </w:rPr>
        <w:t xml:space="preserve"> entre las distintas conductas sancionadas, evitando que el endurecimiento de las penas responda únicamente a percepciones coyunturales o presiones sociales.</w:t>
      </w:r>
    </w:p>
    <w:p w14:paraId="79524892" w14:textId="77777777" w:rsidR="0081075F" w:rsidRDefault="00000000">
      <w:pPr>
        <w:pStyle w:val="Ttulo3"/>
        <w:numPr>
          <w:ilvl w:val="1"/>
          <w:numId w:val="1"/>
        </w:numPr>
        <w:rPr>
          <w:rFonts w:ascii="Cambria" w:eastAsia="Cambria" w:hAnsi="Cambria" w:cs="Cambria"/>
          <w:b/>
          <w:bCs/>
          <w:color w:val="000000"/>
          <w:sz w:val="23"/>
          <w:szCs w:val="23"/>
        </w:rPr>
      </w:pPr>
      <w:bookmarkStart w:id="15" w:name="_heading=h.hihs1td0o3pj" w:colFirst="0" w:colLast="0"/>
      <w:bookmarkEnd w:id="15"/>
      <w:r>
        <w:rPr>
          <w:rFonts w:ascii="Cambria" w:eastAsia="Cambria" w:hAnsi="Cambria" w:cs="Cambria"/>
          <w:b/>
          <w:bCs/>
          <w:color w:val="000000"/>
          <w:sz w:val="23"/>
          <w:szCs w:val="23"/>
        </w:rPr>
        <w:lastRenderedPageBreak/>
        <w:t>Riesgo de afectación a la libertad de expresión</w:t>
      </w:r>
    </w:p>
    <w:p w14:paraId="64B6FBAD" w14:textId="77777777" w:rsidR="0081075F" w:rsidRDefault="00000000">
      <w:pPr>
        <w:spacing w:before="240" w:after="240" w:line="278" w:lineRule="auto"/>
        <w:jc w:val="both"/>
        <w:rPr>
          <w:rFonts w:ascii="Cambria" w:eastAsia="Cambria" w:hAnsi="Cambria" w:cs="Cambria"/>
          <w:sz w:val="23"/>
          <w:szCs w:val="23"/>
        </w:rPr>
      </w:pPr>
      <w:r>
        <w:rPr>
          <w:rFonts w:ascii="Cambria" w:eastAsia="Cambria" w:hAnsi="Cambria" w:cs="Cambria"/>
          <w:sz w:val="23"/>
          <w:szCs w:val="23"/>
        </w:rPr>
        <w:t xml:space="preserve">Si bien el proyecto señala la necesidad de equilibrar la protección del honor con la libertad de expresión, lo cierto es que las medidas propuestas podrían generar efectos adversos en el ejercicio de este derecho fundamental. El incremento de las penas, la persecución de oficio de estas conductas y la eliminación de mecanismos de terminación anticipada del proceso penal podrían generar un efecto </w:t>
      </w:r>
      <w:r>
        <w:rPr>
          <w:rFonts w:ascii="Cambria" w:eastAsia="Cambria" w:hAnsi="Cambria" w:cs="Cambria"/>
          <w:b/>
          <w:bCs/>
          <w:i/>
          <w:iCs/>
          <w:sz w:val="23"/>
          <w:szCs w:val="23"/>
          <w:u w:val="single"/>
        </w:rPr>
        <w:t>negativo</w:t>
      </w:r>
      <w:r>
        <w:rPr>
          <w:rFonts w:ascii="Cambria" w:eastAsia="Cambria" w:hAnsi="Cambria" w:cs="Cambria"/>
          <w:sz w:val="23"/>
          <w:szCs w:val="23"/>
        </w:rPr>
        <w:t xml:space="preserve"> sobre el debate público, especialmente en contextos relacionados con el control ciudadano, el periodismo investigativo y la crítica política. La propia jurisprudencia constitucional y los estándares del Sistema Interamericano de Derechos Humanos han advertido sobre los riesgos de utilizar el derecho penal de manera excesiva en asuntos vinculados con la libertad de expresión. Así las cosas, la jurisprudencia constitucional ha referido respecto del ámbito constitucionalmente protegido del derecho a la libertad de expresión lo siguiente:</w:t>
      </w:r>
    </w:p>
    <w:p w14:paraId="5AE218C0" w14:textId="77777777" w:rsidR="0081075F" w:rsidRDefault="00000000">
      <w:pPr>
        <w:spacing w:before="240" w:after="240" w:line="278" w:lineRule="auto"/>
        <w:ind w:left="720"/>
        <w:jc w:val="both"/>
        <w:rPr>
          <w:rFonts w:ascii="Cambria" w:eastAsia="Cambria" w:hAnsi="Cambria" w:cs="Cambria"/>
          <w:i/>
          <w:iCs/>
          <w:sz w:val="23"/>
          <w:szCs w:val="23"/>
        </w:rPr>
      </w:pPr>
      <w:r>
        <w:rPr>
          <w:rFonts w:ascii="Cambria" w:eastAsia="Cambria" w:hAnsi="Cambria" w:cs="Cambria"/>
          <w:i/>
          <w:iCs/>
          <w:sz w:val="23"/>
          <w:szCs w:val="23"/>
        </w:rPr>
        <w:t>“Se han distinguido ocho rasgos del ámbito constitucionalmente protegido de la libertad de expresión: (1) su titularidad es universal sin discriminación, compleja, y puede involucrar intereses públicos y colectivos, además de los intereses privados del emisor de la expresión; (2) sin perjuicio de la presunción de cobertura de toda forma de expresión por la libertad constitucional, existen ciertos tipos específicos de expresión prohibidos; (3) existen diferentes grados de protección constitucional de los distintos discursos amparados por la libertad de expresión, por lo cual hay tipos de discurso que reciben una protección más intensa que otros, lo cual a su vez tiene directa incidencia sobre la regulación estatal admisible y el estándar de control constitucional al que se han de sujetar las limitaciones; (4) protege expresiones exteriorizadas mediante el lenguaje convencional, como las manifestadas por medio de conducta simbólica o expresiva convencional o no convencional; (5) la expresión puede efectuarse a través de cualquier medio elegido por quien se expresa, teniendo en cuenta que cada medio en particular plantea sus propios problemas y especificidades jurídicamente relevantes, ya que la libertad constitucional protege tanto el contenido de la expresión como su forma y su manera de difusión; (6) la libertad constitucional protege tanto las expresiones socialmente aceptadas como aquellas consideradas inusuales, alternativas o diversas, lo cual incluye las expresiones ofensivas, chocantes, impactantes, indecentes, escandalosas, excéntricas o simplemente contrarias a las creencias y posturas mayoritarias, ya que la libertad constitucional protege tanto el contenido de la expresión como su tono; (7) su ejercicio conlleva, en todo caso, deberes y responsabilidades para quien se expresa; por último (8) impone claras obligaciones constitucionales a todas las autoridades del Estado, así como a los particulares. (Sentencia C-442 de 2011, Corte Constitucional).</w:t>
      </w:r>
    </w:p>
    <w:p w14:paraId="2EDC7616" w14:textId="77777777" w:rsidR="0081075F" w:rsidRDefault="00000000">
      <w:pPr>
        <w:spacing w:before="240" w:after="240" w:line="278" w:lineRule="auto"/>
        <w:jc w:val="both"/>
        <w:rPr>
          <w:rFonts w:ascii="Cambria" w:eastAsia="Cambria" w:hAnsi="Cambria" w:cs="Cambria"/>
          <w:sz w:val="23"/>
          <w:szCs w:val="23"/>
        </w:rPr>
      </w:pPr>
      <w:r>
        <w:rPr>
          <w:rFonts w:ascii="Cambria" w:eastAsia="Cambria" w:hAnsi="Cambria" w:cs="Cambria"/>
          <w:sz w:val="23"/>
          <w:szCs w:val="23"/>
        </w:rPr>
        <w:t>Sin embargo, no deben perderse de vista los límites a la libertad de expresión que toda persona debe tener:</w:t>
      </w:r>
    </w:p>
    <w:p w14:paraId="5AAAF8E4" w14:textId="77777777" w:rsidR="0081075F" w:rsidRDefault="00000000">
      <w:pPr>
        <w:spacing w:before="240" w:after="240" w:line="278" w:lineRule="auto"/>
        <w:ind w:left="720"/>
        <w:jc w:val="both"/>
        <w:rPr>
          <w:rFonts w:ascii="Cambria" w:eastAsia="Cambria" w:hAnsi="Cambria" w:cs="Cambria"/>
          <w:i/>
          <w:iCs/>
          <w:sz w:val="23"/>
          <w:szCs w:val="23"/>
        </w:rPr>
      </w:pPr>
      <w:r>
        <w:rPr>
          <w:rFonts w:ascii="Cambria" w:eastAsia="Cambria" w:hAnsi="Cambria" w:cs="Cambria"/>
          <w:i/>
          <w:iCs/>
          <w:sz w:val="23"/>
          <w:szCs w:val="23"/>
        </w:rPr>
        <w:lastRenderedPageBreak/>
        <w:t xml:space="preserve">“La jurisprudencia de esta Corporación ha establecido que la libertad de expresión es uno de los pilares sobre los cuales está fundado el Estado, que comprende la garantía fundamental y universal de manifestar pensamientos, opiniones propias y, a la vez, conocer los de otros. Este presupuesto también se extiende al derecho de informar y ser informado veraz e imparcialmente, con el objetivo de que la persona juzgue la realidad con suficiente conocimiento. </w:t>
      </w:r>
      <w:r>
        <w:rPr>
          <w:rFonts w:ascii="Cambria" w:eastAsia="Cambria" w:hAnsi="Cambria" w:cs="Cambria"/>
          <w:b/>
          <w:bCs/>
          <w:i/>
          <w:iCs/>
          <w:sz w:val="23"/>
          <w:szCs w:val="23"/>
          <w:u w:val="single"/>
        </w:rPr>
        <w:t xml:space="preserve">Es por lo anterior que este mandato constitucional ha sido considerado como un derecho fundamental de doble vía porque involucra tanto al emisor como al receptor de actos comunicativos, agrupa un conjunto de garantías y libertades diferenciables en su contenido y alcance, tales como la libertad de expresar pensamientos y opiniones, la libertad de informar y recibir información veraz e imparcial, la libertad de fundar </w:t>
      </w:r>
      <w:proofErr w:type="gramStart"/>
      <w:r>
        <w:rPr>
          <w:rFonts w:ascii="Cambria" w:eastAsia="Cambria" w:hAnsi="Cambria" w:cs="Cambria"/>
          <w:b/>
          <w:bCs/>
          <w:i/>
          <w:iCs/>
          <w:sz w:val="23"/>
          <w:szCs w:val="23"/>
          <w:u w:val="single"/>
        </w:rPr>
        <w:t>medios masivos de comunicación</w:t>
      </w:r>
      <w:proofErr w:type="gramEnd"/>
      <w:r>
        <w:rPr>
          <w:rFonts w:ascii="Cambria" w:eastAsia="Cambria" w:hAnsi="Cambria" w:cs="Cambria"/>
          <w:b/>
          <w:bCs/>
          <w:i/>
          <w:iCs/>
          <w:sz w:val="23"/>
          <w:szCs w:val="23"/>
          <w:u w:val="single"/>
        </w:rPr>
        <w:t xml:space="preserve"> y el derecho de rectificación”. </w:t>
      </w:r>
      <w:r>
        <w:rPr>
          <w:rFonts w:ascii="Cambria" w:eastAsia="Cambria" w:hAnsi="Cambria" w:cs="Cambria"/>
          <w:i/>
          <w:iCs/>
          <w:sz w:val="23"/>
          <w:szCs w:val="23"/>
        </w:rPr>
        <w:t>(Sentencia T-007 de 2020)</w:t>
      </w:r>
    </w:p>
    <w:p w14:paraId="6C1B26EE" w14:textId="77777777" w:rsidR="0081075F" w:rsidRDefault="00000000">
      <w:pPr>
        <w:spacing w:before="240" w:after="240" w:line="278" w:lineRule="auto"/>
        <w:jc w:val="both"/>
        <w:rPr>
          <w:rFonts w:ascii="Cambria" w:eastAsia="Cambria" w:hAnsi="Cambria" w:cs="Cambria"/>
          <w:sz w:val="23"/>
          <w:szCs w:val="23"/>
        </w:rPr>
      </w:pPr>
      <w:r>
        <w:rPr>
          <w:rFonts w:ascii="Cambria" w:eastAsia="Cambria" w:hAnsi="Cambria" w:cs="Cambria"/>
          <w:sz w:val="23"/>
          <w:szCs w:val="23"/>
        </w:rPr>
        <w:t>Asimismo, desde la misma jurisprudencia que es relativamente reciente, se han planteado soluciones menos coercitivas que las planteadas por el presente proyecto de ley:</w:t>
      </w:r>
    </w:p>
    <w:p w14:paraId="68B16C13" w14:textId="77777777" w:rsidR="0081075F" w:rsidRDefault="00000000">
      <w:pPr>
        <w:spacing w:before="240" w:after="240" w:line="278" w:lineRule="auto"/>
        <w:jc w:val="both"/>
        <w:rPr>
          <w:rFonts w:ascii="Cambria" w:eastAsia="Cambria" w:hAnsi="Cambria" w:cs="Cambria"/>
          <w:i/>
          <w:iCs/>
          <w:sz w:val="23"/>
          <w:szCs w:val="23"/>
        </w:rPr>
      </w:pPr>
      <w:r>
        <w:rPr>
          <w:rFonts w:ascii="Cambria" w:eastAsia="Cambria" w:hAnsi="Cambria" w:cs="Cambria"/>
          <w:i/>
          <w:iCs/>
          <w:sz w:val="23"/>
          <w:szCs w:val="23"/>
        </w:rPr>
        <w:t>“</w:t>
      </w:r>
      <w:r>
        <w:rPr>
          <w:rFonts w:ascii="Cambria" w:eastAsia="Cambria" w:hAnsi="Cambria" w:cs="Cambria"/>
          <w:b/>
          <w:bCs/>
          <w:i/>
          <w:iCs/>
          <w:sz w:val="23"/>
          <w:szCs w:val="23"/>
          <w:u w:val="single"/>
        </w:rPr>
        <w:t>Toda persona tiene la posibilidad de solicitar la rectificación de informaciones inexactas o erróneas que atenten contra sus derechos, para lo cual deberá presentar la solicitud correspondiente ante el medio de comunicación o el particular que hizo la publicación, esto, como requisito previo para acudir a la acción de tutela en caso de no se acceda a esa rectificación o la misma no se efectúe en condiciones de equidad.</w:t>
      </w:r>
      <w:r>
        <w:rPr>
          <w:rFonts w:ascii="Cambria" w:eastAsia="Cambria" w:hAnsi="Cambria" w:cs="Cambria"/>
          <w:i/>
          <w:iCs/>
          <w:sz w:val="23"/>
          <w:szCs w:val="23"/>
        </w:rPr>
        <w:t xml:space="preserve"> Sin embargo, existen eventos en que la información no es susceptible de rectificación, como sucede con aquel contenido que lesiona el núcleo de la vida privada y que es difundido sin consentimiento de su titular; en tales casos, la lesión generada a la persona o a su familia no puede ser subsanada a través de la rectificación, razón por la cual la acción de tutela procede sin que aquella sea exigible”. (Sentencia T-007 de 2020).</w:t>
      </w:r>
    </w:p>
    <w:p w14:paraId="798BF93A" w14:textId="77777777" w:rsidR="0081075F" w:rsidRDefault="00000000">
      <w:pPr>
        <w:spacing w:before="240" w:after="240" w:line="278" w:lineRule="auto"/>
        <w:jc w:val="both"/>
        <w:rPr>
          <w:rFonts w:ascii="Cambria" w:eastAsia="Cambria" w:hAnsi="Cambria" w:cs="Cambria"/>
          <w:sz w:val="23"/>
          <w:szCs w:val="23"/>
        </w:rPr>
      </w:pPr>
      <w:r>
        <w:rPr>
          <w:rFonts w:ascii="Cambria" w:eastAsia="Cambria" w:hAnsi="Cambria" w:cs="Cambria"/>
          <w:sz w:val="23"/>
          <w:szCs w:val="23"/>
        </w:rPr>
        <w:t>Debe tenerse en cuenta que el ordenamiento jurídico colombiano ya contempla mecanismos eficaces para la protección del buen nombre, la honra y la intimidad de las personas. En efecto, cualquier ciudadano que considere que ha sido afectado por informaciones inexactas o erróneas difundidas por un medio de comunicación o por un particular tiene la posibilidad de solicitar su rectificación, como una herramienta orientada a restablecer el equilibrio informativo y reparar el daño causado. Este mecanismo constituye, además, un requisito previo para acudir a la acción de tutela cuando la rectificación no es atendida o no se realiza en condiciones de equidad. Incluso en aquellos casos en los que la información divulgada afecta gravemente la vida privada de una persona y no resulta susceptible de rectificación —por ejemplo, cuando se difunden contenidos íntimos sin autorización de su titular— el ordenamiento constitucional prevé la procedencia directa de la acción de tutela para restablecer los derechos fundamentales vulnerados (Sentencia C-487 de 2023, Corte Constitucional).</w:t>
      </w:r>
    </w:p>
    <w:p w14:paraId="09E52E98" w14:textId="77777777" w:rsidR="0081075F" w:rsidRDefault="00000000">
      <w:pPr>
        <w:spacing w:before="240" w:after="240" w:line="278" w:lineRule="auto"/>
        <w:jc w:val="both"/>
        <w:rPr>
          <w:rFonts w:ascii="Cambria" w:eastAsia="Cambria" w:hAnsi="Cambria" w:cs="Cambria"/>
          <w:sz w:val="23"/>
          <w:szCs w:val="23"/>
        </w:rPr>
      </w:pPr>
      <w:r>
        <w:rPr>
          <w:rFonts w:ascii="Cambria" w:eastAsia="Cambria" w:hAnsi="Cambria" w:cs="Cambria"/>
          <w:sz w:val="23"/>
          <w:szCs w:val="23"/>
        </w:rPr>
        <w:lastRenderedPageBreak/>
        <w:t>En este contexto, resulta claro que el sistema jurídico ya dispone de vías eficaces para la protección de los derechos al buen nombre, la honra y la intimidad, sin necesidad de acudir a una expansión desproporcionada del derecho penal. Por el contrario, la solución a este tipo de conflictos puede y debe canalizarse, en muchos casos, a través de mecanismos constitucionales y civiles como la rectificación o la acción de tutela, los cuales permiten restablecer los derechos afectados de manera más inmediata y efectiva. En consecuencia, no se advierte la necesidad de endurecer las sanciones penales para los delitos de injuria y calumnia ni, mucho menos, de eliminar instrumentos procesales de racionalización del sistema penal como el principio de oportunidad, cuya finalidad precisamente es evitar la utilización innecesaria del aparato penal en conflictos que pueden resolverse por otras vías jurídicas menos gravosas (Sentencia C-487 de 2023, Corte Constitucional).</w:t>
      </w:r>
    </w:p>
    <w:p w14:paraId="38392EE6" w14:textId="77777777" w:rsidR="0081075F" w:rsidRDefault="00000000">
      <w:pPr>
        <w:spacing w:before="240" w:after="240" w:line="278" w:lineRule="auto"/>
        <w:jc w:val="both"/>
        <w:rPr>
          <w:rFonts w:ascii="Cambria" w:eastAsia="Cambria" w:hAnsi="Cambria" w:cs="Cambria"/>
          <w:sz w:val="23"/>
          <w:szCs w:val="23"/>
        </w:rPr>
      </w:pPr>
      <w:r>
        <w:rPr>
          <w:rFonts w:ascii="Cambria" w:eastAsia="Cambria" w:hAnsi="Cambria" w:cs="Cambria"/>
          <w:sz w:val="23"/>
          <w:szCs w:val="23"/>
        </w:rPr>
        <w:t>En materia de libertad de prensa, la ampliación desproporcionada de la intervención penal del Estado en los delitos de injuria y calumnia comporta un riesgo directo y significativo para el ejercicio de los derechos fundamentales a la libertad de expresión y de prensa, consagrados en el artículo 20 de la Constitución Política. En efecto, el endurecimiento de las sanciones, la conversión de estos delitos en perseguibles de oficio y la eliminación de mecanismos de racionalización como el principio de oportunidad pueden generar un efecto inhibidor en el debate público, particularmente en contextos donde la crítica, la denuncia ciudadana y el control social resultan esenciales para el funcionamiento de una democracia.</w:t>
      </w:r>
    </w:p>
    <w:p w14:paraId="2ECD82FE" w14:textId="77777777" w:rsidR="00B624FD" w:rsidRDefault="00000000">
      <w:pPr>
        <w:spacing w:before="240" w:after="240" w:line="278" w:lineRule="auto"/>
        <w:jc w:val="both"/>
        <w:rPr>
          <w:rFonts w:ascii="Cambria" w:eastAsia="Cambria" w:hAnsi="Cambria" w:cs="Cambria"/>
          <w:sz w:val="23"/>
          <w:szCs w:val="23"/>
        </w:rPr>
      </w:pPr>
      <w:r>
        <w:rPr>
          <w:rFonts w:ascii="Cambria" w:eastAsia="Cambria" w:hAnsi="Cambria" w:cs="Cambria"/>
          <w:sz w:val="23"/>
          <w:szCs w:val="23"/>
        </w:rPr>
        <w:t>La jurisprudencia constitucional (Sentencia C-442 de 2011, Corte Constitucional) ha sido enfática en señalar que la libertad de expresión goza de una protección reforzada, especialmente cuando se trata de asuntos de interés público o de control a la gestión estatal. En este sentido, la utilización excesiva del derecho penal frente a expresiones que, aunque eventualmente puedan resultar ofensivas o incómodas, hacen parte del debate democrático, puede traducirse en una forma indirecta de censura, prohibida expresamente por el ordenamiento constitucional.</w:t>
      </w:r>
    </w:p>
    <w:p w14:paraId="2BE34542" w14:textId="2CF0D94F" w:rsidR="0081075F" w:rsidRDefault="00000000">
      <w:pPr>
        <w:spacing w:before="240" w:after="240" w:line="278" w:lineRule="auto"/>
        <w:jc w:val="both"/>
        <w:rPr>
          <w:rFonts w:ascii="Cambria" w:eastAsia="Cambria" w:hAnsi="Cambria" w:cs="Cambria"/>
          <w:sz w:val="23"/>
          <w:szCs w:val="23"/>
        </w:rPr>
      </w:pPr>
      <w:r>
        <w:rPr>
          <w:rFonts w:ascii="Cambria" w:eastAsia="Cambria" w:hAnsi="Cambria" w:cs="Cambria"/>
          <w:sz w:val="23"/>
          <w:szCs w:val="23"/>
        </w:rPr>
        <w:t>De conformidad con la Sentencia T-040 de 2013, de la honorable Corte Constitucional:</w:t>
      </w:r>
    </w:p>
    <w:p w14:paraId="48E4BA36" w14:textId="77777777" w:rsidR="0081075F" w:rsidRDefault="00000000">
      <w:pPr>
        <w:spacing w:before="240" w:after="240" w:line="278" w:lineRule="auto"/>
        <w:ind w:left="425"/>
        <w:jc w:val="both"/>
        <w:rPr>
          <w:rFonts w:ascii="Cambria" w:eastAsia="Cambria" w:hAnsi="Cambria" w:cs="Cambria"/>
          <w:b/>
          <w:bCs/>
          <w:i/>
          <w:iCs/>
          <w:sz w:val="23"/>
          <w:szCs w:val="23"/>
          <w:u w:val="single"/>
        </w:rPr>
      </w:pPr>
      <w:r>
        <w:rPr>
          <w:rFonts w:ascii="Cambria" w:eastAsia="Cambria" w:hAnsi="Cambria" w:cs="Cambria"/>
          <w:sz w:val="23"/>
          <w:szCs w:val="23"/>
        </w:rPr>
        <w:t xml:space="preserve">“(...) </w:t>
      </w:r>
      <w:r>
        <w:rPr>
          <w:rFonts w:ascii="Cambria" w:eastAsia="Cambria" w:hAnsi="Cambria" w:cs="Cambria"/>
          <w:b/>
          <w:bCs/>
          <w:i/>
          <w:iCs/>
          <w:sz w:val="23"/>
          <w:szCs w:val="23"/>
          <w:u w:val="single"/>
        </w:rPr>
        <w:t>la Corte Constitucional ha afirmado que la veracidad de una información hace referencia a hechos o a enunciados de carácter fáctico, que pueden ser verificados,</w:t>
      </w:r>
      <w:r>
        <w:rPr>
          <w:rFonts w:ascii="Cambria" w:eastAsia="Cambria" w:hAnsi="Cambria" w:cs="Cambria"/>
          <w:sz w:val="23"/>
          <w:szCs w:val="23"/>
        </w:rPr>
        <w:t xml:space="preserve"> por lo que no cubre las simples opiniones. No obstante, en algunos eventos es difícil en una noticia distinguir entre hechos y opiniones, por ello, se ha considerado que vulnera el principio de veracidad el dato fáctico que es contrario a la realidad, siempre que la información se hubiere publicado por negligencia o imprudencia del emisor. Igualmente, la Corte ha establecido que es inexacta, y en consecuencia en contra del principio de veracidad, la información que en realidad corresponde a un juicio de valor u opinión y se presenta como un hecho cierto y definitivo, por eso, los medios de comunicación, acatando su responsabilidad social, deben distinguir entre una opinión y un hecho o dato fáctico objetivo. L</w:t>
      </w:r>
      <w:r>
        <w:rPr>
          <w:rFonts w:ascii="Cambria" w:eastAsia="Cambria" w:hAnsi="Cambria" w:cs="Cambria"/>
          <w:b/>
          <w:bCs/>
          <w:i/>
          <w:iCs/>
          <w:sz w:val="23"/>
          <w:szCs w:val="23"/>
          <w:u w:val="single"/>
        </w:rPr>
        <w:t xml:space="preserve">a veracidad de la </w:t>
      </w:r>
      <w:proofErr w:type="gramStart"/>
      <w:r>
        <w:rPr>
          <w:rFonts w:ascii="Cambria" w:eastAsia="Cambria" w:hAnsi="Cambria" w:cs="Cambria"/>
          <w:b/>
          <w:bCs/>
          <w:i/>
          <w:iCs/>
          <w:sz w:val="23"/>
          <w:szCs w:val="23"/>
          <w:u w:val="single"/>
        </w:rPr>
        <w:t>información,</w:t>
      </w:r>
      <w:proofErr w:type="gramEnd"/>
      <w:r>
        <w:rPr>
          <w:rFonts w:ascii="Cambria" w:eastAsia="Cambria" w:hAnsi="Cambria" w:cs="Cambria"/>
          <w:b/>
          <w:bCs/>
          <w:i/>
          <w:iCs/>
          <w:sz w:val="23"/>
          <w:szCs w:val="23"/>
          <w:u w:val="single"/>
        </w:rPr>
        <w:t xml:space="preserve"> ha afirmado la Corte, no sólo tiene que ver </w:t>
      </w:r>
      <w:r>
        <w:rPr>
          <w:rFonts w:ascii="Cambria" w:eastAsia="Cambria" w:hAnsi="Cambria" w:cs="Cambria"/>
          <w:b/>
          <w:bCs/>
          <w:i/>
          <w:iCs/>
          <w:sz w:val="23"/>
          <w:szCs w:val="23"/>
          <w:u w:val="single"/>
        </w:rPr>
        <w:lastRenderedPageBreak/>
        <w:t xml:space="preserve">con el hecho de que sea falsa o errónea, sino también con el hecho de que no sea equívoca, es decir, que no se sustente en rumores, invenciones o malas intenciones o que induzca a error o confusión al receptor. Finalmente, resulta vulnerado también el principio de veracidad, cuando la noticia o titular, pese a ser literalmente cierto, es presentado de manera tal que induce al lector a conclusiones falsas o erróneas. </w:t>
      </w:r>
      <w:r>
        <w:rPr>
          <w:rFonts w:ascii="Cambria" w:eastAsia="Cambria" w:hAnsi="Cambria" w:cs="Cambria"/>
          <w:sz w:val="23"/>
          <w:szCs w:val="23"/>
        </w:rPr>
        <w:t>En cuanto al principio de imparcialidad de la información hace referencia, y exige al emisor de la información, a establecer cierta distancia entre la crítica personal de los hechos relatados y las fuentes y lo que se quiere emitir como noticia objetiva. En esa medida, cuando un periodista desea emitir una información debe contrarrestarla con diferentes fuentes y confirmarla, si es el caso, con expertos en la materia, y evitar que lo recolectado y confirmado se “contamine” con sus prejuicios y valoraciones personales o del medio donde trabaja”</w:t>
      </w:r>
    </w:p>
    <w:p w14:paraId="09C87D2A" w14:textId="77777777" w:rsidR="0081075F" w:rsidRDefault="00000000">
      <w:pPr>
        <w:spacing w:before="240" w:after="240" w:line="278" w:lineRule="auto"/>
        <w:ind w:left="425"/>
        <w:jc w:val="both"/>
        <w:rPr>
          <w:rFonts w:ascii="Cambria" w:eastAsia="Cambria" w:hAnsi="Cambria" w:cs="Cambria"/>
          <w:sz w:val="23"/>
          <w:szCs w:val="23"/>
        </w:rPr>
      </w:pPr>
      <w:r>
        <w:rPr>
          <w:rFonts w:ascii="Cambria" w:eastAsia="Cambria" w:hAnsi="Cambria" w:cs="Cambria"/>
          <w:sz w:val="23"/>
          <w:szCs w:val="23"/>
        </w:rPr>
        <w:t xml:space="preserve">De igual forma, en la sentencia anteriormente citada se establece la naturaleza de la libertad de expresión, en este sentido se establece que:  </w:t>
      </w:r>
    </w:p>
    <w:p w14:paraId="6B767C09" w14:textId="77777777" w:rsidR="0081075F" w:rsidRDefault="00000000">
      <w:pPr>
        <w:spacing w:before="240" w:after="240" w:line="278" w:lineRule="auto"/>
        <w:ind w:left="425"/>
        <w:jc w:val="both"/>
        <w:rPr>
          <w:rFonts w:ascii="Cambria" w:eastAsia="Cambria" w:hAnsi="Cambria" w:cs="Cambria"/>
          <w:b/>
          <w:bCs/>
          <w:i/>
          <w:iCs/>
          <w:sz w:val="23"/>
          <w:szCs w:val="23"/>
          <w:u w:val="single"/>
        </w:rPr>
      </w:pPr>
      <w:r>
        <w:rPr>
          <w:rFonts w:ascii="Cambria" w:eastAsia="Cambria" w:hAnsi="Cambria" w:cs="Cambria"/>
          <w:sz w:val="23"/>
          <w:szCs w:val="23"/>
        </w:rPr>
        <w:t>“</w:t>
      </w:r>
      <w:r>
        <w:rPr>
          <w:rFonts w:ascii="Cambria" w:eastAsia="Cambria" w:hAnsi="Cambria" w:cs="Cambria"/>
          <w:b/>
          <w:bCs/>
          <w:i/>
          <w:iCs/>
          <w:sz w:val="23"/>
          <w:szCs w:val="23"/>
          <w:u w:val="single"/>
        </w:rPr>
        <w:t xml:space="preserve">El derecho a la libertad de expresión no sólo es un derecho fundamental sino un principio fundante de la sociedad democrática. Por su parte, la libertad de información, como especie concebida dentro de la libertad de expresión, se constituye, pues, en un derecho fundamental cuyo ejercicio goza de protección jurídica y a la vez implica obligaciones y responsabilidades, que se sustentan en los principios de veracidad e imparcialidad, y en el derecho de rectificación”. </w:t>
      </w:r>
    </w:p>
    <w:p w14:paraId="3B8165EC" w14:textId="77777777" w:rsidR="0081075F" w:rsidRDefault="00000000">
      <w:pPr>
        <w:spacing w:before="240" w:after="240" w:line="278" w:lineRule="auto"/>
        <w:jc w:val="both"/>
        <w:rPr>
          <w:rFonts w:ascii="Cambria" w:eastAsia="Cambria" w:hAnsi="Cambria" w:cs="Cambria"/>
          <w:sz w:val="23"/>
          <w:szCs w:val="23"/>
        </w:rPr>
      </w:pPr>
      <w:r>
        <w:rPr>
          <w:rFonts w:ascii="Cambria" w:eastAsia="Cambria" w:hAnsi="Cambria" w:cs="Cambria"/>
          <w:sz w:val="23"/>
          <w:szCs w:val="23"/>
        </w:rPr>
        <w:t>Así, ante la colisión de derechos fundamentales como la libertad de expresión e información y los derechos a la intimidad, al buen nombre o a la honra, respecto de los cuales la Constitución no establece ningún orden jerárquico que sirva de directriz para resolver tales conflictos, al juez le corresponde hacer una cuidadosa ponderación de los intereses en juego teniendo en cuenta las circunstancias concretas.</w:t>
      </w:r>
    </w:p>
    <w:p w14:paraId="6E2FE3ED" w14:textId="77777777" w:rsidR="0081075F" w:rsidRDefault="00000000">
      <w:pPr>
        <w:spacing w:before="240" w:after="240" w:line="278" w:lineRule="auto"/>
        <w:jc w:val="both"/>
        <w:rPr>
          <w:rFonts w:ascii="Cambria" w:eastAsia="Cambria" w:hAnsi="Cambria" w:cs="Cambria"/>
          <w:sz w:val="23"/>
          <w:szCs w:val="23"/>
        </w:rPr>
      </w:pPr>
      <w:r>
        <w:rPr>
          <w:rFonts w:ascii="Cambria" w:eastAsia="Cambria" w:hAnsi="Cambria" w:cs="Cambria"/>
          <w:sz w:val="23"/>
          <w:szCs w:val="23"/>
        </w:rPr>
        <w:t xml:space="preserve">Así, la amenaza de sanciones penales más gravosas, sumada a la obligatoriedad de la persecución penal en todos los casos, podría disuadir a periodistas, ciudadanos y actores sociales de ejercer su derecho a informar, opinar o denunciar, por temor a eventuales procesos penales. Este fenómeno, conocido como “efecto inhibidor” o </w:t>
      </w:r>
      <w:proofErr w:type="spellStart"/>
      <w:r>
        <w:rPr>
          <w:rFonts w:ascii="Cambria" w:eastAsia="Cambria" w:hAnsi="Cambria" w:cs="Cambria"/>
          <w:sz w:val="23"/>
          <w:szCs w:val="23"/>
        </w:rPr>
        <w:t>chilling</w:t>
      </w:r>
      <w:proofErr w:type="spellEnd"/>
      <w:r>
        <w:rPr>
          <w:rFonts w:ascii="Cambria" w:eastAsia="Cambria" w:hAnsi="Cambria" w:cs="Cambria"/>
          <w:sz w:val="23"/>
          <w:szCs w:val="23"/>
        </w:rPr>
        <w:t xml:space="preserve"> </w:t>
      </w:r>
      <w:proofErr w:type="spellStart"/>
      <w:r>
        <w:rPr>
          <w:rFonts w:ascii="Cambria" w:eastAsia="Cambria" w:hAnsi="Cambria" w:cs="Cambria"/>
          <w:sz w:val="23"/>
          <w:szCs w:val="23"/>
        </w:rPr>
        <w:t>effect</w:t>
      </w:r>
      <w:proofErr w:type="spellEnd"/>
      <w:r>
        <w:rPr>
          <w:rFonts w:ascii="Cambria" w:eastAsia="Cambria" w:hAnsi="Cambria" w:cs="Cambria"/>
          <w:sz w:val="23"/>
          <w:szCs w:val="23"/>
        </w:rPr>
        <w:t>, ha sido reconocido tanto por la Corte Constitucional como por el Sistema Interamericano de Derechos Humanos como una consecuencia indeseable de la expansión del derecho penal en materia de libertad de expresión.</w:t>
      </w:r>
    </w:p>
    <w:p w14:paraId="7F6537F0" w14:textId="77777777" w:rsidR="00B624FD" w:rsidRDefault="00000000">
      <w:pPr>
        <w:spacing w:before="240" w:after="240" w:line="278" w:lineRule="auto"/>
        <w:jc w:val="both"/>
        <w:rPr>
          <w:rFonts w:ascii="Cambria" w:eastAsia="Cambria" w:hAnsi="Cambria" w:cs="Cambria"/>
          <w:sz w:val="23"/>
          <w:szCs w:val="23"/>
        </w:rPr>
      </w:pPr>
      <w:r>
        <w:rPr>
          <w:rFonts w:ascii="Cambria" w:eastAsia="Cambria" w:hAnsi="Cambria" w:cs="Cambria"/>
          <w:sz w:val="23"/>
          <w:szCs w:val="23"/>
        </w:rPr>
        <w:t xml:space="preserve">En consecuencia, la protección de los derechos al buen nombre y a la honra no puede implicar la restricción desproporcionada de la libertad de expresión ni el uso excesivo del ius puniendi del Estado. </w:t>
      </w:r>
    </w:p>
    <w:p w14:paraId="0BBC3FF8" w14:textId="77777777" w:rsidR="00B624FD" w:rsidRDefault="00B624FD">
      <w:pPr>
        <w:spacing w:before="240" w:after="240" w:line="278" w:lineRule="auto"/>
        <w:jc w:val="both"/>
        <w:rPr>
          <w:rFonts w:ascii="Cambria" w:eastAsia="Cambria" w:hAnsi="Cambria" w:cs="Cambria"/>
          <w:sz w:val="23"/>
          <w:szCs w:val="23"/>
        </w:rPr>
      </w:pPr>
    </w:p>
    <w:p w14:paraId="16E28141" w14:textId="77777777" w:rsidR="00B624FD" w:rsidRDefault="00B624FD">
      <w:pPr>
        <w:spacing w:before="240" w:after="240" w:line="278" w:lineRule="auto"/>
        <w:jc w:val="both"/>
        <w:rPr>
          <w:rFonts w:ascii="Cambria" w:eastAsia="Cambria" w:hAnsi="Cambria" w:cs="Cambria"/>
          <w:sz w:val="23"/>
          <w:szCs w:val="23"/>
        </w:rPr>
      </w:pPr>
    </w:p>
    <w:p w14:paraId="3E47E918" w14:textId="4FEECAAF" w:rsidR="0081075F" w:rsidRDefault="00000000">
      <w:pPr>
        <w:spacing w:before="240" w:after="240" w:line="278" w:lineRule="auto"/>
        <w:jc w:val="both"/>
        <w:rPr>
          <w:rFonts w:ascii="Cambria" w:eastAsia="Cambria" w:hAnsi="Cambria" w:cs="Cambria"/>
          <w:sz w:val="23"/>
          <w:szCs w:val="23"/>
        </w:rPr>
      </w:pPr>
      <w:r>
        <w:rPr>
          <w:rFonts w:ascii="Cambria" w:eastAsia="Cambria" w:hAnsi="Cambria" w:cs="Cambria"/>
          <w:sz w:val="23"/>
          <w:szCs w:val="23"/>
        </w:rPr>
        <w:t>Por el contrario, el ordenamiento jurídico ya prevé mecanismos menos lesivos, como la rectificación, la responsabilidad civil y la acción de tutela, que permiten restablecer los derechos afectados sin comprometer el núcleo esencial del debate democrático. Por ello, medidas como las propuestas en el proyecto de ley resultan desproporcionadas e incompatibles con los estándares constitucionales e internacionales en la materia.</w:t>
      </w:r>
    </w:p>
    <w:p w14:paraId="67C60A12" w14:textId="77777777" w:rsidR="0081075F" w:rsidRDefault="00000000">
      <w:pPr>
        <w:pStyle w:val="Ttulo3"/>
        <w:numPr>
          <w:ilvl w:val="1"/>
          <w:numId w:val="1"/>
        </w:numPr>
        <w:rPr>
          <w:rFonts w:ascii="Cambria" w:eastAsia="Cambria" w:hAnsi="Cambria" w:cs="Cambria"/>
          <w:b/>
          <w:bCs/>
          <w:color w:val="000000"/>
          <w:sz w:val="23"/>
          <w:szCs w:val="23"/>
        </w:rPr>
      </w:pPr>
      <w:bookmarkStart w:id="16" w:name="_heading=h.ev6zexhw24e5" w:colFirst="0" w:colLast="0"/>
      <w:bookmarkEnd w:id="16"/>
      <w:r>
        <w:rPr>
          <w:rFonts w:ascii="Cambria" w:eastAsia="Cambria" w:hAnsi="Cambria" w:cs="Cambria"/>
          <w:b/>
          <w:bCs/>
          <w:color w:val="000000"/>
          <w:sz w:val="23"/>
          <w:szCs w:val="23"/>
        </w:rPr>
        <w:t>Falta de análisis sobre el impacto institucional de la reforma</w:t>
      </w:r>
    </w:p>
    <w:p w14:paraId="337D31E7" w14:textId="77777777" w:rsidR="0081075F" w:rsidRDefault="00000000">
      <w:pPr>
        <w:spacing w:before="240" w:after="240" w:line="278" w:lineRule="auto"/>
        <w:jc w:val="both"/>
        <w:rPr>
          <w:rFonts w:ascii="Cambria" w:eastAsia="Cambria" w:hAnsi="Cambria" w:cs="Cambria"/>
          <w:sz w:val="23"/>
          <w:szCs w:val="23"/>
        </w:rPr>
      </w:pPr>
      <w:r>
        <w:rPr>
          <w:rFonts w:ascii="Cambria" w:eastAsia="Cambria" w:hAnsi="Cambria" w:cs="Cambria"/>
          <w:sz w:val="23"/>
          <w:szCs w:val="23"/>
        </w:rPr>
        <w:t xml:space="preserve">Finalmente, el proyecto no evalúa el impacto que tendría esta reforma sobre el sistema judicial y la </w:t>
      </w:r>
      <w:proofErr w:type="gramStart"/>
      <w:r>
        <w:rPr>
          <w:rFonts w:ascii="Cambria" w:eastAsia="Cambria" w:hAnsi="Cambria" w:cs="Cambria"/>
          <w:sz w:val="23"/>
          <w:szCs w:val="23"/>
        </w:rPr>
        <w:t>Fiscalía General</w:t>
      </w:r>
      <w:proofErr w:type="gramEnd"/>
      <w:r>
        <w:rPr>
          <w:rFonts w:ascii="Cambria" w:eastAsia="Cambria" w:hAnsi="Cambria" w:cs="Cambria"/>
          <w:sz w:val="23"/>
          <w:szCs w:val="23"/>
        </w:rPr>
        <w:t xml:space="preserve"> de la Nación. Convertir los delitos de injuria y calumnia en conductas perseguibles de oficio implicaría un aumento considerable en el número de investigaciones penales que deberían ser adelantadas por la Fiscalía, lo cual podría agravar los problemas de congestión existentes en el sistema de justicia. Sin un análisis serio sobre la capacidad institucional para asumir estas nuevas cargas, la iniciativa corre el riesgo de generar efectos contrarios a los que pretende, debilitando la eficiencia del sistema penal.</w:t>
      </w:r>
    </w:p>
    <w:p w14:paraId="64F02AD4" w14:textId="77777777" w:rsidR="0081075F" w:rsidRDefault="00000000">
      <w:pPr>
        <w:spacing w:before="240" w:after="240" w:line="278" w:lineRule="auto"/>
        <w:jc w:val="both"/>
        <w:rPr>
          <w:rFonts w:ascii="Cambria" w:eastAsia="Cambria" w:hAnsi="Cambria" w:cs="Cambria"/>
          <w:b/>
          <w:bCs/>
          <w:i/>
          <w:iCs/>
          <w:sz w:val="23"/>
          <w:szCs w:val="23"/>
          <w:u w:val="single"/>
        </w:rPr>
      </w:pPr>
      <w:r>
        <w:rPr>
          <w:rFonts w:ascii="Cambria" w:eastAsia="Cambria" w:hAnsi="Cambria" w:cs="Cambria"/>
          <w:sz w:val="23"/>
          <w:szCs w:val="23"/>
        </w:rPr>
        <w:t xml:space="preserve">Este proyecto de ley presenta serias debilidades desde la perspectiva de la política criminal, la proporcionalidad de las sanciones, la racionalidad del sistema penal y la protección de derechos fundamentales como la libertad de expresión. En particular, la eliminación del principio de oportunidad y de los mecanismos de conciliación y retractación resulta incompatible con la naturaleza de los delitos contra el honor y con los principios que orientan el funcionamiento del sistema penal colombiano. Por estas razones, se considera que la iniciativa no cuenta con la justificación técnica suficiente para avanzar en el trámite legislativo, motivo por el cual se recomienda su </w:t>
      </w:r>
      <w:r>
        <w:rPr>
          <w:rFonts w:ascii="Cambria" w:eastAsia="Cambria" w:hAnsi="Cambria" w:cs="Cambria"/>
          <w:b/>
          <w:bCs/>
          <w:i/>
          <w:iCs/>
          <w:sz w:val="23"/>
          <w:szCs w:val="23"/>
          <w:u w:val="single"/>
        </w:rPr>
        <w:t>archivo.</w:t>
      </w:r>
    </w:p>
    <w:p w14:paraId="6CA804E5" w14:textId="77777777" w:rsidR="0081075F" w:rsidRDefault="00000000">
      <w:pPr>
        <w:pStyle w:val="Ttulo2"/>
        <w:numPr>
          <w:ilvl w:val="0"/>
          <w:numId w:val="1"/>
        </w:numPr>
        <w:rPr>
          <w:rFonts w:ascii="Cambria" w:eastAsia="Cambria" w:hAnsi="Cambria" w:cs="Cambria"/>
          <w:b/>
          <w:bCs/>
          <w:color w:val="000000"/>
          <w:sz w:val="23"/>
          <w:szCs w:val="23"/>
        </w:rPr>
      </w:pPr>
      <w:bookmarkStart w:id="17" w:name="_heading=h.1dps5buzpenc" w:colFirst="0" w:colLast="0"/>
      <w:bookmarkEnd w:id="17"/>
      <w:r>
        <w:rPr>
          <w:rFonts w:ascii="Cambria" w:eastAsia="Cambria" w:hAnsi="Cambria" w:cs="Cambria"/>
          <w:b/>
          <w:bCs/>
          <w:color w:val="000000"/>
          <w:sz w:val="23"/>
          <w:szCs w:val="23"/>
        </w:rPr>
        <w:t>IMPACTO FISCAL</w:t>
      </w:r>
    </w:p>
    <w:p w14:paraId="04D0A507" w14:textId="77777777" w:rsidR="0081075F" w:rsidRDefault="00000000">
      <w:pPr>
        <w:spacing w:after="160" w:line="278" w:lineRule="auto"/>
        <w:jc w:val="both"/>
        <w:rPr>
          <w:rFonts w:ascii="Cambria" w:eastAsia="Cambria" w:hAnsi="Cambria" w:cs="Cambria"/>
          <w:sz w:val="23"/>
          <w:szCs w:val="23"/>
        </w:rPr>
      </w:pPr>
      <w:r>
        <w:rPr>
          <w:rFonts w:ascii="Cambria" w:eastAsia="Cambria" w:hAnsi="Cambria" w:cs="Cambria"/>
          <w:sz w:val="23"/>
          <w:szCs w:val="23"/>
        </w:rPr>
        <w:t xml:space="preserve">El presente Proyecto no tiene impacto fiscal identificado en el estudio de esta ponencia. </w:t>
      </w:r>
    </w:p>
    <w:p w14:paraId="5357BD4E" w14:textId="77777777" w:rsidR="0081075F" w:rsidRDefault="00000000">
      <w:pPr>
        <w:pStyle w:val="Ttulo2"/>
        <w:numPr>
          <w:ilvl w:val="0"/>
          <w:numId w:val="1"/>
        </w:numPr>
        <w:rPr>
          <w:rFonts w:ascii="Cambria" w:eastAsia="Cambria" w:hAnsi="Cambria" w:cs="Cambria"/>
          <w:b/>
          <w:bCs/>
          <w:color w:val="000000"/>
          <w:sz w:val="23"/>
          <w:szCs w:val="23"/>
        </w:rPr>
      </w:pPr>
      <w:bookmarkStart w:id="18" w:name="_heading=h.jy9e855kp5lr" w:colFirst="0" w:colLast="0"/>
      <w:bookmarkEnd w:id="18"/>
      <w:r>
        <w:rPr>
          <w:rFonts w:ascii="Cambria" w:eastAsia="Cambria" w:hAnsi="Cambria" w:cs="Cambria"/>
          <w:b/>
          <w:bCs/>
          <w:color w:val="000000"/>
          <w:sz w:val="23"/>
          <w:szCs w:val="23"/>
        </w:rPr>
        <w:t>CONFLICTO DE INTERESES</w:t>
      </w:r>
    </w:p>
    <w:p w14:paraId="68064947" w14:textId="77777777" w:rsidR="0081075F" w:rsidRDefault="00000000">
      <w:pPr>
        <w:shd w:val="clear" w:color="auto" w:fill="FFFFFF"/>
        <w:spacing w:after="150" w:line="240" w:lineRule="auto"/>
        <w:jc w:val="both"/>
        <w:rPr>
          <w:rFonts w:ascii="Cambria" w:eastAsia="Cambria" w:hAnsi="Cambria" w:cs="Cambria"/>
          <w:sz w:val="23"/>
          <w:szCs w:val="23"/>
        </w:rPr>
      </w:pPr>
      <w:r>
        <w:rPr>
          <w:rFonts w:ascii="Cambria" w:eastAsia="Cambria" w:hAnsi="Cambria" w:cs="Cambria"/>
          <w:sz w:val="23"/>
          <w:szCs w:val="23"/>
        </w:rPr>
        <w:t>Según lo establecido en el artículo 3 de la Ley 2003 de 2019, corresponde al ponente de un Proyecto de Ley enunciar las posibles circunstancias en las que se podría incurrir en conflicto de interés por parte de los congresistas que participen de la discusión y votación del Proyecto de Ley. En ese sentido, señala el artículo 1º de la Ley 2003 de 2019 lo siguiente:</w:t>
      </w:r>
    </w:p>
    <w:p w14:paraId="543610DE" w14:textId="77777777" w:rsidR="0081075F" w:rsidRDefault="00000000">
      <w:pPr>
        <w:spacing w:after="280" w:line="240" w:lineRule="auto"/>
        <w:ind w:left="709" w:right="426"/>
        <w:jc w:val="both"/>
        <w:rPr>
          <w:rFonts w:ascii="Cambria" w:eastAsia="Cambria" w:hAnsi="Cambria" w:cs="Cambria"/>
          <w:i/>
          <w:iCs/>
          <w:sz w:val="23"/>
          <w:szCs w:val="23"/>
        </w:rPr>
      </w:pPr>
      <w:r>
        <w:rPr>
          <w:rFonts w:ascii="Cambria" w:eastAsia="Cambria" w:hAnsi="Cambria" w:cs="Cambria"/>
          <w:i/>
          <w:iCs/>
          <w:sz w:val="23"/>
          <w:szCs w:val="23"/>
        </w:rPr>
        <w:t>“ARTÍCULO </w:t>
      </w:r>
      <w:bookmarkStart w:id="19" w:name="bookmark=kix.x5xopeiluwt0" w:colFirst="0" w:colLast="0"/>
      <w:bookmarkEnd w:id="19"/>
      <w:r>
        <w:rPr>
          <w:rFonts w:ascii="Cambria" w:eastAsia="Cambria" w:hAnsi="Cambria" w:cs="Cambria"/>
          <w:i/>
          <w:iCs/>
          <w:sz w:val="23"/>
          <w:szCs w:val="23"/>
        </w:rPr>
        <w:t> 1° El artículo </w:t>
      </w:r>
      <w:hyperlink r:id="rId15" w:anchor="286">
        <w:r w:rsidR="0081075F">
          <w:rPr>
            <w:rFonts w:ascii="Cambria" w:eastAsia="Cambria" w:hAnsi="Cambria" w:cs="Cambria"/>
            <w:i/>
            <w:iCs/>
            <w:sz w:val="23"/>
            <w:szCs w:val="23"/>
            <w:u w:val="single"/>
          </w:rPr>
          <w:t>286</w:t>
        </w:r>
      </w:hyperlink>
      <w:hyperlink r:id="rId16" w:anchor="286">
        <w:r w:rsidR="0081075F">
          <w:rPr>
            <w:rFonts w:ascii="Cambria" w:eastAsia="Cambria" w:hAnsi="Cambria" w:cs="Cambria"/>
            <w:i/>
            <w:iCs/>
            <w:sz w:val="23"/>
            <w:szCs w:val="23"/>
          </w:rPr>
          <w:t> </w:t>
        </w:r>
      </w:hyperlink>
      <w:r>
        <w:rPr>
          <w:rFonts w:ascii="Cambria" w:eastAsia="Cambria" w:hAnsi="Cambria" w:cs="Cambria"/>
          <w:i/>
          <w:iCs/>
          <w:sz w:val="23"/>
          <w:szCs w:val="23"/>
        </w:rPr>
        <w:t>de la Ley 5 de 1992 quedará así:</w:t>
      </w:r>
    </w:p>
    <w:p w14:paraId="3931F9F4" w14:textId="77777777" w:rsidR="0081075F" w:rsidRDefault="00000000">
      <w:pPr>
        <w:spacing w:after="280" w:line="240" w:lineRule="auto"/>
        <w:ind w:left="709" w:right="426"/>
        <w:jc w:val="both"/>
        <w:rPr>
          <w:rFonts w:ascii="Cambria" w:eastAsia="Cambria" w:hAnsi="Cambria" w:cs="Cambria"/>
          <w:i/>
          <w:iCs/>
          <w:sz w:val="23"/>
          <w:szCs w:val="23"/>
        </w:rPr>
      </w:pPr>
      <w:r>
        <w:rPr>
          <w:rFonts w:ascii="Cambria" w:eastAsia="Cambria" w:hAnsi="Cambria" w:cs="Cambria"/>
          <w:i/>
          <w:iCs/>
          <w:sz w:val="23"/>
          <w:szCs w:val="23"/>
        </w:rPr>
        <w:t>ARTÍCULO 286. Régimen de conflicto de interés de los congresistas. Todos los congresistas deberán declarar los conflictos De intereses que pudieran surgir en ejercicio de sus funciones.</w:t>
      </w:r>
    </w:p>
    <w:p w14:paraId="4D4ECF4B" w14:textId="77777777" w:rsidR="0081075F" w:rsidRDefault="00000000">
      <w:pPr>
        <w:spacing w:after="280" w:line="240" w:lineRule="auto"/>
        <w:ind w:left="709" w:right="426"/>
        <w:jc w:val="both"/>
        <w:rPr>
          <w:rFonts w:ascii="Cambria" w:eastAsia="Cambria" w:hAnsi="Cambria" w:cs="Cambria"/>
          <w:i/>
          <w:iCs/>
          <w:sz w:val="23"/>
          <w:szCs w:val="23"/>
        </w:rPr>
      </w:pPr>
      <w:r>
        <w:rPr>
          <w:rFonts w:ascii="Cambria" w:eastAsia="Cambria" w:hAnsi="Cambria" w:cs="Cambria"/>
          <w:i/>
          <w:iCs/>
          <w:sz w:val="23"/>
          <w:szCs w:val="23"/>
        </w:rPr>
        <w:t>Se entiende como conflicto de interés una situación donde la discusión o votación de un proyecto de ley o acto legislativo o artículo, pueda resultar en un beneficio particular, actual y directo a favor del congresista.</w:t>
      </w:r>
    </w:p>
    <w:p w14:paraId="63735F4A" w14:textId="77777777" w:rsidR="0081075F" w:rsidRDefault="00000000">
      <w:pPr>
        <w:spacing w:after="280" w:line="240" w:lineRule="auto"/>
        <w:ind w:left="709" w:right="426"/>
        <w:jc w:val="both"/>
        <w:rPr>
          <w:rFonts w:ascii="Cambria" w:eastAsia="Cambria" w:hAnsi="Cambria" w:cs="Cambria"/>
          <w:i/>
          <w:iCs/>
          <w:sz w:val="23"/>
          <w:szCs w:val="23"/>
        </w:rPr>
      </w:pPr>
      <w:r>
        <w:rPr>
          <w:rFonts w:ascii="Cambria" w:eastAsia="Cambria" w:hAnsi="Cambria" w:cs="Cambria"/>
          <w:i/>
          <w:iCs/>
          <w:sz w:val="23"/>
          <w:szCs w:val="23"/>
        </w:rPr>
        <w:lastRenderedPageBreak/>
        <w:t>a) Beneficio particular: aquel que otorga un privilegio o genera ganancias o crea indemnizaciones económicas o elimina obligaciones a favor del congresista de las que no gozan el resto de los ciudadanos. Modifique normas que afecten investigaciones penales, disciplinarias, fiscales o administrativas a las que se encuentre formalmente vinculado.</w:t>
      </w:r>
    </w:p>
    <w:p w14:paraId="5C1B7B10" w14:textId="77777777" w:rsidR="0081075F" w:rsidRDefault="00000000">
      <w:pPr>
        <w:spacing w:after="280" w:line="240" w:lineRule="auto"/>
        <w:ind w:left="709" w:right="426"/>
        <w:jc w:val="both"/>
        <w:rPr>
          <w:rFonts w:ascii="Cambria" w:eastAsia="Cambria" w:hAnsi="Cambria" w:cs="Cambria"/>
          <w:i/>
          <w:iCs/>
          <w:sz w:val="23"/>
          <w:szCs w:val="23"/>
        </w:rPr>
      </w:pPr>
      <w:r>
        <w:rPr>
          <w:rFonts w:ascii="Cambria" w:eastAsia="Cambria" w:hAnsi="Cambria" w:cs="Cambria"/>
          <w:i/>
          <w:iCs/>
          <w:sz w:val="23"/>
          <w:szCs w:val="23"/>
        </w:rPr>
        <w:t>b) Beneficio actual: aquel que efectivamente se configura en las circunstancias presentes y existentes al momento en el que el congresista participa de la decisión </w:t>
      </w:r>
    </w:p>
    <w:p w14:paraId="254D0535" w14:textId="77777777" w:rsidR="0081075F" w:rsidRDefault="00000000">
      <w:pPr>
        <w:spacing w:after="280" w:line="240" w:lineRule="auto"/>
        <w:ind w:left="709" w:right="426"/>
        <w:jc w:val="both"/>
        <w:rPr>
          <w:rFonts w:ascii="Cambria" w:eastAsia="Cambria" w:hAnsi="Cambria" w:cs="Cambria"/>
          <w:i/>
          <w:iCs/>
          <w:sz w:val="23"/>
          <w:szCs w:val="23"/>
        </w:rPr>
      </w:pPr>
      <w:r>
        <w:rPr>
          <w:rFonts w:ascii="Cambria" w:eastAsia="Cambria" w:hAnsi="Cambria" w:cs="Cambria"/>
          <w:i/>
          <w:iCs/>
          <w:sz w:val="23"/>
          <w:szCs w:val="23"/>
        </w:rPr>
        <w:t>c) Beneficio directo: aquel que se produzca de forma específica respecto del congresista, de su cónyuge, compañero o compañera permanente, o parientes dentro del segundo grado de consanguinidad, segundo de afinidad o primero civil.”</w:t>
      </w:r>
    </w:p>
    <w:p w14:paraId="65D0BA15" w14:textId="0A8560C0" w:rsidR="0081075F" w:rsidRDefault="00000000">
      <w:pPr>
        <w:spacing w:after="280" w:line="240" w:lineRule="auto"/>
        <w:ind w:right="426"/>
        <w:jc w:val="both"/>
        <w:rPr>
          <w:rFonts w:ascii="Cambria" w:eastAsia="Cambria" w:hAnsi="Cambria" w:cs="Cambria"/>
          <w:sz w:val="23"/>
          <w:szCs w:val="23"/>
        </w:rPr>
      </w:pPr>
      <w:r>
        <w:rPr>
          <w:rFonts w:ascii="Cambria" w:eastAsia="Cambria" w:hAnsi="Cambria" w:cs="Cambria"/>
          <w:sz w:val="23"/>
          <w:szCs w:val="23"/>
        </w:rPr>
        <w:t>Atendiendo el anterior apartado legal, se considera que en el caso de este Proyecto de Ley no existen circunstancias que eventualmente puedan generar un conflicto de interés por parte de los congresistas que participen de la discusión y votación. Lo anterior, entendiendo que el carácter de lo propuesto por la iniciativa legislativa resulta en un efecto general.</w:t>
      </w:r>
    </w:p>
    <w:p w14:paraId="137FA9E6" w14:textId="77777777" w:rsidR="0081075F" w:rsidRDefault="00000000">
      <w:pPr>
        <w:pStyle w:val="Ttulo2"/>
        <w:numPr>
          <w:ilvl w:val="0"/>
          <w:numId w:val="1"/>
        </w:numPr>
        <w:rPr>
          <w:rFonts w:ascii="Cambria" w:eastAsia="Cambria" w:hAnsi="Cambria" w:cs="Cambria"/>
          <w:b/>
          <w:bCs/>
          <w:color w:val="000000"/>
          <w:sz w:val="23"/>
          <w:szCs w:val="23"/>
        </w:rPr>
      </w:pPr>
      <w:bookmarkStart w:id="20" w:name="_heading=h.ai1nlm9ouz6u" w:colFirst="0" w:colLast="0"/>
      <w:bookmarkEnd w:id="20"/>
      <w:r>
        <w:rPr>
          <w:rFonts w:ascii="Cambria" w:eastAsia="Cambria" w:hAnsi="Cambria" w:cs="Cambria"/>
          <w:b/>
          <w:bCs/>
          <w:color w:val="000000"/>
          <w:sz w:val="23"/>
          <w:szCs w:val="23"/>
        </w:rPr>
        <w:t>PROPOSICIÓN</w:t>
      </w:r>
    </w:p>
    <w:p w14:paraId="23A5901B" w14:textId="62CC2507" w:rsidR="0081075F" w:rsidRDefault="00000000">
      <w:pPr>
        <w:jc w:val="both"/>
        <w:rPr>
          <w:rFonts w:ascii="Cambria" w:eastAsia="Cambria" w:hAnsi="Cambria" w:cs="Cambria"/>
          <w:sz w:val="23"/>
          <w:szCs w:val="23"/>
        </w:rPr>
      </w:pPr>
      <w:r>
        <w:rPr>
          <w:rFonts w:ascii="Cambria" w:eastAsia="Cambria" w:hAnsi="Cambria" w:cs="Cambria"/>
          <w:sz w:val="23"/>
          <w:szCs w:val="23"/>
        </w:rPr>
        <w:t xml:space="preserve">Por las razones constitucionales, dogmáticas y de política criminal expuestas, me permito rendir </w:t>
      </w:r>
      <w:r w:rsidR="00186B24">
        <w:rPr>
          <w:rFonts w:ascii="Cambria" w:eastAsia="Cambria" w:hAnsi="Cambria" w:cs="Cambria"/>
          <w:sz w:val="23"/>
          <w:szCs w:val="23"/>
        </w:rPr>
        <w:t xml:space="preserve">informe de </w:t>
      </w:r>
      <w:r>
        <w:rPr>
          <w:rFonts w:ascii="Cambria" w:eastAsia="Cambria" w:hAnsi="Cambria" w:cs="Cambria"/>
          <w:b/>
          <w:bCs/>
          <w:sz w:val="23"/>
          <w:szCs w:val="23"/>
        </w:rPr>
        <w:t xml:space="preserve">PONENCIA </w:t>
      </w:r>
      <w:r w:rsidR="00186B24">
        <w:rPr>
          <w:rFonts w:ascii="Cambria" w:eastAsia="Cambria" w:hAnsi="Cambria" w:cs="Cambria"/>
          <w:b/>
          <w:bCs/>
          <w:sz w:val="23"/>
          <w:szCs w:val="23"/>
        </w:rPr>
        <w:t xml:space="preserve">NEGATIVA </w:t>
      </w:r>
      <w:r w:rsidR="00186B24">
        <w:rPr>
          <w:rFonts w:ascii="Cambria" w:eastAsia="Cambria" w:hAnsi="Cambria" w:cs="Cambria"/>
          <w:sz w:val="23"/>
          <w:szCs w:val="23"/>
        </w:rPr>
        <w:t>y</w:t>
      </w:r>
      <w:r>
        <w:rPr>
          <w:rFonts w:ascii="Cambria" w:eastAsia="Cambria" w:hAnsi="Cambria" w:cs="Cambria"/>
          <w:sz w:val="23"/>
          <w:szCs w:val="23"/>
        </w:rPr>
        <w:t xml:space="preserve"> solicitar respetuosamente a la Honorable Comisión Primera Constitucional Permanente de la Cámara de Representantes el </w:t>
      </w:r>
      <w:r>
        <w:rPr>
          <w:rFonts w:ascii="Cambria" w:eastAsia="Cambria" w:hAnsi="Cambria" w:cs="Cambria"/>
          <w:b/>
          <w:bCs/>
          <w:sz w:val="23"/>
          <w:szCs w:val="23"/>
        </w:rPr>
        <w:t>ARCHIVO del Proyecto de Ley No. 346 de 2025 Cámara</w:t>
      </w:r>
      <w:r>
        <w:rPr>
          <w:rFonts w:ascii="Cambria" w:eastAsia="Cambria" w:hAnsi="Cambria" w:cs="Cambria"/>
          <w:sz w:val="23"/>
          <w:szCs w:val="23"/>
        </w:rPr>
        <w:t xml:space="preserve"> “</w:t>
      </w:r>
      <w:r>
        <w:rPr>
          <w:rFonts w:ascii="Cambria" w:eastAsia="Cambria" w:hAnsi="Cambria" w:cs="Cambria"/>
          <w:color w:val="000000"/>
          <w:sz w:val="23"/>
          <w:szCs w:val="23"/>
        </w:rPr>
        <w:t>por medio del cual se modifica la ley 599 de 2000, en sus artículos 220 y 221.</w:t>
      </w:r>
      <w:r>
        <w:rPr>
          <w:rFonts w:ascii="Cambria" w:eastAsia="Cambria" w:hAnsi="Cambria" w:cs="Cambria"/>
          <w:sz w:val="23"/>
          <w:szCs w:val="23"/>
        </w:rPr>
        <w:t>”</w:t>
      </w:r>
    </w:p>
    <w:p w14:paraId="21963473" w14:textId="77777777" w:rsidR="0081075F" w:rsidRDefault="0081075F">
      <w:pPr>
        <w:jc w:val="both"/>
        <w:rPr>
          <w:rFonts w:ascii="Cambria" w:eastAsia="Cambria" w:hAnsi="Cambria" w:cs="Cambria"/>
          <w:sz w:val="23"/>
          <w:szCs w:val="23"/>
        </w:rPr>
      </w:pPr>
    </w:p>
    <w:p w14:paraId="0FA1C418" w14:textId="77777777" w:rsidR="00536422" w:rsidRDefault="00536422">
      <w:pPr>
        <w:jc w:val="both"/>
        <w:rPr>
          <w:rFonts w:ascii="Cambria" w:eastAsia="Cambria" w:hAnsi="Cambria" w:cs="Cambria"/>
          <w:sz w:val="23"/>
          <w:szCs w:val="23"/>
        </w:rPr>
      </w:pPr>
    </w:p>
    <w:p w14:paraId="7BCBD6B4" w14:textId="77777777" w:rsidR="00B624FD" w:rsidRDefault="00B624FD">
      <w:pPr>
        <w:jc w:val="both"/>
        <w:rPr>
          <w:rFonts w:ascii="Cambria" w:eastAsia="Cambria" w:hAnsi="Cambria" w:cs="Cambria"/>
          <w:sz w:val="23"/>
          <w:szCs w:val="23"/>
        </w:rPr>
      </w:pPr>
    </w:p>
    <w:p w14:paraId="4DF88D90" w14:textId="77777777" w:rsidR="00536422" w:rsidRDefault="00536422">
      <w:pPr>
        <w:jc w:val="both"/>
        <w:rPr>
          <w:rFonts w:ascii="Cambria" w:eastAsia="Cambria" w:hAnsi="Cambria" w:cs="Cambria"/>
          <w:sz w:val="23"/>
          <w:szCs w:val="23"/>
        </w:rPr>
      </w:pPr>
    </w:p>
    <w:p w14:paraId="1A66F50C" w14:textId="77777777" w:rsidR="0081075F" w:rsidRDefault="00000000">
      <w:pPr>
        <w:jc w:val="both"/>
        <w:rPr>
          <w:rFonts w:ascii="Cambria" w:eastAsia="Cambria" w:hAnsi="Cambria" w:cs="Cambria"/>
          <w:sz w:val="23"/>
          <w:szCs w:val="23"/>
        </w:rPr>
      </w:pPr>
      <w:r>
        <w:rPr>
          <w:rFonts w:ascii="Cambria" w:eastAsia="Cambria" w:hAnsi="Cambria" w:cs="Cambria"/>
          <w:b/>
          <w:bCs/>
          <w:sz w:val="23"/>
          <w:szCs w:val="23"/>
        </w:rPr>
        <w:t xml:space="preserve">___________________________________________                  </w:t>
      </w:r>
    </w:p>
    <w:p w14:paraId="7AD39BF5" w14:textId="77777777" w:rsidR="0081075F" w:rsidRDefault="00000000">
      <w:pPr>
        <w:pBdr>
          <w:top w:val="nil"/>
          <w:left w:val="nil"/>
          <w:bottom w:val="nil"/>
          <w:right w:val="nil"/>
          <w:between w:val="nil"/>
        </w:pBdr>
        <w:spacing w:line="240" w:lineRule="auto"/>
        <w:rPr>
          <w:rFonts w:ascii="Cambria" w:eastAsia="Cambria" w:hAnsi="Cambria" w:cs="Cambria"/>
          <w:b/>
          <w:bCs/>
          <w:color w:val="000000"/>
          <w:sz w:val="23"/>
          <w:szCs w:val="23"/>
        </w:rPr>
      </w:pPr>
      <w:r>
        <w:rPr>
          <w:rFonts w:ascii="Cambria" w:eastAsia="Cambria" w:hAnsi="Cambria" w:cs="Cambria"/>
          <w:b/>
          <w:bCs/>
          <w:color w:val="000000"/>
          <w:sz w:val="23"/>
          <w:szCs w:val="23"/>
        </w:rPr>
        <w:t xml:space="preserve">PEDRO JOSÉ SUÁREZ VACCA                                       </w:t>
      </w:r>
    </w:p>
    <w:p w14:paraId="2312F49A" w14:textId="77777777" w:rsidR="0081075F" w:rsidRDefault="00000000">
      <w:pPr>
        <w:pBdr>
          <w:top w:val="nil"/>
          <w:left w:val="nil"/>
          <w:bottom w:val="nil"/>
          <w:right w:val="nil"/>
          <w:between w:val="nil"/>
        </w:pBdr>
        <w:spacing w:line="240" w:lineRule="auto"/>
        <w:rPr>
          <w:rFonts w:ascii="Cambria" w:eastAsia="Cambria" w:hAnsi="Cambria" w:cs="Cambria"/>
          <w:color w:val="000000"/>
          <w:sz w:val="23"/>
          <w:szCs w:val="23"/>
        </w:rPr>
      </w:pPr>
      <w:r>
        <w:rPr>
          <w:rFonts w:ascii="Cambria" w:eastAsia="Cambria" w:hAnsi="Cambria" w:cs="Cambria"/>
          <w:color w:val="000000"/>
          <w:sz w:val="23"/>
          <w:szCs w:val="23"/>
        </w:rPr>
        <w:t xml:space="preserve">Representante a la Cámara por Boyacá                            </w:t>
      </w:r>
    </w:p>
    <w:p w14:paraId="293E6F52" w14:textId="77777777" w:rsidR="0081075F" w:rsidRDefault="00000000">
      <w:pPr>
        <w:pBdr>
          <w:top w:val="nil"/>
          <w:left w:val="nil"/>
          <w:bottom w:val="nil"/>
          <w:right w:val="nil"/>
          <w:between w:val="nil"/>
        </w:pBdr>
        <w:spacing w:line="240" w:lineRule="auto"/>
        <w:rPr>
          <w:rFonts w:ascii="Cambria" w:eastAsia="Cambria" w:hAnsi="Cambria" w:cs="Cambria"/>
          <w:color w:val="000000"/>
          <w:sz w:val="23"/>
          <w:szCs w:val="23"/>
        </w:rPr>
      </w:pPr>
      <w:r>
        <w:rPr>
          <w:rFonts w:ascii="Cambria" w:eastAsia="Cambria" w:hAnsi="Cambria" w:cs="Cambria"/>
          <w:color w:val="000000"/>
          <w:sz w:val="23"/>
          <w:szCs w:val="23"/>
        </w:rPr>
        <w:t>Pacto Histórico.                 </w:t>
      </w:r>
    </w:p>
    <w:p w14:paraId="5B41592E" w14:textId="77777777" w:rsidR="0081075F" w:rsidRDefault="00000000">
      <w:pPr>
        <w:pBdr>
          <w:top w:val="nil"/>
          <w:left w:val="nil"/>
          <w:bottom w:val="nil"/>
          <w:right w:val="nil"/>
          <w:between w:val="nil"/>
        </w:pBdr>
        <w:spacing w:line="240" w:lineRule="auto"/>
        <w:rPr>
          <w:rFonts w:ascii="Cambria" w:eastAsia="Cambria" w:hAnsi="Cambria" w:cs="Cambria"/>
          <w:color w:val="000000"/>
          <w:sz w:val="23"/>
          <w:szCs w:val="23"/>
        </w:rPr>
      </w:pPr>
      <w:r>
        <w:rPr>
          <w:rFonts w:ascii="Cambria" w:eastAsia="Cambria" w:hAnsi="Cambria" w:cs="Cambria"/>
          <w:color w:val="000000"/>
          <w:sz w:val="23"/>
          <w:szCs w:val="23"/>
        </w:rPr>
        <w:t>                                                       </w:t>
      </w:r>
    </w:p>
    <w:sectPr w:rsidR="0081075F">
      <w:headerReference w:type="default" r:id="rId17"/>
      <w:footerReference w:type="default" r:id="rId18"/>
      <w:pgSz w:w="12240" w:h="15840"/>
      <w:pgMar w:top="1440" w:right="1440" w:bottom="1440" w:left="1559"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D517A" w14:textId="77777777" w:rsidR="007C093A" w:rsidRDefault="007C093A">
      <w:pPr>
        <w:spacing w:line="240" w:lineRule="auto"/>
      </w:pPr>
      <w:r>
        <w:separator/>
      </w:r>
    </w:p>
  </w:endnote>
  <w:endnote w:type="continuationSeparator" w:id="0">
    <w:p w14:paraId="714E99C9" w14:textId="77777777" w:rsidR="007C093A" w:rsidRDefault="007C09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33CE64D1-94C3-4473-AE06-B90E48D30213}"/>
    <w:embedBold r:id="rId2" w:fontKey="{EA36A375-D0E0-473B-91B9-68C5F736BFB6}"/>
    <w:embedItalic r:id="rId3" w:fontKey="{F7841784-4550-4BCE-8FF1-05320F22F501}"/>
    <w:embedBoldItalic r:id="rId4" w:fontKey="{D997B2BF-EC9B-4350-811B-CD40EFB1538D}"/>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2023A767-32DB-440B-B2E9-55C7A539E1BC}"/>
    <w:embedItalic r:id="rId6" w:fontKey="{44D51826-82E7-47EC-897E-814607E60E93}"/>
  </w:font>
  <w:font w:name="Georgia">
    <w:panose1 w:val="02040502050405020303"/>
    <w:charset w:val="00"/>
    <w:family w:val="roman"/>
    <w:pitch w:val="variable"/>
    <w:sig w:usb0="00000287" w:usb1="00000000" w:usb2="00000000" w:usb3="00000000" w:csb0="0000009F" w:csb1="00000000"/>
    <w:embedItalic r:id="rId7" w:fontKey="{C05C9AEC-2353-408B-9545-20B864E00F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03D15" w14:textId="77777777" w:rsidR="0081075F" w:rsidRDefault="008107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9358B" w14:textId="77777777" w:rsidR="007C093A" w:rsidRDefault="007C093A">
      <w:pPr>
        <w:spacing w:line="240" w:lineRule="auto"/>
      </w:pPr>
      <w:r>
        <w:separator/>
      </w:r>
    </w:p>
  </w:footnote>
  <w:footnote w:type="continuationSeparator" w:id="0">
    <w:p w14:paraId="24AEF5BA" w14:textId="77777777" w:rsidR="007C093A" w:rsidRDefault="007C09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2275" w14:textId="77777777" w:rsidR="0081075F" w:rsidRDefault="00000000">
    <w:r>
      <w:pict w14:anchorId="63E609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74.35pt;margin-top:-74.05pt;width:614.35pt;height:795.6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67D"/>
    <w:multiLevelType w:val="multilevel"/>
    <w:tmpl w:val="7948219E"/>
    <w:lvl w:ilvl="0">
      <w:start w:val="1"/>
      <w:numFmt w:val="decimal"/>
      <w:lvlText w:val="%1."/>
      <w:lvlJc w:val="left"/>
      <w:pPr>
        <w:ind w:left="720" w:hanging="360"/>
      </w:pPr>
      <w:rPr>
        <w:rFonts w:ascii="Cambria" w:hAnsi="Cambria" w:hint="default"/>
        <w:b/>
        <w:bCs/>
      </w:rPr>
    </w:lvl>
    <w:lvl w:ilvl="1">
      <w:start w:val="1"/>
      <w:numFmt w:val="decimal"/>
      <w:isLgl/>
      <w:lvlText w:val="%1.%2."/>
      <w:lvlJc w:val="left"/>
      <w:pPr>
        <w:ind w:left="1440" w:hanging="72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87A722F"/>
    <w:multiLevelType w:val="multilevel"/>
    <w:tmpl w:val="7948219E"/>
    <w:lvl w:ilvl="0">
      <w:start w:val="1"/>
      <w:numFmt w:val="decimal"/>
      <w:lvlText w:val="%1."/>
      <w:lvlJc w:val="left"/>
      <w:pPr>
        <w:ind w:left="720" w:hanging="360"/>
      </w:pPr>
      <w:rPr>
        <w:rFonts w:ascii="Cambria" w:hAnsi="Cambria" w:hint="default"/>
        <w:b/>
        <w:bCs/>
      </w:rPr>
    </w:lvl>
    <w:lvl w:ilvl="1">
      <w:start w:val="1"/>
      <w:numFmt w:val="decimal"/>
      <w:isLgl/>
      <w:lvlText w:val="%1.%2."/>
      <w:lvlJc w:val="left"/>
      <w:pPr>
        <w:ind w:left="1440" w:hanging="72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C181798"/>
    <w:multiLevelType w:val="multilevel"/>
    <w:tmpl w:val="B0E61644"/>
    <w:lvl w:ilvl="0">
      <w:start w:val="1"/>
      <w:numFmt w:val="decimal"/>
      <w:lvlText w:val="%1."/>
      <w:lvlJc w:val="left"/>
      <w:pPr>
        <w:ind w:left="720" w:hanging="360"/>
      </w:pPr>
      <w:rPr>
        <w:color w:val="000000"/>
      </w:rPr>
    </w:lvl>
    <w:lvl w:ilvl="1">
      <w:start w:val="1"/>
      <w:numFmt w:val="decimal"/>
      <w:lvlText w:val="%1.%2."/>
      <w:lvlJc w:val="left"/>
      <w:pPr>
        <w:ind w:left="1080" w:hanging="720"/>
      </w:pPr>
      <w:rPr>
        <w:color w:val="000000"/>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 w15:restartNumberingAfterBreak="0">
    <w:nsid w:val="0FE150E7"/>
    <w:multiLevelType w:val="multilevel"/>
    <w:tmpl w:val="C9F420F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BE3310B"/>
    <w:multiLevelType w:val="multilevel"/>
    <w:tmpl w:val="7948219E"/>
    <w:lvl w:ilvl="0">
      <w:start w:val="1"/>
      <w:numFmt w:val="decimal"/>
      <w:lvlText w:val="%1."/>
      <w:lvlJc w:val="left"/>
      <w:pPr>
        <w:ind w:left="720" w:hanging="360"/>
      </w:pPr>
      <w:rPr>
        <w:rFonts w:ascii="Cambria" w:hAnsi="Cambria" w:hint="default"/>
        <w:b/>
        <w:bCs/>
      </w:rPr>
    </w:lvl>
    <w:lvl w:ilvl="1">
      <w:start w:val="1"/>
      <w:numFmt w:val="decimal"/>
      <w:isLgl/>
      <w:lvlText w:val="%1.%2."/>
      <w:lvlJc w:val="left"/>
      <w:pPr>
        <w:ind w:left="1440" w:hanging="72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7B40110B"/>
    <w:multiLevelType w:val="hybridMultilevel"/>
    <w:tmpl w:val="0B8097E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335156855">
    <w:abstractNumId w:val="2"/>
  </w:num>
  <w:num w:numId="2" w16cid:durableId="2058622720">
    <w:abstractNumId w:val="1"/>
  </w:num>
  <w:num w:numId="3" w16cid:durableId="1729496052">
    <w:abstractNumId w:val="3"/>
  </w:num>
  <w:num w:numId="4" w16cid:durableId="257446671">
    <w:abstractNumId w:val="4"/>
  </w:num>
  <w:num w:numId="5" w16cid:durableId="1554195838">
    <w:abstractNumId w:val="0"/>
  </w:num>
  <w:num w:numId="6" w16cid:durableId="9308930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75F"/>
    <w:rsid w:val="00105A5C"/>
    <w:rsid w:val="00186B24"/>
    <w:rsid w:val="001D6DB6"/>
    <w:rsid w:val="004C6638"/>
    <w:rsid w:val="0051731B"/>
    <w:rsid w:val="00536422"/>
    <w:rsid w:val="007A388C"/>
    <w:rsid w:val="007C093A"/>
    <w:rsid w:val="0081075F"/>
    <w:rsid w:val="00965DD3"/>
    <w:rsid w:val="00B624FD"/>
    <w:rsid w:val="00B80C94"/>
    <w:rsid w:val="00F057D7"/>
    <w:rsid w:val="00F20D4A"/>
    <w:rsid w:val="00FC541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350D1"/>
  <w15:docId w15:val="{95FEE627-B18A-42A3-95CB-2D7404896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CO"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Ttulo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Ttulo3">
    <w:name w:val="heading 3"/>
    <w:basedOn w:val="Normal"/>
    <w:next w:val="Normal"/>
    <w:uiPriority w:val="9"/>
    <w:unhideWhenUsed/>
    <w:qFormat/>
    <w:pPr>
      <w:keepNext/>
      <w:keepLines/>
      <w:spacing w:before="40"/>
      <w:outlineLvl w:val="2"/>
    </w:pPr>
    <w:rPr>
      <w:rFonts w:ascii="Calibri" w:eastAsia="Calibri" w:hAnsi="Calibri" w:cs="Calibri"/>
      <w:color w:val="1F3863"/>
      <w:sz w:val="24"/>
      <w:szCs w:val="24"/>
    </w:rPr>
  </w:style>
  <w:style w:type="paragraph" w:styleId="Ttulo4">
    <w:name w:val="heading 4"/>
    <w:basedOn w:val="Normal"/>
    <w:next w:val="Normal"/>
    <w:uiPriority w:val="9"/>
    <w:semiHidden/>
    <w:unhideWhenUsed/>
    <w:qFormat/>
    <w:pPr>
      <w:keepNext/>
      <w:keepLines/>
      <w:spacing w:before="40"/>
      <w:outlineLvl w:val="3"/>
    </w:pPr>
    <w:rPr>
      <w:rFonts w:ascii="Calibri" w:eastAsia="Calibri" w:hAnsi="Calibri" w:cs="Calibri"/>
      <w:i/>
      <w:iCs/>
      <w:color w:val="2F5496"/>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link w:val="Ttulo6Car"/>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widowControl w:val="0"/>
      <w:spacing w:line="240" w:lineRule="auto"/>
    </w:pPr>
    <w:tblPr>
      <w:tblStyleRowBandSize w:val="1"/>
      <w:tblStyleColBandSize w:val="1"/>
      <w:tblCellMar>
        <w:top w:w="15" w:type="dxa"/>
        <w:left w:w="15" w:type="dxa"/>
        <w:bottom w:w="15" w:type="dxa"/>
        <w:right w:w="15" w:type="dxa"/>
      </w:tblCellMar>
    </w:tblPr>
  </w:style>
  <w:style w:type="table" w:styleId="Tablaconcuadrcula">
    <w:name w:val="Table Grid"/>
    <w:basedOn w:val="Tablanormal"/>
    <w:uiPriority w:val="39"/>
    <w:rsid w:val="00FC541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C541B"/>
    <w:pPr>
      <w:ind w:left="720"/>
      <w:contextualSpacing/>
    </w:pPr>
  </w:style>
  <w:style w:type="character" w:customStyle="1" w:styleId="Ttulo6Car">
    <w:name w:val="Título 6 Car"/>
    <w:basedOn w:val="Fuentedeprrafopredeter"/>
    <w:link w:val="Ttulo6"/>
    <w:uiPriority w:val="9"/>
    <w:semiHidden/>
    <w:rsid w:val="00B624FD"/>
    <w:rPr>
      <w:b/>
      <w:bCs/>
      <w:sz w:val="20"/>
      <w:szCs w:val="20"/>
    </w:rPr>
  </w:style>
  <w:style w:type="character" w:styleId="Hipervnculo">
    <w:name w:val="Hyperlink"/>
    <w:basedOn w:val="Fuentedeprrafopredeter"/>
    <w:uiPriority w:val="99"/>
    <w:semiHidden/>
    <w:unhideWhenUsed/>
    <w:rsid w:val="00B624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amara.gov.co/representantes/carlos-arturo-vallejo-beltran" TargetMode="External"/><Relationship Id="rId13" Type="http://schemas.openxmlformats.org/officeDocument/2006/relationships/hyperlink" Target="https://www.camara.gov.co/representantes/wilmer-yair-castellanos-hernandez"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mara.gov.co/representantes/william-ferney-aljure-martine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uncionpublica.gov.co/eva/gestornormativo/norma.php?i=1136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mara.gov.co/representantes/olga-beatriz-gonzalez-correa" TargetMode="External"/><Relationship Id="rId5" Type="http://schemas.openxmlformats.org/officeDocument/2006/relationships/webSettings" Target="webSettings.xml"/><Relationship Id="rId15" Type="http://schemas.openxmlformats.org/officeDocument/2006/relationships/hyperlink" Target="https://www.funcionpublica.gov.co/eva/gestornormativo/norma.php?i=11368" TargetMode="External"/><Relationship Id="rId10" Type="http://schemas.openxmlformats.org/officeDocument/2006/relationships/hyperlink" Target="https://www.camara.gov.co/representantes/juan-carlos-vargas-sole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amara.gov.co/representantes/john-jairo-gonzalez-agudelo" TargetMode="External"/><Relationship Id="rId14" Type="http://schemas.openxmlformats.org/officeDocument/2006/relationships/hyperlink" Target="https://www.camara.gov.co/representantes/pedro-jose-suarez-vacc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8wKxhr5+ItVGpK3LX96XtsExxQ==">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15</Pages>
  <Words>6282</Words>
  <Characters>34557</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Tatia</dc:creator>
  <cp:lastModifiedBy>tatiana.paezabogada@gmail.com</cp:lastModifiedBy>
  <cp:revision>12</cp:revision>
  <cp:lastPrinted>2026-04-07T19:37:00Z</cp:lastPrinted>
  <dcterms:created xsi:type="dcterms:W3CDTF">2026-04-07T17:50:00Z</dcterms:created>
  <dcterms:modified xsi:type="dcterms:W3CDTF">2026-04-07T19:59:00Z</dcterms:modified>
</cp:coreProperties>
</file>